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3B2277" w14:paraId="30441742" w14:textId="77777777" w:rsidTr="0010095E">
        <w:trPr>
          <w:trHeight w:hRule="exact" w:val="1418"/>
        </w:trPr>
        <w:tc>
          <w:tcPr>
            <w:tcW w:w="6804" w:type="dxa"/>
            <w:shd w:val="clear" w:color="auto" w:fill="auto"/>
            <w:vAlign w:val="center"/>
          </w:tcPr>
          <w:p w14:paraId="66C8AFFA" w14:textId="77777777" w:rsidR="00751A4A" w:rsidRPr="003B2277" w:rsidRDefault="00B30AF6" w:rsidP="0010095E">
            <w:pPr>
              <w:pStyle w:val="EPName"/>
            </w:pPr>
            <w:bookmarkStart w:id="0" w:name="_GoBack"/>
            <w:bookmarkEnd w:id="0"/>
            <w:r w:rsidRPr="003B2277">
              <w:t>Evropski parlament</w:t>
            </w:r>
          </w:p>
          <w:p w14:paraId="3C140A3F" w14:textId="77777777" w:rsidR="00751A4A" w:rsidRPr="003B2277" w:rsidRDefault="00817416" w:rsidP="00756632">
            <w:pPr>
              <w:pStyle w:val="EPTerm"/>
              <w:rPr>
                <w:rStyle w:val="HideTWBExt"/>
                <w:noProof w:val="0"/>
                <w:vanish w:val="0"/>
                <w:color w:val="auto"/>
              </w:rPr>
            </w:pPr>
            <w:r w:rsidRPr="003B2277">
              <w:t>2019-2024</w:t>
            </w:r>
          </w:p>
        </w:tc>
        <w:tc>
          <w:tcPr>
            <w:tcW w:w="2268" w:type="dxa"/>
            <w:shd w:val="clear" w:color="auto" w:fill="auto"/>
          </w:tcPr>
          <w:p w14:paraId="67D9F976" w14:textId="77777777" w:rsidR="00751A4A" w:rsidRPr="003B2277" w:rsidRDefault="00187494" w:rsidP="0010095E">
            <w:pPr>
              <w:pStyle w:val="EPLogo"/>
            </w:pPr>
            <w:r w:rsidRPr="003B2277">
              <w:rPr>
                <w:noProof/>
                <w:lang w:val="en-GB"/>
              </w:rPr>
              <w:drawing>
                <wp:inline distT="0" distB="0" distL="0" distR="0" wp14:anchorId="1025E2B1" wp14:editId="1876653D">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3F3D0E53" w14:textId="77777777" w:rsidR="00D058B8" w:rsidRPr="003B2277" w:rsidRDefault="00D058B8" w:rsidP="004C5D52">
      <w:pPr>
        <w:pStyle w:val="LineTop"/>
      </w:pPr>
    </w:p>
    <w:p w14:paraId="245B6DB5" w14:textId="77777777" w:rsidR="00680577" w:rsidRPr="003B2277" w:rsidRDefault="00B30AF6" w:rsidP="00680577">
      <w:pPr>
        <w:pStyle w:val="EPBodyTA1"/>
      </w:pPr>
      <w:r w:rsidRPr="003B2277">
        <w:t>SPREJETA BESEDILA</w:t>
      </w:r>
    </w:p>
    <w:p w14:paraId="628C6D47" w14:textId="77777777" w:rsidR="00D058B8" w:rsidRPr="003B2277" w:rsidRDefault="00B30AF6" w:rsidP="00AE0928">
      <w:pPr>
        <w:pStyle w:val="EPBodyTA2"/>
      </w:pPr>
      <w:bookmarkStart w:id="1" w:name="ProvEd"/>
      <w:r w:rsidRPr="003B2277">
        <w:t>Začasna izdaja</w:t>
      </w:r>
      <w:bookmarkEnd w:id="1"/>
    </w:p>
    <w:p w14:paraId="4049234C" w14:textId="77777777" w:rsidR="00D058B8" w:rsidRPr="003B2277" w:rsidRDefault="00D058B8" w:rsidP="00D058B8">
      <w:pPr>
        <w:pStyle w:val="LineBottom"/>
      </w:pPr>
    </w:p>
    <w:p w14:paraId="50DBE0AB" w14:textId="54BD8A48" w:rsidR="00B30AF6" w:rsidRPr="003B2277" w:rsidRDefault="00B30AF6" w:rsidP="00B30AF6">
      <w:pPr>
        <w:pStyle w:val="ATHeading1"/>
      </w:pPr>
      <w:bookmarkStart w:id="2" w:name="TANumber"/>
      <w:r w:rsidRPr="003B2277">
        <w:t>P9_TA-PROV(2020)</w:t>
      </w:r>
      <w:bookmarkEnd w:id="2"/>
      <w:r w:rsidR="00BB6FC0">
        <w:t>0289</w:t>
      </w:r>
    </w:p>
    <w:p w14:paraId="1E46D398" w14:textId="77777777" w:rsidR="00B30AF6" w:rsidRPr="003B2277" w:rsidRDefault="008B65FA" w:rsidP="008B65FA">
      <w:pPr>
        <w:pStyle w:val="ATHeading2"/>
      </w:pPr>
      <w:bookmarkStart w:id="3" w:name="Etoiles"/>
      <w:r w:rsidRPr="003B2277">
        <w:t xml:space="preserve">Skupna kmetijska politika – sprememba uredbe o skupni ureditvi trgov kmetijskih proizvodov in drugih uredb </w:t>
      </w:r>
      <w:r w:rsidR="00B30AF6" w:rsidRPr="003B2277">
        <w:t>***I</w:t>
      </w:r>
      <w:bookmarkEnd w:id="3"/>
    </w:p>
    <w:p w14:paraId="1E302F09" w14:textId="38241BF4" w:rsidR="00B30AF6" w:rsidRPr="00896D5A" w:rsidRDefault="00B30AF6" w:rsidP="00B30AF6">
      <w:pPr>
        <w:rPr>
          <w:i/>
          <w:vanish/>
        </w:rPr>
      </w:pPr>
      <w:r w:rsidRPr="00FD1F1B">
        <w:rPr>
          <w:i/>
        </w:rPr>
        <w:fldChar w:fldCharType="begin"/>
      </w:r>
      <w:r w:rsidRPr="00896D5A">
        <w:rPr>
          <w:i/>
        </w:rPr>
        <w:instrText xml:space="preserve"> TC"(</w:instrText>
      </w:r>
      <w:bookmarkStart w:id="4" w:name="DocNumber"/>
      <w:r w:rsidR="005809F6" w:rsidRPr="00896D5A">
        <w:rPr>
          <w:i/>
        </w:rPr>
        <w:instrText>A</w:instrText>
      </w:r>
      <w:r w:rsidR="005809F6" w:rsidRPr="00FD1F1B">
        <w:rPr>
          <w:i/>
        </w:rPr>
        <w:instrText>8</w:instrText>
      </w:r>
      <w:r w:rsidRPr="00896D5A">
        <w:rPr>
          <w:i/>
        </w:rPr>
        <w:instrText>-0198/2019</w:instrText>
      </w:r>
      <w:bookmarkEnd w:id="4"/>
      <w:r w:rsidRPr="00896D5A">
        <w:rPr>
          <w:i/>
        </w:rPr>
        <w:instrText xml:space="preserve"> - Poročevalec: Eric Andrieu)"\l3 \n&gt; \* MERGEFORMAT </w:instrText>
      </w:r>
      <w:r w:rsidRPr="00FD1F1B">
        <w:rPr>
          <w:i/>
        </w:rPr>
        <w:fldChar w:fldCharType="end"/>
      </w:r>
    </w:p>
    <w:p w14:paraId="39892451" w14:textId="77777777" w:rsidR="00B30AF6" w:rsidRPr="00896D5A" w:rsidRDefault="00B30AF6" w:rsidP="00B30AF6">
      <w:pPr>
        <w:rPr>
          <w:vanish/>
        </w:rPr>
      </w:pPr>
      <w:bookmarkStart w:id="5" w:name="Commission"/>
      <w:r w:rsidRPr="00896D5A">
        <w:rPr>
          <w:vanish/>
        </w:rPr>
        <w:t>Odbor za kmetijstvo in razvoj podeželja</w:t>
      </w:r>
      <w:bookmarkEnd w:id="5"/>
    </w:p>
    <w:p w14:paraId="5D430C2B" w14:textId="77777777" w:rsidR="00B30AF6" w:rsidRPr="003B2277" w:rsidRDefault="00B30AF6" w:rsidP="00B30AF6">
      <w:pPr>
        <w:rPr>
          <w:vanish/>
        </w:rPr>
      </w:pPr>
      <w:bookmarkStart w:id="6" w:name="PE"/>
      <w:r w:rsidRPr="00896D5A">
        <w:rPr>
          <w:vanish/>
        </w:rPr>
        <w:t>PE623.922</w:t>
      </w:r>
      <w:bookmarkEnd w:id="6"/>
    </w:p>
    <w:p w14:paraId="7036B82B" w14:textId="697F96ED" w:rsidR="00B30AF6" w:rsidRPr="003B2277" w:rsidRDefault="00BC40D2" w:rsidP="00B30AF6">
      <w:pPr>
        <w:pStyle w:val="ATHeading3"/>
      </w:pPr>
      <w:bookmarkStart w:id="7" w:name="Sujet"/>
      <w:r w:rsidRPr="003B2277">
        <w:t>Spremembe</w:t>
      </w:r>
      <w:r w:rsidR="005809F6" w:rsidRPr="00DE13D0">
        <w:rPr>
          <w:rStyle w:val="Sprotnaopomba-sklic"/>
        </w:rPr>
        <w:footnoteReference w:customMarkFollows="1" w:id="1"/>
        <w:t>*</w:t>
      </w:r>
      <w:r w:rsidR="005809F6">
        <w:t xml:space="preserve"> </w:t>
      </w:r>
      <w:r w:rsidR="005809F6" w:rsidRPr="00DE13D0">
        <w:rPr>
          <w:rStyle w:val="Sprotnaopomba-sklic"/>
        </w:rPr>
        <w:footnoteReference w:customMarkFollows="1" w:id="2"/>
        <w:t>**</w:t>
      </w:r>
      <w:r w:rsidRPr="003B2277">
        <w:t xml:space="preserve"> Evropskega parlamenta, sprejete dne 23. oktobra 2020, o </w:t>
      </w:r>
      <w:r w:rsidR="00B30AF6" w:rsidRPr="003B2277">
        <w:t>predlog</w:t>
      </w:r>
      <w:r w:rsidRPr="003B2277">
        <w:t>u</w:t>
      </w:r>
      <w:r w:rsidR="00B30AF6" w:rsidRPr="003B2277">
        <w:t xml:space="preserve"> uredbe Evropskega parlamenta in Sveta </w:t>
      </w:r>
      <w:bookmarkStart w:id="8" w:name="References"/>
      <w:bookmarkEnd w:id="7"/>
      <w:r w:rsidR="008B65FA" w:rsidRPr="003B2277">
        <w:t xml:space="preserve">o spremembi uredb (EU) št. 1308/2013 o vzpostavitvi skupne ureditve trgov kmetijskih proizvodov, (EU) št. 1151/2012 o shemah kakovosti kmetijskih proizvodov in živil, (EU) št. 251/2014 o opredelitvi, opisu, predstavitvi, označevanju in zaščiti geografskih označb aromatiziranih vinskih proizvodov, (EU) št. 228/2013 o posebnih ukrepih za kmetijstvo v najbolj oddaljenih regijah Unije in (EU) št. 229/2013 o posebnih ukrepih za kmetijstvo v korist manjših egejskih otokov </w:t>
      </w:r>
      <w:r w:rsidR="00B30AF6" w:rsidRPr="003B2277">
        <w:t>(COM(2018)0394 – C8-0246/2018 – 2018/0218(COD))</w:t>
      </w:r>
      <w:bookmarkEnd w:id="8"/>
      <w:r w:rsidRPr="003B2277">
        <w:rPr>
          <w:rStyle w:val="Sprotnaopomba-sklic"/>
          <w:szCs w:val="24"/>
        </w:rPr>
        <w:footnoteReference w:id="3"/>
      </w:r>
    </w:p>
    <w:p w14:paraId="7E442EB2" w14:textId="77777777" w:rsidR="00B30AF6" w:rsidRPr="003B2277" w:rsidRDefault="00B30AF6" w:rsidP="00B30AF6"/>
    <w:p w14:paraId="18C06438" w14:textId="77777777" w:rsidR="006F5BFE" w:rsidRPr="003B2277" w:rsidRDefault="006F5BFE" w:rsidP="006F5BFE">
      <w:pPr>
        <w:pStyle w:val="Normal12Bold"/>
      </w:pPr>
      <w:bookmarkStart w:id="9" w:name="TextBodyBegin"/>
      <w:bookmarkEnd w:id="9"/>
      <w:r w:rsidRPr="003B2277">
        <w:t>(Redni zakonodajni postopek: prva obravnava)</w:t>
      </w:r>
    </w:p>
    <w:p w14:paraId="419C4671" w14:textId="6BD5AA2E" w:rsidR="00BC40D2" w:rsidRPr="003B2277" w:rsidRDefault="00BC40D2">
      <w:pPr>
        <w:widowControl/>
      </w:pPr>
      <w:r w:rsidRPr="003B2277">
        <w:br w:type="page"/>
      </w:r>
    </w:p>
    <w:p w14:paraId="37689DF1" w14:textId="10587599" w:rsidR="006F5BFE" w:rsidRPr="003B2277" w:rsidRDefault="003B2277" w:rsidP="006F5BFE">
      <w:pPr>
        <w:pStyle w:val="AMNumberTabs"/>
        <w:keepNext/>
      </w:pPr>
      <w:r>
        <w:lastRenderedPageBreak/>
        <w:t>Sprememba</w:t>
      </w:r>
      <w:r w:rsidR="006F5BFE" w:rsidRPr="003B2277">
        <w:tab/>
      </w:r>
      <w:r w:rsidR="006F5BFE" w:rsidRPr="003B2277">
        <w:tab/>
        <w:t>1</w:t>
      </w:r>
    </w:p>
    <w:p w14:paraId="437FF081" w14:textId="77777777" w:rsidR="006F5BFE" w:rsidRPr="003B2277" w:rsidRDefault="006F5BFE" w:rsidP="006F5BFE">
      <w:pPr>
        <w:pStyle w:val="NormalBold12b"/>
      </w:pPr>
      <w:r w:rsidRPr="003B2277">
        <w:t>Predlog uredbe</w:t>
      </w:r>
    </w:p>
    <w:p w14:paraId="1E3A696B" w14:textId="77777777" w:rsidR="006F5BFE" w:rsidRPr="003B2277" w:rsidRDefault="006F5BFE" w:rsidP="006F5BFE">
      <w:pPr>
        <w:pStyle w:val="NormalBold"/>
      </w:pPr>
      <w:r w:rsidRPr="003B2277">
        <w:t>Uvodna izjava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F34F290" w14:textId="77777777" w:rsidTr="005B4D60">
        <w:trPr>
          <w:jc w:val="center"/>
        </w:trPr>
        <w:tc>
          <w:tcPr>
            <w:tcW w:w="9752" w:type="dxa"/>
            <w:gridSpan w:val="2"/>
          </w:tcPr>
          <w:p w14:paraId="41EAFE92" w14:textId="77777777" w:rsidR="006F5BFE" w:rsidRPr="003B2277" w:rsidRDefault="006F5BFE" w:rsidP="005B4D60">
            <w:pPr>
              <w:keepNext/>
            </w:pPr>
          </w:p>
        </w:tc>
      </w:tr>
      <w:tr w:rsidR="006F5BFE" w:rsidRPr="003B2277" w14:paraId="3A6C1123" w14:textId="77777777" w:rsidTr="005B4D60">
        <w:trPr>
          <w:jc w:val="center"/>
        </w:trPr>
        <w:tc>
          <w:tcPr>
            <w:tcW w:w="4876" w:type="dxa"/>
            <w:hideMark/>
          </w:tcPr>
          <w:p w14:paraId="5D4A821C" w14:textId="77777777" w:rsidR="006F5BFE" w:rsidRPr="003B2277" w:rsidRDefault="006F5BFE" w:rsidP="005B4D60">
            <w:pPr>
              <w:pStyle w:val="ColumnHeading"/>
              <w:keepNext/>
            </w:pPr>
            <w:r w:rsidRPr="003B2277">
              <w:t>Besedilo, ki ga predlaga Komisija</w:t>
            </w:r>
          </w:p>
        </w:tc>
        <w:tc>
          <w:tcPr>
            <w:tcW w:w="4876" w:type="dxa"/>
            <w:hideMark/>
          </w:tcPr>
          <w:p w14:paraId="0E6E597F" w14:textId="2CA42522" w:rsidR="006F5BFE" w:rsidRPr="003B2277" w:rsidRDefault="003B2277" w:rsidP="005B4D60">
            <w:pPr>
              <w:pStyle w:val="ColumnHeading"/>
              <w:keepNext/>
            </w:pPr>
            <w:r>
              <w:t>Sprememba</w:t>
            </w:r>
          </w:p>
        </w:tc>
      </w:tr>
      <w:tr w:rsidR="006F5BFE" w:rsidRPr="003B2277" w14:paraId="0BC16817" w14:textId="77777777" w:rsidTr="005B4D60">
        <w:trPr>
          <w:jc w:val="center"/>
        </w:trPr>
        <w:tc>
          <w:tcPr>
            <w:tcW w:w="4876" w:type="dxa"/>
            <w:hideMark/>
          </w:tcPr>
          <w:p w14:paraId="5EDA47CD" w14:textId="77777777" w:rsidR="006F5BFE" w:rsidRPr="003B2277" w:rsidRDefault="006F5BFE" w:rsidP="005B4D60">
            <w:pPr>
              <w:pStyle w:val="Normal6"/>
            </w:pPr>
            <w:r w:rsidRPr="003B2277">
              <w:t>(1)</w:t>
            </w:r>
            <w:r w:rsidRPr="003B2277">
              <w:tab/>
              <w:t xml:space="preserve">V sporočilu Komisije Evropskemu parlamentu, Svetu, Evropskemu ekonomsko-socialnemu odboru in Odboru regij z dne 29. novembra 2017 z naslovom „Prihodnost preskrbe s hrano in kmetijstva“ so opredeljeni izzivi, cilji in usmeritve skupne kmetijske politike (SKP) po letu 2020. Ti cilji med drugim vključujejo potrebo po SKP, ki bo bolj usmerjena v rezultate, ki bo spodbujala posodabljanje in trajnostnost, vključno z gospodarsko, socialno, okoljsko in podnebno trajnostnostjo kmetijskih, gozdnih in podeželskih območij, </w:t>
            </w:r>
            <w:r w:rsidRPr="003B2277">
              <w:rPr>
                <w:b/>
                <w:i/>
              </w:rPr>
              <w:t>ter</w:t>
            </w:r>
            <w:r w:rsidRPr="003B2277">
              <w:t xml:space="preserve"> prispevala k zmanjšanju zakonodajnega upravnega bremena v Uniji za upravičence.</w:t>
            </w:r>
          </w:p>
        </w:tc>
        <w:tc>
          <w:tcPr>
            <w:tcW w:w="4876" w:type="dxa"/>
            <w:hideMark/>
          </w:tcPr>
          <w:p w14:paraId="77016660" w14:textId="1A964340" w:rsidR="006F5BFE" w:rsidRPr="003B2277" w:rsidRDefault="006F5BFE" w:rsidP="005B4D60">
            <w:pPr>
              <w:pStyle w:val="Normal6"/>
              <w:rPr>
                <w:szCs w:val="24"/>
              </w:rPr>
            </w:pPr>
            <w:r w:rsidRPr="003B2277">
              <w:t>(1)</w:t>
            </w:r>
            <w:r w:rsidRPr="003B2277">
              <w:tab/>
              <w:t>V sporočilu Komisije Evropskemu parlamentu, Svetu, Evropskemu ekonomsko-socialnemu odboru in Odboru regij z dne 29. novembra 2017 z naslovom „Prihodnost preskrbe s hrano in kmetijstva“ so opredeljeni izzivi, cilji in usmeritve skupne kmetijske politike (</w:t>
            </w:r>
            <w:r w:rsidRPr="003B2277">
              <w:rPr>
                <w:b/>
                <w:i/>
              </w:rPr>
              <w:t xml:space="preserve">v nadaljnjem besedilu: </w:t>
            </w:r>
            <w:r w:rsidRPr="003B2277">
              <w:t xml:space="preserve">SKP) po letu 2020. Ti cilji med drugim vključujejo potrebo po SKP, ki bo bolj usmerjena v rezultate, ki bo </w:t>
            </w:r>
            <w:r w:rsidRPr="003B2277">
              <w:rPr>
                <w:b/>
                <w:i/>
              </w:rPr>
              <w:t xml:space="preserve">v skladu z agendo za trajnostni razvoj do leta 2030 in Pariškim sporazumom o podnebnih spremembah </w:t>
            </w:r>
            <w:r w:rsidRPr="003B2277">
              <w:t xml:space="preserve">spodbujala posodabljanje in trajnostnost, vključno z gospodarsko, socialno, okoljsko in podnebno trajnostnostjo kmetijskih, gozdnih in podeželskih območij </w:t>
            </w:r>
            <w:r w:rsidRPr="003B2277">
              <w:rPr>
                <w:b/>
                <w:i/>
              </w:rPr>
              <w:t>(tudi z večjo osredotočenostjo na kmetijsko-gozdarski sektor), zmanjšala razmetavanje s hrano in spodbujala izobraževanje o zdravih prehranjevalnih navadah</w:t>
            </w:r>
            <w:r w:rsidR="000450C5" w:rsidRPr="003B2277">
              <w:rPr>
                <w:b/>
                <w:i/>
              </w:rPr>
              <w:t xml:space="preserve"> </w:t>
            </w:r>
            <w:r w:rsidRPr="003B2277">
              <w:rPr>
                <w:b/>
                <w:i/>
              </w:rPr>
              <w:t>ter</w:t>
            </w:r>
            <w:r w:rsidRPr="003B2277">
              <w:t xml:space="preserve"> </w:t>
            </w:r>
            <w:r w:rsidRPr="003B2277">
              <w:rPr>
                <w:b/>
                <w:i/>
              </w:rPr>
              <w:t>proizvodnjo zdrave hrane</w:t>
            </w:r>
            <w:r w:rsidRPr="003B2277">
              <w:t xml:space="preserve"> in prispevala k zmanjšanju zakonodajnega upravnega bremena v Uniji za upravičence. </w:t>
            </w:r>
            <w:r w:rsidRPr="003B2277">
              <w:rPr>
                <w:b/>
                <w:i/>
              </w:rPr>
              <w:t>V sporočilu je tudi poudarjena globalna razsežnost SKP in izražena zaveza Unije za povečanje skladnosti politik za trajnostni razvoj.</w:t>
            </w:r>
          </w:p>
        </w:tc>
      </w:tr>
    </w:tbl>
    <w:p w14:paraId="15C2ED89" w14:textId="77777777" w:rsidR="006F5BFE" w:rsidRPr="003B2277" w:rsidRDefault="006F5BFE" w:rsidP="006F5BFE"/>
    <w:p w14:paraId="721F5691" w14:textId="303145D2" w:rsidR="006F5BFE" w:rsidRPr="003B2277" w:rsidRDefault="003B2277" w:rsidP="006F5BFE">
      <w:pPr>
        <w:pStyle w:val="AMNumberTabs"/>
        <w:keepNext/>
      </w:pPr>
      <w:r>
        <w:t>Sprememba</w:t>
      </w:r>
      <w:r w:rsidR="006F5BFE" w:rsidRPr="003B2277">
        <w:tab/>
      </w:r>
      <w:r w:rsidR="006F5BFE" w:rsidRPr="003B2277">
        <w:tab/>
        <w:t>2</w:t>
      </w:r>
    </w:p>
    <w:p w14:paraId="3748E28D" w14:textId="77777777" w:rsidR="006F5BFE" w:rsidRPr="003B2277" w:rsidRDefault="006F5BFE" w:rsidP="006F5BFE">
      <w:pPr>
        <w:pStyle w:val="NormalBold12b"/>
      </w:pPr>
      <w:r w:rsidRPr="003B2277">
        <w:t>Predlog uredbe</w:t>
      </w:r>
    </w:p>
    <w:p w14:paraId="02280807" w14:textId="77777777" w:rsidR="006F5BFE" w:rsidRPr="003B2277" w:rsidRDefault="006F5BFE" w:rsidP="006F5BFE">
      <w:pPr>
        <w:pStyle w:val="NormalBold"/>
      </w:pPr>
      <w:r w:rsidRPr="003B2277">
        <w:t>Uvodna izjava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1EDED77" w14:textId="77777777" w:rsidTr="005B4D60">
        <w:trPr>
          <w:jc w:val="center"/>
        </w:trPr>
        <w:tc>
          <w:tcPr>
            <w:tcW w:w="9752" w:type="dxa"/>
            <w:gridSpan w:val="2"/>
          </w:tcPr>
          <w:p w14:paraId="54C8AEFC" w14:textId="77777777" w:rsidR="006F5BFE" w:rsidRPr="003B2277" w:rsidRDefault="006F5BFE" w:rsidP="005B4D60">
            <w:pPr>
              <w:keepNext/>
            </w:pPr>
          </w:p>
        </w:tc>
      </w:tr>
      <w:tr w:rsidR="006F5BFE" w:rsidRPr="003B2277" w14:paraId="35BEB788" w14:textId="77777777" w:rsidTr="005B4D60">
        <w:trPr>
          <w:jc w:val="center"/>
        </w:trPr>
        <w:tc>
          <w:tcPr>
            <w:tcW w:w="4876" w:type="dxa"/>
            <w:hideMark/>
          </w:tcPr>
          <w:p w14:paraId="0FBBB8A3" w14:textId="77777777" w:rsidR="006F5BFE" w:rsidRPr="003B2277" w:rsidRDefault="006F5BFE" w:rsidP="005B4D60">
            <w:pPr>
              <w:pStyle w:val="ColumnHeading"/>
              <w:keepNext/>
            </w:pPr>
            <w:r w:rsidRPr="003B2277">
              <w:t>Besedilo, ki ga predlaga Komisija</w:t>
            </w:r>
          </w:p>
        </w:tc>
        <w:tc>
          <w:tcPr>
            <w:tcW w:w="4876" w:type="dxa"/>
            <w:hideMark/>
          </w:tcPr>
          <w:p w14:paraId="2FA706DA" w14:textId="6D50532A" w:rsidR="006F5BFE" w:rsidRPr="003B2277" w:rsidRDefault="003B2277" w:rsidP="005B4D60">
            <w:pPr>
              <w:pStyle w:val="ColumnHeading"/>
              <w:keepNext/>
            </w:pPr>
            <w:r>
              <w:t>Sprememba</w:t>
            </w:r>
          </w:p>
        </w:tc>
      </w:tr>
      <w:tr w:rsidR="006F5BFE" w:rsidRPr="003B2277" w14:paraId="21138F05" w14:textId="77777777" w:rsidTr="005B4D60">
        <w:trPr>
          <w:jc w:val="center"/>
        </w:trPr>
        <w:tc>
          <w:tcPr>
            <w:tcW w:w="4876" w:type="dxa"/>
          </w:tcPr>
          <w:p w14:paraId="7093AA2E" w14:textId="77777777" w:rsidR="006F5BFE" w:rsidRPr="003B2277" w:rsidRDefault="006F5BFE" w:rsidP="005B4D60">
            <w:pPr>
              <w:pStyle w:val="Normal6"/>
            </w:pPr>
          </w:p>
        </w:tc>
        <w:tc>
          <w:tcPr>
            <w:tcW w:w="4876" w:type="dxa"/>
            <w:hideMark/>
          </w:tcPr>
          <w:p w14:paraId="6BF49561" w14:textId="77777777" w:rsidR="006F5BFE" w:rsidRPr="003B2277" w:rsidRDefault="006F5BFE" w:rsidP="005B4D60">
            <w:pPr>
              <w:pStyle w:val="Normal6"/>
              <w:rPr>
                <w:szCs w:val="24"/>
              </w:rPr>
            </w:pPr>
            <w:r w:rsidRPr="003B2277">
              <w:rPr>
                <w:b/>
                <w:i/>
              </w:rPr>
              <w:t>(1a)</w:t>
            </w:r>
            <w:r w:rsidRPr="003B2277">
              <w:rPr>
                <w:b/>
                <w:i/>
              </w:rPr>
              <w:tab/>
              <w:t xml:space="preserve">Razvoj trgovinskih sporazumov hkrati vodi v povečanje konkurence med kmetijskimi proizvajalci na mednarodni ravni in jim prinaša nove priložnosti. Unija mora za ohranitev lojalne konkurence in zagotovitev vzajemnosti </w:t>
            </w:r>
            <w:r w:rsidRPr="003B2277">
              <w:rPr>
                <w:b/>
                <w:i/>
              </w:rPr>
              <w:lastRenderedPageBreak/>
              <w:t>mednarodnih izmenjav zagotoviti spoštovanje proizvodnih standardov v skladu s tistimi, ki veljajo za njene lastne proizvajalce, zlasti na področju okolja in zdravja, pod pogojem vzajemnosti.</w:t>
            </w:r>
          </w:p>
        </w:tc>
      </w:tr>
    </w:tbl>
    <w:p w14:paraId="06627222" w14:textId="77777777" w:rsidR="006F5BFE" w:rsidRPr="003B2277" w:rsidRDefault="006F5BFE" w:rsidP="006F5BFE"/>
    <w:p w14:paraId="09C1487D" w14:textId="3D937635" w:rsidR="006F5BFE" w:rsidRPr="003B2277" w:rsidRDefault="003B2277" w:rsidP="006F5BFE">
      <w:pPr>
        <w:pStyle w:val="AMNumberTabs"/>
        <w:keepNext/>
      </w:pPr>
      <w:r>
        <w:t>Sprememba</w:t>
      </w:r>
      <w:r w:rsidR="006F5BFE" w:rsidRPr="003B2277">
        <w:tab/>
      </w:r>
      <w:r w:rsidR="006F5BFE" w:rsidRPr="003B2277">
        <w:tab/>
        <w:t>3</w:t>
      </w:r>
    </w:p>
    <w:p w14:paraId="5706977C" w14:textId="77777777" w:rsidR="006F5BFE" w:rsidRPr="003B2277" w:rsidRDefault="006F5BFE" w:rsidP="006F5BFE">
      <w:pPr>
        <w:pStyle w:val="NormalBold12b"/>
      </w:pPr>
      <w:r w:rsidRPr="003B2277">
        <w:t>Predlog uredbe</w:t>
      </w:r>
    </w:p>
    <w:p w14:paraId="32EE531A" w14:textId="77777777" w:rsidR="006F5BFE" w:rsidRPr="003B2277" w:rsidRDefault="006F5BFE" w:rsidP="006F5BFE">
      <w:pPr>
        <w:pStyle w:val="NormalBold"/>
      </w:pPr>
      <w:r w:rsidRPr="003B2277">
        <w:t>Uvodna izjava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AAB07A8" w14:textId="77777777" w:rsidTr="005B4D60">
        <w:trPr>
          <w:jc w:val="center"/>
        </w:trPr>
        <w:tc>
          <w:tcPr>
            <w:tcW w:w="9752" w:type="dxa"/>
            <w:gridSpan w:val="2"/>
          </w:tcPr>
          <w:p w14:paraId="7BF6EB3A" w14:textId="77777777" w:rsidR="006F5BFE" w:rsidRPr="003B2277" w:rsidRDefault="006F5BFE" w:rsidP="005B4D60">
            <w:pPr>
              <w:keepNext/>
            </w:pPr>
          </w:p>
        </w:tc>
      </w:tr>
      <w:tr w:rsidR="006F5BFE" w:rsidRPr="003B2277" w14:paraId="26A535A7" w14:textId="77777777" w:rsidTr="005B4D60">
        <w:trPr>
          <w:jc w:val="center"/>
        </w:trPr>
        <w:tc>
          <w:tcPr>
            <w:tcW w:w="4876" w:type="dxa"/>
            <w:hideMark/>
          </w:tcPr>
          <w:p w14:paraId="1E518DFA" w14:textId="77777777" w:rsidR="006F5BFE" w:rsidRPr="003B2277" w:rsidRDefault="006F5BFE" w:rsidP="005B4D60">
            <w:pPr>
              <w:pStyle w:val="ColumnHeading"/>
              <w:keepNext/>
            </w:pPr>
            <w:r w:rsidRPr="003B2277">
              <w:t>Besedilo, ki ga predlaga Komisija</w:t>
            </w:r>
          </w:p>
        </w:tc>
        <w:tc>
          <w:tcPr>
            <w:tcW w:w="4876" w:type="dxa"/>
            <w:hideMark/>
          </w:tcPr>
          <w:p w14:paraId="39C07069" w14:textId="5D2AA425" w:rsidR="006F5BFE" w:rsidRPr="003B2277" w:rsidRDefault="003B2277" w:rsidP="005B4D60">
            <w:pPr>
              <w:pStyle w:val="ColumnHeading"/>
              <w:keepNext/>
            </w:pPr>
            <w:r>
              <w:t>Sprememba</w:t>
            </w:r>
          </w:p>
        </w:tc>
      </w:tr>
      <w:tr w:rsidR="006F5BFE" w:rsidRPr="003B2277" w14:paraId="65CC2D51" w14:textId="77777777" w:rsidTr="005B4D60">
        <w:trPr>
          <w:jc w:val="center"/>
        </w:trPr>
        <w:tc>
          <w:tcPr>
            <w:tcW w:w="4876" w:type="dxa"/>
            <w:hideMark/>
          </w:tcPr>
          <w:p w14:paraId="2B08026A" w14:textId="77777777" w:rsidR="006F5BFE" w:rsidRPr="003B2277" w:rsidRDefault="006F5BFE" w:rsidP="005B4D60">
            <w:pPr>
              <w:pStyle w:val="Normal6"/>
            </w:pPr>
            <w:r w:rsidRPr="003B2277">
              <w:t>(2)</w:t>
            </w:r>
            <w:r w:rsidRPr="003B2277">
              <w:tab/>
              <w:t xml:space="preserve">Ker mora SKP okrepiti svoje odzivanje na izzive in priložnosti, ki se pojavljajo na ravni Unije, na mednarodni, nacionalni, regionalni in lokalni ravni ter na ravni kmetij, je treba poenostaviti upravljanje SKP, izboljšati izpolnjevanje ciljev Unije in znatno zmanjšati upravno breme. V SKP, ki temelji na zagotavljanju smotrnosti („model izvajanja“), bi Unija morala določiti osnovne parametre politike, kot so cilji SKP in osnovne zahteve, </w:t>
            </w:r>
            <w:r w:rsidRPr="003B2277">
              <w:rPr>
                <w:b/>
                <w:i/>
              </w:rPr>
              <w:t>države članice pa bi morale imeti</w:t>
            </w:r>
            <w:r w:rsidRPr="003B2277">
              <w:t xml:space="preserve"> večjo odgovornost glede tega, kako izpolnjujejo cilje in dosegajo ciljne vrednosti. Okrepljena subsidiarnost omogoča boljše upoštevanje lokalnih razmer in potreb, pri čemer prilagaja podporo, da se prispevek k ciljem Unije čim bolj poveča.</w:t>
            </w:r>
          </w:p>
        </w:tc>
        <w:tc>
          <w:tcPr>
            <w:tcW w:w="4876" w:type="dxa"/>
            <w:hideMark/>
          </w:tcPr>
          <w:p w14:paraId="6D515F91" w14:textId="77777777" w:rsidR="006F5BFE" w:rsidRPr="003B2277" w:rsidRDefault="006F5BFE" w:rsidP="005B4D60">
            <w:pPr>
              <w:pStyle w:val="Normal6"/>
              <w:rPr>
                <w:szCs w:val="24"/>
              </w:rPr>
            </w:pPr>
            <w:r w:rsidRPr="003B2277">
              <w:t>(2)</w:t>
            </w:r>
            <w:r w:rsidRPr="003B2277">
              <w:tab/>
              <w:t xml:space="preserve">Ker mora SKP okrepiti svoje odzivanje na izzive in priložnosti, ki se pojavljajo na ravni Unije, na mednarodni, nacionalni, regionalni in lokalni ravni ter na ravni kmetij, je treba poenostaviti upravljanje SKP, izboljšati izpolnjevanje ciljev Unije in znatno zmanjšati upravno breme. V SKP, ki temelji na zagotavljanju smotrnosti („model izvajanja“), bi Unija morala </w:t>
            </w:r>
            <w:r w:rsidRPr="003B2277">
              <w:rPr>
                <w:b/>
                <w:i/>
              </w:rPr>
              <w:t xml:space="preserve">ob prednostnem osredotočanju na cilj zagotavljanja trajnostnega dohodka za proizvajalce </w:t>
            </w:r>
            <w:r w:rsidRPr="003B2277">
              <w:t xml:space="preserve">določiti osnovne parametre politike, kot so cilji SKP in osnovne zahteve, </w:t>
            </w:r>
            <w:r w:rsidRPr="003B2277">
              <w:rPr>
                <w:b/>
                <w:i/>
              </w:rPr>
              <w:t>medtem ko imajo države članice</w:t>
            </w:r>
            <w:r w:rsidRPr="003B2277">
              <w:t xml:space="preserve"> večjo odgovornost glede tega, kako izpolnjujejo cilje in dosegajo ciljne vrednosti. Okrepljena subsidiarnost omogoča boljše upoštevanje lokalnih razmer in potreb, pri čemer prilagaja podporo, da se prispevek k ciljem Unije čim bolj poveča.</w:t>
            </w:r>
          </w:p>
        </w:tc>
      </w:tr>
    </w:tbl>
    <w:p w14:paraId="73A0CFF6" w14:textId="77777777" w:rsidR="006F5BFE" w:rsidRPr="003B2277" w:rsidRDefault="006F5BFE" w:rsidP="006F5BFE"/>
    <w:p w14:paraId="7B570E3E" w14:textId="47E817ED" w:rsidR="006F5BFE" w:rsidRPr="003B2277" w:rsidRDefault="003B2277" w:rsidP="006F5BFE">
      <w:pPr>
        <w:pStyle w:val="AMNumberTabs"/>
        <w:keepNext/>
      </w:pPr>
      <w:r>
        <w:t>Sprememba</w:t>
      </w:r>
      <w:r w:rsidR="006F5BFE" w:rsidRPr="003B2277">
        <w:tab/>
      </w:r>
      <w:r w:rsidR="006F5BFE" w:rsidRPr="003B2277">
        <w:tab/>
        <w:t>4</w:t>
      </w:r>
    </w:p>
    <w:p w14:paraId="55CA66B8" w14:textId="77777777" w:rsidR="006F5BFE" w:rsidRPr="003B2277" w:rsidRDefault="006F5BFE" w:rsidP="006F5BFE">
      <w:pPr>
        <w:pStyle w:val="NormalBold12b"/>
      </w:pPr>
      <w:r w:rsidRPr="003B2277">
        <w:t>Predlog uredbe</w:t>
      </w:r>
    </w:p>
    <w:p w14:paraId="50D386F8" w14:textId="77777777" w:rsidR="006F5BFE" w:rsidRPr="003B2277" w:rsidRDefault="006F5BFE" w:rsidP="006F5BFE">
      <w:pPr>
        <w:pStyle w:val="NormalBold"/>
      </w:pPr>
      <w:r w:rsidRPr="003B2277">
        <w:t>Uvodna izjava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61FE959" w14:textId="77777777" w:rsidTr="005B4D60">
        <w:trPr>
          <w:jc w:val="center"/>
        </w:trPr>
        <w:tc>
          <w:tcPr>
            <w:tcW w:w="9752" w:type="dxa"/>
            <w:gridSpan w:val="2"/>
          </w:tcPr>
          <w:p w14:paraId="5DEDC809" w14:textId="77777777" w:rsidR="006F5BFE" w:rsidRPr="003B2277" w:rsidRDefault="006F5BFE" w:rsidP="005B4D60">
            <w:pPr>
              <w:keepNext/>
            </w:pPr>
          </w:p>
        </w:tc>
      </w:tr>
      <w:tr w:rsidR="006F5BFE" w:rsidRPr="003B2277" w14:paraId="32B1E9AC" w14:textId="77777777" w:rsidTr="005B4D60">
        <w:trPr>
          <w:jc w:val="center"/>
        </w:trPr>
        <w:tc>
          <w:tcPr>
            <w:tcW w:w="4876" w:type="dxa"/>
            <w:hideMark/>
          </w:tcPr>
          <w:p w14:paraId="1147BA46" w14:textId="77777777" w:rsidR="006F5BFE" w:rsidRPr="003B2277" w:rsidRDefault="006F5BFE" w:rsidP="005B4D60">
            <w:pPr>
              <w:pStyle w:val="ColumnHeading"/>
              <w:keepNext/>
            </w:pPr>
            <w:r w:rsidRPr="003B2277">
              <w:t>Besedilo, ki ga predlaga Komisija</w:t>
            </w:r>
          </w:p>
        </w:tc>
        <w:tc>
          <w:tcPr>
            <w:tcW w:w="4876" w:type="dxa"/>
            <w:hideMark/>
          </w:tcPr>
          <w:p w14:paraId="07C1D917" w14:textId="2DEABBEF" w:rsidR="006F5BFE" w:rsidRPr="003B2277" w:rsidRDefault="003B2277" w:rsidP="005B4D60">
            <w:pPr>
              <w:pStyle w:val="ColumnHeading"/>
              <w:keepNext/>
            </w:pPr>
            <w:r>
              <w:t>Sprememba</w:t>
            </w:r>
          </w:p>
        </w:tc>
      </w:tr>
      <w:tr w:rsidR="006F5BFE" w:rsidRPr="003B2277" w14:paraId="25E8CB54" w14:textId="77777777" w:rsidTr="005B4D60">
        <w:trPr>
          <w:jc w:val="center"/>
        </w:trPr>
        <w:tc>
          <w:tcPr>
            <w:tcW w:w="4876" w:type="dxa"/>
          </w:tcPr>
          <w:p w14:paraId="6E5E4CAA" w14:textId="77777777" w:rsidR="006F5BFE" w:rsidRPr="003B2277" w:rsidRDefault="006F5BFE" w:rsidP="005B4D60">
            <w:pPr>
              <w:pStyle w:val="Normal6"/>
            </w:pPr>
          </w:p>
        </w:tc>
        <w:tc>
          <w:tcPr>
            <w:tcW w:w="4876" w:type="dxa"/>
            <w:hideMark/>
          </w:tcPr>
          <w:p w14:paraId="32B00627" w14:textId="77777777" w:rsidR="006F5BFE" w:rsidRPr="003B2277" w:rsidRDefault="006F5BFE" w:rsidP="005B4D60">
            <w:pPr>
              <w:pStyle w:val="Normal6"/>
              <w:rPr>
                <w:szCs w:val="24"/>
              </w:rPr>
            </w:pPr>
            <w:r w:rsidRPr="003B2277">
              <w:rPr>
                <w:b/>
                <w:i/>
              </w:rPr>
              <w:t>(2a)</w:t>
            </w:r>
            <w:r w:rsidRPr="003B2277">
              <w:rPr>
                <w:b/>
                <w:i/>
              </w:rPr>
              <w:tab/>
              <w:t>Vendar zaradi vse večjega nihanja cen in upada prihodkov kmetov, kar je še zaostrila osredotočenost SKP na trge, nastaja potreba po oblikovanju novih javnih instrumentov za uravnavanje ponudbe, ki zagotavljajo pravično razporejanje proizvodnje med državami in kmeti.</w:t>
            </w:r>
          </w:p>
        </w:tc>
      </w:tr>
    </w:tbl>
    <w:p w14:paraId="6ECD2217" w14:textId="77777777" w:rsidR="006F5BFE" w:rsidRPr="003B2277" w:rsidRDefault="006F5BFE" w:rsidP="006F5BFE"/>
    <w:p w14:paraId="4EA1BE9F" w14:textId="21389BB0" w:rsidR="006F5BFE" w:rsidRPr="003B2277" w:rsidRDefault="003B2277" w:rsidP="006F5BFE">
      <w:pPr>
        <w:pStyle w:val="AMNumberTabs"/>
      </w:pPr>
      <w:r>
        <w:t>Sprememba</w:t>
      </w:r>
      <w:r w:rsidR="006F5BFE" w:rsidRPr="003B2277">
        <w:tab/>
      </w:r>
      <w:r w:rsidR="006F5BFE" w:rsidRPr="003B2277">
        <w:tab/>
        <w:t>5</w:t>
      </w:r>
    </w:p>
    <w:p w14:paraId="2E1AB3C1" w14:textId="77777777" w:rsidR="006F5BFE" w:rsidRPr="003B2277" w:rsidRDefault="006F5BFE" w:rsidP="006F5BFE">
      <w:pPr>
        <w:pStyle w:val="NormalBold12b"/>
      </w:pPr>
      <w:r w:rsidRPr="003B2277">
        <w:t>Predlog uredbe</w:t>
      </w:r>
    </w:p>
    <w:p w14:paraId="516EAC5C" w14:textId="77777777" w:rsidR="006F5BFE" w:rsidRPr="003B2277" w:rsidRDefault="006F5BFE" w:rsidP="006F5BFE">
      <w:pPr>
        <w:pStyle w:val="NormalBold"/>
      </w:pPr>
      <w:r w:rsidRPr="003B2277">
        <w:t>Uvodna izjava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F89AE03" w14:textId="77777777" w:rsidTr="005B4D60">
        <w:trPr>
          <w:trHeight w:hRule="exact" w:val="240"/>
          <w:jc w:val="center"/>
        </w:trPr>
        <w:tc>
          <w:tcPr>
            <w:tcW w:w="9752" w:type="dxa"/>
            <w:gridSpan w:val="2"/>
          </w:tcPr>
          <w:p w14:paraId="1DD71692" w14:textId="77777777" w:rsidR="006F5BFE" w:rsidRPr="003B2277" w:rsidRDefault="006F5BFE" w:rsidP="005B4D60"/>
        </w:tc>
      </w:tr>
      <w:tr w:rsidR="006F5BFE" w:rsidRPr="003B2277" w14:paraId="5B873298" w14:textId="77777777" w:rsidTr="005B4D60">
        <w:trPr>
          <w:trHeight w:val="240"/>
          <w:jc w:val="center"/>
        </w:trPr>
        <w:tc>
          <w:tcPr>
            <w:tcW w:w="4876" w:type="dxa"/>
          </w:tcPr>
          <w:p w14:paraId="3FE5942A" w14:textId="77777777" w:rsidR="006F5BFE" w:rsidRPr="003B2277" w:rsidRDefault="006F5BFE" w:rsidP="005B4D60">
            <w:pPr>
              <w:pStyle w:val="ColumnHeading"/>
            </w:pPr>
            <w:r w:rsidRPr="003B2277">
              <w:t>Besedilo, ki ga predlaga Komisija</w:t>
            </w:r>
          </w:p>
        </w:tc>
        <w:tc>
          <w:tcPr>
            <w:tcW w:w="4876" w:type="dxa"/>
          </w:tcPr>
          <w:p w14:paraId="6571D863" w14:textId="13B97CF1" w:rsidR="006F5BFE" w:rsidRPr="003B2277" w:rsidRDefault="003B2277" w:rsidP="005B4D60">
            <w:pPr>
              <w:pStyle w:val="ColumnHeading"/>
            </w:pPr>
            <w:r>
              <w:t>Sprememba</w:t>
            </w:r>
          </w:p>
        </w:tc>
      </w:tr>
      <w:tr w:rsidR="006F5BFE" w:rsidRPr="003B2277" w14:paraId="08A10FE7" w14:textId="77777777" w:rsidTr="005B4D60">
        <w:trPr>
          <w:jc w:val="center"/>
        </w:trPr>
        <w:tc>
          <w:tcPr>
            <w:tcW w:w="4876" w:type="dxa"/>
          </w:tcPr>
          <w:p w14:paraId="6CACC8E2" w14:textId="77777777" w:rsidR="006F5BFE" w:rsidRPr="003B2277" w:rsidRDefault="006F5BFE" w:rsidP="005B4D60">
            <w:pPr>
              <w:pStyle w:val="Normal6"/>
            </w:pPr>
            <w:r w:rsidRPr="003B2277">
              <w:t>(3)</w:t>
            </w:r>
            <w:r w:rsidRPr="003B2277">
              <w:tab/>
              <w:t xml:space="preserve">Za zagotovitev skladnosti SKP bi morale </w:t>
            </w:r>
            <w:r w:rsidRPr="003B2277">
              <w:rPr>
                <w:b/>
                <w:i/>
              </w:rPr>
              <w:t xml:space="preserve">biti </w:t>
            </w:r>
            <w:r w:rsidRPr="003B2277">
              <w:t>vse intervencije prihodnje SKP del načrta strateške podpore, ki bi vključeval nekatere sektorske intervencije, določene v Uredbi (EU) št.</w:t>
            </w:r>
            <w:r w:rsidRPr="003B2277">
              <w:rPr>
                <w:b/>
                <w:i/>
              </w:rPr>
              <w:t> </w:t>
            </w:r>
            <w:r w:rsidRPr="003B2277">
              <w:t>1308/2013 Evropskega parlamenta in Sveta</w:t>
            </w:r>
            <w:r w:rsidRPr="003B2277">
              <w:rPr>
                <w:vertAlign w:val="superscript"/>
              </w:rPr>
              <w:t>10</w:t>
            </w:r>
            <w:r w:rsidRPr="003B2277">
              <w:t>.</w:t>
            </w:r>
          </w:p>
        </w:tc>
        <w:tc>
          <w:tcPr>
            <w:tcW w:w="4876" w:type="dxa"/>
          </w:tcPr>
          <w:p w14:paraId="3BA373DF" w14:textId="77777777" w:rsidR="006F5BFE" w:rsidRPr="003B2277" w:rsidRDefault="006F5BFE" w:rsidP="005B4D60">
            <w:pPr>
              <w:pStyle w:val="Normal6"/>
            </w:pPr>
            <w:r w:rsidRPr="003B2277">
              <w:t>(3)</w:t>
            </w:r>
            <w:r w:rsidRPr="003B2277">
              <w:tab/>
              <w:t>Za zagotovitev skladnosti SKP bi morale vse intervencije prihodnje SKP</w:t>
            </w:r>
            <w:r w:rsidRPr="003B2277">
              <w:rPr>
                <w:b/>
                <w:i/>
              </w:rPr>
              <w:t xml:space="preserve"> spoštovati načela trajnostnega razvoja, enakost spolov in temeljne pravice ter biti</w:t>
            </w:r>
            <w:r w:rsidRPr="003B2277">
              <w:t xml:space="preserve"> del načrta strateške podpore, ki bi vključeval nekatere sektorske intervencije, določene v Uredbi (EU) št.</w:t>
            </w:r>
            <w:r w:rsidRPr="003B2277">
              <w:rPr>
                <w:b/>
                <w:i/>
              </w:rPr>
              <w:t xml:space="preserve"> </w:t>
            </w:r>
            <w:r w:rsidRPr="003B2277">
              <w:t>1308/2013 Evropskega parlamenta in Sveta</w:t>
            </w:r>
            <w:r w:rsidRPr="003B2277">
              <w:rPr>
                <w:vertAlign w:val="superscript"/>
              </w:rPr>
              <w:t>10</w:t>
            </w:r>
            <w:r w:rsidRPr="003B2277">
              <w:t>.</w:t>
            </w:r>
          </w:p>
        </w:tc>
      </w:tr>
      <w:tr w:rsidR="006F5BFE" w:rsidRPr="003B2277" w14:paraId="015BB1D0" w14:textId="77777777" w:rsidTr="005B4D60">
        <w:trPr>
          <w:jc w:val="center"/>
        </w:trPr>
        <w:tc>
          <w:tcPr>
            <w:tcW w:w="4876" w:type="dxa"/>
          </w:tcPr>
          <w:p w14:paraId="25EBB4E3" w14:textId="77777777" w:rsidR="006F5BFE" w:rsidRPr="003B2277" w:rsidRDefault="006F5BFE" w:rsidP="005B4D60">
            <w:pPr>
              <w:pStyle w:val="Normal6"/>
            </w:pPr>
            <w:r w:rsidRPr="003B2277">
              <w:t>_________________</w:t>
            </w:r>
          </w:p>
        </w:tc>
        <w:tc>
          <w:tcPr>
            <w:tcW w:w="4876" w:type="dxa"/>
          </w:tcPr>
          <w:p w14:paraId="5E872322" w14:textId="77777777" w:rsidR="006F5BFE" w:rsidRPr="003B2277" w:rsidRDefault="006F5BFE" w:rsidP="005B4D60">
            <w:pPr>
              <w:pStyle w:val="Normal6"/>
            </w:pPr>
            <w:r w:rsidRPr="003B2277">
              <w:t>_________________</w:t>
            </w:r>
          </w:p>
        </w:tc>
      </w:tr>
      <w:tr w:rsidR="006F5BFE" w:rsidRPr="003B2277" w14:paraId="33D0E457" w14:textId="77777777" w:rsidTr="005B4D60">
        <w:trPr>
          <w:jc w:val="center"/>
        </w:trPr>
        <w:tc>
          <w:tcPr>
            <w:tcW w:w="4876" w:type="dxa"/>
          </w:tcPr>
          <w:p w14:paraId="35C11F9A" w14:textId="77777777" w:rsidR="006F5BFE" w:rsidRPr="003B2277" w:rsidRDefault="006F5BFE" w:rsidP="005B4D60">
            <w:pPr>
              <w:pStyle w:val="Normal6"/>
            </w:pPr>
            <w:r w:rsidRPr="003B2277">
              <w:rPr>
                <w:vertAlign w:val="superscript"/>
              </w:rPr>
              <w:t>10</w:t>
            </w:r>
            <w:r w:rsidRPr="003B2277">
              <w:t xml:space="preserve"> Uredba (EU) št. 1308/2013 Evropskega parlamenta in Sveta z dne 17. decembra 2013 o vzpostavitvi skupne ureditve trgov kmetijskih proizvodov in razveljavitvi uredb Sveta (EGS) št. 922/72, (EGS) št. 234/79, (ES) št. 1037/2001 in (ES) št. 1234/2007 (UL L 347, 20.12.2013, str. 671).</w:t>
            </w:r>
          </w:p>
        </w:tc>
        <w:tc>
          <w:tcPr>
            <w:tcW w:w="4876" w:type="dxa"/>
          </w:tcPr>
          <w:p w14:paraId="4CE622C6" w14:textId="77777777" w:rsidR="006F5BFE" w:rsidRPr="003B2277" w:rsidRDefault="006F5BFE" w:rsidP="005B4D60">
            <w:pPr>
              <w:pStyle w:val="Normal6"/>
            </w:pPr>
            <w:r w:rsidRPr="003B2277">
              <w:rPr>
                <w:vertAlign w:val="superscript"/>
              </w:rPr>
              <w:t>10</w:t>
            </w:r>
            <w:r w:rsidRPr="003B2277">
              <w:t xml:space="preserve"> Uredba (EU) št. 1308/2013 Evropskega parlamenta in Sveta z dne 17. decembra 2013 o vzpostavitvi skupne ureditve trgov kmetijskih proizvodov in razveljavitvi uredb Sveta (EGS) št. 922/72, (EGS) št. 234/79, (ES) št. 1037/2001 in (ES) št. 1234/2007 (UL L 347, 20.12.2013, str. 671).</w:t>
            </w:r>
          </w:p>
        </w:tc>
      </w:tr>
    </w:tbl>
    <w:p w14:paraId="6FD4B259" w14:textId="77777777" w:rsidR="006F5BFE" w:rsidRPr="003B2277" w:rsidRDefault="006F5BFE" w:rsidP="006F5BFE"/>
    <w:p w14:paraId="4DCAEAE1" w14:textId="2C7F8166" w:rsidR="006F5BFE" w:rsidRPr="003B2277" w:rsidRDefault="003B2277" w:rsidP="006F5BFE">
      <w:pPr>
        <w:pStyle w:val="AMNumberTabs"/>
        <w:keepNext/>
      </w:pPr>
      <w:r>
        <w:t>Sprememba</w:t>
      </w:r>
      <w:r w:rsidR="006F5BFE" w:rsidRPr="003B2277">
        <w:tab/>
      </w:r>
      <w:r w:rsidR="006F5BFE" w:rsidRPr="003B2277">
        <w:tab/>
        <w:t>6</w:t>
      </w:r>
    </w:p>
    <w:p w14:paraId="7CA19EF7" w14:textId="77777777" w:rsidR="006F5BFE" w:rsidRPr="003B2277" w:rsidRDefault="006F5BFE" w:rsidP="006F5BFE">
      <w:pPr>
        <w:pStyle w:val="NormalBold12b"/>
      </w:pPr>
      <w:r w:rsidRPr="003B2277">
        <w:t>Predlog uredbe</w:t>
      </w:r>
    </w:p>
    <w:p w14:paraId="5F5C52C7" w14:textId="77777777" w:rsidR="006F5BFE" w:rsidRPr="003B2277" w:rsidRDefault="006F5BFE" w:rsidP="006F5BFE">
      <w:pPr>
        <w:pStyle w:val="NormalBold"/>
      </w:pPr>
      <w:r w:rsidRPr="003B2277">
        <w:t>Uvodna izjava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8F21C0E" w14:textId="77777777" w:rsidTr="005B4D60">
        <w:trPr>
          <w:jc w:val="center"/>
        </w:trPr>
        <w:tc>
          <w:tcPr>
            <w:tcW w:w="9752" w:type="dxa"/>
            <w:gridSpan w:val="2"/>
          </w:tcPr>
          <w:p w14:paraId="73E08F9B" w14:textId="77777777" w:rsidR="006F5BFE" w:rsidRPr="003B2277" w:rsidRDefault="006F5BFE" w:rsidP="005B4D60">
            <w:pPr>
              <w:keepNext/>
            </w:pPr>
          </w:p>
        </w:tc>
      </w:tr>
      <w:tr w:rsidR="006F5BFE" w:rsidRPr="003B2277" w14:paraId="39874BB2" w14:textId="77777777" w:rsidTr="005B4D60">
        <w:trPr>
          <w:jc w:val="center"/>
        </w:trPr>
        <w:tc>
          <w:tcPr>
            <w:tcW w:w="4876" w:type="dxa"/>
            <w:hideMark/>
          </w:tcPr>
          <w:p w14:paraId="4B2B0A8B" w14:textId="77777777" w:rsidR="006F5BFE" w:rsidRPr="003B2277" w:rsidRDefault="006F5BFE" w:rsidP="005B4D60">
            <w:pPr>
              <w:pStyle w:val="ColumnHeading"/>
              <w:keepNext/>
            </w:pPr>
            <w:r w:rsidRPr="003B2277">
              <w:t>Besedilo, ki ga predlaga Komisija</w:t>
            </w:r>
          </w:p>
        </w:tc>
        <w:tc>
          <w:tcPr>
            <w:tcW w:w="4876" w:type="dxa"/>
            <w:hideMark/>
          </w:tcPr>
          <w:p w14:paraId="4D405EF2" w14:textId="3293DF73" w:rsidR="006F5BFE" w:rsidRPr="003B2277" w:rsidRDefault="003B2277" w:rsidP="005B4D60">
            <w:pPr>
              <w:pStyle w:val="ColumnHeading"/>
              <w:keepNext/>
            </w:pPr>
            <w:r>
              <w:t>Sprememba</w:t>
            </w:r>
          </w:p>
        </w:tc>
      </w:tr>
      <w:tr w:rsidR="006F5BFE" w:rsidRPr="003B2277" w14:paraId="646C8BDC" w14:textId="77777777" w:rsidTr="005B4D60">
        <w:trPr>
          <w:jc w:val="center"/>
        </w:trPr>
        <w:tc>
          <w:tcPr>
            <w:tcW w:w="4876" w:type="dxa"/>
          </w:tcPr>
          <w:p w14:paraId="166FC714" w14:textId="77777777" w:rsidR="006F5BFE" w:rsidRPr="003B2277" w:rsidRDefault="006F5BFE" w:rsidP="005B4D60">
            <w:pPr>
              <w:pStyle w:val="Normal6"/>
            </w:pPr>
          </w:p>
        </w:tc>
        <w:tc>
          <w:tcPr>
            <w:tcW w:w="4876" w:type="dxa"/>
            <w:hideMark/>
          </w:tcPr>
          <w:p w14:paraId="593514D1" w14:textId="77777777" w:rsidR="006F5BFE" w:rsidRPr="003B2277" w:rsidRDefault="006F5BFE" w:rsidP="005B4D60">
            <w:pPr>
              <w:pStyle w:val="Normal6"/>
              <w:rPr>
                <w:szCs w:val="24"/>
              </w:rPr>
            </w:pPr>
            <w:r w:rsidRPr="003B2277">
              <w:rPr>
                <w:b/>
                <w:i/>
              </w:rPr>
              <w:t>(3a)</w:t>
            </w:r>
            <w:r w:rsidRPr="003B2277">
              <w:rPr>
                <w:b/>
                <w:i/>
              </w:rPr>
              <w:tab/>
              <w:t>Da bi dali vsebino ciljem SKP, kot so določeni v členu 39 Pogodbe o delovanju Evropske unije (PDEU), in zagotovili, da Unija ustrezno obravnava najnovejše izzive, s katerimi se srečuje, je primerno, da se določi niz splošnih ciljev, pri katerih so upoštevane usmeritve, podane v sporočilu z naslovom Prihodnost preskrbe s hrano in kmetijstva. Brez poseganja v posebne cilje, določene v okviru strateških načrtov SKP, bi bilo treba med drugim določiti tudi niz dodatnih posebnih ciljev za skupno ureditev kmetijskih trgov.</w:t>
            </w:r>
          </w:p>
        </w:tc>
      </w:tr>
    </w:tbl>
    <w:p w14:paraId="26F20678" w14:textId="77777777" w:rsidR="006F5BFE" w:rsidRPr="003B2277" w:rsidRDefault="006F5BFE" w:rsidP="006F5BFE"/>
    <w:p w14:paraId="2DEEE52A" w14:textId="6DF01DDC" w:rsidR="006F5BFE" w:rsidRPr="003B2277" w:rsidRDefault="003B2277" w:rsidP="006F5BFE">
      <w:pPr>
        <w:pStyle w:val="AMNumberTabs"/>
        <w:keepNext/>
      </w:pPr>
      <w:r>
        <w:t>Sprememba</w:t>
      </w:r>
      <w:r w:rsidR="006F5BFE" w:rsidRPr="003B2277">
        <w:tab/>
      </w:r>
      <w:r w:rsidR="006F5BFE" w:rsidRPr="003B2277">
        <w:tab/>
        <w:t>7</w:t>
      </w:r>
    </w:p>
    <w:p w14:paraId="40DA3F3E" w14:textId="77777777" w:rsidR="006F5BFE" w:rsidRPr="003B2277" w:rsidRDefault="006F5BFE" w:rsidP="006F5BFE">
      <w:pPr>
        <w:pStyle w:val="NormalBold12b"/>
      </w:pPr>
      <w:r w:rsidRPr="003B2277">
        <w:t>Predlog uredbe</w:t>
      </w:r>
    </w:p>
    <w:p w14:paraId="0FB91634" w14:textId="77777777" w:rsidR="006F5BFE" w:rsidRPr="003B2277" w:rsidRDefault="006F5BFE" w:rsidP="006F5BFE">
      <w:pPr>
        <w:pStyle w:val="NormalBold"/>
      </w:pPr>
      <w:r w:rsidRPr="003B2277">
        <w:t>Uvodna izjava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263E43E" w14:textId="77777777" w:rsidTr="005B4D60">
        <w:trPr>
          <w:jc w:val="center"/>
        </w:trPr>
        <w:tc>
          <w:tcPr>
            <w:tcW w:w="9752" w:type="dxa"/>
            <w:gridSpan w:val="2"/>
          </w:tcPr>
          <w:p w14:paraId="4A9572DA" w14:textId="77777777" w:rsidR="006F5BFE" w:rsidRPr="003B2277" w:rsidRDefault="006F5BFE" w:rsidP="005B4D60">
            <w:pPr>
              <w:keepNext/>
            </w:pPr>
          </w:p>
        </w:tc>
      </w:tr>
      <w:tr w:rsidR="006F5BFE" w:rsidRPr="003B2277" w14:paraId="6A5DD193" w14:textId="77777777" w:rsidTr="005B4D60">
        <w:trPr>
          <w:jc w:val="center"/>
        </w:trPr>
        <w:tc>
          <w:tcPr>
            <w:tcW w:w="4876" w:type="dxa"/>
            <w:hideMark/>
          </w:tcPr>
          <w:p w14:paraId="2D381091" w14:textId="77777777" w:rsidR="006F5BFE" w:rsidRPr="003B2277" w:rsidRDefault="006F5BFE" w:rsidP="005B4D60">
            <w:pPr>
              <w:pStyle w:val="ColumnHeading"/>
              <w:keepNext/>
            </w:pPr>
            <w:r w:rsidRPr="003B2277">
              <w:t>Besedilo, ki ga predlaga Komisija</w:t>
            </w:r>
          </w:p>
        </w:tc>
        <w:tc>
          <w:tcPr>
            <w:tcW w:w="4876" w:type="dxa"/>
            <w:hideMark/>
          </w:tcPr>
          <w:p w14:paraId="5AE04FAF" w14:textId="2FB66E05" w:rsidR="006F5BFE" w:rsidRPr="003B2277" w:rsidRDefault="003B2277" w:rsidP="005B4D60">
            <w:pPr>
              <w:pStyle w:val="ColumnHeading"/>
              <w:keepNext/>
            </w:pPr>
            <w:r>
              <w:t>Sprememba</w:t>
            </w:r>
          </w:p>
        </w:tc>
      </w:tr>
      <w:tr w:rsidR="006F5BFE" w:rsidRPr="003B2277" w14:paraId="19CD99E3" w14:textId="77777777" w:rsidTr="005B4D60">
        <w:trPr>
          <w:jc w:val="center"/>
        </w:trPr>
        <w:tc>
          <w:tcPr>
            <w:tcW w:w="4876" w:type="dxa"/>
            <w:hideMark/>
          </w:tcPr>
          <w:p w14:paraId="2C3DEEE9" w14:textId="77777777" w:rsidR="006F5BFE" w:rsidRPr="003B2277" w:rsidRDefault="006F5BFE" w:rsidP="005B4D60">
            <w:pPr>
              <w:pStyle w:val="Normal6"/>
            </w:pPr>
            <w:r w:rsidRPr="003B2277">
              <w:t>(4)</w:t>
            </w:r>
            <w:r w:rsidRPr="003B2277">
              <w:tab/>
              <w:t xml:space="preserve">Priloga II k Uredbi (EU) št. 1308/2013 določa nekatere opredelitve v zvezi s sektorji, ki spadajo na področje uporabe navedene uredbe. Opredelitve pojmov v zvezi s sektorjem sladkorja iz oddelka B dela II navedene priloge pa bi bilo treba črtati, ker se ne uporabljajo več. Za posodobitev opredelitve pojmov, ki se nanašajo na druge sektorje iz navedene priloge, glede na nova znanstvena spoznanja ali gibanja na trgu je treba v zvezi s </w:t>
            </w:r>
            <w:r w:rsidRPr="003B2277">
              <w:rPr>
                <w:b/>
                <w:i/>
              </w:rPr>
              <w:t>spremembo</w:t>
            </w:r>
            <w:r w:rsidRPr="003B2277">
              <w:t xml:space="preserve"> navedenih opredelitev na Komisijo prenesti pooblastilo za sprejemanje aktov v skladu s členom 290 Pogodbe o delovanju Evropske unije. Zlasti je pomembno, da Komisija pri svojem pripravljalnem delu opravi ustrezna posvetovanja, tudi s strokovnjaki. Komisija bi morala pri pripravi in oblikovanju delegiranih aktov zagotoviti, da so ustrezni dokumenti Evropskemu parlamentu in Svetu predloženi sočasno, pravočasno in na ustrezen način. Zato bi bilo treba posebno pooblastilo za Komisijo o spremembi opredelitve inulinskega sirupa iz točke 4 oddelka A dela II navedene priloge črtati.</w:t>
            </w:r>
          </w:p>
        </w:tc>
        <w:tc>
          <w:tcPr>
            <w:tcW w:w="4876" w:type="dxa"/>
            <w:hideMark/>
          </w:tcPr>
          <w:p w14:paraId="5F0339CF" w14:textId="77777777" w:rsidR="006F5BFE" w:rsidRPr="003B2277" w:rsidRDefault="006F5BFE" w:rsidP="005B4D60">
            <w:pPr>
              <w:pStyle w:val="Normal6"/>
              <w:rPr>
                <w:szCs w:val="24"/>
              </w:rPr>
            </w:pPr>
            <w:r w:rsidRPr="003B2277">
              <w:t>(4)</w:t>
            </w:r>
            <w:r w:rsidRPr="003B2277">
              <w:tab/>
              <w:t xml:space="preserve">Priloga II k Uredbi (EU) št. 1308/2013 določa nekatere opredelitve v zvezi s sektorji, ki spadajo na področje uporabe navedene uredbe. Opredelitve pojmov v zvezi s sektorjem sladkorja iz oddelka B dela II navedene priloge pa bi bilo treba črtati, ker se ne uporabljajo več. Za posodobitev opredelitve pojmov, ki se nanašajo na druge sektorje iz navedene priloge, glede na nova znanstvena spoznanja ali gibanja na trgu je treba v zvezi s </w:t>
            </w:r>
            <w:r w:rsidRPr="003B2277">
              <w:rPr>
                <w:b/>
                <w:i/>
              </w:rPr>
              <w:t>posodobitvijo</w:t>
            </w:r>
            <w:r w:rsidRPr="003B2277">
              <w:t xml:space="preserve"> navedenih opredelitev</w:t>
            </w:r>
            <w:r w:rsidRPr="003B2277">
              <w:rPr>
                <w:b/>
                <w:i/>
              </w:rPr>
              <w:t>, ne da bi se pri tem dodajale nove,</w:t>
            </w:r>
            <w:r w:rsidRPr="003B2277">
              <w:t xml:space="preserve"> na Komisijo prenesti pooblastilo za sprejemanje aktov v skladu s členom 290 Pogodbe o delovanju Evropske unije. Zlasti je pomembno, da Komisija pri svojem pripravljalnem delu opravi ustrezna posvetovanja, tudi s strokovnjaki. Komisija bi morala pri pripravi in oblikovanju delegiranih aktov zagotoviti, da so ustrezni dokumenti Evropskemu parlamentu in Svetu predloženi sočasno, pravočasno in na ustrezen način. Zato bi bilo treba posebno pooblastilo za Komisijo o spremembi opredelitve inulinskega sirupa iz točke 4 oddelka A dela II navedene priloge črtati.</w:t>
            </w:r>
          </w:p>
        </w:tc>
      </w:tr>
    </w:tbl>
    <w:p w14:paraId="70575FAF" w14:textId="77777777" w:rsidR="006F5BFE" w:rsidRPr="003B2277" w:rsidRDefault="006F5BFE" w:rsidP="006F5BFE"/>
    <w:p w14:paraId="62FEAF83" w14:textId="04A77B47" w:rsidR="006F5BFE" w:rsidRPr="003B2277" w:rsidRDefault="003B2277" w:rsidP="006F5BFE">
      <w:pPr>
        <w:pStyle w:val="AMNumberTabs"/>
        <w:keepNext/>
      </w:pPr>
      <w:r>
        <w:t>Sprememba</w:t>
      </w:r>
      <w:r w:rsidR="006F5BFE" w:rsidRPr="003B2277">
        <w:tab/>
      </w:r>
      <w:r w:rsidR="006F5BFE" w:rsidRPr="003B2277">
        <w:tab/>
        <w:t>8</w:t>
      </w:r>
    </w:p>
    <w:p w14:paraId="5FA02701" w14:textId="77777777" w:rsidR="006F5BFE" w:rsidRPr="003B2277" w:rsidRDefault="006F5BFE" w:rsidP="006F5BFE">
      <w:pPr>
        <w:pStyle w:val="NormalBold12b"/>
      </w:pPr>
      <w:r w:rsidRPr="003B2277">
        <w:t>Predlog uredbe</w:t>
      </w:r>
    </w:p>
    <w:p w14:paraId="1E053937" w14:textId="77777777" w:rsidR="006F5BFE" w:rsidRPr="003B2277" w:rsidRDefault="006F5BFE" w:rsidP="006F5BFE">
      <w:pPr>
        <w:pStyle w:val="NormalBold"/>
      </w:pPr>
      <w:r w:rsidRPr="003B2277">
        <w:t>Uvodna izjava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6043643" w14:textId="77777777" w:rsidTr="005B4D60">
        <w:trPr>
          <w:jc w:val="center"/>
        </w:trPr>
        <w:tc>
          <w:tcPr>
            <w:tcW w:w="9752" w:type="dxa"/>
            <w:gridSpan w:val="2"/>
          </w:tcPr>
          <w:p w14:paraId="4970C361" w14:textId="77777777" w:rsidR="006F5BFE" w:rsidRPr="003B2277" w:rsidRDefault="006F5BFE" w:rsidP="005B4D60">
            <w:pPr>
              <w:keepNext/>
            </w:pPr>
          </w:p>
        </w:tc>
      </w:tr>
      <w:tr w:rsidR="006F5BFE" w:rsidRPr="003B2277" w14:paraId="67EA03A6" w14:textId="77777777" w:rsidTr="005B4D60">
        <w:trPr>
          <w:jc w:val="center"/>
        </w:trPr>
        <w:tc>
          <w:tcPr>
            <w:tcW w:w="4876" w:type="dxa"/>
            <w:hideMark/>
          </w:tcPr>
          <w:p w14:paraId="6AA24988" w14:textId="77777777" w:rsidR="006F5BFE" w:rsidRPr="003B2277" w:rsidRDefault="006F5BFE" w:rsidP="005B4D60">
            <w:pPr>
              <w:pStyle w:val="ColumnHeading"/>
              <w:keepNext/>
            </w:pPr>
            <w:r w:rsidRPr="003B2277">
              <w:t>Besedilo, ki ga predlaga Komisija</w:t>
            </w:r>
          </w:p>
        </w:tc>
        <w:tc>
          <w:tcPr>
            <w:tcW w:w="4876" w:type="dxa"/>
            <w:hideMark/>
          </w:tcPr>
          <w:p w14:paraId="6EEBD227" w14:textId="283114E2" w:rsidR="006F5BFE" w:rsidRPr="003B2277" w:rsidRDefault="003B2277" w:rsidP="005B4D60">
            <w:pPr>
              <w:pStyle w:val="ColumnHeading"/>
              <w:keepNext/>
            </w:pPr>
            <w:r>
              <w:t>Sprememba</w:t>
            </w:r>
          </w:p>
        </w:tc>
      </w:tr>
      <w:tr w:rsidR="006F5BFE" w:rsidRPr="003B2277" w14:paraId="36F51637" w14:textId="77777777" w:rsidTr="005B4D60">
        <w:trPr>
          <w:jc w:val="center"/>
        </w:trPr>
        <w:tc>
          <w:tcPr>
            <w:tcW w:w="4876" w:type="dxa"/>
            <w:hideMark/>
          </w:tcPr>
          <w:p w14:paraId="179ADD49" w14:textId="77777777" w:rsidR="006F5BFE" w:rsidRPr="003B2277" w:rsidRDefault="006F5BFE" w:rsidP="005B4D60">
            <w:pPr>
              <w:pStyle w:val="Normal6"/>
            </w:pPr>
            <w:r w:rsidRPr="003B2277">
              <w:t>(8)</w:t>
            </w:r>
            <w:r w:rsidRPr="003B2277">
              <w:tab/>
            </w:r>
            <w:r w:rsidRPr="003B2277">
              <w:rPr>
                <w:b/>
                <w:i/>
              </w:rPr>
              <w:t>Zaradi zmanjšanja</w:t>
            </w:r>
            <w:r w:rsidRPr="003B2277">
              <w:t xml:space="preserve"> površine, dejansko zasajene z vinsko trto, v več državah članicah v letih 2014–2017 in zaradi možnega posledičnega zmanjšanja proizvodnje</w:t>
            </w:r>
            <w:r w:rsidRPr="003B2277">
              <w:rPr>
                <w:b/>
                <w:i/>
              </w:rPr>
              <w:t xml:space="preserve"> bi bilo treba</w:t>
            </w:r>
            <w:r w:rsidRPr="003B2277">
              <w:t xml:space="preserve"> državam članicam omogočiti, da pri določitvi območja za dovoljenja za nove nasade iz člena 63(1) Uredbe (EU) št. 1308/2013 izberejo med obstoječo podlago in odstotkom skupne površine, dejansko zasajene z vinsko trto na njihovem ozemlju 31. julija 2015, ki se poveča za površino, ki ustreza pravicam do zasaditve na podlagi Uredbe (ES) št. 1234/2007, ki so na voljo za pretvorbo v dovoljenja v zadevni državi članici 1. januarja 2016.</w:t>
            </w:r>
          </w:p>
        </w:tc>
        <w:tc>
          <w:tcPr>
            <w:tcW w:w="4876" w:type="dxa"/>
            <w:hideMark/>
          </w:tcPr>
          <w:p w14:paraId="2B27F52A" w14:textId="77777777" w:rsidR="006F5BFE" w:rsidRPr="003B2277" w:rsidRDefault="006F5BFE" w:rsidP="005B4D60">
            <w:pPr>
              <w:pStyle w:val="Normal6"/>
              <w:rPr>
                <w:szCs w:val="24"/>
              </w:rPr>
            </w:pPr>
            <w:r w:rsidRPr="003B2277">
              <w:t>(8)</w:t>
            </w:r>
            <w:r w:rsidRPr="003B2277">
              <w:tab/>
            </w:r>
            <w:r w:rsidRPr="003B2277">
              <w:rPr>
                <w:b/>
                <w:i/>
              </w:rPr>
              <w:t>Ne da bi izpodbijali ugotovitev, da bi lahko prehitre nove zasaditve vinske trte zaradi odzivanja na predvidene trende v mednarodnem povpraševanju spet vodile do srednjeročne prekomerne zmogljivosti dobave, bi bilo treba upoštevati zmanjšanje</w:t>
            </w:r>
            <w:r w:rsidRPr="003B2277">
              <w:t xml:space="preserve"> površine, dejansko zasajene z vinsko trto, v več državah članicah v letih 2014–2017 in zaradi možnega posledičnega zmanjšanja proizvodnje državam članicam omogočiti, da pri določitvi območja za dovoljenja za nove nasade iz člena 63(1) Uredbe (EU) št. 1308/2013</w:t>
            </w:r>
            <w:r w:rsidRPr="003B2277">
              <w:rPr>
                <w:b/>
                <w:i/>
              </w:rPr>
              <w:t>.</w:t>
            </w:r>
            <w:r w:rsidRPr="003B2277">
              <w:t xml:space="preserve"> </w:t>
            </w:r>
            <w:r w:rsidRPr="003B2277">
              <w:rPr>
                <w:b/>
                <w:i/>
              </w:rPr>
              <w:t>Imeti bi morale možnost, da</w:t>
            </w:r>
            <w:r w:rsidRPr="003B2277">
              <w:t xml:space="preserve"> izberejo med obstoječo podlago in odstotkom skupne površine, dejansko zasajene z vinsko trto na njihovem ozemlju 31. julija 2015, ki se poveča za površino, ki ustreza pravicam do zasaditve na podlagi Uredbe (ES) št. 1234/2007, ki so na voljo za pretvorbo v dovoljenja v zadevni državi članici 1. januarja 2016.</w:t>
            </w:r>
          </w:p>
        </w:tc>
      </w:tr>
    </w:tbl>
    <w:p w14:paraId="4623172D" w14:textId="77777777" w:rsidR="006F5BFE" w:rsidRPr="003B2277" w:rsidRDefault="006F5BFE" w:rsidP="006F5BFE"/>
    <w:p w14:paraId="4B3CFDC0" w14:textId="7DFADD84" w:rsidR="006F5BFE" w:rsidRPr="003B2277" w:rsidRDefault="003B2277" w:rsidP="006F5BFE">
      <w:pPr>
        <w:pStyle w:val="AMNumberTabs"/>
        <w:keepNext/>
      </w:pPr>
      <w:r>
        <w:t>Sprememba</w:t>
      </w:r>
      <w:r w:rsidR="006F5BFE" w:rsidRPr="003B2277">
        <w:tab/>
      </w:r>
      <w:r w:rsidR="006F5BFE" w:rsidRPr="003B2277">
        <w:tab/>
        <w:t>9</w:t>
      </w:r>
    </w:p>
    <w:p w14:paraId="7DDF97DF" w14:textId="77777777" w:rsidR="006F5BFE" w:rsidRPr="003B2277" w:rsidRDefault="006F5BFE" w:rsidP="006F5BFE">
      <w:pPr>
        <w:pStyle w:val="NormalBold12b"/>
      </w:pPr>
      <w:r w:rsidRPr="003B2277">
        <w:t>Predlog uredbe</w:t>
      </w:r>
    </w:p>
    <w:p w14:paraId="05D24026" w14:textId="77777777" w:rsidR="006F5BFE" w:rsidRPr="003B2277" w:rsidRDefault="006F5BFE" w:rsidP="006F5BFE">
      <w:pPr>
        <w:pStyle w:val="NormalBold"/>
      </w:pPr>
      <w:r w:rsidRPr="003B2277">
        <w:t>Uvodna izjava 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78B87A8" w14:textId="77777777" w:rsidTr="005B4D60">
        <w:trPr>
          <w:jc w:val="center"/>
        </w:trPr>
        <w:tc>
          <w:tcPr>
            <w:tcW w:w="9752" w:type="dxa"/>
            <w:gridSpan w:val="2"/>
          </w:tcPr>
          <w:p w14:paraId="6DF3A846" w14:textId="77777777" w:rsidR="006F5BFE" w:rsidRPr="003B2277" w:rsidRDefault="006F5BFE" w:rsidP="005B4D60">
            <w:pPr>
              <w:keepNext/>
            </w:pPr>
          </w:p>
        </w:tc>
      </w:tr>
      <w:tr w:rsidR="006F5BFE" w:rsidRPr="003B2277" w14:paraId="5E6CB12B" w14:textId="77777777" w:rsidTr="005B4D60">
        <w:trPr>
          <w:jc w:val="center"/>
        </w:trPr>
        <w:tc>
          <w:tcPr>
            <w:tcW w:w="4876" w:type="dxa"/>
            <w:hideMark/>
          </w:tcPr>
          <w:p w14:paraId="7EE0062E" w14:textId="77777777" w:rsidR="006F5BFE" w:rsidRPr="003B2277" w:rsidRDefault="006F5BFE" w:rsidP="005B4D60">
            <w:pPr>
              <w:pStyle w:val="ColumnHeading"/>
              <w:keepNext/>
            </w:pPr>
            <w:r w:rsidRPr="003B2277">
              <w:t>Besedilo, ki ga predlaga Komisija</w:t>
            </w:r>
          </w:p>
        </w:tc>
        <w:tc>
          <w:tcPr>
            <w:tcW w:w="4876" w:type="dxa"/>
            <w:hideMark/>
          </w:tcPr>
          <w:p w14:paraId="7359FDDB" w14:textId="1C1112BB" w:rsidR="006F5BFE" w:rsidRPr="003B2277" w:rsidRDefault="003B2277" w:rsidP="005B4D60">
            <w:pPr>
              <w:pStyle w:val="ColumnHeading"/>
              <w:keepNext/>
            </w:pPr>
            <w:r>
              <w:t>Sprememba</w:t>
            </w:r>
          </w:p>
        </w:tc>
      </w:tr>
      <w:tr w:rsidR="006F5BFE" w:rsidRPr="003B2277" w14:paraId="7B0C8958" w14:textId="77777777" w:rsidTr="005B4D60">
        <w:trPr>
          <w:jc w:val="center"/>
        </w:trPr>
        <w:tc>
          <w:tcPr>
            <w:tcW w:w="4876" w:type="dxa"/>
          </w:tcPr>
          <w:p w14:paraId="0AD5AD25" w14:textId="77777777" w:rsidR="006F5BFE" w:rsidRPr="003B2277" w:rsidRDefault="006F5BFE" w:rsidP="005B4D60">
            <w:pPr>
              <w:pStyle w:val="Normal6"/>
            </w:pPr>
          </w:p>
        </w:tc>
        <w:tc>
          <w:tcPr>
            <w:tcW w:w="4876" w:type="dxa"/>
            <w:hideMark/>
          </w:tcPr>
          <w:p w14:paraId="426014D8" w14:textId="77777777" w:rsidR="006F5BFE" w:rsidRPr="003B2277" w:rsidRDefault="006F5BFE" w:rsidP="005B4D60">
            <w:pPr>
              <w:pStyle w:val="Normal6"/>
              <w:rPr>
                <w:szCs w:val="24"/>
              </w:rPr>
            </w:pPr>
            <w:r w:rsidRPr="003B2277">
              <w:rPr>
                <w:b/>
                <w:i/>
              </w:rPr>
              <w:t>(8a)</w:t>
            </w:r>
            <w:r w:rsidRPr="003B2277">
              <w:rPr>
                <w:b/>
                <w:i/>
              </w:rPr>
              <w:tab/>
              <w:t>Da bi se odzvali na primere izogibanja merilom, ki v tej uredbi niso opredeljeni, je treba države članice pooblastiti za sprejemanje ukrepov za preprečitev izogibanja merilom za upravičenost ali prednostnim merilom s strani vlagateljev vlog za dovoljenja, katerih dejavnosti niso zajete v posameznih določbah proti izogibanju iz te uredbe v zvezi s posameznimi merili za upravičenost in prednostnimi merili.</w:t>
            </w:r>
          </w:p>
        </w:tc>
      </w:tr>
    </w:tbl>
    <w:p w14:paraId="6584E46C" w14:textId="77777777" w:rsidR="006F5BFE" w:rsidRPr="003B2277" w:rsidRDefault="006F5BFE" w:rsidP="006F5BFE"/>
    <w:p w14:paraId="4F799C77" w14:textId="77777777" w:rsidR="00116A9F" w:rsidRDefault="00116A9F" w:rsidP="006F5BFE">
      <w:pPr>
        <w:pStyle w:val="AMNumberTabs"/>
        <w:keepNext/>
      </w:pPr>
    </w:p>
    <w:p w14:paraId="07746C9B" w14:textId="58927CFF" w:rsidR="00116A9F" w:rsidRPr="00771808" w:rsidRDefault="008C7773" w:rsidP="00116A9F">
      <w:pPr>
        <w:pStyle w:val="AmNumberTabs0"/>
      </w:pPr>
      <w:r>
        <w:t>Sprememba</w:t>
      </w:r>
      <w:r w:rsidR="00116A9F" w:rsidRPr="00771808">
        <w:tab/>
      </w:r>
      <w:r w:rsidR="00116A9F" w:rsidRPr="00771808">
        <w:tab/>
        <w:t>256</w:t>
      </w:r>
    </w:p>
    <w:p w14:paraId="187734F4" w14:textId="77777777" w:rsidR="00116A9F" w:rsidRPr="00771808" w:rsidRDefault="00116A9F" w:rsidP="00116A9F">
      <w:pPr>
        <w:pStyle w:val="NormalBold12b"/>
      </w:pPr>
      <w:r w:rsidRPr="00771808">
        <w:t>Predlog uredbe</w:t>
      </w:r>
    </w:p>
    <w:p w14:paraId="3037226C" w14:textId="5A6A797B" w:rsidR="00116A9F" w:rsidRPr="00771808" w:rsidRDefault="00116A9F" w:rsidP="00116A9F">
      <w:pPr>
        <w:pStyle w:val="NormalBold"/>
      </w:pPr>
      <w:r w:rsidRPr="00771808">
        <w:t xml:space="preserve">Uvodna izjava 8 </w:t>
      </w:r>
      <w:r w:rsidR="00490A22">
        <w:t>b</w:t>
      </w:r>
      <w:r w:rsidRPr="00771808">
        <w:t xml:space="preserv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116A9F" w:rsidRPr="00771808" w14:paraId="313BC2BD" w14:textId="77777777" w:rsidTr="005809F6">
        <w:trPr>
          <w:trHeight w:hRule="exact" w:val="240"/>
          <w:jc w:val="center"/>
        </w:trPr>
        <w:tc>
          <w:tcPr>
            <w:tcW w:w="9752" w:type="dxa"/>
            <w:gridSpan w:val="2"/>
          </w:tcPr>
          <w:p w14:paraId="4E306266" w14:textId="77777777" w:rsidR="00116A9F" w:rsidRPr="00771808" w:rsidRDefault="00116A9F" w:rsidP="005809F6"/>
        </w:tc>
      </w:tr>
      <w:tr w:rsidR="00116A9F" w:rsidRPr="00771808" w14:paraId="65EA43E3" w14:textId="77777777" w:rsidTr="005809F6">
        <w:trPr>
          <w:trHeight w:val="240"/>
          <w:jc w:val="center"/>
        </w:trPr>
        <w:tc>
          <w:tcPr>
            <w:tcW w:w="4876" w:type="dxa"/>
          </w:tcPr>
          <w:p w14:paraId="5CAAA4C6" w14:textId="77777777" w:rsidR="00116A9F" w:rsidRPr="00771808" w:rsidRDefault="00116A9F" w:rsidP="005809F6">
            <w:pPr>
              <w:pStyle w:val="AmColumnHeading"/>
            </w:pPr>
            <w:r w:rsidRPr="00771808">
              <w:t>Besedilo, ki ga predlaga Komisija</w:t>
            </w:r>
          </w:p>
        </w:tc>
        <w:tc>
          <w:tcPr>
            <w:tcW w:w="4876" w:type="dxa"/>
          </w:tcPr>
          <w:p w14:paraId="19803126" w14:textId="47223467" w:rsidR="00116A9F" w:rsidRPr="00771808" w:rsidRDefault="008C7773" w:rsidP="005809F6">
            <w:pPr>
              <w:pStyle w:val="AmColumnHeading"/>
            </w:pPr>
            <w:r>
              <w:t>Sprememba</w:t>
            </w:r>
          </w:p>
        </w:tc>
      </w:tr>
      <w:tr w:rsidR="00116A9F" w:rsidRPr="00771808" w14:paraId="236E16A9" w14:textId="77777777" w:rsidTr="005809F6">
        <w:trPr>
          <w:jc w:val="center"/>
        </w:trPr>
        <w:tc>
          <w:tcPr>
            <w:tcW w:w="4876" w:type="dxa"/>
          </w:tcPr>
          <w:p w14:paraId="673B476F" w14:textId="77777777" w:rsidR="00116A9F" w:rsidRPr="00771808" w:rsidRDefault="00116A9F" w:rsidP="005809F6">
            <w:pPr>
              <w:pStyle w:val="Normal6a"/>
            </w:pPr>
          </w:p>
        </w:tc>
        <w:tc>
          <w:tcPr>
            <w:tcW w:w="4876" w:type="dxa"/>
          </w:tcPr>
          <w:p w14:paraId="683063B5" w14:textId="7C4116A6" w:rsidR="00116A9F" w:rsidRPr="00771808" w:rsidRDefault="00116A9F">
            <w:pPr>
              <w:pStyle w:val="Normal6a"/>
            </w:pPr>
            <w:r w:rsidRPr="00771808">
              <w:rPr>
                <w:b/>
                <w:i/>
              </w:rPr>
              <w:t>(8</w:t>
            </w:r>
            <w:r w:rsidR="00490A22">
              <w:rPr>
                <w:b/>
                <w:i/>
              </w:rPr>
              <w:t>b</w:t>
            </w:r>
            <w:r w:rsidRPr="00771808">
              <w:rPr>
                <w:b/>
                <w:i/>
              </w:rPr>
              <w:t>)</w:t>
            </w:r>
            <w:r w:rsidRPr="00771808">
              <w:tab/>
            </w:r>
            <w:r w:rsidRPr="00771808">
              <w:rPr>
                <w:b/>
                <w:i/>
              </w:rPr>
              <w:t>Da bi dosegli boljše upravljanje tal v vinogradništvu, bi bilo treba odobriti podaljšanje dovoljenj za ponovno zasaditev s treh na šest let, kot v prejšnji uredbi o pravicah do ponovne zasaditve. Odložitev uporabe dovoljenja za ponovno zasaditev bi lahko pozitivno vplivala na okolje, saj bi lahko tla počivala, bakterije in viruse pa bi bilo mogoče namesto s kemičnimi sredstvi odstraniti z naravnimi procesi.</w:t>
            </w:r>
          </w:p>
        </w:tc>
      </w:tr>
    </w:tbl>
    <w:p w14:paraId="363BF666" w14:textId="78C24262" w:rsidR="006F5BFE" w:rsidRPr="003B2277" w:rsidRDefault="003B2277" w:rsidP="006F5BFE">
      <w:pPr>
        <w:pStyle w:val="AMNumberTabs"/>
        <w:keepNext/>
      </w:pPr>
      <w:r>
        <w:t>Sprememba</w:t>
      </w:r>
      <w:r w:rsidR="006F5BFE" w:rsidRPr="003B2277">
        <w:tab/>
      </w:r>
      <w:r w:rsidR="006F5BFE" w:rsidRPr="003B2277">
        <w:tab/>
        <w:t>10</w:t>
      </w:r>
    </w:p>
    <w:p w14:paraId="356887DD" w14:textId="77777777" w:rsidR="006F5BFE" w:rsidRPr="003B2277" w:rsidRDefault="006F5BFE" w:rsidP="006F5BFE">
      <w:pPr>
        <w:pStyle w:val="NormalBold12b"/>
      </w:pPr>
      <w:r w:rsidRPr="003B2277">
        <w:t>Predlog uredbe</w:t>
      </w:r>
    </w:p>
    <w:p w14:paraId="0630F6D7" w14:textId="77777777" w:rsidR="006F5BFE" w:rsidRPr="003B2277" w:rsidRDefault="006F5BFE" w:rsidP="006F5BFE">
      <w:pPr>
        <w:pStyle w:val="NormalBold"/>
      </w:pPr>
      <w:r w:rsidRPr="003B2277">
        <w:t>Uvodna izjava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162CAEE" w14:textId="77777777" w:rsidTr="005B4D60">
        <w:trPr>
          <w:jc w:val="center"/>
        </w:trPr>
        <w:tc>
          <w:tcPr>
            <w:tcW w:w="9752" w:type="dxa"/>
            <w:gridSpan w:val="2"/>
          </w:tcPr>
          <w:p w14:paraId="1F7A4982" w14:textId="77777777" w:rsidR="006F5BFE" w:rsidRPr="003B2277" w:rsidRDefault="006F5BFE" w:rsidP="005B4D60">
            <w:pPr>
              <w:keepNext/>
            </w:pPr>
          </w:p>
        </w:tc>
      </w:tr>
      <w:tr w:rsidR="006F5BFE" w:rsidRPr="003B2277" w14:paraId="75447CF8" w14:textId="77777777" w:rsidTr="005B4D60">
        <w:trPr>
          <w:jc w:val="center"/>
        </w:trPr>
        <w:tc>
          <w:tcPr>
            <w:tcW w:w="4876" w:type="dxa"/>
            <w:hideMark/>
          </w:tcPr>
          <w:p w14:paraId="360FE9F9" w14:textId="77777777" w:rsidR="006F5BFE" w:rsidRPr="003B2277" w:rsidRDefault="006F5BFE" w:rsidP="005B4D60">
            <w:pPr>
              <w:pStyle w:val="ColumnHeading"/>
              <w:keepNext/>
            </w:pPr>
            <w:r w:rsidRPr="003B2277">
              <w:t>Besedilo, ki ga predlaga Komisija</w:t>
            </w:r>
          </w:p>
        </w:tc>
        <w:tc>
          <w:tcPr>
            <w:tcW w:w="4876" w:type="dxa"/>
            <w:hideMark/>
          </w:tcPr>
          <w:p w14:paraId="1B8FC34F" w14:textId="19843CFD" w:rsidR="006F5BFE" w:rsidRPr="003B2277" w:rsidRDefault="003B2277" w:rsidP="005B4D60">
            <w:pPr>
              <w:pStyle w:val="ColumnHeading"/>
              <w:keepNext/>
            </w:pPr>
            <w:r>
              <w:t>Sprememba</w:t>
            </w:r>
          </w:p>
        </w:tc>
      </w:tr>
      <w:tr w:rsidR="006F5BFE" w:rsidRPr="003B2277" w14:paraId="08206494" w14:textId="77777777" w:rsidTr="005B4D60">
        <w:trPr>
          <w:jc w:val="center"/>
        </w:trPr>
        <w:tc>
          <w:tcPr>
            <w:tcW w:w="4876" w:type="dxa"/>
            <w:hideMark/>
          </w:tcPr>
          <w:p w14:paraId="5F7B3D0A" w14:textId="77777777" w:rsidR="006F5BFE" w:rsidRPr="003B2277" w:rsidRDefault="006F5BFE" w:rsidP="005B4D60">
            <w:pPr>
              <w:pStyle w:val="Normal6"/>
            </w:pPr>
            <w:r w:rsidRPr="003B2277">
              <w:rPr>
                <w:b/>
                <w:i/>
              </w:rPr>
              <w:t>(9)</w:t>
            </w:r>
            <w:r w:rsidRPr="003B2277">
              <w:rPr>
                <w:b/>
                <w:i/>
              </w:rPr>
              <w:tab/>
              <w:t>Pravila za razvrščanje sort vinske trte s strani držav članic bi bilo treba spremeniti in vanje vključiti sorte vinske trte Noah, Othello, Isabelle, Jacquez, Clinton in Herbemont, ki so bile prej izključene. Da bi zagotovili, da bo za sektor pridelave vina v Uniji značilna večja odpornost proti boleznim in da se bodo v njem uporabljale sorte vinske trte, ki so bolje prilagojene na spreminjajoče se podnebne razmere, bi bilo treba sprejeti določbo, ki omogoča, da se za pridelavo vina v Uniji zasadijo sorte Vitis Labrusca ter sorte, pridobljene s križanjem Vitis vinifera in Vitis Labrusca z drugimi vrstami iz rodu Vitis.</w:t>
            </w:r>
          </w:p>
        </w:tc>
        <w:tc>
          <w:tcPr>
            <w:tcW w:w="4876" w:type="dxa"/>
            <w:hideMark/>
          </w:tcPr>
          <w:p w14:paraId="15E187B8" w14:textId="77777777" w:rsidR="006F5BFE" w:rsidRPr="003B2277" w:rsidRDefault="006F5BFE" w:rsidP="005B4D60">
            <w:pPr>
              <w:pStyle w:val="Normal6"/>
              <w:rPr>
                <w:szCs w:val="24"/>
              </w:rPr>
            </w:pPr>
            <w:r w:rsidRPr="003B2277">
              <w:rPr>
                <w:b/>
                <w:i/>
              </w:rPr>
              <w:t>črtano</w:t>
            </w:r>
          </w:p>
        </w:tc>
      </w:tr>
    </w:tbl>
    <w:p w14:paraId="5DBF4739" w14:textId="77777777" w:rsidR="006F5BFE" w:rsidRPr="003B2277" w:rsidRDefault="006F5BFE" w:rsidP="006F5BFE"/>
    <w:p w14:paraId="0E1C3E29" w14:textId="012465A5" w:rsidR="006F5BFE" w:rsidRPr="003B2277" w:rsidRDefault="003B2277" w:rsidP="006F5BFE">
      <w:pPr>
        <w:pStyle w:val="AMNumberTabs"/>
        <w:keepNext/>
      </w:pPr>
      <w:r>
        <w:t>Sprememba</w:t>
      </w:r>
      <w:r w:rsidR="006F5BFE" w:rsidRPr="003B2277">
        <w:tab/>
      </w:r>
      <w:r w:rsidR="006F5BFE" w:rsidRPr="003B2277">
        <w:tab/>
        <w:t>11</w:t>
      </w:r>
    </w:p>
    <w:p w14:paraId="6C89664F" w14:textId="77777777" w:rsidR="006F5BFE" w:rsidRPr="003B2277" w:rsidRDefault="006F5BFE" w:rsidP="006F5BFE">
      <w:pPr>
        <w:pStyle w:val="NormalBold12b"/>
      </w:pPr>
      <w:r w:rsidRPr="003B2277">
        <w:t>Predlog uredbe</w:t>
      </w:r>
    </w:p>
    <w:p w14:paraId="6E26E679" w14:textId="77777777" w:rsidR="006F5BFE" w:rsidRPr="003B2277" w:rsidRDefault="006F5BFE" w:rsidP="006F5BFE">
      <w:pPr>
        <w:pStyle w:val="NormalBold"/>
      </w:pPr>
      <w:r w:rsidRPr="003B2277">
        <w:t>Uvodna izjava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07C8106" w14:textId="77777777" w:rsidTr="005B4D60">
        <w:trPr>
          <w:jc w:val="center"/>
        </w:trPr>
        <w:tc>
          <w:tcPr>
            <w:tcW w:w="9752" w:type="dxa"/>
            <w:gridSpan w:val="2"/>
          </w:tcPr>
          <w:p w14:paraId="6564A0DF" w14:textId="77777777" w:rsidR="006F5BFE" w:rsidRPr="003B2277" w:rsidRDefault="006F5BFE" w:rsidP="005B4D60">
            <w:pPr>
              <w:keepNext/>
            </w:pPr>
          </w:p>
        </w:tc>
      </w:tr>
      <w:tr w:rsidR="006F5BFE" w:rsidRPr="003B2277" w14:paraId="1729501A" w14:textId="77777777" w:rsidTr="005B4D60">
        <w:trPr>
          <w:jc w:val="center"/>
        </w:trPr>
        <w:tc>
          <w:tcPr>
            <w:tcW w:w="4876" w:type="dxa"/>
            <w:hideMark/>
          </w:tcPr>
          <w:p w14:paraId="236EA03E" w14:textId="77777777" w:rsidR="006F5BFE" w:rsidRPr="003B2277" w:rsidRDefault="006F5BFE" w:rsidP="005B4D60">
            <w:pPr>
              <w:pStyle w:val="ColumnHeading"/>
              <w:keepNext/>
            </w:pPr>
            <w:r w:rsidRPr="003B2277">
              <w:t>Besedilo, ki ga predlaga Komisija</w:t>
            </w:r>
          </w:p>
        </w:tc>
        <w:tc>
          <w:tcPr>
            <w:tcW w:w="4876" w:type="dxa"/>
            <w:hideMark/>
          </w:tcPr>
          <w:p w14:paraId="660634ED" w14:textId="6C5C131A" w:rsidR="006F5BFE" w:rsidRPr="003B2277" w:rsidRDefault="003B2277" w:rsidP="005B4D60">
            <w:pPr>
              <w:pStyle w:val="ColumnHeading"/>
              <w:keepNext/>
            </w:pPr>
            <w:r>
              <w:t>Sprememba</w:t>
            </w:r>
          </w:p>
        </w:tc>
      </w:tr>
      <w:tr w:rsidR="006F5BFE" w:rsidRPr="003B2277" w14:paraId="0DA63B9D" w14:textId="77777777" w:rsidTr="005B4D60">
        <w:trPr>
          <w:jc w:val="center"/>
        </w:trPr>
        <w:tc>
          <w:tcPr>
            <w:tcW w:w="4876" w:type="dxa"/>
            <w:hideMark/>
          </w:tcPr>
          <w:p w14:paraId="26F2AD6B" w14:textId="77777777" w:rsidR="006F5BFE" w:rsidRPr="003B2277" w:rsidRDefault="006F5BFE" w:rsidP="005B4D60">
            <w:pPr>
              <w:pStyle w:val="Normal6"/>
            </w:pPr>
            <w:r w:rsidRPr="003B2277">
              <w:t>(11)</w:t>
            </w:r>
            <w:r w:rsidRPr="003B2277">
              <w:tab/>
              <w:t>Določbe v zvezi s potrdili o skladnosti in poročili o analizi za uvoz vina bi treba uporabljati ob upoštevanju mednarodnih sporazumov, sklenjenih v skladu s Pogodbo o delovanju Evropske unije (v nadaljnjem besedilu: PDEU).</w:t>
            </w:r>
          </w:p>
        </w:tc>
        <w:tc>
          <w:tcPr>
            <w:tcW w:w="4876" w:type="dxa"/>
            <w:hideMark/>
          </w:tcPr>
          <w:p w14:paraId="46F3AFA6" w14:textId="77777777" w:rsidR="006F5BFE" w:rsidRPr="003B2277" w:rsidRDefault="006F5BFE" w:rsidP="005B4D60">
            <w:pPr>
              <w:pStyle w:val="Normal6"/>
              <w:rPr>
                <w:szCs w:val="24"/>
              </w:rPr>
            </w:pPr>
            <w:r w:rsidRPr="003B2277">
              <w:t>(11)</w:t>
            </w:r>
            <w:r w:rsidRPr="003B2277">
              <w:tab/>
              <w:t>Določbe v zvezi s potrdili o skladnosti in poročili o analizi za uvoz vina bi bilo treba uporabljati ob upoštevanju mednarodnih sporazumov, sklenjenih v skladu s Pogodbo o delovanju Evropske unije (v nadaljnjem besedilu: PDEU)</w:t>
            </w:r>
            <w:r w:rsidRPr="003B2277">
              <w:rPr>
                <w:b/>
                <w:i/>
              </w:rPr>
              <w:t>, ter tako zagotoviti, da so standardi sledljivosti in kakovosti skladni z evropskimi standardi</w:t>
            </w:r>
            <w:r w:rsidRPr="003B2277">
              <w:t>.</w:t>
            </w:r>
          </w:p>
        </w:tc>
      </w:tr>
    </w:tbl>
    <w:p w14:paraId="3D49B460" w14:textId="77777777" w:rsidR="006F5BFE" w:rsidRPr="003B2277" w:rsidRDefault="006F5BFE" w:rsidP="006F5BFE"/>
    <w:p w14:paraId="4F99A582" w14:textId="2355B413" w:rsidR="006F5BFE" w:rsidRPr="003B2277" w:rsidRDefault="003B2277" w:rsidP="006F5BFE">
      <w:pPr>
        <w:pStyle w:val="AMNumberTabs"/>
        <w:keepNext/>
      </w:pPr>
      <w:r>
        <w:t>Sprememba</w:t>
      </w:r>
      <w:r w:rsidR="006F5BFE" w:rsidRPr="003B2277">
        <w:tab/>
      </w:r>
      <w:r w:rsidR="006F5BFE" w:rsidRPr="003B2277">
        <w:tab/>
        <w:t>12</w:t>
      </w:r>
    </w:p>
    <w:p w14:paraId="546F55E0" w14:textId="77777777" w:rsidR="006F5BFE" w:rsidRPr="003B2277" w:rsidRDefault="006F5BFE" w:rsidP="006F5BFE">
      <w:pPr>
        <w:pStyle w:val="NormalBold12b"/>
        <w:keepNext/>
      </w:pPr>
      <w:r w:rsidRPr="003B2277">
        <w:t>Predlog uredbe</w:t>
      </w:r>
    </w:p>
    <w:p w14:paraId="4E3E508F" w14:textId="77777777" w:rsidR="006F5BFE" w:rsidRPr="003B2277" w:rsidRDefault="006F5BFE" w:rsidP="006F5BFE">
      <w:pPr>
        <w:pStyle w:val="NormalBold"/>
      </w:pPr>
      <w:r w:rsidRPr="003B2277">
        <w:t>Uvodna izjava 12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2EFFFCB8" w14:textId="77777777" w:rsidTr="005B4D60">
        <w:trPr>
          <w:jc w:val="center"/>
        </w:trPr>
        <w:tc>
          <w:tcPr>
            <w:tcW w:w="9752" w:type="dxa"/>
            <w:gridSpan w:val="2"/>
          </w:tcPr>
          <w:p w14:paraId="47A56427" w14:textId="77777777" w:rsidR="006F5BFE" w:rsidRPr="003B2277" w:rsidRDefault="006F5BFE" w:rsidP="005B4D60">
            <w:pPr>
              <w:keepNext/>
            </w:pPr>
          </w:p>
        </w:tc>
      </w:tr>
      <w:tr w:rsidR="006F5BFE" w:rsidRPr="003B2277" w14:paraId="388E107F" w14:textId="77777777" w:rsidTr="005B4D60">
        <w:trPr>
          <w:jc w:val="center"/>
        </w:trPr>
        <w:tc>
          <w:tcPr>
            <w:tcW w:w="4876" w:type="dxa"/>
          </w:tcPr>
          <w:p w14:paraId="2D8EDC70" w14:textId="77777777" w:rsidR="006F5BFE" w:rsidRPr="003B2277" w:rsidRDefault="006F5BFE" w:rsidP="005B4D60">
            <w:pPr>
              <w:pStyle w:val="ColumnHeading"/>
              <w:keepNext/>
            </w:pPr>
            <w:r w:rsidRPr="003B2277">
              <w:t>Besedilo, ki ga predlaga Komisija</w:t>
            </w:r>
          </w:p>
        </w:tc>
        <w:tc>
          <w:tcPr>
            <w:tcW w:w="4876" w:type="dxa"/>
          </w:tcPr>
          <w:p w14:paraId="5CAB7400" w14:textId="29EA0403" w:rsidR="006F5BFE" w:rsidRPr="003B2277" w:rsidRDefault="003B2277" w:rsidP="005B4D60">
            <w:pPr>
              <w:pStyle w:val="ColumnHeading"/>
              <w:keepNext/>
            </w:pPr>
            <w:r>
              <w:t>Sprememba</w:t>
            </w:r>
          </w:p>
        </w:tc>
      </w:tr>
      <w:tr w:rsidR="006F5BFE" w:rsidRPr="003B2277" w14:paraId="60B22B49" w14:textId="77777777" w:rsidTr="005B4D60">
        <w:trPr>
          <w:jc w:val="center"/>
        </w:trPr>
        <w:tc>
          <w:tcPr>
            <w:tcW w:w="4876" w:type="dxa"/>
          </w:tcPr>
          <w:p w14:paraId="3D1BB293" w14:textId="77777777" w:rsidR="006F5BFE" w:rsidRPr="003B2277" w:rsidRDefault="006F5BFE" w:rsidP="005B4D60">
            <w:pPr>
              <w:pStyle w:val="Normal6"/>
            </w:pPr>
            <w:r w:rsidRPr="003B2277">
              <w:rPr>
                <w:b/>
                <w:i/>
              </w:rPr>
              <w:t>(12)</w:t>
            </w:r>
            <w:r w:rsidRPr="003B2277">
              <w:rPr>
                <w:b/>
                <w:i/>
              </w:rPr>
              <w:tab/>
            </w:r>
            <w:r w:rsidRPr="003B2277">
              <w:rPr>
                <w:b/>
                <w:bCs/>
                <w:i/>
                <w:iCs/>
              </w:rPr>
              <w:t>Opredelitev označbe porekla bi morala biti usklajena z opredelitvijo iz Sporazuma o trgovinskih vidikih pravic intelektualne lastnine</w:t>
            </w:r>
            <w:r w:rsidRPr="003B2277">
              <w:rPr>
                <w:b/>
                <w:bCs/>
                <w:i/>
                <w:iCs/>
                <w:vertAlign w:val="superscript"/>
              </w:rPr>
              <w:t>12</w:t>
            </w:r>
            <w:r w:rsidRPr="003B2277">
              <w:rPr>
                <w:b/>
                <w:bCs/>
                <w:i/>
                <w:iCs/>
              </w:rPr>
              <w:t xml:space="preserve"> (v nadaljnjem besedilu: sporazum TRIPS), ki je bil odobren s Sklepom Sveta 94/800/ES</w:t>
            </w:r>
            <w:r w:rsidRPr="003B2277">
              <w:rPr>
                <w:b/>
                <w:bCs/>
                <w:i/>
                <w:iCs/>
                <w:vertAlign w:val="superscript"/>
              </w:rPr>
              <w:t>13</w:t>
            </w:r>
            <w:r w:rsidRPr="003B2277">
              <w:rPr>
                <w:b/>
                <w:bCs/>
                <w:i/>
                <w:iCs/>
              </w:rPr>
              <w:t>, zlasti s členom 22(1), in sicer glede tega, da se ime proizvoda nanaša na njegovo poreklo iz določene regije ali določenega kraja.</w:t>
            </w:r>
          </w:p>
        </w:tc>
        <w:tc>
          <w:tcPr>
            <w:tcW w:w="4876" w:type="dxa"/>
          </w:tcPr>
          <w:p w14:paraId="6A9E9475" w14:textId="77777777" w:rsidR="006F5BFE" w:rsidRPr="003B2277" w:rsidRDefault="006F5BFE" w:rsidP="005B4D60">
            <w:pPr>
              <w:pStyle w:val="Normal6"/>
              <w:rPr>
                <w:szCs w:val="24"/>
              </w:rPr>
            </w:pPr>
            <w:r w:rsidRPr="003B2277">
              <w:rPr>
                <w:b/>
                <w:i/>
              </w:rPr>
              <w:t>črtano</w:t>
            </w:r>
          </w:p>
        </w:tc>
      </w:tr>
      <w:tr w:rsidR="006F5BFE" w:rsidRPr="003B2277" w14:paraId="7BD168B3" w14:textId="77777777" w:rsidTr="005B4D60">
        <w:trPr>
          <w:jc w:val="center"/>
        </w:trPr>
        <w:tc>
          <w:tcPr>
            <w:tcW w:w="4876" w:type="dxa"/>
          </w:tcPr>
          <w:p w14:paraId="2E33871B" w14:textId="77777777" w:rsidR="006F5BFE" w:rsidRPr="003B2277" w:rsidRDefault="006F5BFE" w:rsidP="005B4D60">
            <w:pPr>
              <w:pStyle w:val="Normal6"/>
            </w:pPr>
            <w:r w:rsidRPr="003B2277">
              <w:rPr>
                <w:b/>
                <w:i/>
              </w:rPr>
              <w:t>__________________</w:t>
            </w:r>
          </w:p>
        </w:tc>
        <w:tc>
          <w:tcPr>
            <w:tcW w:w="4876" w:type="dxa"/>
          </w:tcPr>
          <w:p w14:paraId="09D2ECC1" w14:textId="77777777" w:rsidR="006F5BFE" w:rsidRPr="003B2277" w:rsidRDefault="006F5BFE" w:rsidP="005B4D60">
            <w:pPr>
              <w:pStyle w:val="Normal6"/>
              <w:rPr>
                <w:szCs w:val="24"/>
              </w:rPr>
            </w:pPr>
          </w:p>
        </w:tc>
      </w:tr>
      <w:tr w:rsidR="006F5BFE" w:rsidRPr="003B2277" w14:paraId="2374B0E8" w14:textId="77777777" w:rsidTr="005B4D60">
        <w:trPr>
          <w:jc w:val="center"/>
        </w:trPr>
        <w:tc>
          <w:tcPr>
            <w:tcW w:w="4876" w:type="dxa"/>
          </w:tcPr>
          <w:p w14:paraId="2BAA8AE6" w14:textId="77777777" w:rsidR="006F5BFE" w:rsidRPr="003B2277" w:rsidRDefault="006F5BFE" w:rsidP="005B4D60">
            <w:pPr>
              <w:pStyle w:val="Normal6"/>
            </w:pPr>
            <w:r w:rsidRPr="003B2277">
              <w:rPr>
                <w:b/>
                <w:i/>
                <w:vertAlign w:val="superscript"/>
              </w:rPr>
              <w:t>12</w:t>
            </w:r>
            <w:r w:rsidRPr="003B2277">
              <w:t xml:space="preserve"> Urugvajski krog večstranskih trgovinskih pogajanj (1986–1994) – Priloga 1 – Priloga 1C – Sporazum o trgovinskih vidikih pravic intelektualne lastnine (STO) (UL L 336, 23.12.1994, str. 214).</w:t>
            </w:r>
          </w:p>
        </w:tc>
        <w:tc>
          <w:tcPr>
            <w:tcW w:w="4876" w:type="dxa"/>
          </w:tcPr>
          <w:p w14:paraId="489F5460" w14:textId="77777777" w:rsidR="006F5BFE" w:rsidRPr="003B2277" w:rsidRDefault="006F5BFE" w:rsidP="005B4D60">
            <w:pPr>
              <w:pStyle w:val="Normal6"/>
              <w:rPr>
                <w:szCs w:val="24"/>
              </w:rPr>
            </w:pPr>
          </w:p>
        </w:tc>
      </w:tr>
      <w:tr w:rsidR="006F5BFE" w:rsidRPr="003B2277" w14:paraId="70F2DC63" w14:textId="77777777" w:rsidTr="005B4D60">
        <w:trPr>
          <w:jc w:val="center"/>
        </w:trPr>
        <w:tc>
          <w:tcPr>
            <w:tcW w:w="4876" w:type="dxa"/>
          </w:tcPr>
          <w:p w14:paraId="4EB37971" w14:textId="77777777" w:rsidR="006F5BFE" w:rsidRPr="003B2277" w:rsidRDefault="006F5BFE" w:rsidP="005B4D60">
            <w:pPr>
              <w:pStyle w:val="Normal6"/>
            </w:pPr>
            <w:r w:rsidRPr="003B2277">
              <w:rPr>
                <w:b/>
                <w:i/>
                <w:vertAlign w:val="superscript"/>
              </w:rPr>
              <w:t>13</w:t>
            </w:r>
            <w:r w:rsidRPr="003B2277">
              <w:rPr>
                <w:b/>
                <w:i/>
              </w:rPr>
              <w:t xml:space="preserve"> Sklep Sveta 94/800/ES z dne 22. decembra 1994 o sklenitvi sporazumov, doseženih v Urugvajskem krogu večstranskih pogajanj (1986–1994), v imenu Evropske skupnosti, v zvezi z zadevami, ki so v njeni pristojnosti (UL L 336, 23.12.1994, str. 1).</w:t>
            </w:r>
          </w:p>
        </w:tc>
        <w:tc>
          <w:tcPr>
            <w:tcW w:w="4876" w:type="dxa"/>
          </w:tcPr>
          <w:p w14:paraId="5646B0A0" w14:textId="77777777" w:rsidR="006F5BFE" w:rsidRPr="003B2277" w:rsidRDefault="006F5BFE" w:rsidP="005B4D60">
            <w:pPr>
              <w:pStyle w:val="Normal6"/>
              <w:rPr>
                <w:szCs w:val="24"/>
              </w:rPr>
            </w:pPr>
          </w:p>
        </w:tc>
      </w:tr>
    </w:tbl>
    <w:p w14:paraId="7FC72986" w14:textId="77777777" w:rsidR="006F5BFE" w:rsidRPr="003B2277" w:rsidRDefault="006F5BFE" w:rsidP="006F5BFE"/>
    <w:p w14:paraId="1690EEA5" w14:textId="11A8A908" w:rsidR="006F5BFE" w:rsidRPr="003B2277" w:rsidRDefault="003B2277" w:rsidP="006F5BFE">
      <w:pPr>
        <w:pStyle w:val="AMNumberTabs"/>
        <w:keepNext/>
      </w:pPr>
      <w:r>
        <w:t>Sprememba</w:t>
      </w:r>
      <w:r w:rsidR="006F5BFE" w:rsidRPr="003B2277">
        <w:tab/>
      </w:r>
      <w:r w:rsidR="006F5BFE" w:rsidRPr="003B2277">
        <w:tab/>
        <w:t>13</w:t>
      </w:r>
    </w:p>
    <w:p w14:paraId="511FF83F" w14:textId="77777777" w:rsidR="006F5BFE" w:rsidRPr="003B2277" w:rsidRDefault="006F5BFE" w:rsidP="006F5BFE">
      <w:pPr>
        <w:pStyle w:val="NormalBold12b"/>
      </w:pPr>
      <w:r w:rsidRPr="003B2277">
        <w:t>Predlog uredbe</w:t>
      </w:r>
    </w:p>
    <w:p w14:paraId="52836D97" w14:textId="77777777" w:rsidR="006F5BFE" w:rsidRPr="003B2277" w:rsidRDefault="006F5BFE" w:rsidP="006F5BFE">
      <w:pPr>
        <w:pStyle w:val="NormalBold"/>
      </w:pPr>
      <w:r w:rsidRPr="003B2277">
        <w:t>Uvodna izjava 13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F885D0F" w14:textId="77777777" w:rsidTr="005B4D60">
        <w:trPr>
          <w:jc w:val="center"/>
        </w:trPr>
        <w:tc>
          <w:tcPr>
            <w:tcW w:w="9752" w:type="dxa"/>
            <w:gridSpan w:val="2"/>
          </w:tcPr>
          <w:p w14:paraId="1710187E" w14:textId="77777777" w:rsidR="006F5BFE" w:rsidRPr="003B2277" w:rsidRDefault="006F5BFE" w:rsidP="005B4D60">
            <w:pPr>
              <w:keepNext/>
            </w:pPr>
          </w:p>
        </w:tc>
      </w:tr>
      <w:tr w:rsidR="006F5BFE" w:rsidRPr="003B2277" w14:paraId="13D6D8A3" w14:textId="77777777" w:rsidTr="005B4D60">
        <w:trPr>
          <w:jc w:val="center"/>
        </w:trPr>
        <w:tc>
          <w:tcPr>
            <w:tcW w:w="4876" w:type="dxa"/>
            <w:hideMark/>
          </w:tcPr>
          <w:p w14:paraId="0D66E6A3" w14:textId="77777777" w:rsidR="006F5BFE" w:rsidRPr="003B2277" w:rsidRDefault="006F5BFE" w:rsidP="005B4D60">
            <w:pPr>
              <w:pStyle w:val="ColumnHeading"/>
              <w:keepNext/>
            </w:pPr>
            <w:r w:rsidRPr="003B2277">
              <w:t>Besedilo, ki ga predlaga Komisija</w:t>
            </w:r>
          </w:p>
        </w:tc>
        <w:tc>
          <w:tcPr>
            <w:tcW w:w="4876" w:type="dxa"/>
            <w:hideMark/>
          </w:tcPr>
          <w:p w14:paraId="3FAABB0E" w14:textId="0E694564" w:rsidR="006F5BFE" w:rsidRPr="003B2277" w:rsidRDefault="003B2277" w:rsidP="005B4D60">
            <w:pPr>
              <w:pStyle w:val="ColumnHeading"/>
              <w:keepNext/>
            </w:pPr>
            <w:r>
              <w:t>Sprememba</w:t>
            </w:r>
          </w:p>
        </w:tc>
      </w:tr>
      <w:tr w:rsidR="006F5BFE" w:rsidRPr="003B2277" w14:paraId="5340F416" w14:textId="77777777" w:rsidTr="005B4D60">
        <w:trPr>
          <w:jc w:val="center"/>
        </w:trPr>
        <w:tc>
          <w:tcPr>
            <w:tcW w:w="4876" w:type="dxa"/>
            <w:hideMark/>
          </w:tcPr>
          <w:p w14:paraId="3441A2CF" w14:textId="77777777" w:rsidR="006F5BFE" w:rsidRPr="003B2277" w:rsidRDefault="006F5BFE" w:rsidP="005B4D60">
            <w:pPr>
              <w:pStyle w:val="Normal6"/>
            </w:pPr>
            <w:r w:rsidRPr="003B2277">
              <w:t>(13)</w:t>
            </w:r>
            <w:r w:rsidRPr="003B2277">
              <w:tab/>
              <w:t xml:space="preserve">Za zagotovitev skladnega odločanja glede vlog za zaščito in ugovorov, predloženih v predhodnem nacionalnem postopku iz člena 96 Uredbe (EU) št. 1308/2013, bi bilo treba Komisijo pravočasno in redno obveščati, kadar se začne postopek pred nacionalnimi sodišči ali drugimi organi v zvezi z vlogo za zaščito, ki jo posamezna država članica predloži Komisiji, kot je določeno v členu 96(5) Uredbe (EU) št. 1308/2013. </w:t>
            </w:r>
            <w:r w:rsidRPr="003B2277">
              <w:rPr>
                <w:b/>
                <w:i/>
              </w:rPr>
              <w:t>Na Komisijo bi bilo treba prenesti izvedbena pooblastila, da v navedenih okoliščinah in po potrebi lahko prekine obravnavo vloge, dokler nacionalno sodišče ali drug nacionalni organ ne sprejme odločitve o izpodbijanju ocene vloge s strani države članice v okviru predhodnega nacionalnega postopka.</w:t>
            </w:r>
          </w:p>
        </w:tc>
        <w:tc>
          <w:tcPr>
            <w:tcW w:w="4876" w:type="dxa"/>
            <w:hideMark/>
          </w:tcPr>
          <w:p w14:paraId="550F9E83" w14:textId="77777777" w:rsidR="006F5BFE" w:rsidRPr="003B2277" w:rsidRDefault="006F5BFE" w:rsidP="005B4D60">
            <w:pPr>
              <w:pStyle w:val="Normal6"/>
              <w:rPr>
                <w:szCs w:val="24"/>
              </w:rPr>
            </w:pPr>
            <w:r w:rsidRPr="003B2277">
              <w:t>(13)</w:t>
            </w:r>
            <w:r w:rsidRPr="003B2277">
              <w:tab/>
              <w:t>Za zagotovitev skladnega odločanja glede vlog za zaščito in ugovorov, predloženih v predhodnem nacionalnem postopku iz člena 96 Uredbe (EU) št. 1308/2013, bi bilo treba Komisijo pravočasno in redno obveščati, kadar se začne postopek pred nacionalnimi sodišči ali drugimi organi v zvezi z vlogo za zaščito, ki jo posamezna država članica predloži Komisiji, kot je določeno v členu 96(5) Uredbe (EU) št. 1308/2013.</w:t>
            </w:r>
          </w:p>
        </w:tc>
      </w:tr>
    </w:tbl>
    <w:p w14:paraId="51739563" w14:textId="77777777" w:rsidR="006F5BFE" w:rsidRPr="003B2277" w:rsidRDefault="006F5BFE" w:rsidP="006F5BFE"/>
    <w:p w14:paraId="5A36D61F" w14:textId="7797CA9E" w:rsidR="006F5BFE" w:rsidRPr="003B2277" w:rsidRDefault="003B2277" w:rsidP="006F5BFE">
      <w:pPr>
        <w:pStyle w:val="AMNumberTabs"/>
        <w:keepNext/>
      </w:pPr>
      <w:r>
        <w:t>Sprememba</w:t>
      </w:r>
      <w:r w:rsidR="006F5BFE" w:rsidRPr="003B2277">
        <w:tab/>
      </w:r>
      <w:r w:rsidR="006F5BFE" w:rsidRPr="003B2277">
        <w:tab/>
        <w:t>14</w:t>
      </w:r>
    </w:p>
    <w:p w14:paraId="04C15754" w14:textId="77777777" w:rsidR="006F5BFE" w:rsidRPr="003B2277" w:rsidRDefault="006F5BFE" w:rsidP="006F5BFE">
      <w:pPr>
        <w:pStyle w:val="NormalBold12b"/>
      </w:pPr>
      <w:r w:rsidRPr="003B2277">
        <w:t>Predlog uredbe</w:t>
      </w:r>
    </w:p>
    <w:p w14:paraId="083FF2DB" w14:textId="77777777" w:rsidR="006F5BFE" w:rsidRPr="003B2277" w:rsidRDefault="006F5BFE" w:rsidP="006F5BFE">
      <w:pPr>
        <w:pStyle w:val="NormalBold"/>
      </w:pPr>
      <w:r w:rsidRPr="003B2277">
        <w:t>Uvodna izjava 14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C736413" w14:textId="77777777" w:rsidTr="005B4D60">
        <w:trPr>
          <w:jc w:val="center"/>
        </w:trPr>
        <w:tc>
          <w:tcPr>
            <w:tcW w:w="9752" w:type="dxa"/>
            <w:gridSpan w:val="2"/>
          </w:tcPr>
          <w:p w14:paraId="18547E06" w14:textId="77777777" w:rsidR="006F5BFE" w:rsidRPr="003B2277" w:rsidRDefault="006F5BFE" w:rsidP="005B4D60">
            <w:pPr>
              <w:keepNext/>
            </w:pPr>
          </w:p>
        </w:tc>
      </w:tr>
      <w:tr w:rsidR="006F5BFE" w:rsidRPr="003B2277" w14:paraId="613AB5CA" w14:textId="77777777" w:rsidTr="005B4D60">
        <w:trPr>
          <w:jc w:val="center"/>
        </w:trPr>
        <w:tc>
          <w:tcPr>
            <w:tcW w:w="4876" w:type="dxa"/>
            <w:hideMark/>
          </w:tcPr>
          <w:p w14:paraId="71D31A12" w14:textId="77777777" w:rsidR="006F5BFE" w:rsidRPr="003B2277" w:rsidRDefault="006F5BFE" w:rsidP="005B4D60">
            <w:pPr>
              <w:pStyle w:val="ColumnHeading"/>
              <w:keepNext/>
            </w:pPr>
            <w:r w:rsidRPr="003B2277">
              <w:t>Besedilo, ki ga predlaga Komisija</w:t>
            </w:r>
          </w:p>
        </w:tc>
        <w:tc>
          <w:tcPr>
            <w:tcW w:w="4876" w:type="dxa"/>
            <w:hideMark/>
          </w:tcPr>
          <w:p w14:paraId="4A9C1767" w14:textId="1544FF92" w:rsidR="006F5BFE" w:rsidRPr="003B2277" w:rsidRDefault="003B2277" w:rsidP="005B4D60">
            <w:pPr>
              <w:pStyle w:val="ColumnHeading"/>
              <w:keepNext/>
            </w:pPr>
            <w:r>
              <w:t>Sprememba</w:t>
            </w:r>
          </w:p>
        </w:tc>
      </w:tr>
      <w:tr w:rsidR="006F5BFE" w:rsidRPr="003B2277" w14:paraId="0ACD5057" w14:textId="77777777" w:rsidTr="005B4D60">
        <w:trPr>
          <w:jc w:val="center"/>
        </w:trPr>
        <w:tc>
          <w:tcPr>
            <w:tcW w:w="4876" w:type="dxa"/>
            <w:hideMark/>
          </w:tcPr>
          <w:p w14:paraId="245CEB63" w14:textId="77777777" w:rsidR="006F5BFE" w:rsidRPr="003B2277" w:rsidRDefault="006F5BFE" w:rsidP="005B4D60">
            <w:pPr>
              <w:pStyle w:val="Normal6"/>
            </w:pPr>
            <w:r w:rsidRPr="003B2277">
              <w:rPr>
                <w:b/>
                <w:i/>
              </w:rPr>
              <w:t>(14)</w:t>
            </w:r>
            <w:r w:rsidRPr="003B2277">
              <w:rPr>
                <w:b/>
                <w:i/>
              </w:rPr>
              <w:tab/>
              <w:t>Registracijo geografskih označb bi bilo treba poenostaviti in pospešiti, in sicer tako da se ocena skladnosti s predpisi o intelektualni lastnini loči od ocene skladnosti specifikacije proizvoda z zahtevami tržnih standardov in pravili označevanja.</w:t>
            </w:r>
          </w:p>
        </w:tc>
        <w:tc>
          <w:tcPr>
            <w:tcW w:w="4876" w:type="dxa"/>
            <w:hideMark/>
          </w:tcPr>
          <w:p w14:paraId="1BBF091D" w14:textId="77777777" w:rsidR="006F5BFE" w:rsidRPr="003B2277" w:rsidRDefault="006F5BFE" w:rsidP="005B4D60">
            <w:pPr>
              <w:pStyle w:val="Normal6"/>
              <w:rPr>
                <w:szCs w:val="24"/>
              </w:rPr>
            </w:pPr>
            <w:r w:rsidRPr="003B2277">
              <w:rPr>
                <w:b/>
                <w:i/>
              </w:rPr>
              <w:t>črtano</w:t>
            </w:r>
          </w:p>
        </w:tc>
      </w:tr>
    </w:tbl>
    <w:p w14:paraId="3F4456D6" w14:textId="77777777" w:rsidR="006F5BFE" w:rsidRPr="003B2277" w:rsidRDefault="006F5BFE" w:rsidP="006F5BFE"/>
    <w:p w14:paraId="3BC42053" w14:textId="130D345F" w:rsidR="006F5BFE" w:rsidRPr="003B2277" w:rsidRDefault="003B2277" w:rsidP="006F5BFE">
      <w:pPr>
        <w:pStyle w:val="AMNumberTabs"/>
        <w:keepNext/>
      </w:pPr>
      <w:r>
        <w:t>Sprememba</w:t>
      </w:r>
      <w:r w:rsidR="006F5BFE" w:rsidRPr="003B2277">
        <w:tab/>
      </w:r>
      <w:r w:rsidR="006F5BFE" w:rsidRPr="003B2277">
        <w:tab/>
        <w:t>15</w:t>
      </w:r>
    </w:p>
    <w:p w14:paraId="6E18DCCD" w14:textId="77777777" w:rsidR="006F5BFE" w:rsidRPr="003B2277" w:rsidRDefault="006F5BFE" w:rsidP="006F5BFE">
      <w:pPr>
        <w:pStyle w:val="NormalBold12b"/>
      </w:pPr>
      <w:r w:rsidRPr="003B2277">
        <w:t>Predlog uredbe</w:t>
      </w:r>
    </w:p>
    <w:p w14:paraId="4ADB9DB5" w14:textId="77777777" w:rsidR="006F5BFE" w:rsidRPr="003B2277" w:rsidRDefault="006F5BFE" w:rsidP="006F5BFE">
      <w:pPr>
        <w:pStyle w:val="NormalBold"/>
      </w:pPr>
      <w:r w:rsidRPr="003B2277">
        <w:t>Uvodna izjava 14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360D99D" w14:textId="77777777" w:rsidTr="005B4D60">
        <w:trPr>
          <w:jc w:val="center"/>
        </w:trPr>
        <w:tc>
          <w:tcPr>
            <w:tcW w:w="9752" w:type="dxa"/>
            <w:gridSpan w:val="2"/>
          </w:tcPr>
          <w:p w14:paraId="663DFEB2" w14:textId="77777777" w:rsidR="006F5BFE" w:rsidRPr="003B2277" w:rsidRDefault="006F5BFE" w:rsidP="005B4D60">
            <w:pPr>
              <w:keepNext/>
            </w:pPr>
          </w:p>
        </w:tc>
      </w:tr>
      <w:tr w:rsidR="006F5BFE" w:rsidRPr="003B2277" w14:paraId="1256B57A" w14:textId="77777777" w:rsidTr="005B4D60">
        <w:trPr>
          <w:jc w:val="center"/>
        </w:trPr>
        <w:tc>
          <w:tcPr>
            <w:tcW w:w="4876" w:type="dxa"/>
            <w:hideMark/>
          </w:tcPr>
          <w:p w14:paraId="65894BE7" w14:textId="77777777" w:rsidR="006F5BFE" w:rsidRPr="003B2277" w:rsidRDefault="006F5BFE" w:rsidP="005B4D60">
            <w:pPr>
              <w:pStyle w:val="ColumnHeading"/>
              <w:keepNext/>
            </w:pPr>
            <w:r w:rsidRPr="003B2277">
              <w:t>Besedilo, ki ga predlaga Komisija</w:t>
            </w:r>
          </w:p>
        </w:tc>
        <w:tc>
          <w:tcPr>
            <w:tcW w:w="4876" w:type="dxa"/>
            <w:hideMark/>
          </w:tcPr>
          <w:p w14:paraId="5F31BE19" w14:textId="7C9EDA0E" w:rsidR="006F5BFE" w:rsidRPr="003B2277" w:rsidRDefault="003B2277" w:rsidP="005B4D60">
            <w:pPr>
              <w:pStyle w:val="ColumnHeading"/>
              <w:keepNext/>
            </w:pPr>
            <w:r>
              <w:t>Sprememba</w:t>
            </w:r>
          </w:p>
        </w:tc>
      </w:tr>
      <w:tr w:rsidR="006F5BFE" w:rsidRPr="003B2277" w14:paraId="4B45033E" w14:textId="77777777" w:rsidTr="005B4D60">
        <w:trPr>
          <w:jc w:val="center"/>
        </w:trPr>
        <w:tc>
          <w:tcPr>
            <w:tcW w:w="4876" w:type="dxa"/>
          </w:tcPr>
          <w:p w14:paraId="237CCE7B" w14:textId="77777777" w:rsidR="006F5BFE" w:rsidRPr="003B2277" w:rsidRDefault="006F5BFE" w:rsidP="005B4D60">
            <w:pPr>
              <w:pStyle w:val="Normal6"/>
            </w:pPr>
          </w:p>
        </w:tc>
        <w:tc>
          <w:tcPr>
            <w:tcW w:w="4876" w:type="dxa"/>
            <w:hideMark/>
          </w:tcPr>
          <w:p w14:paraId="060A1144" w14:textId="77777777" w:rsidR="006F5BFE" w:rsidRPr="003B2277" w:rsidRDefault="006F5BFE" w:rsidP="005B4D60">
            <w:pPr>
              <w:pStyle w:val="Normal6"/>
              <w:rPr>
                <w:szCs w:val="24"/>
              </w:rPr>
            </w:pPr>
            <w:r w:rsidRPr="003B2277">
              <w:rPr>
                <w:b/>
                <w:i/>
              </w:rPr>
              <w:t>(14a)</w:t>
            </w:r>
            <w:r w:rsidRPr="003B2277">
              <w:rPr>
                <w:b/>
                <w:i/>
              </w:rPr>
              <w:tab/>
              <w:t>Države članice, ki so k Uniji pristopile po letu 2004, bi bilo treba z omogočanjem izmenjave dobrih praks med državami članicami spodbujati, da začnejo postopke za registracijo geografskih označb.</w:t>
            </w:r>
          </w:p>
        </w:tc>
      </w:tr>
    </w:tbl>
    <w:p w14:paraId="319A3B70" w14:textId="77777777" w:rsidR="006F5BFE" w:rsidRPr="003B2277" w:rsidRDefault="006F5BFE" w:rsidP="006F5BFE"/>
    <w:p w14:paraId="04E71055" w14:textId="7520381B" w:rsidR="006F5BFE" w:rsidRPr="003B2277" w:rsidRDefault="003B2277" w:rsidP="006F5BFE">
      <w:pPr>
        <w:pStyle w:val="AMNumberTabs"/>
      </w:pPr>
      <w:r>
        <w:t>Sprememba</w:t>
      </w:r>
      <w:r w:rsidR="006F5BFE" w:rsidRPr="003B2277">
        <w:tab/>
      </w:r>
      <w:r w:rsidR="006F5BFE" w:rsidRPr="003B2277">
        <w:tab/>
        <w:t>16</w:t>
      </w:r>
    </w:p>
    <w:p w14:paraId="2F6A3BC9" w14:textId="77777777" w:rsidR="006F5BFE" w:rsidRPr="003B2277" w:rsidRDefault="006F5BFE" w:rsidP="006F5BFE">
      <w:pPr>
        <w:pStyle w:val="NormalBold12b"/>
      </w:pPr>
      <w:r w:rsidRPr="003B2277">
        <w:t>Predlog uredbe</w:t>
      </w:r>
    </w:p>
    <w:p w14:paraId="19845C9F" w14:textId="77777777" w:rsidR="006F5BFE" w:rsidRPr="003B2277" w:rsidRDefault="006F5BFE" w:rsidP="006F5BFE">
      <w:pPr>
        <w:pStyle w:val="NormalBold"/>
      </w:pPr>
      <w:r w:rsidRPr="003B2277">
        <w:t>Uvodna izjava 14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B597902" w14:textId="77777777" w:rsidTr="005B4D60">
        <w:trPr>
          <w:trHeight w:hRule="exact" w:val="240"/>
          <w:jc w:val="center"/>
        </w:trPr>
        <w:tc>
          <w:tcPr>
            <w:tcW w:w="9752" w:type="dxa"/>
            <w:gridSpan w:val="2"/>
          </w:tcPr>
          <w:p w14:paraId="05E207FF" w14:textId="77777777" w:rsidR="006F5BFE" w:rsidRPr="003B2277" w:rsidRDefault="006F5BFE" w:rsidP="005B4D60"/>
        </w:tc>
      </w:tr>
      <w:tr w:rsidR="006F5BFE" w:rsidRPr="003B2277" w14:paraId="40D277B6" w14:textId="77777777" w:rsidTr="005B4D60">
        <w:trPr>
          <w:trHeight w:val="240"/>
          <w:jc w:val="center"/>
        </w:trPr>
        <w:tc>
          <w:tcPr>
            <w:tcW w:w="4876" w:type="dxa"/>
          </w:tcPr>
          <w:p w14:paraId="4284247B" w14:textId="77777777" w:rsidR="006F5BFE" w:rsidRPr="003B2277" w:rsidRDefault="006F5BFE" w:rsidP="005B4D60">
            <w:pPr>
              <w:pStyle w:val="ColumnHeading"/>
            </w:pPr>
            <w:r w:rsidRPr="003B2277">
              <w:t>Besedilo, ki ga predlaga Komisija</w:t>
            </w:r>
          </w:p>
        </w:tc>
        <w:tc>
          <w:tcPr>
            <w:tcW w:w="4876" w:type="dxa"/>
          </w:tcPr>
          <w:p w14:paraId="62786BF5" w14:textId="7B9447E8" w:rsidR="006F5BFE" w:rsidRPr="003B2277" w:rsidRDefault="003B2277" w:rsidP="005B4D60">
            <w:pPr>
              <w:pStyle w:val="ColumnHeading"/>
            </w:pPr>
            <w:r>
              <w:t>Sprememba</w:t>
            </w:r>
          </w:p>
        </w:tc>
      </w:tr>
      <w:tr w:rsidR="006F5BFE" w:rsidRPr="003B2277" w14:paraId="2AFF101C" w14:textId="77777777" w:rsidTr="005B4D60">
        <w:trPr>
          <w:jc w:val="center"/>
        </w:trPr>
        <w:tc>
          <w:tcPr>
            <w:tcW w:w="4876" w:type="dxa"/>
          </w:tcPr>
          <w:p w14:paraId="6547558F" w14:textId="77777777" w:rsidR="006F5BFE" w:rsidRPr="003B2277" w:rsidRDefault="006F5BFE" w:rsidP="005B4D60">
            <w:pPr>
              <w:pStyle w:val="Normal6"/>
            </w:pPr>
          </w:p>
        </w:tc>
        <w:tc>
          <w:tcPr>
            <w:tcW w:w="4876" w:type="dxa"/>
          </w:tcPr>
          <w:p w14:paraId="7CAA43FC" w14:textId="77777777" w:rsidR="006F5BFE" w:rsidRPr="003B2277" w:rsidRDefault="006F5BFE" w:rsidP="005B4D60">
            <w:pPr>
              <w:pStyle w:val="Normal6"/>
            </w:pPr>
            <w:r w:rsidRPr="003B2277">
              <w:rPr>
                <w:b/>
                <w:i/>
              </w:rPr>
              <w:t>(14b)</w:t>
            </w:r>
            <w:r w:rsidRPr="003B2277">
              <w:tab/>
            </w:r>
            <w:r w:rsidRPr="003B2277">
              <w:rPr>
                <w:b/>
                <w:i/>
              </w:rPr>
              <w:t>Partnerjem v državah v razvoju bi bilo zato treba pomagati pri razvijanju sistema geografskih označb in oznak, ki bi jih nato morale priznati tudi Unija in njene države članice.</w:t>
            </w:r>
          </w:p>
        </w:tc>
      </w:tr>
    </w:tbl>
    <w:p w14:paraId="1619DBDD" w14:textId="77777777" w:rsidR="006F5BFE" w:rsidRPr="003B2277" w:rsidRDefault="006F5BFE" w:rsidP="006F5BFE"/>
    <w:p w14:paraId="79147104" w14:textId="029799FA" w:rsidR="006F5BFE" w:rsidRPr="003B2277" w:rsidRDefault="003B2277" w:rsidP="006F5BFE">
      <w:pPr>
        <w:pStyle w:val="AMNumberTabs"/>
      </w:pPr>
      <w:r>
        <w:t>Sprememba</w:t>
      </w:r>
      <w:r w:rsidR="006F5BFE" w:rsidRPr="003B2277">
        <w:tab/>
      </w:r>
      <w:r w:rsidR="006F5BFE" w:rsidRPr="003B2277">
        <w:tab/>
        <w:t>17</w:t>
      </w:r>
    </w:p>
    <w:p w14:paraId="2040AE73" w14:textId="77777777" w:rsidR="006F5BFE" w:rsidRPr="003B2277" w:rsidRDefault="006F5BFE" w:rsidP="006F5BFE">
      <w:pPr>
        <w:pStyle w:val="NormalBold12b"/>
      </w:pPr>
      <w:r w:rsidRPr="003B2277">
        <w:t>Predlog uredbe</w:t>
      </w:r>
    </w:p>
    <w:p w14:paraId="6C713F53" w14:textId="77777777" w:rsidR="006F5BFE" w:rsidRPr="003B2277" w:rsidRDefault="006F5BFE" w:rsidP="006F5BFE">
      <w:pPr>
        <w:pStyle w:val="NormalBold"/>
      </w:pPr>
      <w:r w:rsidRPr="003B2277">
        <w:t>Uvodna izjava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B62BC02" w14:textId="77777777" w:rsidTr="005B4D60">
        <w:trPr>
          <w:trHeight w:hRule="exact" w:val="240"/>
          <w:jc w:val="center"/>
        </w:trPr>
        <w:tc>
          <w:tcPr>
            <w:tcW w:w="9752" w:type="dxa"/>
            <w:gridSpan w:val="2"/>
          </w:tcPr>
          <w:p w14:paraId="4F975347" w14:textId="77777777" w:rsidR="006F5BFE" w:rsidRPr="003B2277" w:rsidRDefault="006F5BFE" w:rsidP="005B4D60"/>
        </w:tc>
      </w:tr>
      <w:tr w:rsidR="006F5BFE" w:rsidRPr="003B2277" w14:paraId="1E4681C5" w14:textId="77777777" w:rsidTr="005B4D60">
        <w:trPr>
          <w:trHeight w:val="240"/>
          <w:jc w:val="center"/>
        </w:trPr>
        <w:tc>
          <w:tcPr>
            <w:tcW w:w="4876" w:type="dxa"/>
          </w:tcPr>
          <w:p w14:paraId="15D3842D" w14:textId="77777777" w:rsidR="006F5BFE" w:rsidRPr="003B2277" w:rsidRDefault="006F5BFE" w:rsidP="005B4D60">
            <w:pPr>
              <w:pStyle w:val="ColumnHeading"/>
            </w:pPr>
            <w:r w:rsidRPr="003B2277">
              <w:t>Besedilo, ki ga predlaga Komisija</w:t>
            </w:r>
          </w:p>
        </w:tc>
        <w:tc>
          <w:tcPr>
            <w:tcW w:w="4876" w:type="dxa"/>
          </w:tcPr>
          <w:p w14:paraId="6E82781A" w14:textId="0CFAC7B1" w:rsidR="006F5BFE" w:rsidRPr="003B2277" w:rsidRDefault="003B2277" w:rsidP="005B4D60">
            <w:pPr>
              <w:pStyle w:val="ColumnHeading"/>
            </w:pPr>
            <w:r>
              <w:t>Sprememba</w:t>
            </w:r>
          </w:p>
        </w:tc>
      </w:tr>
      <w:tr w:rsidR="006F5BFE" w:rsidRPr="003B2277" w14:paraId="697B6EC6" w14:textId="77777777" w:rsidTr="005B4D60">
        <w:trPr>
          <w:jc w:val="center"/>
        </w:trPr>
        <w:tc>
          <w:tcPr>
            <w:tcW w:w="4876" w:type="dxa"/>
          </w:tcPr>
          <w:p w14:paraId="11ED3404" w14:textId="77777777" w:rsidR="006F5BFE" w:rsidRPr="003B2277" w:rsidRDefault="006F5BFE" w:rsidP="005B4D60">
            <w:pPr>
              <w:pStyle w:val="Normal6"/>
            </w:pPr>
            <w:r w:rsidRPr="003B2277">
              <w:t>(15)</w:t>
            </w:r>
            <w:r w:rsidRPr="003B2277">
              <w:tab/>
              <w:t xml:space="preserve">Ocena, ki jo opravijo pristojni organi držav članic, je bistven korak v postopku. Države članice imajo splošno znanje, strokovno znanje ter dostop do podatkov in dejstev, zaradi česar same lahko najlažje preverijo, ali so informacije v vlogi pravilne in verodostojne. Zato bi morale države članice zagotoviti, da je rezultat navedene ocene, ki je dosledno evidentiran v enotnem dokumentu, ki povzema pomembne elemente specifikacije proizvoda, zanesljiv in točen. Ob upoštevanju načela subsidiarnosti bi Komisija nato morala pregledati vloge, da se zagotovi, da ne vsebujejo nobenih očitnih napak ter da so upoštevani pravo Unije in interesi </w:t>
            </w:r>
            <w:r w:rsidRPr="003B2277">
              <w:rPr>
                <w:b/>
                <w:i/>
              </w:rPr>
              <w:t>zainteresiranih strani</w:t>
            </w:r>
            <w:r w:rsidRPr="003B2277">
              <w:t xml:space="preserve"> zunaj države članice vložnice.</w:t>
            </w:r>
          </w:p>
        </w:tc>
        <w:tc>
          <w:tcPr>
            <w:tcW w:w="4876" w:type="dxa"/>
          </w:tcPr>
          <w:p w14:paraId="53F141F0" w14:textId="77777777" w:rsidR="006F5BFE" w:rsidRPr="003B2277" w:rsidRDefault="006F5BFE" w:rsidP="005B4D60">
            <w:pPr>
              <w:pStyle w:val="Normal6"/>
            </w:pPr>
            <w:r w:rsidRPr="003B2277">
              <w:t>(15)</w:t>
            </w:r>
            <w:r w:rsidRPr="003B2277">
              <w:tab/>
              <w:t xml:space="preserve">Ocena, ki jo opravijo pristojni organi držav članic, je bistven korak v postopku. Države članice imajo splošno znanje, strokovno znanje ter dostop do podatkov in dejstev, zaradi česar same lahko najlažje preverijo, ali so informacije v vlogi pravilne in verodostojne. Zato bi morale države članice zagotoviti, da je rezultat navedene ocene, ki je dosledno evidentiran v enotnem dokumentu, ki povzema pomembne elemente specifikacije proizvoda, zanesljiv in točen. Ob upoštevanju načela subsidiarnosti bi Komisija nato morala pregledati vloge, da se zagotovi, da ne vsebujejo nobenih očitnih napak ter da so upoštevani pravo Unije in interesi </w:t>
            </w:r>
            <w:r w:rsidRPr="003B2277">
              <w:rPr>
                <w:b/>
                <w:i/>
              </w:rPr>
              <w:t>deležnikov</w:t>
            </w:r>
            <w:r w:rsidRPr="003B2277">
              <w:t xml:space="preserve"> zunaj države članice vložnice</w:t>
            </w:r>
            <w:r w:rsidRPr="003B2277">
              <w:rPr>
                <w:b/>
                <w:i/>
              </w:rPr>
              <w:t xml:space="preserve"> in zunaj Unije</w:t>
            </w:r>
            <w:r w:rsidRPr="003B2277">
              <w:t>.</w:t>
            </w:r>
          </w:p>
        </w:tc>
      </w:tr>
    </w:tbl>
    <w:p w14:paraId="3F5592EC" w14:textId="77777777" w:rsidR="006F5BFE" w:rsidRPr="003B2277" w:rsidRDefault="006F5BFE" w:rsidP="006F5BFE"/>
    <w:p w14:paraId="50F23E47" w14:textId="0BCB89CD" w:rsidR="006F5BFE" w:rsidRPr="003B2277" w:rsidRDefault="003B2277" w:rsidP="006F5BFE">
      <w:pPr>
        <w:pStyle w:val="AMNumberTabs"/>
        <w:keepNext/>
      </w:pPr>
      <w:r>
        <w:t>Sprememba</w:t>
      </w:r>
      <w:r w:rsidR="006F5BFE" w:rsidRPr="003B2277">
        <w:tab/>
      </w:r>
      <w:r w:rsidR="006F5BFE" w:rsidRPr="003B2277">
        <w:tab/>
        <w:t>18</w:t>
      </w:r>
    </w:p>
    <w:p w14:paraId="784BFBC3" w14:textId="77777777" w:rsidR="006F5BFE" w:rsidRPr="003B2277" w:rsidRDefault="006F5BFE" w:rsidP="006F5BFE">
      <w:pPr>
        <w:pStyle w:val="NormalBold12b"/>
      </w:pPr>
      <w:r w:rsidRPr="003B2277">
        <w:t>Predlog uredbe</w:t>
      </w:r>
    </w:p>
    <w:p w14:paraId="16065D1B" w14:textId="77777777" w:rsidR="006F5BFE" w:rsidRPr="003B2277" w:rsidRDefault="006F5BFE" w:rsidP="006F5BFE">
      <w:pPr>
        <w:pStyle w:val="NormalBold"/>
      </w:pPr>
      <w:r w:rsidRPr="003B2277">
        <w:t>Uvodna izjava 17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EBBD858" w14:textId="77777777" w:rsidTr="005B4D60">
        <w:trPr>
          <w:jc w:val="center"/>
        </w:trPr>
        <w:tc>
          <w:tcPr>
            <w:tcW w:w="9752" w:type="dxa"/>
            <w:gridSpan w:val="2"/>
          </w:tcPr>
          <w:p w14:paraId="0D2E92A1" w14:textId="77777777" w:rsidR="006F5BFE" w:rsidRPr="003B2277" w:rsidRDefault="006F5BFE" w:rsidP="005B4D60">
            <w:pPr>
              <w:keepNext/>
            </w:pPr>
          </w:p>
        </w:tc>
      </w:tr>
      <w:tr w:rsidR="006F5BFE" w:rsidRPr="003B2277" w14:paraId="347B0A38" w14:textId="77777777" w:rsidTr="005B4D60">
        <w:trPr>
          <w:jc w:val="center"/>
        </w:trPr>
        <w:tc>
          <w:tcPr>
            <w:tcW w:w="4876" w:type="dxa"/>
            <w:hideMark/>
          </w:tcPr>
          <w:p w14:paraId="1767881B" w14:textId="77777777" w:rsidR="006F5BFE" w:rsidRPr="003B2277" w:rsidRDefault="006F5BFE" w:rsidP="005B4D60">
            <w:pPr>
              <w:pStyle w:val="ColumnHeading"/>
              <w:keepNext/>
            </w:pPr>
            <w:r w:rsidRPr="003B2277">
              <w:t>Besedilo, ki ga predlaga Komisija</w:t>
            </w:r>
          </w:p>
        </w:tc>
        <w:tc>
          <w:tcPr>
            <w:tcW w:w="4876" w:type="dxa"/>
            <w:hideMark/>
          </w:tcPr>
          <w:p w14:paraId="79DD2901" w14:textId="1A72464C" w:rsidR="006F5BFE" w:rsidRPr="003B2277" w:rsidRDefault="003B2277" w:rsidP="005B4D60">
            <w:pPr>
              <w:pStyle w:val="ColumnHeading"/>
              <w:keepNext/>
            </w:pPr>
            <w:r>
              <w:t>Sprememba</w:t>
            </w:r>
          </w:p>
        </w:tc>
      </w:tr>
      <w:tr w:rsidR="006F5BFE" w:rsidRPr="003B2277" w14:paraId="050983AD" w14:textId="77777777" w:rsidTr="005B4D60">
        <w:trPr>
          <w:jc w:val="center"/>
        </w:trPr>
        <w:tc>
          <w:tcPr>
            <w:tcW w:w="4876" w:type="dxa"/>
          </w:tcPr>
          <w:p w14:paraId="6F43CDBF" w14:textId="77777777" w:rsidR="006F5BFE" w:rsidRPr="003B2277" w:rsidRDefault="006F5BFE" w:rsidP="005B4D60">
            <w:pPr>
              <w:pStyle w:val="Normal6"/>
            </w:pPr>
          </w:p>
        </w:tc>
        <w:tc>
          <w:tcPr>
            <w:tcW w:w="4876" w:type="dxa"/>
            <w:hideMark/>
          </w:tcPr>
          <w:p w14:paraId="17391C90" w14:textId="77777777" w:rsidR="006F5BFE" w:rsidRPr="003B2277" w:rsidRDefault="006F5BFE" w:rsidP="005B4D60">
            <w:pPr>
              <w:pStyle w:val="Normal6"/>
              <w:rPr>
                <w:szCs w:val="24"/>
              </w:rPr>
            </w:pPr>
            <w:r w:rsidRPr="003B2277">
              <w:rPr>
                <w:b/>
                <w:i/>
              </w:rPr>
              <w:t>(17a)</w:t>
            </w:r>
            <w:r w:rsidRPr="003B2277">
              <w:rPr>
                <w:b/>
                <w:i/>
              </w:rPr>
              <w:tab/>
              <w:t>Izkušnje, pridobljene v okviru zaščite označb porekla in geografskih označb v vinskem sektorju, kažejo, da so sedanji postopki za registracijo, spremembo in preklic označb porekla ali geografskih označb Unije ali tretjih držav lahko zapleteni, obremenjujoči in dolgotrajni. Z Uredbo (EU) št. 1308/2013 je nastala pravna praznina, zlasti kar zadeva postopek, ki se uporablja pri vlogah za spremembo specifikacij proizvoda. Postopkovna pravila v zvezi z označbami porekla in geografskimi označbami v vinskem sektorju niso skladna s pravili, ki se v pravu Unije uporabljajo za sheme kakovosti v sektorju živil, žganih pijač in aromatiziranih vin. Posledica tega so nedoslednosti pri uveljavljanju te kategorije pravic intelektualne lastnine. Ta neskladja bi bilo treba obravnavati ob upoštevanju pravice do varstva intelektualne lastnine, določene v členu 17(2) Listine Evropske unije o temeljnih pravicah. S to uredbo bi bilo zato treba poenostaviti, pojasniti, dopolniti in uskladiti ustrezne postopke. Postopki bi se morali čim bolj zgledovati po učinkovitih in dobro preskušenih postopkih za zaščito pravic intelektualne lastnine, povezanih s kmetijskimi proizvodi in živili, določenimi v Uredbi (EU) št. 1151/2012 Evropskega parlamenta in Sveta in izvedbenih uredbah, sprejetih v skladu z njo, obenem pa bi morali upoštevati posebnosti vinskega sektorja.</w:t>
            </w:r>
          </w:p>
        </w:tc>
      </w:tr>
    </w:tbl>
    <w:p w14:paraId="7482B987" w14:textId="77777777" w:rsidR="006F5BFE" w:rsidRPr="003B2277" w:rsidRDefault="006F5BFE" w:rsidP="006F5BFE"/>
    <w:p w14:paraId="561476D7" w14:textId="2CFF8B1C" w:rsidR="006F5BFE" w:rsidRPr="003B2277" w:rsidRDefault="003B2277" w:rsidP="006F5BFE">
      <w:pPr>
        <w:pStyle w:val="AMNumberTabs"/>
        <w:keepNext/>
      </w:pPr>
      <w:r>
        <w:t>Sprememba</w:t>
      </w:r>
      <w:r w:rsidR="006F5BFE" w:rsidRPr="003B2277">
        <w:tab/>
      </w:r>
      <w:r w:rsidR="006F5BFE" w:rsidRPr="003B2277">
        <w:tab/>
        <w:t>19</w:t>
      </w:r>
    </w:p>
    <w:p w14:paraId="6A1FE740" w14:textId="77777777" w:rsidR="006F5BFE" w:rsidRPr="003B2277" w:rsidRDefault="006F5BFE" w:rsidP="006F5BFE">
      <w:pPr>
        <w:pStyle w:val="NormalBold12b"/>
      </w:pPr>
      <w:r w:rsidRPr="003B2277">
        <w:t>Predlog uredbe</w:t>
      </w:r>
    </w:p>
    <w:p w14:paraId="64F77796" w14:textId="77777777" w:rsidR="006F5BFE" w:rsidRPr="003B2277" w:rsidRDefault="006F5BFE" w:rsidP="006F5BFE">
      <w:pPr>
        <w:pStyle w:val="NormalBold"/>
      </w:pPr>
      <w:r w:rsidRPr="003B2277">
        <w:t>Uvodna izjava 17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A23A3CD" w14:textId="77777777" w:rsidTr="005B4D60">
        <w:trPr>
          <w:jc w:val="center"/>
        </w:trPr>
        <w:tc>
          <w:tcPr>
            <w:tcW w:w="9752" w:type="dxa"/>
            <w:gridSpan w:val="2"/>
          </w:tcPr>
          <w:p w14:paraId="04B3A092" w14:textId="77777777" w:rsidR="006F5BFE" w:rsidRPr="003B2277" w:rsidRDefault="006F5BFE" w:rsidP="005B4D60">
            <w:pPr>
              <w:keepNext/>
            </w:pPr>
          </w:p>
        </w:tc>
      </w:tr>
      <w:tr w:rsidR="006F5BFE" w:rsidRPr="003B2277" w14:paraId="373BE4D5" w14:textId="77777777" w:rsidTr="005B4D60">
        <w:trPr>
          <w:jc w:val="center"/>
        </w:trPr>
        <w:tc>
          <w:tcPr>
            <w:tcW w:w="4876" w:type="dxa"/>
            <w:hideMark/>
          </w:tcPr>
          <w:p w14:paraId="444FFA77" w14:textId="77777777" w:rsidR="006F5BFE" w:rsidRPr="003B2277" w:rsidRDefault="006F5BFE" w:rsidP="005B4D60">
            <w:pPr>
              <w:pStyle w:val="ColumnHeading"/>
              <w:keepNext/>
            </w:pPr>
            <w:r w:rsidRPr="003B2277">
              <w:t>Besedilo, ki ga predlaga Komisija</w:t>
            </w:r>
          </w:p>
        </w:tc>
        <w:tc>
          <w:tcPr>
            <w:tcW w:w="4876" w:type="dxa"/>
            <w:hideMark/>
          </w:tcPr>
          <w:p w14:paraId="4B487EF9" w14:textId="62887847" w:rsidR="006F5BFE" w:rsidRPr="003B2277" w:rsidRDefault="003B2277" w:rsidP="005B4D60">
            <w:pPr>
              <w:pStyle w:val="ColumnHeading"/>
              <w:keepNext/>
            </w:pPr>
            <w:r>
              <w:t>Sprememba</w:t>
            </w:r>
          </w:p>
        </w:tc>
      </w:tr>
      <w:tr w:rsidR="006F5BFE" w:rsidRPr="003B2277" w14:paraId="641C5E0F" w14:textId="77777777" w:rsidTr="005B4D60">
        <w:trPr>
          <w:jc w:val="center"/>
        </w:trPr>
        <w:tc>
          <w:tcPr>
            <w:tcW w:w="4876" w:type="dxa"/>
          </w:tcPr>
          <w:p w14:paraId="0FC69912" w14:textId="77777777" w:rsidR="006F5BFE" w:rsidRPr="003B2277" w:rsidRDefault="006F5BFE" w:rsidP="005B4D60">
            <w:pPr>
              <w:pStyle w:val="Normal6"/>
            </w:pPr>
          </w:p>
        </w:tc>
        <w:tc>
          <w:tcPr>
            <w:tcW w:w="4876" w:type="dxa"/>
            <w:hideMark/>
          </w:tcPr>
          <w:p w14:paraId="50EB0B46" w14:textId="77777777" w:rsidR="006F5BFE" w:rsidRPr="003B2277" w:rsidRDefault="006F5BFE" w:rsidP="005B4D60">
            <w:pPr>
              <w:pStyle w:val="Normal6"/>
              <w:rPr>
                <w:szCs w:val="24"/>
              </w:rPr>
            </w:pPr>
            <w:r w:rsidRPr="003B2277">
              <w:rPr>
                <w:b/>
                <w:i/>
              </w:rPr>
              <w:t>(17b)</w:t>
            </w:r>
            <w:r w:rsidRPr="003B2277">
              <w:rPr>
                <w:b/>
                <w:i/>
              </w:rPr>
              <w:tab/>
              <w:t>Označbe porekla in geografske označbe so neločljivo povezane z ozemljem držav članic. Nacionalni in lokalni organi so najbolje strokovno podkovani in najbolje poznajo ustrezna dejstva. To bi ob upoštevanju načela subsidiarnosti iz člena 5(3) PDEU morala odražati ustrezna postopkovna pravila.</w:t>
            </w:r>
          </w:p>
        </w:tc>
      </w:tr>
    </w:tbl>
    <w:p w14:paraId="1C00680A" w14:textId="77777777" w:rsidR="006F5BFE" w:rsidRPr="003B2277" w:rsidRDefault="006F5BFE" w:rsidP="006F5BFE"/>
    <w:p w14:paraId="56A3FE68" w14:textId="287B2418" w:rsidR="006F5BFE" w:rsidRPr="003B2277" w:rsidRDefault="003B2277" w:rsidP="006F5BFE">
      <w:pPr>
        <w:pStyle w:val="AMNumberTabs"/>
        <w:keepNext/>
      </w:pPr>
      <w:r>
        <w:t>Sprememba</w:t>
      </w:r>
      <w:r w:rsidR="006F5BFE" w:rsidRPr="003B2277">
        <w:tab/>
      </w:r>
      <w:r w:rsidR="006F5BFE" w:rsidRPr="003B2277">
        <w:tab/>
        <w:t>20</w:t>
      </w:r>
    </w:p>
    <w:p w14:paraId="6C63AD27" w14:textId="77777777" w:rsidR="006F5BFE" w:rsidRPr="003B2277" w:rsidRDefault="006F5BFE" w:rsidP="006F5BFE">
      <w:pPr>
        <w:pStyle w:val="NormalBold12b"/>
      </w:pPr>
      <w:r w:rsidRPr="003B2277">
        <w:t>Predlog uredbe</w:t>
      </w:r>
    </w:p>
    <w:p w14:paraId="46F6950C" w14:textId="77777777" w:rsidR="006F5BFE" w:rsidRPr="003B2277" w:rsidRDefault="006F5BFE" w:rsidP="006F5BFE">
      <w:pPr>
        <w:pStyle w:val="NormalBold"/>
      </w:pPr>
      <w:r w:rsidRPr="003B2277">
        <w:t>Uvodna izjava 17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B6478AB" w14:textId="77777777" w:rsidTr="005B4D60">
        <w:trPr>
          <w:jc w:val="center"/>
        </w:trPr>
        <w:tc>
          <w:tcPr>
            <w:tcW w:w="9752" w:type="dxa"/>
            <w:gridSpan w:val="2"/>
          </w:tcPr>
          <w:p w14:paraId="7CC0CC24" w14:textId="77777777" w:rsidR="006F5BFE" w:rsidRPr="003B2277" w:rsidRDefault="006F5BFE" w:rsidP="005B4D60">
            <w:pPr>
              <w:keepNext/>
            </w:pPr>
          </w:p>
        </w:tc>
      </w:tr>
      <w:tr w:rsidR="006F5BFE" w:rsidRPr="003B2277" w14:paraId="0733FAB1" w14:textId="77777777" w:rsidTr="005B4D60">
        <w:trPr>
          <w:jc w:val="center"/>
        </w:trPr>
        <w:tc>
          <w:tcPr>
            <w:tcW w:w="4876" w:type="dxa"/>
            <w:hideMark/>
          </w:tcPr>
          <w:p w14:paraId="2875E7B4" w14:textId="77777777" w:rsidR="006F5BFE" w:rsidRPr="003B2277" w:rsidRDefault="006F5BFE" w:rsidP="005B4D60">
            <w:pPr>
              <w:pStyle w:val="ColumnHeading"/>
              <w:keepNext/>
            </w:pPr>
            <w:r w:rsidRPr="003B2277">
              <w:t>Besedilo, ki ga predlaga Komisija</w:t>
            </w:r>
          </w:p>
        </w:tc>
        <w:tc>
          <w:tcPr>
            <w:tcW w:w="4876" w:type="dxa"/>
            <w:hideMark/>
          </w:tcPr>
          <w:p w14:paraId="4E46A4FA" w14:textId="17248091" w:rsidR="006F5BFE" w:rsidRPr="003B2277" w:rsidRDefault="003B2277" w:rsidP="005B4D60">
            <w:pPr>
              <w:pStyle w:val="ColumnHeading"/>
              <w:keepNext/>
            </w:pPr>
            <w:r>
              <w:t>Sprememba</w:t>
            </w:r>
          </w:p>
        </w:tc>
      </w:tr>
      <w:tr w:rsidR="006F5BFE" w:rsidRPr="003B2277" w14:paraId="31C3D697" w14:textId="77777777" w:rsidTr="005B4D60">
        <w:trPr>
          <w:jc w:val="center"/>
        </w:trPr>
        <w:tc>
          <w:tcPr>
            <w:tcW w:w="4876" w:type="dxa"/>
          </w:tcPr>
          <w:p w14:paraId="7025130B" w14:textId="77777777" w:rsidR="006F5BFE" w:rsidRPr="003B2277" w:rsidRDefault="006F5BFE" w:rsidP="005B4D60">
            <w:pPr>
              <w:pStyle w:val="Normal6"/>
            </w:pPr>
          </w:p>
        </w:tc>
        <w:tc>
          <w:tcPr>
            <w:tcW w:w="4876" w:type="dxa"/>
            <w:hideMark/>
          </w:tcPr>
          <w:p w14:paraId="5958766B" w14:textId="77777777" w:rsidR="006F5BFE" w:rsidRPr="003B2277" w:rsidRDefault="006F5BFE" w:rsidP="005B4D60">
            <w:pPr>
              <w:pStyle w:val="Normal6"/>
              <w:rPr>
                <w:szCs w:val="24"/>
              </w:rPr>
            </w:pPr>
            <w:r w:rsidRPr="003B2277">
              <w:rPr>
                <w:b/>
                <w:i/>
              </w:rPr>
              <w:t>(17c)</w:t>
            </w:r>
            <w:r w:rsidRPr="003B2277">
              <w:rPr>
                <w:b/>
                <w:i/>
              </w:rPr>
              <w:tab/>
              <w:t>Ocena, ki jo opravijo pristojni organi držav članic, je bistven korak v postopku. Države članice imajo strokovno in drugo znanje ter dostop do podatkov in dejstev, zaradi česar lahko najbolje ocenijo, ali vloga v zvezi z označbo porekla ali geografsko označbo izpolnjuje pogoje za zaščito. Zato bi morale države članice zagotoviti, da je rezultat te ocene, ki bi moral biti dosledno evidentiran v enotnem dokumentu, ki povzema pomembne elemente specifikacije proizvoda, zanesljiv in točen. Ob upoštevanju načela subsidiarnosti bi Komisija nato morala natančno pregledati vloge, da se zagotovi, da ne vsebujejo očitnih napak ter da so se upoštevali pravo Unije in interesi deležnikov zunaj države članice vložnice.</w:t>
            </w:r>
          </w:p>
        </w:tc>
      </w:tr>
    </w:tbl>
    <w:p w14:paraId="5E9BAA5C" w14:textId="77777777" w:rsidR="006F5BFE" w:rsidRPr="003B2277" w:rsidRDefault="006F5BFE" w:rsidP="006F5BFE"/>
    <w:p w14:paraId="14E38509" w14:textId="6E64F7F7" w:rsidR="006F5BFE" w:rsidRPr="003B2277" w:rsidRDefault="003B2277" w:rsidP="006F5BFE">
      <w:pPr>
        <w:pStyle w:val="AMNumberTabs"/>
        <w:keepNext/>
      </w:pPr>
      <w:r>
        <w:t>Sprememba</w:t>
      </w:r>
      <w:r w:rsidR="006F5BFE" w:rsidRPr="003B2277">
        <w:tab/>
      </w:r>
      <w:r w:rsidR="006F5BFE" w:rsidRPr="003B2277">
        <w:tab/>
        <w:t>21</w:t>
      </w:r>
    </w:p>
    <w:p w14:paraId="7773562D" w14:textId="77777777" w:rsidR="006F5BFE" w:rsidRPr="003B2277" w:rsidRDefault="006F5BFE" w:rsidP="006F5BFE">
      <w:pPr>
        <w:pStyle w:val="NormalBold12b"/>
      </w:pPr>
      <w:r w:rsidRPr="003B2277">
        <w:t>Predlog uredbe</w:t>
      </w:r>
    </w:p>
    <w:p w14:paraId="1EBDE71F" w14:textId="77777777" w:rsidR="006F5BFE" w:rsidRPr="003B2277" w:rsidRDefault="006F5BFE" w:rsidP="006F5BFE">
      <w:pPr>
        <w:pStyle w:val="NormalBold"/>
      </w:pPr>
      <w:r w:rsidRPr="003B2277">
        <w:t>Uvodna izjava 17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7FF83B9" w14:textId="77777777" w:rsidTr="005B4D60">
        <w:trPr>
          <w:jc w:val="center"/>
        </w:trPr>
        <w:tc>
          <w:tcPr>
            <w:tcW w:w="9752" w:type="dxa"/>
            <w:gridSpan w:val="2"/>
          </w:tcPr>
          <w:p w14:paraId="765863F4" w14:textId="77777777" w:rsidR="006F5BFE" w:rsidRPr="003B2277" w:rsidRDefault="006F5BFE" w:rsidP="005B4D60">
            <w:pPr>
              <w:keepNext/>
            </w:pPr>
          </w:p>
        </w:tc>
      </w:tr>
      <w:tr w:rsidR="006F5BFE" w:rsidRPr="003B2277" w14:paraId="71EE67AA" w14:textId="77777777" w:rsidTr="005B4D60">
        <w:trPr>
          <w:jc w:val="center"/>
        </w:trPr>
        <w:tc>
          <w:tcPr>
            <w:tcW w:w="4876" w:type="dxa"/>
            <w:hideMark/>
          </w:tcPr>
          <w:p w14:paraId="606D2240" w14:textId="77777777" w:rsidR="006F5BFE" w:rsidRPr="003B2277" w:rsidRDefault="006F5BFE" w:rsidP="005B4D60">
            <w:pPr>
              <w:pStyle w:val="ColumnHeading"/>
              <w:keepNext/>
            </w:pPr>
            <w:r w:rsidRPr="003B2277">
              <w:t>Besedilo, ki ga predlaga Komisija</w:t>
            </w:r>
          </w:p>
        </w:tc>
        <w:tc>
          <w:tcPr>
            <w:tcW w:w="4876" w:type="dxa"/>
            <w:hideMark/>
          </w:tcPr>
          <w:p w14:paraId="55C7ED7B" w14:textId="3289AEE6" w:rsidR="006F5BFE" w:rsidRPr="003B2277" w:rsidRDefault="003B2277" w:rsidP="005B4D60">
            <w:pPr>
              <w:pStyle w:val="ColumnHeading"/>
              <w:keepNext/>
            </w:pPr>
            <w:r>
              <w:t>Sprememba</w:t>
            </w:r>
          </w:p>
        </w:tc>
      </w:tr>
      <w:tr w:rsidR="006F5BFE" w:rsidRPr="003B2277" w14:paraId="03E983D9" w14:textId="77777777" w:rsidTr="005B4D60">
        <w:trPr>
          <w:jc w:val="center"/>
        </w:trPr>
        <w:tc>
          <w:tcPr>
            <w:tcW w:w="4876" w:type="dxa"/>
          </w:tcPr>
          <w:p w14:paraId="620BD8BF" w14:textId="77777777" w:rsidR="006F5BFE" w:rsidRPr="003B2277" w:rsidRDefault="006F5BFE" w:rsidP="005B4D60">
            <w:pPr>
              <w:pStyle w:val="Normal6"/>
            </w:pPr>
          </w:p>
        </w:tc>
        <w:tc>
          <w:tcPr>
            <w:tcW w:w="4876" w:type="dxa"/>
            <w:hideMark/>
          </w:tcPr>
          <w:p w14:paraId="7B86F81E" w14:textId="77777777" w:rsidR="006F5BFE" w:rsidRPr="003B2277" w:rsidRDefault="006F5BFE" w:rsidP="005B4D60">
            <w:pPr>
              <w:pStyle w:val="Normal6"/>
              <w:rPr>
                <w:szCs w:val="24"/>
              </w:rPr>
            </w:pPr>
            <w:r w:rsidRPr="003B2277">
              <w:rPr>
                <w:b/>
                <w:i/>
              </w:rPr>
              <w:t>(17d)</w:t>
            </w:r>
            <w:r w:rsidRPr="003B2277">
              <w:rPr>
                <w:b/>
                <w:i/>
              </w:rPr>
              <w:tab/>
              <w:t>Proizvajalci proizvodov vinske trte z imenom, zaščitenim kot označba porekla ali geografska označba, se srečujejo s spreminjajočim se in zahtevnim trgom. Potrebujejo postopke, ki bi jim omogočali hitro prilagoditev povpraševanju na trgu, vendar so dejansko kaznovani z dolžino in zapletenostjo sedanjega postopka spremembe, katerega učinek omejuje njihovo sposobnost hitrega odzivanja na trg. Proizvajalcem proizvodov vinske trte z imenom, zaščitenim kot označba porekla ali geografska označba, bi bilo treba poleg tega omogočiti, da upoštevajo razvoj na področju znanstvenega in tehničnega znanja ter okoljske spremembe. Za zmanjšanje števila stopenj teh postopkov in uveljavitev načela subsidiarnosti na tem področju bi bilo treba na ravni države članice odobriti odločitve o spremembah, ki se ne nanašajo na bistvene elemente specifikacije proizvoda. Proizvajalcem bi moralo biti omogočeno, da zadevne spremembe uporabijo takoj po zaključku nacionalnega postopka. Ponovno preverjanje vloge za odobritev na ravni Unije se ne bi smelo zahtevati.</w:t>
            </w:r>
          </w:p>
        </w:tc>
      </w:tr>
    </w:tbl>
    <w:p w14:paraId="3727CEC7" w14:textId="77777777" w:rsidR="006F5BFE" w:rsidRPr="003B2277" w:rsidRDefault="006F5BFE" w:rsidP="006F5BFE"/>
    <w:p w14:paraId="0D348B80" w14:textId="6707843F" w:rsidR="006F5BFE" w:rsidRPr="003B2277" w:rsidRDefault="003B2277" w:rsidP="006F5BFE">
      <w:pPr>
        <w:pStyle w:val="AMNumberTabs"/>
        <w:keepNext/>
      </w:pPr>
      <w:r>
        <w:t>Sprememba</w:t>
      </w:r>
      <w:r w:rsidR="006F5BFE" w:rsidRPr="003B2277">
        <w:tab/>
      </w:r>
      <w:r w:rsidR="006F5BFE" w:rsidRPr="003B2277">
        <w:tab/>
        <w:t>22</w:t>
      </w:r>
    </w:p>
    <w:p w14:paraId="33D873DC" w14:textId="77777777" w:rsidR="006F5BFE" w:rsidRPr="003B2277" w:rsidRDefault="006F5BFE" w:rsidP="006F5BFE">
      <w:pPr>
        <w:pStyle w:val="NormalBold12b"/>
      </w:pPr>
      <w:r w:rsidRPr="003B2277">
        <w:t>Predlog uredbe</w:t>
      </w:r>
    </w:p>
    <w:p w14:paraId="11E187E8" w14:textId="77777777" w:rsidR="006F5BFE" w:rsidRPr="003B2277" w:rsidRDefault="006F5BFE" w:rsidP="006F5BFE">
      <w:pPr>
        <w:pStyle w:val="NormalBold"/>
      </w:pPr>
      <w:r w:rsidRPr="003B2277">
        <w:t>Uvodna izjava 17 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A576394" w14:textId="77777777" w:rsidTr="005B4D60">
        <w:trPr>
          <w:jc w:val="center"/>
        </w:trPr>
        <w:tc>
          <w:tcPr>
            <w:tcW w:w="9752" w:type="dxa"/>
            <w:gridSpan w:val="2"/>
          </w:tcPr>
          <w:p w14:paraId="14277F9D" w14:textId="77777777" w:rsidR="006F5BFE" w:rsidRPr="003B2277" w:rsidRDefault="006F5BFE" w:rsidP="005B4D60">
            <w:pPr>
              <w:keepNext/>
            </w:pPr>
          </w:p>
        </w:tc>
      </w:tr>
      <w:tr w:rsidR="006F5BFE" w:rsidRPr="003B2277" w14:paraId="4D0EC795" w14:textId="77777777" w:rsidTr="005B4D60">
        <w:trPr>
          <w:jc w:val="center"/>
        </w:trPr>
        <w:tc>
          <w:tcPr>
            <w:tcW w:w="4876" w:type="dxa"/>
            <w:hideMark/>
          </w:tcPr>
          <w:p w14:paraId="159411CA" w14:textId="77777777" w:rsidR="006F5BFE" w:rsidRPr="003B2277" w:rsidRDefault="006F5BFE" w:rsidP="005B4D60">
            <w:pPr>
              <w:pStyle w:val="ColumnHeading"/>
              <w:keepNext/>
            </w:pPr>
            <w:r w:rsidRPr="003B2277">
              <w:t>Besedilo, ki ga predlaga Komisija</w:t>
            </w:r>
          </w:p>
        </w:tc>
        <w:tc>
          <w:tcPr>
            <w:tcW w:w="4876" w:type="dxa"/>
            <w:hideMark/>
          </w:tcPr>
          <w:p w14:paraId="6C7B30DF" w14:textId="266944CC" w:rsidR="006F5BFE" w:rsidRPr="003B2277" w:rsidRDefault="003B2277" w:rsidP="005B4D60">
            <w:pPr>
              <w:pStyle w:val="ColumnHeading"/>
              <w:keepNext/>
            </w:pPr>
            <w:r>
              <w:t>Sprememba</w:t>
            </w:r>
          </w:p>
        </w:tc>
      </w:tr>
      <w:tr w:rsidR="006F5BFE" w:rsidRPr="003B2277" w14:paraId="433BD071" w14:textId="77777777" w:rsidTr="005B4D60">
        <w:trPr>
          <w:jc w:val="center"/>
        </w:trPr>
        <w:tc>
          <w:tcPr>
            <w:tcW w:w="4876" w:type="dxa"/>
          </w:tcPr>
          <w:p w14:paraId="4B0B809C" w14:textId="77777777" w:rsidR="006F5BFE" w:rsidRPr="003B2277" w:rsidRDefault="006F5BFE" w:rsidP="005B4D60">
            <w:pPr>
              <w:pStyle w:val="Normal6"/>
            </w:pPr>
          </w:p>
        </w:tc>
        <w:tc>
          <w:tcPr>
            <w:tcW w:w="4876" w:type="dxa"/>
            <w:hideMark/>
          </w:tcPr>
          <w:p w14:paraId="1351C694" w14:textId="77777777" w:rsidR="006F5BFE" w:rsidRPr="003B2277" w:rsidRDefault="006F5BFE" w:rsidP="005B4D60">
            <w:pPr>
              <w:pStyle w:val="Normal6"/>
              <w:rPr>
                <w:szCs w:val="24"/>
              </w:rPr>
            </w:pPr>
            <w:r w:rsidRPr="003B2277">
              <w:rPr>
                <w:b/>
                <w:i/>
              </w:rPr>
              <w:t>(17e)</w:t>
            </w:r>
            <w:r w:rsidRPr="003B2277">
              <w:rPr>
                <w:b/>
                <w:i/>
              </w:rPr>
              <w:tab/>
              <w:t>Vendar bi morala biti Komisija za zaščito interesov tretjih oseb s sedežem v državah članicah, ki niso država članica, v kateri se proizvajajo proizvodi vinske trte, še naprej odgovorna za odobritev sprememb, za katere se zahteva postopek ugovora na ravni Unije. Zato bi bilo treba uvesti novo razvrstitev sprememb: standardne spremembe, ki ne povzročajo postopkov ugovora na ravni Unije in se torej uporabljajo takoj, ko jih odobri država članica; spremembe na ravni Unije, ki se uporabljajo šele po odobritvi Komisije, po zaključku postopka ugovora na ravni Unije.</w:t>
            </w:r>
          </w:p>
        </w:tc>
      </w:tr>
    </w:tbl>
    <w:p w14:paraId="4D1FBB0E" w14:textId="77777777" w:rsidR="006F5BFE" w:rsidRPr="003B2277" w:rsidRDefault="006F5BFE" w:rsidP="006F5BFE"/>
    <w:p w14:paraId="5557E838" w14:textId="2F810CC5" w:rsidR="006F5BFE" w:rsidRPr="003B2277" w:rsidRDefault="003B2277" w:rsidP="006F5BFE">
      <w:pPr>
        <w:pStyle w:val="AMNumberTabs"/>
        <w:keepNext/>
      </w:pPr>
      <w:r>
        <w:t>Sprememba</w:t>
      </w:r>
      <w:r w:rsidR="006F5BFE" w:rsidRPr="003B2277">
        <w:tab/>
      </w:r>
      <w:r w:rsidR="006F5BFE" w:rsidRPr="003B2277">
        <w:tab/>
        <w:t>23</w:t>
      </w:r>
    </w:p>
    <w:p w14:paraId="2874935F" w14:textId="77777777" w:rsidR="006F5BFE" w:rsidRPr="003B2277" w:rsidRDefault="006F5BFE" w:rsidP="006F5BFE">
      <w:pPr>
        <w:pStyle w:val="NormalBold12b"/>
      </w:pPr>
      <w:r w:rsidRPr="003B2277">
        <w:t>Predlog uredbe</w:t>
      </w:r>
    </w:p>
    <w:p w14:paraId="1B4673FD" w14:textId="77777777" w:rsidR="006F5BFE" w:rsidRPr="003B2277" w:rsidRDefault="006F5BFE" w:rsidP="006F5BFE">
      <w:pPr>
        <w:pStyle w:val="NormalBold"/>
      </w:pPr>
      <w:r w:rsidRPr="003B2277">
        <w:t>Uvodna izjava 17 f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A7CB635" w14:textId="77777777" w:rsidTr="005B4D60">
        <w:trPr>
          <w:jc w:val="center"/>
        </w:trPr>
        <w:tc>
          <w:tcPr>
            <w:tcW w:w="9752" w:type="dxa"/>
            <w:gridSpan w:val="2"/>
          </w:tcPr>
          <w:p w14:paraId="78DC6788" w14:textId="77777777" w:rsidR="006F5BFE" w:rsidRPr="003B2277" w:rsidRDefault="006F5BFE" w:rsidP="005B4D60">
            <w:pPr>
              <w:keepNext/>
            </w:pPr>
          </w:p>
        </w:tc>
      </w:tr>
      <w:tr w:rsidR="006F5BFE" w:rsidRPr="003B2277" w14:paraId="14E96E06" w14:textId="77777777" w:rsidTr="005B4D60">
        <w:trPr>
          <w:jc w:val="center"/>
        </w:trPr>
        <w:tc>
          <w:tcPr>
            <w:tcW w:w="4876" w:type="dxa"/>
            <w:hideMark/>
          </w:tcPr>
          <w:p w14:paraId="5D66D503" w14:textId="77777777" w:rsidR="006F5BFE" w:rsidRPr="003B2277" w:rsidRDefault="006F5BFE" w:rsidP="005B4D60">
            <w:pPr>
              <w:pStyle w:val="ColumnHeading"/>
              <w:keepNext/>
            </w:pPr>
            <w:r w:rsidRPr="003B2277">
              <w:t>Besedilo, ki ga predlaga Komisija</w:t>
            </w:r>
          </w:p>
        </w:tc>
        <w:tc>
          <w:tcPr>
            <w:tcW w:w="4876" w:type="dxa"/>
            <w:hideMark/>
          </w:tcPr>
          <w:p w14:paraId="4D06B20D" w14:textId="04D3A00F" w:rsidR="006F5BFE" w:rsidRPr="003B2277" w:rsidRDefault="003B2277" w:rsidP="005B4D60">
            <w:pPr>
              <w:pStyle w:val="ColumnHeading"/>
              <w:keepNext/>
            </w:pPr>
            <w:r>
              <w:t>Sprememba</w:t>
            </w:r>
          </w:p>
        </w:tc>
      </w:tr>
      <w:tr w:rsidR="006F5BFE" w:rsidRPr="003B2277" w14:paraId="2411554D" w14:textId="77777777" w:rsidTr="005B4D60">
        <w:trPr>
          <w:jc w:val="center"/>
        </w:trPr>
        <w:tc>
          <w:tcPr>
            <w:tcW w:w="4876" w:type="dxa"/>
          </w:tcPr>
          <w:p w14:paraId="5A2E92BA" w14:textId="77777777" w:rsidR="006F5BFE" w:rsidRPr="003B2277" w:rsidRDefault="006F5BFE" w:rsidP="005B4D60">
            <w:pPr>
              <w:pStyle w:val="Normal6"/>
            </w:pPr>
          </w:p>
        </w:tc>
        <w:tc>
          <w:tcPr>
            <w:tcW w:w="4876" w:type="dxa"/>
            <w:hideMark/>
          </w:tcPr>
          <w:p w14:paraId="47BFCC67" w14:textId="77777777" w:rsidR="006F5BFE" w:rsidRPr="003B2277" w:rsidRDefault="006F5BFE" w:rsidP="005B4D60">
            <w:pPr>
              <w:pStyle w:val="Normal6"/>
              <w:rPr>
                <w:szCs w:val="24"/>
              </w:rPr>
            </w:pPr>
            <w:r w:rsidRPr="003B2277">
              <w:rPr>
                <w:b/>
                <w:i/>
              </w:rPr>
              <w:t>(17f)</w:t>
            </w:r>
            <w:r w:rsidRPr="003B2277">
              <w:rPr>
                <w:b/>
                <w:i/>
              </w:rPr>
              <w:tab/>
              <w:t>Uvesti bi bilo treba začasne spremembe, da bi se lahko proizvodi vinske trte z zaščiteno označbo porekla ali geografsko označbo še naprej tržili pod zaščitenimi imeni v primeru naravnih nesreč ali neugodnih vremenskih razmer ali sprejetja sanitarnih ali fitosanitarnih ukrepov, zaradi katerih izvajalci začasno ne morejo izpolnjevati zahtev specifikacije proizvoda. Zaradi njihove nujnosti bi se morale začasne spremembe začeti uporabljati takoj, ko jih država članica odobri. Seznam nujnih razlogov za začasne spremembe je izčrpen zaradi izjemnega značaja začasnih sprememb.</w:t>
            </w:r>
          </w:p>
        </w:tc>
      </w:tr>
    </w:tbl>
    <w:p w14:paraId="70870AB3" w14:textId="77777777" w:rsidR="006F5BFE" w:rsidRPr="003B2277" w:rsidRDefault="006F5BFE" w:rsidP="006F5BFE"/>
    <w:p w14:paraId="07B255FD" w14:textId="45B025A8" w:rsidR="006F5BFE" w:rsidRPr="003B2277" w:rsidRDefault="003B2277" w:rsidP="006F5BFE">
      <w:pPr>
        <w:pStyle w:val="AMNumberTabs"/>
        <w:keepNext/>
      </w:pPr>
      <w:r>
        <w:t>Sprememba</w:t>
      </w:r>
      <w:r w:rsidR="006F5BFE" w:rsidRPr="003B2277">
        <w:tab/>
      </w:r>
      <w:r w:rsidR="006F5BFE" w:rsidRPr="003B2277">
        <w:tab/>
        <w:t>24</w:t>
      </w:r>
    </w:p>
    <w:p w14:paraId="5F99802F" w14:textId="77777777" w:rsidR="006F5BFE" w:rsidRPr="003B2277" w:rsidRDefault="006F5BFE" w:rsidP="006F5BFE">
      <w:pPr>
        <w:pStyle w:val="NormalBold12b"/>
      </w:pPr>
      <w:r w:rsidRPr="003B2277">
        <w:t>Predlog uredbe</w:t>
      </w:r>
    </w:p>
    <w:p w14:paraId="1ED76A89" w14:textId="77777777" w:rsidR="006F5BFE" w:rsidRPr="003B2277" w:rsidRDefault="006F5BFE" w:rsidP="006F5BFE">
      <w:pPr>
        <w:pStyle w:val="NormalBold"/>
      </w:pPr>
      <w:r w:rsidRPr="003B2277">
        <w:t>Uvodna izjava 17 g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DAA9067" w14:textId="77777777" w:rsidTr="005B4D60">
        <w:trPr>
          <w:jc w:val="center"/>
        </w:trPr>
        <w:tc>
          <w:tcPr>
            <w:tcW w:w="9752" w:type="dxa"/>
            <w:gridSpan w:val="2"/>
          </w:tcPr>
          <w:p w14:paraId="491ECCFB" w14:textId="77777777" w:rsidR="006F5BFE" w:rsidRPr="003B2277" w:rsidRDefault="006F5BFE" w:rsidP="005B4D60">
            <w:pPr>
              <w:keepNext/>
            </w:pPr>
          </w:p>
        </w:tc>
      </w:tr>
      <w:tr w:rsidR="006F5BFE" w:rsidRPr="003B2277" w14:paraId="4FE1D39F" w14:textId="77777777" w:rsidTr="005B4D60">
        <w:trPr>
          <w:jc w:val="center"/>
        </w:trPr>
        <w:tc>
          <w:tcPr>
            <w:tcW w:w="4876" w:type="dxa"/>
            <w:hideMark/>
          </w:tcPr>
          <w:p w14:paraId="53728361" w14:textId="77777777" w:rsidR="006F5BFE" w:rsidRPr="003B2277" w:rsidRDefault="006F5BFE" w:rsidP="005B4D60">
            <w:pPr>
              <w:pStyle w:val="ColumnHeading"/>
              <w:keepNext/>
            </w:pPr>
            <w:r w:rsidRPr="003B2277">
              <w:t>Besedilo, ki ga predlaga Komisija</w:t>
            </w:r>
          </w:p>
        </w:tc>
        <w:tc>
          <w:tcPr>
            <w:tcW w:w="4876" w:type="dxa"/>
            <w:hideMark/>
          </w:tcPr>
          <w:p w14:paraId="6B26F069" w14:textId="11A17F71" w:rsidR="006F5BFE" w:rsidRPr="003B2277" w:rsidRDefault="003B2277" w:rsidP="005B4D60">
            <w:pPr>
              <w:pStyle w:val="ColumnHeading"/>
              <w:keepNext/>
            </w:pPr>
            <w:r>
              <w:t>Sprememba</w:t>
            </w:r>
          </w:p>
        </w:tc>
      </w:tr>
      <w:tr w:rsidR="006F5BFE" w:rsidRPr="003B2277" w14:paraId="0D7E6852" w14:textId="77777777" w:rsidTr="005B4D60">
        <w:trPr>
          <w:jc w:val="center"/>
        </w:trPr>
        <w:tc>
          <w:tcPr>
            <w:tcW w:w="4876" w:type="dxa"/>
          </w:tcPr>
          <w:p w14:paraId="25804EC2" w14:textId="77777777" w:rsidR="006F5BFE" w:rsidRPr="003B2277" w:rsidRDefault="006F5BFE" w:rsidP="005B4D60">
            <w:pPr>
              <w:pStyle w:val="Normal6"/>
            </w:pPr>
          </w:p>
        </w:tc>
        <w:tc>
          <w:tcPr>
            <w:tcW w:w="4876" w:type="dxa"/>
            <w:hideMark/>
          </w:tcPr>
          <w:p w14:paraId="465A33B4" w14:textId="77777777" w:rsidR="006F5BFE" w:rsidRPr="003B2277" w:rsidRDefault="006F5BFE" w:rsidP="005B4D60">
            <w:pPr>
              <w:pStyle w:val="Normal6"/>
              <w:rPr>
                <w:szCs w:val="24"/>
              </w:rPr>
            </w:pPr>
            <w:r w:rsidRPr="003B2277">
              <w:rPr>
                <w:b/>
                <w:i/>
              </w:rPr>
              <w:t>(17g)</w:t>
            </w:r>
            <w:r w:rsidRPr="003B2277">
              <w:rPr>
                <w:b/>
                <w:i/>
              </w:rPr>
              <w:tab/>
              <w:t>Za spremembe na ravni Unije bi bilo treba uporabljati postopek za vloge za zaščito, da se zagotovijo enaka učinkovitost in jamstva. Uporabljati bi se morale smiselno z izključitvijo nekaterih stopenj, ki bi jih bilo treba zaradi zmanjšanja upravnega bremena odpraviti. Vzpostaviti bi bilo treba postopek za standardne in začasne spremembe, da bi lahko države članice ustrezno ocenjevale vloge in da bi se zagotovil skladen pristop v vseh državah članicah. Natančnost in izčrpnost ocene držav članic bi morala biti enakovredna natančnosti in izčrpnosti, ki se zahtevata za postopek ocenjevanja v okviru postopka, ki se uporablja za vloge za zaščito.</w:t>
            </w:r>
          </w:p>
        </w:tc>
      </w:tr>
    </w:tbl>
    <w:p w14:paraId="5ECEFCDF" w14:textId="77777777" w:rsidR="006F5BFE" w:rsidRPr="003B2277" w:rsidRDefault="006F5BFE" w:rsidP="006F5BFE"/>
    <w:p w14:paraId="45C7DF3D" w14:textId="7BA2CA9E" w:rsidR="006F5BFE" w:rsidRPr="003B2277" w:rsidRDefault="003B2277" w:rsidP="006F5BFE">
      <w:pPr>
        <w:pStyle w:val="AMNumberTabs"/>
        <w:keepNext/>
      </w:pPr>
      <w:r>
        <w:t>Sprememba</w:t>
      </w:r>
      <w:r w:rsidR="006F5BFE" w:rsidRPr="003B2277">
        <w:tab/>
      </w:r>
      <w:r w:rsidR="006F5BFE" w:rsidRPr="003B2277">
        <w:tab/>
        <w:t>25</w:t>
      </w:r>
    </w:p>
    <w:p w14:paraId="1FCBF40A" w14:textId="77777777" w:rsidR="006F5BFE" w:rsidRPr="003B2277" w:rsidRDefault="006F5BFE" w:rsidP="006F5BFE">
      <w:pPr>
        <w:pStyle w:val="NormalBold12b"/>
      </w:pPr>
      <w:r w:rsidRPr="003B2277">
        <w:t>Predlog uredbe</w:t>
      </w:r>
    </w:p>
    <w:p w14:paraId="6E5DE50B" w14:textId="77777777" w:rsidR="006F5BFE" w:rsidRPr="003B2277" w:rsidRDefault="006F5BFE" w:rsidP="006F5BFE">
      <w:pPr>
        <w:pStyle w:val="NormalBold"/>
      </w:pPr>
      <w:r w:rsidRPr="003B2277">
        <w:t>Uvodna izjava 17 h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E5F0D85" w14:textId="77777777" w:rsidTr="005B4D60">
        <w:trPr>
          <w:jc w:val="center"/>
        </w:trPr>
        <w:tc>
          <w:tcPr>
            <w:tcW w:w="9752" w:type="dxa"/>
            <w:gridSpan w:val="2"/>
          </w:tcPr>
          <w:p w14:paraId="2328C6CB" w14:textId="77777777" w:rsidR="006F5BFE" w:rsidRPr="003B2277" w:rsidRDefault="006F5BFE" w:rsidP="005B4D60">
            <w:pPr>
              <w:keepNext/>
            </w:pPr>
          </w:p>
        </w:tc>
      </w:tr>
      <w:tr w:rsidR="006F5BFE" w:rsidRPr="003B2277" w14:paraId="5F8F0644" w14:textId="77777777" w:rsidTr="005B4D60">
        <w:trPr>
          <w:jc w:val="center"/>
        </w:trPr>
        <w:tc>
          <w:tcPr>
            <w:tcW w:w="4876" w:type="dxa"/>
            <w:hideMark/>
          </w:tcPr>
          <w:p w14:paraId="4F9694DC" w14:textId="77777777" w:rsidR="006F5BFE" w:rsidRPr="003B2277" w:rsidRDefault="006F5BFE" w:rsidP="005B4D60">
            <w:pPr>
              <w:pStyle w:val="ColumnHeading"/>
              <w:keepNext/>
            </w:pPr>
            <w:r w:rsidRPr="003B2277">
              <w:t>Besedilo, ki ga predlaga Komisija</w:t>
            </w:r>
          </w:p>
        </w:tc>
        <w:tc>
          <w:tcPr>
            <w:tcW w:w="4876" w:type="dxa"/>
            <w:hideMark/>
          </w:tcPr>
          <w:p w14:paraId="5ED9AB57" w14:textId="2F4414EC" w:rsidR="006F5BFE" w:rsidRPr="003B2277" w:rsidRDefault="003B2277" w:rsidP="005B4D60">
            <w:pPr>
              <w:pStyle w:val="ColumnHeading"/>
              <w:keepNext/>
            </w:pPr>
            <w:r>
              <w:t>Sprememba</w:t>
            </w:r>
          </w:p>
        </w:tc>
      </w:tr>
      <w:tr w:rsidR="006F5BFE" w:rsidRPr="003B2277" w14:paraId="720B522A" w14:textId="77777777" w:rsidTr="005B4D60">
        <w:trPr>
          <w:jc w:val="center"/>
        </w:trPr>
        <w:tc>
          <w:tcPr>
            <w:tcW w:w="4876" w:type="dxa"/>
          </w:tcPr>
          <w:p w14:paraId="0CF03A7E" w14:textId="77777777" w:rsidR="006F5BFE" w:rsidRPr="003B2277" w:rsidRDefault="006F5BFE" w:rsidP="005B4D60">
            <w:pPr>
              <w:pStyle w:val="Normal6"/>
            </w:pPr>
          </w:p>
        </w:tc>
        <w:tc>
          <w:tcPr>
            <w:tcW w:w="4876" w:type="dxa"/>
            <w:hideMark/>
          </w:tcPr>
          <w:p w14:paraId="7700BACD" w14:textId="77777777" w:rsidR="006F5BFE" w:rsidRPr="003B2277" w:rsidRDefault="006F5BFE" w:rsidP="005B4D60">
            <w:pPr>
              <w:pStyle w:val="Normal6"/>
              <w:rPr>
                <w:szCs w:val="24"/>
              </w:rPr>
            </w:pPr>
            <w:r w:rsidRPr="003B2277">
              <w:rPr>
                <w:b/>
                <w:i/>
              </w:rPr>
              <w:t>(17h)</w:t>
            </w:r>
            <w:r w:rsidRPr="003B2277">
              <w:rPr>
                <w:b/>
                <w:i/>
              </w:rPr>
              <w:tab/>
              <w:t>Pri standardnih in začasnih spremembah, povezanih z zaščitenimi označbami porekla in geografskimi označbami tretjih držav, bi bilo treba uporabljati pristop, določen za države članice, odločitev o odobritvi pa bi bilo treba sprejeti v skladu s sistemom, veljavnim v zadevni tretji državi.</w:t>
            </w:r>
          </w:p>
        </w:tc>
      </w:tr>
    </w:tbl>
    <w:p w14:paraId="436C7704" w14:textId="77777777" w:rsidR="006F5BFE" w:rsidRPr="003B2277" w:rsidRDefault="006F5BFE" w:rsidP="006F5BFE"/>
    <w:p w14:paraId="331EBBEE" w14:textId="61E36F95" w:rsidR="006F5BFE" w:rsidRPr="003B2277" w:rsidRDefault="003B2277" w:rsidP="006F5BFE">
      <w:pPr>
        <w:pStyle w:val="AMNumberTabs"/>
        <w:keepNext/>
      </w:pPr>
      <w:r>
        <w:t>Sprememba</w:t>
      </w:r>
      <w:r w:rsidR="006F5BFE" w:rsidRPr="003B2277">
        <w:tab/>
      </w:r>
      <w:r w:rsidR="006F5BFE" w:rsidRPr="003B2277">
        <w:tab/>
        <w:t>26</w:t>
      </w:r>
    </w:p>
    <w:p w14:paraId="3D1C6D62" w14:textId="77777777" w:rsidR="006F5BFE" w:rsidRPr="003B2277" w:rsidRDefault="006F5BFE" w:rsidP="006F5BFE">
      <w:pPr>
        <w:pStyle w:val="NormalBold12b"/>
      </w:pPr>
      <w:r w:rsidRPr="003B2277">
        <w:t>Predlog uredbe</w:t>
      </w:r>
    </w:p>
    <w:p w14:paraId="069D0CDD" w14:textId="77777777" w:rsidR="006F5BFE" w:rsidRPr="003B2277" w:rsidRDefault="006F5BFE" w:rsidP="006F5BFE">
      <w:pPr>
        <w:pStyle w:val="NormalBold"/>
      </w:pPr>
      <w:r w:rsidRPr="003B2277">
        <w:t>Uvodna izjava 17 i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1B9E415" w14:textId="77777777" w:rsidTr="005B4D60">
        <w:trPr>
          <w:jc w:val="center"/>
        </w:trPr>
        <w:tc>
          <w:tcPr>
            <w:tcW w:w="9752" w:type="dxa"/>
            <w:gridSpan w:val="2"/>
          </w:tcPr>
          <w:p w14:paraId="52033FF8" w14:textId="77777777" w:rsidR="006F5BFE" w:rsidRPr="003B2277" w:rsidRDefault="006F5BFE" w:rsidP="005B4D60">
            <w:pPr>
              <w:keepNext/>
            </w:pPr>
          </w:p>
        </w:tc>
      </w:tr>
      <w:tr w:rsidR="006F5BFE" w:rsidRPr="003B2277" w14:paraId="08E28E91" w14:textId="77777777" w:rsidTr="005B4D60">
        <w:trPr>
          <w:jc w:val="center"/>
        </w:trPr>
        <w:tc>
          <w:tcPr>
            <w:tcW w:w="4876" w:type="dxa"/>
            <w:hideMark/>
          </w:tcPr>
          <w:p w14:paraId="336FF569" w14:textId="77777777" w:rsidR="006F5BFE" w:rsidRPr="003B2277" w:rsidRDefault="006F5BFE" w:rsidP="005B4D60">
            <w:pPr>
              <w:pStyle w:val="ColumnHeading"/>
              <w:keepNext/>
            </w:pPr>
            <w:r w:rsidRPr="003B2277">
              <w:t>Besedilo, ki ga predlaga Komisija</w:t>
            </w:r>
          </w:p>
        </w:tc>
        <w:tc>
          <w:tcPr>
            <w:tcW w:w="4876" w:type="dxa"/>
            <w:hideMark/>
          </w:tcPr>
          <w:p w14:paraId="692699AE" w14:textId="6D3C9CC4" w:rsidR="006F5BFE" w:rsidRPr="003B2277" w:rsidRDefault="003B2277" w:rsidP="005B4D60">
            <w:pPr>
              <w:pStyle w:val="ColumnHeading"/>
              <w:keepNext/>
            </w:pPr>
            <w:r>
              <w:t>Sprememba</w:t>
            </w:r>
          </w:p>
        </w:tc>
      </w:tr>
      <w:tr w:rsidR="006F5BFE" w:rsidRPr="003B2277" w14:paraId="6BB33FB7" w14:textId="77777777" w:rsidTr="005B4D60">
        <w:trPr>
          <w:jc w:val="center"/>
        </w:trPr>
        <w:tc>
          <w:tcPr>
            <w:tcW w:w="4876" w:type="dxa"/>
          </w:tcPr>
          <w:p w14:paraId="768408CB" w14:textId="77777777" w:rsidR="006F5BFE" w:rsidRPr="003B2277" w:rsidRDefault="006F5BFE" w:rsidP="005B4D60">
            <w:pPr>
              <w:pStyle w:val="Normal6"/>
            </w:pPr>
          </w:p>
        </w:tc>
        <w:tc>
          <w:tcPr>
            <w:tcW w:w="4876" w:type="dxa"/>
            <w:hideMark/>
          </w:tcPr>
          <w:p w14:paraId="425255D2" w14:textId="77777777" w:rsidR="006F5BFE" w:rsidRPr="003B2277" w:rsidRDefault="006F5BFE" w:rsidP="005B4D60">
            <w:pPr>
              <w:pStyle w:val="Normal6"/>
              <w:rPr>
                <w:szCs w:val="24"/>
              </w:rPr>
            </w:pPr>
            <w:r w:rsidRPr="003B2277">
              <w:rPr>
                <w:b/>
                <w:i/>
              </w:rPr>
              <w:t>(17i)</w:t>
            </w:r>
            <w:r w:rsidRPr="003B2277">
              <w:rPr>
                <w:b/>
                <w:i/>
              </w:rPr>
              <w:tab/>
              <w:t>Sprejeti bi bilo treba pravila o začasnem označevanju in predstavitvi proizvodov vinske trte, katerih ime je predmet vloge za zaščito kot označba porekla ali geografska označba, da bi se zagotovila zaščita zakonitih interesov izvajalcev, ob upoštevanju načela poštene konkurence in obveznosti sporočanja ustreznih informacij potrošnikom.</w:t>
            </w:r>
          </w:p>
        </w:tc>
      </w:tr>
    </w:tbl>
    <w:p w14:paraId="4AEC650D" w14:textId="77777777" w:rsidR="006F5BFE" w:rsidRPr="003B2277" w:rsidRDefault="006F5BFE" w:rsidP="006F5BFE"/>
    <w:p w14:paraId="69ED7D69" w14:textId="4956EBC9" w:rsidR="006F5BFE" w:rsidRPr="003B2277" w:rsidRDefault="003B2277" w:rsidP="006F5BFE">
      <w:pPr>
        <w:pStyle w:val="AMNumberTabs"/>
        <w:keepNext/>
      </w:pPr>
      <w:r>
        <w:t>Sprememba</w:t>
      </w:r>
      <w:r w:rsidR="006F5BFE" w:rsidRPr="003B2277">
        <w:tab/>
      </w:r>
      <w:r w:rsidR="006F5BFE" w:rsidRPr="003B2277">
        <w:tab/>
        <w:t>27</w:t>
      </w:r>
    </w:p>
    <w:p w14:paraId="56F10F3E" w14:textId="77777777" w:rsidR="006F5BFE" w:rsidRPr="003B2277" w:rsidRDefault="006F5BFE" w:rsidP="006F5BFE">
      <w:pPr>
        <w:pStyle w:val="NormalBold12b"/>
      </w:pPr>
      <w:r w:rsidRPr="003B2277">
        <w:t>Predlog uredbe</w:t>
      </w:r>
    </w:p>
    <w:p w14:paraId="78E29F27" w14:textId="77777777" w:rsidR="006F5BFE" w:rsidRPr="003B2277" w:rsidRDefault="006F5BFE" w:rsidP="006F5BFE">
      <w:pPr>
        <w:pStyle w:val="NormalBold"/>
      </w:pPr>
      <w:r w:rsidRPr="003B2277">
        <w:t>Uvodna izjava 22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57B12AD" w14:textId="77777777" w:rsidTr="005B4D60">
        <w:trPr>
          <w:jc w:val="center"/>
        </w:trPr>
        <w:tc>
          <w:tcPr>
            <w:tcW w:w="9752" w:type="dxa"/>
            <w:gridSpan w:val="2"/>
          </w:tcPr>
          <w:p w14:paraId="29008F02" w14:textId="77777777" w:rsidR="006F5BFE" w:rsidRPr="003B2277" w:rsidRDefault="006F5BFE" w:rsidP="005B4D60">
            <w:pPr>
              <w:keepNext/>
            </w:pPr>
          </w:p>
        </w:tc>
      </w:tr>
      <w:tr w:rsidR="006F5BFE" w:rsidRPr="003B2277" w14:paraId="1CA430C8" w14:textId="77777777" w:rsidTr="005B4D60">
        <w:trPr>
          <w:jc w:val="center"/>
        </w:trPr>
        <w:tc>
          <w:tcPr>
            <w:tcW w:w="4876" w:type="dxa"/>
            <w:hideMark/>
          </w:tcPr>
          <w:p w14:paraId="2D882D3F" w14:textId="77777777" w:rsidR="006F5BFE" w:rsidRPr="003B2277" w:rsidRDefault="006F5BFE" w:rsidP="005B4D60">
            <w:pPr>
              <w:pStyle w:val="ColumnHeading"/>
              <w:keepNext/>
            </w:pPr>
            <w:r w:rsidRPr="003B2277">
              <w:t>Besedilo, ki ga predlaga Komisija</w:t>
            </w:r>
          </w:p>
        </w:tc>
        <w:tc>
          <w:tcPr>
            <w:tcW w:w="4876" w:type="dxa"/>
            <w:hideMark/>
          </w:tcPr>
          <w:p w14:paraId="5C3C9EC7" w14:textId="26A05D1B" w:rsidR="006F5BFE" w:rsidRPr="003B2277" w:rsidRDefault="003B2277" w:rsidP="005B4D60">
            <w:pPr>
              <w:pStyle w:val="ColumnHeading"/>
              <w:keepNext/>
            </w:pPr>
            <w:r>
              <w:t>Sprememba</w:t>
            </w:r>
          </w:p>
        </w:tc>
      </w:tr>
      <w:tr w:rsidR="006F5BFE" w:rsidRPr="003B2277" w14:paraId="627E4932" w14:textId="77777777" w:rsidTr="005B4D60">
        <w:trPr>
          <w:jc w:val="center"/>
        </w:trPr>
        <w:tc>
          <w:tcPr>
            <w:tcW w:w="4876" w:type="dxa"/>
          </w:tcPr>
          <w:p w14:paraId="61F01F21" w14:textId="77777777" w:rsidR="006F5BFE" w:rsidRPr="003B2277" w:rsidRDefault="006F5BFE" w:rsidP="005B4D60">
            <w:pPr>
              <w:pStyle w:val="Normal6"/>
            </w:pPr>
          </w:p>
        </w:tc>
        <w:tc>
          <w:tcPr>
            <w:tcW w:w="4876" w:type="dxa"/>
            <w:hideMark/>
          </w:tcPr>
          <w:p w14:paraId="53E710D9" w14:textId="77777777" w:rsidR="006F5BFE" w:rsidRPr="003B2277" w:rsidRDefault="006F5BFE" w:rsidP="005B4D60">
            <w:pPr>
              <w:pStyle w:val="Normal6"/>
              <w:rPr>
                <w:szCs w:val="24"/>
              </w:rPr>
            </w:pPr>
            <w:r w:rsidRPr="003B2277">
              <w:rPr>
                <w:b/>
                <w:i/>
              </w:rPr>
              <w:t>(22a)</w:t>
            </w:r>
            <w:r w:rsidRPr="003B2277">
              <w:rPr>
                <w:b/>
                <w:i/>
              </w:rPr>
              <w:tab/>
              <w:t>Ko se z delegiranim aktom začne uporabljati člen 119(1)(gb) o obveznem označevanju seznama sestavin za vino, se ta seznam ne predloži po serijah.</w:t>
            </w:r>
          </w:p>
        </w:tc>
      </w:tr>
    </w:tbl>
    <w:p w14:paraId="6E656CBD" w14:textId="77777777" w:rsidR="006F5BFE" w:rsidRPr="003B2277" w:rsidRDefault="006F5BFE" w:rsidP="006F5BFE"/>
    <w:p w14:paraId="44096DE5" w14:textId="71209B8A" w:rsidR="006F5BFE" w:rsidRPr="003B2277" w:rsidRDefault="003B2277" w:rsidP="006F5BFE">
      <w:pPr>
        <w:pStyle w:val="AMNumberTabs"/>
        <w:keepNext/>
      </w:pPr>
      <w:r>
        <w:t>Sprememba</w:t>
      </w:r>
      <w:r w:rsidR="006F5BFE" w:rsidRPr="003B2277">
        <w:tab/>
      </w:r>
      <w:r w:rsidR="006F5BFE" w:rsidRPr="003B2277">
        <w:tab/>
        <w:t>28</w:t>
      </w:r>
    </w:p>
    <w:p w14:paraId="38C9BEF0" w14:textId="77777777" w:rsidR="006F5BFE" w:rsidRPr="003B2277" w:rsidRDefault="006F5BFE" w:rsidP="006F5BFE">
      <w:pPr>
        <w:pStyle w:val="NormalBold12b"/>
      </w:pPr>
      <w:r w:rsidRPr="003B2277">
        <w:t>Predlog uredbe</w:t>
      </w:r>
    </w:p>
    <w:p w14:paraId="2EAEC160" w14:textId="77777777" w:rsidR="006F5BFE" w:rsidRPr="003B2277" w:rsidRDefault="006F5BFE" w:rsidP="006F5BFE">
      <w:pPr>
        <w:pStyle w:val="NormalBold"/>
      </w:pPr>
      <w:r w:rsidRPr="003B2277">
        <w:t>Uvodna izjava 23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59701F8" w14:textId="77777777" w:rsidTr="005B4D60">
        <w:trPr>
          <w:jc w:val="center"/>
        </w:trPr>
        <w:tc>
          <w:tcPr>
            <w:tcW w:w="9752" w:type="dxa"/>
            <w:gridSpan w:val="2"/>
          </w:tcPr>
          <w:p w14:paraId="013D3E98" w14:textId="77777777" w:rsidR="006F5BFE" w:rsidRPr="003B2277" w:rsidRDefault="006F5BFE" w:rsidP="005B4D60">
            <w:pPr>
              <w:keepNext/>
            </w:pPr>
          </w:p>
        </w:tc>
      </w:tr>
      <w:tr w:rsidR="006F5BFE" w:rsidRPr="003B2277" w14:paraId="2F2BDEAC" w14:textId="77777777" w:rsidTr="005B4D60">
        <w:trPr>
          <w:jc w:val="center"/>
        </w:trPr>
        <w:tc>
          <w:tcPr>
            <w:tcW w:w="4876" w:type="dxa"/>
            <w:hideMark/>
          </w:tcPr>
          <w:p w14:paraId="2D335C24" w14:textId="77777777" w:rsidR="006F5BFE" w:rsidRPr="003B2277" w:rsidRDefault="006F5BFE" w:rsidP="005B4D60">
            <w:pPr>
              <w:pStyle w:val="ColumnHeading"/>
              <w:keepNext/>
            </w:pPr>
            <w:r w:rsidRPr="003B2277">
              <w:t>Besedilo, ki ga predlaga Komisija</w:t>
            </w:r>
          </w:p>
        </w:tc>
        <w:tc>
          <w:tcPr>
            <w:tcW w:w="4876" w:type="dxa"/>
            <w:hideMark/>
          </w:tcPr>
          <w:p w14:paraId="26629647" w14:textId="0AFBE8F5" w:rsidR="006F5BFE" w:rsidRPr="003B2277" w:rsidRDefault="003B2277" w:rsidP="005B4D60">
            <w:pPr>
              <w:pStyle w:val="ColumnHeading"/>
              <w:keepNext/>
            </w:pPr>
            <w:r>
              <w:t>Sprememba</w:t>
            </w:r>
          </w:p>
        </w:tc>
      </w:tr>
      <w:tr w:rsidR="006F5BFE" w:rsidRPr="003B2277" w14:paraId="626E9F6E" w14:textId="77777777" w:rsidTr="005B4D60">
        <w:trPr>
          <w:jc w:val="center"/>
        </w:trPr>
        <w:tc>
          <w:tcPr>
            <w:tcW w:w="4876" w:type="dxa"/>
          </w:tcPr>
          <w:p w14:paraId="410A4982" w14:textId="77777777" w:rsidR="006F5BFE" w:rsidRPr="003B2277" w:rsidRDefault="006F5BFE" w:rsidP="005B4D60">
            <w:pPr>
              <w:pStyle w:val="Normal6"/>
            </w:pPr>
          </w:p>
        </w:tc>
        <w:tc>
          <w:tcPr>
            <w:tcW w:w="4876" w:type="dxa"/>
            <w:hideMark/>
          </w:tcPr>
          <w:p w14:paraId="42B2DA54" w14:textId="77777777" w:rsidR="006F5BFE" w:rsidRPr="003B2277" w:rsidRDefault="006F5BFE" w:rsidP="005B4D60">
            <w:pPr>
              <w:pStyle w:val="Normal6"/>
              <w:rPr>
                <w:szCs w:val="24"/>
              </w:rPr>
            </w:pPr>
            <w:r w:rsidRPr="003B2277">
              <w:rPr>
                <w:b/>
                <w:i/>
              </w:rPr>
              <w:t>(23a)</w:t>
            </w:r>
            <w:r w:rsidRPr="003B2277">
              <w:rPr>
                <w:b/>
                <w:i/>
              </w:rPr>
              <w:tab/>
              <w:t>Za zagotovitev pravne varnosti za uspešen razvoj evropske proizvodnje mleka in upoštevanje krčenja enotnega trga po izstopu Združenega kraljestva iz Evropske unije je treba posodobiti količinske omejitve Evropske unije, ki se uporabljajo za omogočanje organizacijam proizvajalcev, ki jih sestavljajo proizvajalci mleka ali njihova združenja, da se z mlekarno kolektivno pogajajo o pogodbenih pogojih, vključno s cenami, za vso proizvodnjo surovega mleka svojih članov ali del te proizvodnje.</w:t>
            </w:r>
          </w:p>
        </w:tc>
      </w:tr>
    </w:tbl>
    <w:p w14:paraId="458E4778" w14:textId="77777777" w:rsidR="006F5BFE" w:rsidRPr="003B2277" w:rsidRDefault="006F5BFE" w:rsidP="006F5BFE"/>
    <w:p w14:paraId="7E58A899" w14:textId="7D24C12A" w:rsidR="006F5BFE" w:rsidRPr="003B2277" w:rsidRDefault="003B2277" w:rsidP="006F5BFE">
      <w:pPr>
        <w:pStyle w:val="AMNumberTabs"/>
        <w:keepNext/>
      </w:pPr>
      <w:r>
        <w:t>Sprememba</w:t>
      </w:r>
      <w:r w:rsidR="006F5BFE" w:rsidRPr="003B2277">
        <w:tab/>
      </w:r>
      <w:r w:rsidR="006F5BFE" w:rsidRPr="003B2277">
        <w:tab/>
        <w:t>29</w:t>
      </w:r>
    </w:p>
    <w:p w14:paraId="2A48E5E7" w14:textId="77777777" w:rsidR="006F5BFE" w:rsidRPr="003B2277" w:rsidRDefault="006F5BFE" w:rsidP="006F5BFE">
      <w:pPr>
        <w:pStyle w:val="NormalBold12b"/>
      </w:pPr>
      <w:r w:rsidRPr="003B2277">
        <w:t>Predlog uredbe</w:t>
      </w:r>
    </w:p>
    <w:p w14:paraId="49A88D2F" w14:textId="77777777" w:rsidR="006F5BFE" w:rsidRPr="003B2277" w:rsidRDefault="006F5BFE" w:rsidP="006F5BFE">
      <w:pPr>
        <w:pStyle w:val="NormalBold"/>
      </w:pPr>
      <w:r w:rsidRPr="003B2277">
        <w:t>Uvodna izjava 23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D5E0F6E" w14:textId="77777777" w:rsidTr="005B4D60">
        <w:trPr>
          <w:jc w:val="center"/>
        </w:trPr>
        <w:tc>
          <w:tcPr>
            <w:tcW w:w="9752" w:type="dxa"/>
            <w:gridSpan w:val="2"/>
          </w:tcPr>
          <w:p w14:paraId="623D1BBD" w14:textId="77777777" w:rsidR="006F5BFE" w:rsidRPr="003B2277" w:rsidRDefault="006F5BFE" w:rsidP="005B4D60">
            <w:pPr>
              <w:keepNext/>
            </w:pPr>
          </w:p>
        </w:tc>
      </w:tr>
      <w:tr w:rsidR="006F5BFE" w:rsidRPr="003B2277" w14:paraId="4D4A7B1C" w14:textId="77777777" w:rsidTr="005B4D60">
        <w:trPr>
          <w:jc w:val="center"/>
        </w:trPr>
        <w:tc>
          <w:tcPr>
            <w:tcW w:w="4876" w:type="dxa"/>
            <w:hideMark/>
          </w:tcPr>
          <w:p w14:paraId="7C82CCC5" w14:textId="77777777" w:rsidR="006F5BFE" w:rsidRPr="003B2277" w:rsidRDefault="006F5BFE" w:rsidP="005B4D60">
            <w:pPr>
              <w:pStyle w:val="ColumnHeading"/>
              <w:keepNext/>
            </w:pPr>
            <w:r w:rsidRPr="003B2277">
              <w:t>Besedilo, ki ga predlaga Komisija</w:t>
            </w:r>
          </w:p>
        </w:tc>
        <w:tc>
          <w:tcPr>
            <w:tcW w:w="4876" w:type="dxa"/>
            <w:hideMark/>
          </w:tcPr>
          <w:p w14:paraId="40F68B4A" w14:textId="06135103" w:rsidR="006F5BFE" w:rsidRPr="003B2277" w:rsidRDefault="003B2277" w:rsidP="005B4D60">
            <w:pPr>
              <w:pStyle w:val="ColumnHeading"/>
              <w:keepNext/>
            </w:pPr>
            <w:r>
              <w:t>Sprememba</w:t>
            </w:r>
          </w:p>
        </w:tc>
      </w:tr>
      <w:tr w:rsidR="006F5BFE" w:rsidRPr="003B2277" w14:paraId="36B49109" w14:textId="77777777" w:rsidTr="005B4D60">
        <w:trPr>
          <w:jc w:val="center"/>
        </w:trPr>
        <w:tc>
          <w:tcPr>
            <w:tcW w:w="4876" w:type="dxa"/>
          </w:tcPr>
          <w:p w14:paraId="3D61CA39" w14:textId="77777777" w:rsidR="006F5BFE" w:rsidRPr="003B2277" w:rsidRDefault="006F5BFE" w:rsidP="005B4D60">
            <w:pPr>
              <w:pStyle w:val="Normal6"/>
            </w:pPr>
          </w:p>
        </w:tc>
        <w:tc>
          <w:tcPr>
            <w:tcW w:w="4876" w:type="dxa"/>
            <w:hideMark/>
          </w:tcPr>
          <w:p w14:paraId="6B97B982" w14:textId="77777777" w:rsidR="006F5BFE" w:rsidRPr="003B2277" w:rsidRDefault="006F5BFE" w:rsidP="005B4D60">
            <w:pPr>
              <w:pStyle w:val="Normal6"/>
              <w:rPr>
                <w:szCs w:val="24"/>
              </w:rPr>
            </w:pPr>
            <w:r w:rsidRPr="003B2277">
              <w:rPr>
                <w:b/>
                <w:i/>
              </w:rPr>
              <w:t>(23b)</w:t>
            </w:r>
            <w:r w:rsidRPr="003B2277">
              <w:rPr>
                <w:b/>
                <w:i/>
              </w:rPr>
              <w:tab/>
              <w:t>Da bi se upoštevale najnovejše zakonodajne spremembe iz Uredbe (EU) 2017/2393 in odpravila nekatera posebna pravila, ki so postala omejujoča glede na splošni sistem, je treba pojasniti, da se lahko organizacije proizvajalcev, ki jih sestavljajo proizvajalci mleka ali njihova združenja, priznajo v skladu s členoma 152 in 161 Uredbe (EU) št. 1308/2013, ter črtati posebna pravila za priznane medpanožne organizacije v sektorju mleka in mlečnih proizvodov, kar zadeva njihovo priznanje in pravila za preklic priznanja.</w:t>
            </w:r>
          </w:p>
        </w:tc>
      </w:tr>
    </w:tbl>
    <w:p w14:paraId="3E4D58CA" w14:textId="77777777" w:rsidR="006F5BFE" w:rsidRPr="003B2277" w:rsidRDefault="006F5BFE" w:rsidP="006F5BFE"/>
    <w:p w14:paraId="38541AF8" w14:textId="2E17912B" w:rsidR="006F5BFE" w:rsidRPr="003B2277" w:rsidRDefault="003B2277" w:rsidP="006F5BFE">
      <w:pPr>
        <w:pStyle w:val="AMNumberTabs"/>
        <w:keepNext/>
      </w:pPr>
      <w:r>
        <w:t>Sprememba</w:t>
      </w:r>
      <w:r w:rsidR="006F5BFE" w:rsidRPr="003B2277">
        <w:tab/>
      </w:r>
      <w:r w:rsidR="006F5BFE" w:rsidRPr="003B2277">
        <w:tab/>
        <w:t>30</w:t>
      </w:r>
    </w:p>
    <w:p w14:paraId="0D9B70EA" w14:textId="77777777" w:rsidR="006F5BFE" w:rsidRPr="003B2277" w:rsidRDefault="006F5BFE" w:rsidP="006F5BFE">
      <w:pPr>
        <w:pStyle w:val="NormalBold12b"/>
      </w:pPr>
      <w:r w:rsidRPr="003B2277">
        <w:t>Predlog uredbe</w:t>
      </w:r>
    </w:p>
    <w:p w14:paraId="1F478C2A" w14:textId="77777777" w:rsidR="006F5BFE" w:rsidRPr="003B2277" w:rsidRDefault="006F5BFE" w:rsidP="006F5BFE">
      <w:pPr>
        <w:pStyle w:val="NormalBold"/>
      </w:pPr>
      <w:r w:rsidRPr="003B2277">
        <w:t>Uvodna izjava 23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95D43AF" w14:textId="77777777" w:rsidTr="005B4D60">
        <w:trPr>
          <w:jc w:val="center"/>
        </w:trPr>
        <w:tc>
          <w:tcPr>
            <w:tcW w:w="9752" w:type="dxa"/>
            <w:gridSpan w:val="2"/>
          </w:tcPr>
          <w:p w14:paraId="16D8E1DB" w14:textId="77777777" w:rsidR="006F5BFE" w:rsidRPr="003B2277" w:rsidRDefault="006F5BFE" w:rsidP="005B4D60">
            <w:pPr>
              <w:keepNext/>
            </w:pPr>
          </w:p>
        </w:tc>
      </w:tr>
      <w:tr w:rsidR="006F5BFE" w:rsidRPr="003B2277" w14:paraId="5290723C" w14:textId="77777777" w:rsidTr="005B4D60">
        <w:trPr>
          <w:jc w:val="center"/>
        </w:trPr>
        <w:tc>
          <w:tcPr>
            <w:tcW w:w="4876" w:type="dxa"/>
            <w:hideMark/>
          </w:tcPr>
          <w:p w14:paraId="29FA6219" w14:textId="77777777" w:rsidR="006F5BFE" w:rsidRPr="003B2277" w:rsidRDefault="006F5BFE" w:rsidP="005B4D60">
            <w:pPr>
              <w:pStyle w:val="ColumnHeading"/>
              <w:keepNext/>
            </w:pPr>
            <w:r w:rsidRPr="003B2277">
              <w:t>Besedilo, ki ga predlaga Komisija</w:t>
            </w:r>
          </w:p>
        </w:tc>
        <w:tc>
          <w:tcPr>
            <w:tcW w:w="4876" w:type="dxa"/>
            <w:hideMark/>
          </w:tcPr>
          <w:p w14:paraId="0592248A" w14:textId="5928F77C" w:rsidR="006F5BFE" w:rsidRPr="003B2277" w:rsidRDefault="003B2277" w:rsidP="005B4D60">
            <w:pPr>
              <w:pStyle w:val="ColumnHeading"/>
              <w:keepNext/>
            </w:pPr>
            <w:r>
              <w:t>Sprememba</w:t>
            </w:r>
          </w:p>
        </w:tc>
      </w:tr>
      <w:tr w:rsidR="006F5BFE" w:rsidRPr="003B2277" w14:paraId="7A0B4E85" w14:textId="77777777" w:rsidTr="005B4D60">
        <w:trPr>
          <w:jc w:val="center"/>
        </w:trPr>
        <w:tc>
          <w:tcPr>
            <w:tcW w:w="4876" w:type="dxa"/>
          </w:tcPr>
          <w:p w14:paraId="0A7B592B" w14:textId="77777777" w:rsidR="006F5BFE" w:rsidRPr="003B2277" w:rsidRDefault="006F5BFE" w:rsidP="005B4D60">
            <w:pPr>
              <w:pStyle w:val="Normal6"/>
            </w:pPr>
          </w:p>
        </w:tc>
        <w:tc>
          <w:tcPr>
            <w:tcW w:w="4876" w:type="dxa"/>
            <w:hideMark/>
          </w:tcPr>
          <w:p w14:paraId="39187347" w14:textId="77777777" w:rsidR="006F5BFE" w:rsidRPr="003B2277" w:rsidRDefault="006F5BFE" w:rsidP="005B4D60">
            <w:pPr>
              <w:pStyle w:val="Normal6"/>
              <w:rPr>
                <w:szCs w:val="24"/>
              </w:rPr>
            </w:pPr>
            <w:r w:rsidRPr="003B2277">
              <w:rPr>
                <w:b/>
                <w:i/>
              </w:rPr>
              <w:t>(23c)</w:t>
            </w:r>
            <w:r w:rsidRPr="003B2277">
              <w:rPr>
                <w:b/>
                <w:i/>
              </w:rPr>
              <w:tab/>
              <w:t>Kodificirati bi bilo treba pravila o priznanju nadnacionalnih organizacij proizvajalcev, nadnacionalnih združenj organizacij proizvajalcev in nadnacionalnih medpanožnih organizacij ter tudi pravila, ki pojasnjujejo pristojnost zadevnih držav članic. Ob upoštevanju pravice do ustanavljanja in hkratnem priznavanju težav, ki jih imajo te organizacije pri doseganju priznanja države članice, v kateri imajo te organizacije in združenja veliko število članov ali v kateri imajo velik obseg ali veliko vrednost tržne proizvodnje, ali ki jih imajo države članice, v kateri imajo sedež, pri odločanju o njihovem priznanju, bi bilo treba odgovornost za priznanje teh organizacij in združenj dodeliti Komisiji in določiti pravila za vzpostavitev upravne podpore, ki jo države članice potrebujejo pri medsebojnem sodelovanju in sodelovanju s Komisijo, da bo lahko odločila, ali organizacija ali združenje izpolnjuje pogoje za priznanje, oziroma obravnavala primere neskladnosti.</w:t>
            </w:r>
          </w:p>
        </w:tc>
      </w:tr>
    </w:tbl>
    <w:p w14:paraId="62E93D45" w14:textId="77777777" w:rsidR="006F5BFE" w:rsidRPr="003B2277" w:rsidRDefault="006F5BFE" w:rsidP="006F5BFE"/>
    <w:p w14:paraId="28E06572" w14:textId="13AB3A39" w:rsidR="006F5BFE" w:rsidRPr="003B2277" w:rsidRDefault="003B2277" w:rsidP="006F5BFE">
      <w:pPr>
        <w:pStyle w:val="AMNumberTabs"/>
        <w:keepNext/>
      </w:pPr>
      <w:r>
        <w:t>Sprememba</w:t>
      </w:r>
      <w:r w:rsidR="006F5BFE" w:rsidRPr="003B2277">
        <w:tab/>
      </w:r>
      <w:r w:rsidR="006F5BFE" w:rsidRPr="003B2277">
        <w:tab/>
        <w:t>31</w:t>
      </w:r>
    </w:p>
    <w:p w14:paraId="43A09709" w14:textId="77777777" w:rsidR="006F5BFE" w:rsidRPr="003B2277" w:rsidRDefault="006F5BFE" w:rsidP="006F5BFE">
      <w:pPr>
        <w:pStyle w:val="NormalBold12b"/>
      </w:pPr>
      <w:r w:rsidRPr="003B2277">
        <w:t>Predlog uredbe</w:t>
      </w:r>
    </w:p>
    <w:p w14:paraId="02CF1F32" w14:textId="77777777" w:rsidR="006F5BFE" w:rsidRPr="003B2277" w:rsidRDefault="006F5BFE" w:rsidP="006F5BFE">
      <w:pPr>
        <w:pStyle w:val="NormalBold"/>
      </w:pPr>
      <w:r w:rsidRPr="003B2277">
        <w:t>Uvodna izjava 23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16B9BEF" w14:textId="77777777" w:rsidTr="005B4D60">
        <w:trPr>
          <w:jc w:val="center"/>
        </w:trPr>
        <w:tc>
          <w:tcPr>
            <w:tcW w:w="9752" w:type="dxa"/>
            <w:gridSpan w:val="2"/>
          </w:tcPr>
          <w:p w14:paraId="5EEC7C5B" w14:textId="77777777" w:rsidR="006F5BFE" w:rsidRPr="003B2277" w:rsidRDefault="006F5BFE" w:rsidP="005B4D60">
            <w:pPr>
              <w:keepNext/>
            </w:pPr>
          </w:p>
        </w:tc>
      </w:tr>
      <w:tr w:rsidR="006F5BFE" w:rsidRPr="003B2277" w14:paraId="71F52807" w14:textId="77777777" w:rsidTr="005B4D60">
        <w:trPr>
          <w:jc w:val="center"/>
        </w:trPr>
        <w:tc>
          <w:tcPr>
            <w:tcW w:w="4876" w:type="dxa"/>
            <w:hideMark/>
          </w:tcPr>
          <w:p w14:paraId="0849E762" w14:textId="77777777" w:rsidR="006F5BFE" w:rsidRPr="003B2277" w:rsidRDefault="006F5BFE" w:rsidP="005B4D60">
            <w:pPr>
              <w:pStyle w:val="ColumnHeading"/>
              <w:keepNext/>
            </w:pPr>
            <w:r w:rsidRPr="003B2277">
              <w:t>Besedilo, ki ga predlaga Komisija</w:t>
            </w:r>
          </w:p>
        </w:tc>
        <w:tc>
          <w:tcPr>
            <w:tcW w:w="4876" w:type="dxa"/>
            <w:hideMark/>
          </w:tcPr>
          <w:p w14:paraId="163E5FFD" w14:textId="2AE55EF2" w:rsidR="006F5BFE" w:rsidRPr="003B2277" w:rsidRDefault="003B2277" w:rsidP="005B4D60">
            <w:pPr>
              <w:pStyle w:val="ColumnHeading"/>
              <w:keepNext/>
            </w:pPr>
            <w:r>
              <w:t>Sprememba</w:t>
            </w:r>
          </w:p>
        </w:tc>
      </w:tr>
      <w:tr w:rsidR="006F5BFE" w:rsidRPr="003B2277" w14:paraId="37452A37" w14:textId="77777777" w:rsidTr="005B4D60">
        <w:trPr>
          <w:jc w:val="center"/>
        </w:trPr>
        <w:tc>
          <w:tcPr>
            <w:tcW w:w="4876" w:type="dxa"/>
          </w:tcPr>
          <w:p w14:paraId="650D7A72" w14:textId="77777777" w:rsidR="006F5BFE" w:rsidRPr="003B2277" w:rsidRDefault="006F5BFE" w:rsidP="005B4D60">
            <w:pPr>
              <w:pStyle w:val="Normal6"/>
            </w:pPr>
          </w:p>
        </w:tc>
        <w:tc>
          <w:tcPr>
            <w:tcW w:w="4876" w:type="dxa"/>
            <w:hideMark/>
          </w:tcPr>
          <w:p w14:paraId="511F4274" w14:textId="77777777" w:rsidR="006F5BFE" w:rsidRPr="003B2277" w:rsidRDefault="006F5BFE" w:rsidP="005B4D60">
            <w:pPr>
              <w:pStyle w:val="Normal6"/>
              <w:rPr>
                <w:szCs w:val="24"/>
              </w:rPr>
            </w:pPr>
            <w:r w:rsidRPr="003B2277">
              <w:rPr>
                <w:b/>
                <w:i/>
              </w:rPr>
              <w:t>(23d)</w:t>
            </w:r>
            <w:r w:rsidRPr="003B2277">
              <w:rPr>
                <w:b/>
                <w:i/>
              </w:rPr>
              <w:tab/>
              <w:t>Da bi kmetijskim proizvajalcem omogočili odzivanje na vse večjo koncentracijo drugih členov na začetku in na koncu dobavne verige kmetijske ponudbe, bi bilo treba združenjem organizacij proizvajalcev omogočiti sodelovanje pri ustanovitvi združenja organizacij proizvajalcev. Prav tako je za doseganje istih ciljev treba omogočiti medpanožnim organizacijam, da ustanovijo združenja.</w:t>
            </w:r>
          </w:p>
        </w:tc>
      </w:tr>
    </w:tbl>
    <w:p w14:paraId="38C731AB" w14:textId="77777777" w:rsidR="006F5BFE" w:rsidRPr="003B2277" w:rsidRDefault="006F5BFE" w:rsidP="006F5BFE"/>
    <w:p w14:paraId="4CC948AF" w14:textId="3C783345" w:rsidR="006F5BFE" w:rsidRPr="003B2277" w:rsidRDefault="003B2277" w:rsidP="006F5BFE">
      <w:pPr>
        <w:pStyle w:val="AMNumberTabs"/>
        <w:keepNext/>
      </w:pPr>
      <w:r>
        <w:t>Sprememba</w:t>
      </w:r>
      <w:r w:rsidR="006F5BFE" w:rsidRPr="003B2277">
        <w:tab/>
      </w:r>
      <w:r w:rsidR="006F5BFE" w:rsidRPr="003B2277">
        <w:tab/>
        <w:t>32</w:t>
      </w:r>
    </w:p>
    <w:p w14:paraId="60F63A10" w14:textId="77777777" w:rsidR="006F5BFE" w:rsidRPr="003B2277" w:rsidRDefault="006F5BFE" w:rsidP="006F5BFE">
      <w:pPr>
        <w:pStyle w:val="NormalBold12b"/>
      </w:pPr>
      <w:r w:rsidRPr="003B2277">
        <w:t>Predlog uredbe</w:t>
      </w:r>
    </w:p>
    <w:p w14:paraId="611E6581" w14:textId="77777777" w:rsidR="006F5BFE" w:rsidRPr="003B2277" w:rsidRDefault="006F5BFE" w:rsidP="006F5BFE">
      <w:pPr>
        <w:pStyle w:val="NormalBold"/>
      </w:pPr>
      <w:r w:rsidRPr="003B2277">
        <w:t>Uvodna izjava 23 e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E679105" w14:textId="77777777" w:rsidTr="005B4D60">
        <w:trPr>
          <w:jc w:val="center"/>
        </w:trPr>
        <w:tc>
          <w:tcPr>
            <w:tcW w:w="9752" w:type="dxa"/>
            <w:gridSpan w:val="2"/>
          </w:tcPr>
          <w:p w14:paraId="66290311" w14:textId="77777777" w:rsidR="006F5BFE" w:rsidRPr="003B2277" w:rsidRDefault="006F5BFE" w:rsidP="005B4D60">
            <w:pPr>
              <w:keepNext/>
            </w:pPr>
          </w:p>
        </w:tc>
      </w:tr>
      <w:tr w:rsidR="006F5BFE" w:rsidRPr="003B2277" w14:paraId="62C172D1" w14:textId="77777777" w:rsidTr="005B4D60">
        <w:trPr>
          <w:jc w:val="center"/>
        </w:trPr>
        <w:tc>
          <w:tcPr>
            <w:tcW w:w="4876" w:type="dxa"/>
            <w:hideMark/>
          </w:tcPr>
          <w:p w14:paraId="76335198" w14:textId="77777777" w:rsidR="006F5BFE" w:rsidRPr="003B2277" w:rsidRDefault="006F5BFE" w:rsidP="005B4D60">
            <w:pPr>
              <w:pStyle w:val="ColumnHeading"/>
              <w:keepNext/>
            </w:pPr>
            <w:r w:rsidRPr="003B2277">
              <w:t>Besedilo, ki ga predlaga Komisija</w:t>
            </w:r>
          </w:p>
        </w:tc>
        <w:tc>
          <w:tcPr>
            <w:tcW w:w="4876" w:type="dxa"/>
            <w:hideMark/>
          </w:tcPr>
          <w:p w14:paraId="29CE19D3" w14:textId="6A53B13C" w:rsidR="006F5BFE" w:rsidRPr="003B2277" w:rsidRDefault="003B2277" w:rsidP="005B4D60">
            <w:pPr>
              <w:pStyle w:val="ColumnHeading"/>
              <w:keepNext/>
            </w:pPr>
            <w:r>
              <w:t>Sprememba</w:t>
            </w:r>
          </w:p>
        </w:tc>
      </w:tr>
      <w:tr w:rsidR="006F5BFE" w:rsidRPr="003B2277" w14:paraId="6B39E6E0" w14:textId="77777777" w:rsidTr="005B4D60">
        <w:trPr>
          <w:jc w:val="center"/>
        </w:trPr>
        <w:tc>
          <w:tcPr>
            <w:tcW w:w="4876" w:type="dxa"/>
          </w:tcPr>
          <w:p w14:paraId="325E9A7D" w14:textId="77777777" w:rsidR="006F5BFE" w:rsidRPr="003B2277" w:rsidRDefault="006F5BFE" w:rsidP="005B4D60">
            <w:pPr>
              <w:pStyle w:val="Normal6"/>
            </w:pPr>
          </w:p>
        </w:tc>
        <w:tc>
          <w:tcPr>
            <w:tcW w:w="4876" w:type="dxa"/>
            <w:hideMark/>
          </w:tcPr>
          <w:p w14:paraId="725969BA" w14:textId="77777777" w:rsidR="006F5BFE" w:rsidRPr="003B2277" w:rsidRDefault="006F5BFE" w:rsidP="005B4D60">
            <w:pPr>
              <w:pStyle w:val="Normal6"/>
              <w:rPr>
                <w:szCs w:val="24"/>
              </w:rPr>
            </w:pPr>
            <w:r w:rsidRPr="003B2277">
              <w:rPr>
                <w:b/>
                <w:i/>
              </w:rPr>
              <w:t>(23e)</w:t>
            </w:r>
            <w:r w:rsidRPr="003B2277">
              <w:rPr>
                <w:b/>
                <w:i/>
              </w:rPr>
              <w:tab/>
              <w:t>Glede na pomen zaščitenih označb porekla in zaščitenih geografskih označb v evropski kmetijski proizvodnji in ob upoštevanju uspeha uvedbe pravil za uravnavanje ponudbe za sir in sušeno stegno z oznakami kakovosti za zagotavljanje dodane vrednosti in ohranitev kakovosti teh proizvodov bi bilo treba ta pravila razširiti na vse kmetijske proizvode z oznako kakovosti. Državam članicam bi torej morali dovoliti, da uporabijo pravila za uravnavanje celotne ponudbe kmetijskih izdelkov z oznako kakovosti, proizvedenih na opredeljenem geografskem območju, na zahtevo medpanožne organizacije, organizacije proizvajalcev ali skupine, opredeljene v Uredbi (EU) št. 1151/2012, če taka pravila podpira velika večina proizvajalcev tega proizvoda, po potrebi pa tudi kmetijski proizvajalci na zadevnem geografskem območju.</w:t>
            </w:r>
          </w:p>
        </w:tc>
      </w:tr>
    </w:tbl>
    <w:p w14:paraId="554DE26F" w14:textId="77777777" w:rsidR="006F5BFE" w:rsidRPr="003B2277" w:rsidRDefault="006F5BFE" w:rsidP="006F5BFE"/>
    <w:p w14:paraId="27F49C02" w14:textId="27C33C77" w:rsidR="006F5BFE" w:rsidRPr="003B2277" w:rsidRDefault="003B2277" w:rsidP="006F5BFE">
      <w:pPr>
        <w:pStyle w:val="AMNumberTabs"/>
        <w:keepNext/>
      </w:pPr>
      <w:r>
        <w:t>Sprememba</w:t>
      </w:r>
      <w:r w:rsidR="006F5BFE" w:rsidRPr="003B2277">
        <w:tab/>
      </w:r>
      <w:r w:rsidR="006F5BFE" w:rsidRPr="003B2277">
        <w:tab/>
        <w:t>33</w:t>
      </w:r>
    </w:p>
    <w:p w14:paraId="6E11D0D7" w14:textId="77777777" w:rsidR="006F5BFE" w:rsidRPr="003B2277" w:rsidRDefault="006F5BFE" w:rsidP="006F5BFE">
      <w:pPr>
        <w:pStyle w:val="NormalBold12b"/>
      </w:pPr>
      <w:r w:rsidRPr="003B2277">
        <w:t>Predlog uredbe</w:t>
      </w:r>
    </w:p>
    <w:p w14:paraId="3C85B953" w14:textId="77777777" w:rsidR="006F5BFE" w:rsidRPr="003B2277" w:rsidRDefault="006F5BFE" w:rsidP="006F5BFE">
      <w:pPr>
        <w:pStyle w:val="NormalBold"/>
      </w:pPr>
      <w:r w:rsidRPr="003B2277">
        <w:t>Uvodna izjava 23 f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6B24BA3" w14:textId="77777777" w:rsidTr="005B4D60">
        <w:trPr>
          <w:jc w:val="center"/>
        </w:trPr>
        <w:tc>
          <w:tcPr>
            <w:tcW w:w="9752" w:type="dxa"/>
            <w:gridSpan w:val="2"/>
          </w:tcPr>
          <w:p w14:paraId="71236A4F" w14:textId="77777777" w:rsidR="006F5BFE" w:rsidRPr="003B2277" w:rsidRDefault="006F5BFE" w:rsidP="005B4D60">
            <w:pPr>
              <w:keepNext/>
            </w:pPr>
          </w:p>
        </w:tc>
      </w:tr>
      <w:tr w:rsidR="006F5BFE" w:rsidRPr="003B2277" w14:paraId="2C4EAFE0" w14:textId="77777777" w:rsidTr="005B4D60">
        <w:trPr>
          <w:jc w:val="center"/>
        </w:trPr>
        <w:tc>
          <w:tcPr>
            <w:tcW w:w="4876" w:type="dxa"/>
            <w:hideMark/>
          </w:tcPr>
          <w:p w14:paraId="310C9EA2" w14:textId="77777777" w:rsidR="006F5BFE" w:rsidRPr="003B2277" w:rsidRDefault="006F5BFE" w:rsidP="005B4D60">
            <w:pPr>
              <w:pStyle w:val="ColumnHeading"/>
              <w:keepNext/>
            </w:pPr>
            <w:r w:rsidRPr="003B2277">
              <w:t>Besedilo, ki ga predlaga Komisija</w:t>
            </w:r>
          </w:p>
        </w:tc>
        <w:tc>
          <w:tcPr>
            <w:tcW w:w="4876" w:type="dxa"/>
            <w:hideMark/>
          </w:tcPr>
          <w:p w14:paraId="4C2E6E6A" w14:textId="07F369C4" w:rsidR="006F5BFE" w:rsidRPr="003B2277" w:rsidRDefault="003B2277" w:rsidP="005B4D60">
            <w:pPr>
              <w:pStyle w:val="ColumnHeading"/>
              <w:keepNext/>
            </w:pPr>
            <w:r>
              <w:t>Sprememba</w:t>
            </w:r>
          </w:p>
        </w:tc>
      </w:tr>
      <w:tr w:rsidR="006F5BFE" w:rsidRPr="003B2277" w14:paraId="6D90E8A5" w14:textId="77777777" w:rsidTr="005B4D60">
        <w:trPr>
          <w:jc w:val="center"/>
        </w:trPr>
        <w:tc>
          <w:tcPr>
            <w:tcW w:w="4876" w:type="dxa"/>
          </w:tcPr>
          <w:p w14:paraId="61BDF645" w14:textId="77777777" w:rsidR="006F5BFE" w:rsidRPr="003B2277" w:rsidRDefault="006F5BFE" w:rsidP="005B4D60">
            <w:pPr>
              <w:pStyle w:val="Normal6"/>
            </w:pPr>
          </w:p>
        </w:tc>
        <w:tc>
          <w:tcPr>
            <w:tcW w:w="4876" w:type="dxa"/>
            <w:hideMark/>
          </w:tcPr>
          <w:p w14:paraId="4F9DA35C" w14:textId="77777777" w:rsidR="006F5BFE" w:rsidRPr="003B2277" w:rsidRDefault="006F5BFE" w:rsidP="005B4D60">
            <w:pPr>
              <w:pStyle w:val="Normal6"/>
              <w:rPr>
                <w:szCs w:val="24"/>
              </w:rPr>
            </w:pPr>
            <w:r w:rsidRPr="003B2277">
              <w:rPr>
                <w:b/>
                <w:i/>
              </w:rPr>
              <w:t>(23f)</w:t>
            </w:r>
            <w:r w:rsidRPr="003B2277">
              <w:rPr>
                <w:b/>
                <w:i/>
              </w:rPr>
              <w:tab/>
              <w:t xml:space="preserve">Da bi spodbujali boljši prenos tržnih signalov in okrepili povezavo med cenami proizvajalcev in dodano vrednostjo vzdolž celotne verige preskrbe s hrano, bi bilo treba razširiti mehanizme za porazdelitev vrednosti med kmeti, vključno z združenji kmetov, in njihovimi prvimi kupci na preostanek sektorja s proizvodi z oznako kakovosti, ki jo priznava evropsko in nacionalno pravo. Kmetje, vključno z združenji kmetov, bi morali imeti možnost, da se z akterji na različnih stopnjah proizvodnje, predelave in trženja dogovorijo o klavzuli o porazdelitvi vrednosti, vključno s tržnimi bonusi in izgubami. </w:t>
            </w:r>
          </w:p>
        </w:tc>
      </w:tr>
    </w:tbl>
    <w:p w14:paraId="6B39F52E" w14:textId="77777777" w:rsidR="006F5BFE" w:rsidRPr="003B2277" w:rsidRDefault="006F5BFE" w:rsidP="006F5BFE"/>
    <w:p w14:paraId="297FCDA3" w14:textId="202D3116" w:rsidR="006F5BFE" w:rsidRPr="003B2277" w:rsidRDefault="003B2277" w:rsidP="006F5BFE">
      <w:pPr>
        <w:pStyle w:val="AMNumberTabs"/>
        <w:keepNext/>
      </w:pPr>
      <w:r>
        <w:t>Sprememba</w:t>
      </w:r>
      <w:r w:rsidR="006F5BFE" w:rsidRPr="003B2277">
        <w:tab/>
      </w:r>
      <w:r w:rsidR="006F5BFE" w:rsidRPr="003B2277">
        <w:tab/>
        <w:t>34</w:t>
      </w:r>
    </w:p>
    <w:p w14:paraId="2700BDA8" w14:textId="77777777" w:rsidR="006F5BFE" w:rsidRPr="003B2277" w:rsidRDefault="006F5BFE" w:rsidP="006F5BFE">
      <w:pPr>
        <w:pStyle w:val="NormalBold12b"/>
      </w:pPr>
      <w:r w:rsidRPr="003B2277">
        <w:t>Predlog uredbe</w:t>
      </w:r>
    </w:p>
    <w:p w14:paraId="6278AEE5" w14:textId="77777777" w:rsidR="006F5BFE" w:rsidRPr="003B2277" w:rsidRDefault="006F5BFE" w:rsidP="006F5BFE">
      <w:pPr>
        <w:pStyle w:val="NormalBold"/>
      </w:pPr>
      <w:r w:rsidRPr="003B2277">
        <w:t>Uvodna izjava 23 g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93BE563" w14:textId="77777777" w:rsidTr="005B4D60">
        <w:trPr>
          <w:jc w:val="center"/>
        </w:trPr>
        <w:tc>
          <w:tcPr>
            <w:tcW w:w="9752" w:type="dxa"/>
            <w:gridSpan w:val="2"/>
          </w:tcPr>
          <w:p w14:paraId="4ADA715D" w14:textId="77777777" w:rsidR="006F5BFE" w:rsidRPr="003B2277" w:rsidRDefault="006F5BFE" w:rsidP="005B4D60">
            <w:pPr>
              <w:keepNext/>
            </w:pPr>
          </w:p>
        </w:tc>
      </w:tr>
      <w:tr w:rsidR="006F5BFE" w:rsidRPr="003B2277" w14:paraId="239F24AC" w14:textId="77777777" w:rsidTr="005B4D60">
        <w:trPr>
          <w:jc w:val="center"/>
        </w:trPr>
        <w:tc>
          <w:tcPr>
            <w:tcW w:w="4876" w:type="dxa"/>
            <w:hideMark/>
          </w:tcPr>
          <w:p w14:paraId="49DBD052" w14:textId="77777777" w:rsidR="006F5BFE" w:rsidRPr="003B2277" w:rsidRDefault="006F5BFE" w:rsidP="005B4D60">
            <w:pPr>
              <w:pStyle w:val="ColumnHeading"/>
              <w:keepNext/>
            </w:pPr>
            <w:r w:rsidRPr="003B2277">
              <w:t>Besedilo, ki ga predlaga Komisija</w:t>
            </w:r>
          </w:p>
        </w:tc>
        <w:tc>
          <w:tcPr>
            <w:tcW w:w="4876" w:type="dxa"/>
            <w:hideMark/>
          </w:tcPr>
          <w:p w14:paraId="10D3ACF6" w14:textId="00C0EB45" w:rsidR="006F5BFE" w:rsidRPr="003B2277" w:rsidRDefault="003B2277" w:rsidP="005B4D60">
            <w:pPr>
              <w:pStyle w:val="ColumnHeading"/>
              <w:keepNext/>
            </w:pPr>
            <w:r>
              <w:t>Sprememba</w:t>
            </w:r>
          </w:p>
        </w:tc>
      </w:tr>
      <w:tr w:rsidR="006F5BFE" w:rsidRPr="003B2277" w14:paraId="1924DC4D" w14:textId="77777777" w:rsidTr="005B4D60">
        <w:trPr>
          <w:jc w:val="center"/>
        </w:trPr>
        <w:tc>
          <w:tcPr>
            <w:tcW w:w="4876" w:type="dxa"/>
          </w:tcPr>
          <w:p w14:paraId="2B4EA304" w14:textId="77777777" w:rsidR="006F5BFE" w:rsidRPr="003B2277" w:rsidRDefault="006F5BFE" w:rsidP="005B4D60">
            <w:pPr>
              <w:pStyle w:val="Normal6"/>
            </w:pPr>
          </w:p>
        </w:tc>
        <w:tc>
          <w:tcPr>
            <w:tcW w:w="4876" w:type="dxa"/>
            <w:hideMark/>
          </w:tcPr>
          <w:p w14:paraId="02D0A3B4" w14:textId="77777777" w:rsidR="006F5BFE" w:rsidRPr="003B2277" w:rsidRDefault="006F5BFE" w:rsidP="005B4D60">
            <w:pPr>
              <w:pStyle w:val="Normal6"/>
              <w:rPr>
                <w:szCs w:val="24"/>
              </w:rPr>
            </w:pPr>
            <w:r w:rsidRPr="003B2277">
              <w:rPr>
                <w:b/>
                <w:i/>
              </w:rPr>
              <w:t>(23g)</w:t>
            </w:r>
            <w:r w:rsidRPr="003B2277">
              <w:rPr>
                <w:b/>
                <w:i/>
              </w:rPr>
              <w:tab/>
              <w:t>Da se zagotovi učinkovita uporaba vseh vrst klavzul o porazdelitvi vrednosti, bi bilo treba pojasniti, da bi lahko te klavzule temeljile zlasti na gospodarskih kazalnikih stroškov proizvodnje in trženja ter njihovem gibanju, cenah kmetijskih proizvodov in živil na ustreznih trgih in njihovem gibanju ali količinah, sestavi, kakovosti, sledljivosti ali po potrebi ustreznosti glede na specifikacije.</w:t>
            </w:r>
          </w:p>
        </w:tc>
      </w:tr>
    </w:tbl>
    <w:p w14:paraId="36243A63" w14:textId="77777777" w:rsidR="006F5BFE" w:rsidRPr="003B2277" w:rsidRDefault="006F5BFE" w:rsidP="006F5BFE"/>
    <w:p w14:paraId="26E0AC3A" w14:textId="040E541E" w:rsidR="006F5BFE" w:rsidRPr="003B2277" w:rsidRDefault="003B2277" w:rsidP="006F5BFE">
      <w:pPr>
        <w:pStyle w:val="AMNumberTabs"/>
        <w:keepNext/>
      </w:pPr>
      <w:r>
        <w:t>Sprememba</w:t>
      </w:r>
      <w:r w:rsidR="006F5BFE" w:rsidRPr="003B2277">
        <w:tab/>
      </w:r>
      <w:r w:rsidR="006F5BFE" w:rsidRPr="003B2277">
        <w:tab/>
        <w:t>35</w:t>
      </w:r>
    </w:p>
    <w:p w14:paraId="143BF2C2" w14:textId="77777777" w:rsidR="006F5BFE" w:rsidRPr="003B2277" w:rsidRDefault="006F5BFE" w:rsidP="006F5BFE">
      <w:pPr>
        <w:pStyle w:val="NormalBold12b"/>
      </w:pPr>
      <w:r w:rsidRPr="003B2277">
        <w:t>Predlog uredbe</w:t>
      </w:r>
    </w:p>
    <w:p w14:paraId="5ADCAD1B" w14:textId="77777777" w:rsidR="006F5BFE" w:rsidRPr="003B2277" w:rsidRDefault="006F5BFE" w:rsidP="006F5BFE">
      <w:pPr>
        <w:pStyle w:val="NormalBold"/>
      </w:pPr>
      <w:r w:rsidRPr="003B2277">
        <w:t>Uvodna izjava 27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79A1F9B" w14:textId="77777777" w:rsidTr="005B4D60">
        <w:trPr>
          <w:jc w:val="center"/>
        </w:trPr>
        <w:tc>
          <w:tcPr>
            <w:tcW w:w="9752" w:type="dxa"/>
            <w:gridSpan w:val="2"/>
          </w:tcPr>
          <w:p w14:paraId="5EE9BA3A" w14:textId="77777777" w:rsidR="006F5BFE" w:rsidRPr="003B2277" w:rsidRDefault="006F5BFE" w:rsidP="005B4D60">
            <w:pPr>
              <w:keepNext/>
            </w:pPr>
          </w:p>
        </w:tc>
      </w:tr>
      <w:tr w:rsidR="006F5BFE" w:rsidRPr="003B2277" w14:paraId="598C1B86" w14:textId="77777777" w:rsidTr="005B4D60">
        <w:trPr>
          <w:jc w:val="center"/>
        </w:trPr>
        <w:tc>
          <w:tcPr>
            <w:tcW w:w="4876" w:type="dxa"/>
            <w:hideMark/>
          </w:tcPr>
          <w:p w14:paraId="7EBB63A8" w14:textId="77777777" w:rsidR="006F5BFE" w:rsidRPr="003B2277" w:rsidRDefault="006F5BFE" w:rsidP="005B4D60">
            <w:pPr>
              <w:pStyle w:val="ColumnHeading"/>
              <w:keepNext/>
            </w:pPr>
            <w:r w:rsidRPr="003B2277">
              <w:t>Besedilo, ki ga predlaga Komisija</w:t>
            </w:r>
          </w:p>
        </w:tc>
        <w:tc>
          <w:tcPr>
            <w:tcW w:w="4876" w:type="dxa"/>
            <w:hideMark/>
          </w:tcPr>
          <w:p w14:paraId="75EB28E0" w14:textId="34BDB028" w:rsidR="006F5BFE" w:rsidRPr="003B2277" w:rsidRDefault="003B2277" w:rsidP="005B4D60">
            <w:pPr>
              <w:pStyle w:val="ColumnHeading"/>
              <w:keepNext/>
            </w:pPr>
            <w:r>
              <w:t>Sprememba</w:t>
            </w:r>
          </w:p>
        </w:tc>
      </w:tr>
      <w:tr w:rsidR="006F5BFE" w:rsidRPr="003B2277" w14:paraId="52E7EAA7" w14:textId="77777777" w:rsidTr="005B4D60">
        <w:trPr>
          <w:jc w:val="center"/>
        </w:trPr>
        <w:tc>
          <w:tcPr>
            <w:tcW w:w="4876" w:type="dxa"/>
          </w:tcPr>
          <w:p w14:paraId="6F08D126" w14:textId="77777777" w:rsidR="006F5BFE" w:rsidRPr="003B2277" w:rsidRDefault="006F5BFE" w:rsidP="005B4D60">
            <w:pPr>
              <w:pStyle w:val="Normal6"/>
            </w:pPr>
          </w:p>
        </w:tc>
        <w:tc>
          <w:tcPr>
            <w:tcW w:w="4876" w:type="dxa"/>
            <w:hideMark/>
          </w:tcPr>
          <w:p w14:paraId="404C871B" w14:textId="77777777" w:rsidR="006F5BFE" w:rsidRPr="003B2277" w:rsidRDefault="006F5BFE" w:rsidP="005B4D60">
            <w:pPr>
              <w:pStyle w:val="Normal6"/>
              <w:rPr>
                <w:szCs w:val="24"/>
              </w:rPr>
            </w:pPr>
            <w:r w:rsidRPr="003B2277">
              <w:rPr>
                <w:b/>
                <w:i/>
              </w:rPr>
              <w:t>(27a)</w:t>
            </w:r>
            <w:r w:rsidRPr="003B2277">
              <w:rPr>
                <w:b/>
                <w:i/>
              </w:rPr>
              <w:tab/>
              <w:t>Da bi se dosegel cilj udeležbe pri stabilnosti kmetijskih trgov, bi bilo treba okrepiti orodja, ki spodbujajo njihovo preglednost. Izkušnje različnih evropskih sektorskih observatorijev kmetijskih trgov so pozitivne, zato bi bilo treba ustanoviti evropski observatorij za trge kmetijskih proizvodov in vzpostaviti sistem za poročanje o informacijah, ki jih ta potrebuje za svoje delo, da se gospodarskim subjektom in javnim organom omogoči sprejemanje informiranih odločitev ter poenostavita spremljanje in evidentiranje razvoja trga.</w:t>
            </w:r>
          </w:p>
        </w:tc>
      </w:tr>
    </w:tbl>
    <w:p w14:paraId="41AF8E9F" w14:textId="77777777" w:rsidR="006F5BFE" w:rsidRPr="003B2277" w:rsidRDefault="006F5BFE" w:rsidP="006F5BFE"/>
    <w:p w14:paraId="06FF42B5" w14:textId="6C1BC8C6" w:rsidR="006F5BFE" w:rsidRPr="003B2277" w:rsidRDefault="003B2277" w:rsidP="006F5BFE">
      <w:pPr>
        <w:pStyle w:val="AMNumberTabs"/>
        <w:keepNext/>
      </w:pPr>
      <w:r>
        <w:t>Sprememba</w:t>
      </w:r>
      <w:r w:rsidR="006F5BFE" w:rsidRPr="003B2277">
        <w:tab/>
      </w:r>
      <w:r w:rsidR="006F5BFE" w:rsidRPr="003B2277">
        <w:tab/>
        <w:t>36</w:t>
      </w:r>
    </w:p>
    <w:p w14:paraId="09AEBE2C" w14:textId="77777777" w:rsidR="006F5BFE" w:rsidRPr="003B2277" w:rsidRDefault="006F5BFE" w:rsidP="006F5BFE">
      <w:pPr>
        <w:pStyle w:val="NormalBold12b"/>
      </w:pPr>
      <w:r w:rsidRPr="003B2277">
        <w:t>Predlog uredbe</w:t>
      </w:r>
    </w:p>
    <w:p w14:paraId="0FC25C1A" w14:textId="77777777" w:rsidR="006F5BFE" w:rsidRPr="003B2277" w:rsidRDefault="006F5BFE" w:rsidP="006F5BFE">
      <w:pPr>
        <w:pStyle w:val="NormalBold"/>
      </w:pPr>
      <w:r w:rsidRPr="003B2277">
        <w:t>Uvodna izjava 27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BA35CFE" w14:textId="77777777" w:rsidTr="005B4D60">
        <w:trPr>
          <w:jc w:val="center"/>
        </w:trPr>
        <w:tc>
          <w:tcPr>
            <w:tcW w:w="9752" w:type="dxa"/>
            <w:gridSpan w:val="2"/>
          </w:tcPr>
          <w:p w14:paraId="2E541B2D" w14:textId="77777777" w:rsidR="006F5BFE" w:rsidRPr="003B2277" w:rsidRDefault="006F5BFE" w:rsidP="005B4D60">
            <w:pPr>
              <w:keepNext/>
            </w:pPr>
          </w:p>
        </w:tc>
      </w:tr>
      <w:tr w:rsidR="006F5BFE" w:rsidRPr="003B2277" w14:paraId="2506E3C8" w14:textId="77777777" w:rsidTr="005B4D60">
        <w:trPr>
          <w:jc w:val="center"/>
        </w:trPr>
        <w:tc>
          <w:tcPr>
            <w:tcW w:w="4876" w:type="dxa"/>
            <w:hideMark/>
          </w:tcPr>
          <w:p w14:paraId="75337FB2" w14:textId="77777777" w:rsidR="006F5BFE" w:rsidRPr="003B2277" w:rsidRDefault="006F5BFE" w:rsidP="005B4D60">
            <w:pPr>
              <w:pStyle w:val="ColumnHeading"/>
              <w:keepNext/>
            </w:pPr>
            <w:r w:rsidRPr="003B2277">
              <w:t>Besedilo, ki ga predlaga Komisija</w:t>
            </w:r>
          </w:p>
        </w:tc>
        <w:tc>
          <w:tcPr>
            <w:tcW w:w="4876" w:type="dxa"/>
            <w:hideMark/>
          </w:tcPr>
          <w:p w14:paraId="53B6C095" w14:textId="00F25778" w:rsidR="006F5BFE" w:rsidRPr="003B2277" w:rsidRDefault="003B2277" w:rsidP="005B4D60">
            <w:pPr>
              <w:pStyle w:val="ColumnHeading"/>
              <w:keepNext/>
            </w:pPr>
            <w:r>
              <w:t>Sprememba</w:t>
            </w:r>
          </w:p>
        </w:tc>
      </w:tr>
      <w:tr w:rsidR="006F5BFE" w:rsidRPr="003B2277" w14:paraId="7C1705DD" w14:textId="77777777" w:rsidTr="005B4D60">
        <w:trPr>
          <w:jc w:val="center"/>
        </w:trPr>
        <w:tc>
          <w:tcPr>
            <w:tcW w:w="4876" w:type="dxa"/>
          </w:tcPr>
          <w:p w14:paraId="145D265B" w14:textId="77777777" w:rsidR="006F5BFE" w:rsidRPr="003B2277" w:rsidRDefault="006F5BFE" w:rsidP="005B4D60">
            <w:pPr>
              <w:pStyle w:val="Normal6"/>
            </w:pPr>
          </w:p>
        </w:tc>
        <w:tc>
          <w:tcPr>
            <w:tcW w:w="4876" w:type="dxa"/>
            <w:hideMark/>
          </w:tcPr>
          <w:p w14:paraId="54953B76" w14:textId="77777777" w:rsidR="006F5BFE" w:rsidRPr="003B2277" w:rsidRDefault="006F5BFE" w:rsidP="005B4D60">
            <w:pPr>
              <w:pStyle w:val="Normal6"/>
              <w:rPr>
                <w:szCs w:val="24"/>
              </w:rPr>
            </w:pPr>
            <w:r w:rsidRPr="003B2277">
              <w:rPr>
                <w:b/>
                <w:i/>
              </w:rPr>
              <w:t>(27b)</w:t>
            </w:r>
            <w:r w:rsidRPr="003B2277">
              <w:rPr>
                <w:b/>
                <w:i/>
              </w:rPr>
              <w:tab/>
              <w:t>Da se pojasnijo odločitve organov in institucij Unije in okrepi učinkovitost ukrepov za preprečevanje in upravljanje motenj na trgih, bi bilo treba vzpostaviti mehanizem zgodnjega opozarjanja, s katerim bi evropski observatorij za trge kmetijskih proizvodov obveščal Evropski parlament, Svet in Komisijo o nevarnostih motenj na trgu ter po potrebi izdal priporočilo o ukrepih, ki jih je treba sprejeti. Komisija, ki je edina pristojna za pobude na tem področju, bi imela na voljo 30 dni za predstavitev primernih ukrepov za odpravo teh motenj na trgu ali utemeljitev, zakaj jih ni pripravila.</w:t>
            </w:r>
          </w:p>
        </w:tc>
      </w:tr>
    </w:tbl>
    <w:p w14:paraId="49AE9054" w14:textId="77777777" w:rsidR="006F5BFE" w:rsidRPr="003B2277" w:rsidRDefault="006F5BFE" w:rsidP="006F5BFE"/>
    <w:p w14:paraId="48E3C73F" w14:textId="6C12584E" w:rsidR="006F5BFE" w:rsidRPr="003B2277" w:rsidRDefault="003B2277" w:rsidP="006F5BFE">
      <w:pPr>
        <w:pStyle w:val="AMNumberTabs"/>
        <w:keepNext/>
      </w:pPr>
      <w:r>
        <w:t>Sprememba</w:t>
      </w:r>
      <w:r w:rsidR="006F5BFE" w:rsidRPr="003B2277">
        <w:tab/>
      </w:r>
      <w:r w:rsidR="006F5BFE" w:rsidRPr="003B2277">
        <w:tab/>
        <w:t>37</w:t>
      </w:r>
    </w:p>
    <w:p w14:paraId="655FA8D5" w14:textId="77777777" w:rsidR="006F5BFE" w:rsidRPr="003B2277" w:rsidRDefault="006F5BFE" w:rsidP="006F5BFE">
      <w:pPr>
        <w:pStyle w:val="NormalBold12b"/>
      </w:pPr>
      <w:r w:rsidRPr="003B2277">
        <w:t>Predlog uredbe</w:t>
      </w:r>
    </w:p>
    <w:p w14:paraId="21DCD144" w14:textId="77777777" w:rsidR="006F5BFE" w:rsidRPr="003B2277" w:rsidRDefault="006F5BFE" w:rsidP="006F5BFE">
      <w:pPr>
        <w:pStyle w:val="NormalBold"/>
      </w:pPr>
      <w:r w:rsidRPr="003B2277">
        <w:t>Uvodna izjava 29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7565BF0" w14:textId="77777777" w:rsidTr="005B4D60">
        <w:trPr>
          <w:jc w:val="center"/>
        </w:trPr>
        <w:tc>
          <w:tcPr>
            <w:tcW w:w="9752" w:type="dxa"/>
            <w:gridSpan w:val="2"/>
          </w:tcPr>
          <w:p w14:paraId="2F54E809" w14:textId="77777777" w:rsidR="006F5BFE" w:rsidRPr="003B2277" w:rsidRDefault="006F5BFE" w:rsidP="005B4D60">
            <w:pPr>
              <w:keepNext/>
            </w:pPr>
          </w:p>
        </w:tc>
      </w:tr>
      <w:tr w:rsidR="006F5BFE" w:rsidRPr="003B2277" w14:paraId="571D2EDF" w14:textId="77777777" w:rsidTr="005B4D60">
        <w:trPr>
          <w:jc w:val="center"/>
        </w:trPr>
        <w:tc>
          <w:tcPr>
            <w:tcW w:w="4876" w:type="dxa"/>
            <w:hideMark/>
          </w:tcPr>
          <w:p w14:paraId="7711E8A4" w14:textId="77777777" w:rsidR="006F5BFE" w:rsidRPr="003B2277" w:rsidRDefault="006F5BFE" w:rsidP="005B4D60">
            <w:pPr>
              <w:pStyle w:val="ColumnHeading"/>
              <w:keepNext/>
            </w:pPr>
            <w:r w:rsidRPr="003B2277">
              <w:t>Besedilo, ki ga predlaga Komisija</w:t>
            </w:r>
          </w:p>
        </w:tc>
        <w:tc>
          <w:tcPr>
            <w:tcW w:w="4876" w:type="dxa"/>
            <w:hideMark/>
          </w:tcPr>
          <w:p w14:paraId="0516CF59" w14:textId="2690A1C6" w:rsidR="006F5BFE" w:rsidRPr="003B2277" w:rsidRDefault="003B2277" w:rsidP="005B4D60">
            <w:pPr>
              <w:pStyle w:val="ColumnHeading"/>
              <w:keepNext/>
            </w:pPr>
            <w:r>
              <w:t>Sprememba</w:t>
            </w:r>
          </w:p>
        </w:tc>
      </w:tr>
      <w:tr w:rsidR="006F5BFE" w:rsidRPr="003B2277" w14:paraId="4E6BDDEE" w14:textId="77777777" w:rsidTr="005B4D60">
        <w:trPr>
          <w:jc w:val="center"/>
        </w:trPr>
        <w:tc>
          <w:tcPr>
            <w:tcW w:w="4876" w:type="dxa"/>
            <w:hideMark/>
          </w:tcPr>
          <w:p w14:paraId="159BFAEE" w14:textId="77777777" w:rsidR="006F5BFE" w:rsidRPr="003B2277" w:rsidRDefault="006F5BFE" w:rsidP="005B4D60">
            <w:pPr>
              <w:pStyle w:val="Normal6"/>
            </w:pPr>
            <w:r w:rsidRPr="003B2277">
              <w:t>(29)</w:t>
            </w:r>
            <w:r w:rsidRPr="003B2277">
              <w:tab/>
              <w:t>Zaradi razveljavitve Uredbe (EU) št. 1306/2013 Evropskega parlamenta in Sveta</w:t>
            </w:r>
            <w:r w:rsidRPr="003B2277">
              <w:rPr>
                <w:vertAlign w:val="superscript"/>
              </w:rPr>
              <w:t>17</w:t>
            </w:r>
            <w:r w:rsidRPr="003B2277">
              <w:t xml:space="preserve"> z Uredbo (EU) …/… (</w:t>
            </w:r>
            <w:r w:rsidRPr="003B2277">
              <w:rPr>
                <w:b/>
                <w:i/>
              </w:rPr>
              <w:t>uredba o strateškem načrtu SKP</w:t>
            </w:r>
            <w:r w:rsidRPr="003B2277">
              <w:t>) bi bilo treba določbe, ki se nanašajo na preglede in kazni v zvezi s tržnimi standardi ter zaščitenimi označbami porekla, geografskimi označbami in tradicionalnimi izrazi, vključiti v Uredbo (EU) št. 1308/2013.</w:t>
            </w:r>
          </w:p>
        </w:tc>
        <w:tc>
          <w:tcPr>
            <w:tcW w:w="4876" w:type="dxa"/>
            <w:hideMark/>
          </w:tcPr>
          <w:p w14:paraId="1BF62EBE" w14:textId="77777777" w:rsidR="006F5BFE" w:rsidRPr="003B2277" w:rsidRDefault="006F5BFE" w:rsidP="005B4D60">
            <w:pPr>
              <w:pStyle w:val="Normal6"/>
              <w:rPr>
                <w:szCs w:val="24"/>
              </w:rPr>
            </w:pPr>
            <w:r w:rsidRPr="003B2277">
              <w:t>(29)</w:t>
            </w:r>
            <w:r w:rsidRPr="003B2277">
              <w:tab/>
              <w:t>Zaradi razveljavitve Uredbe (EU) št. 1306/2013 Evropskega parlamenta in Sveta</w:t>
            </w:r>
            <w:r w:rsidRPr="003B2277">
              <w:rPr>
                <w:vertAlign w:val="superscript"/>
              </w:rPr>
              <w:t>17</w:t>
            </w:r>
            <w:r w:rsidRPr="003B2277">
              <w:t xml:space="preserve"> z Uredbo (EU) …/… (</w:t>
            </w:r>
            <w:r w:rsidRPr="003B2277">
              <w:rPr>
                <w:b/>
                <w:i/>
              </w:rPr>
              <w:t>horizontalna uredba</w:t>
            </w:r>
            <w:r w:rsidRPr="003B2277">
              <w:t>) bi bilo treba določbe, ki se nanašajo na preglede in kazni v zvezi s tržnimi standardi ter zaščitenimi označbami porekla, geografskimi označbami in tradicionalnimi izrazi, vključiti v Uredbo (EU) št. 1308/2013</w:t>
            </w:r>
            <w:r w:rsidRPr="003B2277">
              <w:rPr>
                <w:b/>
                <w:i/>
              </w:rPr>
              <w:t xml:space="preserve"> ter pri tem za zagotovitev učinkovitosti pojasniti, da ti pregledi lahko zajemajo dokumentacijske preglede in preglede na kraju samem, ki bi bili potrebni le, če zahtev iz specifikacij ni mogoče varno preveriti z dokumentacijskim pregledom</w:t>
            </w:r>
            <w:r w:rsidRPr="003B2277">
              <w:t>.</w:t>
            </w:r>
          </w:p>
        </w:tc>
      </w:tr>
      <w:tr w:rsidR="006F5BFE" w:rsidRPr="003B2277" w14:paraId="0D8D8BBC" w14:textId="77777777" w:rsidTr="005B4D60">
        <w:trPr>
          <w:jc w:val="center"/>
        </w:trPr>
        <w:tc>
          <w:tcPr>
            <w:tcW w:w="4876" w:type="dxa"/>
            <w:hideMark/>
          </w:tcPr>
          <w:p w14:paraId="1B2DC210" w14:textId="77777777" w:rsidR="006F5BFE" w:rsidRPr="003B2277" w:rsidRDefault="006F5BFE" w:rsidP="005B4D60">
            <w:pPr>
              <w:pStyle w:val="Normal6"/>
            </w:pPr>
            <w:r w:rsidRPr="003B2277">
              <w:t>__________________</w:t>
            </w:r>
          </w:p>
        </w:tc>
        <w:tc>
          <w:tcPr>
            <w:tcW w:w="4876" w:type="dxa"/>
            <w:hideMark/>
          </w:tcPr>
          <w:p w14:paraId="457AA80B" w14:textId="77777777" w:rsidR="006F5BFE" w:rsidRPr="003B2277" w:rsidRDefault="006F5BFE" w:rsidP="005B4D60">
            <w:pPr>
              <w:pStyle w:val="Normal6"/>
              <w:rPr>
                <w:szCs w:val="24"/>
              </w:rPr>
            </w:pPr>
            <w:r w:rsidRPr="003B2277">
              <w:t>__________________</w:t>
            </w:r>
          </w:p>
        </w:tc>
      </w:tr>
      <w:tr w:rsidR="006F5BFE" w:rsidRPr="003B2277" w14:paraId="54F25D53" w14:textId="77777777" w:rsidTr="005B4D60">
        <w:trPr>
          <w:jc w:val="center"/>
        </w:trPr>
        <w:tc>
          <w:tcPr>
            <w:tcW w:w="4876" w:type="dxa"/>
            <w:hideMark/>
          </w:tcPr>
          <w:p w14:paraId="0A3667B1" w14:textId="77777777" w:rsidR="006F5BFE" w:rsidRPr="003B2277" w:rsidRDefault="006F5BFE" w:rsidP="005B4D60">
            <w:pPr>
              <w:pStyle w:val="Normal6"/>
            </w:pPr>
            <w:r w:rsidRPr="003B2277">
              <w:rPr>
                <w:vertAlign w:val="superscript"/>
              </w:rPr>
              <w:t>17</w:t>
            </w:r>
            <w:r w:rsidRPr="003B2277">
              <w:t xml:space="preserve"> Uredba (EU) št. 1306/2013 Evropskega parlamenta in Sveta z dne 17. decembra 2013 o financiranju, upravljanju in spremljanju skupne kmetijske politike in razveljavitvi uredb Sveta (EGS) št. 352/78, (ES) št. 165/94, (ES) št. 2799/98, (ES) št. 814/2000, (ES) št. 1290/2005 in (ES) št. 485/2008 (UL L 347, 20.12.2013, str. 549).</w:t>
            </w:r>
          </w:p>
        </w:tc>
        <w:tc>
          <w:tcPr>
            <w:tcW w:w="4876" w:type="dxa"/>
            <w:hideMark/>
          </w:tcPr>
          <w:p w14:paraId="6434B436" w14:textId="77777777" w:rsidR="006F5BFE" w:rsidRPr="003B2277" w:rsidRDefault="006F5BFE" w:rsidP="005B4D60">
            <w:pPr>
              <w:pStyle w:val="Normal6"/>
              <w:rPr>
                <w:szCs w:val="24"/>
              </w:rPr>
            </w:pPr>
            <w:r w:rsidRPr="003B2277">
              <w:rPr>
                <w:vertAlign w:val="superscript"/>
              </w:rPr>
              <w:t>17</w:t>
            </w:r>
            <w:r w:rsidRPr="003B2277">
              <w:t xml:space="preserve"> Uredba (EU) št. 1306/2013 Evropskega parlamenta in Sveta z dne 17. decembra 2013 o financiranju, upravljanju in spremljanju skupne kmetijske politike in razveljavitvi uredb Sveta (EGS) št. 352/78, (ES) št. 165/94, (ES) št. 2799/98, (ES) št. 814/2000, (ES) št. 1290/2005 in (ES) št. 485/2008 (UL L 347, 20.12.2013, str. 549).</w:t>
            </w:r>
          </w:p>
        </w:tc>
      </w:tr>
    </w:tbl>
    <w:p w14:paraId="17683454" w14:textId="77777777" w:rsidR="006F5BFE" w:rsidRPr="003B2277" w:rsidRDefault="006F5BFE" w:rsidP="006F5BFE"/>
    <w:p w14:paraId="13AC3BB5" w14:textId="159AF090" w:rsidR="006F5BFE" w:rsidRPr="003B2277" w:rsidRDefault="003B2277" w:rsidP="006F5BFE">
      <w:pPr>
        <w:pStyle w:val="AMNumberTabs"/>
        <w:keepNext/>
      </w:pPr>
      <w:r>
        <w:t>Sprememba</w:t>
      </w:r>
      <w:r w:rsidR="006F5BFE" w:rsidRPr="003B2277">
        <w:tab/>
      </w:r>
      <w:r w:rsidR="006F5BFE" w:rsidRPr="003B2277">
        <w:tab/>
        <w:t>38</w:t>
      </w:r>
    </w:p>
    <w:p w14:paraId="517B4347" w14:textId="77777777" w:rsidR="006F5BFE" w:rsidRPr="003B2277" w:rsidRDefault="006F5BFE" w:rsidP="006F5BFE">
      <w:pPr>
        <w:pStyle w:val="NormalBold12b"/>
      </w:pPr>
      <w:r w:rsidRPr="003B2277">
        <w:t>Predlog uredbe</w:t>
      </w:r>
    </w:p>
    <w:p w14:paraId="00D0E14D" w14:textId="77777777" w:rsidR="006F5BFE" w:rsidRPr="003B2277" w:rsidRDefault="006F5BFE" w:rsidP="006F5BFE">
      <w:pPr>
        <w:pStyle w:val="NormalBold"/>
      </w:pPr>
      <w:r w:rsidRPr="003B2277">
        <w:t>Uvodna izjava 30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2210198" w14:textId="77777777" w:rsidTr="005B4D60">
        <w:trPr>
          <w:jc w:val="center"/>
        </w:trPr>
        <w:tc>
          <w:tcPr>
            <w:tcW w:w="9752" w:type="dxa"/>
            <w:gridSpan w:val="2"/>
          </w:tcPr>
          <w:p w14:paraId="685FE6AA" w14:textId="77777777" w:rsidR="006F5BFE" w:rsidRPr="003B2277" w:rsidRDefault="006F5BFE" w:rsidP="005B4D60">
            <w:pPr>
              <w:keepNext/>
            </w:pPr>
          </w:p>
        </w:tc>
      </w:tr>
      <w:tr w:rsidR="006F5BFE" w:rsidRPr="003B2277" w14:paraId="568B3B71" w14:textId="77777777" w:rsidTr="005B4D60">
        <w:trPr>
          <w:jc w:val="center"/>
        </w:trPr>
        <w:tc>
          <w:tcPr>
            <w:tcW w:w="4876" w:type="dxa"/>
            <w:hideMark/>
          </w:tcPr>
          <w:p w14:paraId="0746F080" w14:textId="77777777" w:rsidR="006F5BFE" w:rsidRPr="003B2277" w:rsidRDefault="006F5BFE" w:rsidP="005B4D60">
            <w:pPr>
              <w:pStyle w:val="ColumnHeading"/>
              <w:keepNext/>
            </w:pPr>
            <w:r w:rsidRPr="003B2277">
              <w:t>Besedilo, ki ga predlaga Komisija</w:t>
            </w:r>
          </w:p>
        </w:tc>
        <w:tc>
          <w:tcPr>
            <w:tcW w:w="4876" w:type="dxa"/>
            <w:hideMark/>
          </w:tcPr>
          <w:p w14:paraId="47850E87" w14:textId="740B90A9" w:rsidR="006F5BFE" w:rsidRPr="003B2277" w:rsidRDefault="003B2277" w:rsidP="005B4D60">
            <w:pPr>
              <w:pStyle w:val="ColumnHeading"/>
              <w:keepNext/>
            </w:pPr>
            <w:r>
              <w:t>Sprememba</w:t>
            </w:r>
          </w:p>
        </w:tc>
      </w:tr>
      <w:tr w:rsidR="006F5BFE" w:rsidRPr="003B2277" w14:paraId="098CDED4" w14:textId="77777777" w:rsidTr="005B4D60">
        <w:trPr>
          <w:jc w:val="center"/>
        </w:trPr>
        <w:tc>
          <w:tcPr>
            <w:tcW w:w="4876" w:type="dxa"/>
          </w:tcPr>
          <w:p w14:paraId="36743531" w14:textId="77777777" w:rsidR="006F5BFE" w:rsidRPr="003B2277" w:rsidRDefault="006F5BFE" w:rsidP="005B4D60">
            <w:pPr>
              <w:pStyle w:val="Normal6"/>
            </w:pPr>
          </w:p>
        </w:tc>
        <w:tc>
          <w:tcPr>
            <w:tcW w:w="4876" w:type="dxa"/>
            <w:hideMark/>
          </w:tcPr>
          <w:p w14:paraId="23297C28" w14:textId="77777777" w:rsidR="006F5BFE" w:rsidRPr="003B2277" w:rsidRDefault="006F5BFE" w:rsidP="005B4D60">
            <w:pPr>
              <w:pStyle w:val="Normal6"/>
              <w:rPr>
                <w:szCs w:val="24"/>
              </w:rPr>
            </w:pPr>
            <w:r w:rsidRPr="003B2277">
              <w:rPr>
                <w:b/>
                <w:i/>
              </w:rPr>
              <w:t>(30a)</w:t>
            </w:r>
            <w:r w:rsidRPr="003B2277">
              <w:rPr>
                <w:b/>
                <w:i/>
              </w:rPr>
              <w:tab/>
              <w:t>Za nadaljnjo podporo sektorju sladkorja pri razvoju in prehodu po prenehanju sistema kvot bi bilo treba pojasniti, da poročanja o cenah na trgih zajemajo tudi etanol, omogočiti uporabo spravnih postopkov ali postopkov posredovanja kot alternativo arbitraži ter v tej uredbi kodificirati klavzulo o porazdelitvi vrednosti.</w:t>
            </w:r>
          </w:p>
        </w:tc>
      </w:tr>
    </w:tbl>
    <w:p w14:paraId="5295BA86" w14:textId="77777777" w:rsidR="006F5BFE" w:rsidRPr="003B2277" w:rsidRDefault="006F5BFE" w:rsidP="006F5BFE"/>
    <w:p w14:paraId="552197D2" w14:textId="7AB9A71D" w:rsidR="006F5BFE" w:rsidRPr="003B2277" w:rsidRDefault="003B2277" w:rsidP="006F5BFE">
      <w:pPr>
        <w:pStyle w:val="AMNumberTabs"/>
        <w:keepNext/>
      </w:pPr>
      <w:r>
        <w:t>Sprememba</w:t>
      </w:r>
      <w:r w:rsidR="006F5BFE" w:rsidRPr="003B2277">
        <w:tab/>
      </w:r>
      <w:r w:rsidR="006F5BFE" w:rsidRPr="003B2277">
        <w:tab/>
        <w:t>39</w:t>
      </w:r>
    </w:p>
    <w:p w14:paraId="04CA37C6" w14:textId="77777777" w:rsidR="006F5BFE" w:rsidRPr="003B2277" w:rsidRDefault="006F5BFE" w:rsidP="006F5BFE">
      <w:pPr>
        <w:pStyle w:val="NormalBold12b"/>
      </w:pPr>
      <w:r w:rsidRPr="003B2277">
        <w:t>Predlog uredbe</w:t>
      </w:r>
    </w:p>
    <w:p w14:paraId="5CCA4A4B" w14:textId="77777777" w:rsidR="006F5BFE" w:rsidRPr="003B2277" w:rsidRDefault="006F5BFE" w:rsidP="006F5BFE">
      <w:pPr>
        <w:pStyle w:val="NormalBold"/>
      </w:pPr>
      <w:r w:rsidRPr="003B2277">
        <w:t>Uvodna izjava 33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3E96209" w14:textId="77777777" w:rsidTr="005B4D60">
        <w:trPr>
          <w:jc w:val="center"/>
        </w:trPr>
        <w:tc>
          <w:tcPr>
            <w:tcW w:w="9752" w:type="dxa"/>
            <w:gridSpan w:val="2"/>
          </w:tcPr>
          <w:p w14:paraId="57911542" w14:textId="77777777" w:rsidR="006F5BFE" w:rsidRPr="003B2277" w:rsidRDefault="006F5BFE" w:rsidP="005B4D60">
            <w:pPr>
              <w:keepNext/>
            </w:pPr>
          </w:p>
        </w:tc>
      </w:tr>
      <w:tr w:rsidR="006F5BFE" w:rsidRPr="003B2277" w14:paraId="6BE6B645" w14:textId="77777777" w:rsidTr="005B4D60">
        <w:trPr>
          <w:jc w:val="center"/>
        </w:trPr>
        <w:tc>
          <w:tcPr>
            <w:tcW w:w="4876" w:type="dxa"/>
            <w:hideMark/>
          </w:tcPr>
          <w:p w14:paraId="5B62E409" w14:textId="77777777" w:rsidR="006F5BFE" w:rsidRPr="003B2277" w:rsidRDefault="006F5BFE" w:rsidP="005B4D60">
            <w:pPr>
              <w:pStyle w:val="ColumnHeading"/>
              <w:keepNext/>
            </w:pPr>
            <w:r w:rsidRPr="003B2277">
              <w:t>Besedilo, ki ga predlaga Komisija</w:t>
            </w:r>
          </w:p>
        </w:tc>
        <w:tc>
          <w:tcPr>
            <w:tcW w:w="4876" w:type="dxa"/>
            <w:hideMark/>
          </w:tcPr>
          <w:p w14:paraId="7BD31557" w14:textId="3F4D1053" w:rsidR="006F5BFE" w:rsidRPr="003B2277" w:rsidRDefault="003B2277" w:rsidP="005B4D60">
            <w:pPr>
              <w:pStyle w:val="ColumnHeading"/>
              <w:keepNext/>
            </w:pPr>
            <w:r>
              <w:t>Sprememba</w:t>
            </w:r>
          </w:p>
        </w:tc>
      </w:tr>
      <w:tr w:rsidR="006F5BFE" w:rsidRPr="003B2277" w14:paraId="1C5C188A" w14:textId="77777777" w:rsidTr="005B4D60">
        <w:trPr>
          <w:jc w:val="center"/>
        </w:trPr>
        <w:tc>
          <w:tcPr>
            <w:tcW w:w="4876" w:type="dxa"/>
          </w:tcPr>
          <w:p w14:paraId="0CEB6516" w14:textId="77777777" w:rsidR="006F5BFE" w:rsidRPr="003B2277" w:rsidRDefault="006F5BFE" w:rsidP="005B4D60">
            <w:pPr>
              <w:pStyle w:val="Normal6"/>
            </w:pPr>
          </w:p>
        </w:tc>
        <w:tc>
          <w:tcPr>
            <w:tcW w:w="4876" w:type="dxa"/>
            <w:hideMark/>
          </w:tcPr>
          <w:p w14:paraId="3D91C5BF" w14:textId="77777777" w:rsidR="006F5BFE" w:rsidRPr="003B2277" w:rsidRDefault="006F5BFE" w:rsidP="005B4D60">
            <w:pPr>
              <w:pStyle w:val="Normal6"/>
              <w:rPr>
                <w:szCs w:val="24"/>
              </w:rPr>
            </w:pPr>
            <w:r w:rsidRPr="003B2277">
              <w:rPr>
                <w:b/>
                <w:i/>
              </w:rPr>
              <w:t>(33a)</w:t>
            </w:r>
            <w:r w:rsidRPr="003B2277">
              <w:rPr>
                <w:b/>
                <w:i/>
              </w:rPr>
              <w:tab/>
              <w:t>Omogočiti bi bilo treba pravne mehanizme za zagotovitev, da so proizvodi z neobvezno navedbo kakovosti „gorski proizvod“ prisotni na trgu druge države le, če ne kršijo morebitnih zahtev za uporabo te navedbe kakovosti v dani državi.</w:t>
            </w:r>
          </w:p>
        </w:tc>
      </w:tr>
    </w:tbl>
    <w:p w14:paraId="14262C0B" w14:textId="77777777" w:rsidR="006F5BFE" w:rsidRPr="003B2277" w:rsidRDefault="006F5BFE" w:rsidP="006F5BFE"/>
    <w:p w14:paraId="17746788" w14:textId="0A7825AF" w:rsidR="006F5BFE" w:rsidRPr="003B2277" w:rsidRDefault="003B2277" w:rsidP="006F5BFE">
      <w:pPr>
        <w:pStyle w:val="AMNumberTabs"/>
        <w:keepNext/>
      </w:pPr>
      <w:r>
        <w:t>Sprememba</w:t>
      </w:r>
      <w:r w:rsidR="006F5BFE" w:rsidRPr="003B2277">
        <w:tab/>
      </w:r>
      <w:r w:rsidR="006F5BFE" w:rsidRPr="003B2277">
        <w:tab/>
        <w:t>40</w:t>
      </w:r>
    </w:p>
    <w:p w14:paraId="67B49576" w14:textId="77777777" w:rsidR="006F5BFE" w:rsidRPr="003B2277" w:rsidRDefault="006F5BFE" w:rsidP="006F5BFE">
      <w:pPr>
        <w:pStyle w:val="NormalBold12b"/>
      </w:pPr>
      <w:r w:rsidRPr="003B2277">
        <w:t>Predlog uredbe</w:t>
      </w:r>
    </w:p>
    <w:p w14:paraId="15D6AD88" w14:textId="77777777" w:rsidR="006F5BFE" w:rsidRPr="003B2277" w:rsidRDefault="006F5BFE" w:rsidP="006F5BFE">
      <w:pPr>
        <w:pStyle w:val="NormalBold"/>
      </w:pPr>
      <w:r w:rsidRPr="003B2277">
        <w:t>Uvodna izjava 34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5BC856A" w14:textId="77777777" w:rsidTr="005B4D60">
        <w:trPr>
          <w:jc w:val="center"/>
        </w:trPr>
        <w:tc>
          <w:tcPr>
            <w:tcW w:w="9752" w:type="dxa"/>
            <w:gridSpan w:val="2"/>
          </w:tcPr>
          <w:p w14:paraId="67CBEFD4" w14:textId="77777777" w:rsidR="006F5BFE" w:rsidRPr="003B2277" w:rsidRDefault="006F5BFE" w:rsidP="005B4D60">
            <w:pPr>
              <w:keepNext/>
            </w:pPr>
          </w:p>
        </w:tc>
      </w:tr>
      <w:tr w:rsidR="006F5BFE" w:rsidRPr="003B2277" w14:paraId="741D51F2" w14:textId="77777777" w:rsidTr="005B4D60">
        <w:trPr>
          <w:jc w:val="center"/>
        </w:trPr>
        <w:tc>
          <w:tcPr>
            <w:tcW w:w="4876" w:type="dxa"/>
            <w:hideMark/>
          </w:tcPr>
          <w:p w14:paraId="7C56EE79" w14:textId="77777777" w:rsidR="006F5BFE" w:rsidRPr="003B2277" w:rsidRDefault="006F5BFE" w:rsidP="005B4D60">
            <w:pPr>
              <w:pStyle w:val="ColumnHeading"/>
              <w:keepNext/>
            </w:pPr>
            <w:r w:rsidRPr="003B2277">
              <w:t>Besedilo, ki ga predlaga Komisija</w:t>
            </w:r>
          </w:p>
        </w:tc>
        <w:tc>
          <w:tcPr>
            <w:tcW w:w="4876" w:type="dxa"/>
            <w:hideMark/>
          </w:tcPr>
          <w:p w14:paraId="2E07964A" w14:textId="3E4A62C5" w:rsidR="006F5BFE" w:rsidRPr="003B2277" w:rsidRDefault="003B2277" w:rsidP="005B4D60">
            <w:pPr>
              <w:pStyle w:val="ColumnHeading"/>
              <w:keepNext/>
            </w:pPr>
            <w:r>
              <w:t>Sprememba</w:t>
            </w:r>
          </w:p>
        </w:tc>
      </w:tr>
      <w:tr w:rsidR="006F5BFE" w:rsidRPr="003B2277" w14:paraId="15495F18" w14:textId="77777777" w:rsidTr="005B4D60">
        <w:trPr>
          <w:jc w:val="center"/>
        </w:trPr>
        <w:tc>
          <w:tcPr>
            <w:tcW w:w="4876" w:type="dxa"/>
          </w:tcPr>
          <w:p w14:paraId="23DDB28B" w14:textId="77777777" w:rsidR="006F5BFE" w:rsidRPr="003B2277" w:rsidRDefault="006F5BFE" w:rsidP="005B4D60">
            <w:pPr>
              <w:pStyle w:val="Normal6"/>
            </w:pPr>
          </w:p>
        </w:tc>
        <w:tc>
          <w:tcPr>
            <w:tcW w:w="4876" w:type="dxa"/>
            <w:hideMark/>
          </w:tcPr>
          <w:p w14:paraId="0B173B44" w14:textId="77777777" w:rsidR="006F5BFE" w:rsidRPr="003B2277" w:rsidRDefault="006F5BFE" w:rsidP="005B4D60">
            <w:pPr>
              <w:pStyle w:val="Normal6"/>
              <w:rPr>
                <w:szCs w:val="24"/>
              </w:rPr>
            </w:pPr>
            <w:r w:rsidRPr="003B2277">
              <w:rPr>
                <w:b/>
                <w:i/>
              </w:rPr>
              <w:t>(34a)</w:t>
            </w:r>
            <w:r w:rsidRPr="003B2277">
              <w:rPr>
                <w:b/>
                <w:i/>
              </w:rPr>
              <w:tab/>
              <w:t>Seznam proizvodov, ki jih je mogoče zaščititi kot ZOP ali ZGO, bi bilo treba razširiti s proizvodi, po katerih evropski potrošniki vse bolj povprašujejo, kot je čebelji vosek, ki se vedno bolj uporablja v živilski in kozmetični industriji.</w:t>
            </w:r>
          </w:p>
        </w:tc>
      </w:tr>
    </w:tbl>
    <w:p w14:paraId="3AD1E8D2" w14:textId="77777777" w:rsidR="006F5BFE" w:rsidRPr="003B2277" w:rsidRDefault="006F5BFE" w:rsidP="006F5BFE"/>
    <w:p w14:paraId="21DD969C" w14:textId="46BC023F" w:rsidR="006F5BFE" w:rsidRPr="003B2277" w:rsidRDefault="003B2277" w:rsidP="006F5BFE">
      <w:pPr>
        <w:pStyle w:val="AMNumberTabs"/>
        <w:keepNext/>
      </w:pPr>
      <w:r>
        <w:t>Sprememba</w:t>
      </w:r>
      <w:r w:rsidR="006F5BFE" w:rsidRPr="003B2277">
        <w:tab/>
      </w:r>
      <w:r w:rsidR="006F5BFE" w:rsidRPr="003B2277">
        <w:tab/>
        <w:t>41</w:t>
      </w:r>
    </w:p>
    <w:p w14:paraId="4CE79BBD" w14:textId="77777777" w:rsidR="006F5BFE" w:rsidRPr="003B2277" w:rsidRDefault="006F5BFE" w:rsidP="006F5BFE">
      <w:pPr>
        <w:pStyle w:val="NormalBold12b"/>
      </w:pPr>
      <w:r w:rsidRPr="003B2277">
        <w:t>Predlog uredbe</w:t>
      </w:r>
    </w:p>
    <w:p w14:paraId="6C4E7CEC" w14:textId="77777777" w:rsidR="006F5BFE" w:rsidRPr="003B2277" w:rsidRDefault="006F5BFE" w:rsidP="006F5BFE">
      <w:pPr>
        <w:pStyle w:val="NormalBold"/>
      </w:pPr>
      <w:r w:rsidRPr="003B2277">
        <w:t>Uvodna izjava 35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45AE060" w14:textId="77777777" w:rsidTr="005B4D60">
        <w:trPr>
          <w:jc w:val="center"/>
        </w:trPr>
        <w:tc>
          <w:tcPr>
            <w:tcW w:w="9752" w:type="dxa"/>
            <w:gridSpan w:val="2"/>
          </w:tcPr>
          <w:p w14:paraId="1A1B4CB8" w14:textId="77777777" w:rsidR="006F5BFE" w:rsidRPr="003B2277" w:rsidRDefault="006F5BFE" w:rsidP="005B4D60">
            <w:pPr>
              <w:keepNext/>
            </w:pPr>
          </w:p>
        </w:tc>
      </w:tr>
      <w:tr w:rsidR="006F5BFE" w:rsidRPr="003B2277" w14:paraId="189991EF" w14:textId="77777777" w:rsidTr="005B4D60">
        <w:trPr>
          <w:jc w:val="center"/>
        </w:trPr>
        <w:tc>
          <w:tcPr>
            <w:tcW w:w="4876" w:type="dxa"/>
            <w:hideMark/>
          </w:tcPr>
          <w:p w14:paraId="4D5E78D3" w14:textId="77777777" w:rsidR="006F5BFE" w:rsidRPr="003B2277" w:rsidRDefault="006F5BFE" w:rsidP="005B4D60">
            <w:pPr>
              <w:pStyle w:val="ColumnHeading"/>
              <w:keepNext/>
            </w:pPr>
            <w:r w:rsidRPr="003B2277">
              <w:t>Besedilo, ki ga predlaga Komisija</w:t>
            </w:r>
          </w:p>
        </w:tc>
        <w:tc>
          <w:tcPr>
            <w:tcW w:w="4876" w:type="dxa"/>
            <w:hideMark/>
          </w:tcPr>
          <w:p w14:paraId="3C4E081A" w14:textId="35AF0D32" w:rsidR="006F5BFE" w:rsidRPr="003B2277" w:rsidRDefault="003B2277" w:rsidP="005B4D60">
            <w:pPr>
              <w:pStyle w:val="ColumnHeading"/>
              <w:keepNext/>
            </w:pPr>
            <w:r>
              <w:t>Sprememba</w:t>
            </w:r>
          </w:p>
        </w:tc>
      </w:tr>
      <w:tr w:rsidR="006F5BFE" w:rsidRPr="003B2277" w14:paraId="7D143E3C" w14:textId="77777777" w:rsidTr="005B4D60">
        <w:trPr>
          <w:jc w:val="center"/>
        </w:trPr>
        <w:tc>
          <w:tcPr>
            <w:tcW w:w="4876" w:type="dxa"/>
            <w:hideMark/>
          </w:tcPr>
          <w:p w14:paraId="5680320C" w14:textId="77777777" w:rsidR="006F5BFE" w:rsidRPr="003B2277" w:rsidRDefault="006F5BFE" w:rsidP="005B4D60">
            <w:pPr>
              <w:pStyle w:val="Normal6"/>
            </w:pPr>
            <w:r w:rsidRPr="003B2277">
              <w:t>(35)</w:t>
            </w:r>
            <w:r w:rsidRPr="003B2277">
              <w:tab/>
              <w:t>Zneske finančnih sredstev, ki so na voljo za financiranje ukrepov v okviru uredb (EU) št. 228/2013</w:t>
            </w:r>
            <w:r w:rsidRPr="003B2277">
              <w:rPr>
                <w:vertAlign w:val="superscript"/>
              </w:rPr>
              <w:t>20</w:t>
            </w:r>
            <w:r w:rsidRPr="003B2277">
              <w:t xml:space="preserve"> in (EU) št. 229/2013 Evropskega parlamenta in Sveta</w:t>
            </w:r>
            <w:r w:rsidRPr="003B2277">
              <w:rPr>
                <w:vertAlign w:val="superscript"/>
              </w:rPr>
              <w:t>21</w:t>
            </w:r>
            <w:r w:rsidRPr="003B2277">
              <w:t xml:space="preserve">, bi bilo treba </w:t>
            </w:r>
            <w:r w:rsidRPr="003B2277">
              <w:rPr>
                <w:b/>
                <w:i/>
              </w:rPr>
              <w:t>posodobiti</w:t>
            </w:r>
            <w:r w:rsidRPr="003B2277">
              <w:t>.</w:t>
            </w:r>
          </w:p>
        </w:tc>
        <w:tc>
          <w:tcPr>
            <w:tcW w:w="4876" w:type="dxa"/>
            <w:hideMark/>
          </w:tcPr>
          <w:p w14:paraId="0F0CE75B" w14:textId="77777777" w:rsidR="006F5BFE" w:rsidRPr="003B2277" w:rsidRDefault="006F5BFE" w:rsidP="005B4D60">
            <w:pPr>
              <w:pStyle w:val="Normal6"/>
              <w:rPr>
                <w:szCs w:val="24"/>
              </w:rPr>
            </w:pPr>
            <w:r w:rsidRPr="003B2277">
              <w:t>(35)</w:t>
            </w:r>
            <w:r w:rsidRPr="003B2277">
              <w:tab/>
              <w:t>Zneske finančnih sredstev, ki so na voljo za financiranje ukrepov v okviru uredb (EU) št. 228/2013</w:t>
            </w:r>
            <w:r w:rsidRPr="003B2277">
              <w:rPr>
                <w:vertAlign w:val="superscript"/>
              </w:rPr>
              <w:t>20</w:t>
            </w:r>
            <w:r w:rsidRPr="003B2277">
              <w:t xml:space="preserve"> in (EU) št. 229/2013 Evropskega parlamenta in Sveta</w:t>
            </w:r>
            <w:r w:rsidRPr="003B2277">
              <w:rPr>
                <w:vertAlign w:val="superscript"/>
              </w:rPr>
              <w:t>21</w:t>
            </w:r>
            <w:r w:rsidRPr="003B2277">
              <w:t xml:space="preserve">, bi bilo treba </w:t>
            </w:r>
            <w:r w:rsidRPr="003B2277">
              <w:rPr>
                <w:b/>
                <w:i/>
              </w:rPr>
              <w:t>ohraniti</w:t>
            </w:r>
            <w:r w:rsidRPr="003B2277">
              <w:t>.</w:t>
            </w:r>
          </w:p>
        </w:tc>
      </w:tr>
      <w:tr w:rsidR="006F5BFE" w:rsidRPr="003B2277" w14:paraId="79988218" w14:textId="77777777" w:rsidTr="005B4D60">
        <w:trPr>
          <w:jc w:val="center"/>
        </w:trPr>
        <w:tc>
          <w:tcPr>
            <w:tcW w:w="4876" w:type="dxa"/>
            <w:hideMark/>
          </w:tcPr>
          <w:p w14:paraId="0CA47C23" w14:textId="77777777" w:rsidR="006F5BFE" w:rsidRPr="003B2277" w:rsidRDefault="006F5BFE" w:rsidP="005B4D60">
            <w:pPr>
              <w:pStyle w:val="Normal6"/>
            </w:pPr>
            <w:r w:rsidRPr="003B2277">
              <w:t>__________________</w:t>
            </w:r>
          </w:p>
        </w:tc>
        <w:tc>
          <w:tcPr>
            <w:tcW w:w="4876" w:type="dxa"/>
            <w:hideMark/>
          </w:tcPr>
          <w:p w14:paraId="1D3AF367" w14:textId="77777777" w:rsidR="006F5BFE" w:rsidRPr="003B2277" w:rsidRDefault="006F5BFE" w:rsidP="005B4D60">
            <w:pPr>
              <w:pStyle w:val="Normal6"/>
              <w:rPr>
                <w:szCs w:val="24"/>
              </w:rPr>
            </w:pPr>
            <w:r w:rsidRPr="003B2277">
              <w:t>__________________</w:t>
            </w:r>
          </w:p>
        </w:tc>
      </w:tr>
      <w:tr w:rsidR="006F5BFE" w:rsidRPr="003B2277" w14:paraId="75ED466F" w14:textId="77777777" w:rsidTr="005B4D60">
        <w:trPr>
          <w:jc w:val="center"/>
        </w:trPr>
        <w:tc>
          <w:tcPr>
            <w:tcW w:w="4876" w:type="dxa"/>
            <w:hideMark/>
          </w:tcPr>
          <w:p w14:paraId="6AC3BE17" w14:textId="77777777" w:rsidR="006F5BFE" w:rsidRPr="003B2277" w:rsidRDefault="006F5BFE" w:rsidP="005B4D60">
            <w:pPr>
              <w:pStyle w:val="Normal6"/>
            </w:pPr>
            <w:r w:rsidRPr="003B2277">
              <w:rPr>
                <w:vertAlign w:val="superscript"/>
              </w:rPr>
              <w:t>20</w:t>
            </w:r>
            <w:r w:rsidRPr="003B2277">
              <w:t xml:space="preserve"> Uredba (EU) št. 228/2013 Evropskega parlamenta in Sveta z dne 13. marca 2013 o posebnih ukrepih za kmetijstvo v najbolj oddaljenih regijah Unije in razveljavitvi Uredbe Sveta (ES) št. 247/2006 (UL 78, 20.3.2013, str. 23).</w:t>
            </w:r>
          </w:p>
        </w:tc>
        <w:tc>
          <w:tcPr>
            <w:tcW w:w="4876" w:type="dxa"/>
            <w:hideMark/>
          </w:tcPr>
          <w:p w14:paraId="72605D6E" w14:textId="77777777" w:rsidR="006F5BFE" w:rsidRPr="003B2277" w:rsidRDefault="006F5BFE" w:rsidP="005B4D60">
            <w:pPr>
              <w:pStyle w:val="Normal6"/>
              <w:rPr>
                <w:szCs w:val="24"/>
              </w:rPr>
            </w:pPr>
            <w:r w:rsidRPr="003B2277">
              <w:rPr>
                <w:vertAlign w:val="superscript"/>
              </w:rPr>
              <w:t>20</w:t>
            </w:r>
            <w:r w:rsidRPr="003B2277">
              <w:t xml:space="preserve"> Uredba (EU) št. 228/2013 Evropskega parlamenta in Sveta z dne 13. marca 2013 o posebnih ukrepih za kmetijstvo v najbolj oddaljenih regijah Unije in razveljavitvi Uredbe Sveta (ES) št. 247/2006 (UL 78, 20.3.2013, str. 23).</w:t>
            </w:r>
          </w:p>
        </w:tc>
      </w:tr>
      <w:tr w:rsidR="006F5BFE" w:rsidRPr="003B2277" w14:paraId="338A98BD" w14:textId="77777777" w:rsidTr="005B4D60">
        <w:trPr>
          <w:jc w:val="center"/>
        </w:trPr>
        <w:tc>
          <w:tcPr>
            <w:tcW w:w="4876" w:type="dxa"/>
            <w:hideMark/>
          </w:tcPr>
          <w:p w14:paraId="2AB40BBC" w14:textId="77777777" w:rsidR="006F5BFE" w:rsidRPr="003B2277" w:rsidRDefault="006F5BFE" w:rsidP="005B4D60">
            <w:pPr>
              <w:pStyle w:val="Normal6"/>
            </w:pPr>
            <w:r w:rsidRPr="003B2277">
              <w:rPr>
                <w:vertAlign w:val="superscript"/>
              </w:rPr>
              <w:t>21</w:t>
            </w:r>
            <w:r w:rsidRPr="003B2277">
              <w:t xml:space="preserve"> Uredba (EU) št. 229/2013 Evropskega parlamenta in Sveta z dne 13. marca 2013 o posebnih ukrepih za kmetijstvo v korist manjših egejskih otokov in razveljavitvi Uredbe Sveta (ES) št. 1405/2006 (UL L 78, 20.3.2013, str. 41).</w:t>
            </w:r>
          </w:p>
        </w:tc>
        <w:tc>
          <w:tcPr>
            <w:tcW w:w="4876" w:type="dxa"/>
            <w:hideMark/>
          </w:tcPr>
          <w:p w14:paraId="5832E511" w14:textId="77777777" w:rsidR="006F5BFE" w:rsidRPr="003B2277" w:rsidRDefault="006F5BFE" w:rsidP="005B4D60">
            <w:pPr>
              <w:pStyle w:val="Normal6"/>
              <w:rPr>
                <w:szCs w:val="24"/>
              </w:rPr>
            </w:pPr>
            <w:r w:rsidRPr="003B2277">
              <w:rPr>
                <w:vertAlign w:val="superscript"/>
              </w:rPr>
              <w:t>21</w:t>
            </w:r>
            <w:r w:rsidRPr="003B2277">
              <w:t xml:space="preserve"> Uredba (EU) št. 229/2013 Evropskega parlamenta in Sveta z dne 13. marca 2013 o posebnih ukrepih za kmetijstvo v korist manjših egejskih otokov in razveljavitvi Uredbe Sveta (ES) št. 1405/2006 (UL L 78, 20.3.2013, str. 41).</w:t>
            </w:r>
          </w:p>
        </w:tc>
      </w:tr>
    </w:tbl>
    <w:p w14:paraId="12048358" w14:textId="77777777" w:rsidR="006F5BFE" w:rsidRPr="003B2277" w:rsidRDefault="006F5BFE" w:rsidP="006F5BFE"/>
    <w:p w14:paraId="522F8E73" w14:textId="1799F6A2" w:rsidR="006F5BFE" w:rsidRPr="003B2277" w:rsidRDefault="003B2277" w:rsidP="006F5BFE">
      <w:pPr>
        <w:pStyle w:val="AMNumberTabs"/>
        <w:keepNext/>
      </w:pPr>
      <w:r>
        <w:t>Sprememba</w:t>
      </w:r>
      <w:r w:rsidR="006F5BFE" w:rsidRPr="003B2277">
        <w:tab/>
      </w:r>
      <w:r w:rsidR="006F5BFE" w:rsidRPr="003B2277">
        <w:tab/>
        <w:t>42</w:t>
      </w:r>
    </w:p>
    <w:p w14:paraId="0578B68F" w14:textId="77777777" w:rsidR="006F5BFE" w:rsidRPr="003B2277" w:rsidRDefault="006F5BFE" w:rsidP="006F5BFE">
      <w:pPr>
        <w:pStyle w:val="NormalBold12b"/>
      </w:pPr>
      <w:r w:rsidRPr="003B2277">
        <w:t>Predlog uredbe</w:t>
      </w:r>
    </w:p>
    <w:p w14:paraId="03004B31" w14:textId="77777777" w:rsidR="006F5BFE" w:rsidRPr="003B2277" w:rsidRDefault="006F5BFE" w:rsidP="006F5BFE">
      <w:pPr>
        <w:pStyle w:val="NormalBold"/>
      </w:pPr>
      <w:r w:rsidRPr="003B2277">
        <w:t>Uvodna izjava 35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45BC34A" w14:textId="77777777" w:rsidTr="005B4D60">
        <w:trPr>
          <w:jc w:val="center"/>
        </w:trPr>
        <w:tc>
          <w:tcPr>
            <w:tcW w:w="9752" w:type="dxa"/>
            <w:gridSpan w:val="2"/>
          </w:tcPr>
          <w:p w14:paraId="3D5155F7" w14:textId="77777777" w:rsidR="006F5BFE" w:rsidRPr="003B2277" w:rsidRDefault="006F5BFE" w:rsidP="005B4D60">
            <w:pPr>
              <w:keepNext/>
            </w:pPr>
          </w:p>
        </w:tc>
      </w:tr>
      <w:tr w:rsidR="006F5BFE" w:rsidRPr="003B2277" w14:paraId="4168BDBC" w14:textId="77777777" w:rsidTr="005B4D60">
        <w:trPr>
          <w:jc w:val="center"/>
        </w:trPr>
        <w:tc>
          <w:tcPr>
            <w:tcW w:w="4876" w:type="dxa"/>
            <w:hideMark/>
          </w:tcPr>
          <w:p w14:paraId="7F5FE790" w14:textId="77777777" w:rsidR="006F5BFE" w:rsidRPr="003B2277" w:rsidRDefault="006F5BFE" w:rsidP="005B4D60">
            <w:pPr>
              <w:pStyle w:val="ColumnHeading"/>
              <w:keepNext/>
            </w:pPr>
            <w:r w:rsidRPr="003B2277">
              <w:t>Besedilo, ki ga predlaga Komisija</w:t>
            </w:r>
          </w:p>
        </w:tc>
        <w:tc>
          <w:tcPr>
            <w:tcW w:w="4876" w:type="dxa"/>
            <w:hideMark/>
          </w:tcPr>
          <w:p w14:paraId="1D437EEB" w14:textId="08975290" w:rsidR="006F5BFE" w:rsidRPr="003B2277" w:rsidRDefault="003B2277" w:rsidP="005B4D60">
            <w:pPr>
              <w:pStyle w:val="ColumnHeading"/>
              <w:keepNext/>
            </w:pPr>
            <w:r>
              <w:t>Sprememba</w:t>
            </w:r>
          </w:p>
        </w:tc>
      </w:tr>
      <w:tr w:rsidR="006F5BFE" w:rsidRPr="003B2277" w14:paraId="0D831AB8" w14:textId="77777777" w:rsidTr="005B4D60">
        <w:trPr>
          <w:jc w:val="center"/>
        </w:trPr>
        <w:tc>
          <w:tcPr>
            <w:tcW w:w="4876" w:type="dxa"/>
          </w:tcPr>
          <w:p w14:paraId="6A43B042" w14:textId="77777777" w:rsidR="006F5BFE" w:rsidRPr="003B2277" w:rsidRDefault="006F5BFE" w:rsidP="005B4D60">
            <w:pPr>
              <w:pStyle w:val="Normal6"/>
            </w:pPr>
          </w:p>
        </w:tc>
        <w:tc>
          <w:tcPr>
            <w:tcW w:w="4876" w:type="dxa"/>
            <w:hideMark/>
          </w:tcPr>
          <w:p w14:paraId="41CDC172" w14:textId="77777777" w:rsidR="006F5BFE" w:rsidRPr="003B2277" w:rsidRDefault="006F5BFE" w:rsidP="005B4D60">
            <w:pPr>
              <w:pStyle w:val="Normal6"/>
              <w:rPr>
                <w:szCs w:val="24"/>
              </w:rPr>
            </w:pPr>
            <w:r w:rsidRPr="003B2277">
              <w:rPr>
                <w:b/>
                <w:i/>
              </w:rPr>
              <w:t>(35a)</w:t>
            </w:r>
            <w:r w:rsidRPr="003B2277">
              <w:rPr>
                <w:b/>
                <w:i/>
              </w:rPr>
              <w:tab/>
              <w:t>Medpanožne organizacije, priznane v skladu s členom 157 Uredbe (EU) št. 1308/2013, so bistvenega pomena za razvoj kmetijskih dejavnosti za diverzifikacijo najbolj oddaljenih regij, zlasti v živinorejskem sektorju. Dejansko so lokalni trgi najbolj oddaljenih regij zaradi majhnosti in otoške lege še posebej izpostavljeni nihanju cen v zvezi z uvoznimi tokovi iz preostalega dela Unije ali iz tretjih držav. Te medpanožne organizacije združujejo vse gospodarske subjekte, ki delujejo na trgu, tako tiste na začetku kot tiste na koncu verige, in v zvezi s tem uvedejo skupne ukrepe, ki omogočajo, da se lokalna proizvodnja ohrani na trgu, zlasti z ukrepi zbiranja podatkov ali razširjanja informacij. V ta namen bi bilo treba ne glede na člene 28, 29 in 110 PDEU ter brez poseganja v člena 164 in 165 Uredbe (EU) št. 1308/2013 zadevni državi članici omogočiti, da v okviru razširjenih panožnih sporazumov, po posvetovanju z ustreznimi akterji, določi, da posamezni gospodarski subjekti ali skupine izvajalcev, ki niso člani organizacije in ki delujejo na lokalnem trgu, plačajo finančni prispevek, ne glede na izvor, tudi če je prihodek od teh prispevkov namenjen financiranju ukrepov v korist ohranjanja lokalne proizvodnje ali če se taki prispevki zaračunajo na drugi ravni trgovine.</w:t>
            </w:r>
          </w:p>
        </w:tc>
      </w:tr>
    </w:tbl>
    <w:p w14:paraId="1D6AB828" w14:textId="77777777" w:rsidR="006F5BFE" w:rsidRPr="003B2277" w:rsidRDefault="006F5BFE" w:rsidP="006F5BFE"/>
    <w:p w14:paraId="222794B9" w14:textId="30470A26" w:rsidR="006F5BFE" w:rsidRPr="003B2277" w:rsidRDefault="003B2277" w:rsidP="006F5BFE">
      <w:pPr>
        <w:pStyle w:val="AMNumberTabs"/>
        <w:keepNext/>
      </w:pPr>
      <w:r>
        <w:t>Sprememba</w:t>
      </w:r>
      <w:r w:rsidR="006F5BFE" w:rsidRPr="003B2277">
        <w:tab/>
      </w:r>
      <w:r w:rsidR="006F5BFE" w:rsidRPr="003B2277">
        <w:tab/>
        <w:t>43</w:t>
      </w:r>
    </w:p>
    <w:p w14:paraId="63814DE7" w14:textId="77777777" w:rsidR="006F5BFE" w:rsidRPr="003B2277" w:rsidRDefault="006F5BFE" w:rsidP="006F5BFE"/>
    <w:p w14:paraId="729688CE" w14:textId="77777777" w:rsidR="006F5BFE" w:rsidRPr="003B2277" w:rsidRDefault="006F5BFE" w:rsidP="006F5BFE">
      <w:pPr>
        <w:pStyle w:val="NormalBold"/>
        <w:keepNext/>
      </w:pPr>
      <w:r w:rsidRPr="003B2277">
        <w:t>Predlog uredbe</w:t>
      </w:r>
    </w:p>
    <w:p w14:paraId="140B4AA3" w14:textId="77777777" w:rsidR="006F5BFE" w:rsidRPr="003B2277" w:rsidRDefault="006F5BFE" w:rsidP="006F5BFE">
      <w:pPr>
        <w:pStyle w:val="NormalBold"/>
      </w:pPr>
      <w:r w:rsidRPr="003B2277">
        <w:t>Člen 1 – odstavek 1 – točka -1 (novo)</w:t>
      </w:r>
    </w:p>
    <w:p w14:paraId="103B162D" w14:textId="77777777" w:rsidR="006F5BFE" w:rsidRPr="003B2277" w:rsidRDefault="006F5BFE" w:rsidP="006F5BFE">
      <w:pPr>
        <w:keepNext/>
      </w:pPr>
      <w:r w:rsidRPr="003B2277">
        <w:t>Uredba (EU) št. 1308/2013</w:t>
      </w:r>
    </w:p>
    <w:p w14:paraId="45CE7059" w14:textId="77777777" w:rsidR="006F5BFE" w:rsidRPr="003B2277" w:rsidRDefault="006F5BFE" w:rsidP="006F5BFE">
      <w:r w:rsidRPr="003B2277">
        <w:t>Uvodna izjava 25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ED305C7" w14:textId="77777777" w:rsidTr="005B4D60">
        <w:trPr>
          <w:jc w:val="center"/>
        </w:trPr>
        <w:tc>
          <w:tcPr>
            <w:tcW w:w="9752" w:type="dxa"/>
            <w:gridSpan w:val="2"/>
          </w:tcPr>
          <w:p w14:paraId="1BB8E26C" w14:textId="77777777" w:rsidR="006F5BFE" w:rsidRPr="003B2277" w:rsidRDefault="006F5BFE" w:rsidP="005B4D60">
            <w:pPr>
              <w:keepNext/>
            </w:pPr>
          </w:p>
        </w:tc>
      </w:tr>
      <w:tr w:rsidR="006F5BFE" w:rsidRPr="003B2277" w14:paraId="26CE43B1" w14:textId="77777777" w:rsidTr="005B4D60">
        <w:trPr>
          <w:jc w:val="center"/>
        </w:trPr>
        <w:tc>
          <w:tcPr>
            <w:tcW w:w="4876" w:type="dxa"/>
            <w:hideMark/>
          </w:tcPr>
          <w:p w14:paraId="20917425" w14:textId="77777777" w:rsidR="006F5BFE" w:rsidRPr="003B2277" w:rsidRDefault="006F5BFE" w:rsidP="005B4D60">
            <w:pPr>
              <w:pStyle w:val="ColumnHeading"/>
              <w:keepNext/>
            </w:pPr>
            <w:r w:rsidRPr="003B2277">
              <w:t>Besedilo, ki ga predlaga Komisija</w:t>
            </w:r>
          </w:p>
        </w:tc>
        <w:tc>
          <w:tcPr>
            <w:tcW w:w="4876" w:type="dxa"/>
            <w:hideMark/>
          </w:tcPr>
          <w:p w14:paraId="0721628C" w14:textId="305D113F" w:rsidR="006F5BFE" w:rsidRPr="003B2277" w:rsidRDefault="003B2277" w:rsidP="005B4D60">
            <w:pPr>
              <w:pStyle w:val="ColumnHeading"/>
              <w:keepNext/>
            </w:pPr>
            <w:r>
              <w:t>Sprememba</w:t>
            </w:r>
          </w:p>
        </w:tc>
      </w:tr>
      <w:tr w:rsidR="006F5BFE" w:rsidRPr="003B2277" w14:paraId="1B1E68B6" w14:textId="77777777" w:rsidTr="005B4D60">
        <w:trPr>
          <w:jc w:val="center"/>
        </w:trPr>
        <w:tc>
          <w:tcPr>
            <w:tcW w:w="4876" w:type="dxa"/>
          </w:tcPr>
          <w:p w14:paraId="5207A4EE" w14:textId="77777777" w:rsidR="006F5BFE" w:rsidRPr="003B2277" w:rsidRDefault="006F5BFE" w:rsidP="005B4D60">
            <w:pPr>
              <w:pStyle w:val="Normal6"/>
            </w:pPr>
          </w:p>
        </w:tc>
        <w:tc>
          <w:tcPr>
            <w:tcW w:w="4876" w:type="dxa"/>
          </w:tcPr>
          <w:p w14:paraId="0A4F312E" w14:textId="77777777" w:rsidR="006F5BFE" w:rsidRPr="003B2277" w:rsidRDefault="006F5BFE" w:rsidP="005B4D60">
            <w:pPr>
              <w:pStyle w:val="Normal6"/>
              <w:rPr>
                <w:b/>
                <w:i/>
              </w:rPr>
            </w:pPr>
            <w:r w:rsidRPr="003B2277">
              <w:rPr>
                <w:b/>
                <w:i/>
              </w:rPr>
              <w:t>(-1)</w:t>
            </w:r>
            <w:r w:rsidRPr="003B2277">
              <w:rPr>
                <w:b/>
                <w:i/>
              </w:rPr>
              <w:tab/>
              <w:t>vstavi se naslednja uvodna izjava:</w:t>
            </w:r>
          </w:p>
        </w:tc>
      </w:tr>
      <w:tr w:rsidR="006F5BFE" w:rsidRPr="003B2277" w14:paraId="5E656F11" w14:textId="77777777" w:rsidTr="005B4D60">
        <w:trPr>
          <w:jc w:val="center"/>
        </w:trPr>
        <w:tc>
          <w:tcPr>
            <w:tcW w:w="4876" w:type="dxa"/>
          </w:tcPr>
          <w:p w14:paraId="78A3CE07" w14:textId="77777777" w:rsidR="006F5BFE" w:rsidRPr="003B2277" w:rsidRDefault="006F5BFE" w:rsidP="005B4D60">
            <w:pPr>
              <w:pStyle w:val="Normal6"/>
            </w:pPr>
          </w:p>
        </w:tc>
        <w:tc>
          <w:tcPr>
            <w:tcW w:w="4876" w:type="dxa"/>
          </w:tcPr>
          <w:p w14:paraId="3F23E06C" w14:textId="77777777" w:rsidR="006F5BFE" w:rsidRPr="003B2277" w:rsidRDefault="006F5BFE" w:rsidP="005B4D60">
            <w:pPr>
              <w:pStyle w:val="Normal6"/>
              <w:rPr>
                <w:b/>
                <w:i/>
              </w:rPr>
            </w:pPr>
            <w:r w:rsidRPr="003B2277">
              <w:rPr>
                <w:b/>
                <w:i/>
              </w:rPr>
              <w:t>„(25a)</w:t>
            </w:r>
            <w:r w:rsidRPr="003B2277">
              <w:rPr>
                <w:b/>
                <w:i/>
              </w:rPr>
              <w:tab/>
              <w:t>Pomoč, dodeljena v okviru šolske sheme, za razdeljevanje proizvodov bi morala, kadar je mogoče, spodbujati proizvode s kratko dobavno verigo.“</w:t>
            </w:r>
          </w:p>
        </w:tc>
      </w:tr>
    </w:tbl>
    <w:p w14:paraId="7462C53A" w14:textId="77777777" w:rsidR="006F5BFE" w:rsidRPr="003B2277" w:rsidRDefault="006F5BFE" w:rsidP="006F5BFE"/>
    <w:p w14:paraId="0C352B0C" w14:textId="7D6B75A0" w:rsidR="006F5BFE" w:rsidRPr="003B2277" w:rsidRDefault="003B2277" w:rsidP="006F5BFE">
      <w:pPr>
        <w:pStyle w:val="AMNumberTabs"/>
        <w:keepNext/>
      </w:pPr>
      <w:r>
        <w:t>Sprememba</w:t>
      </w:r>
      <w:r w:rsidR="006F5BFE" w:rsidRPr="003B2277">
        <w:tab/>
      </w:r>
      <w:r w:rsidR="006F5BFE" w:rsidRPr="003B2277">
        <w:tab/>
        <w:t>44</w:t>
      </w:r>
    </w:p>
    <w:p w14:paraId="6EC13144" w14:textId="77777777" w:rsidR="006F5BFE" w:rsidRPr="003B2277" w:rsidRDefault="006F5BFE" w:rsidP="006F5BFE"/>
    <w:p w14:paraId="048BE99B" w14:textId="77777777" w:rsidR="006F5BFE" w:rsidRPr="003B2277" w:rsidRDefault="006F5BFE" w:rsidP="006F5BFE">
      <w:pPr>
        <w:pStyle w:val="NormalBold"/>
        <w:keepNext/>
      </w:pPr>
      <w:r w:rsidRPr="003B2277">
        <w:t>Predlog uredbe</w:t>
      </w:r>
    </w:p>
    <w:p w14:paraId="068D8201" w14:textId="77777777" w:rsidR="006F5BFE" w:rsidRPr="003B2277" w:rsidRDefault="006F5BFE" w:rsidP="006F5BFE">
      <w:pPr>
        <w:pStyle w:val="NormalBold"/>
      </w:pPr>
      <w:r w:rsidRPr="003B2277">
        <w:t>Člen 1 – odstavek 1 – točka -1 a (novo)</w:t>
      </w:r>
    </w:p>
    <w:p w14:paraId="7DC117A8" w14:textId="77777777" w:rsidR="006F5BFE" w:rsidRPr="003B2277" w:rsidRDefault="006F5BFE" w:rsidP="006F5BFE">
      <w:pPr>
        <w:keepNext/>
      </w:pPr>
      <w:r w:rsidRPr="003B2277">
        <w:t>Uredba (EU) št. 1308/2013</w:t>
      </w:r>
    </w:p>
    <w:p w14:paraId="73B58A2E" w14:textId="77777777" w:rsidR="006F5BFE" w:rsidRPr="003B2277" w:rsidRDefault="006F5BFE" w:rsidP="006F5BFE">
      <w:r w:rsidRPr="003B2277">
        <w:t>Uvodna izjava 127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8DE7116" w14:textId="77777777" w:rsidTr="005B4D60">
        <w:trPr>
          <w:jc w:val="center"/>
        </w:trPr>
        <w:tc>
          <w:tcPr>
            <w:tcW w:w="9752" w:type="dxa"/>
            <w:gridSpan w:val="2"/>
          </w:tcPr>
          <w:p w14:paraId="1682F42F" w14:textId="77777777" w:rsidR="006F5BFE" w:rsidRPr="003B2277" w:rsidRDefault="006F5BFE" w:rsidP="005B4D60">
            <w:pPr>
              <w:keepNext/>
            </w:pPr>
          </w:p>
        </w:tc>
      </w:tr>
      <w:tr w:rsidR="006F5BFE" w:rsidRPr="003B2277" w14:paraId="058F17B2" w14:textId="77777777" w:rsidTr="005B4D60">
        <w:trPr>
          <w:jc w:val="center"/>
        </w:trPr>
        <w:tc>
          <w:tcPr>
            <w:tcW w:w="4876" w:type="dxa"/>
            <w:hideMark/>
          </w:tcPr>
          <w:p w14:paraId="48A533CE" w14:textId="77777777" w:rsidR="006F5BFE" w:rsidRPr="003B2277" w:rsidRDefault="006F5BFE" w:rsidP="005B4D60">
            <w:pPr>
              <w:pStyle w:val="ColumnHeading"/>
              <w:keepNext/>
            </w:pPr>
            <w:r w:rsidRPr="003B2277">
              <w:t>Besedilo, ki ga predlaga Komisija</w:t>
            </w:r>
          </w:p>
        </w:tc>
        <w:tc>
          <w:tcPr>
            <w:tcW w:w="4876" w:type="dxa"/>
            <w:hideMark/>
          </w:tcPr>
          <w:p w14:paraId="04C14560" w14:textId="1E8C6FDE" w:rsidR="006F5BFE" w:rsidRPr="003B2277" w:rsidRDefault="003B2277" w:rsidP="005B4D60">
            <w:pPr>
              <w:pStyle w:val="ColumnHeading"/>
              <w:keepNext/>
            </w:pPr>
            <w:r>
              <w:t>Sprememba</w:t>
            </w:r>
          </w:p>
        </w:tc>
      </w:tr>
      <w:tr w:rsidR="006F5BFE" w:rsidRPr="003B2277" w14:paraId="3E97D5FB" w14:textId="77777777" w:rsidTr="005B4D60">
        <w:trPr>
          <w:jc w:val="center"/>
        </w:trPr>
        <w:tc>
          <w:tcPr>
            <w:tcW w:w="4876" w:type="dxa"/>
          </w:tcPr>
          <w:p w14:paraId="5D8CB465" w14:textId="77777777" w:rsidR="006F5BFE" w:rsidRPr="003B2277" w:rsidRDefault="006F5BFE" w:rsidP="005B4D60">
            <w:pPr>
              <w:pStyle w:val="Normal6"/>
            </w:pPr>
          </w:p>
        </w:tc>
        <w:tc>
          <w:tcPr>
            <w:tcW w:w="4876" w:type="dxa"/>
          </w:tcPr>
          <w:p w14:paraId="79F17163" w14:textId="77777777" w:rsidR="006F5BFE" w:rsidRPr="003B2277" w:rsidRDefault="006F5BFE" w:rsidP="005B4D60">
            <w:pPr>
              <w:pStyle w:val="Normal6"/>
              <w:rPr>
                <w:b/>
                <w:i/>
              </w:rPr>
            </w:pPr>
            <w:r w:rsidRPr="003B2277">
              <w:rPr>
                <w:b/>
                <w:i/>
              </w:rPr>
              <w:t>(-1a)</w:t>
            </w:r>
            <w:r w:rsidRPr="003B2277">
              <w:rPr>
                <w:b/>
                <w:i/>
              </w:rPr>
              <w:tab/>
              <w:t>vstavi se naslednja uvodna izjava:</w:t>
            </w:r>
          </w:p>
        </w:tc>
      </w:tr>
      <w:tr w:rsidR="006F5BFE" w:rsidRPr="003B2277" w14:paraId="22DE89A5" w14:textId="77777777" w:rsidTr="005B4D60">
        <w:trPr>
          <w:jc w:val="center"/>
        </w:trPr>
        <w:tc>
          <w:tcPr>
            <w:tcW w:w="4876" w:type="dxa"/>
          </w:tcPr>
          <w:p w14:paraId="61F8D121" w14:textId="77777777" w:rsidR="006F5BFE" w:rsidRPr="003B2277" w:rsidRDefault="006F5BFE" w:rsidP="005B4D60">
            <w:pPr>
              <w:pStyle w:val="Normal6"/>
            </w:pPr>
          </w:p>
        </w:tc>
        <w:tc>
          <w:tcPr>
            <w:tcW w:w="4876" w:type="dxa"/>
            <w:hideMark/>
          </w:tcPr>
          <w:p w14:paraId="217BBBC0" w14:textId="77777777" w:rsidR="006F5BFE" w:rsidRPr="003B2277" w:rsidRDefault="006F5BFE" w:rsidP="005B4D60">
            <w:pPr>
              <w:pStyle w:val="Normal6"/>
              <w:rPr>
                <w:szCs w:val="24"/>
              </w:rPr>
            </w:pPr>
            <w:r w:rsidRPr="003B2277">
              <w:rPr>
                <w:b/>
                <w:i/>
              </w:rPr>
              <w:t>„(127a)</w:t>
            </w:r>
            <w:r w:rsidRPr="003B2277">
              <w:rPr>
                <w:b/>
                <w:i/>
              </w:rPr>
              <w:tab/>
              <w:t>V pisnih pogodbah v sektorju mleka in mlečnih izdelkov, ki so lahko obvezne v nekaterih državah članicah oziroma jih imajo proizvajalci, organizacije proizvajalcev ali združenja organizacij proizvajalcev v vsakem primeru pravico zahtevati, bi morala med drugim biti določena cena, ki se plača za oddajo, ki bi morala po možnosti pokrivati stroške proizvodnje in ki se lahko izračuna na podlagi enostavno dostopnih in razumljivih kazalnikov proizvodnih in tržnih stroškov, ki jih države članice lahko določijo z objektivnimi merili in na podlagi študij o proizvodnji ter prehranski verigi.“</w:t>
            </w:r>
          </w:p>
        </w:tc>
      </w:tr>
    </w:tbl>
    <w:p w14:paraId="4E535110" w14:textId="77777777" w:rsidR="006F5BFE" w:rsidRPr="003B2277" w:rsidRDefault="006F5BFE" w:rsidP="006F5BFE"/>
    <w:p w14:paraId="6D59AFA5" w14:textId="0CAC4B21" w:rsidR="006F5BFE" w:rsidRPr="003B2277" w:rsidRDefault="003B2277" w:rsidP="006F5BFE">
      <w:pPr>
        <w:pStyle w:val="AMNumberTabs"/>
        <w:keepNext/>
      </w:pPr>
      <w:r>
        <w:t>Sprememba</w:t>
      </w:r>
      <w:r w:rsidR="006F5BFE" w:rsidRPr="003B2277">
        <w:tab/>
      </w:r>
      <w:r w:rsidR="006F5BFE" w:rsidRPr="003B2277">
        <w:tab/>
        <w:t>45</w:t>
      </w:r>
    </w:p>
    <w:p w14:paraId="24B44F2B" w14:textId="77777777" w:rsidR="006F5BFE" w:rsidRPr="003B2277" w:rsidRDefault="006F5BFE" w:rsidP="006F5BFE">
      <w:pPr>
        <w:pStyle w:val="NormalBold"/>
        <w:keepNext/>
      </w:pPr>
      <w:r w:rsidRPr="003B2277">
        <w:t>Predlog uredbe</w:t>
      </w:r>
    </w:p>
    <w:p w14:paraId="344DF2C6" w14:textId="77777777" w:rsidR="006F5BFE" w:rsidRPr="003B2277" w:rsidRDefault="006F5BFE" w:rsidP="006F5BFE">
      <w:pPr>
        <w:pStyle w:val="NormalBold"/>
      </w:pPr>
      <w:r w:rsidRPr="003B2277">
        <w:t xml:space="preserve">Člen 1 – odstavek 1 – točka </w:t>
      </w:r>
      <w:r w:rsidR="008B65FA" w:rsidRPr="003B2277">
        <w:t>-</w:t>
      </w:r>
      <w:r w:rsidRPr="003B2277">
        <w:t>1 b (novo)</w:t>
      </w:r>
    </w:p>
    <w:p w14:paraId="2D675AB7" w14:textId="77777777" w:rsidR="006F5BFE" w:rsidRPr="003B2277" w:rsidRDefault="006F5BFE" w:rsidP="006F5BFE">
      <w:pPr>
        <w:keepNext/>
      </w:pPr>
      <w:r w:rsidRPr="003B2277">
        <w:t>Uredba (EU) št. 1308/2013</w:t>
      </w:r>
    </w:p>
    <w:p w14:paraId="710FEE93" w14:textId="77777777" w:rsidR="006F5BFE" w:rsidRPr="003B2277" w:rsidRDefault="006F5BFE" w:rsidP="006F5BFE">
      <w:r w:rsidRPr="003B2277">
        <w:t>Uvodna izjava 139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1F4978" w14:textId="77777777" w:rsidTr="005B4D60">
        <w:trPr>
          <w:jc w:val="center"/>
        </w:trPr>
        <w:tc>
          <w:tcPr>
            <w:tcW w:w="9752" w:type="dxa"/>
            <w:gridSpan w:val="2"/>
          </w:tcPr>
          <w:p w14:paraId="0B408447" w14:textId="77777777" w:rsidR="006F5BFE" w:rsidRPr="003B2277" w:rsidRDefault="006F5BFE" w:rsidP="005B4D60">
            <w:pPr>
              <w:keepNext/>
            </w:pPr>
          </w:p>
        </w:tc>
      </w:tr>
      <w:tr w:rsidR="006F5BFE" w:rsidRPr="003B2277" w14:paraId="194F1716" w14:textId="77777777" w:rsidTr="005B4D60">
        <w:trPr>
          <w:jc w:val="center"/>
        </w:trPr>
        <w:tc>
          <w:tcPr>
            <w:tcW w:w="4876" w:type="dxa"/>
            <w:hideMark/>
          </w:tcPr>
          <w:p w14:paraId="5C526AD7" w14:textId="77777777" w:rsidR="006F5BFE" w:rsidRPr="003B2277" w:rsidRDefault="006F5BFE" w:rsidP="005B4D60">
            <w:pPr>
              <w:pStyle w:val="ColumnHeading"/>
              <w:keepNext/>
            </w:pPr>
            <w:r w:rsidRPr="003B2277">
              <w:t>Besedilo, ki ga predlaga Komisija</w:t>
            </w:r>
          </w:p>
        </w:tc>
        <w:tc>
          <w:tcPr>
            <w:tcW w:w="4876" w:type="dxa"/>
            <w:hideMark/>
          </w:tcPr>
          <w:p w14:paraId="60D9A9AC" w14:textId="48CADC4C" w:rsidR="006F5BFE" w:rsidRPr="003B2277" w:rsidRDefault="003B2277" w:rsidP="005B4D60">
            <w:pPr>
              <w:pStyle w:val="ColumnHeading"/>
              <w:keepNext/>
            </w:pPr>
            <w:r>
              <w:t>Sprememba</w:t>
            </w:r>
          </w:p>
        </w:tc>
      </w:tr>
      <w:tr w:rsidR="006F5BFE" w:rsidRPr="003B2277" w14:paraId="65F06E46" w14:textId="77777777" w:rsidTr="005B4D60">
        <w:trPr>
          <w:jc w:val="center"/>
        </w:trPr>
        <w:tc>
          <w:tcPr>
            <w:tcW w:w="4876" w:type="dxa"/>
          </w:tcPr>
          <w:p w14:paraId="0A35542D" w14:textId="77777777" w:rsidR="006F5BFE" w:rsidRPr="003B2277" w:rsidRDefault="006F5BFE" w:rsidP="005B4D60">
            <w:pPr>
              <w:pStyle w:val="Normal6"/>
            </w:pPr>
          </w:p>
        </w:tc>
        <w:tc>
          <w:tcPr>
            <w:tcW w:w="4876" w:type="dxa"/>
          </w:tcPr>
          <w:p w14:paraId="3AEB0A21" w14:textId="77777777" w:rsidR="006F5BFE" w:rsidRPr="003B2277" w:rsidRDefault="006F5BFE" w:rsidP="005B4D60">
            <w:pPr>
              <w:pStyle w:val="Normal6"/>
              <w:rPr>
                <w:b/>
                <w:i/>
              </w:rPr>
            </w:pPr>
            <w:r w:rsidRPr="003B2277">
              <w:rPr>
                <w:b/>
                <w:i/>
              </w:rPr>
              <w:t>(-1b)</w:t>
            </w:r>
            <w:r w:rsidRPr="003B2277">
              <w:rPr>
                <w:b/>
                <w:i/>
              </w:rPr>
              <w:tab/>
              <w:t>vstavi se naslednja uvodna izjava:</w:t>
            </w:r>
          </w:p>
        </w:tc>
      </w:tr>
      <w:tr w:rsidR="006F5BFE" w:rsidRPr="003B2277" w14:paraId="3332E1F5" w14:textId="77777777" w:rsidTr="005B4D60">
        <w:trPr>
          <w:jc w:val="center"/>
        </w:trPr>
        <w:tc>
          <w:tcPr>
            <w:tcW w:w="4876" w:type="dxa"/>
          </w:tcPr>
          <w:p w14:paraId="53C36EE9" w14:textId="77777777" w:rsidR="006F5BFE" w:rsidRPr="003B2277" w:rsidRDefault="006F5BFE" w:rsidP="005B4D60">
            <w:pPr>
              <w:pStyle w:val="Normal6"/>
            </w:pPr>
          </w:p>
        </w:tc>
        <w:tc>
          <w:tcPr>
            <w:tcW w:w="4876" w:type="dxa"/>
            <w:hideMark/>
          </w:tcPr>
          <w:p w14:paraId="0B82C7AD" w14:textId="77777777" w:rsidR="006F5BFE" w:rsidRPr="003B2277" w:rsidRDefault="006F5BFE" w:rsidP="005B4D60">
            <w:pPr>
              <w:pStyle w:val="Normal6"/>
              <w:rPr>
                <w:szCs w:val="24"/>
              </w:rPr>
            </w:pPr>
            <w:r w:rsidRPr="003B2277">
              <w:rPr>
                <w:b/>
                <w:i/>
              </w:rPr>
              <w:t>„(139a)</w:t>
            </w:r>
            <w:r w:rsidRPr="003B2277">
              <w:rPr>
                <w:b/>
                <w:i/>
              </w:rPr>
              <w:tab/>
              <w:t>V pisnih pogodbah, ki so lahko obvezne v nekaterih državah članicah oziroma jih imajo proizvajalci, organizacije proizvajalcev ali združenja organizacij proizvajalcev v vsakem primeru pravico zahtevati, bi morala med drugim biti določena cena, ki se plača za oddajo, ki bi morala po možnosti pokrivati stroške proizvodnje in ki se lahko izračuna na podlagi enostavno dostopnih in razumljivih kazalnikov proizvodnih in tržnih stroškov, ki jih države članice lahko določijo z objektivnimi merili ter na podlagi študij o proizvodnji in prehranjevalni verigi.“</w:t>
            </w:r>
          </w:p>
        </w:tc>
      </w:tr>
    </w:tbl>
    <w:p w14:paraId="421350FD" w14:textId="77777777" w:rsidR="006F5BFE" w:rsidRPr="003B2277" w:rsidRDefault="006F5BFE" w:rsidP="006F5BFE"/>
    <w:p w14:paraId="7A16E3B5" w14:textId="29722900" w:rsidR="006F5BFE" w:rsidRPr="003B2277" w:rsidRDefault="003B2277" w:rsidP="006F5BFE">
      <w:pPr>
        <w:pStyle w:val="AMNumberTabs"/>
        <w:keepNext/>
      </w:pPr>
      <w:r>
        <w:t>Sprememba</w:t>
      </w:r>
      <w:r w:rsidR="006F5BFE" w:rsidRPr="003B2277">
        <w:tab/>
      </w:r>
      <w:r w:rsidR="006F5BFE" w:rsidRPr="003B2277">
        <w:tab/>
        <w:t>46</w:t>
      </w:r>
    </w:p>
    <w:p w14:paraId="5B2A82E0" w14:textId="77777777" w:rsidR="006F5BFE" w:rsidRPr="003B2277" w:rsidRDefault="006F5BFE" w:rsidP="006F5BFE"/>
    <w:p w14:paraId="08EBA96A" w14:textId="77777777" w:rsidR="006F5BFE" w:rsidRPr="003B2277" w:rsidRDefault="006F5BFE" w:rsidP="006F5BFE">
      <w:pPr>
        <w:pStyle w:val="NormalBold"/>
        <w:keepNext/>
      </w:pPr>
      <w:r w:rsidRPr="003B2277">
        <w:t>Predlog uredbe</w:t>
      </w:r>
    </w:p>
    <w:p w14:paraId="53CEF969" w14:textId="77777777" w:rsidR="006F5BFE" w:rsidRPr="003B2277" w:rsidRDefault="006F5BFE" w:rsidP="006F5BFE">
      <w:pPr>
        <w:pStyle w:val="NormalBold"/>
      </w:pPr>
      <w:r w:rsidRPr="003B2277">
        <w:t xml:space="preserve">Člen 1 – odstavek 1 – točka </w:t>
      </w:r>
      <w:r w:rsidR="008B65FA" w:rsidRPr="003B2277">
        <w:t>-</w:t>
      </w:r>
      <w:r w:rsidRPr="003B2277">
        <w:t>1 c (novo)</w:t>
      </w:r>
    </w:p>
    <w:p w14:paraId="464309EF" w14:textId="77777777" w:rsidR="006F5BFE" w:rsidRPr="003B2277" w:rsidRDefault="006F5BFE" w:rsidP="006F5BFE">
      <w:pPr>
        <w:keepNext/>
      </w:pPr>
      <w:r w:rsidRPr="003B2277">
        <w:t>Uredba (EU) št. 1308/2013</w:t>
      </w:r>
    </w:p>
    <w:p w14:paraId="14E0F908" w14:textId="77777777" w:rsidR="006F5BFE" w:rsidRPr="003B2277" w:rsidRDefault="006F5BFE" w:rsidP="006F5BFE">
      <w:r w:rsidRPr="003B2277">
        <w:t>Člen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98EFAF" w14:textId="77777777" w:rsidTr="005B4D60">
        <w:trPr>
          <w:jc w:val="center"/>
        </w:trPr>
        <w:tc>
          <w:tcPr>
            <w:tcW w:w="9752" w:type="dxa"/>
            <w:gridSpan w:val="2"/>
          </w:tcPr>
          <w:p w14:paraId="15BE6E44" w14:textId="77777777" w:rsidR="006F5BFE" w:rsidRPr="003B2277" w:rsidRDefault="006F5BFE" w:rsidP="005B4D60">
            <w:pPr>
              <w:keepNext/>
            </w:pPr>
          </w:p>
        </w:tc>
      </w:tr>
      <w:tr w:rsidR="006F5BFE" w:rsidRPr="003B2277" w14:paraId="4B1558B1" w14:textId="77777777" w:rsidTr="005B4D60">
        <w:trPr>
          <w:jc w:val="center"/>
        </w:trPr>
        <w:tc>
          <w:tcPr>
            <w:tcW w:w="4876" w:type="dxa"/>
            <w:hideMark/>
          </w:tcPr>
          <w:p w14:paraId="172FE345" w14:textId="77777777" w:rsidR="006F5BFE" w:rsidRPr="003B2277" w:rsidRDefault="006F5BFE" w:rsidP="005B4D60">
            <w:pPr>
              <w:pStyle w:val="ColumnHeading"/>
              <w:keepNext/>
            </w:pPr>
            <w:r w:rsidRPr="003B2277">
              <w:t>Veljavno besedilo</w:t>
            </w:r>
          </w:p>
        </w:tc>
        <w:tc>
          <w:tcPr>
            <w:tcW w:w="4876" w:type="dxa"/>
            <w:hideMark/>
          </w:tcPr>
          <w:p w14:paraId="232E879D" w14:textId="1B9BB33A" w:rsidR="006F5BFE" w:rsidRPr="003B2277" w:rsidRDefault="003B2277" w:rsidP="005B4D60">
            <w:pPr>
              <w:pStyle w:val="ColumnHeading"/>
              <w:keepNext/>
            </w:pPr>
            <w:r>
              <w:t>Sprememba</w:t>
            </w:r>
          </w:p>
        </w:tc>
      </w:tr>
      <w:tr w:rsidR="006F5BFE" w:rsidRPr="003B2277" w14:paraId="272F2312" w14:textId="77777777" w:rsidTr="005B4D60">
        <w:trPr>
          <w:jc w:val="center"/>
        </w:trPr>
        <w:tc>
          <w:tcPr>
            <w:tcW w:w="4876" w:type="dxa"/>
          </w:tcPr>
          <w:p w14:paraId="0CF86328" w14:textId="77777777" w:rsidR="006F5BFE" w:rsidRPr="003B2277" w:rsidRDefault="006F5BFE" w:rsidP="005B4D60">
            <w:pPr>
              <w:pStyle w:val="Normal6"/>
            </w:pPr>
          </w:p>
        </w:tc>
        <w:tc>
          <w:tcPr>
            <w:tcW w:w="4876" w:type="dxa"/>
            <w:hideMark/>
          </w:tcPr>
          <w:p w14:paraId="3000BBBE" w14:textId="77777777" w:rsidR="006F5BFE" w:rsidRPr="003B2277" w:rsidRDefault="006F5BFE" w:rsidP="005B4D60">
            <w:pPr>
              <w:pStyle w:val="Normal6"/>
              <w:rPr>
                <w:szCs w:val="24"/>
              </w:rPr>
            </w:pPr>
            <w:r w:rsidRPr="003B2277">
              <w:rPr>
                <w:b/>
                <w:i/>
              </w:rPr>
              <w:t>(-1c)</w:t>
            </w:r>
            <w:r w:rsidRPr="003B2277">
              <w:rPr>
                <w:b/>
                <w:i/>
              </w:rPr>
              <w:tab/>
              <w:t>člen 1 se nadomesti z naslednjim:</w:t>
            </w:r>
          </w:p>
        </w:tc>
      </w:tr>
      <w:tr w:rsidR="006F5BFE" w:rsidRPr="003B2277" w14:paraId="5F306994" w14:textId="77777777" w:rsidTr="005B4D60">
        <w:trPr>
          <w:jc w:val="center"/>
        </w:trPr>
        <w:tc>
          <w:tcPr>
            <w:tcW w:w="4876" w:type="dxa"/>
            <w:hideMark/>
          </w:tcPr>
          <w:p w14:paraId="5661221C" w14:textId="77777777" w:rsidR="006F5BFE" w:rsidRPr="003B2277" w:rsidRDefault="006F5BFE" w:rsidP="005B4D60">
            <w:pPr>
              <w:pStyle w:val="Normal6"/>
            </w:pPr>
            <w:r w:rsidRPr="003B2277">
              <w:t>Člen 1</w:t>
            </w:r>
          </w:p>
        </w:tc>
        <w:tc>
          <w:tcPr>
            <w:tcW w:w="4876" w:type="dxa"/>
            <w:hideMark/>
          </w:tcPr>
          <w:p w14:paraId="67666B54" w14:textId="77777777" w:rsidR="006F5BFE" w:rsidRPr="003B2277" w:rsidRDefault="006F5BFE" w:rsidP="005B4D60">
            <w:pPr>
              <w:pStyle w:val="Normal6"/>
              <w:rPr>
                <w:szCs w:val="24"/>
              </w:rPr>
            </w:pPr>
            <w:r w:rsidRPr="003B2277">
              <w:t>Člen 1</w:t>
            </w:r>
          </w:p>
        </w:tc>
      </w:tr>
      <w:tr w:rsidR="006F5BFE" w:rsidRPr="003B2277" w14:paraId="1E748759" w14:textId="77777777" w:rsidTr="005B4D60">
        <w:trPr>
          <w:jc w:val="center"/>
        </w:trPr>
        <w:tc>
          <w:tcPr>
            <w:tcW w:w="4876" w:type="dxa"/>
            <w:hideMark/>
          </w:tcPr>
          <w:p w14:paraId="5F4F3A77" w14:textId="77777777" w:rsidR="006F5BFE" w:rsidRPr="003B2277" w:rsidRDefault="006F5BFE" w:rsidP="005B4D60">
            <w:pPr>
              <w:pStyle w:val="Normal6"/>
            </w:pPr>
            <w:r w:rsidRPr="003B2277">
              <w:t>Področje uporabe</w:t>
            </w:r>
          </w:p>
        </w:tc>
        <w:tc>
          <w:tcPr>
            <w:tcW w:w="4876" w:type="dxa"/>
            <w:hideMark/>
          </w:tcPr>
          <w:p w14:paraId="7D82D00D" w14:textId="77777777" w:rsidR="006F5BFE" w:rsidRPr="003B2277" w:rsidRDefault="006F5BFE" w:rsidP="005B4D60">
            <w:pPr>
              <w:pStyle w:val="Normal6"/>
              <w:rPr>
                <w:szCs w:val="24"/>
              </w:rPr>
            </w:pPr>
            <w:r w:rsidRPr="003B2277">
              <w:t>Področje uporabe</w:t>
            </w:r>
          </w:p>
        </w:tc>
      </w:tr>
      <w:tr w:rsidR="006F5BFE" w:rsidRPr="003B2277" w14:paraId="19374220" w14:textId="77777777" w:rsidTr="005B4D60">
        <w:trPr>
          <w:jc w:val="center"/>
        </w:trPr>
        <w:tc>
          <w:tcPr>
            <w:tcW w:w="4876" w:type="dxa"/>
            <w:hideMark/>
          </w:tcPr>
          <w:p w14:paraId="77792849" w14:textId="77777777" w:rsidR="006F5BFE" w:rsidRPr="003B2277" w:rsidRDefault="006F5BFE" w:rsidP="005B4D60">
            <w:pPr>
              <w:pStyle w:val="Normal6"/>
            </w:pPr>
            <w:r w:rsidRPr="003B2277">
              <w:t>1.</w:t>
            </w:r>
            <w:r w:rsidRPr="003B2277">
              <w:tab/>
              <w:t>S to uredbo se vzpostavlja skupna ureditev trgov za kmetijske proizvode, kar pomeni vse proizvode iz Priloge I k Pogodbama, z izjemo ribiških proizvodov in proizvodov iz ribogojstva, kot so opredeljeni v zakonodajnih aktih Unije na področju skupne ureditve trgov za ribiške proizvode in proizvode iz ribogojstva.</w:t>
            </w:r>
          </w:p>
        </w:tc>
        <w:tc>
          <w:tcPr>
            <w:tcW w:w="4876" w:type="dxa"/>
            <w:hideMark/>
          </w:tcPr>
          <w:p w14:paraId="7E0B793E" w14:textId="77777777" w:rsidR="006F5BFE" w:rsidRPr="003B2277" w:rsidRDefault="006F5BFE" w:rsidP="005B4D60">
            <w:pPr>
              <w:pStyle w:val="Normal6"/>
              <w:rPr>
                <w:szCs w:val="24"/>
              </w:rPr>
            </w:pPr>
            <w:r w:rsidRPr="003B2277">
              <w:t>1.</w:t>
            </w:r>
            <w:r w:rsidRPr="003B2277">
              <w:tab/>
              <w:t xml:space="preserve">S to uredbo se vzpostavlja skupna ureditev trgov za kmetijske proizvode, kar pomeni vse proizvode iz Priloge I k Pogodbama, z izjemo ribiških proizvodov in proizvodov iz ribogojstva, kot so opredeljeni v zakonodajnih aktih Unije na področju skupne ureditve trgov za ribiške proizvode in proizvode iz ribogojstva. </w:t>
            </w:r>
            <w:r w:rsidRPr="003B2277">
              <w:rPr>
                <w:b/>
                <w:i/>
              </w:rPr>
              <w:t>Ta uredba opredeljuje javne standarde, pravila glede preglednosti trga in orodja za obvladovanje kriz, ki bodo javnim organom, zlasti Komisiji, omogočila, da zagotovijo nadzor, upravljanje in ureditev kmetijskih trgov.</w:t>
            </w:r>
          </w:p>
        </w:tc>
      </w:tr>
      <w:tr w:rsidR="006F5BFE" w:rsidRPr="003B2277" w14:paraId="14293AC4" w14:textId="77777777" w:rsidTr="005B4D60">
        <w:trPr>
          <w:jc w:val="center"/>
        </w:trPr>
        <w:tc>
          <w:tcPr>
            <w:tcW w:w="4876" w:type="dxa"/>
            <w:hideMark/>
          </w:tcPr>
          <w:p w14:paraId="77F0902D" w14:textId="77777777" w:rsidR="006F5BFE" w:rsidRPr="003B2277" w:rsidRDefault="006F5BFE" w:rsidP="005B4D60">
            <w:pPr>
              <w:pStyle w:val="Normal6"/>
            </w:pPr>
            <w:r w:rsidRPr="003B2277">
              <w:t>2.</w:t>
            </w:r>
            <w:r w:rsidRPr="003B2277">
              <w:tab/>
              <w:t>Kmetijski proizvodi, kot so opredeljeni v odstavku 1, se razdelijo v naslednje sektorje, kot so navedeni v ustrezni delih seznama iz Priloge I:</w:t>
            </w:r>
          </w:p>
        </w:tc>
        <w:tc>
          <w:tcPr>
            <w:tcW w:w="4876" w:type="dxa"/>
            <w:hideMark/>
          </w:tcPr>
          <w:p w14:paraId="62D80448" w14:textId="77777777" w:rsidR="006F5BFE" w:rsidRPr="003B2277" w:rsidRDefault="006F5BFE" w:rsidP="005B4D60">
            <w:pPr>
              <w:pStyle w:val="Normal6"/>
              <w:rPr>
                <w:szCs w:val="24"/>
              </w:rPr>
            </w:pPr>
            <w:r w:rsidRPr="003B2277">
              <w:t>2.</w:t>
            </w:r>
            <w:r w:rsidRPr="003B2277">
              <w:tab/>
              <w:t>Kmetijski proizvodi, kot so opredeljeni v odstavku 1, se razdelijo v naslednje sektorje, kot so navedeni v ustreznih delih seznama iz Priloge I:</w:t>
            </w:r>
          </w:p>
        </w:tc>
      </w:tr>
      <w:tr w:rsidR="006F5BFE" w:rsidRPr="003B2277" w14:paraId="0B3849AB" w14:textId="77777777" w:rsidTr="005B4D60">
        <w:trPr>
          <w:jc w:val="center"/>
        </w:trPr>
        <w:tc>
          <w:tcPr>
            <w:tcW w:w="4876" w:type="dxa"/>
            <w:hideMark/>
          </w:tcPr>
          <w:p w14:paraId="0CC0274E" w14:textId="77777777" w:rsidR="006F5BFE" w:rsidRPr="003B2277" w:rsidRDefault="006F5BFE" w:rsidP="005B4D60">
            <w:pPr>
              <w:pStyle w:val="Normal6"/>
            </w:pPr>
            <w:r w:rsidRPr="003B2277">
              <w:t>(a) žita, del I;</w:t>
            </w:r>
          </w:p>
        </w:tc>
        <w:tc>
          <w:tcPr>
            <w:tcW w:w="4876" w:type="dxa"/>
            <w:hideMark/>
          </w:tcPr>
          <w:p w14:paraId="42B0945B" w14:textId="77777777" w:rsidR="006F5BFE" w:rsidRPr="003B2277" w:rsidRDefault="006F5BFE" w:rsidP="005B4D60">
            <w:pPr>
              <w:pStyle w:val="Normal6"/>
              <w:rPr>
                <w:szCs w:val="24"/>
              </w:rPr>
            </w:pPr>
            <w:r w:rsidRPr="003B2277">
              <w:t>(a) žita, del I;</w:t>
            </w:r>
          </w:p>
        </w:tc>
      </w:tr>
      <w:tr w:rsidR="006F5BFE" w:rsidRPr="003B2277" w14:paraId="486CD7D1" w14:textId="77777777" w:rsidTr="005B4D60">
        <w:trPr>
          <w:jc w:val="center"/>
        </w:trPr>
        <w:tc>
          <w:tcPr>
            <w:tcW w:w="4876" w:type="dxa"/>
            <w:hideMark/>
          </w:tcPr>
          <w:p w14:paraId="096EDA19" w14:textId="77777777" w:rsidR="006F5BFE" w:rsidRPr="003B2277" w:rsidRDefault="006F5BFE" w:rsidP="005B4D60">
            <w:pPr>
              <w:pStyle w:val="Normal6"/>
            </w:pPr>
            <w:r w:rsidRPr="003B2277">
              <w:t>(b) riž, del II;</w:t>
            </w:r>
          </w:p>
        </w:tc>
        <w:tc>
          <w:tcPr>
            <w:tcW w:w="4876" w:type="dxa"/>
            <w:hideMark/>
          </w:tcPr>
          <w:p w14:paraId="7CB1B4AA" w14:textId="77777777" w:rsidR="006F5BFE" w:rsidRPr="003B2277" w:rsidRDefault="006F5BFE" w:rsidP="005B4D60">
            <w:pPr>
              <w:pStyle w:val="Normal6"/>
              <w:rPr>
                <w:szCs w:val="24"/>
              </w:rPr>
            </w:pPr>
            <w:r w:rsidRPr="003B2277">
              <w:t>(b) riž, del II;</w:t>
            </w:r>
          </w:p>
        </w:tc>
      </w:tr>
      <w:tr w:rsidR="006F5BFE" w:rsidRPr="003B2277" w14:paraId="274C7AAC" w14:textId="77777777" w:rsidTr="005B4D60">
        <w:trPr>
          <w:jc w:val="center"/>
        </w:trPr>
        <w:tc>
          <w:tcPr>
            <w:tcW w:w="4876" w:type="dxa"/>
            <w:hideMark/>
          </w:tcPr>
          <w:p w14:paraId="12A042B9" w14:textId="77777777" w:rsidR="006F5BFE" w:rsidRPr="003B2277" w:rsidRDefault="006F5BFE" w:rsidP="005B4D60">
            <w:pPr>
              <w:pStyle w:val="Normal6"/>
            </w:pPr>
            <w:r w:rsidRPr="003B2277">
              <w:t>(c) sladkor, del III;</w:t>
            </w:r>
          </w:p>
        </w:tc>
        <w:tc>
          <w:tcPr>
            <w:tcW w:w="4876" w:type="dxa"/>
            <w:hideMark/>
          </w:tcPr>
          <w:p w14:paraId="292C65DC" w14:textId="77777777" w:rsidR="006F5BFE" w:rsidRPr="003B2277" w:rsidRDefault="006F5BFE" w:rsidP="005B4D60">
            <w:pPr>
              <w:pStyle w:val="Normal6"/>
              <w:rPr>
                <w:szCs w:val="24"/>
              </w:rPr>
            </w:pPr>
            <w:r w:rsidRPr="003B2277">
              <w:t xml:space="preserve">(c) sladkor, </w:t>
            </w:r>
            <w:r w:rsidRPr="003B2277">
              <w:rPr>
                <w:b/>
                <w:i/>
              </w:rPr>
              <w:t xml:space="preserve">sladkorna pesa in sladkorni trs, </w:t>
            </w:r>
            <w:r w:rsidRPr="003B2277">
              <w:t>del III;</w:t>
            </w:r>
          </w:p>
        </w:tc>
      </w:tr>
      <w:tr w:rsidR="006F5BFE" w:rsidRPr="003B2277" w14:paraId="675B4B82" w14:textId="77777777" w:rsidTr="005B4D60">
        <w:trPr>
          <w:jc w:val="center"/>
        </w:trPr>
        <w:tc>
          <w:tcPr>
            <w:tcW w:w="4876" w:type="dxa"/>
            <w:hideMark/>
          </w:tcPr>
          <w:p w14:paraId="3C0AD27B" w14:textId="77777777" w:rsidR="006F5BFE" w:rsidRPr="003B2277" w:rsidRDefault="006F5BFE" w:rsidP="005B4D60">
            <w:pPr>
              <w:pStyle w:val="Normal6"/>
            </w:pPr>
            <w:r w:rsidRPr="003B2277">
              <w:t>(d) posušena krma, del IV;</w:t>
            </w:r>
          </w:p>
        </w:tc>
        <w:tc>
          <w:tcPr>
            <w:tcW w:w="4876" w:type="dxa"/>
            <w:hideMark/>
          </w:tcPr>
          <w:p w14:paraId="063982CB" w14:textId="77777777" w:rsidR="006F5BFE" w:rsidRPr="003B2277" w:rsidRDefault="006F5BFE" w:rsidP="005B4D60">
            <w:pPr>
              <w:pStyle w:val="Normal6"/>
              <w:rPr>
                <w:szCs w:val="24"/>
              </w:rPr>
            </w:pPr>
            <w:r w:rsidRPr="003B2277">
              <w:t>(d) posušena krma, del IV;</w:t>
            </w:r>
          </w:p>
        </w:tc>
      </w:tr>
      <w:tr w:rsidR="006F5BFE" w:rsidRPr="003B2277" w14:paraId="13182C9C" w14:textId="77777777" w:rsidTr="005B4D60">
        <w:trPr>
          <w:jc w:val="center"/>
        </w:trPr>
        <w:tc>
          <w:tcPr>
            <w:tcW w:w="4876" w:type="dxa"/>
            <w:hideMark/>
          </w:tcPr>
          <w:p w14:paraId="346CA90C" w14:textId="77777777" w:rsidR="006F5BFE" w:rsidRPr="003B2277" w:rsidRDefault="006F5BFE" w:rsidP="005B4D60">
            <w:pPr>
              <w:pStyle w:val="Normal6"/>
            </w:pPr>
            <w:r w:rsidRPr="003B2277">
              <w:t>(e) semena, del V;</w:t>
            </w:r>
          </w:p>
        </w:tc>
        <w:tc>
          <w:tcPr>
            <w:tcW w:w="4876" w:type="dxa"/>
            <w:hideMark/>
          </w:tcPr>
          <w:p w14:paraId="479DFDA3" w14:textId="77777777" w:rsidR="006F5BFE" w:rsidRPr="003B2277" w:rsidRDefault="006F5BFE" w:rsidP="005B4D60">
            <w:pPr>
              <w:pStyle w:val="Normal6"/>
              <w:rPr>
                <w:szCs w:val="24"/>
              </w:rPr>
            </w:pPr>
            <w:r w:rsidRPr="003B2277">
              <w:t>(e) semena, del V;</w:t>
            </w:r>
          </w:p>
        </w:tc>
      </w:tr>
      <w:tr w:rsidR="006F5BFE" w:rsidRPr="003B2277" w14:paraId="4704B28C" w14:textId="77777777" w:rsidTr="005B4D60">
        <w:trPr>
          <w:jc w:val="center"/>
        </w:trPr>
        <w:tc>
          <w:tcPr>
            <w:tcW w:w="4876" w:type="dxa"/>
            <w:hideMark/>
          </w:tcPr>
          <w:p w14:paraId="217420B5" w14:textId="77777777" w:rsidR="006F5BFE" w:rsidRPr="003B2277" w:rsidRDefault="006F5BFE" w:rsidP="005B4D60">
            <w:pPr>
              <w:pStyle w:val="Normal6"/>
            </w:pPr>
            <w:r w:rsidRPr="003B2277">
              <w:t>(f) hmelj, del VI;</w:t>
            </w:r>
          </w:p>
        </w:tc>
        <w:tc>
          <w:tcPr>
            <w:tcW w:w="4876" w:type="dxa"/>
            <w:hideMark/>
          </w:tcPr>
          <w:p w14:paraId="7F1796E4" w14:textId="77777777" w:rsidR="006F5BFE" w:rsidRPr="003B2277" w:rsidRDefault="006F5BFE" w:rsidP="005B4D60">
            <w:pPr>
              <w:pStyle w:val="Normal6"/>
              <w:rPr>
                <w:szCs w:val="24"/>
              </w:rPr>
            </w:pPr>
            <w:r w:rsidRPr="003B2277">
              <w:t>(f) hmelj, del VI;</w:t>
            </w:r>
          </w:p>
        </w:tc>
      </w:tr>
      <w:tr w:rsidR="006F5BFE" w:rsidRPr="003B2277" w14:paraId="0E53664B" w14:textId="77777777" w:rsidTr="005B4D60">
        <w:trPr>
          <w:jc w:val="center"/>
        </w:trPr>
        <w:tc>
          <w:tcPr>
            <w:tcW w:w="4876" w:type="dxa"/>
            <w:hideMark/>
          </w:tcPr>
          <w:p w14:paraId="1A42794E" w14:textId="77777777" w:rsidR="006F5BFE" w:rsidRPr="003B2277" w:rsidRDefault="006F5BFE" w:rsidP="005B4D60">
            <w:pPr>
              <w:pStyle w:val="Normal6"/>
            </w:pPr>
            <w:r w:rsidRPr="003B2277">
              <w:t>(g) oljčno olje in namizne oljke, del VII;</w:t>
            </w:r>
          </w:p>
        </w:tc>
        <w:tc>
          <w:tcPr>
            <w:tcW w:w="4876" w:type="dxa"/>
            <w:hideMark/>
          </w:tcPr>
          <w:p w14:paraId="03347404" w14:textId="77777777" w:rsidR="006F5BFE" w:rsidRPr="003B2277" w:rsidRDefault="006F5BFE" w:rsidP="005B4D60">
            <w:pPr>
              <w:pStyle w:val="Normal6"/>
              <w:rPr>
                <w:szCs w:val="24"/>
              </w:rPr>
            </w:pPr>
            <w:r w:rsidRPr="003B2277">
              <w:t>(g) oljčno olje in namizne oljke, del VII;</w:t>
            </w:r>
          </w:p>
        </w:tc>
      </w:tr>
      <w:tr w:rsidR="006F5BFE" w:rsidRPr="003B2277" w14:paraId="39505BC1" w14:textId="77777777" w:rsidTr="005B4D60">
        <w:trPr>
          <w:jc w:val="center"/>
        </w:trPr>
        <w:tc>
          <w:tcPr>
            <w:tcW w:w="4876" w:type="dxa"/>
            <w:hideMark/>
          </w:tcPr>
          <w:p w14:paraId="3087FE80" w14:textId="77777777" w:rsidR="006F5BFE" w:rsidRPr="003B2277" w:rsidRDefault="006F5BFE" w:rsidP="005B4D60">
            <w:pPr>
              <w:pStyle w:val="Normal6"/>
            </w:pPr>
            <w:r w:rsidRPr="003B2277">
              <w:t>(h) lan in konoplja, del VIII;</w:t>
            </w:r>
          </w:p>
        </w:tc>
        <w:tc>
          <w:tcPr>
            <w:tcW w:w="4876" w:type="dxa"/>
            <w:hideMark/>
          </w:tcPr>
          <w:p w14:paraId="6C3B4844" w14:textId="77777777" w:rsidR="006F5BFE" w:rsidRPr="003B2277" w:rsidRDefault="006F5BFE" w:rsidP="005B4D60">
            <w:pPr>
              <w:pStyle w:val="Normal6"/>
              <w:rPr>
                <w:szCs w:val="24"/>
              </w:rPr>
            </w:pPr>
            <w:r w:rsidRPr="003B2277">
              <w:t>(h) lan in konoplja, del VIII;</w:t>
            </w:r>
          </w:p>
        </w:tc>
      </w:tr>
      <w:tr w:rsidR="006F5BFE" w:rsidRPr="003B2277" w14:paraId="4D0689BA" w14:textId="77777777" w:rsidTr="005B4D60">
        <w:trPr>
          <w:jc w:val="center"/>
        </w:trPr>
        <w:tc>
          <w:tcPr>
            <w:tcW w:w="4876" w:type="dxa"/>
            <w:hideMark/>
          </w:tcPr>
          <w:p w14:paraId="5ADCC91D" w14:textId="77777777" w:rsidR="006F5BFE" w:rsidRPr="003B2277" w:rsidRDefault="006F5BFE" w:rsidP="005B4D60">
            <w:pPr>
              <w:pStyle w:val="Normal6"/>
            </w:pPr>
            <w:r w:rsidRPr="003B2277">
              <w:t>(i) sadje in zelenjava, del IX;</w:t>
            </w:r>
          </w:p>
        </w:tc>
        <w:tc>
          <w:tcPr>
            <w:tcW w:w="4876" w:type="dxa"/>
            <w:hideMark/>
          </w:tcPr>
          <w:p w14:paraId="631C3ABE" w14:textId="77777777" w:rsidR="006F5BFE" w:rsidRPr="003B2277" w:rsidRDefault="006F5BFE" w:rsidP="005B4D60">
            <w:pPr>
              <w:pStyle w:val="Normal6"/>
              <w:rPr>
                <w:szCs w:val="24"/>
              </w:rPr>
            </w:pPr>
            <w:r w:rsidRPr="003B2277">
              <w:t>(i) sadje in zelenjava, del IX;</w:t>
            </w:r>
          </w:p>
        </w:tc>
      </w:tr>
      <w:tr w:rsidR="006F5BFE" w:rsidRPr="003B2277" w14:paraId="2AEAFFAE" w14:textId="77777777" w:rsidTr="005B4D60">
        <w:trPr>
          <w:jc w:val="center"/>
        </w:trPr>
        <w:tc>
          <w:tcPr>
            <w:tcW w:w="4876" w:type="dxa"/>
            <w:hideMark/>
          </w:tcPr>
          <w:p w14:paraId="0EDE8455" w14:textId="77777777" w:rsidR="006F5BFE" w:rsidRPr="003B2277" w:rsidRDefault="006F5BFE" w:rsidP="005B4D60">
            <w:pPr>
              <w:pStyle w:val="Normal6"/>
            </w:pPr>
            <w:r w:rsidRPr="003B2277">
              <w:t>(j) proizvodi iz predelanega sadja in zelenjave, del X;</w:t>
            </w:r>
          </w:p>
        </w:tc>
        <w:tc>
          <w:tcPr>
            <w:tcW w:w="4876" w:type="dxa"/>
            <w:hideMark/>
          </w:tcPr>
          <w:p w14:paraId="0987699A" w14:textId="77777777" w:rsidR="006F5BFE" w:rsidRPr="003B2277" w:rsidRDefault="006F5BFE" w:rsidP="005B4D60">
            <w:pPr>
              <w:pStyle w:val="Normal6"/>
              <w:rPr>
                <w:szCs w:val="24"/>
              </w:rPr>
            </w:pPr>
            <w:r w:rsidRPr="003B2277">
              <w:t>(j) proizvodi iz predelanega sadja in zelenjave, del X;</w:t>
            </w:r>
          </w:p>
        </w:tc>
      </w:tr>
      <w:tr w:rsidR="006F5BFE" w:rsidRPr="003B2277" w14:paraId="7218BDD1" w14:textId="77777777" w:rsidTr="005B4D60">
        <w:trPr>
          <w:jc w:val="center"/>
        </w:trPr>
        <w:tc>
          <w:tcPr>
            <w:tcW w:w="4876" w:type="dxa"/>
            <w:hideMark/>
          </w:tcPr>
          <w:p w14:paraId="145F7BAC" w14:textId="77777777" w:rsidR="006F5BFE" w:rsidRPr="003B2277" w:rsidRDefault="006F5BFE" w:rsidP="005B4D60">
            <w:pPr>
              <w:pStyle w:val="Normal6"/>
            </w:pPr>
            <w:r w:rsidRPr="003B2277">
              <w:t>(k) banane, del XI;</w:t>
            </w:r>
          </w:p>
        </w:tc>
        <w:tc>
          <w:tcPr>
            <w:tcW w:w="4876" w:type="dxa"/>
            <w:hideMark/>
          </w:tcPr>
          <w:p w14:paraId="2E183793" w14:textId="77777777" w:rsidR="006F5BFE" w:rsidRPr="003B2277" w:rsidRDefault="006F5BFE" w:rsidP="005B4D60">
            <w:pPr>
              <w:pStyle w:val="Normal6"/>
              <w:rPr>
                <w:szCs w:val="24"/>
              </w:rPr>
            </w:pPr>
            <w:r w:rsidRPr="003B2277">
              <w:t>(k) banane, del XI;</w:t>
            </w:r>
          </w:p>
        </w:tc>
      </w:tr>
      <w:tr w:rsidR="006F5BFE" w:rsidRPr="003B2277" w14:paraId="30CCC67D" w14:textId="77777777" w:rsidTr="005B4D60">
        <w:trPr>
          <w:jc w:val="center"/>
        </w:trPr>
        <w:tc>
          <w:tcPr>
            <w:tcW w:w="4876" w:type="dxa"/>
            <w:hideMark/>
          </w:tcPr>
          <w:p w14:paraId="3A36FCB4" w14:textId="77777777" w:rsidR="006F5BFE" w:rsidRPr="003B2277" w:rsidRDefault="006F5BFE" w:rsidP="005B4D60">
            <w:pPr>
              <w:pStyle w:val="Normal6"/>
            </w:pPr>
            <w:r w:rsidRPr="003B2277">
              <w:t>(l) vino, del XII;</w:t>
            </w:r>
          </w:p>
        </w:tc>
        <w:tc>
          <w:tcPr>
            <w:tcW w:w="4876" w:type="dxa"/>
            <w:hideMark/>
          </w:tcPr>
          <w:p w14:paraId="6A894FF1" w14:textId="77777777" w:rsidR="006F5BFE" w:rsidRPr="003B2277" w:rsidRDefault="006F5BFE" w:rsidP="005B4D60">
            <w:pPr>
              <w:pStyle w:val="Normal6"/>
              <w:rPr>
                <w:szCs w:val="24"/>
              </w:rPr>
            </w:pPr>
            <w:r w:rsidRPr="003B2277">
              <w:t>(l) vino, del XII;</w:t>
            </w:r>
          </w:p>
        </w:tc>
      </w:tr>
      <w:tr w:rsidR="006F5BFE" w:rsidRPr="003B2277" w14:paraId="24802B98" w14:textId="77777777" w:rsidTr="005B4D60">
        <w:trPr>
          <w:jc w:val="center"/>
        </w:trPr>
        <w:tc>
          <w:tcPr>
            <w:tcW w:w="4876" w:type="dxa"/>
            <w:hideMark/>
          </w:tcPr>
          <w:p w14:paraId="3AE77F81" w14:textId="77777777" w:rsidR="006F5BFE" w:rsidRPr="003B2277" w:rsidRDefault="006F5BFE" w:rsidP="005B4D60">
            <w:pPr>
              <w:pStyle w:val="Normal6"/>
            </w:pPr>
            <w:r w:rsidRPr="003B2277">
              <w:t>(m) živo drevje in druge rastline, čebulice, korenine in podobno, rezano cvetje in okrasno listje, del XIII;</w:t>
            </w:r>
          </w:p>
        </w:tc>
        <w:tc>
          <w:tcPr>
            <w:tcW w:w="4876" w:type="dxa"/>
            <w:hideMark/>
          </w:tcPr>
          <w:p w14:paraId="5E134663" w14:textId="77777777" w:rsidR="006F5BFE" w:rsidRPr="003B2277" w:rsidRDefault="006F5BFE" w:rsidP="005B4D60">
            <w:pPr>
              <w:pStyle w:val="Normal6"/>
              <w:rPr>
                <w:szCs w:val="24"/>
              </w:rPr>
            </w:pPr>
            <w:r w:rsidRPr="003B2277">
              <w:t>(m) živo drevje in druge rastline, čebulice, korenine in podobno, rezano cvetje in okrasno listje, del XIII;</w:t>
            </w:r>
          </w:p>
        </w:tc>
      </w:tr>
      <w:tr w:rsidR="006F5BFE" w:rsidRPr="003B2277" w14:paraId="3B9A65EF" w14:textId="77777777" w:rsidTr="005B4D60">
        <w:trPr>
          <w:jc w:val="center"/>
        </w:trPr>
        <w:tc>
          <w:tcPr>
            <w:tcW w:w="4876" w:type="dxa"/>
            <w:hideMark/>
          </w:tcPr>
          <w:p w14:paraId="641521B6" w14:textId="77777777" w:rsidR="006F5BFE" w:rsidRPr="003B2277" w:rsidRDefault="006F5BFE" w:rsidP="005B4D60">
            <w:pPr>
              <w:pStyle w:val="Normal6"/>
            </w:pPr>
            <w:r w:rsidRPr="003B2277">
              <w:t>(n) tobak, del XIV;</w:t>
            </w:r>
          </w:p>
        </w:tc>
        <w:tc>
          <w:tcPr>
            <w:tcW w:w="4876" w:type="dxa"/>
            <w:hideMark/>
          </w:tcPr>
          <w:p w14:paraId="19BB2580" w14:textId="77777777" w:rsidR="006F5BFE" w:rsidRPr="003B2277" w:rsidRDefault="006F5BFE" w:rsidP="005B4D60">
            <w:pPr>
              <w:pStyle w:val="Normal6"/>
              <w:rPr>
                <w:szCs w:val="24"/>
              </w:rPr>
            </w:pPr>
            <w:r w:rsidRPr="003B2277">
              <w:t>(n) tobak, del XIV;</w:t>
            </w:r>
          </w:p>
        </w:tc>
      </w:tr>
      <w:tr w:rsidR="006F5BFE" w:rsidRPr="003B2277" w14:paraId="6F7D6DC8" w14:textId="77777777" w:rsidTr="005B4D60">
        <w:trPr>
          <w:jc w:val="center"/>
        </w:trPr>
        <w:tc>
          <w:tcPr>
            <w:tcW w:w="4876" w:type="dxa"/>
            <w:hideMark/>
          </w:tcPr>
          <w:p w14:paraId="2D4551C6" w14:textId="77777777" w:rsidR="006F5BFE" w:rsidRPr="003B2277" w:rsidRDefault="006F5BFE" w:rsidP="005B4D60">
            <w:pPr>
              <w:pStyle w:val="Normal6"/>
            </w:pPr>
            <w:r w:rsidRPr="003B2277">
              <w:t>(o) goveje in telečje meso, del XV;</w:t>
            </w:r>
          </w:p>
        </w:tc>
        <w:tc>
          <w:tcPr>
            <w:tcW w:w="4876" w:type="dxa"/>
            <w:hideMark/>
          </w:tcPr>
          <w:p w14:paraId="575EEB80" w14:textId="77777777" w:rsidR="006F5BFE" w:rsidRPr="003B2277" w:rsidRDefault="006F5BFE" w:rsidP="005B4D60">
            <w:pPr>
              <w:pStyle w:val="Normal6"/>
              <w:rPr>
                <w:szCs w:val="24"/>
              </w:rPr>
            </w:pPr>
            <w:r w:rsidRPr="003B2277">
              <w:t>(o) goveje in telečje meso, del XV;</w:t>
            </w:r>
          </w:p>
        </w:tc>
      </w:tr>
      <w:tr w:rsidR="006F5BFE" w:rsidRPr="003B2277" w14:paraId="58B429BC" w14:textId="77777777" w:rsidTr="005B4D60">
        <w:trPr>
          <w:jc w:val="center"/>
        </w:trPr>
        <w:tc>
          <w:tcPr>
            <w:tcW w:w="4876" w:type="dxa"/>
            <w:hideMark/>
          </w:tcPr>
          <w:p w14:paraId="39E97B28" w14:textId="77777777" w:rsidR="006F5BFE" w:rsidRPr="003B2277" w:rsidRDefault="006F5BFE" w:rsidP="005B4D60">
            <w:pPr>
              <w:pStyle w:val="Normal6"/>
            </w:pPr>
            <w:r w:rsidRPr="003B2277">
              <w:t>(p) mleko in mlečni proizvodi, del XVI;</w:t>
            </w:r>
          </w:p>
        </w:tc>
        <w:tc>
          <w:tcPr>
            <w:tcW w:w="4876" w:type="dxa"/>
            <w:hideMark/>
          </w:tcPr>
          <w:p w14:paraId="4D267DC7" w14:textId="77777777" w:rsidR="006F5BFE" w:rsidRPr="003B2277" w:rsidRDefault="006F5BFE" w:rsidP="005B4D60">
            <w:pPr>
              <w:pStyle w:val="Normal6"/>
              <w:rPr>
                <w:szCs w:val="24"/>
              </w:rPr>
            </w:pPr>
            <w:r w:rsidRPr="003B2277">
              <w:t>(p) mleko in mlečni proizvodi, del XVI;</w:t>
            </w:r>
          </w:p>
        </w:tc>
      </w:tr>
      <w:tr w:rsidR="006F5BFE" w:rsidRPr="003B2277" w14:paraId="50345D06" w14:textId="77777777" w:rsidTr="005B4D60">
        <w:trPr>
          <w:jc w:val="center"/>
        </w:trPr>
        <w:tc>
          <w:tcPr>
            <w:tcW w:w="4876" w:type="dxa"/>
            <w:hideMark/>
          </w:tcPr>
          <w:p w14:paraId="12B20776" w14:textId="77777777" w:rsidR="006F5BFE" w:rsidRPr="003B2277" w:rsidRDefault="006F5BFE" w:rsidP="005B4D60">
            <w:pPr>
              <w:pStyle w:val="Normal6"/>
            </w:pPr>
            <w:r w:rsidRPr="003B2277">
              <w:t>(q) prašičje meso, del XVII;</w:t>
            </w:r>
          </w:p>
        </w:tc>
        <w:tc>
          <w:tcPr>
            <w:tcW w:w="4876" w:type="dxa"/>
            <w:hideMark/>
          </w:tcPr>
          <w:p w14:paraId="52D4FE80" w14:textId="77777777" w:rsidR="006F5BFE" w:rsidRPr="003B2277" w:rsidRDefault="006F5BFE" w:rsidP="005B4D60">
            <w:pPr>
              <w:pStyle w:val="Normal6"/>
              <w:rPr>
                <w:szCs w:val="24"/>
              </w:rPr>
            </w:pPr>
            <w:r w:rsidRPr="003B2277">
              <w:t>(q) prašičje meso, del XVII;</w:t>
            </w:r>
          </w:p>
        </w:tc>
      </w:tr>
      <w:tr w:rsidR="006F5BFE" w:rsidRPr="003B2277" w14:paraId="7089230A" w14:textId="77777777" w:rsidTr="005B4D60">
        <w:trPr>
          <w:jc w:val="center"/>
        </w:trPr>
        <w:tc>
          <w:tcPr>
            <w:tcW w:w="4876" w:type="dxa"/>
            <w:hideMark/>
          </w:tcPr>
          <w:p w14:paraId="03E197EF" w14:textId="77777777" w:rsidR="006F5BFE" w:rsidRPr="003B2277" w:rsidRDefault="006F5BFE" w:rsidP="005B4D60">
            <w:pPr>
              <w:pStyle w:val="Normal6"/>
            </w:pPr>
            <w:r w:rsidRPr="003B2277">
              <w:t>(r) ovčje in kozje meso, del XVIII;</w:t>
            </w:r>
          </w:p>
        </w:tc>
        <w:tc>
          <w:tcPr>
            <w:tcW w:w="4876" w:type="dxa"/>
            <w:hideMark/>
          </w:tcPr>
          <w:p w14:paraId="008E5CC2" w14:textId="77777777" w:rsidR="006F5BFE" w:rsidRPr="003B2277" w:rsidRDefault="006F5BFE" w:rsidP="005B4D60">
            <w:pPr>
              <w:pStyle w:val="Normal6"/>
              <w:rPr>
                <w:szCs w:val="24"/>
              </w:rPr>
            </w:pPr>
            <w:r w:rsidRPr="003B2277">
              <w:t>(r) ovčje in kozje meso, del XVIII;</w:t>
            </w:r>
          </w:p>
        </w:tc>
      </w:tr>
      <w:tr w:rsidR="006F5BFE" w:rsidRPr="003B2277" w14:paraId="456908F8" w14:textId="77777777" w:rsidTr="005B4D60">
        <w:trPr>
          <w:jc w:val="center"/>
        </w:trPr>
        <w:tc>
          <w:tcPr>
            <w:tcW w:w="4876" w:type="dxa"/>
            <w:hideMark/>
          </w:tcPr>
          <w:p w14:paraId="5812290C" w14:textId="77777777" w:rsidR="006F5BFE" w:rsidRPr="003B2277" w:rsidRDefault="006F5BFE" w:rsidP="005B4D60">
            <w:pPr>
              <w:pStyle w:val="Normal6"/>
            </w:pPr>
            <w:r w:rsidRPr="003B2277">
              <w:t>(s) jajca, del XIX;</w:t>
            </w:r>
          </w:p>
        </w:tc>
        <w:tc>
          <w:tcPr>
            <w:tcW w:w="4876" w:type="dxa"/>
            <w:hideMark/>
          </w:tcPr>
          <w:p w14:paraId="4BBDA4D3" w14:textId="77777777" w:rsidR="006F5BFE" w:rsidRPr="003B2277" w:rsidRDefault="006F5BFE" w:rsidP="005B4D60">
            <w:pPr>
              <w:pStyle w:val="Normal6"/>
              <w:rPr>
                <w:szCs w:val="24"/>
              </w:rPr>
            </w:pPr>
            <w:r w:rsidRPr="003B2277">
              <w:t>(s) jajca, del XIX;</w:t>
            </w:r>
          </w:p>
        </w:tc>
      </w:tr>
      <w:tr w:rsidR="006F5BFE" w:rsidRPr="003B2277" w14:paraId="5BD43088" w14:textId="77777777" w:rsidTr="005B4D60">
        <w:trPr>
          <w:jc w:val="center"/>
        </w:trPr>
        <w:tc>
          <w:tcPr>
            <w:tcW w:w="4876" w:type="dxa"/>
            <w:hideMark/>
          </w:tcPr>
          <w:p w14:paraId="6989F585" w14:textId="77777777" w:rsidR="006F5BFE" w:rsidRPr="003B2277" w:rsidRDefault="006F5BFE" w:rsidP="005B4D60">
            <w:pPr>
              <w:pStyle w:val="Normal6"/>
            </w:pPr>
            <w:r w:rsidRPr="003B2277">
              <w:t>(t) perutninsko meso, del XX;</w:t>
            </w:r>
          </w:p>
        </w:tc>
        <w:tc>
          <w:tcPr>
            <w:tcW w:w="4876" w:type="dxa"/>
            <w:hideMark/>
          </w:tcPr>
          <w:p w14:paraId="6C9CF0F1" w14:textId="77777777" w:rsidR="006F5BFE" w:rsidRPr="003B2277" w:rsidRDefault="006F5BFE" w:rsidP="005B4D60">
            <w:pPr>
              <w:pStyle w:val="Normal6"/>
              <w:rPr>
                <w:szCs w:val="24"/>
              </w:rPr>
            </w:pPr>
            <w:r w:rsidRPr="003B2277">
              <w:t>(t) perutninsko meso, del XX;</w:t>
            </w:r>
          </w:p>
        </w:tc>
      </w:tr>
      <w:tr w:rsidR="006F5BFE" w:rsidRPr="003B2277" w14:paraId="0828C32F" w14:textId="77777777" w:rsidTr="005B4D60">
        <w:trPr>
          <w:jc w:val="center"/>
        </w:trPr>
        <w:tc>
          <w:tcPr>
            <w:tcW w:w="4876" w:type="dxa"/>
            <w:hideMark/>
          </w:tcPr>
          <w:p w14:paraId="7656A94B" w14:textId="77777777" w:rsidR="006F5BFE" w:rsidRPr="003B2277" w:rsidRDefault="006F5BFE" w:rsidP="005B4D60">
            <w:pPr>
              <w:pStyle w:val="Normal6"/>
            </w:pPr>
            <w:r w:rsidRPr="003B2277">
              <w:t>(u) etilni alkohol kmetijskega izvora, del XXI;</w:t>
            </w:r>
          </w:p>
        </w:tc>
        <w:tc>
          <w:tcPr>
            <w:tcW w:w="4876" w:type="dxa"/>
            <w:hideMark/>
          </w:tcPr>
          <w:p w14:paraId="75A9A4EB" w14:textId="77777777" w:rsidR="006F5BFE" w:rsidRPr="003B2277" w:rsidRDefault="006F5BFE" w:rsidP="005B4D60">
            <w:pPr>
              <w:pStyle w:val="Normal6"/>
              <w:rPr>
                <w:szCs w:val="24"/>
              </w:rPr>
            </w:pPr>
            <w:r w:rsidRPr="003B2277">
              <w:t>(u) etilni alkohol kmetijskega izvora, del XXI;</w:t>
            </w:r>
          </w:p>
        </w:tc>
      </w:tr>
      <w:tr w:rsidR="006F5BFE" w:rsidRPr="003B2277" w14:paraId="091060A8" w14:textId="77777777" w:rsidTr="005B4D60">
        <w:trPr>
          <w:jc w:val="center"/>
        </w:trPr>
        <w:tc>
          <w:tcPr>
            <w:tcW w:w="4876" w:type="dxa"/>
            <w:hideMark/>
          </w:tcPr>
          <w:p w14:paraId="1ED4A6A3" w14:textId="77777777" w:rsidR="006F5BFE" w:rsidRPr="003B2277" w:rsidRDefault="006F5BFE" w:rsidP="005B4D60">
            <w:pPr>
              <w:pStyle w:val="Normal6"/>
            </w:pPr>
            <w:r w:rsidRPr="003B2277">
              <w:t>(v) čebelarski proizvodi, del XXII;</w:t>
            </w:r>
          </w:p>
        </w:tc>
        <w:tc>
          <w:tcPr>
            <w:tcW w:w="4876" w:type="dxa"/>
            <w:hideMark/>
          </w:tcPr>
          <w:p w14:paraId="5F097668" w14:textId="77777777" w:rsidR="006F5BFE" w:rsidRPr="003B2277" w:rsidRDefault="006F5BFE" w:rsidP="005B4D60">
            <w:pPr>
              <w:pStyle w:val="Normal6"/>
              <w:rPr>
                <w:szCs w:val="24"/>
              </w:rPr>
            </w:pPr>
            <w:r w:rsidRPr="003B2277">
              <w:t>(v) čebelarski proizvodi, del XXII;</w:t>
            </w:r>
          </w:p>
        </w:tc>
      </w:tr>
      <w:tr w:rsidR="006F5BFE" w:rsidRPr="003B2277" w14:paraId="73E78B35" w14:textId="77777777" w:rsidTr="005B4D60">
        <w:trPr>
          <w:jc w:val="center"/>
        </w:trPr>
        <w:tc>
          <w:tcPr>
            <w:tcW w:w="4876" w:type="dxa"/>
            <w:hideMark/>
          </w:tcPr>
          <w:p w14:paraId="5458BD95" w14:textId="77777777" w:rsidR="006F5BFE" w:rsidRPr="003B2277" w:rsidRDefault="006F5BFE" w:rsidP="005B4D60">
            <w:pPr>
              <w:pStyle w:val="Normal6"/>
            </w:pPr>
            <w:r w:rsidRPr="003B2277">
              <w:t>(w) sviloprejke, del XXIII;</w:t>
            </w:r>
          </w:p>
        </w:tc>
        <w:tc>
          <w:tcPr>
            <w:tcW w:w="4876" w:type="dxa"/>
            <w:hideMark/>
          </w:tcPr>
          <w:p w14:paraId="6B6DF1F1" w14:textId="77777777" w:rsidR="006F5BFE" w:rsidRPr="003B2277" w:rsidRDefault="006F5BFE" w:rsidP="005B4D60">
            <w:pPr>
              <w:pStyle w:val="Normal6"/>
              <w:rPr>
                <w:szCs w:val="24"/>
              </w:rPr>
            </w:pPr>
            <w:r w:rsidRPr="003B2277">
              <w:t>(w) sviloprejke, del XXIII;</w:t>
            </w:r>
          </w:p>
        </w:tc>
      </w:tr>
      <w:tr w:rsidR="006F5BFE" w:rsidRPr="003B2277" w14:paraId="503D27A8" w14:textId="77777777" w:rsidTr="005B4D60">
        <w:trPr>
          <w:jc w:val="center"/>
        </w:trPr>
        <w:tc>
          <w:tcPr>
            <w:tcW w:w="4876" w:type="dxa"/>
            <w:hideMark/>
          </w:tcPr>
          <w:p w14:paraId="14D45662" w14:textId="77777777" w:rsidR="006F5BFE" w:rsidRPr="003B2277" w:rsidRDefault="006F5BFE" w:rsidP="005B4D60">
            <w:pPr>
              <w:pStyle w:val="Normal6"/>
            </w:pPr>
            <w:r w:rsidRPr="003B2277">
              <w:t>(x) drugi proizvodi, del XXIV.</w:t>
            </w:r>
          </w:p>
        </w:tc>
        <w:tc>
          <w:tcPr>
            <w:tcW w:w="4876" w:type="dxa"/>
            <w:hideMark/>
          </w:tcPr>
          <w:p w14:paraId="3102B742" w14:textId="1A0C9520" w:rsidR="006F5BFE" w:rsidRPr="003B2277" w:rsidRDefault="006F5BFE" w:rsidP="005B4D60">
            <w:pPr>
              <w:pStyle w:val="Normal6"/>
              <w:rPr>
                <w:szCs w:val="24"/>
              </w:rPr>
            </w:pPr>
            <w:r w:rsidRPr="003B2277">
              <w:t>(x) drugi proizvodi, del XXIV.</w:t>
            </w:r>
            <w:r w:rsidRPr="003B2277">
              <w:rPr>
                <w:b/>
                <w:i/>
              </w:rPr>
              <w:t>“</w:t>
            </w:r>
          </w:p>
        </w:tc>
      </w:tr>
    </w:tbl>
    <w:p w14:paraId="68C1E13F" w14:textId="3F3783D3" w:rsidR="006F5BFE" w:rsidRPr="003B2277" w:rsidRDefault="003B2277" w:rsidP="006F5BFE">
      <w:pPr>
        <w:pStyle w:val="AMNumberTabs"/>
        <w:keepNext/>
      </w:pPr>
      <w:r>
        <w:t>Sprememba</w:t>
      </w:r>
      <w:r w:rsidR="006F5BFE" w:rsidRPr="003B2277">
        <w:tab/>
      </w:r>
      <w:r w:rsidR="006F5BFE" w:rsidRPr="003B2277">
        <w:tab/>
        <w:t>47</w:t>
      </w:r>
    </w:p>
    <w:p w14:paraId="70EB20D3" w14:textId="77777777" w:rsidR="006F5BFE" w:rsidRPr="003B2277" w:rsidRDefault="006F5BFE" w:rsidP="006F5BFE">
      <w:pPr>
        <w:pStyle w:val="NormalBold12b"/>
      </w:pPr>
      <w:r w:rsidRPr="003B2277">
        <w:t>Predlog uredbe</w:t>
      </w:r>
    </w:p>
    <w:p w14:paraId="075730EC" w14:textId="77777777" w:rsidR="006F5BFE" w:rsidRPr="003B2277" w:rsidRDefault="006F5BFE" w:rsidP="006F5BFE">
      <w:pPr>
        <w:pStyle w:val="NormalBold"/>
      </w:pPr>
      <w:r w:rsidRPr="003B2277">
        <w:t>Člen 1 – odstavek 1 – točka -1 d (novo)</w:t>
      </w:r>
    </w:p>
    <w:p w14:paraId="36FC815C" w14:textId="77777777" w:rsidR="006F5BFE" w:rsidRPr="003B2277" w:rsidRDefault="006F5BFE" w:rsidP="006F5BFE">
      <w:pPr>
        <w:keepNext/>
      </w:pPr>
      <w:r w:rsidRPr="003B2277">
        <w:t>Uredba (EU) št. 1308/2013</w:t>
      </w:r>
    </w:p>
    <w:p w14:paraId="0FFB8609" w14:textId="77777777" w:rsidR="006F5BFE" w:rsidRPr="003B2277" w:rsidRDefault="006F5BFE" w:rsidP="006F5BFE">
      <w:r w:rsidRPr="003B2277">
        <w:t>Člen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C289210" w14:textId="77777777" w:rsidTr="005B4D60">
        <w:trPr>
          <w:jc w:val="center"/>
        </w:trPr>
        <w:tc>
          <w:tcPr>
            <w:tcW w:w="9752" w:type="dxa"/>
            <w:gridSpan w:val="2"/>
          </w:tcPr>
          <w:p w14:paraId="3F51B20E" w14:textId="77777777" w:rsidR="006F5BFE" w:rsidRPr="003B2277" w:rsidRDefault="006F5BFE" w:rsidP="005B4D60">
            <w:pPr>
              <w:keepNext/>
            </w:pPr>
          </w:p>
        </w:tc>
      </w:tr>
      <w:tr w:rsidR="006F5BFE" w:rsidRPr="003B2277" w14:paraId="52AF06D4" w14:textId="77777777" w:rsidTr="005B4D60">
        <w:trPr>
          <w:jc w:val="center"/>
        </w:trPr>
        <w:tc>
          <w:tcPr>
            <w:tcW w:w="4876" w:type="dxa"/>
            <w:hideMark/>
          </w:tcPr>
          <w:p w14:paraId="7B783485" w14:textId="77777777" w:rsidR="006F5BFE" w:rsidRPr="003B2277" w:rsidRDefault="006F5BFE" w:rsidP="005B4D60">
            <w:pPr>
              <w:pStyle w:val="ColumnHeading"/>
              <w:keepNext/>
            </w:pPr>
            <w:r w:rsidRPr="003B2277">
              <w:t>Besedilo, ki ga predlaga Komisija</w:t>
            </w:r>
          </w:p>
        </w:tc>
        <w:tc>
          <w:tcPr>
            <w:tcW w:w="4876" w:type="dxa"/>
            <w:hideMark/>
          </w:tcPr>
          <w:p w14:paraId="4D83C1CF" w14:textId="6D505E5E" w:rsidR="006F5BFE" w:rsidRPr="003B2277" w:rsidRDefault="003B2277" w:rsidP="005B4D60">
            <w:pPr>
              <w:pStyle w:val="ColumnHeading"/>
              <w:keepNext/>
            </w:pPr>
            <w:r>
              <w:t>Sprememba</w:t>
            </w:r>
          </w:p>
        </w:tc>
      </w:tr>
      <w:tr w:rsidR="006F5BFE" w:rsidRPr="003B2277" w14:paraId="37AB14FF" w14:textId="77777777" w:rsidTr="005B4D60">
        <w:trPr>
          <w:jc w:val="center"/>
        </w:trPr>
        <w:tc>
          <w:tcPr>
            <w:tcW w:w="4876" w:type="dxa"/>
          </w:tcPr>
          <w:p w14:paraId="1FA5CAAF" w14:textId="77777777" w:rsidR="006F5BFE" w:rsidRPr="003B2277" w:rsidRDefault="006F5BFE" w:rsidP="005B4D60">
            <w:pPr>
              <w:pStyle w:val="Normal6"/>
            </w:pPr>
          </w:p>
        </w:tc>
        <w:tc>
          <w:tcPr>
            <w:tcW w:w="4876" w:type="dxa"/>
            <w:hideMark/>
          </w:tcPr>
          <w:p w14:paraId="365D62FB" w14:textId="6FC1B933" w:rsidR="006F5BFE" w:rsidRPr="003B2277" w:rsidRDefault="006F5BFE" w:rsidP="005B4D60">
            <w:pPr>
              <w:pStyle w:val="Normal6"/>
              <w:rPr>
                <w:szCs w:val="24"/>
              </w:rPr>
            </w:pPr>
            <w:r w:rsidRPr="003B2277">
              <w:rPr>
                <w:b/>
                <w:i/>
              </w:rPr>
              <w:t>(-1d)</w:t>
            </w:r>
            <w:r w:rsidRPr="003B2277">
              <w:rPr>
                <w:b/>
                <w:i/>
              </w:rPr>
              <w:tab/>
              <w:t>vstavi se naslednji člen:</w:t>
            </w:r>
          </w:p>
        </w:tc>
      </w:tr>
      <w:tr w:rsidR="006F5BFE" w:rsidRPr="003B2277" w14:paraId="108FDB78" w14:textId="77777777" w:rsidTr="005B4D60">
        <w:trPr>
          <w:jc w:val="center"/>
        </w:trPr>
        <w:tc>
          <w:tcPr>
            <w:tcW w:w="4876" w:type="dxa"/>
          </w:tcPr>
          <w:p w14:paraId="39513DFF" w14:textId="77777777" w:rsidR="006F5BFE" w:rsidRPr="003B2277" w:rsidRDefault="006F5BFE" w:rsidP="005B4D60">
            <w:pPr>
              <w:pStyle w:val="Normal6"/>
            </w:pPr>
          </w:p>
        </w:tc>
        <w:tc>
          <w:tcPr>
            <w:tcW w:w="4876" w:type="dxa"/>
            <w:hideMark/>
          </w:tcPr>
          <w:p w14:paraId="7CC444C9" w14:textId="77777777" w:rsidR="006F5BFE" w:rsidRPr="003B2277" w:rsidRDefault="006F5BFE" w:rsidP="005B4D60">
            <w:pPr>
              <w:pStyle w:val="Normal6"/>
              <w:rPr>
                <w:szCs w:val="24"/>
              </w:rPr>
            </w:pPr>
            <w:r w:rsidRPr="003B2277">
              <w:rPr>
                <w:b/>
                <w:i/>
              </w:rPr>
              <w:t>„Člen 1a</w:t>
            </w:r>
          </w:p>
        </w:tc>
      </w:tr>
      <w:tr w:rsidR="006F5BFE" w:rsidRPr="003B2277" w14:paraId="230CC3E9" w14:textId="77777777" w:rsidTr="005B4D60">
        <w:trPr>
          <w:jc w:val="center"/>
        </w:trPr>
        <w:tc>
          <w:tcPr>
            <w:tcW w:w="4876" w:type="dxa"/>
          </w:tcPr>
          <w:p w14:paraId="79E3353A" w14:textId="77777777" w:rsidR="006F5BFE" w:rsidRPr="003B2277" w:rsidRDefault="006F5BFE" w:rsidP="005B4D60">
            <w:pPr>
              <w:pStyle w:val="Normal6"/>
            </w:pPr>
          </w:p>
        </w:tc>
        <w:tc>
          <w:tcPr>
            <w:tcW w:w="4876" w:type="dxa"/>
            <w:hideMark/>
          </w:tcPr>
          <w:p w14:paraId="1C7DD979" w14:textId="77777777" w:rsidR="006F5BFE" w:rsidRPr="003B2277" w:rsidRDefault="006F5BFE" w:rsidP="005B4D60">
            <w:pPr>
              <w:pStyle w:val="Normal6"/>
              <w:rPr>
                <w:szCs w:val="24"/>
              </w:rPr>
            </w:pPr>
            <w:r w:rsidRPr="003B2277">
              <w:rPr>
                <w:b/>
                <w:i/>
              </w:rPr>
              <w:t>Posebni cilji</w:t>
            </w:r>
          </w:p>
        </w:tc>
      </w:tr>
      <w:tr w:rsidR="006F5BFE" w:rsidRPr="003B2277" w14:paraId="796ACCB5" w14:textId="77777777" w:rsidTr="005B4D60">
        <w:trPr>
          <w:jc w:val="center"/>
        </w:trPr>
        <w:tc>
          <w:tcPr>
            <w:tcW w:w="4876" w:type="dxa"/>
          </w:tcPr>
          <w:p w14:paraId="3BC48A07" w14:textId="77777777" w:rsidR="006F5BFE" w:rsidRPr="003B2277" w:rsidRDefault="006F5BFE" w:rsidP="005B4D60">
            <w:pPr>
              <w:pStyle w:val="Normal6"/>
            </w:pPr>
          </w:p>
        </w:tc>
        <w:tc>
          <w:tcPr>
            <w:tcW w:w="4876" w:type="dxa"/>
            <w:hideMark/>
          </w:tcPr>
          <w:p w14:paraId="7DEFF3D9" w14:textId="77777777" w:rsidR="006F5BFE" w:rsidRPr="003B2277" w:rsidRDefault="006F5BFE" w:rsidP="005B4D60">
            <w:pPr>
              <w:pStyle w:val="Normal6"/>
              <w:rPr>
                <w:szCs w:val="24"/>
              </w:rPr>
            </w:pPr>
            <w:r w:rsidRPr="003B2277">
              <w:rPr>
                <w:b/>
                <w:i/>
              </w:rPr>
              <w:t>Brez poseganja v izvajanje splošnih in posebnih ciljev iz členov 5 in 6 uredbe (EU) [strateški načrt SKP] ter v skladu s členom 39 Pogodbe o delovanju Evropske unije skupna ureditev trgov kmetijskih proizvodov iz člena 1 prispeva k doseganju naslednjih posebnih ciljev:</w:t>
            </w:r>
            <w:r w:rsidRPr="003B2277">
              <w:t xml:space="preserve"> </w:t>
            </w:r>
          </w:p>
        </w:tc>
      </w:tr>
      <w:tr w:rsidR="006F5BFE" w:rsidRPr="003B2277" w14:paraId="59C6F178" w14:textId="77777777" w:rsidTr="005B4D60">
        <w:trPr>
          <w:jc w:val="center"/>
        </w:trPr>
        <w:tc>
          <w:tcPr>
            <w:tcW w:w="4876" w:type="dxa"/>
          </w:tcPr>
          <w:p w14:paraId="113C25C8" w14:textId="77777777" w:rsidR="006F5BFE" w:rsidRPr="003B2277" w:rsidRDefault="006F5BFE" w:rsidP="005B4D60">
            <w:pPr>
              <w:pStyle w:val="Normal6"/>
            </w:pPr>
          </w:p>
        </w:tc>
        <w:tc>
          <w:tcPr>
            <w:tcW w:w="4876" w:type="dxa"/>
            <w:hideMark/>
          </w:tcPr>
          <w:p w14:paraId="4B821E08" w14:textId="77777777" w:rsidR="006F5BFE" w:rsidRPr="003B2277" w:rsidRDefault="006F5BFE" w:rsidP="005B4D60">
            <w:pPr>
              <w:pStyle w:val="Normal6"/>
              <w:rPr>
                <w:szCs w:val="24"/>
              </w:rPr>
            </w:pPr>
            <w:r w:rsidRPr="003B2277">
              <w:rPr>
                <w:b/>
                <w:i/>
              </w:rPr>
              <w:t>(a) udeležba pri stabilizaciji kmetijskih trgov in povečanje njihove preglednosti;</w:t>
            </w:r>
          </w:p>
        </w:tc>
      </w:tr>
      <w:tr w:rsidR="006F5BFE" w:rsidRPr="003B2277" w14:paraId="5410DDE2" w14:textId="77777777" w:rsidTr="005B4D60">
        <w:trPr>
          <w:jc w:val="center"/>
        </w:trPr>
        <w:tc>
          <w:tcPr>
            <w:tcW w:w="4876" w:type="dxa"/>
          </w:tcPr>
          <w:p w14:paraId="402A7D42" w14:textId="77777777" w:rsidR="006F5BFE" w:rsidRPr="003B2277" w:rsidRDefault="006F5BFE" w:rsidP="005B4D60">
            <w:pPr>
              <w:pStyle w:val="Normal6"/>
            </w:pPr>
          </w:p>
        </w:tc>
        <w:tc>
          <w:tcPr>
            <w:tcW w:w="4876" w:type="dxa"/>
            <w:hideMark/>
          </w:tcPr>
          <w:p w14:paraId="39141FB3" w14:textId="77777777" w:rsidR="006F5BFE" w:rsidRPr="003B2277" w:rsidRDefault="006F5BFE" w:rsidP="005B4D60">
            <w:pPr>
              <w:pStyle w:val="Normal6"/>
              <w:rPr>
                <w:szCs w:val="24"/>
              </w:rPr>
            </w:pPr>
            <w:r w:rsidRPr="003B2277">
              <w:rPr>
                <w:b/>
                <w:i/>
              </w:rPr>
              <w:t>(b) spodbujanje pravilnega delovanja verige preskrbe s hrano in zagotavljanje primernega dohodka za kmetijske proizvajalce;</w:t>
            </w:r>
          </w:p>
        </w:tc>
      </w:tr>
      <w:tr w:rsidR="006F5BFE" w:rsidRPr="003B2277" w14:paraId="3A562A46" w14:textId="77777777" w:rsidTr="005B4D60">
        <w:trPr>
          <w:jc w:val="center"/>
        </w:trPr>
        <w:tc>
          <w:tcPr>
            <w:tcW w:w="4876" w:type="dxa"/>
          </w:tcPr>
          <w:p w14:paraId="261D085C" w14:textId="77777777" w:rsidR="006F5BFE" w:rsidRPr="003B2277" w:rsidRDefault="006F5BFE" w:rsidP="005B4D60">
            <w:pPr>
              <w:pStyle w:val="Normal6"/>
            </w:pPr>
          </w:p>
        </w:tc>
        <w:tc>
          <w:tcPr>
            <w:tcW w:w="4876" w:type="dxa"/>
            <w:hideMark/>
          </w:tcPr>
          <w:p w14:paraId="42D6826B" w14:textId="77777777" w:rsidR="006F5BFE" w:rsidRPr="003B2277" w:rsidRDefault="006F5BFE" w:rsidP="005B4D60">
            <w:pPr>
              <w:pStyle w:val="Normal6"/>
              <w:rPr>
                <w:szCs w:val="24"/>
              </w:rPr>
            </w:pPr>
            <w:r w:rsidRPr="003B2277">
              <w:rPr>
                <w:b/>
                <w:i/>
              </w:rPr>
              <w:t>(c) izboljšanje položaja proizvajalcev v vrednostni verigi in spodbujanje koncentracije kmetijske ponudbe;</w:t>
            </w:r>
          </w:p>
        </w:tc>
      </w:tr>
      <w:tr w:rsidR="006F5BFE" w:rsidRPr="003B2277" w14:paraId="4740AFDB" w14:textId="77777777" w:rsidTr="005B4D60">
        <w:trPr>
          <w:jc w:val="center"/>
        </w:trPr>
        <w:tc>
          <w:tcPr>
            <w:tcW w:w="4876" w:type="dxa"/>
          </w:tcPr>
          <w:p w14:paraId="16A08C62" w14:textId="77777777" w:rsidR="006F5BFE" w:rsidRPr="003B2277" w:rsidRDefault="006F5BFE" w:rsidP="005B4D60">
            <w:pPr>
              <w:pStyle w:val="Normal6"/>
            </w:pPr>
          </w:p>
        </w:tc>
        <w:tc>
          <w:tcPr>
            <w:tcW w:w="4876" w:type="dxa"/>
            <w:hideMark/>
          </w:tcPr>
          <w:p w14:paraId="283653FC" w14:textId="77777777" w:rsidR="006F5BFE" w:rsidRPr="003B2277" w:rsidRDefault="006F5BFE" w:rsidP="005B4D60">
            <w:pPr>
              <w:pStyle w:val="Normal6"/>
              <w:rPr>
                <w:szCs w:val="24"/>
              </w:rPr>
            </w:pPr>
            <w:r w:rsidRPr="003B2277">
              <w:rPr>
                <w:b/>
                <w:i/>
              </w:rPr>
              <w:t>(d) prispevanje k izboljšanju gospodarskih pogojev za proizvodnjo in trženje kmetijskih proizvodov ter povečanje kakovosti evropske kmetijske proizvodnje.“</w:t>
            </w:r>
          </w:p>
        </w:tc>
      </w:tr>
    </w:tbl>
    <w:p w14:paraId="4DC991FA" w14:textId="77777777" w:rsidR="006F5BFE" w:rsidRPr="003B2277" w:rsidRDefault="006F5BFE" w:rsidP="006F5BFE"/>
    <w:p w14:paraId="48F1F56B" w14:textId="43E9038D" w:rsidR="006F5BFE" w:rsidRPr="003B2277" w:rsidRDefault="003B2277" w:rsidP="006F5BFE">
      <w:pPr>
        <w:pStyle w:val="AMNumberTabs"/>
        <w:keepNext/>
      </w:pPr>
      <w:r>
        <w:t>Sprememba</w:t>
      </w:r>
      <w:r w:rsidR="006F5BFE" w:rsidRPr="003B2277">
        <w:tab/>
      </w:r>
      <w:r w:rsidR="006F5BFE" w:rsidRPr="003B2277">
        <w:tab/>
        <w:t>48</w:t>
      </w:r>
    </w:p>
    <w:p w14:paraId="0560DC4C" w14:textId="77777777" w:rsidR="006F5BFE" w:rsidRPr="003B2277" w:rsidRDefault="006F5BFE" w:rsidP="006F5BFE">
      <w:pPr>
        <w:pStyle w:val="NormalBold12b"/>
      </w:pPr>
      <w:r w:rsidRPr="003B2277">
        <w:t>Predlog uredbe</w:t>
      </w:r>
    </w:p>
    <w:p w14:paraId="6FEFFB97" w14:textId="77777777" w:rsidR="006F5BFE" w:rsidRPr="003B2277" w:rsidRDefault="006F5BFE" w:rsidP="006F5BFE">
      <w:pPr>
        <w:pStyle w:val="NormalBold"/>
      </w:pPr>
      <w:r w:rsidRPr="003B2277">
        <w:t>Člen 1 – odstavek 1 – točka -1 e (novo)</w:t>
      </w:r>
    </w:p>
    <w:p w14:paraId="6493C198" w14:textId="77777777" w:rsidR="006F5BFE" w:rsidRPr="003B2277" w:rsidRDefault="006F5BFE" w:rsidP="006F5BFE">
      <w:pPr>
        <w:keepNext/>
      </w:pPr>
      <w:r w:rsidRPr="003B2277">
        <w:t>Uredba (EU) št. 1308/2013</w:t>
      </w:r>
    </w:p>
    <w:p w14:paraId="1376DA3C" w14:textId="77777777" w:rsidR="006F5BFE" w:rsidRPr="003B2277" w:rsidRDefault="006F5BFE" w:rsidP="006F5BFE">
      <w:r w:rsidRPr="003B2277">
        <w:t>Člen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7FD608A" w14:textId="77777777" w:rsidTr="005B4D60">
        <w:trPr>
          <w:jc w:val="center"/>
        </w:trPr>
        <w:tc>
          <w:tcPr>
            <w:tcW w:w="9752" w:type="dxa"/>
            <w:gridSpan w:val="2"/>
          </w:tcPr>
          <w:p w14:paraId="519EE67E" w14:textId="77777777" w:rsidR="006F5BFE" w:rsidRPr="003B2277" w:rsidRDefault="006F5BFE" w:rsidP="005B4D60">
            <w:pPr>
              <w:keepNext/>
            </w:pPr>
          </w:p>
        </w:tc>
      </w:tr>
      <w:tr w:rsidR="006F5BFE" w:rsidRPr="003B2277" w14:paraId="694131B6" w14:textId="77777777" w:rsidTr="005B4D60">
        <w:trPr>
          <w:jc w:val="center"/>
        </w:trPr>
        <w:tc>
          <w:tcPr>
            <w:tcW w:w="4876" w:type="dxa"/>
            <w:hideMark/>
          </w:tcPr>
          <w:p w14:paraId="2E6D7622" w14:textId="77777777" w:rsidR="006F5BFE" w:rsidRPr="003B2277" w:rsidRDefault="006F5BFE" w:rsidP="005B4D60">
            <w:pPr>
              <w:pStyle w:val="ColumnHeading"/>
              <w:keepNext/>
            </w:pPr>
            <w:r w:rsidRPr="003B2277">
              <w:t>Veljavno besedilo</w:t>
            </w:r>
          </w:p>
        </w:tc>
        <w:tc>
          <w:tcPr>
            <w:tcW w:w="4876" w:type="dxa"/>
            <w:hideMark/>
          </w:tcPr>
          <w:p w14:paraId="3859D4B0" w14:textId="5D3A034D" w:rsidR="006F5BFE" w:rsidRPr="003B2277" w:rsidRDefault="003B2277" w:rsidP="005B4D60">
            <w:pPr>
              <w:pStyle w:val="ColumnHeading"/>
              <w:keepNext/>
            </w:pPr>
            <w:r>
              <w:t>Sprememba</w:t>
            </w:r>
          </w:p>
        </w:tc>
      </w:tr>
      <w:tr w:rsidR="006F5BFE" w:rsidRPr="003B2277" w14:paraId="08BD77D8" w14:textId="77777777" w:rsidTr="005B4D60">
        <w:trPr>
          <w:jc w:val="center"/>
        </w:trPr>
        <w:tc>
          <w:tcPr>
            <w:tcW w:w="4876" w:type="dxa"/>
          </w:tcPr>
          <w:p w14:paraId="051D01CA" w14:textId="77777777" w:rsidR="006F5BFE" w:rsidRPr="003B2277" w:rsidRDefault="006F5BFE" w:rsidP="005B4D60">
            <w:pPr>
              <w:pStyle w:val="Normal6"/>
            </w:pPr>
          </w:p>
        </w:tc>
        <w:tc>
          <w:tcPr>
            <w:tcW w:w="4876" w:type="dxa"/>
            <w:hideMark/>
          </w:tcPr>
          <w:p w14:paraId="44DA60B9" w14:textId="77777777" w:rsidR="006F5BFE" w:rsidRPr="003B2277" w:rsidRDefault="006F5BFE" w:rsidP="005B4D60">
            <w:pPr>
              <w:pStyle w:val="Normal6"/>
              <w:rPr>
                <w:szCs w:val="24"/>
              </w:rPr>
            </w:pPr>
            <w:r w:rsidRPr="003B2277">
              <w:rPr>
                <w:b/>
                <w:i/>
              </w:rPr>
              <w:t>(-1e)</w:t>
            </w:r>
            <w:r w:rsidRPr="003B2277">
              <w:rPr>
                <w:b/>
                <w:i/>
              </w:rPr>
              <w:tab/>
              <w:t>člen 2 se nadomesti z naslednjim:</w:t>
            </w:r>
          </w:p>
        </w:tc>
      </w:tr>
      <w:tr w:rsidR="006F5BFE" w:rsidRPr="003B2277" w14:paraId="39B9E7D0" w14:textId="77777777" w:rsidTr="005B4D60">
        <w:trPr>
          <w:jc w:val="center"/>
        </w:trPr>
        <w:tc>
          <w:tcPr>
            <w:tcW w:w="4876" w:type="dxa"/>
          </w:tcPr>
          <w:p w14:paraId="67AB5CC1" w14:textId="77777777" w:rsidR="006F5BFE" w:rsidRPr="003B2277" w:rsidRDefault="006F5BFE" w:rsidP="005B4D60">
            <w:pPr>
              <w:pStyle w:val="Normal6"/>
            </w:pPr>
            <w:r w:rsidRPr="003B2277">
              <w:t>Člen 2</w:t>
            </w:r>
          </w:p>
        </w:tc>
        <w:tc>
          <w:tcPr>
            <w:tcW w:w="4876" w:type="dxa"/>
          </w:tcPr>
          <w:p w14:paraId="3412364D" w14:textId="77777777" w:rsidR="006F5BFE" w:rsidRPr="003B2277" w:rsidRDefault="006F5BFE" w:rsidP="005B4D60">
            <w:pPr>
              <w:pStyle w:val="Normal6"/>
            </w:pPr>
            <w:r w:rsidRPr="003B2277">
              <w:rPr>
                <w:b/>
                <w:i/>
              </w:rPr>
              <w:t>„</w:t>
            </w:r>
            <w:r w:rsidRPr="003B2277">
              <w:t>Člen 2</w:t>
            </w:r>
          </w:p>
        </w:tc>
      </w:tr>
      <w:tr w:rsidR="006F5BFE" w:rsidRPr="003B2277" w14:paraId="0E390E4E" w14:textId="77777777" w:rsidTr="005B4D60">
        <w:trPr>
          <w:jc w:val="center"/>
        </w:trPr>
        <w:tc>
          <w:tcPr>
            <w:tcW w:w="4876" w:type="dxa"/>
          </w:tcPr>
          <w:p w14:paraId="2BFEE71D" w14:textId="77777777" w:rsidR="006F5BFE" w:rsidRPr="003B2277" w:rsidRDefault="006F5BFE" w:rsidP="005B4D60">
            <w:pPr>
              <w:pStyle w:val="Normal6"/>
            </w:pPr>
            <w:r w:rsidRPr="003B2277">
              <w:t>Splošne določbe o skupni kmetijski politiki (SKP)</w:t>
            </w:r>
          </w:p>
        </w:tc>
        <w:tc>
          <w:tcPr>
            <w:tcW w:w="4876" w:type="dxa"/>
          </w:tcPr>
          <w:p w14:paraId="6CF50120" w14:textId="77777777" w:rsidR="006F5BFE" w:rsidRPr="003B2277" w:rsidRDefault="006F5BFE" w:rsidP="005B4D60">
            <w:pPr>
              <w:pStyle w:val="Normal6"/>
              <w:rPr>
                <w:b/>
                <w:i/>
              </w:rPr>
            </w:pPr>
            <w:r w:rsidRPr="003B2277">
              <w:t>Splošne določbe o skupni kmetijski politiki (SKP)</w:t>
            </w:r>
          </w:p>
        </w:tc>
      </w:tr>
      <w:tr w:rsidR="006F5BFE" w:rsidRPr="003B2277" w14:paraId="3AAC29DA" w14:textId="77777777" w:rsidTr="005B4D60">
        <w:trPr>
          <w:jc w:val="center"/>
        </w:trPr>
        <w:tc>
          <w:tcPr>
            <w:tcW w:w="4876" w:type="dxa"/>
            <w:hideMark/>
          </w:tcPr>
          <w:p w14:paraId="3DE68C8B" w14:textId="77777777" w:rsidR="006F5BFE" w:rsidRPr="003B2277" w:rsidRDefault="006F5BFE" w:rsidP="005B4D60">
            <w:pPr>
              <w:pStyle w:val="Normal6"/>
            </w:pPr>
            <w:r w:rsidRPr="003B2277">
              <w:t xml:space="preserve">Uredba (EU) </w:t>
            </w:r>
            <w:r w:rsidRPr="003B2277">
              <w:rPr>
                <w:b/>
                <w:i/>
              </w:rPr>
              <w:t>št. 1306/2013</w:t>
            </w:r>
            <w:r w:rsidRPr="003B2277">
              <w:t xml:space="preserve"> in določbe, sprejete na podlagi navedene uredbe, se uporabljajo za ukrepe iz te uredbe.</w:t>
            </w:r>
          </w:p>
        </w:tc>
        <w:tc>
          <w:tcPr>
            <w:tcW w:w="4876" w:type="dxa"/>
            <w:hideMark/>
          </w:tcPr>
          <w:p w14:paraId="50AA91E7" w14:textId="77777777" w:rsidR="006F5BFE" w:rsidRPr="003B2277" w:rsidRDefault="006F5BFE" w:rsidP="005B4D60">
            <w:pPr>
              <w:pStyle w:val="Normal6"/>
              <w:rPr>
                <w:szCs w:val="24"/>
              </w:rPr>
            </w:pPr>
            <w:r w:rsidRPr="003B2277">
              <w:t xml:space="preserve">Uredba (EU) </w:t>
            </w:r>
            <w:r w:rsidRPr="003B2277">
              <w:rPr>
                <w:b/>
                <w:i/>
              </w:rPr>
              <w:t>[…/…] [horizontalna uredba]</w:t>
            </w:r>
            <w:r w:rsidRPr="003B2277">
              <w:t xml:space="preserve"> in določbe, sprejete na podlagi navedene uredbe, se uporabljajo za ukrepe iz te uredbe.</w:t>
            </w:r>
            <w:r w:rsidRPr="003B2277">
              <w:rPr>
                <w:b/>
                <w:i/>
              </w:rPr>
              <w:t>“</w:t>
            </w:r>
          </w:p>
        </w:tc>
      </w:tr>
    </w:tbl>
    <w:p w14:paraId="35A4741E" w14:textId="77777777" w:rsidR="006F5BFE" w:rsidRPr="003B2277" w:rsidRDefault="006F5BFE" w:rsidP="006F5BFE"/>
    <w:p w14:paraId="01078402" w14:textId="159D7AF7" w:rsidR="006F5BFE" w:rsidRPr="003B2277" w:rsidRDefault="003B2277" w:rsidP="006F5BFE">
      <w:pPr>
        <w:pStyle w:val="AMNumberTabs"/>
        <w:keepNext/>
      </w:pPr>
      <w:r>
        <w:t>Sprememba</w:t>
      </w:r>
      <w:r w:rsidR="006F5BFE" w:rsidRPr="003B2277">
        <w:tab/>
      </w:r>
      <w:r w:rsidR="006F5BFE" w:rsidRPr="003B2277">
        <w:tab/>
        <w:t>49</w:t>
      </w:r>
    </w:p>
    <w:p w14:paraId="186003CA" w14:textId="77777777" w:rsidR="006F5BFE" w:rsidRPr="003B2277" w:rsidRDefault="006F5BFE" w:rsidP="006F5BFE"/>
    <w:p w14:paraId="367E25AA" w14:textId="77777777" w:rsidR="006F5BFE" w:rsidRPr="003B2277" w:rsidRDefault="006F5BFE" w:rsidP="006F5BFE">
      <w:pPr>
        <w:pStyle w:val="NormalBold"/>
        <w:keepNext/>
      </w:pPr>
      <w:r w:rsidRPr="003B2277">
        <w:t>Predlog uredbe</w:t>
      </w:r>
    </w:p>
    <w:p w14:paraId="2077C277" w14:textId="77777777" w:rsidR="006F5BFE" w:rsidRPr="003B2277" w:rsidRDefault="006F5BFE" w:rsidP="006F5BFE">
      <w:pPr>
        <w:pStyle w:val="NormalBold"/>
      </w:pPr>
      <w:r w:rsidRPr="003B2277">
        <w:t>Člen 1 – odstavek 1 – točka 1 – točka b</w:t>
      </w:r>
    </w:p>
    <w:p w14:paraId="2D6C06FB" w14:textId="77777777" w:rsidR="006F5BFE" w:rsidRPr="003B2277" w:rsidRDefault="006F5BFE" w:rsidP="006F5BFE">
      <w:pPr>
        <w:keepNext/>
      </w:pPr>
      <w:r w:rsidRPr="003B2277">
        <w:t>Uredba (EU) št. 1308/2013</w:t>
      </w:r>
    </w:p>
    <w:p w14:paraId="2454840E" w14:textId="77777777" w:rsidR="006F5BFE" w:rsidRPr="003B2277" w:rsidRDefault="006F5BFE" w:rsidP="006F5BFE">
      <w:r w:rsidRPr="003B2277">
        <w:t>Člen 3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E938CB2" w14:textId="77777777" w:rsidTr="005B4D60">
        <w:trPr>
          <w:jc w:val="center"/>
        </w:trPr>
        <w:tc>
          <w:tcPr>
            <w:tcW w:w="9752" w:type="dxa"/>
            <w:gridSpan w:val="2"/>
          </w:tcPr>
          <w:p w14:paraId="595AE1C1" w14:textId="77777777" w:rsidR="006F5BFE" w:rsidRPr="003B2277" w:rsidRDefault="006F5BFE" w:rsidP="005B4D60">
            <w:pPr>
              <w:keepNext/>
            </w:pPr>
          </w:p>
        </w:tc>
      </w:tr>
      <w:tr w:rsidR="006F5BFE" w:rsidRPr="003B2277" w14:paraId="693A24B9" w14:textId="77777777" w:rsidTr="005B4D60">
        <w:trPr>
          <w:jc w:val="center"/>
        </w:trPr>
        <w:tc>
          <w:tcPr>
            <w:tcW w:w="4876" w:type="dxa"/>
            <w:hideMark/>
          </w:tcPr>
          <w:p w14:paraId="4D894B80" w14:textId="77777777" w:rsidR="006F5BFE" w:rsidRPr="003B2277" w:rsidRDefault="006F5BFE" w:rsidP="005B4D60">
            <w:pPr>
              <w:pStyle w:val="ColumnHeading"/>
              <w:keepNext/>
            </w:pPr>
            <w:r w:rsidRPr="003B2277">
              <w:t>Besedilo, ki ga predlaga Komisija</w:t>
            </w:r>
          </w:p>
        </w:tc>
        <w:tc>
          <w:tcPr>
            <w:tcW w:w="4876" w:type="dxa"/>
            <w:hideMark/>
          </w:tcPr>
          <w:p w14:paraId="2722483D" w14:textId="55830EFA" w:rsidR="006F5BFE" w:rsidRPr="003B2277" w:rsidRDefault="003B2277" w:rsidP="005B4D60">
            <w:pPr>
              <w:pStyle w:val="ColumnHeading"/>
              <w:keepNext/>
            </w:pPr>
            <w:r>
              <w:t>Sprememba</w:t>
            </w:r>
          </w:p>
        </w:tc>
      </w:tr>
      <w:tr w:rsidR="006F5BFE" w:rsidRPr="003B2277" w14:paraId="6BEEA627" w14:textId="77777777" w:rsidTr="005B4D60">
        <w:trPr>
          <w:jc w:val="center"/>
        </w:trPr>
        <w:tc>
          <w:tcPr>
            <w:tcW w:w="4876" w:type="dxa"/>
            <w:hideMark/>
          </w:tcPr>
          <w:p w14:paraId="769FC1DE" w14:textId="77777777" w:rsidR="006F5BFE" w:rsidRPr="003B2277" w:rsidRDefault="006F5BFE" w:rsidP="005B4D60">
            <w:pPr>
              <w:pStyle w:val="Normal6"/>
            </w:pPr>
            <w:r w:rsidRPr="003B2277">
              <w:t xml:space="preserve">Na Komisijo se prenese pooblastilo za sprejemanje delegiranih aktov v skladu s členom 227 </w:t>
            </w:r>
            <w:r w:rsidRPr="003B2277">
              <w:rPr>
                <w:b/>
                <w:i/>
              </w:rPr>
              <w:t>za spremembo</w:t>
            </w:r>
            <w:r w:rsidRPr="003B2277">
              <w:t xml:space="preserve"> opredelitev pojmov v zvezi s sektorji iz Priloge II, </w:t>
            </w:r>
            <w:r w:rsidRPr="003B2277">
              <w:rPr>
                <w:b/>
                <w:i/>
              </w:rPr>
              <w:t>kolikor je to potrebno za posodobitev opredelitev pojmov zaradi sprememb na trgu</w:t>
            </w:r>
            <w:r w:rsidRPr="003B2277">
              <w:t>.</w:t>
            </w:r>
          </w:p>
        </w:tc>
        <w:tc>
          <w:tcPr>
            <w:tcW w:w="4876" w:type="dxa"/>
            <w:hideMark/>
          </w:tcPr>
          <w:p w14:paraId="69DD5ABB" w14:textId="77777777" w:rsidR="006F5BFE" w:rsidRPr="003B2277" w:rsidRDefault="006F5BFE" w:rsidP="005B4D60">
            <w:pPr>
              <w:pStyle w:val="Normal6"/>
              <w:rPr>
                <w:szCs w:val="24"/>
              </w:rPr>
            </w:pPr>
            <w:r w:rsidRPr="003B2277">
              <w:t xml:space="preserve">Na Komisijo se prenese pooblastilo za sprejemanje delegiranih aktov v skladu s členom 227, </w:t>
            </w:r>
            <w:r w:rsidRPr="003B2277">
              <w:rPr>
                <w:b/>
                <w:i/>
              </w:rPr>
              <w:t>da zaradi sprememb na trgu posodobi</w:t>
            </w:r>
            <w:r w:rsidRPr="003B2277">
              <w:t xml:space="preserve"> opredelitev pojmov v zvezi s sektorji iz Priloge II, </w:t>
            </w:r>
            <w:r w:rsidRPr="003B2277">
              <w:rPr>
                <w:b/>
                <w:i/>
              </w:rPr>
              <w:t>ne da bi se pri tem oblikovale nove opredelitve pojmov</w:t>
            </w:r>
            <w:r w:rsidRPr="003B2277">
              <w:t>.</w:t>
            </w:r>
          </w:p>
        </w:tc>
      </w:tr>
    </w:tbl>
    <w:p w14:paraId="3D69076D" w14:textId="77777777" w:rsidR="006F5BFE" w:rsidRPr="003B2277" w:rsidRDefault="006F5BFE" w:rsidP="006F5BFE"/>
    <w:p w14:paraId="014EB1C0" w14:textId="1FE25DF8" w:rsidR="006F5BFE" w:rsidRPr="003B2277" w:rsidRDefault="003B2277" w:rsidP="006F5BFE">
      <w:pPr>
        <w:pStyle w:val="AMNumberTabs"/>
        <w:keepNext/>
      </w:pPr>
      <w:r>
        <w:t>Sprememba</w:t>
      </w:r>
      <w:r w:rsidR="006F5BFE" w:rsidRPr="003B2277">
        <w:tab/>
      </w:r>
      <w:r w:rsidR="006F5BFE" w:rsidRPr="003B2277">
        <w:tab/>
        <w:t>50</w:t>
      </w:r>
    </w:p>
    <w:p w14:paraId="4305BB5C" w14:textId="77777777" w:rsidR="006F5BFE" w:rsidRPr="003B2277" w:rsidRDefault="006F5BFE" w:rsidP="006F5BFE"/>
    <w:p w14:paraId="4DF1A37F" w14:textId="77777777" w:rsidR="006F5BFE" w:rsidRPr="003B2277" w:rsidRDefault="006F5BFE" w:rsidP="006F5BFE">
      <w:pPr>
        <w:pStyle w:val="NormalBold"/>
        <w:keepNext/>
      </w:pPr>
      <w:r w:rsidRPr="003B2277">
        <w:t>Predlog uredbe</w:t>
      </w:r>
    </w:p>
    <w:p w14:paraId="4A1A13BB" w14:textId="77777777" w:rsidR="006F5BFE" w:rsidRPr="003B2277" w:rsidRDefault="006F5BFE" w:rsidP="006F5BFE">
      <w:pPr>
        <w:pStyle w:val="NormalBold"/>
      </w:pPr>
      <w:r w:rsidRPr="003B2277">
        <w:t>Člen 1 – odstavek 1 – točka 3</w:t>
      </w:r>
    </w:p>
    <w:p w14:paraId="6573C98B" w14:textId="77777777" w:rsidR="006F5BFE" w:rsidRPr="003B2277" w:rsidRDefault="006F5BFE" w:rsidP="006F5BFE">
      <w:pPr>
        <w:keepNext/>
      </w:pPr>
      <w:r w:rsidRPr="003B2277">
        <w:t>Uredba (EU) št. 1308/2013</w:t>
      </w:r>
    </w:p>
    <w:p w14:paraId="2607C6D2" w14:textId="77777777" w:rsidR="006F5BFE" w:rsidRPr="003B2277" w:rsidRDefault="006F5BFE" w:rsidP="006F5BFE">
      <w:r w:rsidRPr="003B2277">
        <w:t>Člen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BF464F8" w14:textId="77777777" w:rsidTr="005B4D60">
        <w:trPr>
          <w:jc w:val="center"/>
        </w:trPr>
        <w:tc>
          <w:tcPr>
            <w:tcW w:w="9752" w:type="dxa"/>
            <w:gridSpan w:val="2"/>
          </w:tcPr>
          <w:p w14:paraId="13631A4B" w14:textId="77777777" w:rsidR="006F5BFE" w:rsidRPr="003B2277" w:rsidRDefault="006F5BFE" w:rsidP="005B4D60">
            <w:pPr>
              <w:keepNext/>
            </w:pPr>
          </w:p>
        </w:tc>
      </w:tr>
      <w:tr w:rsidR="006F5BFE" w:rsidRPr="003B2277" w14:paraId="7C80174B" w14:textId="77777777" w:rsidTr="005B4D60">
        <w:trPr>
          <w:jc w:val="center"/>
        </w:trPr>
        <w:tc>
          <w:tcPr>
            <w:tcW w:w="4876" w:type="dxa"/>
            <w:hideMark/>
          </w:tcPr>
          <w:p w14:paraId="49D26100" w14:textId="77777777" w:rsidR="006F5BFE" w:rsidRPr="003B2277" w:rsidRDefault="006F5BFE" w:rsidP="005B4D60">
            <w:pPr>
              <w:pStyle w:val="ColumnHeading"/>
              <w:keepNext/>
            </w:pPr>
            <w:r w:rsidRPr="003B2277">
              <w:t>Besedilo, ki ga predlaga Komisija</w:t>
            </w:r>
          </w:p>
        </w:tc>
        <w:tc>
          <w:tcPr>
            <w:tcW w:w="4876" w:type="dxa"/>
            <w:hideMark/>
          </w:tcPr>
          <w:p w14:paraId="26E00DD9" w14:textId="4A3BC211" w:rsidR="006F5BFE" w:rsidRPr="003B2277" w:rsidRDefault="003B2277" w:rsidP="005B4D60">
            <w:pPr>
              <w:pStyle w:val="ColumnHeading"/>
              <w:keepNext/>
            </w:pPr>
            <w:r>
              <w:t>Sprememba</w:t>
            </w:r>
          </w:p>
        </w:tc>
      </w:tr>
      <w:tr w:rsidR="006F5BFE" w:rsidRPr="003B2277" w14:paraId="597560D1" w14:textId="77777777" w:rsidTr="005B4D60">
        <w:trPr>
          <w:jc w:val="center"/>
        </w:trPr>
        <w:tc>
          <w:tcPr>
            <w:tcW w:w="4876" w:type="dxa"/>
            <w:hideMark/>
          </w:tcPr>
          <w:p w14:paraId="590A93CD" w14:textId="77777777" w:rsidR="006F5BFE" w:rsidRPr="003B2277" w:rsidRDefault="006F5BFE" w:rsidP="005B4D60">
            <w:pPr>
              <w:pStyle w:val="Normal6"/>
            </w:pPr>
            <w:r w:rsidRPr="003B2277">
              <w:rPr>
                <w:b/>
                <w:i/>
              </w:rPr>
              <w:t>(3)</w:t>
            </w:r>
            <w:r w:rsidRPr="003B2277">
              <w:rPr>
                <w:b/>
                <w:i/>
              </w:rPr>
              <w:tab/>
              <w:t>člen 6 se črta;</w:t>
            </w:r>
          </w:p>
        </w:tc>
        <w:tc>
          <w:tcPr>
            <w:tcW w:w="4876" w:type="dxa"/>
            <w:hideMark/>
          </w:tcPr>
          <w:p w14:paraId="05D50D8C" w14:textId="77777777" w:rsidR="006F5BFE" w:rsidRPr="003B2277" w:rsidRDefault="006F5BFE" w:rsidP="005B4D60">
            <w:pPr>
              <w:pStyle w:val="Normal6"/>
              <w:rPr>
                <w:szCs w:val="24"/>
              </w:rPr>
            </w:pPr>
            <w:r w:rsidRPr="003B2277">
              <w:rPr>
                <w:b/>
                <w:i/>
              </w:rPr>
              <w:t>črtano</w:t>
            </w:r>
          </w:p>
        </w:tc>
      </w:tr>
    </w:tbl>
    <w:p w14:paraId="07100B2B" w14:textId="77777777" w:rsidR="006F5BFE" w:rsidRPr="003B2277" w:rsidRDefault="006F5BFE" w:rsidP="006F5BFE"/>
    <w:p w14:paraId="0D8930EA" w14:textId="7190F13F" w:rsidR="006F5BFE" w:rsidRPr="003B2277" w:rsidRDefault="003B2277" w:rsidP="006F5BFE">
      <w:pPr>
        <w:pStyle w:val="AMNumberTabs"/>
        <w:keepNext/>
      </w:pPr>
      <w:r>
        <w:t>Sprememba</w:t>
      </w:r>
      <w:r w:rsidR="006F5BFE" w:rsidRPr="003B2277">
        <w:tab/>
      </w:r>
      <w:r w:rsidR="006F5BFE" w:rsidRPr="003B2277">
        <w:tab/>
        <w:t>51</w:t>
      </w:r>
    </w:p>
    <w:p w14:paraId="63262EA3" w14:textId="77777777" w:rsidR="006F5BFE" w:rsidRPr="003B2277" w:rsidRDefault="006F5BFE" w:rsidP="006F5BFE"/>
    <w:p w14:paraId="4AD814CE" w14:textId="77777777" w:rsidR="006F5BFE" w:rsidRPr="003B2277" w:rsidRDefault="006F5BFE" w:rsidP="006F5BFE">
      <w:pPr>
        <w:pStyle w:val="NormalBold"/>
        <w:keepNext/>
      </w:pPr>
      <w:r w:rsidRPr="003B2277">
        <w:t>Predlog uredbe</w:t>
      </w:r>
    </w:p>
    <w:p w14:paraId="5EA30AC3" w14:textId="77777777" w:rsidR="006F5BFE" w:rsidRPr="003B2277" w:rsidRDefault="006F5BFE" w:rsidP="006F5BFE">
      <w:pPr>
        <w:pStyle w:val="NormalBold"/>
      </w:pPr>
      <w:r w:rsidRPr="003B2277">
        <w:t>Člen 1 – odstavek 1 – točka 3 a (novo)</w:t>
      </w:r>
    </w:p>
    <w:p w14:paraId="2FE0B235" w14:textId="77777777" w:rsidR="006F5BFE" w:rsidRPr="003B2277" w:rsidRDefault="006F5BFE" w:rsidP="006F5BFE">
      <w:pPr>
        <w:keepNext/>
      </w:pPr>
      <w:r w:rsidRPr="003B2277">
        <w:t>Uredba (EU) št. 1308/2013</w:t>
      </w:r>
    </w:p>
    <w:p w14:paraId="5A216D26" w14:textId="77777777" w:rsidR="006F5BFE" w:rsidRPr="003B2277" w:rsidRDefault="006F5BFE" w:rsidP="006F5BFE">
      <w:r w:rsidRPr="003B2277">
        <w:t>Člen 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94C5C4E" w14:textId="77777777" w:rsidTr="005B4D60">
        <w:trPr>
          <w:jc w:val="center"/>
        </w:trPr>
        <w:tc>
          <w:tcPr>
            <w:tcW w:w="9752" w:type="dxa"/>
            <w:gridSpan w:val="2"/>
          </w:tcPr>
          <w:p w14:paraId="4F653919" w14:textId="77777777" w:rsidR="006F5BFE" w:rsidRPr="003B2277" w:rsidRDefault="006F5BFE" w:rsidP="005B4D60">
            <w:pPr>
              <w:keepNext/>
            </w:pPr>
          </w:p>
        </w:tc>
      </w:tr>
      <w:tr w:rsidR="006F5BFE" w:rsidRPr="003B2277" w14:paraId="145107E3" w14:textId="77777777" w:rsidTr="005B4D60">
        <w:trPr>
          <w:jc w:val="center"/>
        </w:trPr>
        <w:tc>
          <w:tcPr>
            <w:tcW w:w="4876" w:type="dxa"/>
            <w:hideMark/>
          </w:tcPr>
          <w:p w14:paraId="017E0F94" w14:textId="77777777" w:rsidR="006F5BFE" w:rsidRPr="003B2277" w:rsidRDefault="006F5BFE" w:rsidP="005B4D60">
            <w:pPr>
              <w:pStyle w:val="ColumnHeading"/>
              <w:keepNext/>
            </w:pPr>
            <w:r w:rsidRPr="003B2277">
              <w:t>Veljavno besedilo</w:t>
            </w:r>
          </w:p>
        </w:tc>
        <w:tc>
          <w:tcPr>
            <w:tcW w:w="4876" w:type="dxa"/>
            <w:hideMark/>
          </w:tcPr>
          <w:p w14:paraId="5C286254" w14:textId="6083ED61" w:rsidR="006F5BFE" w:rsidRPr="003B2277" w:rsidRDefault="003B2277" w:rsidP="005B4D60">
            <w:pPr>
              <w:pStyle w:val="ColumnHeading"/>
              <w:keepNext/>
            </w:pPr>
            <w:r>
              <w:t>Sprememba</w:t>
            </w:r>
          </w:p>
        </w:tc>
      </w:tr>
      <w:tr w:rsidR="006F5BFE" w:rsidRPr="003B2277" w14:paraId="541979F5" w14:textId="77777777" w:rsidTr="005B4D60">
        <w:trPr>
          <w:jc w:val="center"/>
        </w:trPr>
        <w:tc>
          <w:tcPr>
            <w:tcW w:w="4876" w:type="dxa"/>
          </w:tcPr>
          <w:p w14:paraId="03A84677" w14:textId="77777777" w:rsidR="006F5BFE" w:rsidRPr="003B2277" w:rsidRDefault="006F5BFE" w:rsidP="005B4D60">
            <w:pPr>
              <w:pStyle w:val="Normal6"/>
            </w:pPr>
          </w:p>
        </w:tc>
        <w:tc>
          <w:tcPr>
            <w:tcW w:w="4876" w:type="dxa"/>
            <w:hideMark/>
          </w:tcPr>
          <w:p w14:paraId="69A40324" w14:textId="77777777" w:rsidR="006F5BFE" w:rsidRPr="003B2277" w:rsidRDefault="006F5BFE" w:rsidP="005B4D60">
            <w:pPr>
              <w:pStyle w:val="Normal6"/>
              <w:rPr>
                <w:szCs w:val="24"/>
              </w:rPr>
            </w:pPr>
            <w:r w:rsidRPr="003B2277">
              <w:rPr>
                <w:b/>
                <w:i/>
              </w:rPr>
              <w:t>(3a)</w:t>
            </w:r>
            <w:r w:rsidRPr="003B2277">
              <w:rPr>
                <w:b/>
                <w:i/>
              </w:rPr>
              <w:tab/>
              <w:t>člen 6 se nadomesti z naslednjim:</w:t>
            </w:r>
          </w:p>
        </w:tc>
      </w:tr>
      <w:tr w:rsidR="006F5BFE" w:rsidRPr="003B2277" w14:paraId="4CDF32DF" w14:textId="77777777" w:rsidTr="005B4D60">
        <w:trPr>
          <w:jc w:val="center"/>
        </w:trPr>
        <w:tc>
          <w:tcPr>
            <w:tcW w:w="4876" w:type="dxa"/>
            <w:hideMark/>
          </w:tcPr>
          <w:p w14:paraId="70688BD6" w14:textId="77777777" w:rsidR="006F5BFE" w:rsidRPr="003B2277" w:rsidRDefault="006F5BFE" w:rsidP="005B4D60">
            <w:pPr>
              <w:pStyle w:val="Normal6"/>
            </w:pPr>
            <w:r w:rsidRPr="003B2277">
              <w:t>Člen 6</w:t>
            </w:r>
          </w:p>
        </w:tc>
        <w:tc>
          <w:tcPr>
            <w:tcW w:w="4876" w:type="dxa"/>
            <w:hideMark/>
          </w:tcPr>
          <w:p w14:paraId="75C976CB" w14:textId="77777777" w:rsidR="006F5BFE" w:rsidRPr="003B2277" w:rsidRDefault="006F5BFE" w:rsidP="005B4D60">
            <w:pPr>
              <w:pStyle w:val="Normal6"/>
              <w:rPr>
                <w:szCs w:val="24"/>
              </w:rPr>
            </w:pPr>
            <w:r w:rsidRPr="003B2277">
              <w:rPr>
                <w:b/>
                <w:i/>
              </w:rPr>
              <w:t>„</w:t>
            </w:r>
            <w:r w:rsidRPr="003B2277">
              <w:t>Člen 6</w:t>
            </w:r>
          </w:p>
        </w:tc>
      </w:tr>
      <w:tr w:rsidR="006F5BFE" w:rsidRPr="003B2277" w14:paraId="160E70CA" w14:textId="77777777" w:rsidTr="005B4D60">
        <w:trPr>
          <w:jc w:val="center"/>
        </w:trPr>
        <w:tc>
          <w:tcPr>
            <w:tcW w:w="4876" w:type="dxa"/>
            <w:hideMark/>
          </w:tcPr>
          <w:p w14:paraId="29AF68DC" w14:textId="77777777" w:rsidR="006F5BFE" w:rsidRPr="003B2277" w:rsidRDefault="006F5BFE" w:rsidP="005B4D60">
            <w:pPr>
              <w:pStyle w:val="Normal6"/>
            </w:pPr>
            <w:r w:rsidRPr="003B2277">
              <w:t>Tržna leta</w:t>
            </w:r>
          </w:p>
        </w:tc>
        <w:tc>
          <w:tcPr>
            <w:tcW w:w="4876" w:type="dxa"/>
            <w:hideMark/>
          </w:tcPr>
          <w:p w14:paraId="49567D37" w14:textId="77777777" w:rsidR="006F5BFE" w:rsidRPr="003B2277" w:rsidRDefault="006F5BFE" w:rsidP="005B4D60">
            <w:pPr>
              <w:pStyle w:val="Normal6"/>
              <w:rPr>
                <w:szCs w:val="24"/>
              </w:rPr>
            </w:pPr>
            <w:r w:rsidRPr="003B2277">
              <w:t>Tržna leta</w:t>
            </w:r>
          </w:p>
        </w:tc>
      </w:tr>
      <w:tr w:rsidR="006F5BFE" w:rsidRPr="003B2277" w14:paraId="5C64C44F" w14:textId="77777777" w:rsidTr="005B4D60">
        <w:trPr>
          <w:jc w:val="center"/>
        </w:trPr>
        <w:tc>
          <w:tcPr>
            <w:tcW w:w="4876" w:type="dxa"/>
            <w:hideMark/>
          </w:tcPr>
          <w:p w14:paraId="4309A5A3" w14:textId="77777777" w:rsidR="006F5BFE" w:rsidRPr="003B2277" w:rsidRDefault="006F5BFE" w:rsidP="005B4D60">
            <w:pPr>
              <w:pStyle w:val="Normal6"/>
            </w:pPr>
            <w:r w:rsidRPr="003B2277">
              <w:t>Določijo se naslednja tržna leta:</w:t>
            </w:r>
          </w:p>
        </w:tc>
        <w:tc>
          <w:tcPr>
            <w:tcW w:w="4876" w:type="dxa"/>
            <w:hideMark/>
          </w:tcPr>
          <w:p w14:paraId="64243727" w14:textId="77777777" w:rsidR="006F5BFE" w:rsidRPr="003B2277" w:rsidRDefault="006F5BFE" w:rsidP="005B4D60">
            <w:pPr>
              <w:pStyle w:val="Normal6"/>
              <w:rPr>
                <w:szCs w:val="24"/>
              </w:rPr>
            </w:pPr>
            <w:r w:rsidRPr="003B2277">
              <w:t>Določijo se naslednja tržna leta:</w:t>
            </w:r>
          </w:p>
        </w:tc>
      </w:tr>
      <w:tr w:rsidR="006F5BFE" w:rsidRPr="003B2277" w14:paraId="7DA99BB2" w14:textId="77777777" w:rsidTr="005B4D60">
        <w:trPr>
          <w:jc w:val="center"/>
        </w:trPr>
        <w:tc>
          <w:tcPr>
            <w:tcW w:w="4876" w:type="dxa"/>
            <w:hideMark/>
          </w:tcPr>
          <w:p w14:paraId="20CBEF2E" w14:textId="77777777" w:rsidR="006F5BFE" w:rsidRPr="003B2277" w:rsidRDefault="006F5BFE" w:rsidP="005B4D60">
            <w:pPr>
              <w:pStyle w:val="Normal6"/>
            </w:pPr>
            <w:r w:rsidRPr="003B2277">
              <w:t>(a) od 1. januarja do 31. decembra posameznega leta za sektor sadja in zelenjave, predelanega sadja in zelenjave ter banan;</w:t>
            </w:r>
          </w:p>
        </w:tc>
        <w:tc>
          <w:tcPr>
            <w:tcW w:w="4876" w:type="dxa"/>
            <w:hideMark/>
          </w:tcPr>
          <w:p w14:paraId="4AA38171" w14:textId="77777777" w:rsidR="006F5BFE" w:rsidRPr="003B2277" w:rsidRDefault="006F5BFE" w:rsidP="005B4D60">
            <w:pPr>
              <w:pStyle w:val="Normal6"/>
              <w:rPr>
                <w:szCs w:val="24"/>
              </w:rPr>
            </w:pPr>
            <w:r w:rsidRPr="003B2277">
              <w:t>(a) od 1. januarja do 31. decembra posameznega leta za sektor sadja in zelenjave, predelanega sadja in zelenjave ter banan;</w:t>
            </w:r>
          </w:p>
        </w:tc>
      </w:tr>
      <w:tr w:rsidR="006F5BFE" w:rsidRPr="003B2277" w14:paraId="7E7EBD4A" w14:textId="77777777" w:rsidTr="005B4D60">
        <w:trPr>
          <w:jc w:val="center"/>
        </w:trPr>
        <w:tc>
          <w:tcPr>
            <w:tcW w:w="4876" w:type="dxa"/>
            <w:hideMark/>
          </w:tcPr>
          <w:p w14:paraId="6EC6FF16" w14:textId="77777777" w:rsidR="006F5BFE" w:rsidRPr="003B2277" w:rsidRDefault="006F5BFE" w:rsidP="005B4D60">
            <w:pPr>
              <w:pStyle w:val="Normal6"/>
            </w:pPr>
            <w:r w:rsidRPr="003B2277">
              <w:t>(b) od 1. aprila do 31. marca naslednjega leta za sektor posušene krme in sektor sviloprejk;</w:t>
            </w:r>
          </w:p>
        </w:tc>
        <w:tc>
          <w:tcPr>
            <w:tcW w:w="4876" w:type="dxa"/>
            <w:hideMark/>
          </w:tcPr>
          <w:p w14:paraId="6334DFE8" w14:textId="77777777" w:rsidR="006F5BFE" w:rsidRPr="003B2277" w:rsidRDefault="006F5BFE" w:rsidP="005B4D60">
            <w:pPr>
              <w:pStyle w:val="Normal6"/>
              <w:rPr>
                <w:szCs w:val="24"/>
              </w:rPr>
            </w:pPr>
            <w:r w:rsidRPr="003B2277">
              <w:t>(b) od 1. aprila do 31. marca naslednjega leta za sektor posušene krme in sektor sviloprejk;</w:t>
            </w:r>
          </w:p>
        </w:tc>
      </w:tr>
      <w:tr w:rsidR="006F5BFE" w:rsidRPr="003B2277" w14:paraId="552F2530" w14:textId="77777777" w:rsidTr="005B4D60">
        <w:trPr>
          <w:jc w:val="center"/>
        </w:trPr>
        <w:tc>
          <w:tcPr>
            <w:tcW w:w="4876" w:type="dxa"/>
            <w:hideMark/>
          </w:tcPr>
          <w:p w14:paraId="5F30C34E" w14:textId="77777777" w:rsidR="006F5BFE" w:rsidRPr="003B2277" w:rsidRDefault="006F5BFE" w:rsidP="005B4D60">
            <w:pPr>
              <w:pStyle w:val="Normal6"/>
            </w:pPr>
            <w:r w:rsidRPr="003B2277">
              <w:t>(c) od 1. julija do 30. junija naslednjega leta za:</w:t>
            </w:r>
          </w:p>
        </w:tc>
        <w:tc>
          <w:tcPr>
            <w:tcW w:w="4876" w:type="dxa"/>
            <w:hideMark/>
          </w:tcPr>
          <w:p w14:paraId="6CC17840" w14:textId="77777777" w:rsidR="006F5BFE" w:rsidRPr="003B2277" w:rsidRDefault="006F5BFE" w:rsidP="005B4D60">
            <w:pPr>
              <w:pStyle w:val="Normal6"/>
              <w:rPr>
                <w:szCs w:val="24"/>
              </w:rPr>
            </w:pPr>
            <w:r w:rsidRPr="003B2277">
              <w:t>(c) od 1. julija do 30. junija naslednjega leta za:</w:t>
            </w:r>
          </w:p>
        </w:tc>
      </w:tr>
      <w:tr w:rsidR="006F5BFE" w:rsidRPr="003B2277" w14:paraId="027DB0DF" w14:textId="77777777" w:rsidTr="005B4D60">
        <w:trPr>
          <w:jc w:val="center"/>
        </w:trPr>
        <w:tc>
          <w:tcPr>
            <w:tcW w:w="4876" w:type="dxa"/>
            <w:hideMark/>
          </w:tcPr>
          <w:p w14:paraId="0CB278AF" w14:textId="77777777" w:rsidR="006F5BFE" w:rsidRPr="003B2277" w:rsidRDefault="006F5BFE" w:rsidP="005B4D60">
            <w:pPr>
              <w:pStyle w:val="Normal6"/>
            </w:pPr>
            <w:r w:rsidRPr="003B2277">
              <w:t>(i) sektor žit;</w:t>
            </w:r>
          </w:p>
        </w:tc>
        <w:tc>
          <w:tcPr>
            <w:tcW w:w="4876" w:type="dxa"/>
            <w:hideMark/>
          </w:tcPr>
          <w:p w14:paraId="35CC87AC" w14:textId="77777777" w:rsidR="006F5BFE" w:rsidRPr="003B2277" w:rsidRDefault="006F5BFE" w:rsidP="005B4D60">
            <w:pPr>
              <w:pStyle w:val="Normal6"/>
              <w:rPr>
                <w:szCs w:val="24"/>
              </w:rPr>
            </w:pPr>
            <w:r w:rsidRPr="003B2277">
              <w:t>(i) sektor žit;</w:t>
            </w:r>
          </w:p>
        </w:tc>
      </w:tr>
      <w:tr w:rsidR="006F5BFE" w:rsidRPr="003B2277" w14:paraId="1DF2B23B" w14:textId="77777777" w:rsidTr="005B4D60">
        <w:trPr>
          <w:jc w:val="center"/>
        </w:trPr>
        <w:tc>
          <w:tcPr>
            <w:tcW w:w="4876" w:type="dxa"/>
            <w:hideMark/>
          </w:tcPr>
          <w:p w14:paraId="2AF71741" w14:textId="77777777" w:rsidR="006F5BFE" w:rsidRPr="003B2277" w:rsidRDefault="006F5BFE" w:rsidP="005B4D60">
            <w:pPr>
              <w:pStyle w:val="Normal6"/>
            </w:pPr>
            <w:r w:rsidRPr="003B2277">
              <w:t>(ii) semena;</w:t>
            </w:r>
          </w:p>
        </w:tc>
        <w:tc>
          <w:tcPr>
            <w:tcW w:w="4876" w:type="dxa"/>
            <w:hideMark/>
          </w:tcPr>
          <w:p w14:paraId="6443F3F4" w14:textId="77777777" w:rsidR="006F5BFE" w:rsidRPr="003B2277" w:rsidRDefault="006F5BFE" w:rsidP="005B4D60">
            <w:pPr>
              <w:pStyle w:val="Normal6"/>
              <w:rPr>
                <w:szCs w:val="24"/>
              </w:rPr>
            </w:pPr>
            <w:r w:rsidRPr="003B2277">
              <w:t>(ii) semena;</w:t>
            </w:r>
          </w:p>
        </w:tc>
      </w:tr>
      <w:tr w:rsidR="006F5BFE" w:rsidRPr="003B2277" w14:paraId="33EEED09" w14:textId="77777777" w:rsidTr="005B4D60">
        <w:trPr>
          <w:jc w:val="center"/>
        </w:trPr>
        <w:tc>
          <w:tcPr>
            <w:tcW w:w="4876" w:type="dxa"/>
            <w:hideMark/>
          </w:tcPr>
          <w:p w14:paraId="02AC4C11" w14:textId="77777777" w:rsidR="006F5BFE" w:rsidRPr="003B2277" w:rsidRDefault="006F5BFE" w:rsidP="005B4D60">
            <w:pPr>
              <w:pStyle w:val="Normal6"/>
            </w:pPr>
            <w:r w:rsidRPr="003B2277">
              <w:t xml:space="preserve">(iii) </w:t>
            </w:r>
            <w:r w:rsidRPr="003B2277">
              <w:rPr>
                <w:b/>
                <w:i/>
              </w:rPr>
              <w:t>sektor oljčnega olja in namiznih oljk;</w:t>
            </w:r>
          </w:p>
        </w:tc>
        <w:tc>
          <w:tcPr>
            <w:tcW w:w="4876" w:type="dxa"/>
            <w:hideMark/>
          </w:tcPr>
          <w:p w14:paraId="26EED85B" w14:textId="77777777" w:rsidR="006F5BFE" w:rsidRPr="003B2277" w:rsidRDefault="006F5BFE" w:rsidP="005B4D60">
            <w:pPr>
              <w:pStyle w:val="Normal6"/>
              <w:rPr>
                <w:szCs w:val="24"/>
              </w:rPr>
            </w:pPr>
            <w:r w:rsidRPr="003B2277">
              <w:t>(iii) sektor lana in konoplje;</w:t>
            </w:r>
          </w:p>
        </w:tc>
      </w:tr>
      <w:tr w:rsidR="006F5BFE" w:rsidRPr="003B2277" w14:paraId="0EE1CB50" w14:textId="77777777" w:rsidTr="005B4D60">
        <w:trPr>
          <w:jc w:val="center"/>
        </w:trPr>
        <w:tc>
          <w:tcPr>
            <w:tcW w:w="4876" w:type="dxa"/>
            <w:hideMark/>
          </w:tcPr>
          <w:p w14:paraId="700831CE" w14:textId="77777777" w:rsidR="006F5BFE" w:rsidRPr="003B2277" w:rsidRDefault="006F5BFE" w:rsidP="005B4D60">
            <w:pPr>
              <w:pStyle w:val="Normal6"/>
            </w:pPr>
            <w:r w:rsidRPr="003B2277">
              <w:rPr>
                <w:b/>
                <w:i/>
              </w:rPr>
              <w:t xml:space="preserve">(iv) </w:t>
            </w:r>
            <w:r w:rsidRPr="003B2277">
              <w:t>sektor lana in konoplje;</w:t>
            </w:r>
          </w:p>
        </w:tc>
        <w:tc>
          <w:tcPr>
            <w:tcW w:w="4876" w:type="dxa"/>
            <w:hideMark/>
          </w:tcPr>
          <w:p w14:paraId="056BAD3E" w14:textId="77777777" w:rsidR="006F5BFE" w:rsidRPr="003B2277" w:rsidRDefault="006F5BFE" w:rsidP="005B4D60">
            <w:pPr>
              <w:pStyle w:val="Normal6"/>
              <w:rPr>
                <w:szCs w:val="24"/>
              </w:rPr>
            </w:pPr>
            <w:r w:rsidRPr="003B2277">
              <w:rPr>
                <w:b/>
                <w:i/>
              </w:rPr>
              <w:t>(iv)</w:t>
            </w:r>
            <w:r w:rsidRPr="003B2277">
              <w:t xml:space="preserve"> sektor mleka in mlečnih proizvodov;</w:t>
            </w:r>
          </w:p>
        </w:tc>
      </w:tr>
      <w:tr w:rsidR="006F5BFE" w:rsidRPr="003B2277" w14:paraId="430D8EF8" w14:textId="77777777" w:rsidTr="005B4D60">
        <w:trPr>
          <w:jc w:val="center"/>
        </w:trPr>
        <w:tc>
          <w:tcPr>
            <w:tcW w:w="4876" w:type="dxa"/>
            <w:hideMark/>
          </w:tcPr>
          <w:p w14:paraId="074180DA" w14:textId="77777777" w:rsidR="006F5BFE" w:rsidRPr="003B2277" w:rsidRDefault="006F5BFE" w:rsidP="005B4D60">
            <w:pPr>
              <w:pStyle w:val="Normal6"/>
            </w:pPr>
            <w:r w:rsidRPr="003B2277">
              <w:rPr>
                <w:b/>
                <w:i/>
              </w:rPr>
              <w:t>(v)</w:t>
            </w:r>
            <w:r w:rsidRPr="003B2277">
              <w:t xml:space="preserve"> sektor mleka in mlečnih proizvodov;</w:t>
            </w:r>
          </w:p>
        </w:tc>
        <w:tc>
          <w:tcPr>
            <w:tcW w:w="4876" w:type="dxa"/>
          </w:tcPr>
          <w:p w14:paraId="76F8D4ED" w14:textId="77777777" w:rsidR="006F5BFE" w:rsidRPr="003B2277" w:rsidRDefault="006F5BFE" w:rsidP="005B4D60">
            <w:pPr>
              <w:pStyle w:val="Normal6"/>
              <w:rPr>
                <w:szCs w:val="24"/>
              </w:rPr>
            </w:pPr>
          </w:p>
        </w:tc>
      </w:tr>
      <w:tr w:rsidR="006F5BFE" w:rsidRPr="003B2277" w14:paraId="50EBEF4D" w14:textId="77777777" w:rsidTr="005B4D60">
        <w:trPr>
          <w:jc w:val="center"/>
        </w:trPr>
        <w:tc>
          <w:tcPr>
            <w:tcW w:w="4876" w:type="dxa"/>
          </w:tcPr>
          <w:p w14:paraId="7A329822" w14:textId="77777777" w:rsidR="006F5BFE" w:rsidRPr="003B2277" w:rsidRDefault="006F5BFE" w:rsidP="005B4D60">
            <w:pPr>
              <w:pStyle w:val="Normal6"/>
              <w:rPr>
                <w:b/>
                <w:i/>
              </w:rPr>
            </w:pPr>
            <w:r w:rsidRPr="003B2277">
              <w:t>(d) od 1. avgusta do 31. julija naslednjega leta za vinski sektor;</w:t>
            </w:r>
          </w:p>
        </w:tc>
        <w:tc>
          <w:tcPr>
            <w:tcW w:w="4876" w:type="dxa"/>
          </w:tcPr>
          <w:p w14:paraId="02033A9B" w14:textId="77777777" w:rsidR="006F5BFE" w:rsidRPr="003B2277" w:rsidRDefault="006F5BFE" w:rsidP="005B4D60">
            <w:pPr>
              <w:pStyle w:val="Normal6"/>
            </w:pPr>
            <w:r w:rsidRPr="003B2277">
              <w:t>(d) od 1. avgusta do 31. julija naslednjega leta za vinski sektor;</w:t>
            </w:r>
          </w:p>
        </w:tc>
      </w:tr>
      <w:tr w:rsidR="006F5BFE" w:rsidRPr="003B2277" w14:paraId="3726CE37" w14:textId="77777777" w:rsidTr="005B4D60">
        <w:trPr>
          <w:jc w:val="center"/>
        </w:trPr>
        <w:tc>
          <w:tcPr>
            <w:tcW w:w="4876" w:type="dxa"/>
          </w:tcPr>
          <w:p w14:paraId="06483026" w14:textId="77777777" w:rsidR="006F5BFE" w:rsidRPr="003B2277" w:rsidRDefault="006F5BFE" w:rsidP="005B4D60">
            <w:pPr>
              <w:pStyle w:val="Normal6"/>
            </w:pPr>
            <w:r w:rsidRPr="003B2277">
              <w:t>(e) od 1. septembra do 31. avgusta naslednjega leta za sektor riža;</w:t>
            </w:r>
          </w:p>
        </w:tc>
        <w:tc>
          <w:tcPr>
            <w:tcW w:w="4876" w:type="dxa"/>
            <w:hideMark/>
          </w:tcPr>
          <w:p w14:paraId="1A6BDDC0" w14:textId="77777777" w:rsidR="006F5BFE" w:rsidRPr="003B2277" w:rsidRDefault="006F5BFE" w:rsidP="005B4D60">
            <w:pPr>
              <w:pStyle w:val="Normal6"/>
              <w:rPr>
                <w:szCs w:val="24"/>
              </w:rPr>
            </w:pPr>
            <w:r w:rsidRPr="003B2277">
              <w:t>(e) od 1. septembra do 31. avgusta naslednjega leta za sektor riža</w:t>
            </w:r>
            <w:r w:rsidRPr="003B2277">
              <w:rPr>
                <w:b/>
                <w:i/>
              </w:rPr>
              <w:t xml:space="preserve"> in sektor namiznih oljk</w:t>
            </w:r>
            <w:r w:rsidRPr="003B2277">
              <w:t>;</w:t>
            </w:r>
          </w:p>
        </w:tc>
      </w:tr>
      <w:tr w:rsidR="006F5BFE" w:rsidRPr="003B2277" w14:paraId="0F2C772E" w14:textId="77777777" w:rsidTr="005B4D60">
        <w:trPr>
          <w:jc w:val="center"/>
        </w:trPr>
        <w:tc>
          <w:tcPr>
            <w:tcW w:w="4876" w:type="dxa"/>
          </w:tcPr>
          <w:p w14:paraId="66C1E80C" w14:textId="77777777" w:rsidR="006F5BFE" w:rsidRPr="003B2277" w:rsidRDefault="006F5BFE" w:rsidP="005B4D60">
            <w:pPr>
              <w:pStyle w:val="Normal6"/>
            </w:pPr>
            <w:r w:rsidRPr="003B2277">
              <w:t>(f) od 1. oktobra do 30. septembra naslednjega leta za sektor sladkorja</w:t>
            </w:r>
            <w:r w:rsidRPr="003B2277">
              <w:rPr>
                <w:b/>
                <w:i/>
              </w:rPr>
              <w:t>.</w:t>
            </w:r>
          </w:p>
        </w:tc>
        <w:tc>
          <w:tcPr>
            <w:tcW w:w="4876" w:type="dxa"/>
            <w:hideMark/>
          </w:tcPr>
          <w:p w14:paraId="37F00CEB" w14:textId="75EACBCA" w:rsidR="006F5BFE" w:rsidRPr="003B2277" w:rsidRDefault="006F5BFE" w:rsidP="005B4D60">
            <w:pPr>
              <w:pStyle w:val="Normal6"/>
              <w:rPr>
                <w:szCs w:val="24"/>
              </w:rPr>
            </w:pPr>
            <w:r w:rsidRPr="003B2277">
              <w:t>(f) od 1. oktobra do 30. septembra naslednjega leta za sektor sladkorja</w:t>
            </w:r>
            <w:r w:rsidRPr="003B2277">
              <w:rPr>
                <w:b/>
                <w:i/>
              </w:rPr>
              <w:t xml:space="preserve"> in sektor oljčnega olja.“</w:t>
            </w:r>
          </w:p>
        </w:tc>
      </w:tr>
    </w:tbl>
    <w:p w14:paraId="60362DBB" w14:textId="77777777" w:rsidR="006F5BFE" w:rsidRPr="003B2277" w:rsidRDefault="006F5BFE" w:rsidP="006F5BFE"/>
    <w:p w14:paraId="198538A0" w14:textId="403686DE" w:rsidR="006F5BFE" w:rsidRPr="003B2277" w:rsidRDefault="003B2277" w:rsidP="006F5BFE">
      <w:pPr>
        <w:pStyle w:val="AMNumberTabs"/>
        <w:keepNext/>
      </w:pPr>
      <w:r>
        <w:t>Sprememba</w:t>
      </w:r>
      <w:r w:rsidR="006F5BFE" w:rsidRPr="003B2277">
        <w:tab/>
      </w:r>
      <w:r w:rsidR="006F5BFE" w:rsidRPr="003B2277">
        <w:tab/>
        <w:t>52</w:t>
      </w:r>
    </w:p>
    <w:p w14:paraId="26DA15DD" w14:textId="77777777" w:rsidR="006F5BFE" w:rsidRPr="003B2277" w:rsidRDefault="006F5BFE" w:rsidP="006F5BFE"/>
    <w:p w14:paraId="17857A8E" w14:textId="77777777" w:rsidR="006F5BFE" w:rsidRPr="003B2277" w:rsidRDefault="006F5BFE" w:rsidP="006F5BFE">
      <w:pPr>
        <w:pStyle w:val="NormalBold"/>
        <w:keepNext/>
      </w:pPr>
      <w:r w:rsidRPr="003B2277">
        <w:t>Predlog uredbe</w:t>
      </w:r>
    </w:p>
    <w:p w14:paraId="76BB670F" w14:textId="77777777" w:rsidR="006F5BFE" w:rsidRPr="003B2277" w:rsidRDefault="006F5BFE" w:rsidP="006F5BFE">
      <w:pPr>
        <w:pStyle w:val="NormalBold"/>
      </w:pPr>
      <w:r w:rsidRPr="003B2277">
        <w:t>Člen 1 – odstavek 1 – točka 3 b (novo)</w:t>
      </w:r>
    </w:p>
    <w:p w14:paraId="0E6DA39D" w14:textId="77777777" w:rsidR="006F5BFE" w:rsidRPr="003B2277" w:rsidRDefault="006F5BFE" w:rsidP="006F5BFE">
      <w:pPr>
        <w:keepNext/>
      </w:pPr>
      <w:r w:rsidRPr="003B2277">
        <w:t>Uredba (EU) št. 1308/2013</w:t>
      </w:r>
    </w:p>
    <w:p w14:paraId="1F2A6693" w14:textId="77777777" w:rsidR="006F5BFE" w:rsidRPr="003B2277" w:rsidRDefault="006F5BFE" w:rsidP="006F5BFE">
      <w:r w:rsidRPr="003B2277">
        <w:t>Člen 11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F89FFB0" w14:textId="77777777" w:rsidTr="005B4D60">
        <w:trPr>
          <w:jc w:val="center"/>
        </w:trPr>
        <w:tc>
          <w:tcPr>
            <w:tcW w:w="9752" w:type="dxa"/>
            <w:gridSpan w:val="2"/>
          </w:tcPr>
          <w:p w14:paraId="38ADD325" w14:textId="77777777" w:rsidR="006F5BFE" w:rsidRPr="003B2277" w:rsidRDefault="006F5BFE" w:rsidP="005B4D60">
            <w:pPr>
              <w:keepNext/>
            </w:pPr>
          </w:p>
        </w:tc>
      </w:tr>
      <w:tr w:rsidR="006F5BFE" w:rsidRPr="003B2277" w14:paraId="02C0D6C3" w14:textId="77777777" w:rsidTr="005B4D60">
        <w:trPr>
          <w:jc w:val="center"/>
        </w:trPr>
        <w:tc>
          <w:tcPr>
            <w:tcW w:w="4876" w:type="dxa"/>
            <w:hideMark/>
          </w:tcPr>
          <w:p w14:paraId="6C230D8D" w14:textId="77777777" w:rsidR="006F5BFE" w:rsidRPr="003B2277" w:rsidRDefault="006F5BFE" w:rsidP="005B4D60">
            <w:pPr>
              <w:pStyle w:val="ColumnHeading"/>
              <w:keepNext/>
            </w:pPr>
            <w:r w:rsidRPr="003B2277">
              <w:t>Veljavno besedilo</w:t>
            </w:r>
          </w:p>
        </w:tc>
        <w:tc>
          <w:tcPr>
            <w:tcW w:w="4876" w:type="dxa"/>
            <w:hideMark/>
          </w:tcPr>
          <w:p w14:paraId="17CBDBED" w14:textId="06E0CA51" w:rsidR="006F5BFE" w:rsidRPr="003B2277" w:rsidRDefault="003B2277" w:rsidP="005B4D60">
            <w:pPr>
              <w:pStyle w:val="ColumnHeading"/>
              <w:keepNext/>
            </w:pPr>
            <w:r>
              <w:t>Sprememba</w:t>
            </w:r>
          </w:p>
        </w:tc>
      </w:tr>
      <w:tr w:rsidR="006F5BFE" w:rsidRPr="003B2277" w14:paraId="56A0B745" w14:textId="77777777" w:rsidTr="005B4D60">
        <w:trPr>
          <w:jc w:val="center"/>
        </w:trPr>
        <w:tc>
          <w:tcPr>
            <w:tcW w:w="4876" w:type="dxa"/>
          </w:tcPr>
          <w:p w14:paraId="3AFBAB24" w14:textId="77777777" w:rsidR="006F5BFE" w:rsidRPr="003B2277" w:rsidRDefault="006F5BFE" w:rsidP="005B4D60">
            <w:pPr>
              <w:pStyle w:val="Normal6"/>
            </w:pPr>
          </w:p>
        </w:tc>
        <w:tc>
          <w:tcPr>
            <w:tcW w:w="4876" w:type="dxa"/>
            <w:hideMark/>
          </w:tcPr>
          <w:p w14:paraId="63E155AD" w14:textId="77777777" w:rsidR="006F5BFE" w:rsidRPr="003B2277" w:rsidRDefault="006F5BFE" w:rsidP="005B4D60">
            <w:pPr>
              <w:pStyle w:val="Normal6"/>
              <w:rPr>
                <w:szCs w:val="24"/>
              </w:rPr>
            </w:pPr>
            <w:r w:rsidRPr="003B2277">
              <w:rPr>
                <w:b/>
                <w:i/>
              </w:rPr>
              <w:t>(3b)</w:t>
            </w:r>
            <w:r w:rsidRPr="003B2277">
              <w:rPr>
                <w:b/>
                <w:i/>
              </w:rPr>
              <w:tab/>
              <w:t>člen 11 se nadomesti z naslednjim:</w:t>
            </w:r>
          </w:p>
        </w:tc>
      </w:tr>
      <w:tr w:rsidR="006F5BFE" w:rsidRPr="003B2277" w14:paraId="2E632C4A" w14:textId="77777777" w:rsidTr="005B4D60">
        <w:trPr>
          <w:jc w:val="center"/>
        </w:trPr>
        <w:tc>
          <w:tcPr>
            <w:tcW w:w="4876" w:type="dxa"/>
            <w:hideMark/>
          </w:tcPr>
          <w:p w14:paraId="6EA3C1B5" w14:textId="77777777" w:rsidR="006F5BFE" w:rsidRPr="003B2277" w:rsidRDefault="006F5BFE" w:rsidP="005B4D60">
            <w:pPr>
              <w:pStyle w:val="Normal6"/>
            </w:pPr>
            <w:r w:rsidRPr="003B2277">
              <w:t>Člen 11</w:t>
            </w:r>
          </w:p>
        </w:tc>
        <w:tc>
          <w:tcPr>
            <w:tcW w:w="4876" w:type="dxa"/>
            <w:hideMark/>
          </w:tcPr>
          <w:p w14:paraId="1B4B2F52" w14:textId="77777777" w:rsidR="006F5BFE" w:rsidRPr="003B2277" w:rsidRDefault="006F5BFE" w:rsidP="005B4D60">
            <w:pPr>
              <w:pStyle w:val="Normal6"/>
              <w:rPr>
                <w:szCs w:val="24"/>
              </w:rPr>
            </w:pPr>
            <w:r w:rsidRPr="003B2277">
              <w:rPr>
                <w:b/>
                <w:i/>
              </w:rPr>
              <w:t>„</w:t>
            </w:r>
            <w:r w:rsidRPr="003B2277">
              <w:t>Člen 11</w:t>
            </w:r>
          </w:p>
        </w:tc>
      </w:tr>
      <w:tr w:rsidR="006F5BFE" w:rsidRPr="003B2277" w14:paraId="0C5AD8C4" w14:textId="77777777" w:rsidTr="005B4D60">
        <w:trPr>
          <w:jc w:val="center"/>
        </w:trPr>
        <w:tc>
          <w:tcPr>
            <w:tcW w:w="4876" w:type="dxa"/>
            <w:hideMark/>
          </w:tcPr>
          <w:p w14:paraId="2DA6E202" w14:textId="77777777" w:rsidR="006F5BFE" w:rsidRPr="003B2277" w:rsidRDefault="006F5BFE" w:rsidP="005B4D60">
            <w:pPr>
              <w:pStyle w:val="Normal6"/>
            </w:pPr>
            <w:r w:rsidRPr="003B2277">
              <w:t>Proizvodi, upravičeni do javne intervencije</w:t>
            </w:r>
          </w:p>
        </w:tc>
        <w:tc>
          <w:tcPr>
            <w:tcW w:w="4876" w:type="dxa"/>
            <w:hideMark/>
          </w:tcPr>
          <w:p w14:paraId="7639395F" w14:textId="77777777" w:rsidR="006F5BFE" w:rsidRPr="003B2277" w:rsidRDefault="006F5BFE" w:rsidP="005B4D60">
            <w:pPr>
              <w:pStyle w:val="Normal6"/>
              <w:rPr>
                <w:szCs w:val="24"/>
              </w:rPr>
            </w:pPr>
            <w:r w:rsidRPr="003B2277">
              <w:t>Proizvodi, upravičeni do javne intervencije</w:t>
            </w:r>
          </w:p>
        </w:tc>
      </w:tr>
      <w:tr w:rsidR="006F5BFE" w:rsidRPr="003B2277" w14:paraId="00E86C70" w14:textId="77777777" w:rsidTr="005B4D60">
        <w:trPr>
          <w:jc w:val="center"/>
        </w:trPr>
        <w:tc>
          <w:tcPr>
            <w:tcW w:w="4876" w:type="dxa"/>
            <w:hideMark/>
          </w:tcPr>
          <w:p w14:paraId="143A965F" w14:textId="77777777" w:rsidR="006F5BFE" w:rsidRPr="003B2277" w:rsidRDefault="006F5BFE" w:rsidP="005B4D60">
            <w:pPr>
              <w:pStyle w:val="Normal6"/>
            </w:pPr>
            <w:r w:rsidRPr="003B2277">
              <w:t>Javna intervencija se uporablja za naslednje proizvode v skladu s pogoji, določenimi v tem oddelku, ter morebitnimi dodatnimi zahtevami in pogoji, ki jih lahko določi Komisija z delegiranimi akti v skladu s členom 19 in izvedbenimi akti v skladu s členom 20:</w:t>
            </w:r>
          </w:p>
        </w:tc>
        <w:tc>
          <w:tcPr>
            <w:tcW w:w="4876" w:type="dxa"/>
            <w:hideMark/>
          </w:tcPr>
          <w:p w14:paraId="26A772B6" w14:textId="77777777" w:rsidR="006F5BFE" w:rsidRPr="003B2277" w:rsidRDefault="006F5BFE" w:rsidP="005B4D60">
            <w:pPr>
              <w:pStyle w:val="Normal6"/>
              <w:rPr>
                <w:szCs w:val="24"/>
              </w:rPr>
            </w:pPr>
            <w:r w:rsidRPr="003B2277">
              <w:t>Javna intervencija se uporablja za naslednje proizvode v skladu s pogoji, določenimi v tem oddelku, ter morebitnimi dodatnimi zahtevami in pogoji, ki jih lahko določi Komisija z delegiranimi akti v skladu s členom 19 in izvedbenimi akti v skladu s členom 20:</w:t>
            </w:r>
          </w:p>
        </w:tc>
      </w:tr>
      <w:tr w:rsidR="006F5BFE" w:rsidRPr="003B2277" w14:paraId="23FAF11C" w14:textId="77777777" w:rsidTr="005B4D60">
        <w:trPr>
          <w:jc w:val="center"/>
        </w:trPr>
        <w:tc>
          <w:tcPr>
            <w:tcW w:w="4876" w:type="dxa"/>
            <w:hideMark/>
          </w:tcPr>
          <w:p w14:paraId="6F94C0A1" w14:textId="77777777" w:rsidR="006F5BFE" w:rsidRPr="003B2277" w:rsidRDefault="006F5BFE" w:rsidP="005B4D60">
            <w:pPr>
              <w:pStyle w:val="Normal6"/>
            </w:pPr>
            <w:r w:rsidRPr="003B2277">
              <w:t>(a) navadno pšenico, trdo pšenico, ječmen in koruzo;</w:t>
            </w:r>
          </w:p>
        </w:tc>
        <w:tc>
          <w:tcPr>
            <w:tcW w:w="4876" w:type="dxa"/>
            <w:hideMark/>
          </w:tcPr>
          <w:p w14:paraId="38AEC651" w14:textId="77777777" w:rsidR="006F5BFE" w:rsidRPr="003B2277" w:rsidRDefault="006F5BFE" w:rsidP="005B4D60">
            <w:pPr>
              <w:pStyle w:val="Normal6"/>
              <w:rPr>
                <w:szCs w:val="24"/>
              </w:rPr>
            </w:pPr>
            <w:r w:rsidRPr="003B2277">
              <w:t>(a) navadno pšenico, trdo pšenico, ječmen in koruzo;</w:t>
            </w:r>
          </w:p>
        </w:tc>
      </w:tr>
      <w:tr w:rsidR="006F5BFE" w:rsidRPr="003B2277" w14:paraId="2C2D63D2" w14:textId="77777777" w:rsidTr="005B4D60">
        <w:trPr>
          <w:jc w:val="center"/>
        </w:trPr>
        <w:tc>
          <w:tcPr>
            <w:tcW w:w="4876" w:type="dxa"/>
            <w:hideMark/>
          </w:tcPr>
          <w:p w14:paraId="6D009749" w14:textId="77777777" w:rsidR="006F5BFE" w:rsidRPr="003B2277" w:rsidRDefault="006F5BFE" w:rsidP="005B4D60">
            <w:pPr>
              <w:pStyle w:val="Normal6"/>
            </w:pPr>
            <w:r w:rsidRPr="003B2277">
              <w:t>(b) neoluščeni riž;</w:t>
            </w:r>
          </w:p>
        </w:tc>
        <w:tc>
          <w:tcPr>
            <w:tcW w:w="4876" w:type="dxa"/>
            <w:hideMark/>
          </w:tcPr>
          <w:p w14:paraId="4AB8BCBC" w14:textId="77777777" w:rsidR="006F5BFE" w:rsidRPr="003B2277" w:rsidRDefault="006F5BFE" w:rsidP="005B4D60">
            <w:pPr>
              <w:pStyle w:val="Normal6"/>
              <w:rPr>
                <w:szCs w:val="24"/>
              </w:rPr>
            </w:pPr>
            <w:r w:rsidRPr="003B2277">
              <w:t>(b) neoluščeni riž;</w:t>
            </w:r>
          </w:p>
        </w:tc>
      </w:tr>
      <w:tr w:rsidR="006F5BFE" w:rsidRPr="003B2277" w14:paraId="7C6E1E22" w14:textId="77777777" w:rsidTr="005B4D60">
        <w:trPr>
          <w:jc w:val="center"/>
        </w:trPr>
        <w:tc>
          <w:tcPr>
            <w:tcW w:w="4876" w:type="dxa"/>
            <w:hideMark/>
          </w:tcPr>
          <w:p w14:paraId="645B3BDD" w14:textId="77777777" w:rsidR="006F5BFE" w:rsidRPr="003B2277" w:rsidRDefault="006F5BFE" w:rsidP="005B4D60">
            <w:pPr>
              <w:pStyle w:val="Normal6"/>
            </w:pPr>
            <w:r w:rsidRPr="003B2277">
              <w:t>(c) sveže ali ohlajeno goveje in telečje meso, ki spada pod oznake KN 0201 10 00 in 0201 20 20 do 0201 20 50;</w:t>
            </w:r>
          </w:p>
        </w:tc>
        <w:tc>
          <w:tcPr>
            <w:tcW w:w="4876" w:type="dxa"/>
            <w:hideMark/>
          </w:tcPr>
          <w:p w14:paraId="1B147F8E" w14:textId="77777777" w:rsidR="006F5BFE" w:rsidRPr="003B2277" w:rsidRDefault="006F5BFE" w:rsidP="005B4D60">
            <w:pPr>
              <w:pStyle w:val="Normal6"/>
              <w:rPr>
                <w:szCs w:val="24"/>
              </w:rPr>
            </w:pPr>
            <w:r w:rsidRPr="003B2277">
              <w:t>(c) sveže ali ohlajeno goveje in telečje meso, ki spada pod oznake KN 0201 10 00 in 0201 20 20 do 0201 20 50;</w:t>
            </w:r>
          </w:p>
        </w:tc>
      </w:tr>
      <w:tr w:rsidR="006F5BFE" w:rsidRPr="003B2277" w14:paraId="564F81FC" w14:textId="77777777" w:rsidTr="005B4D60">
        <w:trPr>
          <w:jc w:val="center"/>
        </w:trPr>
        <w:tc>
          <w:tcPr>
            <w:tcW w:w="4876" w:type="dxa"/>
            <w:hideMark/>
          </w:tcPr>
          <w:p w14:paraId="2786FD5B" w14:textId="77777777" w:rsidR="006F5BFE" w:rsidRPr="003B2277" w:rsidRDefault="006F5BFE" w:rsidP="005B4D60">
            <w:pPr>
              <w:pStyle w:val="Normal6"/>
            </w:pPr>
            <w:r w:rsidRPr="003B2277">
              <w:t>(d) maslo, izdelano v odobrenem podjetju v Uniji neposredno in izključno iz pasterizirane smetane, pridobljene neposredno in izključno iz kravjega mleka, z najmanjšo vsebnostjo maslene maščobe 82 utežnih odstotkov in največjo vsebnostjo vode 16 utežnih odstotkov;</w:t>
            </w:r>
          </w:p>
        </w:tc>
        <w:tc>
          <w:tcPr>
            <w:tcW w:w="4876" w:type="dxa"/>
            <w:hideMark/>
          </w:tcPr>
          <w:p w14:paraId="00B26168" w14:textId="77777777" w:rsidR="006F5BFE" w:rsidRPr="003B2277" w:rsidRDefault="006F5BFE" w:rsidP="005B4D60">
            <w:pPr>
              <w:pStyle w:val="Normal6"/>
              <w:rPr>
                <w:szCs w:val="24"/>
              </w:rPr>
            </w:pPr>
            <w:r w:rsidRPr="003B2277">
              <w:t>(d) maslo, izdelano v odobrenem podjetju v Uniji neposredno in izključno iz pasterizirane smetane, pridobljene neposredno in izključno iz kravjega mleka, z najmanjšo vsebnostjo maslene maščobe 82 utežnih odstotkov in največjo vsebnostjo vode 16 utežnih odstotkov;</w:t>
            </w:r>
          </w:p>
        </w:tc>
      </w:tr>
      <w:tr w:rsidR="006F5BFE" w:rsidRPr="003B2277" w14:paraId="2CBE5B8C" w14:textId="77777777" w:rsidTr="005B4D60">
        <w:trPr>
          <w:jc w:val="center"/>
        </w:trPr>
        <w:tc>
          <w:tcPr>
            <w:tcW w:w="4876" w:type="dxa"/>
            <w:hideMark/>
          </w:tcPr>
          <w:p w14:paraId="433A8B05" w14:textId="77777777" w:rsidR="006F5BFE" w:rsidRPr="003B2277" w:rsidRDefault="006F5BFE" w:rsidP="005B4D60">
            <w:pPr>
              <w:pStyle w:val="Normal6"/>
            </w:pPr>
            <w:r w:rsidRPr="003B2277">
              <w:t>(e) posneto mleko v prahu najvišje kakovosti, izdelano po pršnem postopku iz kravjega mleka v odobrenem podjetju v Uniji, z najmanjšo vsebnostjo beljakovin 34,0 utežnih odstotkov nemastne suhe snovi</w:t>
            </w:r>
            <w:r w:rsidRPr="003B2277">
              <w:rPr>
                <w:b/>
                <w:i/>
              </w:rPr>
              <w:t>.</w:t>
            </w:r>
          </w:p>
        </w:tc>
        <w:tc>
          <w:tcPr>
            <w:tcW w:w="4876" w:type="dxa"/>
            <w:hideMark/>
          </w:tcPr>
          <w:p w14:paraId="37F42864" w14:textId="77777777" w:rsidR="006F5BFE" w:rsidRPr="003B2277" w:rsidRDefault="006F5BFE" w:rsidP="005B4D60">
            <w:pPr>
              <w:pStyle w:val="Normal6"/>
              <w:rPr>
                <w:szCs w:val="24"/>
              </w:rPr>
            </w:pPr>
            <w:r w:rsidRPr="003B2277">
              <w:t>(e) posneto mleko v prahu najvišje kakovosti, izdelano po pršnem postopku iz kravjega mleka v odobrenem podjetju v Uniji, z najmanjšo vsebnostjo beljakovin 34,0 utežnih odstotkov nemastne suhe snovi</w:t>
            </w:r>
            <w:r w:rsidRPr="003B2277">
              <w:rPr>
                <w:b/>
                <w:i/>
              </w:rPr>
              <w:t>;</w:t>
            </w:r>
          </w:p>
        </w:tc>
      </w:tr>
      <w:tr w:rsidR="006F5BFE" w:rsidRPr="003B2277" w14:paraId="1D78B358" w14:textId="77777777" w:rsidTr="005B4D60">
        <w:trPr>
          <w:jc w:val="center"/>
        </w:trPr>
        <w:tc>
          <w:tcPr>
            <w:tcW w:w="4876" w:type="dxa"/>
          </w:tcPr>
          <w:p w14:paraId="1DCACDD2" w14:textId="77777777" w:rsidR="006F5BFE" w:rsidRPr="003B2277" w:rsidRDefault="006F5BFE" w:rsidP="005B4D60">
            <w:pPr>
              <w:pStyle w:val="Normal6"/>
            </w:pPr>
          </w:p>
        </w:tc>
        <w:tc>
          <w:tcPr>
            <w:tcW w:w="4876" w:type="dxa"/>
            <w:hideMark/>
          </w:tcPr>
          <w:p w14:paraId="0846C177" w14:textId="77777777" w:rsidR="006F5BFE" w:rsidRPr="003B2277" w:rsidRDefault="006F5BFE" w:rsidP="005B4D60">
            <w:pPr>
              <w:pStyle w:val="Normal6"/>
              <w:rPr>
                <w:szCs w:val="24"/>
              </w:rPr>
            </w:pPr>
            <w:r w:rsidRPr="003B2277">
              <w:rPr>
                <w:b/>
                <w:i/>
              </w:rPr>
              <w:t>(ea) beli sladkor;</w:t>
            </w:r>
          </w:p>
        </w:tc>
      </w:tr>
      <w:tr w:rsidR="006F5BFE" w:rsidRPr="003B2277" w14:paraId="136DE50B" w14:textId="77777777" w:rsidTr="005B4D60">
        <w:trPr>
          <w:jc w:val="center"/>
        </w:trPr>
        <w:tc>
          <w:tcPr>
            <w:tcW w:w="4876" w:type="dxa"/>
          </w:tcPr>
          <w:p w14:paraId="3A850AE4" w14:textId="77777777" w:rsidR="006F5BFE" w:rsidRPr="003B2277" w:rsidRDefault="006F5BFE" w:rsidP="005B4D60">
            <w:pPr>
              <w:pStyle w:val="Normal6"/>
            </w:pPr>
          </w:p>
        </w:tc>
        <w:tc>
          <w:tcPr>
            <w:tcW w:w="4876" w:type="dxa"/>
            <w:hideMark/>
          </w:tcPr>
          <w:p w14:paraId="1CFF9117" w14:textId="77777777" w:rsidR="006F5BFE" w:rsidRPr="003B2277" w:rsidRDefault="006F5BFE" w:rsidP="005B4D60">
            <w:pPr>
              <w:pStyle w:val="Normal6"/>
              <w:rPr>
                <w:szCs w:val="24"/>
              </w:rPr>
            </w:pPr>
            <w:r w:rsidRPr="003B2277">
              <w:rPr>
                <w:b/>
                <w:i/>
              </w:rPr>
              <w:t>(eb) ovčje meso, uvrščeno v oznake KN 0104 10 30 ali 0204;</w:t>
            </w:r>
          </w:p>
        </w:tc>
      </w:tr>
      <w:tr w:rsidR="006F5BFE" w:rsidRPr="003B2277" w14:paraId="6707E308" w14:textId="77777777" w:rsidTr="005B4D60">
        <w:trPr>
          <w:jc w:val="center"/>
        </w:trPr>
        <w:tc>
          <w:tcPr>
            <w:tcW w:w="4876" w:type="dxa"/>
          </w:tcPr>
          <w:p w14:paraId="79F8879F" w14:textId="77777777" w:rsidR="006F5BFE" w:rsidRPr="003B2277" w:rsidRDefault="006F5BFE" w:rsidP="005B4D60">
            <w:pPr>
              <w:pStyle w:val="Normal6"/>
            </w:pPr>
          </w:p>
        </w:tc>
        <w:tc>
          <w:tcPr>
            <w:tcW w:w="4876" w:type="dxa"/>
            <w:hideMark/>
          </w:tcPr>
          <w:p w14:paraId="4E77DA8B" w14:textId="77777777" w:rsidR="006F5BFE" w:rsidRPr="003B2277" w:rsidRDefault="006F5BFE" w:rsidP="005B4D60">
            <w:pPr>
              <w:pStyle w:val="Normal6"/>
              <w:rPr>
                <w:szCs w:val="24"/>
              </w:rPr>
            </w:pPr>
            <w:r w:rsidRPr="003B2277">
              <w:rPr>
                <w:b/>
                <w:i/>
              </w:rPr>
              <w:t>(ec) sveže, ohlajeno ali zamrznjeno prašičje meso, ki spada pod oznako KN 0203;</w:t>
            </w:r>
          </w:p>
        </w:tc>
      </w:tr>
      <w:tr w:rsidR="006F5BFE" w:rsidRPr="003B2277" w14:paraId="66351494" w14:textId="77777777" w:rsidTr="005B4D60">
        <w:trPr>
          <w:jc w:val="center"/>
        </w:trPr>
        <w:tc>
          <w:tcPr>
            <w:tcW w:w="4876" w:type="dxa"/>
          </w:tcPr>
          <w:p w14:paraId="349D9042" w14:textId="77777777" w:rsidR="006F5BFE" w:rsidRPr="003B2277" w:rsidRDefault="006F5BFE" w:rsidP="005B4D60">
            <w:pPr>
              <w:pStyle w:val="Normal6"/>
            </w:pPr>
          </w:p>
        </w:tc>
        <w:tc>
          <w:tcPr>
            <w:tcW w:w="4876" w:type="dxa"/>
            <w:hideMark/>
          </w:tcPr>
          <w:p w14:paraId="1BB41277" w14:textId="4B9904BC" w:rsidR="006F5BFE" w:rsidRPr="003B2277" w:rsidRDefault="006F5BFE" w:rsidP="005B4D60">
            <w:pPr>
              <w:pStyle w:val="Normal6"/>
              <w:rPr>
                <w:szCs w:val="24"/>
              </w:rPr>
            </w:pPr>
            <w:r w:rsidRPr="003B2277">
              <w:rPr>
                <w:b/>
                <w:i/>
              </w:rPr>
              <w:t>(ed) sveže, ohlajeno ali zamrznjeno piščančje meso, ki spada pod oznako KN 0207.“</w:t>
            </w:r>
          </w:p>
        </w:tc>
      </w:tr>
    </w:tbl>
    <w:p w14:paraId="3163DF90" w14:textId="77777777" w:rsidR="00490A22" w:rsidRPr="003B2277" w:rsidRDefault="00490A22" w:rsidP="006F5BFE"/>
    <w:p w14:paraId="0576D635" w14:textId="78BE4CD4" w:rsidR="006F5BFE" w:rsidRPr="003B2277" w:rsidRDefault="003B2277" w:rsidP="006F5BFE">
      <w:pPr>
        <w:pStyle w:val="AMNumberTabs"/>
        <w:keepNext/>
      </w:pPr>
      <w:r>
        <w:t>Sprememba</w:t>
      </w:r>
      <w:r w:rsidR="006F5BFE" w:rsidRPr="003B2277">
        <w:tab/>
      </w:r>
      <w:r w:rsidR="006F5BFE" w:rsidRPr="003B2277">
        <w:tab/>
        <w:t>53</w:t>
      </w:r>
    </w:p>
    <w:p w14:paraId="3B046FB1" w14:textId="77777777" w:rsidR="006F5BFE" w:rsidRPr="003B2277" w:rsidRDefault="006F5BFE" w:rsidP="006F5BFE"/>
    <w:p w14:paraId="343DBB3C" w14:textId="77777777" w:rsidR="006F5BFE" w:rsidRPr="003B2277" w:rsidRDefault="006F5BFE" w:rsidP="006F5BFE">
      <w:pPr>
        <w:pStyle w:val="NormalBold"/>
        <w:keepNext/>
      </w:pPr>
      <w:r w:rsidRPr="003B2277">
        <w:t>Predlog uredbe</w:t>
      </w:r>
    </w:p>
    <w:p w14:paraId="3F44AFC8" w14:textId="77777777" w:rsidR="006F5BFE" w:rsidRPr="003B2277" w:rsidRDefault="006F5BFE" w:rsidP="006F5BFE">
      <w:pPr>
        <w:pStyle w:val="NormalBold"/>
      </w:pPr>
      <w:r w:rsidRPr="003B2277">
        <w:t>Člen 1 – odstavek 1 – točka 3 c (novo)</w:t>
      </w:r>
    </w:p>
    <w:p w14:paraId="49187455" w14:textId="77777777" w:rsidR="006F5BFE" w:rsidRPr="003B2277" w:rsidRDefault="006F5BFE" w:rsidP="006F5BFE">
      <w:pPr>
        <w:keepNext/>
      </w:pPr>
      <w:r w:rsidRPr="003B2277">
        <w:t>Uredba (EU) št. 1308/2013</w:t>
      </w:r>
    </w:p>
    <w:p w14:paraId="4A33B134" w14:textId="77777777" w:rsidR="006F5BFE" w:rsidRPr="003B2277" w:rsidRDefault="006F5BFE" w:rsidP="006F5BFE">
      <w:r w:rsidRPr="003B2277">
        <w:t>Člen 12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BA5773A" w14:textId="77777777" w:rsidTr="005B4D60">
        <w:trPr>
          <w:jc w:val="center"/>
        </w:trPr>
        <w:tc>
          <w:tcPr>
            <w:tcW w:w="9752" w:type="dxa"/>
            <w:gridSpan w:val="2"/>
          </w:tcPr>
          <w:p w14:paraId="3C21E6F1" w14:textId="77777777" w:rsidR="006F5BFE" w:rsidRPr="003B2277" w:rsidRDefault="006F5BFE" w:rsidP="005B4D60">
            <w:pPr>
              <w:keepNext/>
            </w:pPr>
          </w:p>
        </w:tc>
      </w:tr>
      <w:tr w:rsidR="006F5BFE" w:rsidRPr="003B2277" w14:paraId="42B6A01A" w14:textId="77777777" w:rsidTr="005B4D60">
        <w:trPr>
          <w:jc w:val="center"/>
        </w:trPr>
        <w:tc>
          <w:tcPr>
            <w:tcW w:w="4876" w:type="dxa"/>
            <w:hideMark/>
          </w:tcPr>
          <w:p w14:paraId="15DBD772" w14:textId="77777777" w:rsidR="006F5BFE" w:rsidRPr="003B2277" w:rsidRDefault="006F5BFE" w:rsidP="005B4D60">
            <w:pPr>
              <w:pStyle w:val="ColumnHeading"/>
              <w:keepNext/>
            </w:pPr>
            <w:r w:rsidRPr="003B2277">
              <w:t>Veljavno besedilo</w:t>
            </w:r>
          </w:p>
        </w:tc>
        <w:tc>
          <w:tcPr>
            <w:tcW w:w="4876" w:type="dxa"/>
            <w:hideMark/>
          </w:tcPr>
          <w:p w14:paraId="2DE4EF21" w14:textId="37966531" w:rsidR="006F5BFE" w:rsidRPr="003B2277" w:rsidRDefault="003B2277" w:rsidP="005B4D60">
            <w:pPr>
              <w:pStyle w:val="ColumnHeading"/>
              <w:keepNext/>
            </w:pPr>
            <w:r>
              <w:t>Sprememba</w:t>
            </w:r>
          </w:p>
        </w:tc>
      </w:tr>
      <w:tr w:rsidR="006F5BFE" w:rsidRPr="003B2277" w14:paraId="60A14956" w14:textId="77777777" w:rsidTr="005B4D60">
        <w:trPr>
          <w:jc w:val="center"/>
        </w:trPr>
        <w:tc>
          <w:tcPr>
            <w:tcW w:w="4876" w:type="dxa"/>
          </w:tcPr>
          <w:p w14:paraId="7328DA7C" w14:textId="77777777" w:rsidR="006F5BFE" w:rsidRPr="003B2277" w:rsidRDefault="006F5BFE" w:rsidP="005B4D60">
            <w:pPr>
              <w:pStyle w:val="Normal6"/>
            </w:pPr>
          </w:p>
        </w:tc>
        <w:tc>
          <w:tcPr>
            <w:tcW w:w="4876" w:type="dxa"/>
            <w:hideMark/>
          </w:tcPr>
          <w:p w14:paraId="0152CD79" w14:textId="77777777" w:rsidR="006F5BFE" w:rsidRPr="003B2277" w:rsidRDefault="006F5BFE" w:rsidP="005B4D60">
            <w:pPr>
              <w:pStyle w:val="Normal6"/>
              <w:rPr>
                <w:szCs w:val="24"/>
              </w:rPr>
            </w:pPr>
            <w:r w:rsidRPr="003B2277">
              <w:rPr>
                <w:b/>
                <w:i/>
              </w:rPr>
              <w:t>(3c)</w:t>
            </w:r>
            <w:r w:rsidRPr="003B2277">
              <w:rPr>
                <w:b/>
                <w:i/>
              </w:rPr>
              <w:tab/>
              <w:t>člen 12 se nadomesti z naslednjim:</w:t>
            </w:r>
          </w:p>
        </w:tc>
      </w:tr>
      <w:tr w:rsidR="006F5BFE" w:rsidRPr="003B2277" w14:paraId="3989FA32" w14:textId="77777777" w:rsidTr="005B4D60">
        <w:trPr>
          <w:jc w:val="center"/>
        </w:trPr>
        <w:tc>
          <w:tcPr>
            <w:tcW w:w="4876" w:type="dxa"/>
            <w:hideMark/>
          </w:tcPr>
          <w:p w14:paraId="268752CB" w14:textId="77777777" w:rsidR="006F5BFE" w:rsidRPr="003B2277" w:rsidRDefault="006F5BFE" w:rsidP="005B4D60">
            <w:pPr>
              <w:pStyle w:val="Normal6"/>
            </w:pPr>
            <w:r w:rsidRPr="003B2277">
              <w:t>Člen 12</w:t>
            </w:r>
          </w:p>
        </w:tc>
        <w:tc>
          <w:tcPr>
            <w:tcW w:w="4876" w:type="dxa"/>
            <w:hideMark/>
          </w:tcPr>
          <w:p w14:paraId="307FFFED" w14:textId="77777777" w:rsidR="006F5BFE" w:rsidRPr="003B2277" w:rsidRDefault="006F5BFE" w:rsidP="005B4D60">
            <w:pPr>
              <w:pStyle w:val="Normal6"/>
              <w:rPr>
                <w:szCs w:val="24"/>
              </w:rPr>
            </w:pPr>
            <w:r w:rsidRPr="003B2277">
              <w:rPr>
                <w:b/>
                <w:i/>
              </w:rPr>
              <w:t>„</w:t>
            </w:r>
            <w:r w:rsidRPr="003B2277">
              <w:t>Člen 12</w:t>
            </w:r>
          </w:p>
        </w:tc>
      </w:tr>
      <w:tr w:rsidR="006F5BFE" w:rsidRPr="003B2277" w14:paraId="23968E1E" w14:textId="77777777" w:rsidTr="005B4D60">
        <w:trPr>
          <w:jc w:val="center"/>
        </w:trPr>
        <w:tc>
          <w:tcPr>
            <w:tcW w:w="4876" w:type="dxa"/>
            <w:hideMark/>
          </w:tcPr>
          <w:p w14:paraId="7D50147F" w14:textId="77777777" w:rsidR="006F5BFE" w:rsidRPr="003B2277" w:rsidRDefault="006F5BFE" w:rsidP="005B4D60">
            <w:pPr>
              <w:pStyle w:val="Normal6"/>
            </w:pPr>
            <w:r w:rsidRPr="003B2277">
              <w:t>Obdobja javne intervencije</w:t>
            </w:r>
          </w:p>
        </w:tc>
        <w:tc>
          <w:tcPr>
            <w:tcW w:w="4876" w:type="dxa"/>
            <w:hideMark/>
          </w:tcPr>
          <w:p w14:paraId="042F3F28" w14:textId="77777777" w:rsidR="006F5BFE" w:rsidRPr="003B2277" w:rsidRDefault="006F5BFE" w:rsidP="005B4D60">
            <w:pPr>
              <w:pStyle w:val="Normal6"/>
              <w:rPr>
                <w:szCs w:val="24"/>
              </w:rPr>
            </w:pPr>
            <w:r w:rsidRPr="003B2277">
              <w:t>Obdobja javne intervencije</w:t>
            </w:r>
          </w:p>
        </w:tc>
      </w:tr>
      <w:tr w:rsidR="006F5BFE" w:rsidRPr="003B2277" w14:paraId="65C0E1FC" w14:textId="77777777" w:rsidTr="005B4D60">
        <w:trPr>
          <w:jc w:val="center"/>
        </w:trPr>
        <w:tc>
          <w:tcPr>
            <w:tcW w:w="4876" w:type="dxa"/>
            <w:hideMark/>
          </w:tcPr>
          <w:p w14:paraId="61D6CB4B" w14:textId="77777777" w:rsidR="006F5BFE" w:rsidRPr="003B2277" w:rsidRDefault="006F5BFE" w:rsidP="005B4D60">
            <w:pPr>
              <w:pStyle w:val="Normal6"/>
            </w:pPr>
            <w:r w:rsidRPr="003B2277">
              <w:t>Javna intervencija je na voljo</w:t>
            </w:r>
            <w:r w:rsidRPr="003B2277">
              <w:rPr>
                <w:b/>
                <w:i/>
              </w:rPr>
              <w:t>:</w:t>
            </w:r>
          </w:p>
        </w:tc>
        <w:tc>
          <w:tcPr>
            <w:tcW w:w="4876" w:type="dxa"/>
            <w:hideMark/>
          </w:tcPr>
          <w:p w14:paraId="0841F782" w14:textId="48577FFB" w:rsidR="006F5BFE" w:rsidRPr="003B2277" w:rsidRDefault="006F5BFE" w:rsidP="005B4D60">
            <w:pPr>
              <w:pStyle w:val="Normal6"/>
              <w:rPr>
                <w:szCs w:val="24"/>
              </w:rPr>
            </w:pPr>
            <w:r w:rsidRPr="003B2277">
              <w:t>Javna intervencija je na voljo</w:t>
            </w:r>
            <w:r w:rsidRPr="003B2277">
              <w:rPr>
                <w:b/>
                <w:i/>
              </w:rPr>
              <w:t xml:space="preserve"> skozi vse leto za proizvode, naštete v členu 11.“</w:t>
            </w:r>
          </w:p>
        </w:tc>
      </w:tr>
      <w:tr w:rsidR="006F5BFE" w:rsidRPr="003B2277" w14:paraId="452E273B" w14:textId="77777777" w:rsidTr="005B4D60">
        <w:trPr>
          <w:jc w:val="center"/>
        </w:trPr>
        <w:tc>
          <w:tcPr>
            <w:tcW w:w="4876" w:type="dxa"/>
            <w:hideMark/>
          </w:tcPr>
          <w:p w14:paraId="33AA5D62" w14:textId="77777777" w:rsidR="006F5BFE" w:rsidRPr="003B2277" w:rsidRDefault="006F5BFE" w:rsidP="005B4D60">
            <w:pPr>
              <w:pStyle w:val="Normal6"/>
            </w:pPr>
            <w:r w:rsidRPr="003B2277">
              <w:rPr>
                <w:b/>
                <w:i/>
              </w:rPr>
              <w:t>(a) za navadno pšenico, trdo pšenico, ječmen in koruzo od 1. novembra do 31. maja;</w:t>
            </w:r>
          </w:p>
        </w:tc>
        <w:tc>
          <w:tcPr>
            <w:tcW w:w="4876" w:type="dxa"/>
            <w:hideMark/>
          </w:tcPr>
          <w:p w14:paraId="29CD5477" w14:textId="77777777" w:rsidR="006F5BFE" w:rsidRPr="003B2277" w:rsidRDefault="006F5BFE" w:rsidP="005B4D60">
            <w:pPr>
              <w:pStyle w:val="Normal6"/>
              <w:rPr>
                <w:szCs w:val="24"/>
              </w:rPr>
            </w:pPr>
          </w:p>
        </w:tc>
      </w:tr>
      <w:tr w:rsidR="006F5BFE" w:rsidRPr="003B2277" w14:paraId="2EB6CAEA" w14:textId="77777777" w:rsidTr="005B4D60">
        <w:trPr>
          <w:jc w:val="center"/>
        </w:trPr>
        <w:tc>
          <w:tcPr>
            <w:tcW w:w="4876" w:type="dxa"/>
            <w:hideMark/>
          </w:tcPr>
          <w:p w14:paraId="16A3DFA6" w14:textId="77777777" w:rsidR="006F5BFE" w:rsidRPr="003B2277" w:rsidRDefault="006F5BFE" w:rsidP="005B4D60">
            <w:pPr>
              <w:pStyle w:val="Normal6"/>
            </w:pPr>
            <w:r w:rsidRPr="003B2277">
              <w:rPr>
                <w:b/>
                <w:i/>
              </w:rPr>
              <w:t>(b) za neoluščeni riž od 1. aprila do 31. julija;</w:t>
            </w:r>
          </w:p>
        </w:tc>
        <w:tc>
          <w:tcPr>
            <w:tcW w:w="4876" w:type="dxa"/>
          </w:tcPr>
          <w:p w14:paraId="27C79549" w14:textId="77777777" w:rsidR="006F5BFE" w:rsidRPr="003B2277" w:rsidRDefault="006F5BFE" w:rsidP="005B4D60">
            <w:pPr>
              <w:pStyle w:val="Normal6"/>
              <w:rPr>
                <w:szCs w:val="24"/>
              </w:rPr>
            </w:pPr>
          </w:p>
        </w:tc>
      </w:tr>
      <w:tr w:rsidR="006F5BFE" w:rsidRPr="003B2277" w14:paraId="60600C99" w14:textId="77777777" w:rsidTr="005B4D60">
        <w:trPr>
          <w:jc w:val="center"/>
        </w:trPr>
        <w:tc>
          <w:tcPr>
            <w:tcW w:w="4876" w:type="dxa"/>
            <w:hideMark/>
          </w:tcPr>
          <w:p w14:paraId="35935218" w14:textId="77777777" w:rsidR="006F5BFE" w:rsidRPr="003B2277" w:rsidRDefault="006F5BFE" w:rsidP="005B4D60">
            <w:pPr>
              <w:pStyle w:val="Normal6"/>
            </w:pPr>
            <w:r w:rsidRPr="003B2277">
              <w:rPr>
                <w:b/>
                <w:i/>
              </w:rPr>
              <w:t>(c) za goveje in telečje meso skozi vse leto;</w:t>
            </w:r>
          </w:p>
        </w:tc>
        <w:tc>
          <w:tcPr>
            <w:tcW w:w="4876" w:type="dxa"/>
          </w:tcPr>
          <w:p w14:paraId="6FC12973" w14:textId="77777777" w:rsidR="006F5BFE" w:rsidRPr="003B2277" w:rsidRDefault="006F5BFE" w:rsidP="005B4D60">
            <w:pPr>
              <w:pStyle w:val="Normal6"/>
              <w:rPr>
                <w:szCs w:val="24"/>
              </w:rPr>
            </w:pPr>
          </w:p>
        </w:tc>
      </w:tr>
      <w:tr w:rsidR="006F5BFE" w:rsidRPr="003B2277" w14:paraId="31E42B3E" w14:textId="77777777" w:rsidTr="005B4D60">
        <w:trPr>
          <w:jc w:val="center"/>
        </w:trPr>
        <w:tc>
          <w:tcPr>
            <w:tcW w:w="4876" w:type="dxa"/>
            <w:hideMark/>
          </w:tcPr>
          <w:p w14:paraId="5FD0321B" w14:textId="77777777" w:rsidR="006F5BFE" w:rsidRPr="003B2277" w:rsidRDefault="006F5BFE" w:rsidP="005B4D60">
            <w:pPr>
              <w:pStyle w:val="Normal6"/>
            </w:pPr>
            <w:r w:rsidRPr="003B2277">
              <w:rPr>
                <w:b/>
                <w:i/>
              </w:rPr>
              <w:t>(d) za maslo in posneto mleko v prahu od 1. marca do 30. septembra.</w:t>
            </w:r>
          </w:p>
        </w:tc>
        <w:tc>
          <w:tcPr>
            <w:tcW w:w="4876" w:type="dxa"/>
          </w:tcPr>
          <w:p w14:paraId="511F1E8F" w14:textId="77777777" w:rsidR="006F5BFE" w:rsidRPr="003B2277" w:rsidRDefault="006F5BFE" w:rsidP="005B4D60">
            <w:pPr>
              <w:pStyle w:val="Normal6"/>
              <w:rPr>
                <w:szCs w:val="24"/>
              </w:rPr>
            </w:pPr>
          </w:p>
        </w:tc>
      </w:tr>
    </w:tbl>
    <w:p w14:paraId="7427172B" w14:textId="77777777" w:rsidR="00490A22" w:rsidRPr="003B2277" w:rsidRDefault="00490A22" w:rsidP="006F5BFE"/>
    <w:p w14:paraId="58C349A6" w14:textId="1FB4CC2A" w:rsidR="006F5BFE" w:rsidRPr="003B2277" w:rsidRDefault="003B2277" w:rsidP="006F5BFE">
      <w:pPr>
        <w:pStyle w:val="AMNumberTabs"/>
        <w:keepNext/>
      </w:pPr>
      <w:r>
        <w:t>Sprememba</w:t>
      </w:r>
      <w:r w:rsidR="006F5BFE" w:rsidRPr="003B2277">
        <w:tab/>
      </w:r>
      <w:r w:rsidR="006F5BFE" w:rsidRPr="003B2277">
        <w:tab/>
        <w:t>54</w:t>
      </w:r>
    </w:p>
    <w:p w14:paraId="56ED5C37" w14:textId="77777777" w:rsidR="006F5BFE" w:rsidRPr="003B2277" w:rsidRDefault="006F5BFE" w:rsidP="006F5BFE"/>
    <w:p w14:paraId="6AF78DEF" w14:textId="77777777" w:rsidR="006F5BFE" w:rsidRPr="003B2277" w:rsidRDefault="006F5BFE" w:rsidP="006F5BFE">
      <w:pPr>
        <w:pStyle w:val="NormalBold"/>
        <w:keepNext/>
      </w:pPr>
      <w:r w:rsidRPr="003B2277">
        <w:t>Predlog uredbe</w:t>
      </w:r>
    </w:p>
    <w:p w14:paraId="360CEF81" w14:textId="77777777" w:rsidR="006F5BFE" w:rsidRPr="003B2277" w:rsidRDefault="006F5BFE" w:rsidP="006F5BFE">
      <w:pPr>
        <w:pStyle w:val="NormalBold"/>
      </w:pPr>
      <w:r w:rsidRPr="003B2277">
        <w:t>Člen 1 – odstavek 1 – točka 3 d (novo)</w:t>
      </w:r>
    </w:p>
    <w:p w14:paraId="294CEE13" w14:textId="77777777" w:rsidR="006F5BFE" w:rsidRPr="003B2277" w:rsidRDefault="006F5BFE" w:rsidP="006F5BFE">
      <w:pPr>
        <w:keepNext/>
      </w:pPr>
      <w:r w:rsidRPr="003B2277">
        <w:t>Uredba (EU) št. 1308/2013</w:t>
      </w:r>
    </w:p>
    <w:p w14:paraId="075609F3" w14:textId="77777777" w:rsidR="006F5BFE" w:rsidRPr="003B2277" w:rsidRDefault="006F5BFE" w:rsidP="006F5BFE">
      <w:r w:rsidRPr="003B2277">
        <w:t>Člen 13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44CEFE" w14:textId="77777777" w:rsidTr="005B4D60">
        <w:trPr>
          <w:jc w:val="center"/>
        </w:trPr>
        <w:tc>
          <w:tcPr>
            <w:tcW w:w="9752" w:type="dxa"/>
            <w:gridSpan w:val="2"/>
          </w:tcPr>
          <w:p w14:paraId="0AC867DA" w14:textId="77777777" w:rsidR="006F5BFE" w:rsidRPr="003B2277" w:rsidRDefault="006F5BFE" w:rsidP="005B4D60">
            <w:pPr>
              <w:keepNext/>
            </w:pPr>
          </w:p>
        </w:tc>
      </w:tr>
      <w:tr w:rsidR="006F5BFE" w:rsidRPr="003B2277" w14:paraId="2101CA5C" w14:textId="77777777" w:rsidTr="005B4D60">
        <w:trPr>
          <w:jc w:val="center"/>
        </w:trPr>
        <w:tc>
          <w:tcPr>
            <w:tcW w:w="4876" w:type="dxa"/>
            <w:hideMark/>
          </w:tcPr>
          <w:p w14:paraId="7BC5B3F9" w14:textId="77777777" w:rsidR="006F5BFE" w:rsidRPr="003B2277" w:rsidRDefault="006F5BFE" w:rsidP="005B4D60">
            <w:pPr>
              <w:pStyle w:val="ColumnHeading"/>
              <w:keepNext/>
            </w:pPr>
            <w:r w:rsidRPr="003B2277">
              <w:t>Veljavno besedilo</w:t>
            </w:r>
          </w:p>
        </w:tc>
        <w:tc>
          <w:tcPr>
            <w:tcW w:w="4876" w:type="dxa"/>
            <w:hideMark/>
          </w:tcPr>
          <w:p w14:paraId="6A963F28" w14:textId="7609260B" w:rsidR="006F5BFE" w:rsidRPr="003B2277" w:rsidRDefault="003B2277" w:rsidP="005B4D60">
            <w:pPr>
              <w:pStyle w:val="ColumnHeading"/>
              <w:keepNext/>
            </w:pPr>
            <w:r>
              <w:t>Sprememba</w:t>
            </w:r>
          </w:p>
        </w:tc>
      </w:tr>
      <w:tr w:rsidR="006F5BFE" w:rsidRPr="003B2277" w14:paraId="4C83C502" w14:textId="77777777" w:rsidTr="005B4D60">
        <w:trPr>
          <w:jc w:val="center"/>
        </w:trPr>
        <w:tc>
          <w:tcPr>
            <w:tcW w:w="4876" w:type="dxa"/>
          </w:tcPr>
          <w:p w14:paraId="5CBCE351" w14:textId="77777777" w:rsidR="006F5BFE" w:rsidRPr="003B2277" w:rsidRDefault="006F5BFE" w:rsidP="005B4D60">
            <w:pPr>
              <w:pStyle w:val="Normal6"/>
            </w:pPr>
          </w:p>
        </w:tc>
        <w:tc>
          <w:tcPr>
            <w:tcW w:w="4876" w:type="dxa"/>
            <w:hideMark/>
          </w:tcPr>
          <w:p w14:paraId="55698798" w14:textId="77777777" w:rsidR="006F5BFE" w:rsidRPr="003B2277" w:rsidRDefault="006F5BFE" w:rsidP="005B4D60">
            <w:pPr>
              <w:pStyle w:val="Normal6"/>
              <w:rPr>
                <w:szCs w:val="24"/>
              </w:rPr>
            </w:pPr>
            <w:r w:rsidRPr="003B2277">
              <w:rPr>
                <w:b/>
                <w:i/>
              </w:rPr>
              <w:t>(3d)</w:t>
            </w:r>
            <w:r w:rsidRPr="003B2277">
              <w:rPr>
                <w:b/>
                <w:i/>
              </w:rPr>
              <w:tab/>
              <w:t>člen 13 se nadomesti z naslednjim:</w:t>
            </w:r>
          </w:p>
        </w:tc>
      </w:tr>
      <w:tr w:rsidR="006F5BFE" w:rsidRPr="003B2277" w14:paraId="01CCA391" w14:textId="77777777" w:rsidTr="005B4D60">
        <w:trPr>
          <w:jc w:val="center"/>
        </w:trPr>
        <w:tc>
          <w:tcPr>
            <w:tcW w:w="4876" w:type="dxa"/>
            <w:hideMark/>
          </w:tcPr>
          <w:p w14:paraId="7629C20D" w14:textId="77777777" w:rsidR="006F5BFE" w:rsidRPr="003B2277" w:rsidRDefault="006F5BFE" w:rsidP="005B4D60">
            <w:pPr>
              <w:pStyle w:val="Normal6"/>
            </w:pPr>
            <w:r w:rsidRPr="003B2277">
              <w:t>Člen 13</w:t>
            </w:r>
          </w:p>
        </w:tc>
        <w:tc>
          <w:tcPr>
            <w:tcW w:w="4876" w:type="dxa"/>
            <w:hideMark/>
          </w:tcPr>
          <w:p w14:paraId="3B06753E" w14:textId="77777777" w:rsidR="006F5BFE" w:rsidRPr="003B2277" w:rsidRDefault="006F5BFE" w:rsidP="005B4D60">
            <w:pPr>
              <w:pStyle w:val="Normal6"/>
              <w:rPr>
                <w:szCs w:val="24"/>
              </w:rPr>
            </w:pPr>
            <w:r w:rsidRPr="003B2277">
              <w:rPr>
                <w:b/>
                <w:i/>
              </w:rPr>
              <w:t>„Člen 13</w:t>
            </w:r>
          </w:p>
        </w:tc>
      </w:tr>
      <w:tr w:rsidR="006F5BFE" w:rsidRPr="003B2277" w14:paraId="18DCB08E" w14:textId="77777777" w:rsidTr="005B4D60">
        <w:trPr>
          <w:jc w:val="center"/>
        </w:trPr>
        <w:tc>
          <w:tcPr>
            <w:tcW w:w="4876" w:type="dxa"/>
            <w:hideMark/>
          </w:tcPr>
          <w:p w14:paraId="22ABB590" w14:textId="77777777" w:rsidR="006F5BFE" w:rsidRPr="003B2277" w:rsidRDefault="006F5BFE" w:rsidP="005B4D60">
            <w:pPr>
              <w:pStyle w:val="Normal6"/>
            </w:pPr>
            <w:r w:rsidRPr="003B2277">
              <w:t>Začetek in zaključek javne intervencije</w:t>
            </w:r>
          </w:p>
        </w:tc>
        <w:tc>
          <w:tcPr>
            <w:tcW w:w="4876" w:type="dxa"/>
            <w:hideMark/>
          </w:tcPr>
          <w:p w14:paraId="30611E85" w14:textId="77777777" w:rsidR="006F5BFE" w:rsidRPr="003B2277" w:rsidRDefault="006F5BFE" w:rsidP="005B4D60">
            <w:pPr>
              <w:pStyle w:val="Normal6"/>
              <w:rPr>
                <w:szCs w:val="24"/>
              </w:rPr>
            </w:pPr>
            <w:r w:rsidRPr="003B2277">
              <w:t>Začetek in zaključek javne intervencije</w:t>
            </w:r>
          </w:p>
        </w:tc>
      </w:tr>
      <w:tr w:rsidR="006F5BFE" w:rsidRPr="003B2277" w14:paraId="0F0DE8E0" w14:textId="77777777" w:rsidTr="005B4D60">
        <w:trPr>
          <w:jc w:val="center"/>
        </w:trPr>
        <w:tc>
          <w:tcPr>
            <w:tcW w:w="4876" w:type="dxa"/>
            <w:hideMark/>
          </w:tcPr>
          <w:p w14:paraId="656E0210" w14:textId="77777777" w:rsidR="006F5BFE" w:rsidRPr="003B2277" w:rsidRDefault="006F5BFE" w:rsidP="005B4D60">
            <w:pPr>
              <w:pStyle w:val="Normal6"/>
            </w:pPr>
            <w:r w:rsidRPr="003B2277">
              <w:t>1.</w:t>
            </w:r>
            <w:r w:rsidRPr="003B2277">
              <w:tab/>
              <w:t>V obdobjih iz člena 12:</w:t>
            </w:r>
          </w:p>
        </w:tc>
        <w:tc>
          <w:tcPr>
            <w:tcW w:w="4876" w:type="dxa"/>
            <w:hideMark/>
          </w:tcPr>
          <w:p w14:paraId="48520EC8" w14:textId="77777777" w:rsidR="006F5BFE" w:rsidRPr="003B2277" w:rsidRDefault="006F5BFE" w:rsidP="005B4D60">
            <w:pPr>
              <w:pStyle w:val="Normal6"/>
              <w:rPr>
                <w:szCs w:val="24"/>
              </w:rPr>
            </w:pPr>
            <w:r w:rsidRPr="003B2277">
              <w:t>1.</w:t>
            </w:r>
            <w:r w:rsidRPr="003B2277">
              <w:tab/>
              <w:t>V obdobjih iz člena 12:</w:t>
            </w:r>
          </w:p>
        </w:tc>
      </w:tr>
      <w:tr w:rsidR="006F5BFE" w:rsidRPr="003B2277" w14:paraId="24408F19" w14:textId="77777777" w:rsidTr="005B4D60">
        <w:trPr>
          <w:jc w:val="center"/>
        </w:trPr>
        <w:tc>
          <w:tcPr>
            <w:tcW w:w="4876" w:type="dxa"/>
            <w:hideMark/>
          </w:tcPr>
          <w:p w14:paraId="23AB812A" w14:textId="77777777" w:rsidR="006F5BFE" w:rsidRPr="003B2277" w:rsidRDefault="006F5BFE" w:rsidP="005B4D60">
            <w:pPr>
              <w:pStyle w:val="Normal6"/>
            </w:pPr>
            <w:r w:rsidRPr="003B2277">
              <w:t xml:space="preserve">(a) je javna intervencija na voljo za </w:t>
            </w:r>
            <w:r w:rsidRPr="003B2277">
              <w:rPr>
                <w:b/>
                <w:i/>
              </w:rPr>
              <w:t xml:space="preserve">navadno pšenico, </w:t>
            </w:r>
            <w:r w:rsidRPr="003B2277">
              <w:t>maslo in posneto mleko v prahu;</w:t>
            </w:r>
          </w:p>
        </w:tc>
        <w:tc>
          <w:tcPr>
            <w:tcW w:w="4876" w:type="dxa"/>
            <w:hideMark/>
          </w:tcPr>
          <w:p w14:paraId="0586ED0C" w14:textId="77777777" w:rsidR="006F5BFE" w:rsidRPr="003B2277" w:rsidRDefault="006F5BFE" w:rsidP="005B4D60">
            <w:pPr>
              <w:pStyle w:val="Normal6"/>
              <w:rPr>
                <w:szCs w:val="24"/>
              </w:rPr>
            </w:pPr>
            <w:r w:rsidRPr="003B2277">
              <w:t>(a) je javna intervencija na voljo za maslo in posneto mleko v prahu;</w:t>
            </w:r>
          </w:p>
        </w:tc>
      </w:tr>
      <w:tr w:rsidR="006F5BFE" w:rsidRPr="003B2277" w14:paraId="5678AD6B" w14:textId="77777777" w:rsidTr="005B4D60">
        <w:trPr>
          <w:jc w:val="center"/>
        </w:trPr>
        <w:tc>
          <w:tcPr>
            <w:tcW w:w="4876" w:type="dxa"/>
            <w:hideMark/>
          </w:tcPr>
          <w:p w14:paraId="5BBE6C3A" w14:textId="77777777" w:rsidR="006F5BFE" w:rsidRPr="003B2277" w:rsidRDefault="006F5BFE" w:rsidP="005B4D60">
            <w:pPr>
              <w:pStyle w:val="Normal6"/>
            </w:pPr>
            <w:r w:rsidRPr="003B2277">
              <w:t>(b) javno intervencijo za trdo pšenico, ječmen, koruzo in neoluščeni riž (vključno s posebnimi sortami ali tipi neoluščenega riža) lahko začne Komisija na podlagi izvedbenih aktov, če je to potrebno zaradi razmer na trgu. Ti izvedbeni akti se sprejmejo v skladu s postopkom pregleda iz člena 229(2).;</w:t>
            </w:r>
          </w:p>
        </w:tc>
        <w:tc>
          <w:tcPr>
            <w:tcW w:w="4876" w:type="dxa"/>
            <w:hideMark/>
          </w:tcPr>
          <w:p w14:paraId="334AC51D" w14:textId="77777777" w:rsidR="006F5BFE" w:rsidRPr="003B2277" w:rsidRDefault="006F5BFE" w:rsidP="005B4D60">
            <w:pPr>
              <w:pStyle w:val="Normal6"/>
              <w:rPr>
                <w:szCs w:val="24"/>
              </w:rPr>
            </w:pPr>
            <w:r w:rsidRPr="003B2277">
              <w:t xml:space="preserve">(b) javno intervencijo za </w:t>
            </w:r>
            <w:r w:rsidRPr="003B2277">
              <w:rPr>
                <w:b/>
                <w:i/>
              </w:rPr>
              <w:t xml:space="preserve">navadno pšenico, </w:t>
            </w:r>
            <w:r w:rsidRPr="003B2277">
              <w:t>trdo pšenico, ječmen, koruzo in neoluščeni riž (vključno s posebnimi sortami ali tipi neoluščenega riža)</w:t>
            </w:r>
            <w:r w:rsidRPr="003B2277">
              <w:rPr>
                <w:b/>
                <w:i/>
              </w:rPr>
              <w:t>, beli sladkor ter ovčje, prašičje ali piščančje meso</w:t>
            </w:r>
            <w:r w:rsidRPr="003B2277">
              <w:t xml:space="preserve"> lahko začne Komisija na podlagi izvedbenih aktov, če je to potrebno zaradi razmer na trgu. Ti izvedbeni akti se sprejmejo v skladu s postopkom pregleda iz člena 229(2);</w:t>
            </w:r>
          </w:p>
        </w:tc>
      </w:tr>
      <w:tr w:rsidR="006F5BFE" w:rsidRPr="003B2277" w14:paraId="20F44111" w14:textId="77777777" w:rsidTr="005B4D60">
        <w:trPr>
          <w:jc w:val="center"/>
        </w:trPr>
        <w:tc>
          <w:tcPr>
            <w:tcW w:w="4876" w:type="dxa"/>
            <w:hideMark/>
          </w:tcPr>
          <w:p w14:paraId="6EA1D170" w14:textId="77777777" w:rsidR="006F5BFE" w:rsidRPr="003B2277" w:rsidRDefault="006F5BFE" w:rsidP="005B4D60">
            <w:pPr>
              <w:pStyle w:val="Normal6"/>
            </w:pPr>
            <w:r w:rsidRPr="003B2277">
              <w:t>(c) javno intervencijo za sektor govejega in telečjega mesa lahko začne Komisija z izvedbenimi akti, sprejetimi brez uporabe postopka iz člena 229(2) ali (3), če je povprečna tržna cena v reprezentativnem obdobju, določena na podlagi točke (c) prvega odstavka člena 20, v državi članici ali regiji države članice, zabeležena na podlagi lestvice Unije za razvrščanje trupov goveda iz točke A Priloge IV, pod 85 % referenčnega praga, določenega v točki (d) člena 7(1).</w:t>
            </w:r>
          </w:p>
        </w:tc>
        <w:tc>
          <w:tcPr>
            <w:tcW w:w="4876" w:type="dxa"/>
            <w:hideMark/>
          </w:tcPr>
          <w:p w14:paraId="50ECA149" w14:textId="77777777" w:rsidR="006F5BFE" w:rsidRPr="003B2277" w:rsidRDefault="006F5BFE" w:rsidP="005B4D60">
            <w:pPr>
              <w:pStyle w:val="Normal6"/>
              <w:rPr>
                <w:szCs w:val="24"/>
              </w:rPr>
            </w:pPr>
            <w:r w:rsidRPr="003B2277">
              <w:t>(c) javno intervencijo za sektor govejega in telečjega mesa lahko začne Komisija z izvedbenimi akti, sprejetimi brez uporabe postopka iz člena 229(2) ali (3), če je povprečna tržna cena v reprezentativnem obdobju, določena na podlagi točke (c) prvega odstavka člena 20, v državi članici ali regiji države članice, zabeležena na podlagi lestvice Unije za razvrščanje trupov goveda iz točke A Priloge IV, pod 85 % referenčnega praga, določenega v točki (d) člena 7(1).</w:t>
            </w:r>
          </w:p>
        </w:tc>
      </w:tr>
      <w:tr w:rsidR="006F5BFE" w:rsidRPr="003B2277" w14:paraId="5E7C2F5D" w14:textId="77777777" w:rsidTr="00F3565D">
        <w:trPr>
          <w:jc w:val="center"/>
        </w:trPr>
        <w:tc>
          <w:tcPr>
            <w:tcW w:w="4876" w:type="dxa"/>
            <w:hideMark/>
          </w:tcPr>
          <w:p w14:paraId="5570F0F5" w14:textId="77777777" w:rsidR="006F5BFE" w:rsidRPr="003B2277" w:rsidRDefault="006F5BFE" w:rsidP="005B4D60">
            <w:pPr>
              <w:pStyle w:val="Normal6"/>
            </w:pPr>
            <w:r w:rsidRPr="003B2277">
              <w:t>2.</w:t>
            </w:r>
            <w:r w:rsidRPr="003B2277">
              <w:tab/>
              <w:t>Komisija lahko sprejme izvedbene akte, s katerimi konča javno intervencijo za sektor govejega in telečjega mesa, kadar pogoji, določeni v točki (c) odstavka 1 tega člena, v reprezentativnem obdobju, določenem v skladu s točko (c) prvega odstavka člena 20, niso več izpolnjeni. Ti izvedbeni akti se sprejmejo brez uporabe postopka iz člena 229(2) ali (3).</w:t>
            </w:r>
          </w:p>
        </w:tc>
        <w:tc>
          <w:tcPr>
            <w:tcW w:w="4876" w:type="dxa"/>
            <w:shd w:val="clear" w:color="auto" w:fill="auto"/>
            <w:hideMark/>
          </w:tcPr>
          <w:p w14:paraId="68D8C14A" w14:textId="5FD5984C" w:rsidR="006F5BFE" w:rsidRPr="003B2277" w:rsidRDefault="006F5BFE" w:rsidP="005B4D60">
            <w:pPr>
              <w:pStyle w:val="Normal6"/>
              <w:rPr>
                <w:szCs w:val="24"/>
              </w:rPr>
            </w:pPr>
            <w:r w:rsidRPr="003B2277">
              <w:t>2.</w:t>
            </w:r>
            <w:r w:rsidRPr="003B2277">
              <w:tab/>
              <w:t>Komisija lahko sprejme izvedbene akte, s katerimi konča javno intervencijo za sektor govejega in telečjega mesa, kadar pogoji, določeni v točki (c) odstavka 1 tega člena, v reprezentativnem obdobju, določenem v skladu s točko (c) prvega odstavka člena 20, niso več izpolnjeni. Ti izvedbeni akti se sprejmejo brez uporabe postopka iz člena 229(2) ali (3).</w:t>
            </w:r>
            <w:r w:rsidRPr="003B2277">
              <w:rPr>
                <w:b/>
                <w:i/>
              </w:rPr>
              <w:t>“</w:t>
            </w:r>
          </w:p>
        </w:tc>
      </w:tr>
    </w:tbl>
    <w:p w14:paraId="5EE3A109" w14:textId="77777777" w:rsidR="006F5BFE" w:rsidRPr="003B2277" w:rsidRDefault="006F5BFE" w:rsidP="006F5BFE"/>
    <w:p w14:paraId="5DA5B341" w14:textId="58057C70" w:rsidR="006F5BFE" w:rsidRPr="003B2277" w:rsidRDefault="003B2277" w:rsidP="006F5BFE">
      <w:pPr>
        <w:pStyle w:val="AMNumberTabs"/>
        <w:keepNext/>
      </w:pPr>
      <w:r>
        <w:t>Sprememba</w:t>
      </w:r>
      <w:r w:rsidR="006F5BFE" w:rsidRPr="003B2277">
        <w:tab/>
      </w:r>
      <w:r w:rsidR="006F5BFE" w:rsidRPr="003B2277">
        <w:tab/>
        <w:t>55</w:t>
      </w:r>
    </w:p>
    <w:p w14:paraId="38DAAE6A" w14:textId="77777777" w:rsidR="006F5BFE" w:rsidRPr="003B2277" w:rsidRDefault="006F5BFE" w:rsidP="006F5BFE">
      <w:pPr>
        <w:pStyle w:val="NormalBold12b"/>
      </w:pPr>
      <w:r w:rsidRPr="003B2277">
        <w:t>Predlog uredbe</w:t>
      </w:r>
    </w:p>
    <w:p w14:paraId="3861DE44" w14:textId="77777777" w:rsidR="006F5BFE" w:rsidRPr="003B2277" w:rsidRDefault="006F5BFE" w:rsidP="006F5BFE">
      <w:pPr>
        <w:pStyle w:val="NormalBold"/>
      </w:pPr>
      <w:r w:rsidRPr="003B2277">
        <w:t>Člen 1 – odstavek 1 – točka 3 e (novo)</w:t>
      </w:r>
    </w:p>
    <w:p w14:paraId="1D98B4AA" w14:textId="77777777" w:rsidR="006F5BFE" w:rsidRPr="003B2277" w:rsidRDefault="006F5BFE" w:rsidP="006F5BFE">
      <w:pPr>
        <w:keepNext/>
      </w:pPr>
      <w:r w:rsidRPr="003B2277">
        <w:t>Uredba (EU) št. 1308/2013</w:t>
      </w:r>
    </w:p>
    <w:p w14:paraId="0657AF0F" w14:textId="77777777" w:rsidR="006F5BFE" w:rsidRPr="003B2277" w:rsidRDefault="006F5BFE" w:rsidP="006F5BFE">
      <w:r w:rsidRPr="003B2277">
        <w:t>Člen 14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00B8177" w14:textId="77777777" w:rsidTr="005B4D60">
        <w:trPr>
          <w:jc w:val="center"/>
        </w:trPr>
        <w:tc>
          <w:tcPr>
            <w:tcW w:w="9752" w:type="dxa"/>
            <w:gridSpan w:val="2"/>
          </w:tcPr>
          <w:p w14:paraId="6CE388FF" w14:textId="77777777" w:rsidR="006F5BFE" w:rsidRPr="003B2277" w:rsidRDefault="006F5BFE" w:rsidP="005B4D60">
            <w:pPr>
              <w:keepNext/>
            </w:pPr>
          </w:p>
        </w:tc>
      </w:tr>
      <w:tr w:rsidR="006F5BFE" w:rsidRPr="003B2277" w14:paraId="7B22C813" w14:textId="77777777" w:rsidTr="005B4D60">
        <w:trPr>
          <w:jc w:val="center"/>
        </w:trPr>
        <w:tc>
          <w:tcPr>
            <w:tcW w:w="4876" w:type="dxa"/>
            <w:hideMark/>
          </w:tcPr>
          <w:p w14:paraId="0472A28D" w14:textId="77777777" w:rsidR="006F5BFE" w:rsidRPr="003B2277" w:rsidRDefault="006F5BFE" w:rsidP="005B4D60">
            <w:pPr>
              <w:pStyle w:val="ColumnHeading"/>
              <w:keepNext/>
            </w:pPr>
            <w:r w:rsidRPr="003B2277">
              <w:t>Veljavno besedilo</w:t>
            </w:r>
          </w:p>
        </w:tc>
        <w:tc>
          <w:tcPr>
            <w:tcW w:w="4876" w:type="dxa"/>
            <w:hideMark/>
          </w:tcPr>
          <w:p w14:paraId="3CD2B97D" w14:textId="6583CC0C" w:rsidR="006F5BFE" w:rsidRPr="003B2277" w:rsidRDefault="003B2277" w:rsidP="005B4D60">
            <w:pPr>
              <w:pStyle w:val="ColumnHeading"/>
              <w:keepNext/>
            </w:pPr>
            <w:r>
              <w:t>Sprememba</w:t>
            </w:r>
          </w:p>
        </w:tc>
      </w:tr>
      <w:tr w:rsidR="006F5BFE" w:rsidRPr="003B2277" w14:paraId="3EFAF8D8" w14:textId="77777777" w:rsidTr="005B4D60">
        <w:trPr>
          <w:jc w:val="center"/>
        </w:trPr>
        <w:tc>
          <w:tcPr>
            <w:tcW w:w="4876" w:type="dxa"/>
          </w:tcPr>
          <w:p w14:paraId="00626EAD" w14:textId="77777777" w:rsidR="006F5BFE" w:rsidRPr="003B2277" w:rsidRDefault="006F5BFE" w:rsidP="005B4D60">
            <w:pPr>
              <w:pStyle w:val="Normal6"/>
            </w:pPr>
          </w:p>
        </w:tc>
        <w:tc>
          <w:tcPr>
            <w:tcW w:w="4876" w:type="dxa"/>
            <w:hideMark/>
          </w:tcPr>
          <w:p w14:paraId="5B3C9A5E" w14:textId="77777777" w:rsidR="006F5BFE" w:rsidRPr="003B2277" w:rsidRDefault="006F5BFE" w:rsidP="005B4D60">
            <w:pPr>
              <w:pStyle w:val="Normal6"/>
              <w:rPr>
                <w:szCs w:val="24"/>
              </w:rPr>
            </w:pPr>
            <w:r w:rsidRPr="003B2277">
              <w:rPr>
                <w:b/>
                <w:i/>
              </w:rPr>
              <w:t>(3e)</w:t>
            </w:r>
            <w:r w:rsidRPr="003B2277">
              <w:rPr>
                <w:b/>
                <w:i/>
              </w:rPr>
              <w:tab/>
              <w:t>člen 14 se nadomesti z naslednjim:</w:t>
            </w:r>
          </w:p>
        </w:tc>
      </w:tr>
      <w:tr w:rsidR="006F5BFE" w:rsidRPr="003B2277" w14:paraId="53E34664" w14:textId="77777777" w:rsidTr="005B4D60">
        <w:trPr>
          <w:jc w:val="center"/>
        </w:trPr>
        <w:tc>
          <w:tcPr>
            <w:tcW w:w="4876" w:type="dxa"/>
          </w:tcPr>
          <w:p w14:paraId="3D293F86" w14:textId="77777777" w:rsidR="006F5BFE" w:rsidRPr="003B2277" w:rsidRDefault="006F5BFE" w:rsidP="005B4D60">
            <w:pPr>
              <w:pStyle w:val="Normal6"/>
            </w:pPr>
            <w:r w:rsidRPr="003B2277">
              <w:t>Člen 14</w:t>
            </w:r>
          </w:p>
        </w:tc>
        <w:tc>
          <w:tcPr>
            <w:tcW w:w="4876" w:type="dxa"/>
          </w:tcPr>
          <w:p w14:paraId="7276D556" w14:textId="77777777" w:rsidR="006F5BFE" w:rsidRPr="003B2277" w:rsidRDefault="006F5BFE" w:rsidP="005B4D60">
            <w:pPr>
              <w:pStyle w:val="Normal6"/>
            </w:pPr>
            <w:r w:rsidRPr="003B2277">
              <w:rPr>
                <w:b/>
                <w:i/>
              </w:rPr>
              <w:t>„</w:t>
            </w:r>
            <w:r w:rsidRPr="003B2277">
              <w:t>Člen 14</w:t>
            </w:r>
          </w:p>
        </w:tc>
      </w:tr>
      <w:tr w:rsidR="006F5BFE" w:rsidRPr="003B2277" w14:paraId="0D1330FE" w14:textId="77777777" w:rsidTr="005B4D60">
        <w:trPr>
          <w:jc w:val="center"/>
        </w:trPr>
        <w:tc>
          <w:tcPr>
            <w:tcW w:w="4876" w:type="dxa"/>
          </w:tcPr>
          <w:p w14:paraId="511057CC" w14:textId="77777777" w:rsidR="006F5BFE" w:rsidRPr="003B2277" w:rsidRDefault="006F5BFE" w:rsidP="005B4D60">
            <w:pPr>
              <w:pStyle w:val="Normal6"/>
            </w:pPr>
            <w:r w:rsidRPr="003B2277">
              <w:t>Odkup po fiksni ceni ali prek razpisa</w:t>
            </w:r>
          </w:p>
        </w:tc>
        <w:tc>
          <w:tcPr>
            <w:tcW w:w="4876" w:type="dxa"/>
          </w:tcPr>
          <w:p w14:paraId="7B051568" w14:textId="77777777" w:rsidR="006F5BFE" w:rsidRPr="003B2277" w:rsidRDefault="006F5BFE" w:rsidP="005B4D60">
            <w:pPr>
              <w:pStyle w:val="Normal6"/>
            </w:pPr>
            <w:r w:rsidRPr="003B2277">
              <w:t>Odkup po fiksni ceni ali prek razpisa</w:t>
            </w:r>
          </w:p>
        </w:tc>
      </w:tr>
      <w:tr w:rsidR="006F5BFE" w:rsidRPr="003B2277" w14:paraId="22A38832" w14:textId="77777777" w:rsidTr="005B4D60">
        <w:trPr>
          <w:jc w:val="center"/>
        </w:trPr>
        <w:tc>
          <w:tcPr>
            <w:tcW w:w="4876" w:type="dxa"/>
            <w:hideMark/>
          </w:tcPr>
          <w:p w14:paraId="344B3DA4" w14:textId="77777777" w:rsidR="006F5BFE" w:rsidRPr="003B2277" w:rsidRDefault="006F5BFE" w:rsidP="005B4D60">
            <w:pPr>
              <w:pStyle w:val="Normal6"/>
            </w:pPr>
            <w:r w:rsidRPr="003B2277">
              <w:t xml:space="preserve">Kadar se javna intervencija začne v skladu s členom 13(1), Svet v skladu s členom 43(3) PDEU sprejme </w:t>
            </w:r>
            <w:r w:rsidRPr="003B2277">
              <w:rPr>
                <w:b/>
                <w:i/>
              </w:rPr>
              <w:t>ukrepe</w:t>
            </w:r>
            <w:r w:rsidRPr="003B2277">
              <w:t xml:space="preserve"> za določitev odkupnih cen za proizvode iz člena 11</w:t>
            </w:r>
            <w:r w:rsidRPr="003B2277">
              <w:rPr>
                <w:b/>
                <w:i/>
              </w:rPr>
              <w:t>, po potrebi pa tudi ukrepe glede količinske omejitve, kadar se odkup izvede po fiksni ceni.</w:t>
            </w:r>
          </w:p>
        </w:tc>
        <w:tc>
          <w:tcPr>
            <w:tcW w:w="4876" w:type="dxa"/>
            <w:hideMark/>
          </w:tcPr>
          <w:p w14:paraId="45888D5A" w14:textId="20408CD4" w:rsidR="006F5BFE" w:rsidRPr="003B2277" w:rsidRDefault="006F5BFE" w:rsidP="005B4D60">
            <w:pPr>
              <w:pStyle w:val="Normal6"/>
              <w:rPr>
                <w:szCs w:val="24"/>
              </w:rPr>
            </w:pPr>
            <w:r w:rsidRPr="003B2277">
              <w:t xml:space="preserve">Kadar se javna intervencija začne v skladu s členom 13(1), Svet v skladu s členom 43(3) PDEU sprejme </w:t>
            </w:r>
            <w:r w:rsidRPr="003B2277">
              <w:rPr>
                <w:b/>
                <w:i/>
              </w:rPr>
              <w:t>pravila</w:t>
            </w:r>
            <w:r w:rsidRPr="003B2277">
              <w:t xml:space="preserve"> za določitev odkupnih cen za proizvode iz člena 11</w:t>
            </w:r>
            <w:r w:rsidRPr="003B2277">
              <w:rPr>
                <w:b/>
                <w:i/>
              </w:rPr>
              <w:t>.“</w:t>
            </w:r>
          </w:p>
        </w:tc>
      </w:tr>
    </w:tbl>
    <w:p w14:paraId="3AAD0A41" w14:textId="77777777" w:rsidR="006F5BFE" w:rsidRPr="003B2277" w:rsidRDefault="006F5BFE" w:rsidP="006F5BFE"/>
    <w:p w14:paraId="1B6F3FE6" w14:textId="0C37CFC4" w:rsidR="006F5BFE" w:rsidRPr="003B2277" w:rsidRDefault="003B2277" w:rsidP="006F5BFE">
      <w:pPr>
        <w:pStyle w:val="AMNumberTabs"/>
        <w:keepNext/>
      </w:pPr>
      <w:r>
        <w:t>Sprememba</w:t>
      </w:r>
      <w:r w:rsidR="006F5BFE" w:rsidRPr="003B2277">
        <w:tab/>
      </w:r>
      <w:r w:rsidR="006F5BFE" w:rsidRPr="003B2277">
        <w:tab/>
        <w:t>56</w:t>
      </w:r>
    </w:p>
    <w:p w14:paraId="15F31DB1" w14:textId="77777777" w:rsidR="006F5BFE" w:rsidRPr="003B2277" w:rsidRDefault="006F5BFE" w:rsidP="006F5BFE">
      <w:pPr>
        <w:pStyle w:val="NormalBold12b"/>
      </w:pPr>
      <w:r w:rsidRPr="003B2277">
        <w:t>Predlog uredbe</w:t>
      </w:r>
    </w:p>
    <w:p w14:paraId="2AC6DF8D" w14:textId="77777777" w:rsidR="006F5BFE" w:rsidRPr="003B2277" w:rsidRDefault="006F5BFE" w:rsidP="006F5BFE">
      <w:pPr>
        <w:pStyle w:val="NormalBold"/>
      </w:pPr>
      <w:r w:rsidRPr="003B2277">
        <w:t>Člen 1 – odstavek 1 – točka 3 f (novo)</w:t>
      </w:r>
    </w:p>
    <w:p w14:paraId="2A7AEC4E" w14:textId="77777777" w:rsidR="006F5BFE" w:rsidRPr="003B2277" w:rsidRDefault="006F5BFE" w:rsidP="006F5BFE">
      <w:pPr>
        <w:keepNext/>
      </w:pPr>
      <w:r w:rsidRPr="003B2277">
        <w:t>Uredba (EU) št. 1308/2013</w:t>
      </w:r>
    </w:p>
    <w:p w14:paraId="48C83C22" w14:textId="77777777" w:rsidR="006F5BFE" w:rsidRPr="003B2277" w:rsidRDefault="006F5BFE" w:rsidP="006F5BFE">
      <w:r w:rsidRPr="003B2277">
        <w:t>Člen 15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A9A71DB" w14:textId="77777777" w:rsidTr="005B4D60">
        <w:trPr>
          <w:jc w:val="center"/>
        </w:trPr>
        <w:tc>
          <w:tcPr>
            <w:tcW w:w="9752" w:type="dxa"/>
            <w:gridSpan w:val="2"/>
          </w:tcPr>
          <w:p w14:paraId="44B7CF59" w14:textId="77777777" w:rsidR="006F5BFE" w:rsidRPr="003B2277" w:rsidRDefault="006F5BFE" w:rsidP="005B4D60">
            <w:pPr>
              <w:keepNext/>
            </w:pPr>
          </w:p>
        </w:tc>
      </w:tr>
      <w:tr w:rsidR="006F5BFE" w:rsidRPr="003B2277" w14:paraId="0C5CF348" w14:textId="77777777" w:rsidTr="005B4D60">
        <w:trPr>
          <w:jc w:val="center"/>
        </w:trPr>
        <w:tc>
          <w:tcPr>
            <w:tcW w:w="4876" w:type="dxa"/>
            <w:hideMark/>
          </w:tcPr>
          <w:p w14:paraId="720EC74E" w14:textId="77777777" w:rsidR="006F5BFE" w:rsidRPr="003B2277" w:rsidRDefault="006F5BFE" w:rsidP="005B4D60">
            <w:pPr>
              <w:pStyle w:val="ColumnHeading"/>
              <w:keepNext/>
            </w:pPr>
            <w:r w:rsidRPr="003B2277">
              <w:t>Veljavno besedilo</w:t>
            </w:r>
          </w:p>
        </w:tc>
        <w:tc>
          <w:tcPr>
            <w:tcW w:w="4876" w:type="dxa"/>
            <w:hideMark/>
          </w:tcPr>
          <w:p w14:paraId="3C00F8FE" w14:textId="542A38CA" w:rsidR="006F5BFE" w:rsidRPr="003B2277" w:rsidRDefault="003B2277" w:rsidP="005B4D60">
            <w:pPr>
              <w:pStyle w:val="ColumnHeading"/>
              <w:keepNext/>
            </w:pPr>
            <w:r>
              <w:t>Sprememba</w:t>
            </w:r>
          </w:p>
        </w:tc>
      </w:tr>
      <w:tr w:rsidR="006F5BFE" w:rsidRPr="003B2277" w14:paraId="4A85E605" w14:textId="77777777" w:rsidTr="005B4D60">
        <w:trPr>
          <w:jc w:val="center"/>
        </w:trPr>
        <w:tc>
          <w:tcPr>
            <w:tcW w:w="4876" w:type="dxa"/>
          </w:tcPr>
          <w:p w14:paraId="64EDBDD0" w14:textId="77777777" w:rsidR="006F5BFE" w:rsidRPr="003B2277" w:rsidRDefault="006F5BFE" w:rsidP="005B4D60">
            <w:pPr>
              <w:pStyle w:val="Normal6"/>
            </w:pPr>
          </w:p>
        </w:tc>
        <w:tc>
          <w:tcPr>
            <w:tcW w:w="4876" w:type="dxa"/>
            <w:hideMark/>
          </w:tcPr>
          <w:p w14:paraId="0F97B84C" w14:textId="77777777" w:rsidR="006F5BFE" w:rsidRPr="003B2277" w:rsidRDefault="006F5BFE" w:rsidP="005B4D60">
            <w:pPr>
              <w:pStyle w:val="Normal6"/>
              <w:rPr>
                <w:szCs w:val="24"/>
              </w:rPr>
            </w:pPr>
            <w:r w:rsidRPr="003B2277">
              <w:rPr>
                <w:b/>
                <w:i/>
              </w:rPr>
              <w:t>(3f)</w:t>
            </w:r>
            <w:r w:rsidRPr="003B2277">
              <w:rPr>
                <w:b/>
                <w:i/>
              </w:rPr>
              <w:tab/>
              <w:t>v členu 15 se odstavek 1 nadomesti z naslednjim:</w:t>
            </w:r>
          </w:p>
        </w:tc>
      </w:tr>
      <w:tr w:rsidR="006F5BFE" w:rsidRPr="003B2277" w14:paraId="75A42E7E" w14:textId="77777777" w:rsidTr="005B4D60">
        <w:trPr>
          <w:jc w:val="center"/>
        </w:trPr>
        <w:tc>
          <w:tcPr>
            <w:tcW w:w="4876" w:type="dxa"/>
            <w:hideMark/>
          </w:tcPr>
          <w:p w14:paraId="0DD62051" w14:textId="77777777" w:rsidR="006F5BFE" w:rsidRPr="003B2277" w:rsidRDefault="006F5BFE" w:rsidP="005B4D60">
            <w:pPr>
              <w:pStyle w:val="Normal6"/>
            </w:pPr>
            <w:r w:rsidRPr="003B2277">
              <w:t>1.</w:t>
            </w:r>
            <w:r w:rsidRPr="003B2277">
              <w:tab/>
              <w:t>Cena javne intervencije pomeni</w:t>
            </w:r>
            <w:r w:rsidRPr="003B2277">
              <w:rPr>
                <w:b/>
                <w:i/>
              </w:rPr>
              <w:t>:</w:t>
            </w:r>
          </w:p>
        </w:tc>
        <w:tc>
          <w:tcPr>
            <w:tcW w:w="4876" w:type="dxa"/>
            <w:hideMark/>
          </w:tcPr>
          <w:p w14:paraId="6AA27660" w14:textId="67676619" w:rsidR="006F5BFE" w:rsidRPr="003B2277" w:rsidRDefault="006F5BFE" w:rsidP="005B4D60">
            <w:pPr>
              <w:pStyle w:val="Normal6"/>
              <w:rPr>
                <w:szCs w:val="24"/>
              </w:rPr>
            </w:pPr>
            <w:r w:rsidRPr="003B2277">
              <w:rPr>
                <w:b/>
                <w:i/>
              </w:rPr>
              <w:t>„</w:t>
            </w:r>
            <w:r w:rsidRPr="003B2277">
              <w:t>1.</w:t>
            </w:r>
            <w:r w:rsidRPr="003B2277">
              <w:tab/>
              <w:t>Cena javne intervencije pomeni</w:t>
            </w:r>
            <w:r w:rsidRPr="003B2277">
              <w:rPr>
                <w:b/>
                <w:i/>
              </w:rPr>
              <w:t xml:space="preserve"> najvišjo ceno, po kateri se lahko odkupijo proizvodi, upravičeni do javne intervencije, kadar se odkup izvede z javnim razpisom.“</w:t>
            </w:r>
          </w:p>
        </w:tc>
      </w:tr>
      <w:tr w:rsidR="006F5BFE" w:rsidRPr="003B2277" w14:paraId="56CE2E72" w14:textId="77777777" w:rsidTr="005B4D60">
        <w:trPr>
          <w:jc w:val="center"/>
        </w:trPr>
        <w:tc>
          <w:tcPr>
            <w:tcW w:w="4876" w:type="dxa"/>
            <w:hideMark/>
          </w:tcPr>
          <w:p w14:paraId="36988E03" w14:textId="77777777" w:rsidR="006F5BFE" w:rsidRPr="003B2277" w:rsidRDefault="006F5BFE" w:rsidP="005B4D60">
            <w:pPr>
              <w:pStyle w:val="Normal6"/>
            </w:pPr>
            <w:r w:rsidRPr="003B2277">
              <w:rPr>
                <w:b/>
                <w:i/>
              </w:rPr>
              <w:t>(a) ceno, po kateri se proizvodi odkupijo v okviru javne intervencije, kadar se odkup izvede po fiksni ceni, ali</w:t>
            </w:r>
          </w:p>
        </w:tc>
        <w:tc>
          <w:tcPr>
            <w:tcW w:w="4876" w:type="dxa"/>
            <w:hideMark/>
          </w:tcPr>
          <w:p w14:paraId="158CD4D8" w14:textId="77777777" w:rsidR="006F5BFE" w:rsidRPr="003B2277" w:rsidRDefault="006F5BFE" w:rsidP="005B4D60">
            <w:pPr>
              <w:pStyle w:val="Normal6"/>
              <w:rPr>
                <w:szCs w:val="24"/>
              </w:rPr>
            </w:pPr>
          </w:p>
        </w:tc>
      </w:tr>
      <w:tr w:rsidR="006F5BFE" w:rsidRPr="003B2277" w14:paraId="2E492BA2" w14:textId="77777777" w:rsidTr="005B4D60">
        <w:trPr>
          <w:jc w:val="center"/>
        </w:trPr>
        <w:tc>
          <w:tcPr>
            <w:tcW w:w="4876" w:type="dxa"/>
            <w:hideMark/>
          </w:tcPr>
          <w:p w14:paraId="3ED8AC4C" w14:textId="77777777" w:rsidR="006F5BFE" w:rsidRPr="003B2277" w:rsidRDefault="006F5BFE" w:rsidP="005B4D60">
            <w:pPr>
              <w:pStyle w:val="Normal6"/>
            </w:pPr>
            <w:r w:rsidRPr="003B2277">
              <w:rPr>
                <w:b/>
                <w:i/>
              </w:rPr>
              <w:t>(b)</w:t>
            </w:r>
            <w:r w:rsidRPr="003B2277">
              <w:t xml:space="preserve"> </w:t>
            </w:r>
            <w:r w:rsidRPr="003B2277">
              <w:rPr>
                <w:b/>
                <w:i/>
              </w:rPr>
              <w:t>najvišjo ceno, po kateri se lahko odkupijo proizvodi, upravičeni do javne intervencije, kadar se odkup izvede z javnim razpisom.</w:t>
            </w:r>
          </w:p>
        </w:tc>
        <w:tc>
          <w:tcPr>
            <w:tcW w:w="4876" w:type="dxa"/>
          </w:tcPr>
          <w:p w14:paraId="1956B422" w14:textId="77777777" w:rsidR="006F5BFE" w:rsidRPr="003B2277" w:rsidRDefault="006F5BFE" w:rsidP="005B4D60">
            <w:pPr>
              <w:pStyle w:val="Normal6"/>
              <w:rPr>
                <w:szCs w:val="24"/>
              </w:rPr>
            </w:pPr>
          </w:p>
        </w:tc>
      </w:tr>
    </w:tbl>
    <w:p w14:paraId="2DA38A1D" w14:textId="77777777" w:rsidR="006F5BFE" w:rsidRPr="003B2277" w:rsidRDefault="006F5BFE" w:rsidP="006F5BFE"/>
    <w:p w14:paraId="75F64982" w14:textId="72D18C20" w:rsidR="006F5BFE" w:rsidRPr="003B2277" w:rsidRDefault="003B2277" w:rsidP="006F5BFE">
      <w:pPr>
        <w:pStyle w:val="AMNumberTabs"/>
        <w:keepNext/>
      </w:pPr>
      <w:r>
        <w:t>Sprememba</w:t>
      </w:r>
      <w:r w:rsidR="006F5BFE" w:rsidRPr="003B2277">
        <w:tab/>
      </w:r>
      <w:r w:rsidR="006F5BFE" w:rsidRPr="003B2277">
        <w:tab/>
        <w:t>57</w:t>
      </w:r>
    </w:p>
    <w:p w14:paraId="046EEB4E" w14:textId="77777777" w:rsidR="006F5BFE" w:rsidRPr="003B2277" w:rsidRDefault="006F5BFE" w:rsidP="006F5BFE">
      <w:pPr>
        <w:pStyle w:val="NormalBold12b"/>
      </w:pPr>
      <w:r w:rsidRPr="003B2277">
        <w:t>Predlog uredbe</w:t>
      </w:r>
    </w:p>
    <w:p w14:paraId="2E45B22E" w14:textId="77777777" w:rsidR="006F5BFE" w:rsidRPr="003B2277" w:rsidRDefault="006F5BFE" w:rsidP="006F5BFE">
      <w:pPr>
        <w:pStyle w:val="NormalBold"/>
      </w:pPr>
      <w:r w:rsidRPr="003B2277">
        <w:t>Člen 1 – odstavek 1 – točka 3 g (novo)</w:t>
      </w:r>
    </w:p>
    <w:p w14:paraId="42D153F2" w14:textId="77777777" w:rsidR="006F5BFE" w:rsidRPr="003B2277" w:rsidRDefault="006F5BFE" w:rsidP="006F5BFE">
      <w:pPr>
        <w:keepNext/>
      </w:pPr>
      <w:r w:rsidRPr="003B2277">
        <w:t>Uredba (EU) št. 1308/2013</w:t>
      </w:r>
    </w:p>
    <w:p w14:paraId="738E3E75" w14:textId="77777777" w:rsidR="006F5BFE" w:rsidRPr="003B2277" w:rsidRDefault="006F5BFE" w:rsidP="006F5BFE">
      <w:r w:rsidRPr="003B2277">
        <w:t>Člen 15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B2F46BD" w14:textId="77777777" w:rsidTr="005B4D60">
        <w:trPr>
          <w:jc w:val="center"/>
        </w:trPr>
        <w:tc>
          <w:tcPr>
            <w:tcW w:w="9752" w:type="dxa"/>
            <w:gridSpan w:val="2"/>
          </w:tcPr>
          <w:p w14:paraId="32FEFCA6" w14:textId="77777777" w:rsidR="006F5BFE" w:rsidRPr="003B2277" w:rsidRDefault="006F5BFE" w:rsidP="005B4D60">
            <w:pPr>
              <w:keepNext/>
            </w:pPr>
          </w:p>
        </w:tc>
      </w:tr>
      <w:tr w:rsidR="006F5BFE" w:rsidRPr="003B2277" w14:paraId="53CDC3AF" w14:textId="77777777" w:rsidTr="005B4D60">
        <w:trPr>
          <w:jc w:val="center"/>
        </w:trPr>
        <w:tc>
          <w:tcPr>
            <w:tcW w:w="4876" w:type="dxa"/>
            <w:hideMark/>
          </w:tcPr>
          <w:p w14:paraId="5FB9CA14" w14:textId="77777777" w:rsidR="006F5BFE" w:rsidRPr="003B2277" w:rsidRDefault="006F5BFE" w:rsidP="005B4D60">
            <w:pPr>
              <w:pStyle w:val="ColumnHeading"/>
              <w:keepNext/>
            </w:pPr>
            <w:r w:rsidRPr="003B2277">
              <w:t>Veljavno besedilo</w:t>
            </w:r>
          </w:p>
        </w:tc>
        <w:tc>
          <w:tcPr>
            <w:tcW w:w="4876" w:type="dxa"/>
            <w:hideMark/>
          </w:tcPr>
          <w:p w14:paraId="758A4032" w14:textId="6BF9934B" w:rsidR="006F5BFE" w:rsidRPr="003B2277" w:rsidRDefault="003B2277" w:rsidP="005B4D60">
            <w:pPr>
              <w:pStyle w:val="ColumnHeading"/>
              <w:keepNext/>
            </w:pPr>
            <w:r>
              <w:t>Sprememba</w:t>
            </w:r>
          </w:p>
        </w:tc>
      </w:tr>
      <w:tr w:rsidR="006F5BFE" w:rsidRPr="003B2277" w14:paraId="4C1C759D" w14:textId="77777777" w:rsidTr="005B4D60">
        <w:trPr>
          <w:jc w:val="center"/>
        </w:trPr>
        <w:tc>
          <w:tcPr>
            <w:tcW w:w="4876" w:type="dxa"/>
          </w:tcPr>
          <w:p w14:paraId="17D904CA" w14:textId="77777777" w:rsidR="006F5BFE" w:rsidRPr="003B2277" w:rsidRDefault="006F5BFE" w:rsidP="005B4D60">
            <w:pPr>
              <w:pStyle w:val="Normal6"/>
            </w:pPr>
          </w:p>
        </w:tc>
        <w:tc>
          <w:tcPr>
            <w:tcW w:w="4876" w:type="dxa"/>
            <w:hideMark/>
          </w:tcPr>
          <w:p w14:paraId="7B9988A7" w14:textId="77777777" w:rsidR="006F5BFE" w:rsidRPr="003B2277" w:rsidRDefault="006F5BFE" w:rsidP="005B4D60">
            <w:pPr>
              <w:pStyle w:val="Normal6"/>
              <w:rPr>
                <w:szCs w:val="24"/>
              </w:rPr>
            </w:pPr>
            <w:r w:rsidRPr="003B2277">
              <w:rPr>
                <w:b/>
                <w:i/>
              </w:rPr>
              <w:t>(3g)</w:t>
            </w:r>
            <w:r w:rsidRPr="003B2277">
              <w:rPr>
                <w:b/>
                <w:i/>
              </w:rPr>
              <w:tab/>
              <w:t>v členu 15 se odstavek 2 nadomesti z naslednjim:</w:t>
            </w:r>
          </w:p>
        </w:tc>
      </w:tr>
      <w:tr w:rsidR="006F5BFE" w:rsidRPr="003B2277" w14:paraId="76413A18" w14:textId="77777777" w:rsidTr="005B4D60">
        <w:trPr>
          <w:jc w:val="center"/>
        </w:trPr>
        <w:tc>
          <w:tcPr>
            <w:tcW w:w="4876" w:type="dxa"/>
            <w:hideMark/>
          </w:tcPr>
          <w:p w14:paraId="7AD8E71E" w14:textId="77777777" w:rsidR="006F5BFE" w:rsidRPr="003B2277" w:rsidRDefault="006F5BFE" w:rsidP="005B4D60">
            <w:pPr>
              <w:pStyle w:val="Normal6"/>
            </w:pPr>
            <w:r w:rsidRPr="003B2277">
              <w:t>2.</w:t>
            </w:r>
            <w:r w:rsidRPr="003B2277">
              <w:rPr>
                <w:b/>
                <w:i/>
              </w:rPr>
              <w:tab/>
              <w:t>Ukrepe</w:t>
            </w:r>
            <w:r w:rsidRPr="003B2277">
              <w:t xml:space="preserve"> za določitev višine cene javne intervencije, vključno z zneski povišanj in znižanj, sprejme Svet v skladu s členom 43(3) PDEU.</w:t>
            </w:r>
          </w:p>
        </w:tc>
        <w:tc>
          <w:tcPr>
            <w:tcW w:w="4876" w:type="dxa"/>
            <w:hideMark/>
          </w:tcPr>
          <w:p w14:paraId="6E2756FE" w14:textId="04C4B90F" w:rsidR="006F5BFE" w:rsidRPr="003B2277" w:rsidRDefault="006F5BFE" w:rsidP="005B4D60">
            <w:pPr>
              <w:pStyle w:val="Normal6"/>
              <w:rPr>
                <w:szCs w:val="24"/>
              </w:rPr>
            </w:pPr>
            <w:r w:rsidRPr="003B2277">
              <w:rPr>
                <w:b/>
                <w:i/>
              </w:rPr>
              <w:t>„</w:t>
            </w:r>
            <w:r w:rsidRPr="003B2277">
              <w:t>2.</w:t>
            </w:r>
            <w:r w:rsidRPr="003B2277">
              <w:rPr>
                <w:b/>
                <w:i/>
              </w:rPr>
              <w:tab/>
            </w:r>
            <w:r w:rsidRPr="003B2277">
              <w:t>Pravila za določitev višine cene javne intervencije, vključno z zneski povišanj in znižanj, sprejme Svet v skladu s členom 43(3) PDEU.</w:t>
            </w:r>
            <w:r w:rsidRPr="003B2277">
              <w:rPr>
                <w:b/>
                <w:i/>
              </w:rPr>
              <w:t>“</w:t>
            </w:r>
          </w:p>
        </w:tc>
      </w:tr>
    </w:tbl>
    <w:p w14:paraId="55265C06" w14:textId="1CD1D2D9" w:rsidR="006F5BFE" w:rsidRDefault="006F5BFE" w:rsidP="006F5BFE"/>
    <w:p w14:paraId="6B46F835" w14:textId="0F9FB590" w:rsidR="00EC3D4E" w:rsidRPr="007C3B21" w:rsidRDefault="008C7773" w:rsidP="00EC3D4E">
      <w:pPr>
        <w:pStyle w:val="AmNumberTabs0"/>
      </w:pPr>
      <w:r>
        <w:t>Sprememba</w:t>
      </w:r>
      <w:r w:rsidR="00EC3D4E" w:rsidRPr="007C3B21">
        <w:tab/>
      </w:r>
      <w:r w:rsidR="00EC3D4E" w:rsidRPr="007C3B21">
        <w:tab/>
        <w:t>266</w:t>
      </w:r>
    </w:p>
    <w:p w14:paraId="1CAD0843" w14:textId="77777777" w:rsidR="00EC3D4E" w:rsidRPr="007C3B21" w:rsidRDefault="00EC3D4E" w:rsidP="00EC3D4E">
      <w:pPr>
        <w:pStyle w:val="NormalBold12b"/>
      </w:pPr>
      <w:r w:rsidRPr="007C3B21">
        <w:t>Predlog uredbe</w:t>
      </w:r>
    </w:p>
    <w:p w14:paraId="3522A152" w14:textId="7F2EB097" w:rsidR="00EC3D4E" w:rsidRPr="007C3B21" w:rsidRDefault="00490A22" w:rsidP="00EC3D4E">
      <w:pPr>
        <w:pStyle w:val="NormalBold"/>
      </w:pPr>
      <w:r>
        <w:t>Člen 1 – odstavek 1 – točka 3 h</w:t>
      </w:r>
      <w:r w:rsidR="00EC3D4E" w:rsidRPr="007C3B21">
        <w:t xml:space="preserve"> (novo)</w:t>
      </w:r>
    </w:p>
    <w:p w14:paraId="0C939C5C" w14:textId="77777777" w:rsidR="00EC3D4E" w:rsidRPr="007C3B21" w:rsidRDefault="00EC3D4E" w:rsidP="00EC3D4E">
      <w:r w:rsidRPr="007C3B21">
        <w:t>Uredba (EU) št. 1308/2013</w:t>
      </w:r>
    </w:p>
    <w:p w14:paraId="15E23989" w14:textId="4D228BBD" w:rsidR="00EC3D4E" w:rsidRPr="007C3B21" w:rsidRDefault="00EC3D4E" w:rsidP="00EC3D4E">
      <w:r w:rsidRPr="007C3B21">
        <w:t>Člen 15 – odstavek 2</w:t>
      </w:r>
      <w:r w:rsidR="00490A22">
        <w:t xml:space="preserv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C3D4E" w:rsidRPr="007C3B21" w14:paraId="1F424B30" w14:textId="77777777" w:rsidTr="00EC3D4E">
        <w:trPr>
          <w:trHeight w:hRule="exact" w:val="240"/>
          <w:jc w:val="center"/>
        </w:trPr>
        <w:tc>
          <w:tcPr>
            <w:tcW w:w="9752" w:type="dxa"/>
            <w:gridSpan w:val="2"/>
          </w:tcPr>
          <w:p w14:paraId="22C5F485" w14:textId="77777777" w:rsidR="00EC3D4E" w:rsidRPr="007C3B21" w:rsidRDefault="00EC3D4E" w:rsidP="00EC3D4E"/>
        </w:tc>
      </w:tr>
      <w:tr w:rsidR="00EC3D4E" w:rsidRPr="007C3B21" w14:paraId="30C6BF2A" w14:textId="77777777" w:rsidTr="00EC3D4E">
        <w:trPr>
          <w:trHeight w:val="240"/>
          <w:jc w:val="center"/>
        </w:trPr>
        <w:tc>
          <w:tcPr>
            <w:tcW w:w="4876" w:type="dxa"/>
          </w:tcPr>
          <w:p w14:paraId="4D4B451B" w14:textId="77777777" w:rsidR="00EC3D4E" w:rsidRPr="007C3B21" w:rsidRDefault="00EC3D4E" w:rsidP="00EC3D4E">
            <w:pPr>
              <w:pStyle w:val="AmColumnHeading"/>
            </w:pPr>
            <w:r w:rsidRPr="007C3B21">
              <w:t>Besedilo, ki ga predlaga Komisija</w:t>
            </w:r>
          </w:p>
        </w:tc>
        <w:tc>
          <w:tcPr>
            <w:tcW w:w="4876" w:type="dxa"/>
          </w:tcPr>
          <w:p w14:paraId="5BA70063" w14:textId="4609753A" w:rsidR="00EC3D4E" w:rsidRPr="007C3B21" w:rsidRDefault="008C7773" w:rsidP="00EC3D4E">
            <w:pPr>
              <w:pStyle w:val="AmColumnHeading"/>
            </w:pPr>
            <w:r>
              <w:t>Sprememba</w:t>
            </w:r>
          </w:p>
        </w:tc>
      </w:tr>
      <w:tr w:rsidR="00EC3D4E" w:rsidRPr="007C3B21" w14:paraId="364DD431" w14:textId="77777777" w:rsidTr="00EC3D4E">
        <w:trPr>
          <w:jc w:val="center"/>
        </w:trPr>
        <w:tc>
          <w:tcPr>
            <w:tcW w:w="4876" w:type="dxa"/>
          </w:tcPr>
          <w:p w14:paraId="53A088FF" w14:textId="77777777" w:rsidR="00EC3D4E" w:rsidRPr="007C3B21" w:rsidRDefault="00EC3D4E" w:rsidP="00EC3D4E">
            <w:pPr>
              <w:pStyle w:val="Normal6a"/>
            </w:pPr>
          </w:p>
        </w:tc>
        <w:tc>
          <w:tcPr>
            <w:tcW w:w="4876" w:type="dxa"/>
          </w:tcPr>
          <w:p w14:paraId="50B47734" w14:textId="59D20774" w:rsidR="00EC3D4E" w:rsidRPr="007C3B21" w:rsidRDefault="00490A22" w:rsidP="00EC3D4E">
            <w:pPr>
              <w:pStyle w:val="Normal6a"/>
            </w:pPr>
            <w:r>
              <w:rPr>
                <w:b/>
                <w:i/>
              </w:rPr>
              <w:t>(3h</w:t>
            </w:r>
            <w:r w:rsidR="00EC3D4E" w:rsidRPr="007C3B21">
              <w:rPr>
                <w:b/>
                <w:i/>
              </w:rPr>
              <w:t>)</w:t>
            </w:r>
            <w:r w:rsidR="00EC3D4E" w:rsidRPr="007C3B21">
              <w:tab/>
            </w:r>
            <w:r w:rsidR="00EC3D4E" w:rsidRPr="007C3B21">
              <w:rPr>
                <w:b/>
                <w:i/>
              </w:rPr>
              <w:t>v členu 15 se doda naslednji odstavek:</w:t>
            </w:r>
          </w:p>
        </w:tc>
      </w:tr>
      <w:tr w:rsidR="00EC3D4E" w:rsidRPr="007C3B21" w14:paraId="6BB57306" w14:textId="77777777" w:rsidTr="00EC3D4E">
        <w:trPr>
          <w:jc w:val="center"/>
        </w:trPr>
        <w:tc>
          <w:tcPr>
            <w:tcW w:w="4876" w:type="dxa"/>
          </w:tcPr>
          <w:p w14:paraId="62D22E85" w14:textId="77777777" w:rsidR="00EC3D4E" w:rsidRPr="007C3B21" w:rsidRDefault="00EC3D4E" w:rsidP="00EC3D4E">
            <w:pPr>
              <w:pStyle w:val="Normal6a"/>
            </w:pPr>
          </w:p>
        </w:tc>
        <w:tc>
          <w:tcPr>
            <w:tcW w:w="4876" w:type="dxa"/>
          </w:tcPr>
          <w:p w14:paraId="344F9289" w14:textId="77777777" w:rsidR="00EC3D4E" w:rsidRPr="007C3B21" w:rsidRDefault="00EC3D4E" w:rsidP="00EC3D4E">
            <w:pPr>
              <w:pStyle w:val="Normal6a"/>
            </w:pPr>
            <w:r w:rsidRPr="007C3B21">
              <w:rPr>
                <w:b/>
                <w:i/>
              </w:rPr>
              <w:t>„2a. Svet pri določanju višine cene javne intervencije uporabi objektivna in pregledna merila, ki so skladna s ciljem zagotavljanja primerne življenjske ravni kmetijske skupnosti v skladu s členom 39 PDEU.“</w:t>
            </w:r>
          </w:p>
        </w:tc>
      </w:tr>
    </w:tbl>
    <w:p w14:paraId="38929ABC" w14:textId="77777777" w:rsidR="00EC3D4E" w:rsidRPr="003B2277" w:rsidRDefault="00EC3D4E" w:rsidP="006F5BFE"/>
    <w:p w14:paraId="6394A3C2" w14:textId="74E41997" w:rsidR="006F5BFE" w:rsidRDefault="006F5BFE" w:rsidP="006F5BFE"/>
    <w:p w14:paraId="6DB6A07A" w14:textId="6F94FE15" w:rsidR="00EC3D4E" w:rsidRDefault="00EC3D4E" w:rsidP="006F5BFE"/>
    <w:p w14:paraId="6F63663B" w14:textId="674FC6B2" w:rsidR="00EC3D4E" w:rsidRPr="00F06F54" w:rsidRDefault="008C7773" w:rsidP="00EC3D4E">
      <w:pPr>
        <w:pStyle w:val="AmNumberTabs0"/>
      </w:pPr>
      <w:r>
        <w:t>Sprememba</w:t>
      </w:r>
      <w:r w:rsidR="00EC3D4E" w:rsidRPr="00F06F54">
        <w:tab/>
      </w:r>
      <w:r w:rsidR="00EC3D4E" w:rsidRPr="00F06F54">
        <w:tab/>
        <w:t>232</w:t>
      </w:r>
    </w:p>
    <w:p w14:paraId="5355C963" w14:textId="77777777" w:rsidR="00EC3D4E" w:rsidRPr="00F06F54" w:rsidRDefault="00EC3D4E" w:rsidP="00EC3D4E">
      <w:pPr>
        <w:pStyle w:val="NormalBold12b"/>
      </w:pPr>
      <w:r w:rsidRPr="00F06F54">
        <w:t>Predlog uredbe</w:t>
      </w:r>
    </w:p>
    <w:p w14:paraId="1D1BC0CB" w14:textId="5BFC17EE" w:rsidR="00EC3D4E" w:rsidRPr="00F06F54" w:rsidRDefault="00EC3D4E" w:rsidP="00EC3D4E">
      <w:pPr>
        <w:pStyle w:val="NormalBold"/>
      </w:pPr>
      <w:r w:rsidRPr="00F06F54">
        <w:t xml:space="preserve">Člen 2 – odstavek 1 – točka 3 </w:t>
      </w:r>
      <w:r w:rsidR="00490A22">
        <w:t>i</w:t>
      </w:r>
      <w:r w:rsidRPr="00F06F54">
        <w:t xml:space="preserve"> (novo)</w:t>
      </w:r>
    </w:p>
    <w:p w14:paraId="4CBFFFD1" w14:textId="77777777" w:rsidR="00EC3D4E" w:rsidRPr="00F06F54" w:rsidRDefault="00EC3D4E" w:rsidP="00EC3D4E">
      <w:r w:rsidRPr="00F06F54">
        <w:t>Uredba (EU) št. 1308/2013</w:t>
      </w:r>
    </w:p>
    <w:p w14:paraId="7CC5C71E" w14:textId="77777777" w:rsidR="00EC3D4E" w:rsidRPr="00F06F54" w:rsidRDefault="00EC3D4E" w:rsidP="00EC3D4E">
      <w:r w:rsidRPr="00F06F54">
        <w:t>Člen 16</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EC3D4E" w:rsidRPr="00F06F54" w14:paraId="7EF867EA" w14:textId="77777777" w:rsidTr="00EC3D4E">
        <w:trPr>
          <w:jc w:val="center"/>
        </w:trPr>
        <w:tc>
          <w:tcPr>
            <w:tcW w:w="9752" w:type="dxa"/>
            <w:gridSpan w:val="2"/>
          </w:tcPr>
          <w:p w14:paraId="4A74D411" w14:textId="77777777" w:rsidR="00EC3D4E" w:rsidRPr="00F06F54" w:rsidRDefault="00EC3D4E" w:rsidP="00EC3D4E">
            <w:pPr>
              <w:keepNext/>
            </w:pPr>
          </w:p>
        </w:tc>
      </w:tr>
      <w:tr w:rsidR="00EC3D4E" w:rsidRPr="00F06F54" w14:paraId="18D367BF" w14:textId="77777777" w:rsidTr="00EC3D4E">
        <w:trPr>
          <w:jc w:val="center"/>
        </w:trPr>
        <w:tc>
          <w:tcPr>
            <w:tcW w:w="4876" w:type="dxa"/>
          </w:tcPr>
          <w:p w14:paraId="1AB770C0" w14:textId="77777777" w:rsidR="00EC3D4E" w:rsidRPr="00F06F54" w:rsidRDefault="00EC3D4E" w:rsidP="00EC3D4E">
            <w:pPr>
              <w:pStyle w:val="AmColumnHeading"/>
              <w:keepNext/>
            </w:pPr>
            <w:r w:rsidRPr="00F06F54">
              <w:t>Veljavno besedilo</w:t>
            </w:r>
          </w:p>
        </w:tc>
        <w:tc>
          <w:tcPr>
            <w:tcW w:w="4876" w:type="dxa"/>
          </w:tcPr>
          <w:p w14:paraId="0A6D293B" w14:textId="15BFAD0D" w:rsidR="00EC3D4E" w:rsidRPr="00F06F54" w:rsidRDefault="008C7773" w:rsidP="00EC3D4E">
            <w:pPr>
              <w:pStyle w:val="AmColumnHeading"/>
              <w:keepNext/>
            </w:pPr>
            <w:r>
              <w:t>Sprememba</w:t>
            </w:r>
          </w:p>
        </w:tc>
      </w:tr>
      <w:tr w:rsidR="00EC3D4E" w:rsidRPr="00F06F54" w14:paraId="43494D0D" w14:textId="77777777" w:rsidTr="00EC3D4E">
        <w:trPr>
          <w:jc w:val="center"/>
        </w:trPr>
        <w:tc>
          <w:tcPr>
            <w:tcW w:w="4876" w:type="dxa"/>
          </w:tcPr>
          <w:p w14:paraId="013FBD6B" w14:textId="77777777" w:rsidR="00EC3D4E" w:rsidRPr="00F06F54" w:rsidRDefault="00EC3D4E" w:rsidP="00EC3D4E">
            <w:pPr>
              <w:pStyle w:val="Normal6"/>
            </w:pPr>
          </w:p>
        </w:tc>
        <w:tc>
          <w:tcPr>
            <w:tcW w:w="4876" w:type="dxa"/>
          </w:tcPr>
          <w:p w14:paraId="055259BD" w14:textId="6216EEDC" w:rsidR="00EC3D4E" w:rsidRPr="00F06F54" w:rsidRDefault="00490A22" w:rsidP="00EC3D4E">
            <w:pPr>
              <w:pStyle w:val="Normal6"/>
              <w:rPr>
                <w:szCs w:val="24"/>
              </w:rPr>
            </w:pPr>
            <w:r>
              <w:rPr>
                <w:b/>
                <w:i/>
              </w:rPr>
              <w:t>(3i</w:t>
            </w:r>
            <w:r w:rsidR="00EC3D4E" w:rsidRPr="00F06F54">
              <w:rPr>
                <w:b/>
                <w:i/>
              </w:rPr>
              <w:t>)</w:t>
            </w:r>
            <w:r w:rsidR="00EC3D4E" w:rsidRPr="00F06F54">
              <w:rPr>
                <w:b/>
                <w:i/>
              </w:rPr>
              <w:tab/>
              <w:t>člen 16 se nadomesti z naslednjim:</w:t>
            </w:r>
          </w:p>
        </w:tc>
      </w:tr>
      <w:tr w:rsidR="00EC3D4E" w:rsidRPr="00F06F54" w14:paraId="63F272CB" w14:textId="77777777" w:rsidTr="00EC3D4E">
        <w:trPr>
          <w:jc w:val="center"/>
        </w:trPr>
        <w:tc>
          <w:tcPr>
            <w:tcW w:w="4876" w:type="dxa"/>
          </w:tcPr>
          <w:p w14:paraId="6E1DC332" w14:textId="77777777" w:rsidR="00EC3D4E" w:rsidRPr="00F06F54" w:rsidRDefault="00EC3D4E" w:rsidP="00EC3D4E">
            <w:pPr>
              <w:pStyle w:val="Normal6"/>
              <w:jc w:val="center"/>
            </w:pPr>
            <w:r w:rsidRPr="00F06F54">
              <w:t>Člen 16</w:t>
            </w:r>
          </w:p>
        </w:tc>
        <w:tc>
          <w:tcPr>
            <w:tcW w:w="4876" w:type="dxa"/>
          </w:tcPr>
          <w:p w14:paraId="06D63D18" w14:textId="77777777" w:rsidR="00EC3D4E" w:rsidRPr="00F06F54" w:rsidRDefault="00EC3D4E" w:rsidP="00EC3D4E">
            <w:pPr>
              <w:pStyle w:val="Normal6"/>
              <w:rPr>
                <w:szCs w:val="24"/>
              </w:rPr>
            </w:pPr>
            <w:r w:rsidRPr="00FD1F1B">
              <w:rPr>
                <w:b/>
                <w:i/>
              </w:rPr>
              <w:t>„</w:t>
            </w:r>
            <w:r w:rsidRPr="00F06F54">
              <w:t>Člen 16</w:t>
            </w:r>
          </w:p>
        </w:tc>
      </w:tr>
      <w:tr w:rsidR="00EC3D4E" w:rsidRPr="00F06F54" w14:paraId="3C248F17" w14:textId="77777777" w:rsidTr="00EC3D4E">
        <w:trPr>
          <w:jc w:val="center"/>
        </w:trPr>
        <w:tc>
          <w:tcPr>
            <w:tcW w:w="4876" w:type="dxa"/>
          </w:tcPr>
          <w:p w14:paraId="672AD4F9" w14:textId="77777777" w:rsidR="00EC3D4E" w:rsidRPr="00F06F54" w:rsidRDefault="00EC3D4E" w:rsidP="00EC3D4E">
            <w:pPr>
              <w:pStyle w:val="Normal6"/>
            </w:pPr>
            <w:r w:rsidRPr="00F06F54">
              <w:t>Splošna načela o odpremi iz javne intervencije</w:t>
            </w:r>
          </w:p>
        </w:tc>
        <w:tc>
          <w:tcPr>
            <w:tcW w:w="4876" w:type="dxa"/>
          </w:tcPr>
          <w:p w14:paraId="71393EA1" w14:textId="77777777" w:rsidR="00EC3D4E" w:rsidRPr="00F06F54" w:rsidRDefault="00EC3D4E" w:rsidP="00EC3D4E">
            <w:pPr>
              <w:pStyle w:val="Normal6"/>
              <w:rPr>
                <w:szCs w:val="24"/>
              </w:rPr>
            </w:pPr>
            <w:r w:rsidRPr="00F06F54">
              <w:t>Splošna načela o odpremi iz javne intervencije</w:t>
            </w:r>
          </w:p>
        </w:tc>
      </w:tr>
      <w:tr w:rsidR="00EC3D4E" w:rsidRPr="00F06F54" w14:paraId="461B1530" w14:textId="77777777" w:rsidTr="00EC3D4E">
        <w:trPr>
          <w:jc w:val="center"/>
        </w:trPr>
        <w:tc>
          <w:tcPr>
            <w:tcW w:w="4876" w:type="dxa"/>
          </w:tcPr>
          <w:p w14:paraId="61922EB5" w14:textId="77777777" w:rsidR="00EC3D4E" w:rsidRPr="00F06F54" w:rsidRDefault="00EC3D4E" w:rsidP="00EC3D4E">
            <w:pPr>
              <w:pStyle w:val="Normal6"/>
            </w:pPr>
            <w:r w:rsidRPr="00F06F54">
              <w:t>1.</w:t>
            </w:r>
            <w:r w:rsidRPr="00F06F54">
              <w:tab/>
              <w:t>Odprema proizvodov, odkupljenih v okviru javne intervencije, se izvede na način, ki:</w:t>
            </w:r>
          </w:p>
        </w:tc>
        <w:tc>
          <w:tcPr>
            <w:tcW w:w="4876" w:type="dxa"/>
          </w:tcPr>
          <w:p w14:paraId="4016CF4A" w14:textId="77777777" w:rsidR="00EC3D4E" w:rsidRPr="00F06F54" w:rsidRDefault="00EC3D4E" w:rsidP="00EC3D4E">
            <w:pPr>
              <w:pStyle w:val="Normal6"/>
              <w:rPr>
                <w:szCs w:val="24"/>
              </w:rPr>
            </w:pPr>
            <w:r w:rsidRPr="00F06F54">
              <w:t>1.</w:t>
            </w:r>
            <w:r w:rsidRPr="00F06F54">
              <w:tab/>
              <w:t>Odprema proizvodov, odkupljenih v okviru javne intervencije, se izvede na način, ki:</w:t>
            </w:r>
          </w:p>
        </w:tc>
      </w:tr>
      <w:tr w:rsidR="00EC3D4E" w:rsidRPr="00F06F54" w14:paraId="0643AEE1" w14:textId="77777777" w:rsidTr="00EC3D4E">
        <w:trPr>
          <w:jc w:val="center"/>
        </w:trPr>
        <w:tc>
          <w:tcPr>
            <w:tcW w:w="4876" w:type="dxa"/>
          </w:tcPr>
          <w:p w14:paraId="18089AF9" w14:textId="77777777" w:rsidR="00EC3D4E" w:rsidRPr="00F06F54" w:rsidRDefault="00EC3D4E" w:rsidP="00EC3D4E">
            <w:pPr>
              <w:pStyle w:val="Normal6"/>
            </w:pPr>
            <w:r w:rsidRPr="00F06F54">
              <w:t>(a)</w:t>
            </w:r>
            <w:r w:rsidRPr="00F06F54">
              <w:tab/>
              <w:t>preprečuje morebitne motnje na trgu;</w:t>
            </w:r>
          </w:p>
        </w:tc>
        <w:tc>
          <w:tcPr>
            <w:tcW w:w="4876" w:type="dxa"/>
          </w:tcPr>
          <w:p w14:paraId="1D2DEF57" w14:textId="77777777" w:rsidR="00EC3D4E" w:rsidRPr="00F06F54" w:rsidRDefault="00EC3D4E" w:rsidP="00EC3D4E">
            <w:pPr>
              <w:pStyle w:val="Normal6"/>
              <w:rPr>
                <w:szCs w:val="24"/>
              </w:rPr>
            </w:pPr>
            <w:r w:rsidRPr="00F06F54">
              <w:t>(a)</w:t>
            </w:r>
            <w:r w:rsidRPr="00F06F54">
              <w:tab/>
              <w:t>preprečuje morebitne motnje na trgu;</w:t>
            </w:r>
          </w:p>
        </w:tc>
      </w:tr>
      <w:tr w:rsidR="00EC3D4E" w:rsidRPr="00F06F54" w14:paraId="46E33759" w14:textId="77777777" w:rsidTr="00EC3D4E">
        <w:trPr>
          <w:jc w:val="center"/>
        </w:trPr>
        <w:tc>
          <w:tcPr>
            <w:tcW w:w="4876" w:type="dxa"/>
          </w:tcPr>
          <w:p w14:paraId="6D98B225" w14:textId="77777777" w:rsidR="00EC3D4E" w:rsidRPr="00F06F54" w:rsidRDefault="00EC3D4E" w:rsidP="00EC3D4E">
            <w:pPr>
              <w:pStyle w:val="Normal6"/>
            </w:pPr>
            <w:r w:rsidRPr="00F06F54">
              <w:t>(b)</w:t>
            </w:r>
            <w:r w:rsidRPr="00F06F54">
              <w:tab/>
              <w:t>zagotavlja enak dostop do blaga in enako obravnavanje kupcev ter</w:t>
            </w:r>
          </w:p>
        </w:tc>
        <w:tc>
          <w:tcPr>
            <w:tcW w:w="4876" w:type="dxa"/>
          </w:tcPr>
          <w:p w14:paraId="15F72F6D" w14:textId="77777777" w:rsidR="00EC3D4E" w:rsidRPr="00F06F54" w:rsidRDefault="00EC3D4E" w:rsidP="00EC3D4E">
            <w:pPr>
              <w:pStyle w:val="Normal6"/>
              <w:rPr>
                <w:szCs w:val="24"/>
              </w:rPr>
            </w:pPr>
            <w:r w:rsidRPr="00F06F54">
              <w:t>(b)</w:t>
            </w:r>
            <w:r w:rsidRPr="00F06F54">
              <w:tab/>
              <w:t>zagotavlja enak dostop do blaga in enako obravnavanje kupcev ter</w:t>
            </w:r>
          </w:p>
        </w:tc>
      </w:tr>
      <w:tr w:rsidR="00EC3D4E" w:rsidRPr="00F06F54" w14:paraId="5EB6A9C7" w14:textId="77777777" w:rsidTr="00EC3D4E">
        <w:trPr>
          <w:jc w:val="center"/>
        </w:trPr>
        <w:tc>
          <w:tcPr>
            <w:tcW w:w="4876" w:type="dxa"/>
          </w:tcPr>
          <w:p w14:paraId="15CF2781" w14:textId="77777777" w:rsidR="00EC3D4E" w:rsidRPr="00F06F54" w:rsidRDefault="00EC3D4E" w:rsidP="00EC3D4E">
            <w:pPr>
              <w:pStyle w:val="Normal6"/>
            </w:pPr>
            <w:r w:rsidRPr="00F06F54">
              <w:t>(c)</w:t>
            </w:r>
            <w:r w:rsidRPr="00F06F54">
              <w:tab/>
              <w:t>je skladen z zavezami iz mednarodnih sporazumov, sklenjenih v skladu s PDEU.</w:t>
            </w:r>
          </w:p>
        </w:tc>
        <w:tc>
          <w:tcPr>
            <w:tcW w:w="4876" w:type="dxa"/>
          </w:tcPr>
          <w:p w14:paraId="472B2EFE" w14:textId="77777777" w:rsidR="00EC3D4E" w:rsidRPr="00F06F54" w:rsidRDefault="00EC3D4E" w:rsidP="00EC3D4E">
            <w:pPr>
              <w:pStyle w:val="Normal6"/>
              <w:rPr>
                <w:szCs w:val="24"/>
              </w:rPr>
            </w:pPr>
            <w:r w:rsidRPr="00F06F54">
              <w:t>(c)</w:t>
            </w:r>
            <w:r w:rsidRPr="00F06F54">
              <w:tab/>
              <w:t>je skladen z zavezami iz mednarodnih sporazumov, sklenjenih v skladu s PDEU.</w:t>
            </w:r>
          </w:p>
        </w:tc>
      </w:tr>
      <w:tr w:rsidR="00EC3D4E" w:rsidRPr="00F06F54" w14:paraId="5A306E52" w14:textId="77777777" w:rsidTr="00EC3D4E">
        <w:trPr>
          <w:jc w:val="center"/>
        </w:trPr>
        <w:tc>
          <w:tcPr>
            <w:tcW w:w="4876" w:type="dxa"/>
          </w:tcPr>
          <w:p w14:paraId="209C1987" w14:textId="77777777" w:rsidR="00EC3D4E" w:rsidRPr="00F06F54" w:rsidRDefault="00EC3D4E" w:rsidP="00EC3D4E">
            <w:pPr>
              <w:pStyle w:val="Normal6"/>
            </w:pPr>
            <w:r w:rsidRPr="00F06F54">
              <w:t>2.</w:t>
            </w:r>
            <w:r w:rsidRPr="00F06F54">
              <w:tab/>
              <w:t>Proizvode, ki so bili odkupljeni v okviru javne intervencije, je mogoče odpremiti tako, da se dajo na razpolago za sistem razdeljevanja hrane najbolj ogroženim osebam v Uniji, določen v zadevnih pravnih aktih Unije. V takšnih primerih je obračunska vrednost takšnih proizvodov enaka višini ustrezne fiksne cene javne intervencije iz člena 14(2) te uredbe.</w:t>
            </w:r>
          </w:p>
        </w:tc>
        <w:tc>
          <w:tcPr>
            <w:tcW w:w="4876" w:type="dxa"/>
          </w:tcPr>
          <w:p w14:paraId="1F8C088B" w14:textId="77777777" w:rsidR="00EC3D4E" w:rsidRPr="00F06F54" w:rsidRDefault="00EC3D4E" w:rsidP="00EC3D4E">
            <w:pPr>
              <w:pStyle w:val="Normal6"/>
              <w:rPr>
                <w:szCs w:val="24"/>
              </w:rPr>
            </w:pPr>
            <w:r w:rsidRPr="00F06F54">
              <w:t>2.</w:t>
            </w:r>
            <w:r w:rsidRPr="00F06F54">
              <w:tab/>
              <w:t>Proizvode, ki so bili odkupljeni v okviru javne intervencije, je mogoče odpremiti tako, da se dajo na razpolago za sistem razdeljevanja hrane najbolj ogroženim osebam v Uniji, določen v zadevnih pravnih aktih Unije. V takšnih primerih je obračunska vrednost takšnih proizvodov enaka višini ustrezne fiksne cene javne intervencije iz člena 14(2) te uredbe.</w:t>
            </w:r>
          </w:p>
        </w:tc>
      </w:tr>
      <w:tr w:rsidR="00EC3D4E" w:rsidRPr="00F06F54" w14:paraId="1E460F01" w14:textId="77777777" w:rsidTr="00EC3D4E">
        <w:trPr>
          <w:jc w:val="center"/>
        </w:trPr>
        <w:tc>
          <w:tcPr>
            <w:tcW w:w="4876" w:type="dxa"/>
          </w:tcPr>
          <w:p w14:paraId="0F0537FA" w14:textId="77777777" w:rsidR="00EC3D4E" w:rsidRPr="00F06F54" w:rsidRDefault="00EC3D4E" w:rsidP="00EC3D4E">
            <w:pPr>
              <w:pStyle w:val="Normal6"/>
            </w:pPr>
          </w:p>
        </w:tc>
        <w:tc>
          <w:tcPr>
            <w:tcW w:w="4876" w:type="dxa"/>
          </w:tcPr>
          <w:p w14:paraId="564132C8" w14:textId="77777777" w:rsidR="00EC3D4E" w:rsidRPr="00F06F54" w:rsidRDefault="00EC3D4E" w:rsidP="00EC3D4E">
            <w:pPr>
              <w:pStyle w:val="Normal6"/>
              <w:rPr>
                <w:szCs w:val="24"/>
              </w:rPr>
            </w:pPr>
            <w:r w:rsidRPr="00F06F54">
              <w:rPr>
                <w:b/>
                <w:i/>
              </w:rPr>
              <w:t>2a.</w:t>
            </w:r>
            <w:r w:rsidRPr="00F06F54">
              <w:rPr>
                <w:b/>
                <w:i/>
              </w:rPr>
              <w:tab/>
              <w:t>Države članice Komisijo obvestijo o identiteti podjetij, ki uporabljajo javno intervencijo, in kupcih javnih intervencijskih zalog.</w:t>
            </w:r>
          </w:p>
        </w:tc>
      </w:tr>
      <w:tr w:rsidR="00EC3D4E" w:rsidRPr="00F06F54" w14:paraId="5A1CC42A" w14:textId="77777777" w:rsidTr="00EC3D4E">
        <w:trPr>
          <w:jc w:val="center"/>
        </w:trPr>
        <w:tc>
          <w:tcPr>
            <w:tcW w:w="4876" w:type="dxa"/>
          </w:tcPr>
          <w:p w14:paraId="00BA65DF" w14:textId="77777777" w:rsidR="00EC3D4E" w:rsidRPr="00F06F54" w:rsidRDefault="00EC3D4E" w:rsidP="00EC3D4E">
            <w:pPr>
              <w:pStyle w:val="Normal6"/>
            </w:pPr>
            <w:r w:rsidRPr="00F06F54">
              <w:t>3.</w:t>
            </w:r>
            <w:r w:rsidRPr="00F06F54">
              <w:tab/>
              <w:t>Komisija vsako leto objavi podrobne pogoje, pod katerimi so bile v predhodnem letu prodani proizvodi, odkupljeni v okviru javne intervencije.</w:t>
            </w:r>
          </w:p>
        </w:tc>
        <w:tc>
          <w:tcPr>
            <w:tcW w:w="4876" w:type="dxa"/>
          </w:tcPr>
          <w:p w14:paraId="09E2BA96" w14:textId="77777777" w:rsidR="00EC3D4E" w:rsidRPr="00F06F54" w:rsidRDefault="00EC3D4E" w:rsidP="00EC3D4E">
            <w:pPr>
              <w:pStyle w:val="Normal6"/>
              <w:rPr>
                <w:szCs w:val="24"/>
              </w:rPr>
            </w:pPr>
            <w:r w:rsidRPr="00F06F54">
              <w:t>3.</w:t>
            </w:r>
            <w:r w:rsidRPr="00F06F54">
              <w:rPr>
                <w:b/>
                <w:i/>
              </w:rPr>
              <w:tab/>
            </w:r>
            <w:r w:rsidRPr="00F06F54">
              <w:t xml:space="preserve">Komisija vsako leto objavi podrobne pogoje, pod katerimi so bili v predhodnem letu </w:t>
            </w:r>
            <w:r w:rsidRPr="00F06F54">
              <w:rPr>
                <w:b/>
                <w:i/>
              </w:rPr>
              <w:t>odkupljeni, če je ustrezno, in</w:t>
            </w:r>
            <w:r w:rsidRPr="00F06F54">
              <w:t xml:space="preserve"> prodani proizvodi, odkupljeni v okviru javne intervencije. </w:t>
            </w:r>
            <w:r w:rsidRPr="00F06F54">
              <w:rPr>
                <w:b/>
                <w:i/>
              </w:rPr>
              <w:t>Ti podatki vključujejo identiteto podjetij, zadevne količine ter nakupne in prodajne cene.“</w:t>
            </w:r>
          </w:p>
        </w:tc>
      </w:tr>
    </w:tbl>
    <w:p w14:paraId="41E4537B" w14:textId="77777777" w:rsidR="00EC3D4E" w:rsidRPr="003B2277" w:rsidRDefault="00EC3D4E" w:rsidP="006F5BFE"/>
    <w:p w14:paraId="585B391E" w14:textId="278294F2" w:rsidR="006F5BFE" w:rsidRPr="003B2277" w:rsidRDefault="003B2277" w:rsidP="006F5BFE">
      <w:pPr>
        <w:pStyle w:val="AMNumberTabs"/>
        <w:keepNext/>
      </w:pPr>
      <w:r>
        <w:t>Sprememba</w:t>
      </w:r>
      <w:r w:rsidR="006F5BFE" w:rsidRPr="003B2277">
        <w:tab/>
      </w:r>
      <w:r w:rsidR="006F5BFE" w:rsidRPr="003B2277">
        <w:tab/>
        <w:t>59</w:t>
      </w:r>
    </w:p>
    <w:p w14:paraId="3EAB2677" w14:textId="77777777" w:rsidR="006F5BFE" w:rsidRPr="003B2277" w:rsidRDefault="006F5BFE" w:rsidP="006F5BFE">
      <w:pPr>
        <w:pStyle w:val="NormalBold12b"/>
      </w:pPr>
      <w:r w:rsidRPr="003B2277">
        <w:t>Predlog uredbe</w:t>
      </w:r>
    </w:p>
    <w:p w14:paraId="46EF72A8" w14:textId="515B2B9E" w:rsidR="006F5BFE" w:rsidRPr="003B2277" w:rsidRDefault="006F5BFE" w:rsidP="006F5BFE">
      <w:pPr>
        <w:pStyle w:val="NormalBold"/>
      </w:pPr>
      <w:r w:rsidRPr="003B2277">
        <w:t xml:space="preserve">Člen 1 – odstavek 1 – točka 3 </w:t>
      </w:r>
      <w:r w:rsidR="00490A22">
        <w:t>j</w:t>
      </w:r>
      <w:r w:rsidRPr="003B2277">
        <w:t xml:space="preserve"> (novo)</w:t>
      </w:r>
    </w:p>
    <w:p w14:paraId="6B0E5F2F" w14:textId="77777777" w:rsidR="006F5BFE" w:rsidRPr="003B2277" w:rsidRDefault="006F5BFE" w:rsidP="006F5BFE">
      <w:pPr>
        <w:keepNext/>
      </w:pPr>
      <w:r w:rsidRPr="003B2277">
        <w:t>Uredba (EU) št. 1308/2013</w:t>
      </w:r>
    </w:p>
    <w:p w14:paraId="21668B35" w14:textId="77777777" w:rsidR="006F5BFE" w:rsidRPr="003B2277" w:rsidRDefault="006F5BFE" w:rsidP="006F5BFE">
      <w:r w:rsidRPr="003B2277">
        <w:t>Člen 17 – odstavek 1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71C77D9" w14:textId="77777777" w:rsidTr="005B4D60">
        <w:trPr>
          <w:jc w:val="center"/>
        </w:trPr>
        <w:tc>
          <w:tcPr>
            <w:tcW w:w="9752" w:type="dxa"/>
            <w:gridSpan w:val="2"/>
          </w:tcPr>
          <w:p w14:paraId="75F730EA" w14:textId="77777777" w:rsidR="006F5BFE" w:rsidRPr="003B2277" w:rsidRDefault="006F5BFE" w:rsidP="005B4D60">
            <w:pPr>
              <w:keepNext/>
            </w:pPr>
          </w:p>
        </w:tc>
      </w:tr>
      <w:tr w:rsidR="006F5BFE" w:rsidRPr="003B2277" w14:paraId="26799C18" w14:textId="77777777" w:rsidTr="005B4D60">
        <w:trPr>
          <w:jc w:val="center"/>
        </w:trPr>
        <w:tc>
          <w:tcPr>
            <w:tcW w:w="4876" w:type="dxa"/>
            <w:hideMark/>
          </w:tcPr>
          <w:p w14:paraId="0A2E769C" w14:textId="77777777" w:rsidR="006F5BFE" w:rsidRPr="003B2277" w:rsidRDefault="006F5BFE" w:rsidP="005B4D60">
            <w:pPr>
              <w:pStyle w:val="ColumnHeading"/>
              <w:keepNext/>
            </w:pPr>
            <w:r w:rsidRPr="003B2277">
              <w:t>Veljavno besedilo</w:t>
            </w:r>
          </w:p>
        </w:tc>
        <w:tc>
          <w:tcPr>
            <w:tcW w:w="4876" w:type="dxa"/>
            <w:hideMark/>
          </w:tcPr>
          <w:p w14:paraId="3388E9AF" w14:textId="5798D5C3" w:rsidR="006F5BFE" w:rsidRPr="003B2277" w:rsidRDefault="003B2277" w:rsidP="005B4D60">
            <w:pPr>
              <w:pStyle w:val="ColumnHeading"/>
              <w:keepNext/>
            </w:pPr>
            <w:r>
              <w:t>Sprememba</w:t>
            </w:r>
          </w:p>
        </w:tc>
      </w:tr>
      <w:tr w:rsidR="006F5BFE" w:rsidRPr="003B2277" w14:paraId="47503906" w14:textId="77777777" w:rsidTr="005B4D60">
        <w:trPr>
          <w:jc w:val="center"/>
        </w:trPr>
        <w:tc>
          <w:tcPr>
            <w:tcW w:w="4876" w:type="dxa"/>
          </w:tcPr>
          <w:p w14:paraId="2265FD11" w14:textId="77777777" w:rsidR="006F5BFE" w:rsidRPr="003B2277" w:rsidRDefault="006F5BFE" w:rsidP="005B4D60">
            <w:pPr>
              <w:pStyle w:val="Normal6"/>
            </w:pPr>
          </w:p>
        </w:tc>
        <w:tc>
          <w:tcPr>
            <w:tcW w:w="4876" w:type="dxa"/>
            <w:hideMark/>
          </w:tcPr>
          <w:p w14:paraId="3DAA3F6E" w14:textId="2B05DDD0" w:rsidR="006F5BFE" w:rsidRPr="003B2277" w:rsidRDefault="006F5BFE" w:rsidP="00490A22">
            <w:pPr>
              <w:pStyle w:val="Normal6"/>
              <w:rPr>
                <w:szCs w:val="24"/>
              </w:rPr>
            </w:pPr>
            <w:r w:rsidRPr="003B2277">
              <w:rPr>
                <w:b/>
                <w:i/>
              </w:rPr>
              <w:t>(3</w:t>
            </w:r>
            <w:r w:rsidR="00490A22">
              <w:rPr>
                <w:b/>
                <w:i/>
              </w:rPr>
              <w:t>j</w:t>
            </w:r>
            <w:r w:rsidRPr="003B2277">
              <w:rPr>
                <w:b/>
                <w:i/>
              </w:rPr>
              <w:t>)</w:t>
            </w:r>
            <w:r w:rsidRPr="003B2277">
              <w:rPr>
                <w:b/>
                <w:i/>
              </w:rPr>
              <w:tab/>
              <w:t xml:space="preserve">prvi odstavek člena 17(b) se </w:t>
            </w:r>
            <w:r w:rsidR="00490A22">
              <w:rPr>
                <w:b/>
                <w:i/>
              </w:rPr>
              <w:t>nadomesti z naslednjim</w:t>
            </w:r>
            <w:r w:rsidRPr="003B2277">
              <w:rPr>
                <w:b/>
                <w:i/>
              </w:rPr>
              <w:t>:</w:t>
            </w:r>
          </w:p>
        </w:tc>
      </w:tr>
      <w:tr w:rsidR="006F5BFE" w:rsidRPr="003B2277" w14:paraId="5DFA7036" w14:textId="77777777" w:rsidTr="005B4D60">
        <w:trPr>
          <w:jc w:val="center"/>
        </w:trPr>
        <w:tc>
          <w:tcPr>
            <w:tcW w:w="4876" w:type="dxa"/>
            <w:hideMark/>
          </w:tcPr>
          <w:p w14:paraId="6BA881C1" w14:textId="77777777" w:rsidR="006F5BFE" w:rsidRPr="003B2277" w:rsidRDefault="006F5BFE" w:rsidP="005B4D60">
            <w:pPr>
              <w:pStyle w:val="Normal6"/>
            </w:pPr>
            <w:r w:rsidRPr="003B2277">
              <w:t>(b) oljčno olje;</w:t>
            </w:r>
          </w:p>
        </w:tc>
        <w:tc>
          <w:tcPr>
            <w:tcW w:w="4876" w:type="dxa"/>
            <w:hideMark/>
          </w:tcPr>
          <w:p w14:paraId="3A86BC81" w14:textId="68D42F5D" w:rsidR="006F5BFE" w:rsidRPr="003B2277" w:rsidRDefault="006F5BFE" w:rsidP="005B4D60">
            <w:pPr>
              <w:pStyle w:val="Normal6"/>
              <w:rPr>
                <w:szCs w:val="24"/>
              </w:rPr>
            </w:pPr>
            <w:r w:rsidRPr="003B2277">
              <w:rPr>
                <w:b/>
                <w:i/>
              </w:rPr>
              <w:t>„</w:t>
            </w:r>
            <w:r w:rsidRPr="003B2277">
              <w:t xml:space="preserve">(b) </w:t>
            </w:r>
            <w:r w:rsidR="00490A22" w:rsidRPr="003B2277">
              <w:rPr>
                <w:b/>
                <w:i/>
              </w:rPr>
              <w:tab/>
            </w:r>
            <w:r w:rsidRPr="003B2277">
              <w:t xml:space="preserve">oljčno olje </w:t>
            </w:r>
            <w:r w:rsidRPr="003B2277">
              <w:rPr>
                <w:b/>
                <w:i/>
              </w:rPr>
              <w:t>in namizne oljke</w:t>
            </w:r>
            <w:r w:rsidRPr="003B2277">
              <w:t>;</w:t>
            </w:r>
            <w:r w:rsidRPr="003B2277">
              <w:rPr>
                <w:b/>
                <w:i/>
              </w:rPr>
              <w:t>“</w:t>
            </w:r>
          </w:p>
        </w:tc>
      </w:tr>
    </w:tbl>
    <w:p w14:paraId="4DDFDF82" w14:textId="77777777" w:rsidR="006F5BFE" w:rsidRPr="003B2277" w:rsidRDefault="006F5BFE" w:rsidP="006F5BFE"/>
    <w:p w14:paraId="208E64CE" w14:textId="1D4D8F7B" w:rsidR="006F5BFE" w:rsidRPr="003B2277" w:rsidRDefault="003B2277" w:rsidP="006F5BFE">
      <w:pPr>
        <w:pStyle w:val="AMNumberTabs"/>
        <w:keepNext/>
      </w:pPr>
      <w:r>
        <w:t>Sprememba</w:t>
      </w:r>
      <w:r w:rsidR="006F5BFE" w:rsidRPr="003B2277">
        <w:tab/>
      </w:r>
      <w:r w:rsidR="006F5BFE" w:rsidRPr="003B2277">
        <w:tab/>
        <w:t>60</w:t>
      </w:r>
    </w:p>
    <w:p w14:paraId="11BDFFDE" w14:textId="77777777" w:rsidR="006F5BFE" w:rsidRPr="003B2277" w:rsidRDefault="006F5BFE" w:rsidP="006F5BFE">
      <w:pPr>
        <w:pStyle w:val="NormalBold12b"/>
      </w:pPr>
      <w:r w:rsidRPr="003B2277">
        <w:t>Predlog uredbe</w:t>
      </w:r>
    </w:p>
    <w:p w14:paraId="410D90A2" w14:textId="7E31BE67" w:rsidR="006F5BFE" w:rsidRPr="003B2277" w:rsidRDefault="006F5BFE" w:rsidP="006F5BFE">
      <w:pPr>
        <w:pStyle w:val="NormalBold"/>
      </w:pPr>
      <w:r w:rsidRPr="003B2277">
        <w:t xml:space="preserve">Člen 1 – odstavek 1 – točka 3 </w:t>
      </w:r>
      <w:r w:rsidR="00490A22">
        <w:t>k</w:t>
      </w:r>
      <w:r w:rsidRPr="003B2277">
        <w:t xml:space="preserve"> (novo)</w:t>
      </w:r>
    </w:p>
    <w:p w14:paraId="40727E67" w14:textId="77777777" w:rsidR="006F5BFE" w:rsidRPr="003B2277" w:rsidRDefault="006F5BFE" w:rsidP="006F5BFE">
      <w:pPr>
        <w:keepNext/>
      </w:pPr>
      <w:r w:rsidRPr="003B2277">
        <w:t>Uredba (EU) št. 1308/2013</w:t>
      </w:r>
    </w:p>
    <w:p w14:paraId="0368104F" w14:textId="77777777" w:rsidR="006F5BFE" w:rsidRPr="003B2277" w:rsidRDefault="006F5BFE" w:rsidP="006F5BFE">
      <w:r w:rsidRPr="003B2277">
        <w:t>Člen 17 – odstavek 1 – točka i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9E40C2B" w14:textId="77777777" w:rsidTr="005B4D60">
        <w:trPr>
          <w:jc w:val="center"/>
        </w:trPr>
        <w:tc>
          <w:tcPr>
            <w:tcW w:w="9752" w:type="dxa"/>
            <w:gridSpan w:val="2"/>
          </w:tcPr>
          <w:p w14:paraId="4A4666D6" w14:textId="77777777" w:rsidR="006F5BFE" w:rsidRPr="003B2277" w:rsidRDefault="006F5BFE" w:rsidP="005B4D60">
            <w:pPr>
              <w:keepNext/>
            </w:pPr>
          </w:p>
        </w:tc>
      </w:tr>
      <w:tr w:rsidR="006F5BFE" w:rsidRPr="003B2277" w14:paraId="065A35CD" w14:textId="77777777" w:rsidTr="005B4D60">
        <w:trPr>
          <w:jc w:val="center"/>
        </w:trPr>
        <w:tc>
          <w:tcPr>
            <w:tcW w:w="4876" w:type="dxa"/>
            <w:hideMark/>
          </w:tcPr>
          <w:p w14:paraId="0CB37ABB" w14:textId="77777777" w:rsidR="006F5BFE" w:rsidRPr="003B2277" w:rsidRDefault="006F5BFE" w:rsidP="005B4D60">
            <w:pPr>
              <w:pStyle w:val="ColumnHeading"/>
              <w:keepNext/>
            </w:pPr>
            <w:r w:rsidRPr="003B2277">
              <w:t>Besedilo, ki ga predlaga Komisija</w:t>
            </w:r>
          </w:p>
        </w:tc>
        <w:tc>
          <w:tcPr>
            <w:tcW w:w="4876" w:type="dxa"/>
            <w:hideMark/>
          </w:tcPr>
          <w:p w14:paraId="5C7818BF" w14:textId="43861BE7" w:rsidR="006F5BFE" w:rsidRPr="003B2277" w:rsidRDefault="003B2277" w:rsidP="005B4D60">
            <w:pPr>
              <w:pStyle w:val="ColumnHeading"/>
              <w:keepNext/>
            </w:pPr>
            <w:r>
              <w:t>Sprememba</w:t>
            </w:r>
          </w:p>
        </w:tc>
      </w:tr>
      <w:tr w:rsidR="006F5BFE" w:rsidRPr="003B2277" w14:paraId="00629E1B" w14:textId="77777777" w:rsidTr="005B4D60">
        <w:trPr>
          <w:jc w:val="center"/>
        </w:trPr>
        <w:tc>
          <w:tcPr>
            <w:tcW w:w="4876" w:type="dxa"/>
          </w:tcPr>
          <w:p w14:paraId="4DCEA7DA" w14:textId="77777777" w:rsidR="006F5BFE" w:rsidRPr="003B2277" w:rsidRDefault="006F5BFE" w:rsidP="005B4D60">
            <w:pPr>
              <w:pStyle w:val="Normal6"/>
            </w:pPr>
          </w:p>
        </w:tc>
        <w:tc>
          <w:tcPr>
            <w:tcW w:w="4876" w:type="dxa"/>
            <w:hideMark/>
          </w:tcPr>
          <w:p w14:paraId="0C0A40BF" w14:textId="556267FB" w:rsidR="006F5BFE" w:rsidRPr="003B2277" w:rsidRDefault="006F5BFE" w:rsidP="005B4D60">
            <w:pPr>
              <w:pStyle w:val="Normal6"/>
              <w:rPr>
                <w:szCs w:val="24"/>
              </w:rPr>
            </w:pPr>
            <w:r w:rsidRPr="003B2277">
              <w:rPr>
                <w:b/>
                <w:i/>
              </w:rPr>
              <w:t>(3</w:t>
            </w:r>
            <w:r w:rsidR="00490A22">
              <w:rPr>
                <w:b/>
                <w:i/>
              </w:rPr>
              <w:t>k</w:t>
            </w:r>
            <w:r w:rsidRPr="003B2277">
              <w:rPr>
                <w:b/>
                <w:i/>
              </w:rPr>
              <w:t>)</w:t>
            </w:r>
            <w:r w:rsidRPr="003B2277">
              <w:rPr>
                <w:b/>
                <w:i/>
              </w:rPr>
              <w:tab/>
              <w:t>v prvem odstavku člena 17 se doda naslednja točka:</w:t>
            </w:r>
          </w:p>
        </w:tc>
      </w:tr>
      <w:tr w:rsidR="006F5BFE" w:rsidRPr="003B2277" w14:paraId="31B4CEB8" w14:textId="77777777" w:rsidTr="005B4D60">
        <w:trPr>
          <w:jc w:val="center"/>
        </w:trPr>
        <w:tc>
          <w:tcPr>
            <w:tcW w:w="4876" w:type="dxa"/>
          </w:tcPr>
          <w:p w14:paraId="6258268E" w14:textId="77777777" w:rsidR="006F5BFE" w:rsidRPr="003B2277" w:rsidRDefault="006F5BFE" w:rsidP="005B4D60">
            <w:pPr>
              <w:pStyle w:val="Normal6"/>
            </w:pPr>
          </w:p>
        </w:tc>
        <w:tc>
          <w:tcPr>
            <w:tcW w:w="4876" w:type="dxa"/>
            <w:hideMark/>
          </w:tcPr>
          <w:p w14:paraId="6ACC10FE" w14:textId="29B1A1AB" w:rsidR="006F5BFE" w:rsidRPr="003B2277" w:rsidRDefault="006F5BFE" w:rsidP="005B4D60">
            <w:pPr>
              <w:pStyle w:val="Normal6"/>
              <w:rPr>
                <w:szCs w:val="24"/>
              </w:rPr>
            </w:pPr>
            <w:r w:rsidRPr="003B2277">
              <w:rPr>
                <w:b/>
                <w:i/>
              </w:rPr>
              <w:t xml:space="preserve">„(ia) </w:t>
            </w:r>
            <w:r w:rsidR="00490A22" w:rsidRPr="003B2277">
              <w:rPr>
                <w:b/>
                <w:i/>
              </w:rPr>
              <w:tab/>
            </w:r>
            <w:r w:rsidRPr="003B2277">
              <w:rPr>
                <w:b/>
                <w:i/>
              </w:rPr>
              <w:t>riž.“</w:t>
            </w:r>
          </w:p>
        </w:tc>
      </w:tr>
    </w:tbl>
    <w:p w14:paraId="465F933C" w14:textId="77777777" w:rsidR="00EC3D4E" w:rsidRDefault="00EC3D4E" w:rsidP="00EC3D4E"/>
    <w:p w14:paraId="5BA033BC" w14:textId="48227817" w:rsidR="00EC3D4E" w:rsidRPr="00556734" w:rsidRDefault="008C7773" w:rsidP="00EC3D4E">
      <w:pPr>
        <w:pStyle w:val="AmNumberTabs0"/>
      </w:pPr>
      <w:r>
        <w:t>Sprememba</w:t>
      </w:r>
      <w:r w:rsidR="00EC3D4E" w:rsidRPr="00556734">
        <w:tab/>
      </w:r>
      <w:r w:rsidR="00EC3D4E" w:rsidRPr="00556734">
        <w:tab/>
        <w:t>257</w:t>
      </w:r>
    </w:p>
    <w:p w14:paraId="2BED87AB" w14:textId="77777777" w:rsidR="00EC3D4E" w:rsidRPr="00556734" w:rsidRDefault="00EC3D4E" w:rsidP="00EC3D4E">
      <w:pPr>
        <w:pStyle w:val="NormalBold12b"/>
      </w:pPr>
      <w:r w:rsidRPr="00556734">
        <w:t>Predlog uredbe</w:t>
      </w:r>
    </w:p>
    <w:p w14:paraId="527A72D4" w14:textId="77777777" w:rsidR="00EC3D4E" w:rsidRPr="00556734" w:rsidRDefault="00EC3D4E" w:rsidP="00EC3D4E">
      <w:pPr>
        <w:pStyle w:val="NormalBold"/>
      </w:pPr>
      <w:r w:rsidRPr="00556734">
        <w:t>Člen 1 – odstavek 1 – točka 4 – točka b a (novo)</w:t>
      </w:r>
    </w:p>
    <w:p w14:paraId="3E940256" w14:textId="77777777" w:rsidR="00EC3D4E" w:rsidRPr="00556734" w:rsidRDefault="00EC3D4E" w:rsidP="00EC3D4E">
      <w:r w:rsidRPr="00556734">
        <w:t>Uredba (EU) št. 1308/2013</w:t>
      </w:r>
    </w:p>
    <w:p w14:paraId="4F2A767B" w14:textId="77777777" w:rsidR="00EC3D4E" w:rsidRPr="00556734" w:rsidRDefault="00EC3D4E" w:rsidP="00EC3D4E">
      <w:r w:rsidRPr="00556734">
        <w:t>Člen 23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C3D4E" w:rsidRPr="00556734" w14:paraId="278E3E3D" w14:textId="77777777" w:rsidTr="00EC3D4E">
        <w:trPr>
          <w:trHeight w:hRule="exact" w:val="240"/>
          <w:jc w:val="center"/>
        </w:trPr>
        <w:tc>
          <w:tcPr>
            <w:tcW w:w="9752" w:type="dxa"/>
            <w:gridSpan w:val="2"/>
          </w:tcPr>
          <w:p w14:paraId="2B103356" w14:textId="77777777" w:rsidR="00EC3D4E" w:rsidRPr="00556734" w:rsidRDefault="00EC3D4E" w:rsidP="00EC3D4E"/>
        </w:tc>
      </w:tr>
      <w:tr w:rsidR="00EC3D4E" w:rsidRPr="00556734" w14:paraId="59338831" w14:textId="77777777" w:rsidTr="00EC3D4E">
        <w:trPr>
          <w:trHeight w:val="240"/>
          <w:jc w:val="center"/>
        </w:trPr>
        <w:tc>
          <w:tcPr>
            <w:tcW w:w="4876" w:type="dxa"/>
          </w:tcPr>
          <w:p w14:paraId="16F67564" w14:textId="77777777" w:rsidR="00EC3D4E" w:rsidRPr="00556734" w:rsidRDefault="00EC3D4E" w:rsidP="00EC3D4E">
            <w:pPr>
              <w:pStyle w:val="AmColumnHeading"/>
            </w:pPr>
            <w:r w:rsidRPr="00556734">
              <w:t>Veljavno besedilo</w:t>
            </w:r>
          </w:p>
        </w:tc>
        <w:tc>
          <w:tcPr>
            <w:tcW w:w="4876" w:type="dxa"/>
          </w:tcPr>
          <w:p w14:paraId="08023EE5" w14:textId="7BC4833E" w:rsidR="00EC3D4E" w:rsidRPr="00556734" w:rsidRDefault="008C7773" w:rsidP="00EC3D4E">
            <w:pPr>
              <w:pStyle w:val="AmColumnHeading"/>
            </w:pPr>
            <w:r>
              <w:t>Sprememba</w:t>
            </w:r>
          </w:p>
        </w:tc>
      </w:tr>
      <w:tr w:rsidR="00EC3D4E" w:rsidRPr="00556734" w14:paraId="3A9F3240" w14:textId="77777777" w:rsidTr="00EC3D4E">
        <w:trPr>
          <w:jc w:val="center"/>
        </w:trPr>
        <w:tc>
          <w:tcPr>
            <w:tcW w:w="4876" w:type="dxa"/>
          </w:tcPr>
          <w:p w14:paraId="28FCB810" w14:textId="77777777" w:rsidR="00EC3D4E" w:rsidRPr="00556734" w:rsidRDefault="00EC3D4E" w:rsidP="00EC3D4E">
            <w:pPr>
              <w:pStyle w:val="Normal6a"/>
            </w:pPr>
          </w:p>
        </w:tc>
        <w:tc>
          <w:tcPr>
            <w:tcW w:w="4876" w:type="dxa"/>
          </w:tcPr>
          <w:p w14:paraId="022E05BF" w14:textId="77777777" w:rsidR="00EC3D4E" w:rsidRPr="00556734" w:rsidRDefault="00EC3D4E" w:rsidP="00EC3D4E">
            <w:pPr>
              <w:pStyle w:val="Normal6a"/>
            </w:pPr>
            <w:r w:rsidRPr="00556734">
              <w:rPr>
                <w:b/>
                <w:i/>
              </w:rPr>
              <w:t>(ba)</w:t>
            </w:r>
            <w:r w:rsidRPr="00556734">
              <w:tab/>
            </w:r>
            <w:r w:rsidRPr="00556734">
              <w:rPr>
                <w:b/>
                <w:i/>
              </w:rPr>
              <w:t>v členu 23 se odstavek 3 nadomesti z naslednjim:</w:t>
            </w:r>
          </w:p>
        </w:tc>
      </w:tr>
      <w:tr w:rsidR="00EC3D4E" w:rsidRPr="00556734" w14:paraId="37233625" w14:textId="77777777" w:rsidTr="00EC3D4E">
        <w:trPr>
          <w:jc w:val="center"/>
        </w:trPr>
        <w:tc>
          <w:tcPr>
            <w:tcW w:w="4876" w:type="dxa"/>
          </w:tcPr>
          <w:p w14:paraId="08578E22" w14:textId="77777777" w:rsidR="00EC3D4E" w:rsidRPr="00556734" w:rsidRDefault="00EC3D4E" w:rsidP="00EC3D4E">
            <w:pPr>
              <w:pStyle w:val="Normal6a"/>
            </w:pPr>
            <w:r w:rsidRPr="00556734">
              <w:t xml:space="preserve">3. Države članice, ki želijo sodelovati v shemi pomoči, vzpostavljeni na podlagi odstavka 1 (v nadaljnjem besedilu: šolska shema), in ki zaprosijo za ustrezno pomoč Unije, ob upoštevanju nacionalnih okoliščin določijo </w:t>
            </w:r>
            <w:r w:rsidRPr="00556734">
              <w:rPr>
                <w:b/>
                <w:i/>
              </w:rPr>
              <w:t>prednostno</w:t>
            </w:r>
            <w:r w:rsidRPr="00556734">
              <w:t xml:space="preserve"> razdeljevanje proizvodov iz ene ali obeh naslednjih skupin:</w:t>
            </w:r>
          </w:p>
        </w:tc>
        <w:tc>
          <w:tcPr>
            <w:tcW w:w="4876" w:type="dxa"/>
          </w:tcPr>
          <w:p w14:paraId="21F46068" w14:textId="77777777" w:rsidR="00EC3D4E" w:rsidRPr="00556734" w:rsidRDefault="00EC3D4E" w:rsidP="00EC3D4E">
            <w:pPr>
              <w:pStyle w:val="Normal6a"/>
            </w:pPr>
            <w:r w:rsidRPr="00556734">
              <w:t>„3. Države članice, ki želijo sodelovati v shemi pomoči, vzpostavljeni na podlagi odstavka 1 (v nadaljnjem besedilu: šolska shema), in ki zaprosijo za ustrezno pomoč Unije, ob upoštevanju nacionalnih okoliščin določijo razdeljevanje proizvodov iz ene ali obeh naslednjih skupin:</w:t>
            </w:r>
          </w:p>
        </w:tc>
      </w:tr>
      <w:tr w:rsidR="00EC3D4E" w:rsidRPr="00556734" w14:paraId="32C47CC4" w14:textId="77777777" w:rsidTr="00EC3D4E">
        <w:trPr>
          <w:jc w:val="center"/>
        </w:trPr>
        <w:tc>
          <w:tcPr>
            <w:tcW w:w="4876" w:type="dxa"/>
          </w:tcPr>
          <w:p w14:paraId="5CE10467" w14:textId="77777777" w:rsidR="00EC3D4E" w:rsidRPr="00556734" w:rsidRDefault="00EC3D4E" w:rsidP="00EC3D4E">
            <w:pPr>
              <w:pStyle w:val="Normal6a"/>
            </w:pPr>
            <w:r w:rsidRPr="00556734">
              <w:t>(a) sadje in zelenjava ter sveži proizvodi iz sektorja banan;</w:t>
            </w:r>
          </w:p>
        </w:tc>
        <w:tc>
          <w:tcPr>
            <w:tcW w:w="4876" w:type="dxa"/>
          </w:tcPr>
          <w:p w14:paraId="3F72D0E3" w14:textId="77777777" w:rsidR="00EC3D4E" w:rsidRPr="00556734" w:rsidRDefault="00EC3D4E" w:rsidP="00EC3D4E">
            <w:pPr>
              <w:pStyle w:val="Normal6a"/>
            </w:pPr>
            <w:r w:rsidRPr="00556734">
              <w:t xml:space="preserve">(a) </w:t>
            </w:r>
            <w:r w:rsidRPr="00556734">
              <w:rPr>
                <w:b/>
                <w:i/>
              </w:rPr>
              <w:t>za sadje in zelenjavo:</w:t>
            </w:r>
          </w:p>
        </w:tc>
      </w:tr>
      <w:tr w:rsidR="00EC3D4E" w:rsidRPr="00556734" w14:paraId="5902CA42" w14:textId="77777777" w:rsidTr="00EC3D4E">
        <w:trPr>
          <w:jc w:val="center"/>
        </w:trPr>
        <w:tc>
          <w:tcPr>
            <w:tcW w:w="4876" w:type="dxa"/>
          </w:tcPr>
          <w:p w14:paraId="36F33F0C" w14:textId="77777777" w:rsidR="00EC3D4E" w:rsidRPr="00556734" w:rsidRDefault="00EC3D4E" w:rsidP="00EC3D4E">
            <w:pPr>
              <w:pStyle w:val="Normal6a"/>
            </w:pPr>
            <w:r w:rsidRPr="00556734">
              <w:rPr>
                <w:b/>
                <w:i/>
              </w:rPr>
              <w:t>(b)</w:t>
            </w:r>
            <w:r w:rsidRPr="00556734">
              <w:t xml:space="preserve"> konzumno mleko in konzumno mleko brez laktoze</w:t>
            </w:r>
            <w:r w:rsidRPr="00556734">
              <w:rPr>
                <w:b/>
                <w:i/>
              </w:rPr>
              <w:t>.</w:t>
            </w:r>
          </w:p>
        </w:tc>
        <w:tc>
          <w:tcPr>
            <w:tcW w:w="4876" w:type="dxa"/>
          </w:tcPr>
          <w:p w14:paraId="2CC69304" w14:textId="77777777" w:rsidR="00EC3D4E" w:rsidRPr="00556734" w:rsidRDefault="00EC3D4E" w:rsidP="00EC3D4E">
            <w:pPr>
              <w:pStyle w:val="Normal6a"/>
            </w:pPr>
            <w:r w:rsidRPr="00556734">
              <w:rPr>
                <w:b/>
                <w:i/>
              </w:rPr>
              <w:t>(i) prednostno</w:t>
            </w:r>
            <w:r w:rsidRPr="00556734">
              <w:t xml:space="preserve"> sadje in zelenjava ter sveži proizvodi iz sektorja banan;</w:t>
            </w:r>
          </w:p>
        </w:tc>
      </w:tr>
      <w:tr w:rsidR="00EC3D4E" w:rsidRPr="00556734" w14:paraId="7BCC0BAB" w14:textId="77777777" w:rsidTr="00EC3D4E">
        <w:trPr>
          <w:jc w:val="center"/>
        </w:trPr>
        <w:tc>
          <w:tcPr>
            <w:tcW w:w="4876" w:type="dxa"/>
          </w:tcPr>
          <w:p w14:paraId="5B161C98" w14:textId="77777777" w:rsidR="00EC3D4E" w:rsidRPr="00556734" w:rsidRDefault="00EC3D4E" w:rsidP="00EC3D4E">
            <w:pPr>
              <w:pStyle w:val="Normal6a"/>
            </w:pPr>
          </w:p>
        </w:tc>
        <w:tc>
          <w:tcPr>
            <w:tcW w:w="4876" w:type="dxa"/>
          </w:tcPr>
          <w:p w14:paraId="7A53CC28" w14:textId="77777777" w:rsidR="00EC3D4E" w:rsidRPr="00556734" w:rsidRDefault="00EC3D4E" w:rsidP="00EC3D4E">
            <w:pPr>
              <w:pStyle w:val="Normal6a"/>
            </w:pPr>
            <w:r w:rsidRPr="00556734">
              <w:rPr>
                <w:b/>
                <w:i/>
              </w:rPr>
              <w:t>(ii) proizvodi iz predelanega sadja in zelenjave;</w:t>
            </w:r>
          </w:p>
        </w:tc>
      </w:tr>
      <w:tr w:rsidR="00EC3D4E" w:rsidRPr="00556734" w14:paraId="54A55C2B" w14:textId="77777777" w:rsidTr="00EC3D4E">
        <w:trPr>
          <w:jc w:val="center"/>
        </w:trPr>
        <w:tc>
          <w:tcPr>
            <w:tcW w:w="4876" w:type="dxa"/>
          </w:tcPr>
          <w:p w14:paraId="5DE8AA1D" w14:textId="77777777" w:rsidR="00EC3D4E" w:rsidRPr="00556734" w:rsidRDefault="00EC3D4E" w:rsidP="00EC3D4E">
            <w:pPr>
              <w:pStyle w:val="Normal6a"/>
            </w:pPr>
          </w:p>
        </w:tc>
        <w:tc>
          <w:tcPr>
            <w:tcW w:w="4876" w:type="dxa"/>
          </w:tcPr>
          <w:p w14:paraId="41D2F247" w14:textId="77777777" w:rsidR="00EC3D4E" w:rsidRPr="00556734" w:rsidRDefault="00EC3D4E" w:rsidP="00EC3D4E">
            <w:pPr>
              <w:pStyle w:val="Normal6a"/>
            </w:pPr>
            <w:r w:rsidRPr="00556734">
              <w:rPr>
                <w:b/>
                <w:i/>
              </w:rPr>
              <w:t>(b) za mleko in mlečne izdelke:</w:t>
            </w:r>
          </w:p>
        </w:tc>
      </w:tr>
      <w:tr w:rsidR="00EC3D4E" w:rsidRPr="00556734" w14:paraId="4048E2BE" w14:textId="77777777" w:rsidTr="00EC3D4E">
        <w:trPr>
          <w:jc w:val="center"/>
        </w:trPr>
        <w:tc>
          <w:tcPr>
            <w:tcW w:w="4876" w:type="dxa"/>
          </w:tcPr>
          <w:p w14:paraId="66CDB74F" w14:textId="77777777" w:rsidR="00EC3D4E" w:rsidRPr="00556734" w:rsidRDefault="00EC3D4E" w:rsidP="00EC3D4E">
            <w:pPr>
              <w:pStyle w:val="Normal6a"/>
            </w:pPr>
          </w:p>
        </w:tc>
        <w:tc>
          <w:tcPr>
            <w:tcW w:w="4876" w:type="dxa"/>
          </w:tcPr>
          <w:p w14:paraId="7CFE3BCB" w14:textId="77777777" w:rsidR="00EC3D4E" w:rsidRPr="00556734" w:rsidRDefault="00EC3D4E" w:rsidP="00EC3D4E">
            <w:pPr>
              <w:pStyle w:val="Normal6a"/>
            </w:pPr>
            <w:r w:rsidRPr="00556734">
              <w:rPr>
                <w:b/>
                <w:i/>
              </w:rPr>
              <w:t>(i)</w:t>
            </w:r>
            <w:r w:rsidRPr="00556734">
              <w:t xml:space="preserve"> konzumno mleko in konzumno mleko brez laktoze</w:t>
            </w:r>
            <w:r w:rsidRPr="00556734">
              <w:rPr>
                <w:b/>
                <w:i/>
              </w:rPr>
              <w:t>;</w:t>
            </w:r>
          </w:p>
        </w:tc>
      </w:tr>
      <w:tr w:rsidR="00EC3D4E" w:rsidRPr="00556734" w14:paraId="22375954" w14:textId="77777777" w:rsidTr="00EC3D4E">
        <w:trPr>
          <w:jc w:val="center"/>
        </w:trPr>
        <w:tc>
          <w:tcPr>
            <w:tcW w:w="4876" w:type="dxa"/>
          </w:tcPr>
          <w:p w14:paraId="472F6093" w14:textId="77777777" w:rsidR="00EC3D4E" w:rsidRPr="00556734" w:rsidRDefault="00EC3D4E" w:rsidP="00EC3D4E">
            <w:pPr>
              <w:pStyle w:val="Normal6a"/>
            </w:pPr>
          </w:p>
        </w:tc>
        <w:tc>
          <w:tcPr>
            <w:tcW w:w="4876" w:type="dxa"/>
          </w:tcPr>
          <w:p w14:paraId="7F98C12A" w14:textId="77777777" w:rsidR="00EC3D4E" w:rsidRPr="00556734" w:rsidRDefault="00EC3D4E" w:rsidP="00EC3D4E">
            <w:pPr>
              <w:pStyle w:val="Normal6a"/>
            </w:pPr>
            <w:r w:rsidRPr="00556734">
              <w:rPr>
                <w:b/>
                <w:i/>
              </w:rPr>
              <w:t>(ii) sir, skuta, jogurt in drugi fermentirani ali kisli mlečni proizvodi brez dodanih arom, sadja, oreškov ali kakava.“</w:t>
            </w:r>
          </w:p>
        </w:tc>
      </w:tr>
    </w:tbl>
    <w:p w14:paraId="006B38CC" w14:textId="406AA2BD" w:rsidR="006F5BFE" w:rsidRDefault="006F5BFE" w:rsidP="006F5BFE"/>
    <w:p w14:paraId="55F2017A" w14:textId="406B7B58" w:rsidR="00EC3D4E" w:rsidRDefault="00EC3D4E" w:rsidP="006F5BFE"/>
    <w:p w14:paraId="0426CF01" w14:textId="3FCC737E" w:rsidR="00EC3D4E" w:rsidRPr="005E76BB" w:rsidRDefault="008C7773" w:rsidP="00EC3D4E">
      <w:pPr>
        <w:pStyle w:val="AmNumberTabs0"/>
      </w:pPr>
      <w:r>
        <w:t>Sprememba</w:t>
      </w:r>
      <w:r w:rsidR="00EC3D4E" w:rsidRPr="005E76BB">
        <w:tab/>
      </w:r>
      <w:r w:rsidR="00EC3D4E" w:rsidRPr="005E76BB">
        <w:tab/>
        <w:t>258</w:t>
      </w:r>
    </w:p>
    <w:p w14:paraId="5FE01095" w14:textId="77777777" w:rsidR="00EC3D4E" w:rsidRPr="005E76BB" w:rsidRDefault="00EC3D4E" w:rsidP="00EC3D4E">
      <w:pPr>
        <w:pStyle w:val="NormalBold12b"/>
      </w:pPr>
      <w:r w:rsidRPr="005E76BB">
        <w:t>Predlog uredbe</w:t>
      </w:r>
    </w:p>
    <w:p w14:paraId="31E91F50" w14:textId="77777777" w:rsidR="00EC3D4E" w:rsidRPr="005E76BB" w:rsidRDefault="00EC3D4E" w:rsidP="00EC3D4E">
      <w:pPr>
        <w:pStyle w:val="NormalBold"/>
      </w:pPr>
      <w:r w:rsidRPr="005E76BB">
        <w:t>Člen 1 – odstavek 1 – točka 4 – točka b b (novo)</w:t>
      </w:r>
    </w:p>
    <w:p w14:paraId="57630B37" w14:textId="77777777" w:rsidR="00EC3D4E" w:rsidRPr="005E76BB" w:rsidRDefault="00EC3D4E" w:rsidP="00EC3D4E">
      <w:r w:rsidRPr="005E76BB">
        <w:t>Uredba (EU) št. 1308/2013</w:t>
      </w:r>
    </w:p>
    <w:p w14:paraId="0DB21DF1" w14:textId="77777777" w:rsidR="00EC3D4E" w:rsidRPr="005E76BB" w:rsidRDefault="00EC3D4E" w:rsidP="00EC3D4E">
      <w:r w:rsidRPr="005E76BB">
        <w:t>Člen 23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C3D4E" w:rsidRPr="005E76BB" w14:paraId="1E50CD5F" w14:textId="77777777" w:rsidTr="00EC3D4E">
        <w:trPr>
          <w:trHeight w:hRule="exact" w:val="240"/>
          <w:jc w:val="center"/>
        </w:trPr>
        <w:tc>
          <w:tcPr>
            <w:tcW w:w="9752" w:type="dxa"/>
            <w:gridSpan w:val="2"/>
          </w:tcPr>
          <w:p w14:paraId="05335BAE" w14:textId="77777777" w:rsidR="00EC3D4E" w:rsidRPr="005E76BB" w:rsidRDefault="00EC3D4E" w:rsidP="00EC3D4E"/>
        </w:tc>
      </w:tr>
      <w:tr w:rsidR="00EC3D4E" w:rsidRPr="005E76BB" w14:paraId="06AC2189" w14:textId="77777777" w:rsidTr="00EC3D4E">
        <w:trPr>
          <w:trHeight w:val="240"/>
          <w:jc w:val="center"/>
        </w:trPr>
        <w:tc>
          <w:tcPr>
            <w:tcW w:w="4876" w:type="dxa"/>
          </w:tcPr>
          <w:p w14:paraId="1CE380F8" w14:textId="77777777" w:rsidR="00EC3D4E" w:rsidRPr="005E76BB" w:rsidRDefault="00EC3D4E" w:rsidP="00EC3D4E">
            <w:pPr>
              <w:pStyle w:val="AmColumnHeading"/>
            </w:pPr>
            <w:r w:rsidRPr="005E76BB">
              <w:t>Veljavno besedilo</w:t>
            </w:r>
          </w:p>
        </w:tc>
        <w:tc>
          <w:tcPr>
            <w:tcW w:w="4876" w:type="dxa"/>
          </w:tcPr>
          <w:p w14:paraId="5ED75A32" w14:textId="7DC9D602" w:rsidR="00EC3D4E" w:rsidRPr="005E76BB" w:rsidRDefault="008C7773" w:rsidP="00EC3D4E">
            <w:pPr>
              <w:pStyle w:val="AmColumnHeading"/>
            </w:pPr>
            <w:r>
              <w:t>Sprememba</w:t>
            </w:r>
          </w:p>
        </w:tc>
      </w:tr>
      <w:tr w:rsidR="00EC3D4E" w:rsidRPr="005E76BB" w14:paraId="35C7954A" w14:textId="77777777" w:rsidTr="00EC3D4E">
        <w:trPr>
          <w:jc w:val="center"/>
        </w:trPr>
        <w:tc>
          <w:tcPr>
            <w:tcW w:w="4876" w:type="dxa"/>
          </w:tcPr>
          <w:p w14:paraId="148F316E" w14:textId="77777777" w:rsidR="00EC3D4E" w:rsidRPr="005E76BB" w:rsidRDefault="00EC3D4E" w:rsidP="00EC3D4E">
            <w:pPr>
              <w:pStyle w:val="Normal6a"/>
            </w:pPr>
          </w:p>
        </w:tc>
        <w:tc>
          <w:tcPr>
            <w:tcW w:w="4876" w:type="dxa"/>
          </w:tcPr>
          <w:p w14:paraId="54680654" w14:textId="77777777" w:rsidR="00EC3D4E" w:rsidRPr="005E76BB" w:rsidRDefault="00EC3D4E" w:rsidP="00EC3D4E">
            <w:pPr>
              <w:pStyle w:val="Normal6a"/>
            </w:pPr>
            <w:r w:rsidRPr="005E76BB">
              <w:rPr>
                <w:b/>
                <w:i/>
              </w:rPr>
              <w:t>(bb)</w:t>
            </w:r>
            <w:r w:rsidRPr="005E76BB">
              <w:tab/>
            </w:r>
            <w:r w:rsidRPr="005E76BB">
              <w:rPr>
                <w:b/>
                <w:i/>
              </w:rPr>
              <w:t>v členu 23 se črta odstavek 4.</w:t>
            </w:r>
          </w:p>
        </w:tc>
      </w:tr>
      <w:tr w:rsidR="00EC3D4E" w:rsidRPr="005E76BB" w14:paraId="10B982D9" w14:textId="77777777" w:rsidTr="00EC3D4E">
        <w:trPr>
          <w:jc w:val="center"/>
        </w:trPr>
        <w:tc>
          <w:tcPr>
            <w:tcW w:w="4876" w:type="dxa"/>
          </w:tcPr>
          <w:p w14:paraId="44B70A61" w14:textId="6E49BECE" w:rsidR="00EC3D4E" w:rsidRPr="005E76BB" w:rsidRDefault="00EC3D4E" w:rsidP="00EC3D4E">
            <w:pPr>
              <w:pStyle w:val="Normal6a"/>
            </w:pPr>
            <w:r w:rsidRPr="005E76BB">
              <w:rPr>
                <w:b/>
                <w:i/>
              </w:rPr>
              <w:t xml:space="preserve">4. </w:t>
            </w:r>
            <w:r w:rsidR="00490A22" w:rsidRPr="005E76BB">
              <w:tab/>
            </w:r>
            <w:r w:rsidRPr="005E76BB">
              <w:rPr>
                <w:b/>
                <w:i/>
              </w:rPr>
              <w:t>Ne glede na odstavek 3 lahko države članice, da bi spodbujale uživanje specifičnih proizvodov in/ali zadostile posebnim prehranjevalnim potrebam otrok na svojem ozemlju, predvidijo razdeljevanje proizvodov iz ene ali obeh naslednjih skupin:</w:t>
            </w:r>
          </w:p>
        </w:tc>
        <w:tc>
          <w:tcPr>
            <w:tcW w:w="4876" w:type="dxa"/>
          </w:tcPr>
          <w:p w14:paraId="3D16048E" w14:textId="0EF5ED13" w:rsidR="00EC3D4E" w:rsidRPr="005E76BB" w:rsidRDefault="00EC3D4E" w:rsidP="00EC3D4E">
            <w:pPr>
              <w:pStyle w:val="Normal6a"/>
            </w:pPr>
          </w:p>
        </w:tc>
      </w:tr>
      <w:tr w:rsidR="00EC3D4E" w:rsidRPr="005E76BB" w14:paraId="39739C72" w14:textId="77777777" w:rsidTr="00EC3D4E">
        <w:trPr>
          <w:jc w:val="center"/>
        </w:trPr>
        <w:tc>
          <w:tcPr>
            <w:tcW w:w="4876" w:type="dxa"/>
          </w:tcPr>
          <w:p w14:paraId="37DD6858" w14:textId="1E29CA4B" w:rsidR="00EC3D4E" w:rsidRPr="005E76BB" w:rsidRDefault="00EC3D4E" w:rsidP="00EC3D4E">
            <w:pPr>
              <w:pStyle w:val="Normal6a"/>
            </w:pPr>
            <w:r w:rsidRPr="005E76BB">
              <w:rPr>
                <w:b/>
                <w:i/>
              </w:rPr>
              <w:t xml:space="preserve">(a) </w:t>
            </w:r>
            <w:r w:rsidR="00490A22" w:rsidRPr="005E76BB">
              <w:tab/>
            </w:r>
            <w:r w:rsidRPr="005E76BB">
              <w:rPr>
                <w:b/>
                <w:i/>
              </w:rPr>
              <w:t>proizvodov iz predelanega sadja in zelenjave, poleg proizvodov iz točke (a) odstavka 3;</w:t>
            </w:r>
          </w:p>
        </w:tc>
        <w:tc>
          <w:tcPr>
            <w:tcW w:w="4876" w:type="dxa"/>
          </w:tcPr>
          <w:p w14:paraId="43F8C392" w14:textId="77777777" w:rsidR="00EC3D4E" w:rsidRPr="005E76BB" w:rsidRDefault="00EC3D4E" w:rsidP="00EC3D4E">
            <w:pPr>
              <w:pStyle w:val="Normal6a"/>
            </w:pPr>
          </w:p>
        </w:tc>
      </w:tr>
      <w:tr w:rsidR="00490A22" w:rsidRPr="005E76BB" w14:paraId="295E47DC" w14:textId="77777777" w:rsidTr="00EC3D4E">
        <w:trPr>
          <w:jc w:val="center"/>
        </w:trPr>
        <w:tc>
          <w:tcPr>
            <w:tcW w:w="4876" w:type="dxa"/>
          </w:tcPr>
          <w:p w14:paraId="5BCAB866" w14:textId="2AB685AC" w:rsidR="00490A22" w:rsidRPr="005E76BB" w:rsidRDefault="00490A22" w:rsidP="00EC3D4E">
            <w:pPr>
              <w:pStyle w:val="Normal6a"/>
              <w:rPr>
                <w:b/>
                <w:i/>
              </w:rPr>
            </w:pPr>
            <w:r>
              <w:rPr>
                <w:b/>
                <w:i/>
              </w:rPr>
              <w:t>(b)</w:t>
            </w:r>
            <w:r w:rsidRPr="005E76BB">
              <w:tab/>
            </w:r>
            <w:r w:rsidRPr="00490A22">
              <w:rPr>
                <w:b/>
                <w:i/>
              </w:rPr>
              <w:t>sira, skute, jogurta in drugih fermentiranih ali kislih mlečnih proizvodov brez dodanih arom, sadja, oreškov ali kakava, poleg proizvodov iz točke (b) odstavka 3.</w:t>
            </w:r>
          </w:p>
        </w:tc>
        <w:tc>
          <w:tcPr>
            <w:tcW w:w="4876" w:type="dxa"/>
          </w:tcPr>
          <w:p w14:paraId="0B1114F9" w14:textId="77777777" w:rsidR="00490A22" w:rsidRPr="005E76BB" w:rsidRDefault="00490A22" w:rsidP="00EC3D4E">
            <w:pPr>
              <w:pStyle w:val="Normal6a"/>
            </w:pPr>
          </w:p>
        </w:tc>
      </w:tr>
    </w:tbl>
    <w:p w14:paraId="7667B8BB" w14:textId="0B94B1E5" w:rsidR="00EC3D4E" w:rsidRDefault="00EC3D4E" w:rsidP="006F5BFE"/>
    <w:p w14:paraId="62795650" w14:textId="25DD709E" w:rsidR="00EC3D4E" w:rsidRDefault="00EC3D4E" w:rsidP="006F5BFE"/>
    <w:p w14:paraId="2671192F" w14:textId="5A92E94F" w:rsidR="00EC3D4E" w:rsidRPr="00B21DDA" w:rsidRDefault="008C7773" w:rsidP="00EC3D4E">
      <w:pPr>
        <w:pStyle w:val="AmNumberTabs0"/>
      </w:pPr>
      <w:r>
        <w:t>Sprememba</w:t>
      </w:r>
      <w:r w:rsidR="00EC3D4E" w:rsidRPr="00B21DDA">
        <w:tab/>
      </w:r>
      <w:r w:rsidR="00EC3D4E" w:rsidRPr="00B21DDA">
        <w:tab/>
        <w:t>259</w:t>
      </w:r>
    </w:p>
    <w:p w14:paraId="5BDFE6E1" w14:textId="77777777" w:rsidR="00EC3D4E" w:rsidRPr="00B21DDA" w:rsidRDefault="00EC3D4E" w:rsidP="00EC3D4E">
      <w:pPr>
        <w:pStyle w:val="NormalBold12b"/>
      </w:pPr>
      <w:r w:rsidRPr="00B21DDA">
        <w:t>Predlog uredbe</w:t>
      </w:r>
    </w:p>
    <w:p w14:paraId="37A93887" w14:textId="77777777" w:rsidR="00EC3D4E" w:rsidRPr="00B21DDA" w:rsidRDefault="00EC3D4E" w:rsidP="00EC3D4E">
      <w:pPr>
        <w:pStyle w:val="NormalBold"/>
      </w:pPr>
      <w:r w:rsidRPr="00B21DDA">
        <w:t>Člen 1 – odstavek 1 – točka 4 – točka b c (novo)</w:t>
      </w:r>
    </w:p>
    <w:p w14:paraId="71EA775F" w14:textId="77777777" w:rsidR="00EC3D4E" w:rsidRPr="00B21DDA" w:rsidRDefault="00EC3D4E" w:rsidP="00EC3D4E">
      <w:r w:rsidRPr="00B21DDA">
        <w:t>Uredba (EU) št. 1308/2013</w:t>
      </w:r>
    </w:p>
    <w:p w14:paraId="4AF259AB" w14:textId="77777777" w:rsidR="00EC3D4E" w:rsidRPr="00B21DDA" w:rsidRDefault="00EC3D4E" w:rsidP="00EC3D4E">
      <w:r w:rsidRPr="00B21DDA">
        <w:t>Člen 23 – odstavek 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EC3D4E" w:rsidRPr="00B21DDA" w14:paraId="58D98824" w14:textId="77777777" w:rsidTr="00EC3D4E">
        <w:trPr>
          <w:trHeight w:hRule="exact" w:val="240"/>
          <w:jc w:val="center"/>
        </w:trPr>
        <w:tc>
          <w:tcPr>
            <w:tcW w:w="9752" w:type="dxa"/>
            <w:gridSpan w:val="2"/>
          </w:tcPr>
          <w:p w14:paraId="4E66CD29" w14:textId="77777777" w:rsidR="00EC3D4E" w:rsidRPr="00B21DDA" w:rsidRDefault="00EC3D4E" w:rsidP="00EC3D4E"/>
        </w:tc>
      </w:tr>
      <w:tr w:rsidR="00EC3D4E" w:rsidRPr="00B21DDA" w14:paraId="4A340EAD" w14:textId="77777777" w:rsidTr="00EC3D4E">
        <w:trPr>
          <w:trHeight w:val="240"/>
          <w:jc w:val="center"/>
        </w:trPr>
        <w:tc>
          <w:tcPr>
            <w:tcW w:w="4876" w:type="dxa"/>
          </w:tcPr>
          <w:p w14:paraId="2C48BCA6" w14:textId="77777777" w:rsidR="00EC3D4E" w:rsidRPr="00B21DDA" w:rsidRDefault="00EC3D4E" w:rsidP="00EC3D4E">
            <w:pPr>
              <w:pStyle w:val="AmColumnHeading"/>
            </w:pPr>
            <w:r w:rsidRPr="00B21DDA">
              <w:t>Besedilo, ki ga predlaga Komisija</w:t>
            </w:r>
          </w:p>
        </w:tc>
        <w:tc>
          <w:tcPr>
            <w:tcW w:w="4876" w:type="dxa"/>
          </w:tcPr>
          <w:p w14:paraId="7D79F189" w14:textId="0B93D2E6" w:rsidR="00EC3D4E" w:rsidRPr="00B21DDA" w:rsidRDefault="008C7773" w:rsidP="00EC3D4E">
            <w:pPr>
              <w:pStyle w:val="AmColumnHeading"/>
            </w:pPr>
            <w:r>
              <w:t>Sprememba</w:t>
            </w:r>
          </w:p>
        </w:tc>
      </w:tr>
      <w:tr w:rsidR="00EC3D4E" w:rsidRPr="00B21DDA" w14:paraId="480B4552" w14:textId="77777777" w:rsidTr="00EC3D4E">
        <w:trPr>
          <w:jc w:val="center"/>
        </w:trPr>
        <w:tc>
          <w:tcPr>
            <w:tcW w:w="4876" w:type="dxa"/>
          </w:tcPr>
          <w:p w14:paraId="4A23F111" w14:textId="77777777" w:rsidR="00EC3D4E" w:rsidRPr="00B21DDA" w:rsidRDefault="00EC3D4E" w:rsidP="00EC3D4E">
            <w:pPr>
              <w:pStyle w:val="Normal6a"/>
            </w:pPr>
          </w:p>
        </w:tc>
        <w:tc>
          <w:tcPr>
            <w:tcW w:w="4876" w:type="dxa"/>
          </w:tcPr>
          <w:p w14:paraId="5FE3FA6E" w14:textId="5350CCCB" w:rsidR="00EC3D4E" w:rsidRPr="00B21DDA" w:rsidRDefault="00EC3D4E">
            <w:pPr>
              <w:pStyle w:val="Normal6a"/>
            </w:pPr>
            <w:r w:rsidRPr="00B21DDA">
              <w:rPr>
                <w:b/>
                <w:i/>
              </w:rPr>
              <w:t>(bc)</w:t>
            </w:r>
            <w:r w:rsidRPr="00B21DDA">
              <w:tab/>
            </w:r>
            <w:r w:rsidRPr="00B21DDA">
              <w:rPr>
                <w:b/>
                <w:i/>
              </w:rPr>
              <w:t xml:space="preserve">v členu 23 se doda </w:t>
            </w:r>
            <w:r w:rsidR="00490A22">
              <w:rPr>
                <w:b/>
                <w:i/>
              </w:rPr>
              <w:t>naslednji odstavek:</w:t>
            </w:r>
          </w:p>
        </w:tc>
      </w:tr>
      <w:tr w:rsidR="00EC3D4E" w:rsidRPr="00B21DDA" w14:paraId="72E79A91" w14:textId="77777777" w:rsidTr="00EC3D4E">
        <w:trPr>
          <w:jc w:val="center"/>
        </w:trPr>
        <w:tc>
          <w:tcPr>
            <w:tcW w:w="4876" w:type="dxa"/>
          </w:tcPr>
          <w:p w14:paraId="736F4230" w14:textId="77777777" w:rsidR="00EC3D4E" w:rsidRPr="00B21DDA" w:rsidRDefault="00EC3D4E" w:rsidP="00EC3D4E">
            <w:pPr>
              <w:pStyle w:val="Normal6a"/>
            </w:pPr>
          </w:p>
        </w:tc>
        <w:tc>
          <w:tcPr>
            <w:tcW w:w="4876" w:type="dxa"/>
          </w:tcPr>
          <w:p w14:paraId="0E4B1EC1" w14:textId="32A7F8AA" w:rsidR="00EC3D4E" w:rsidRPr="00B21DDA" w:rsidRDefault="00490A22" w:rsidP="00EC3D4E">
            <w:pPr>
              <w:pStyle w:val="Normal6a"/>
            </w:pPr>
            <w:r>
              <w:rPr>
                <w:b/>
                <w:i/>
              </w:rPr>
              <w:t>„</w:t>
            </w:r>
            <w:r w:rsidR="00EC3D4E" w:rsidRPr="00B21DDA">
              <w:rPr>
                <w:b/>
                <w:i/>
              </w:rPr>
              <w:t xml:space="preserve">8a. </w:t>
            </w:r>
            <w:r w:rsidRPr="00B21DDA">
              <w:tab/>
            </w:r>
            <w:r w:rsidR="00EC3D4E" w:rsidRPr="00B21DDA">
              <w:rPr>
                <w:b/>
                <w:i/>
              </w:rPr>
              <w:t>Kadar nacionalni organi, pristojni za zdravje in prehrano, menijo, da je to upravičeno, lahko države članice v svoji nacionalni strategiji določijo, da se proizvodi iz odstavkov 3 in 5 tega člena razdeljujejo v šolah hkrati z običajnimi šolskimi obroki.</w:t>
            </w:r>
            <w:r>
              <w:rPr>
                <w:b/>
                <w:i/>
              </w:rPr>
              <w:t>“</w:t>
            </w:r>
          </w:p>
        </w:tc>
      </w:tr>
    </w:tbl>
    <w:p w14:paraId="3B361FDC" w14:textId="40034811" w:rsidR="00EC3D4E" w:rsidRDefault="00EC3D4E" w:rsidP="006F5BFE"/>
    <w:p w14:paraId="700BF365" w14:textId="61D4EF47" w:rsidR="007E5F3B" w:rsidRPr="00B21DDA" w:rsidRDefault="008C7773" w:rsidP="007E5F3B">
      <w:pPr>
        <w:pStyle w:val="AmNumberTabs0"/>
      </w:pPr>
      <w:r>
        <w:t>Sprememba</w:t>
      </w:r>
      <w:r w:rsidR="007E5F3B">
        <w:tab/>
      </w:r>
      <w:r w:rsidR="007E5F3B">
        <w:tab/>
        <w:t>260/rev</w:t>
      </w:r>
    </w:p>
    <w:p w14:paraId="05AE6067" w14:textId="60ACC55A" w:rsidR="007E5F3B" w:rsidRPr="00F70354" w:rsidRDefault="007E5F3B" w:rsidP="00FD1F1B">
      <w:pPr>
        <w:pStyle w:val="NormalBold12b"/>
      </w:pPr>
      <w:r w:rsidRPr="00B21DDA">
        <w:t>Predlog uredbe</w:t>
      </w:r>
    </w:p>
    <w:p w14:paraId="0DB510AF" w14:textId="4216A337" w:rsidR="007E5F3B" w:rsidRPr="00F70354" w:rsidRDefault="007E5F3B" w:rsidP="007E5F3B">
      <w:pPr>
        <w:pStyle w:val="NormalBold"/>
      </w:pPr>
      <w:r w:rsidRPr="00F70354">
        <w:t>Člen 1 – odstavek 1 – točka 4 – točka b d (novo)</w:t>
      </w:r>
    </w:p>
    <w:p w14:paraId="764DC510" w14:textId="54CFC71E" w:rsidR="007E5F3B" w:rsidRPr="00F70354" w:rsidRDefault="007E5F3B" w:rsidP="007E5F3B">
      <w:r w:rsidRPr="00F70354">
        <w:t>Uredba (EU) št. 1308/2013</w:t>
      </w:r>
    </w:p>
    <w:p w14:paraId="208DFF8F" w14:textId="21805F2B" w:rsidR="007E5F3B" w:rsidRPr="00F70354" w:rsidRDefault="007E5F3B" w:rsidP="007E5F3B">
      <w:r w:rsidRPr="00F70354">
        <w:t>Člen 23 – odstavek 11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E5F3B" w:rsidRPr="00F70354" w14:paraId="30037A6C" w14:textId="77777777" w:rsidTr="007E5F3B">
        <w:trPr>
          <w:trHeight w:hRule="exact" w:val="240"/>
          <w:jc w:val="center"/>
        </w:trPr>
        <w:tc>
          <w:tcPr>
            <w:tcW w:w="9752" w:type="dxa"/>
            <w:gridSpan w:val="2"/>
          </w:tcPr>
          <w:p w14:paraId="0291D776" w14:textId="77777777" w:rsidR="007E5F3B" w:rsidRPr="00F70354" w:rsidRDefault="007E5F3B" w:rsidP="007E5F3B"/>
        </w:tc>
      </w:tr>
      <w:tr w:rsidR="007E5F3B" w:rsidRPr="00F70354" w14:paraId="7285AEB5" w14:textId="77777777" w:rsidTr="007E5F3B">
        <w:trPr>
          <w:trHeight w:val="240"/>
          <w:jc w:val="center"/>
        </w:trPr>
        <w:tc>
          <w:tcPr>
            <w:tcW w:w="4876" w:type="dxa"/>
          </w:tcPr>
          <w:p w14:paraId="107C4FB1" w14:textId="77777777" w:rsidR="007E5F3B" w:rsidRPr="00F70354" w:rsidRDefault="007E5F3B" w:rsidP="007E5F3B">
            <w:pPr>
              <w:pStyle w:val="AmColumnHeading"/>
            </w:pPr>
            <w:r w:rsidRPr="00F70354">
              <w:t>Veljavno besedilo</w:t>
            </w:r>
          </w:p>
        </w:tc>
        <w:tc>
          <w:tcPr>
            <w:tcW w:w="4876" w:type="dxa"/>
          </w:tcPr>
          <w:p w14:paraId="0C09E43D" w14:textId="4520458D" w:rsidR="007E5F3B" w:rsidRPr="00F70354" w:rsidRDefault="008C7773" w:rsidP="007E5F3B">
            <w:pPr>
              <w:pStyle w:val="AmColumnHeading"/>
            </w:pPr>
            <w:r>
              <w:t>Sprememba</w:t>
            </w:r>
          </w:p>
        </w:tc>
      </w:tr>
      <w:tr w:rsidR="007E5F3B" w:rsidRPr="00F70354" w14:paraId="2375A5F8" w14:textId="77777777" w:rsidTr="007E5F3B">
        <w:trPr>
          <w:jc w:val="center"/>
        </w:trPr>
        <w:tc>
          <w:tcPr>
            <w:tcW w:w="4876" w:type="dxa"/>
          </w:tcPr>
          <w:p w14:paraId="0D8C3896" w14:textId="77777777" w:rsidR="007E5F3B" w:rsidRPr="00F70354" w:rsidRDefault="007E5F3B" w:rsidP="007E5F3B">
            <w:pPr>
              <w:pStyle w:val="Normal6a"/>
            </w:pPr>
          </w:p>
        </w:tc>
        <w:tc>
          <w:tcPr>
            <w:tcW w:w="4876" w:type="dxa"/>
          </w:tcPr>
          <w:p w14:paraId="57639C72" w14:textId="77777777" w:rsidR="007E5F3B" w:rsidRPr="00F70354" w:rsidRDefault="007E5F3B" w:rsidP="007E5F3B">
            <w:pPr>
              <w:pStyle w:val="Normal6a"/>
            </w:pPr>
            <w:r w:rsidRPr="00F70354">
              <w:rPr>
                <w:b/>
                <w:i/>
              </w:rPr>
              <w:t>(bd)</w:t>
            </w:r>
            <w:r w:rsidRPr="00F70354">
              <w:tab/>
            </w:r>
            <w:r w:rsidRPr="00F70354">
              <w:rPr>
                <w:b/>
                <w:i/>
              </w:rPr>
              <w:t>v členu 23 se odstavek 11 nadomesti z naslednjim:</w:t>
            </w:r>
          </w:p>
        </w:tc>
      </w:tr>
      <w:tr w:rsidR="007E5F3B" w:rsidRPr="00F70354" w14:paraId="42F7D8DE" w14:textId="77777777" w:rsidTr="007E5F3B">
        <w:trPr>
          <w:jc w:val="center"/>
        </w:trPr>
        <w:tc>
          <w:tcPr>
            <w:tcW w:w="4876" w:type="dxa"/>
          </w:tcPr>
          <w:p w14:paraId="736CEBCA" w14:textId="77777777" w:rsidR="007E5F3B" w:rsidRPr="00F70354" w:rsidRDefault="007E5F3B" w:rsidP="007E5F3B">
            <w:pPr>
              <w:pStyle w:val="Normal6a"/>
            </w:pPr>
            <w:r w:rsidRPr="00F70354">
              <w:t xml:space="preserve">11. </w:t>
            </w:r>
            <w:r w:rsidRPr="00F70354">
              <w:tab/>
              <w:t>Države članice izberejo proizvode, ki bi se razdeljevali ali ki bi jih vključili v spremljevalne izobraževalne ukrepe, na podlagi enega ali več naslednjih objektivnih meril: zdravstveni in okoljski vidiki, sezonskost, pestrost in razpoložljivost lokalnih ali regionalnih proizvodov, pri čemer se po možnosti da prednost proizvodom s poreklom iz Unije. Države članice lahko spodbujajo zlasti nabavo na lokalni ali regionalni ravni, ekološke proizvode, kratke oskrbne verige ali okoljevarstvene koristi, in če je ustrezno, tudi proizvode, priznane na podlagi shem kakovosti, določenih z Uredbo (EU) št. 1151/2012.</w:t>
            </w:r>
          </w:p>
        </w:tc>
        <w:tc>
          <w:tcPr>
            <w:tcW w:w="4876" w:type="dxa"/>
          </w:tcPr>
          <w:p w14:paraId="349E9646" w14:textId="77777777" w:rsidR="007E5F3B" w:rsidRPr="00F70354" w:rsidRDefault="007E5F3B" w:rsidP="007E5F3B">
            <w:pPr>
              <w:pStyle w:val="Normal6a"/>
            </w:pPr>
            <w:r w:rsidRPr="00F70354">
              <w:t xml:space="preserve">„11. </w:t>
            </w:r>
            <w:r w:rsidRPr="00F70354">
              <w:tab/>
              <w:t>Države članice izberejo proizvode, ki bi se razdeljevali ali ki bi jih vključili v spremljevalne izobraževalne ukrepe, na podlagi enega ali več naslednjih objektivnih meril: zdravstveni in okoljski vidiki, sezonskost, pestrost in razpoložljivost lokalnih ali regionalnih proizvodov, pri čemer se po možnosti da prednost proizvodom s poreklom iz Unije. Države članice lahko spodbujajo zlasti nabavo na lokalni ali regionalni ravni, ekološke proizvode, kratke oskrbne verige ali okoljevarstvene koristi</w:t>
            </w:r>
            <w:r w:rsidRPr="00F70354">
              <w:rPr>
                <w:b/>
                <w:i/>
              </w:rPr>
              <w:t>, tudi trajnostne embalaže</w:t>
            </w:r>
            <w:r w:rsidRPr="00F70354">
              <w:t>, in če je ustrezno, tudi proizvode, priznane na podlagi shem kakovosti, določenih z Uredbo (EU) št. 1151/2012.</w:t>
            </w:r>
          </w:p>
        </w:tc>
      </w:tr>
      <w:tr w:rsidR="007E5F3B" w:rsidRPr="00F70354" w14:paraId="65D057AE" w14:textId="77777777" w:rsidTr="007E5F3B">
        <w:trPr>
          <w:jc w:val="center"/>
        </w:trPr>
        <w:tc>
          <w:tcPr>
            <w:tcW w:w="4876" w:type="dxa"/>
          </w:tcPr>
          <w:p w14:paraId="39478388" w14:textId="77777777" w:rsidR="007E5F3B" w:rsidRPr="00F70354" w:rsidRDefault="007E5F3B" w:rsidP="007E5F3B">
            <w:pPr>
              <w:pStyle w:val="Normal6a"/>
            </w:pPr>
            <w:r w:rsidRPr="00F70354">
              <w:t>Države članice lahko v svojih strategijah dajo prednost vidikom, povezanim s trajnostjo in pravično trgovino.</w:t>
            </w:r>
          </w:p>
        </w:tc>
        <w:tc>
          <w:tcPr>
            <w:tcW w:w="4876" w:type="dxa"/>
          </w:tcPr>
          <w:p w14:paraId="078DCBCE" w14:textId="77777777" w:rsidR="007E5F3B" w:rsidRPr="00F70354" w:rsidRDefault="007E5F3B" w:rsidP="007E5F3B">
            <w:pPr>
              <w:pStyle w:val="Normal6a"/>
            </w:pPr>
            <w:r w:rsidRPr="00F70354">
              <w:t>Države članice lahko v svojih strategijah dajo prednost vidikom, povezanim s trajnostjo in pravično trgovino.“</w:t>
            </w:r>
          </w:p>
        </w:tc>
      </w:tr>
    </w:tbl>
    <w:p w14:paraId="58F08313" w14:textId="77777777" w:rsidR="00EC3D4E" w:rsidRPr="003B2277" w:rsidRDefault="00EC3D4E" w:rsidP="006F5BFE"/>
    <w:p w14:paraId="2C6E9652" w14:textId="0AE94BEE" w:rsidR="006F5BFE" w:rsidRPr="003B2277" w:rsidRDefault="003B2277" w:rsidP="006F5BFE">
      <w:pPr>
        <w:pStyle w:val="AMNumberTabs"/>
        <w:keepNext/>
      </w:pPr>
      <w:r>
        <w:t>Sprememba</w:t>
      </w:r>
      <w:r w:rsidR="006F5BFE" w:rsidRPr="003B2277">
        <w:tab/>
      </w:r>
      <w:r w:rsidR="006F5BFE" w:rsidRPr="003B2277">
        <w:tab/>
        <w:t>61</w:t>
      </w:r>
    </w:p>
    <w:p w14:paraId="298981B6" w14:textId="77777777" w:rsidR="006F5BFE" w:rsidRPr="003B2277" w:rsidRDefault="006F5BFE" w:rsidP="006F5BFE"/>
    <w:p w14:paraId="1B41F1C2" w14:textId="77777777" w:rsidR="006F5BFE" w:rsidRPr="003B2277" w:rsidRDefault="006F5BFE" w:rsidP="006F5BFE">
      <w:pPr>
        <w:pStyle w:val="NormalBold"/>
        <w:keepNext/>
      </w:pPr>
      <w:r w:rsidRPr="003B2277">
        <w:t>Predlog uredbe</w:t>
      </w:r>
    </w:p>
    <w:p w14:paraId="4BE45802" w14:textId="77777777" w:rsidR="006F5BFE" w:rsidRPr="003B2277" w:rsidRDefault="006F5BFE" w:rsidP="006F5BFE">
      <w:pPr>
        <w:pStyle w:val="NormalBold"/>
      </w:pPr>
      <w:r w:rsidRPr="003B2277">
        <w:t>Člen 1 – odstavek 1 – točka 4 – točka c – točka ii</w:t>
      </w:r>
    </w:p>
    <w:p w14:paraId="12113396" w14:textId="77777777" w:rsidR="006F5BFE" w:rsidRPr="003B2277" w:rsidRDefault="006F5BFE" w:rsidP="006F5BFE">
      <w:pPr>
        <w:keepNext/>
      </w:pPr>
      <w:r w:rsidRPr="003B2277">
        <w:t>Uredba (EU) št. 1308/2013</w:t>
      </w:r>
    </w:p>
    <w:p w14:paraId="38F4BE09" w14:textId="77777777" w:rsidR="006F5BFE" w:rsidRPr="003B2277" w:rsidRDefault="006F5BFE" w:rsidP="006F5BFE">
      <w:r w:rsidRPr="003B2277">
        <w:t>Člen 23a – odstavek 2 – pododstavek 3 – zadnji stavek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3E1C85D" w14:textId="77777777" w:rsidTr="005B4D60">
        <w:trPr>
          <w:jc w:val="center"/>
        </w:trPr>
        <w:tc>
          <w:tcPr>
            <w:tcW w:w="9752" w:type="dxa"/>
            <w:gridSpan w:val="2"/>
          </w:tcPr>
          <w:p w14:paraId="202B301F" w14:textId="77777777" w:rsidR="006F5BFE" w:rsidRPr="003B2277" w:rsidRDefault="006F5BFE" w:rsidP="005B4D60">
            <w:pPr>
              <w:keepNext/>
            </w:pPr>
          </w:p>
        </w:tc>
      </w:tr>
      <w:tr w:rsidR="006F5BFE" w:rsidRPr="003B2277" w14:paraId="7DB33E46" w14:textId="77777777" w:rsidTr="005B4D60">
        <w:trPr>
          <w:jc w:val="center"/>
        </w:trPr>
        <w:tc>
          <w:tcPr>
            <w:tcW w:w="4876" w:type="dxa"/>
            <w:hideMark/>
          </w:tcPr>
          <w:p w14:paraId="77D06CFA" w14:textId="77777777" w:rsidR="006F5BFE" w:rsidRPr="003B2277" w:rsidRDefault="006F5BFE" w:rsidP="005B4D60">
            <w:pPr>
              <w:pStyle w:val="ColumnHeading"/>
              <w:keepNext/>
            </w:pPr>
            <w:r w:rsidRPr="003B2277">
              <w:t>Besedilo, ki ga predlaga Komisija</w:t>
            </w:r>
          </w:p>
        </w:tc>
        <w:tc>
          <w:tcPr>
            <w:tcW w:w="4876" w:type="dxa"/>
            <w:hideMark/>
          </w:tcPr>
          <w:p w14:paraId="11F1A0D1" w14:textId="3312A93A" w:rsidR="006F5BFE" w:rsidRPr="003B2277" w:rsidRDefault="003B2277" w:rsidP="005B4D60">
            <w:pPr>
              <w:pStyle w:val="ColumnHeading"/>
              <w:keepNext/>
            </w:pPr>
            <w:r>
              <w:t>Sprememba</w:t>
            </w:r>
          </w:p>
        </w:tc>
      </w:tr>
      <w:tr w:rsidR="006F5BFE" w:rsidRPr="003B2277" w14:paraId="2EC831AC" w14:textId="77777777" w:rsidTr="005B4D60">
        <w:trPr>
          <w:jc w:val="center"/>
        </w:trPr>
        <w:tc>
          <w:tcPr>
            <w:tcW w:w="4876" w:type="dxa"/>
            <w:hideMark/>
          </w:tcPr>
          <w:p w14:paraId="60690727" w14:textId="77777777" w:rsidR="006F5BFE" w:rsidRPr="003B2277" w:rsidRDefault="006F5BFE" w:rsidP="005B4D60">
            <w:pPr>
              <w:pStyle w:val="Normal6"/>
            </w:pPr>
            <w:r w:rsidRPr="003B2277">
              <w:rPr>
                <w:b/>
                <w:i/>
              </w:rPr>
              <w:t>(ii)</w:t>
            </w:r>
            <w:r w:rsidRPr="003B2277">
              <w:rPr>
                <w:b/>
                <w:i/>
              </w:rPr>
              <w:tab/>
              <w:t>v tretjem pododstavku odstavka 2 se črta zadnji stavek;</w:t>
            </w:r>
          </w:p>
        </w:tc>
        <w:tc>
          <w:tcPr>
            <w:tcW w:w="4876" w:type="dxa"/>
            <w:hideMark/>
          </w:tcPr>
          <w:p w14:paraId="38444999" w14:textId="77777777" w:rsidR="006F5BFE" w:rsidRPr="003B2277" w:rsidRDefault="006F5BFE" w:rsidP="005B4D60">
            <w:pPr>
              <w:pStyle w:val="Normal6"/>
              <w:rPr>
                <w:szCs w:val="24"/>
              </w:rPr>
            </w:pPr>
            <w:r w:rsidRPr="003B2277">
              <w:rPr>
                <w:b/>
                <w:i/>
              </w:rPr>
              <w:t>črtano</w:t>
            </w:r>
          </w:p>
        </w:tc>
      </w:tr>
    </w:tbl>
    <w:p w14:paraId="51266B13" w14:textId="40075515" w:rsidR="006F5BFE" w:rsidRDefault="006F5BFE" w:rsidP="006F5BFE"/>
    <w:p w14:paraId="7F4524BC" w14:textId="77777777" w:rsidR="00EC3D4E" w:rsidRPr="003B2277" w:rsidRDefault="00EC3D4E" w:rsidP="006F5BFE"/>
    <w:p w14:paraId="49E69EB4" w14:textId="6DF2DFA6" w:rsidR="006F5BFE" w:rsidRPr="003B2277" w:rsidRDefault="003B2277" w:rsidP="006F5BFE">
      <w:pPr>
        <w:pStyle w:val="AMNumberTabs"/>
        <w:keepNext/>
      </w:pPr>
      <w:r>
        <w:t>Sprememba</w:t>
      </w:r>
      <w:r w:rsidR="006F5BFE" w:rsidRPr="003B2277">
        <w:tab/>
      </w:r>
      <w:r w:rsidR="006F5BFE" w:rsidRPr="003B2277">
        <w:tab/>
        <w:t>62</w:t>
      </w:r>
    </w:p>
    <w:p w14:paraId="2F634153" w14:textId="77777777" w:rsidR="006F5BFE" w:rsidRPr="003B2277" w:rsidRDefault="006F5BFE" w:rsidP="006F5BFE"/>
    <w:p w14:paraId="0DCDD024" w14:textId="77777777" w:rsidR="006F5BFE" w:rsidRPr="003B2277" w:rsidRDefault="006F5BFE" w:rsidP="006F5BFE">
      <w:pPr>
        <w:pStyle w:val="NormalBold"/>
        <w:keepNext/>
      </w:pPr>
      <w:r w:rsidRPr="003B2277">
        <w:t>Predlog uredbe</w:t>
      </w:r>
    </w:p>
    <w:p w14:paraId="2BB6B764" w14:textId="77777777" w:rsidR="006F5BFE" w:rsidRPr="003B2277" w:rsidRDefault="006F5BFE" w:rsidP="006F5BFE">
      <w:pPr>
        <w:pStyle w:val="NormalBold"/>
      </w:pPr>
      <w:r w:rsidRPr="003B2277">
        <w:t>Člen 1 – odstavek 1 – točka 4 – točka c – točka iii – uvodni del</w:t>
      </w:r>
    </w:p>
    <w:p w14:paraId="1BA647A7" w14:textId="77777777" w:rsidR="006F5BFE" w:rsidRPr="003B2277" w:rsidRDefault="006F5BFE" w:rsidP="006F5BFE">
      <w:pPr>
        <w:keepNext/>
      </w:pPr>
      <w:r w:rsidRPr="003B2277">
        <w:t>Uredba (EU) št. 1308/2013</w:t>
      </w:r>
    </w:p>
    <w:p w14:paraId="5517A0B7" w14:textId="77777777" w:rsidR="006F5BFE" w:rsidRPr="003B2277" w:rsidRDefault="006F5BFE" w:rsidP="006F5BFE">
      <w:r w:rsidRPr="003B2277">
        <w:t>Člen 23a – odstavek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76B9FB1" w14:textId="77777777" w:rsidTr="005B4D60">
        <w:trPr>
          <w:jc w:val="center"/>
        </w:trPr>
        <w:tc>
          <w:tcPr>
            <w:tcW w:w="9752" w:type="dxa"/>
            <w:gridSpan w:val="2"/>
          </w:tcPr>
          <w:p w14:paraId="067D7E86" w14:textId="77777777" w:rsidR="006F5BFE" w:rsidRPr="003B2277" w:rsidRDefault="006F5BFE" w:rsidP="005B4D60">
            <w:pPr>
              <w:keepNext/>
            </w:pPr>
          </w:p>
        </w:tc>
      </w:tr>
      <w:tr w:rsidR="006F5BFE" w:rsidRPr="003B2277" w14:paraId="610F91D4" w14:textId="77777777" w:rsidTr="005B4D60">
        <w:trPr>
          <w:jc w:val="center"/>
        </w:trPr>
        <w:tc>
          <w:tcPr>
            <w:tcW w:w="4876" w:type="dxa"/>
            <w:hideMark/>
          </w:tcPr>
          <w:p w14:paraId="16DA07F2" w14:textId="77777777" w:rsidR="006F5BFE" w:rsidRPr="003B2277" w:rsidRDefault="006F5BFE" w:rsidP="005B4D60">
            <w:pPr>
              <w:pStyle w:val="ColumnHeading"/>
              <w:keepNext/>
            </w:pPr>
            <w:r w:rsidRPr="003B2277">
              <w:t>Besedilo, ki ga predlaga Komisija</w:t>
            </w:r>
          </w:p>
        </w:tc>
        <w:tc>
          <w:tcPr>
            <w:tcW w:w="4876" w:type="dxa"/>
            <w:hideMark/>
          </w:tcPr>
          <w:p w14:paraId="456F7CB2" w14:textId="197ACB62" w:rsidR="006F5BFE" w:rsidRPr="003B2277" w:rsidRDefault="003B2277" w:rsidP="005B4D60">
            <w:pPr>
              <w:pStyle w:val="ColumnHeading"/>
              <w:keepNext/>
            </w:pPr>
            <w:r>
              <w:t>Sprememba</w:t>
            </w:r>
          </w:p>
        </w:tc>
      </w:tr>
      <w:tr w:rsidR="006F5BFE" w:rsidRPr="003B2277" w14:paraId="14940E4C" w14:textId="77777777" w:rsidTr="005B4D60">
        <w:trPr>
          <w:jc w:val="center"/>
        </w:trPr>
        <w:tc>
          <w:tcPr>
            <w:tcW w:w="4876" w:type="dxa"/>
            <w:hideMark/>
          </w:tcPr>
          <w:p w14:paraId="2D5A51B3" w14:textId="77777777" w:rsidR="006F5BFE" w:rsidRPr="003B2277" w:rsidRDefault="006F5BFE" w:rsidP="005B4D60">
            <w:pPr>
              <w:pStyle w:val="Normal6"/>
            </w:pPr>
            <w:r w:rsidRPr="003B2277">
              <w:t>(iii)</w:t>
            </w:r>
            <w:r w:rsidRPr="003B2277">
              <w:tab/>
            </w:r>
            <w:r w:rsidRPr="003B2277">
              <w:rPr>
                <w:b/>
                <w:i/>
              </w:rPr>
              <w:t>odstavek</w:t>
            </w:r>
            <w:r w:rsidRPr="003B2277">
              <w:t> 4 se nadomesti z naslednjim:</w:t>
            </w:r>
          </w:p>
        </w:tc>
        <w:tc>
          <w:tcPr>
            <w:tcW w:w="4876" w:type="dxa"/>
            <w:hideMark/>
          </w:tcPr>
          <w:p w14:paraId="7CFD1824" w14:textId="77777777" w:rsidR="006F5BFE" w:rsidRPr="003B2277" w:rsidRDefault="006F5BFE" w:rsidP="005B4D60">
            <w:pPr>
              <w:pStyle w:val="Normal6"/>
              <w:rPr>
                <w:szCs w:val="24"/>
              </w:rPr>
            </w:pPr>
            <w:r w:rsidRPr="003B2277">
              <w:t>(iii)</w:t>
            </w:r>
            <w:r w:rsidRPr="003B2277">
              <w:tab/>
            </w:r>
            <w:r w:rsidRPr="003B2277">
              <w:rPr>
                <w:b/>
                <w:i/>
              </w:rPr>
              <w:t>v odstavku</w:t>
            </w:r>
            <w:r w:rsidRPr="003B2277">
              <w:t> 4 se</w:t>
            </w:r>
            <w:r w:rsidRPr="003B2277">
              <w:rPr>
                <w:b/>
                <w:i/>
              </w:rPr>
              <w:t xml:space="preserve"> prvi pododstavek</w:t>
            </w:r>
            <w:r w:rsidRPr="003B2277">
              <w:t xml:space="preserve"> nadomesti z naslednjim:</w:t>
            </w:r>
          </w:p>
        </w:tc>
      </w:tr>
    </w:tbl>
    <w:p w14:paraId="0EF53EC6" w14:textId="77777777" w:rsidR="006F5BFE" w:rsidRPr="003B2277" w:rsidRDefault="006F5BFE" w:rsidP="006F5BFE"/>
    <w:p w14:paraId="7175D824" w14:textId="16D92D9E" w:rsidR="006F5BFE" w:rsidRPr="003B2277" w:rsidRDefault="003B2277" w:rsidP="006F5BFE">
      <w:pPr>
        <w:pStyle w:val="AMNumberTabs"/>
        <w:keepNext/>
      </w:pPr>
      <w:r>
        <w:t>Sprememba</w:t>
      </w:r>
      <w:r w:rsidR="006F5BFE" w:rsidRPr="003B2277">
        <w:tab/>
      </w:r>
      <w:r w:rsidR="006F5BFE" w:rsidRPr="003B2277">
        <w:tab/>
        <w:t>63</w:t>
      </w:r>
    </w:p>
    <w:p w14:paraId="50F1CF58" w14:textId="77777777" w:rsidR="006F5BFE" w:rsidRPr="003B2277" w:rsidRDefault="006F5BFE" w:rsidP="006F5BFE"/>
    <w:p w14:paraId="67AC3CF5" w14:textId="77777777" w:rsidR="006F5BFE" w:rsidRPr="003B2277" w:rsidRDefault="006F5BFE" w:rsidP="006F5BFE">
      <w:pPr>
        <w:pStyle w:val="NormalBold"/>
        <w:keepNext/>
      </w:pPr>
      <w:r w:rsidRPr="003B2277">
        <w:t>Predlog uredbe</w:t>
      </w:r>
    </w:p>
    <w:p w14:paraId="55AB629D" w14:textId="77777777" w:rsidR="006F5BFE" w:rsidRPr="003B2277" w:rsidRDefault="006F5BFE" w:rsidP="006F5BFE">
      <w:pPr>
        <w:pStyle w:val="NormalBold"/>
      </w:pPr>
      <w:r w:rsidRPr="003B2277">
        <w:t>Člen 1 – odstavek 1 – točka 4 a (novo)</w:t>
      </w:r>
    </w:p>
    <w:p w14:paraId="2AF2F22F" w14:textId="77777777" w:rsidR="006F5BFE" w:rsidRPr="003B2277" w:rsidRDefault="006F5BFE" w:rsidP="006F5BFE">
      <w:pPr>
        <w:keepNext/>
      </w:pPr>
      <w:r w:rsidRPr="003B2277">
        <w:t>Uredba (EU) št. 1308/2013</w:t>
      </w:r>
    </w:p>
    <w:p w14:paraId="4541C40C" w14:textId="77777777" w:rsidR="006F5BFE" w:rsidRPr="003B2277" w:rsidRDefault="006F5BFE" w:rsidP="006F5BFE">
      <w:r w:rsidRPr="003B2277">
        <w:t>Člen 61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8F6CA74" w14:textId="77777777" w:rsidTr="005B4D60">
        <w:trPr>
          <w:jc w:val="center"/>
        </w:trPr>
        <w:tc>
          <w:tcPr>
            <w:tcW w:w="9752" w:type="dxa"/>
            <w:gridSpan w:val="2"/>
          </w:tcPr>
          <w:p w14:paraId="070AEB70" w14:textId="77777777" w:rsidR="006F5BFE" w:rsidRPr="003B2277" w:rsidRDefault="006F5BFE" w:rsidP="005B4D60">
            <w:pPr>
              <w:keepNext/>
            </w:pPr>
          </w:p>
        </w:tc>
      </w:tr>
      <w:tr w:rsidR="006F5BFE" w:rsidRPr="003B2277" w14:paraId="5A5C7634" w14:textId="77777777" w:rsidTr="005B4D60">
        <w:trPr>
          <w:jc w:val="center"/>
        </w:trPr>
        <w:tc>
          <w:tcPr>
            <w:tcW w:w="4876" w:type="dxa"/>
            <w:hideMark/>
          </w:tcPr>
          <w:p w14:paraId="3EC1A8C5" w14:textId="77777777" w:rsidR="006F5BFE" w:rsidRPr="003B2277" w:rsidRDefault="006F5BFE" w:rsidP="005B4D60">
            <w:pPr>
              <w:pStyle w:val="ColumnHeading"/>
              <w:keepNext/>
            </w:pPr>
            <w:r w:rsidRPr="003B2277">
              <w:t>Veljavno besedilo</w:t>
            </w:r>
          </w:p>
        </w:tc>
        <w:tc>
          <w:tcPr>
            <w:tcW w:w="4876" w:type="dxa"/>
            <w:hideMark/>
          </w:tcPr>
          <w:p w14:paraId="2674653C" w14:textId="24B7D706" w:rsidR="006F5BFE" w:rsidRPr="003B2277" w:rsidRDefault="003B2277" w:rsidP="005B4D60">
            <w:pPr>
              <w:pStyle w:val="ColumnHeading"/>
              <w:keepNext/>
            </w:pPr>
            <w:r>
              <w:t>Sprememba</w:t>
            </w:r>
          </w:p>
        </w:tc>
      </w:tr>
      <w:tr w:rsidR="006F5BFE" w:rsidRPr="003B2277" w14:paraId="7BBF2CE6" w14:textId="77777777" w:rsidTr="005B4D60">
        <w:trPr>
          <w:jc w:val="center"/>
        </w:trPr>
        <w:tc>
          <w:tcPr>
            <w:tcW w:w="4876" w:type="dxa"/>
          </w:tcPr>
          <w:p w14:paraId="282F86B4" w14:textId="77777777" w:rsidR="006F5BFE" w:rsidRPr="003B2277" w:rsidRDefault="006F5BFE" w:rsidP="005B4D60">
            <w:pPr>
              <w:pStyle w:val="Normal6"/>
            </w:pPr>
          </w:p>
        </w:tc>
        <w:tc>
          <w:tcPr>
            <w:tcW w:w="4876" w:type="dxa"/>
            <w:hideMark/>
          </w:tcPr>
          <w:p w14:paraId="424F6AC0" w14:textId="77777777" w:rsidR="006F5BFE" w:rsidRPr="003B2277" w:rsidRDefault="006F5BFE" w:rsidP="005B4D60">
            <w:pPr>
              <w:pStyle w:val="Normal6"/>
              <w:rPr>
                <w:szCs w:val="24"/>
              </w:rPr>
            </w:pPr>
            <w:r w:rsidRPr="003B2277">
              <w:rPr>
                <w:b/>
                <w:i/>
              </w:rPr>
              <w:t>(4a)</w:t>
            </w:r>
            <w:r w:rsidRPr="003B2277">
              <w:rPr>
                <w:b/>
                <w:i/>
              </w:rPr>
              <w:tab/>
              <w:t>člen 61 se nadomesti z naslednjim:</w:t>
            </w:r>
          </w:p>
        </w:tc>
      </w:tr>
      <w:tr w:rsidR="006F5BFE" w:rsidRPr="003B2277" w14:paraId="48A20A1D" w14:textId="77777777" w:rsidTr="005B4D60">
        <w:trPr>
          <w:jc w:val="center"/>
        </w:trPr>
        <w:tc>
          <w:tcPr>
            <w:tcW w:w="4876" w:type="dxa"/>
            <w:hideMark/>
          </w:tcPr>
          <w:p w14:paraId="702A7BFF" w14:textId="77777777" w:rsidR="006F5BFE" w:rsidRPr="003B2277" w:rsidRDefault="006F5BFE" w:rsidP="005B4D60">
            <w:pPr>
              <w:pStyle w:val="Normal6"/>
            </w:pPr>
            <w:r w:rsidRPr="003B2277">
              <w:t>Člen 61</w:t>
            </w:r>
          </w:p>
        </w:tc>
        <w:tc>
          <w:tcPr>
            <w:tcW w:w="4876" w:type="dxa"/>
            <w:hideMark/>
          </w:tcPr>
          <w:p w14:paraId="28E3DD00" w14:textId="77777777" w:rsidR="006F5BFE" w:rsidRPr="003B2277" w:rsidRDefault="006F5BFE" w:rsidP="005B4D60">
            <w:pPr>
              <w:pStyle w:val="Normal6"/>
              <w:rPr>
                <w:szCs w:val="24"/>
              </w:rPr>
            </w:pPr>
            <w:r w:rsidRPr="003B2277">
              <w:rPr>
                <w:b/>
                <w:i/>
              </w:rPr>
              <w:t>„</w:t>
            </w:r>
            <w:r w:rsidRPr="003B2277">
              <w:t>Člen 61</w:t>
            </w:r>
          </w:p>
        </w:tc>
      </w:tr>
      <w:tr w:rsidR="006F5BFE" w:rsidRPr="003B2277" w14:paraId="77657EE2" w14:textId="77777777" w:rsidTr="005B4D60">
        <w:trPr>
          <w:jc w:val="center"/>
        </w:trPr>
        <w:tc>
          <w:tcPr>
            <w:tcW w:w="4876" w:type="dxa"/>
            <w:hideMark/>
          </w:tcPr>
          <w:p w14:paraId="0B6ACE75" w14:textId="77777777" w:rsidR="006F5BFE" w:rsidRPr="003B2277" w:rsidRDefault="006F5BFE" w:rsidP="005B4D60">
            <w:pPr>
              <w:pStyle w:val="Normal6"/>
            </w:pPr>
            <w:r w:rsidRPr="003B2277">
              <w:t>Veljavnost</w:t>
            </w:r>
          </w:p>
        </w:tc>
        <w:tc>
          <w:tcPr>
            <w:tcW w:w="4876" w:type="dxa"/>
            <w:hideMark/>
          </w:tcPr>
          <w:p w14:paraId="1B7F22C4" w14:textId="77777777" w:rsidR="006F5BFE" w:rsidRPr="003B2277" w:rsidRDefault="006F5BFE" w:rsidP="005B4D60">
            <w:pPr>
              <w:pStyle w:val="Normal6"/>
              <w:rPr>
                <w:szCs w:val="24"/>
              </w:rPr>
            </w:pPr>
            <w:r w:rsidRPr="003B2277">
              <w:t>Veljavnost</w:t>
            </w:r>
          </w:p>
        </w:tc>
      </w:tr>
      <w:tr w:rsidR="006F5BFE" w:rsidRPr="003B2277" w14:paraId="44ED4C24" w14:textId="77777777" w:rsidTr="005B4D60">
        <w:trPr>
          <w:jc w:val="center"/>
        </w:trPr>
        <w:tc>
          <w:tcPr>
            <w:tcW w:w="4876" w:type="dxa"/>
            <w:hideMark/>
          </w:tcPr>
          <w:p w14:paraId="0BC1A176" w14:textId="77777777" w:rsidR="006F5BFE" w:rsidRPr="003B2277" w:rsidRDefault="006F5BFE" w:rsidP="005B4D60">
            <w:pPr>
              <w:pStyle w:val="Normal6"/>
            </w:pPr>
            <w:r w:rsidRPr="003B2277">
              <w:t xml:space="preserve">Sistem dovoljenj za zasaditev vinske trte iz tega poglavja se uporablja od 1. januarja 2016 do 31. decembra </w:t>
            </w:r>
            <w:r w:rsidRPr="003B2277">
              <w:rPr>
                <w:b/>
                <w:i/>
              </w:rPr>
              <w:t>2030</w:t>
            </w:r>
            <w:r w:rsidRPr="003B2277">
              <w:t xml:space="preserve">, Komisija pa </w:t>
            </w:r>
            <w:r w:rsidRPr="003B2277">
              <w:rPr>
                <w:b/>
                <w:i/>
              </w:rPr>
              <w:t>izvede vmesni</w:t>
            </w:r>
            <w:r w:rsidRPr="003B2277">
              <w:t xml:space="preserve"> pregled, v katerem oceni delovanje sistema ter po potrebi pripravi predloge.</w:t>
            </w:r>
          </w:p>
        </w:tc>
        <w:tc>
          <w:tcPr>
            <w:tcW w:w="4876" w:type="dxa"/>
            <w:hideMark/>
          </w:tcPr>
          <w:p w14:paraId="1E5BDB00" w14:textId="5314AF47" w:rsidR="006F5BFE" w:rsidRPr="003B2277" w:rsidRDefault="006F5BFE" w:rsidP="005B4D60">
            <w:pPr>
              <w:pStyle w:val="Normal6"/>
              <w:rPr>
                <w:szCs w:val="24"/>
              </w:rPr>
            </w:pPr>
            <w:r w:rsidRPr="003B2277">
              <w:t xml:space="preserve">Sistem dovoljenj za zasaditev vinske trte iz tega poglavja se uporablja od 1. januarja 2016 do 31. decembra </w:t>
            </w:r>
            <w:r w:rsidRPr="003B2277">
              <w:rPr>
                <w:b/>
                <w:i/>
              </w:rPr>
              <w:t>2050</w:t>
            </w:r>
            <w:r w:rsidRPr="003B2277">
              <w:t xml:space="preserve">, Komisija pa </w:t>
            </w:r>
            <w:r w:rsidRPr="003B2277">
              <w:rPr>
                <w:b/>
                <w:i/>
              </w:rPr>
              <w:t>1. januarja 2023 prvič in nato vsakih deset let izvede</w:t>
            </w:r>
            <w:r w:rsidRPr="003B2277">
              <w:t xml:space="preserve"> pregled, v katerem oceni delovanje sistema ter po potrebi pripravi predloge</w:t>
            </w:r>
            <w:r w:rsidRPr="003B2277">
              <w:rPr>
                <w:b/>
                <w:i/>
              </w:rPr>
              <w:t xml:space="preserve"> za izboljšanje njegove učinkovitosti</w:t>
            </w:r>
            <w:r w:rsidRPr="003B2277">
              <w:t>.</w:t>
            </w:r>
            <w:r w:rsidRPr="003B2277">
              <w:rPr>
                <w:b/>
                <w:i/>
              </w:rPr>
              <w:t>“</w:t>
            </w:r>
          </w:p>
        </w:tc>
      </w:tr>
    </w:tbl>
    <w:p w14:paraId="2AB32C8F" w14:textId="79803C3C" w:rsidR="006F5BFE" w:rsidRDefault="006F5BFE" w:rsidP="006F5BFE"/>
    <w:p w14:paraId="4793C009" w14:textId="48C22485" w:rsidR="007E5F3B" w:rsidRDefault="007E5F3B" w:rsidP="006F5BFE"/>
    <w:p w14:paraId="241E02AC" w14:textId="132A936E" w:rsidR="007E5F3B" w:rsidRPr="00302844" w:rsidRDefault="008C7773" w:rsidP="007E5F3B">
      <w:pPr>
        <w:pStyle w:val="AmNumberTabs0"/>
      </w:pPr>
      <w:r>
        <w:t>Sprememba</w:t>
      </w:r>
      <w:r w:rsidR="007E5F3B" w:rsidRPr="00302844">
        <w:tab/>
      </w:r>
      <w:r w:rsidR="007E5F3B" w:rsidRPr="00302844">
        <w:tab/>
        <w:t>261</w:t>
      </w:r>
    </w:p>
    <w:p w14:paraId="2E5941C0" w14:textId="77777777" w:rsidR="007E5F3B" w:rsidRPr="00302844" w:rsidRDefault="007E5F3B" w:rsidP="007E5F3B">
      <w:pPr>
        <w:pStyle w:val="NormalBold12b"/>
      </w:pPr>
      <w:r w:rsidRPr="00302844">
        <w:t>Predlog uredbe</w:t>
      </w:r>
    </w:p>
    <w:p w14:paraId="313C1E3F" w14:textId="163319A7" w:rsidR="007E5F3B" w:rsidRPr="00302844" w:rsidRDefault="00174C31" w:rsidP="007E5F3B">
      <w:pPr>
        <w:pStyle w:val="NormalBold"/>
      </w:pPr>
      <w:r>
        <w:t>Člen 1 – odstavek 1 – točka 4 b</w:t>
      </w:r>
      <w:r w:rsidR="007E5F3B" w:rsidRPr="00302844">
        <w:t xml:space="preserve"> (novo)</w:t>
      </w:r>
    </w:p>
    <w:p w14:paraId="6A6112E7" w14:textId="77777777" w:rsidR="007E5F3B" w:rsidRPr="00302844" w:rsidRDefault="007E5F3B" w:rsidP="007E5F3B">
      <w:r w:rsidRPr="00302844">
        <w:t>Uredba (EU) št. 1308/2013</w:t>
      </w:r>
    </w:p>
    <w:p w14:paraId="291F14B7" w14:textId="77777777" w:rsidR="007E5F3B" w:rsidRPr="00302844" w:rsidRDefault="007E5F3B" w:rsidP="007E5F3B">
      <w:r w:rsidRPr="00302844">
        <w:t>Člen 62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E5F3B" w:rsidRPr="00302844" w14:paraId="18CDCE89" w14:textId="77777777" w:rsidTr="007E5F3B">
        <w:trPr>
          <w:trHeight w:hRule="exact" w:val="240"/>
          <w:jc w:val="center"/>
        </w:trPr>
        <w:tc>
          <w:tcPr>
            <w:tcW w:w="9752" w:type="dxa"/>
            <w:gridSpan w:val="2"/>
          </w:tcPr>
          <w:p w14:paraId="286A806E" w14:textId="77777777" w:rsidR="007E5F3B" w:rsidRPr="00302844" w:rsidRDefault="007E5F3B" w:rsidP="007E5F3B"/>
        </w:tc>
      </w:tr>
      <w:tr w:rsidR="007E5F3B" w:rsidRPr="00302844" w14:paraId="35472CF0" w14:textId="77777777" w:rsidTr="007E5F3B">
        <w:trPr>
          <w:trHeight w:val="240"/>
          <w:jc w:val="center"/>
        </w:trPr>
        <w:tc>
          <w:tcPr>
            <w:tcW w:w="4876" w:type="dxa"/>
          </w:tcPr>
          <w:p w14:paraId="2A7917B1" w14:textId="77777777" w:rsidR="007E5F3B" w:rsidRPr="00302844" w:rsidRDefault="007E5F3B" w:rsidP="007E5F3B">
            <w:pPr>
              <w:pStyle w:val="AmColumnHeading"/>
            </w:pPr>
            <w:r w:rsidRPr="00302844">
              <w:t>Veljavno besedilo</w:t>
            </w:r>
          </w:p>
        </w:tc>
        <w:tc>
          <w:tcPr>
            <w:tcW w:w="4876" w:type="dxa"/>
          </w:tcPr>
          <w:p w14:paraId="028EA471" w14:textId="74A5ACD4" w:rsidR="007E5F3B" w:rsidRPr="00302844" w:rsidRDefault="008C7773" w:rsidP="007E5F3B">
            <w:pPr>
              <w:pStyle w:val="AmColumnHeading"/>
            </w:pPr>
            <w:r>
              <w:t>Sprememba</w:t>
            </w:r>
          </w:p>
        </w:tc>
      </w:tr>
      <w:tr w:rsidR="007E5F3B" w:rsidRPr="00302844" w14:paraId="25BA2295" w14:textId="77777777" w:rsidTr="007E5F3B">
        <w:trPr>
          <w:jc w:val="center"/>
        </w:trPr>
        <w:tc>
          <w:tcPr>
            <w:tcW w:w="4876" w:type="dxa"/>
          </w:tcPr>
          <w:p w14:paraId="0693BB46" w14:textId="77777777" w:rsidR="007E5F3B" w:rsidRPr="00302844" w:rsidRDefault="007E5F3B" w:rsidP="007E5F3B">
            <w:pPr>
              <w:pStyle w:val="Normal6a"/>
            </w:pPr>
          </w:p>
        </w:tc>
        <w:tc>
          <w:tcPr>
            <w:tcW w:w="4876" w:type="dxa"/>
          </w:tcPr>
          <w:p w14:paraId="6C842CDE" w14:textId="49A0B50F" w:rsidR="007E5F3B" w:rsidRPr="00302844" w:rsidRDefault="00174C31" w:rsidP="007E5F3B">
            <w:pPr>
              <w:pStyle w:val="Normal6a"/>
            </w:pPr>
            <w:r>
              <w:rPr>
                <w:b/>
                <w:i/>
              </w:rPr>
              <w:t>(4b</w:t>
            </w:r>
            <w:r w:rsidR="007E5F3B" w:rsidRPr="00302844">
              <w:rPr>
                <w:b/>
                <w:i/>
              </w:rPr>
              <w:t>)</w:t>
            </w:r>
            <w:r w:rsidR="007E5F3B" w:rsidRPr="00302844">
              <w:tab/>
            </w:r>
            <w:r w:rsidR="007E5F3B" w:rsidRPr="00302844">
              <w:rPr>
                <w:b/>
                <w:i/>
              </w:rPr>
              <w:t>v členu 62 se odstavek 3 nadomesti z naslednjim:</w:t>
            </w:r>
          </w:p>
        </w:tc>
      </w:tr>
      <w:tr w:rsidR="007E5F3B" w:rsidRPr="00302844" w14:paraId="7B00A7FA" w14:textId="77777777" w:rsidTr="007E5F3B">
        <w:trPr>
          <w:jc w:val="center"/>
        </w:trPr>
        <w:tc>
          <w:tcPr>
            <w:tcW w:w="4876" w:type="dxa"/>
          </w:tcPr>
          <w:p w14:paraId="70CD7130" w14:textId="7712DD3E" w:rsidR="007E5F3B" w:rsidRPr="00302844" w:rsidRDefault="007E5F3B" w:rsidP="007E5F3B">
            <w:pPr>
              <w:pStyle w:val="Normal6a"/>
            </w:pPr>
            <w:r w:rsidRPr="00302844">
              <w:t xml:space="preserve">3. </w:t>
            </w:r>
            <w:r w:rsidR="00174C31" w:rsidRPr="00302844">
              <w:tab/>
            </w:r>
            <w:r w:rsidRPr="00302844">
              <w:t>Dovoljenja iz odstavka 1 veljajo tri leta od dneva, ko so bila izdana. Pridelovalcu, ki v obdobju veljavnosti ne izkoristi izdanega dovoljenja, se naložijo upravne kazni, določene v členu 89(4) Uredbe (EU) št. 1306/2013.</w:t>
            </w:r>
          </w:p>
        </w:tc>
        <w:tc>
          <w:tcPr>
            <w:tcW w:w="4876" w:type="dxa"/>
          </w:tcPr>
          <w:p w14:paraId="147C2E15" w14:textId="13C4919D" w:rsidR="007E5F3B" w:rsidRPr="00302844" w:rsidRDefault="007E5F3B" w:rsidP="007E5F3B">
            <w:pPr>
              <w:pStyle w:val="Normal6a"/>
            </w:pPr>
            <w:r w:rsidRPr="00302844">
              <w:t xml:space="preserve">„3. </w:t>
            </w:r>
            <w:r w:rsidR="00174C31" w:rsidRPr="00302844">
              <w:tab/>
            </w:r>
            <w:r w:rsidRPr="00302844">
              <w:t xml:space="preserve">Dovoljenja iz odstavka 1 veljajo tri leta od dneva, ko so bila izdana. Pridelovalcu, ki v obdobju veljavnosti ne izkoristi izdanega dovoljenja, se naložijo upravne kazni, določene v členu 89(4) Uredbe (EU) št. 1306/2013. </w:t>
            </w:r>
            <w:r w:rsidRPr="00302844">
              <w:rPr>
                <w:b/>
                <w:i/>
              </w:rPr>
              <w:t xml:space="preserve">Vendar lahko države članice odločijo, da dovoljenja iz člena 66(1) </w:t>
            </w:r>
            <w:r w:rsidR="00174C31">
              <w:rPr>
                <w:b/>
                <w:i/>
              </w:rPr>
              <w:t xml:space="preserve">te uredbe </w:t>
            </w:r>
            <w:r w:rsidRPr="00302844">
              <w:rPr>
                <w:b/>
                <w:i/>
              </w:rPr>
              <w:t>veljajo šest let od dneva, ko so bila izdana.</w:t>
            </w:r>
            <w:r w:rsidRPr="00302844">
              <w:t>“</w:t>
            </w:r>
          </w:p>
        </w:tc>
      </w:tr>
    </w:tbl>
    <w:p w14:paraId="5AFFD868" w14:textId="77777777" w:rsidR="007E5F3B" w:rsidRPr="003B2277" w:rsidRDefault="007E5F3B" w:rsidP="006F5BFE"/>
    <w:p w14:paraId="36C14224" w14:textId="3BC0C5BD" w:rsidR="006F5BFE" w:rsidRPr="003B2277" w:rsidRDefault="003B2277" w:rsidP="006F5BFE">
      <w:pPr>
        <w:pStyle w:val="AMNumberTabs"/>
        <w:keepNext/>
      </w:pPr>
      <w:r>
        <w:t>Sprememba</w:t>
      </w:r>
      <w:r w:rsidR="006F5BFE" w:rsidRPr="003B2277">
        <w:tab/>
      </w:r>
      <w:r w:rsidR="006F5BFE" w:rsidRPr="003B2277">
        <w:tab/>
        <w:t>64</w:t>
      </w:r>
    </w:p>
    <w:p w14:paraId="2F1330E7" w14:textId="77777777" w:rsidR="006F5BFE" w:rsidRPr="003B2277" w:rsidRDefault="006F5BFE" w:rsidP="006F5BFE"/>
    <w:p w14:paraId="0E47CEE2" w14:textId="77777777" w:rsidR="006F5BFE" w:rsidRPr="003B2277" w:rsidRDefault="006F5BFE" w:rsidP="006F5BFE">
      <w:pPr>
        <w:pStyle w:val="NormalBold"/>
        <w:keepNext/>
      </w:pPr>
      <w:r w:rsidRPr="003B2277">
        <w:t>Predlog uredbe</w:t>
      </w:r>
    </w:p>
    <w:p w14:paraId="73D87A15" w14:textId="77777777" w:rsidR="006F5BFE" w:rsidRPr="003B2277" w:rsidRDefault="006F5BFE" w:rsidP="006F5BFE">
      <w:pPr>
        <w:pStyle w:val="NormalBold"/>
      </w:pPr>
      <w:r w:rsidRPr="003B2277">
        <w:t>Člen 1 – odstavek 1 – točka 4 b (novo)</w:t>
      </w:r>
    </w:p>
    <w:p w14:paraId="52D06A7E" w14:textId="77777777" w:rsidR="006F5BFE" w:rsidRPr="003B2277" w:rsidRDefault="006F5BFE" w:rsidP="006F5BFE">
      <w:pPr>
        <w:keepNext/>
      </w:pPr>
      <w:r w:rsidRPr="003B2277">
        <w:t>Uredba (EU) št. 1308/2013</w:t>
      </w:r>
    </w:p>
    <w:p w14:paraId="20924F26" w14:textId="77777777" w:rsidR="006F5BFE" w:rsidRPr="003B2277" w:rsidRDefault="006F5BFE" w:rsidP="006F5BFE">
      <w:r w:rsidRPr="003B2277">
        <w:t>Člen 62 – odstavek 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5A3A08F" w14:textId="77777777" w:rsidTr="005B4D60">
        <w:trPr>
          <w:jc w:val="center"/>
        </w:trPr>
        <w:tc>
          <w:tcPr>
            <w:tcW w:w="9752" w:type="dxa"/>
            <w:gridSpan w:val="2"/>
          </w:tcPr>
          <w:p w14:paraId="27F32372" w14:textId="77777777" w:rsidR="006F5BFE" w:rsidRPr="003B2277" w:rsidRDefault="006F5BFE" w:rsidP="005B4D60">
            <w:pPr>
              <w:keepNext/>
            </w:pPr>
          </w:p>
        </w:tc>
      </w:tr>
      <w:tr w:rsidR="006F5BFE" w:rsidRPr="003B2277" w14:paraId="552D7375" w14:textId="77777777" w:rsidTr="005B4D60">
        <w:trPr>
          <w:jc w:val="center"/>
        </w:trPr>
        <w:tc>
          <w:tcPr>
            <w:tcW w:w="4876" w:type="dxa"/>
            <w:hideMark/>
          </w:tcPr>
          <w:p w14:paraId="6153671D" w14:textId="77777777" w:rsidR="006F5BFE" w:rsidRPr="003B2277" w:rsidRDefault="006F5BFE" w:rsidP="005B4D60">
            <w:pPr>
              <w:pStyle w:val="ColumnHeading"/>
              <w:keepNext/>
            </w:pPr>
            <w:r w:rsidRPr="003B2277">
              <w:t>Veljavno besedilo</w:t>
            </w:r>
          </w:p>
        </w:tc>
        <w:tc>
          <w:tcPr>
            <w:tcW w:w="4876" w:type="dxa"/>
            <w:hideMark/>
          </w:tcPr>
          <w:p w14:paraId="57A7A338" w14:textId="4D90BBDA" w:rsidR="006F5BFE" w:rsidRPr="003B2277" w:rsidRDefault="003B2277" w:rsidP="005B4D60">
            <w:pPr>
              <w:pStyle w:val="ColumnHeading"/>
              <w:keepNext/>
            </w:pPr>
            <w:r>
              <w:t>Sprememba</w:t>
            </w:r>
          </w:p>
        </w:tc>
      </w:tr>
      <w:tr w:rsidR="006F5BFE" w:rsidRPr="003B2277" w14:paraId="017F08DC" w14:textId="77777777" w:rsidTr="005B4D60">
        <w:trPr>
          <w:jc w:val="center"/>
        </w:trPr>
        <w:tc>
          <w:tcPr>
            <w:tcW w:w="4876" w:type="dxa"/>
          </w:tcPr>
          <w:p w14:paraId="4BB340B8" w14:textId="77777777" w:rsidR="006F5BFE" w:rsidRPr="003B2277" w:rsidRDefault="006F5BFE" w:rsidP="005B4D60">
            <w:pPr>
              <w:pStyle w:val="Normal6"/>
            </w:pPr>
          </w:p>
        </w:tc>
        <w:tc>
          <w:tcPr>
            <w:tcW w:w="4876" w:type="dxa"/>
            <w:hideMark/>
          </w:tcPr>
          <w:p w14:paraId="36C6BE4B" w14:textId="77777777" w:rsidR="006F5BFE" w:rsidRPr="003B2277" w:rsidRDefault="006F5BFE" w:rsidP="005B4D60">
            <w:pPr>
              <w:pStyle w:val="Normal6"/>
              <w:rPr>
                <w:szCs w:val="24"/>
              </w:rPr>
            </w:pPr>
            <w:r w:rsidRPr="003B2277">
              <w:rPr>
                <w:b/>
                <w:i/>
              </w:rPr>
              <w:t>(4b)</w:t>
            </w:r>
            <w:r w:rsidRPr="003B2277">
              <w:rPr>
                <w:b/>
                <w:i/>
              </w:rPr>
              <w:tab/>
              <w:t>člen 62(4) se spremeni z naslednjim:</w:t>
            </w:r>
          </w:p>
        </w:tc>
      </w:tr>
      <w:tr w:rsidR="006F5BFE" w:rsidRPr="003B2277" w14:paraId="330771C8" w14:textId="77777777" w:rsidTr="005B4D60">
        <w:trPr>
          <w:jc w:val="center"/>
        </w:trPr>
        <w:tc>
          <w:tcPr>
            <w:tcW w:w="4876" w:type="dxa"/>
            <w:hideMark/>
          </w:tcPr>
          <w:p w14:paraId="01838996" w14:textId="77777777" w:rsidR="006F5BFE" w:rsidRPr="003B2277" w:rsidRDefault="006F5BFE" w:rsidP="005B4D60">
            <w:pPr>
              <w:pStyle w:val="Normal6"/>
            </w:pPr>
            <w:r w:rsidRPr="003B2277">
              <w:t>4.</w:t>
            </w:r>
            <w:r w:rsidRPr="003B2277">
              <w:tab/>
              <w:t>To poglavje se ne uporablja za zasaditev ali ponovno zasaditev območij, namenjenih za poskuse ali za matične nasade za cepiče, ali območij, katerih vino ali proizvodi vinske trte so namenjeni izključno za porabo vinogradnikove družine, ali območij, ki bodo ponovno zasajena zaradi obveznega odkupa v javnem interesu, v okviru nacionalnega prava.</w:t>
            </w:r>
          </w:p>
        </w:tc>
        <w:tc>
          <w:tcPr>
            <w:tcW w:w="4876" w:type="dxa"/>
            <w:hideMark/>
          </w:tcPr>
          <w:p w14:paraId="2E41F2AC" w14:textId="5B9520AA" w:rsidR="006F5BFE" w:rsidRPr="003B2277" w:rsidRDefault="006F5BFE" w:rsidP="005B4D60">
            <w:pPr>
              <w:pStyle w:val="Normal6"/>
              <w:rPr>
                <w:szCs w:val="24"/>
              </w:rPr>
            </w:pPr>
            <w:r w:rsidRPr="003B2277">
              <w:rPr>
                <w:b/>
                <w:i/>
              </w:rPr>
              <w:t>„</w:t>
            </w:r>
            <w:r w:rsidRPr="003B2277">
              <w:t>4.</w:t>
            </w:r>
            <w:r w:rsidRPr="003B2277">
              <w:tab/>
              <w:t xml:space="preserve">To poglavje se ne uporablja za zasaditev ali ponovno zasaditev območij, namenjenih za poskuse ali za matične nasade za cepiče, </w:t>
            </w:r>
            <w:r w:rsidRPr="003B2277">
              <w:rPr>
                <w:b/>
                <w:i/>
              </w:rPr>
              <w:t xml:space="preserve">za zasaditev ali ponovno zasaditev območij, katerih proizvodi vinske trte so namenjeni izključno za proizvodnjo grozdnega soka, </w:t>
            </w:r>
            <w:r w:rsidRPr="003B2277">
              <w:t>ali območij, katerih vino ali proizvodi vinske trte so namenjeni izključno za porabo vinogradnikove družine, ali območij, ki bodo ponovno zasajena zaradi obveznega odkupa v javnem interesu, v okviru nacionalnega prava.</w:t>
            </w:r>
            <w:r w:rsidRPr="003B2277">
              <w:rPr>
                <w:b/>
                <w:i/>
              </w:rPr>
              <w:t>“</w:t>
            </w:r>
          </w:p>
        </w:tc>
      </w:tr>
    </w:tbl>
    <w:p w14:paraId="34457F8E" w14:textId="77777777" w:rsidR="006F5BFE" w:rsidRPr="003B2277" w:rsidRDefault="006F5BFE" w:rsidP="006F5BFE"/>
    <w:p w14:paraId="693B306B" w14:textId="44837130" w:rsidR="006F5BFE" w:rsidRPr="003B2277" w:rsidRDefault="003B2277" w:rsidP="006F5BFE">
      <w:pPr>
        <w:pStyle w:val="AMNumberTabs"/>
        <w:keepNext/>
      </w:pPr>
      <w:r>
        <w:t>Sprememba</w:t>
      </w:r>
      <w:r w:rsidR="006F5BFE" w:rsidRPr="003B2277">
        <w:tab/>
      </w:r>
      <w:r w:rsidR="006F5BFE" w:rsidRPr="003B2277">
        <w:tab/>
        <w:t>65</w:t>
      </w:r>
    </w:p>
    <w:p w14:paraId="1EBD5DCD" w14:textId="77777777" w:rsidR="006F5BFE" w:rsidRPr="003B2277" w:rsidRDefault="006F5BFE" w:rsidP="006F5BFE"/>
    <w:p w14:paraId="61C44EA6" w14:textId="77777777" w:rsidR="006F5BFE" w:rsidRPr="003B2277" w:rsidRDefault="006F5BFE" w:rsidP="006F5BFE">
      <w:pPr>
        <w:pStyle w:val="NormalBold"/>
        <w:keepNext/>
      </w:pPr>
      <w:r w:rsidRPr="003B2277">
        <w:t>Predlog uredbe</w:t>
      </w:r>
    </w:p>
    <w:p w14:paraId="430A1397" w14:textId="77777777" w:rsidR="006F5BFE" w:rsidRPr="003B2277" w:rsidRDefault="006F5BFE" w:rsidP="006F5BFE">
      <w:pPr>
        <w:pStyle w:val="NormalBold"/>
      </w:pPr>
      <w:r w:rsidRPr="003B2277">
        <w:t>Člen 1 – odstavek 1 – točka 5</w:t>
      </w:r>
    </w:p>
    <w:p w14:paraId="749E6729" w14:textId="77777777" w:rsidR="006F5BFE" w:rsidRPr="003B2277" w:rsidRDefault="006F5BFE" w:rsidP="006F5BFE">
      <w:pPr>
        <w:keepNext/>
      </w:pPr>
      <w:r w:rsidRPr="003B2277">
        <w:t>Uredba (EU) št. 1308/2013</w:t>
      </w:r>
    </w:p>
    <w:p w14:paraId="7BE891E4" w14:textId="77777777" w:rsidR="006F5BFE" w:rsidRPr="003B2277" w:rsidRDefault="006F5BFE" w:rsidP="006F5BFE">
      <w:r w:rsidRPr="003B2277">
        <w:t>Člen 63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813F2D3" w14:textId="77777777" w:rsidTr="005B4D60">
        <w:trPr>
          <w:jc w:val="center"/>
        </w:trPr>
        <w:tc>
          <w:tcPr>
            <w:tcW w:w="9752" w:type="dxa"/>
            <w:gridSpan w:val="2"/>
          </w:tcPr>
          <w:p w14:paraId="2431DDBA" w14:textId="77777777" w:rsidR="006F5BFE" w:rsidRPr="003B2277" w:rsidRDefault="006F5BFE" w:rsidP="005B4D60">
            <w:pPr>
              <w:keepNext/>
            </w:pPr>
          </w:p>
        </w:tc>
      </w:tr>
      <w:tr w:rsidR="006F5BFE" w:rsidRPr="003B2277" w14:paraId="7AFD2579" w14:textId="77777777" w:rsidTr="005B4D60">
        <w:trPr>
          <w:jc w:val="center"/>
        </w:trPr>
        <w:tc>
          <w:tcPr>
            <w:tcW w:w="4876" w:type="dxa"/>
            <w:hideMark/>
          </w:tcPr>
          <w:p w14:paraId="205762B8" w14:textId="77777777" w:rsidR="006F5BFE" w:rsidRPr="003B2277" w:rsidRDefault="006F5BFE" w:rsidP="005B4D60">
            <w:pPr>
              <w:pStyle w:val="ColumnHeading"/>
              <w:keepNext/>
            </w:pPr>
            <w:r w:rsidRPr="003B2277">
              <w:t>Besedilo, ki ga predlaga Komisija</w:t>
            </w:r>
          </w:p>
        </w:tc>
        <w:tc>
          <w:tcPr>
            <w:tcW w:w="4876" w:type="dxa"/>
            <w:hideMark/>
          </w:tcPr>
          <w:p w14:paraId="5372ED0E" w14:textId="019A13DC" w:rsidR="006F5BFE" w:rsidRPr="003B2277" w:rsidRDefault="003B2277" w:rsidP="005B4D60">
            <w:pPr>
              <w:pStyle w:val="ColumnHeading"/>
              <w:keepNext/>
            </w:pPr>
            <w:r>
              <w:t>Sprememba</w:t>
            </w:r>
          </w:p>
        </w:tc>
      </w:tr>
      <w:tr w:rsidR="006F5BFE" w:rsidRPr="003B2277" w14:paraId="4370543E" w14:textId="77777777" w:rsidTr="005B4D60">
        <w:trPr>
          <w:jc w:val="center"/>
        </w:trPr>
        <w:tc>
          <w:tcPr>
            <w:tcW w:w="4876" w:type="dxa"/>
            <w:hideMark/>
          </w:tcPr>
          <w:p w14:paraId="5C9388AB" w14:textId="77777777" w:rsidR="006F5BFE" w:rsidRPr="003B2277" w:rsidRDefault="006F5BFE" w:rsidP="005B4D60">
            <w:pPr>
              <w:pStyle w:val="Normal6"/>
            </w:pPr>
            <w:r w:rsidRPr="003B2277">
              <w:rPr>
                <w:b/>
                <w:i/>
              </w:rPr>
              <w:t>(5)</w:t>
            </w:r>
            <w:r w:rsidRPr="003B2277">
              <w:rPr>
                <w:b/>
                <w:i/>
              </w:rPr>
              <w:tab/>
              <w:t>v členu 63 se odstavek 1 nadomesti z naslednjim:</w:t>
            </w:r>
          </w:p>
        </w:tc>
        <w:tc>
          <w:tcPr>
            <w:tcW w:w="4876" w:type="dxa"/>
            <w:hideMark/>
          </w:tcPr>
          <w:p w14:paraId="22EEEFC0" w14:textId="77777777" w:rsidR="006F5BFE" w:rsidRPr="003B2277" w:rsidRDefault="006F5BFE" w:rsidP="005B4D60">
            <w:pPr>
              <w:pStyle w:val="Normal6"/>
              <w:rPr>
                <w:szCs w:val="24"/>
              </w:rPr>
            </w:pPr>
            <w:r w:rsidRPr="003B2277">
              <w:rPr>
                <w:b/>
                <w:i/>
              </w:rPr>
              <w:t>črtano</w:t>
            </w:r>
          </w:p>
        </w:tc>
      </w:tr>
      <w:tr w:rsidR="006F5BFE" w:rsidRPr="003B2277" w14:paraId="4F9F8E6E" w14:textId="77777777" w:rsidTr="005B4D60">
        <w:trPr>
          <w:jc w:val="center"/>
        </w:trPr>
        <w:tc>
          <w:tcPr>
            <w:tcW w:w="4876" w:type="dxa"/>
            <w:hideMark/>
          </w:tcPr>
          <w:p w14:paraId="475CB0E7" w14:textId="77777777" w:rsidR="006F5BFE" w:rsidRPr="003B2277" w:rsidRDefault="006F5BFE" w:rsidP="005B4D60">
            <w:pPr>
              <w:pStyle w:val="Normal6"/>
            </w:pPr>
            <w:r w:rsidRPr="003B2277">
              <w:rPr>
                <w:b/>
                <w:i/>
              </w:rPr>
              <w:t>„1.</w:t>
            </w:r>
            <w:r w:rsidRPr="003B2277">
              <w:rPr>
                <w:b/>
                <w:i/>
              </w:rPr>
              <w:tab/>
              <w:t>Države članice vsako leto dajo na razpolago dovoljenja za nove nasade, ki predstavljajo:</w:t>
            </w:r>
          </w:p>
        </w:tc>
        <w:tc>
          <w:tcPr>
            <w:tcW w:w="4876" w:type="dxa"/>
          </w:tcPr>
          <w:p w14:paraId="49FB7AB7" w14:textId="77777777" w:rsidR="006F5BFE" w:rsidRPr="003B2277" w:rsidRDefault="006F5BFE" w:rsidP="005B4D60">
            <w:pPr>
              <w:pStyle w:val="Normal6"/>
              <w:rPr>
                <w:szCs w:val="24"/>
              </w:rPr>
            </w:pPr>
          </w:p>
        </w:tc>
      </w:tr>
      <w:tr w:rsidR="006F5BFE" w:rsidRPr="003B2277" w14:paraId="4387EA70" w14:textId="77777777" w:rsidTr="005B4D60">
        <w:trPr>
          <w:jc w:val="center"/>
        </w:trPr>
        <w:tc>
          <w:tcPr>
            <w:tcW w:w="4876" w:type="dxa"/>
            <w:hideMark/>
          </w:tcPr>
          <w:p w14:paraId="3727E488" w14:textId="77777777" w:rsidR="006F5BFE" w:rsidRPr="003B2277" w:rsidRDefault="006F5BFE" w:rsidP="005B4D60">
            <w:pPr>
              <w:pStyle w:val="Normal6"/>
            </w:pPr>
            <w:r w:rsidRPr="003B2277">
              <w:rPr>
                <w:b/>
                <w:i/>
              </w:rPr>
              <w:t>(a)</w:t>
            </w:r>
            <w:r w:rsidRPr="003B2277">
              <w:rPr>
                <w:b/>
                <w:i/>
              </w:rPr>
              <w:tab/>
              <w:t>1 % skupne površine, dejansko zasajene z vinsko trto na njihovem ozemlju, kakor so jo izmerile 31. julija prejšnjega leta, ali ali</w:t>
            </w:r>
          </w:p>
        </w:tc>
        <w:tc>
          <w:tcPr>
            <w:tcW w:w="4876" w:type="dxa"/>
          </w:tcPr>
          <w:p w14:paraId="107715B1" w14:textId="77777777" w:rsidR="006F5BFE" w:rsidRPr="003B2277" w:rsidRDefault="006F5BFE" w:rsidP="005B4D60">
            <w:pPr>
              <w:pStyle w:val="Normal6"/>
              <w:rPr>
                <w:szCs w:val="24"/>
              </w:rPr>
            </w:pPr>
          </w:p>
        </w:tc>
      </w:tr>
      <w:tr w:rsidR="006F5BFE" w:rsidRPr="003B2277" w14:paraId="221273DE" w14:textId="77777777" w:rsidTr="005B4D60">
        <w:trPr>
          <w:jc w:val="center"/>
        </w:trPr>
        <w:tc>
          <w:tcPr>
            <w:tcW w:w="4876" w:type="dxa"/>
            <w:hideMark/>
          </w:tcPr>
          <w:p w14:paraId="50399AEF" w14:textId="77777777" w:rsidR="006F5BFE" w:rsidRPr="003B2277" w:rsidRDefault="006F5BFE" w:rsidP="005B4D60">
            <w:pPr>
              <w:pStyle w:val="Normal6"/>
            </w:pPr>
            <w:r w:rsidRPr="003B2277">
              <w:rPr>
                <w:b/>
                <w:i/>
              </w:rPr>
              <w:t>(b)</w:t>
            </w:r>
            <w:r w:rsidRPr="003B2277">
              <w:rPr>
                <w:b/>
                <w:i/>
              </w:rPr>
              <w:tab/>
              <w:t>1 % površine, ki zajema površino, dejansko zasajeno z vinsko trto na njihovem ozemlju, kakor so jo izmerile 31. julija 2015, in površino, za katero so bile pridelovalcem dodeljene pravice do zasaditve na ozemlju teh držav članic v skladu s členom 85h, 85i ali 85k Uredbe (ES) št. 1234/2007, ki se lahko 1. januarja 2016 pretvorijo v dovoljenja v skladu s členom 68 te uredbe.“; “</w:t>
            </w:r>
          </w:p>
        </w:tc>
        <w:tc>
          <w:tcPr>
            <w:tcW w:w="4876" w:type="dxa"/>
          </w:tcPr>
          <w:p w14:paraId="4CF9B145" w14:textId="77777777" w:rsidR="006F5BFE" w:rsidRPr="003B2277" w:rsidRDefault="006F5BFE" w:rsidP="005B4D60">
            <w:pPr>
              <w:pStyle w:val="Normal6"/>
              <w:rPr>
                <w:szCs w:val="24"/>
              </w:rPr>
            </w:pPr>
          </w:p>
        </w:tc>
      </w:tr>
    </w:tbl>
    <w:p w14:paraId="38F3D049" w14:textId="77777777" w:rsidR="006F5BFE" w:rsidRPr="003B2277" w:rsidRDefault="006F5BFE" w:rsidP="006F5BFE"/>
    <w:p w14:paraId="7C8A42AE" w14:textId="0EF89519" w:rsidR="006F5BFE" w:rsidRPr="003B2277" w:rsidRDefault="003B2277" w:rsidP="006F5BFE">
      <w:pPr>
        <w:pStyle w:val="AMNumberTabs"/>
        <w:keepNext/>
      </w:pPr>
      <w:r>
        <w:t>Sprememba</w:t>
      </w:r>
      <w:r w:rsidR="006F5BFE" w:rsidRPr="003B2277">
        <w:tab/>
      </w:r>
      <w:r w:rsidR="006F5BFE" w:rsidRPr="003B2277">
        <w:tab/>
        <w:t>66</w:t>
      </w:r>
    </w:p>
    <w:p w14:paraId="5F2CF5F6" w14:textId="77777777" w:rsidR="006F5BFE" w:rsidRPr="003B2277" w:rsidRDefault="006F5BFE" w:rsidP="006F5BFE"/>
    <w:p w14:paraId="5AE4B5CF" w14:textId="77777777" w:rsidR="006F5BFE" w:rsidRPr="003B2277" w:rsidRDefault="006F5BFE" w:rsidP="006F5BFE">
      <w:pPr>
        <w:pStyle w:val="NormalBold"/>
        <w:keepNext/>
      </w:pPr>
      <w:r w:rsidRPr="003B2277">
        <w:t>Predlog uredbe</w:t>
      </w:r>
    </w:p>
    <w:p w14:paraId="131F9F11" w14:textId="77777777" w:rsidR="006F5BFE" w:rsidRPr="003B2277" w:rsidRDefault="006F5BFE" w:rsidP="006F5BFE">
      <w:pPr>
        <w:pStyle w:val="NormalBold"/>
      </w:pPr>
      <w:r w:rsidRPr="003B2277">
        <w:t>Člen 1 – odstavek 1 – točka 5 a (novo)</w:t>
      </w:r>
    </w:p>
    <w:p w14:paraId="3F2612FC" w14:textId="77777777" w:rsidR="006F5BFE" w:rsidRPr="003B2277" w:rsidRDefault="006F5BFE" w:rsidP="006F5BFE">
      <w:pPr>
        <w:keepNext/>
      </w:pPr>
      <w:r w:rsidRPr="003B2277">
        <w:t>Uredba (EU) št. 1308/2013</w:t>
      </w:r>
    </w:p>
    <w:p w14:paraId="32B33626" w14:textId="77777777" w:rsidR="006F5BFE" w:rsidRPr="003B2277" w:rsidRDefault="006F5BFE" w:rsidP="006F5BFE">
      <w:r w:rsidRPr="003B2277">
        <w:t>Člen 63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69F0D11" w14:textId="77777777" w:rsidTr="005B4D60">
        <w:trPr>
          <w:jc w:val="center"/>
        </w:trPr>
        <w:tc>
          <w:tcPr>
            <w:tcW w:w="9752" w:type="dxa"/>
            <w:gridSpan w:val="2"/>
          </w:tcPr>
          <w:p w14:paraId="20311929" w14:textId="77777777" w:rsidR="006F5BFE" w:rsidRPr="003B2277" w:rsidRDefault="006F5BFE" w:rsidP="005B4D60">
            <w:pPr>
              <w:keepNext/>
            </w:pPr>
          </w:p>
        </w:tc>
      </w:tr>
      <w:tr w:rsidR="006F5BFE" w:rsidRPr="003B2277" w14:paraId="7D1F9C39" w14:textId="77777777" w:rsidTr="005B4D60">
        <w:trPr>
          <w:jc w:val="center"/>
        </w:trPr>
        <w:tc>
          <w:tcPr>
            <w:tcW w:w="4876" w:type="dxa"/>
            <w:hideMark/>
          </w:tcPr>
          <w:p w14:paraId="6EC5107A" w14:textId="77777777" w:rsidR="006F5BFE" w:rsidRPr="003B2277" w:rsidRDefault="006F5BFE" w:rsidP="005B4D60">
            <w:pPr>
              <w:pStyle w:val="ColumnHeading"/>
              <w:keepNext/>
            </w:pPr>
            <w:r w:rsidRPr="003B2277">
              <w:t>Veljavno besedilo</w:t>
            </w:r>
          </w:p>
        </w:tc>
        <w:tc>
          <w:tcPr>
            <w:tcW w:w="4876" w:type="dxa"/>
            <w:hideMark/>
          </w:tcPr>
          <w:p w14:paraId="19160738" w14:textId="717CA012" w:rsidR="006F5BFE" w:rsidRPr="003B2277" w:rsidRDefault="003B2277" w:rsidP="005B4D60">
            <w:pPr>
              <w:pStyle w:val="ColumnHeading"/>
              <w:keepNext/>
            </w:pPr>
            <w:r>
              <w:t>Sprememba</w:t>
            </w:r>
          </w:p>
        </w:tc>
      </w:tr>
      <w:tr w:rsidR="006F5BFE" w:rsidRPr="003B2277" w14:paraId="67DFA799" w14:textId="77777777" w:rsidTr="005B4D60">
        <w:trPr>
          <w:jc w:val="center"/>
        </w:trPr>
        <w:tc>
          <w:tcPr>
            <w:tcW w:w="4876" w:type="dxa"/>
          </w:tcPr>
          <w:p w14:paraId="40B92F58" w14:textId="77777777" w:rsidR="006F5BFE" w:rsidRPr="003B2277" w:rsidRDefault="006F5BFE" w:rsidP="005B4D60">
            <w:pPr>
              <w:pStyle w:val="Normal6"/>
            </w:pPr>
          </w:p>
        </w:tc>
        <w:tc>
          <w:tcPr>
            <w:tcW w:w="4876" w:type="dxa"/>
            <w:hideMark/>
          </w:tcPr>
          <w:p w14:paraId="1B5A0788" w14:textId="77777777" w:rsidR="006F5BFE" w:rsidRPr="003B2277" w:rsidRDefault="006F5BFE" w:rsidP="005B4D60">
            <w:pPr>
              <w:pStyle w:val="Normal6"/>
              <w:rPr>
                <w:szCs w:val="24"/>
              </w:rPr>
            </w:pPr>
            <w:r w:rsidRPr="003B2277">
              <w:rPr>
                <w:b/>
                <w:i/>
              </w:rPr>
              <w:t>(5a)</w:t>
            </w:r>
            <w:r w:rsidRPr="003B2277">
              <w:rPr>
                <w:b/>
                <w:i/>
              </w:rPr>
              <w:tab/>
              <w:t>člen 63 se nadomesti z naslednjim:</w:t>
            </w:r>
          </w:p>
        </w:tc>
      </w:tr>
      <w:tr w:rsidR="006F5BFE" w:rsidRPr="003B2277" w14:paraId="456E2FE6" w14:textId="77777777" w:rsidTr="005B4D60">
        <w:trPr>
          <w:jc w:val="center"/>
        </w:trPr>
        <w:tc>
          <w:tcPr>
            <w:tcW w:w="4876" w:type="dxa"/>
            <w:hideMark/>
          </w:tcPr>
          <w:p w14:paraId="0A2D8575" w14:textId="77777777" w:rsidR="006F5BFE" w:rsidRPr="003B2277" w:rsidRDefault="006F5BFE" w:rsidP="005B4D60">
            <w:pPr>
              <w:pStyle w:val="Normal6"/>
            </w:pPr>
            <w:r w:rsidRPr="003B2277">
              <w:t>Člen 63</w:t>
            </w:r>
          </w:p>
        </w:tc>
        <w:tc>
          <w:tcPr>
            <w:tcW w:w="4876" w:type="dxa"/>
            <w:hideMark/>
          </w:tcPr>
          <w:p w14:paraId="0F658A10" w14:textId="77777777" w:rsidR="006F5BFE" w:rsidRPr="003B2277" w:rsidRDefault="006F5BFE" w:rsidP="005B4D60">
            <w:pPr>
              <w:pStyle w:val="Normal6"/>
              <w:rPr>
                <w:szCs w:val="24"/>
              </w:rPr>
            </w:pPr>
            <w:r w:rsidRPr="003B2277">
              <w:rPr>
                <w:b/>
                <w:i/>
              </w:rPr>
              <w:t>„Člen 63</w:t>
            </w:r>
          </w:p>
        </w:tc>
      </w:tr>
      <w:tr w:rsidR="006F5BFE" w:rsidRPr="003B2277" w14:paraId="3054953A" w14:textId="77777777" w:rsidTr="005B4D60">
        <w:trPr>
          <w:jc w:val="center"/>
        </w:trPr>
        <w:tc>
          <w:tcPr>
            <w:tcW w:w="4876" w:type="dxa"/>
            <w:hideMark/>
          </w:tcPr>
          <w:p w14:paraId="2F306B37" w14:textId="77777777" w:rsidR="006F5BFE" w:rsidRPr="003B2277" w:rsidRDefault="006F5BFE" w:rsidP="005B4D60">
            <w:pPr>
              <w:pStyle w:val="Normal6"/>
            </w:pPr>
            <w:r w:rsidRPr="003B2277">
              <w:t>Zaščitni mehanizem za nove nasade</w:t>
            </w:r>
          </w:p>
        </w:tc>
        <w:tc>
          <w:tcPr>
            <w:tcW w:w="4876" w:type="dxa"/>
            <w:hideMark/>
          </w:tcPr>
          <w:p w14:paraId="6F8DDC98" w14:textId="77777777" w:rsidR="006F5BFE" w:rsidRPr="003B2277" w:rsidRDefault="006F5BFE" w:rsidP="005B4D60">
            <w:pPr>
              <w:pStyle w:val="Normal6"/>
              <w:rPr>
                <w:szCs w:val="24"/>
              </w:rPr>
            </w:pPr>
            <w:r w:rsidRPr="003B2277">
              <w:t>Zaščitni mehanizem za nove nasade</w:t>
            </w:r>
          </w:p>
        </w:tc>
      </w:tr>
      <w:tr w:rsidR="006F5BFE" w:rsidRPr="003B2277" w14:paraId="34E2DAFF" w14:textId="77777777" w:rsidTr="005B4D60">
        <w:trPr>
          <w:jc w:val="center"/>
        </w:trPr>
        <w:tc>
          <w:tcPr>
            <w:tcW w:w="4876" w:type="dxa"/>
            <w:hideMark/>
          </w:tcPr>
          <w:p w14:paraId="37ED9C06" w14:textId="77777777" w:rsidR="006F5BFE" w:rsidRPr="003B2277" w:rsidRDefault="006F5BFE" w:rsidP="005B4D60">
            <w:pPr>
              <w:pStyle w:val="Normal6"/>
            </w:pPr>
            <w:r w:rsidRPr="003B2277">
              <w:t>1.</w:t>
            </w:r>
            <w:r w:rsidRPr="003B2277">
              <w:tab/>
              <w:t>Države članice vsako leto dajo na razpolago dovoljenja za nove nasade, ki predstavljajo</w:t>
            </w:r>
            <w:r w:rsidRPr="003B2277">
              <w:rPr>
                <w:b/>
                <w:i/>
              </w:rPr>
              <w:t xml:space="preserve"> 1 % skupne površine, dejansko zasajene z vinsko trto na njihovem ozemlju, kakor so jo izmerile 31. julija prejšnjega leta.</w:t>
            </w:r>
          </w:p>
        </w:tc>
        <w:tc>
          <w:tcPr>
            <w:tcW w:w="4876" w:type="dxa"/>
            <w:hideMark/>
          </w:tcPr>
          <w:p w14:paraId="318776BC" w14:textId="77777777" w:rsidR="006F5BFE" w:rsidRPr="003B2277" w:rsidRDefault="006F5BFE" w:rsidP="005B4D60">
            <w:pPr>
              <w:pStyle w:val="Normal6"/>
              <w:rPr>
                <w:szCs w:val="24"/>
              </w:rPr>
            </w:pPr>
            <w:r w:rsidRPr="003B2277">
              <w:t>1.</w:t>
            </w:r>
            <w:r w:rsidRPr="003B2277">
              <w:tab/>
              <w:t>Države članice vsako leto dajo na razpolago dovoljenja za nove nasade, ki predstavljajo</w:t>
            </w:r>
            <w:r w:rsidRPr="003B2277">
              <w:rPr>
                <w:b/>
                <w:i/>
              </w:rPr>
              <w:t>:</w:t>
            </w:r>
          </w:p>
        </w:tc>
      </w:tr>
      <w:tr w:rsidR="006F5BFE" w:rsidRPr="003B2277" w14:paraId="3B51CF9F" w14:textId="77777777" w:rsidTr="005B4D60">
        <w:trPr>
          <w:jc w:val="center"/>
        </w:trPr>
        <w:tc>
          <w:tcPr>
            <w:tcW w:w="4876" w:type="dxa"/>
          </w:tcPr>
          <w:p w14:paraId="7DF83429" w14:textId="77777777" w:rsidR="006F5BFE" w:rsidRPr="003B2277" w:rsidRDefault="006F5BFE" w:rsidP="005B4D60">
            <w:pPr>
              <w:pStyle w:val="Normal6"/>
            </w:pPr>
          </w:p>
        </w:tc>
        <w:tc>
          <w:tcPr>
            <w:tcW w:w="4876" w:type="dxa"/>
            <w:hideMark/>
          </w:tcPr>
          <w:p w14:paraId="35F60CB2" w14:textId="1F8F0D41" w:rsidR="006F5BFE" w:rsidRPr="003B2277" w:rsidRDefault="006F5BFE" w:rsidP="005B4D60">
            <w:pPr>
              <w:pStyle w:val="Normal6"/>
              <w:rPr>
                <w:szCs w:val="24"/>
              </w:rPr>
            </w:pPr>
            <w:r w:rsidRPr="003B2277">
              <w:rPr>
                <w:b/>
                <w:i/>
              </w:rPr>
              <w:t xml:space="preserve">(a) </w:t>
            </w:r>
            <w:r w:rsidR="00174C31" w:rsidRPr="00302844">
              <w:tab/>
            </w:r>
            <w:r w:rsidRPr="003B2277">
              <w:rPr>
                <w:b/>
                <w:i/>
              </w:rPr>
              <w:t>1 % skupne površine, dejansko zasajene z vinsko trto na njihovem ozemlju, kakor so jo izmerile 31. julija prejšnjega leta ali</w:t>
            </w:r>
          </w:p>
        </w:tc>
      </w:tr>
      <w:tr w:rsidR="006F5BFE" w:rsidRPr="003B2277" w14:paraId="74EF7D05" w14:textId="77777777" w:rsidTr="005B4D60">
        <w:trPr>
          <w:jc w:val="center"/>
        </w:trPr>
        <w:tc>
          <w:tcPr>
            <w:tcW w:w="4876" w:type="dxa"/>
          </w:tcPr>
          <w:p w14:paraId="4C96E120" w14:textId="77777777" w:rsidR="006F5BFE" w:rsidRPr="003B2277" w:rsidRDefault="006F5BFE" w:rsidP="005B4D60">
            <w:pPr>
              <w:pStyle w:val="Normal6"/>
            </w:pPr>
          </w:p>
        </w:tc>
        <w:tc>
          <w:tcPr>
            <w:tcW w:w="4876" w:type="dxa"/>
            <w:hideMark/>
          </w:tcPr>
          <w:p w14:paraId="534764B6" w14:textId="4DFC2DFC" w:rsidR="006F5BFE" w:rsidRPr="003B2277" w:rsidRDefault="006F5BFE" w:rsidP="005B4D60">
            <w:pPr>
              <w:pStyle w:val="Normal6"/>
              <w:rPr>
                <w:szCs w:val="24"/>
              </w:rPr>
            </w:pPr>
            <w:r w:rsidRPr="003B2277">
              <w:rPr>
                <w:b/>
                <w:i/>
              </w:rPr>
              <w:t xml:space="preserve">(b) </w:t>
            </w:r>
            <w:r w:rsidR="00174C31" w:rsidRPr="00302844">
              <w:tab/>
            </w:r>
            <w:r w:rsidRPr="003B2277">
              <w:rPr>
                <w:b/>
                <w:i/>
              </w:rPr>
              <w:t>1 % površine, ki zajema površino, dejansko zasajeno z vinsko trto na njihovem ozemlju, kakor so jo izmerile 31. julija 2015, in površino, za katero so bile pridelovalcem dodeljene pravice do zasaditve na ozemlju teh držav članic v skladu s členom 85h, 85i ali 85k Uredbe (ES) št. 1234/2007, ki se lahko 1. januarja 2016 pretvorijo v dovoljenja v skladu s členom 68 te uredbe.</w:t>
            </w:r>
          </w:p>
        </w:tc>
      </w:tr>
      <w:tr w:rsidR="006F5BFE" w:rsidRPr="003B2277" w14:paraId="4F75AFCA" w14:textId="77777777" w:rsidTr="005B4D60">
        <w:trPr>
          <w:jc w:val="center"/>
        </w:trPr>
        <w:tc>
          <w:tcPr>
            <w:tcW w:w="4876" w:type="dxa"/>
          </w:tcPr>
          <w:p w14:paraId="229C2008" w14:textId="77777777" w:rsidR="006F5BFE" w:rsidRPr="003B2277" w:rsidRDefault="006F5BFE" w:rsidP="005B4D60">
            <w:pPr>
              <w:pStyle w:val="Normal6"/>
            </w:pPr>
            <w:r w:rsidRPr="003B2277">
              <w:t>2.</w:t>
            </w:r>
            <w:r w:rsidRPr="003B2277">
              <w:tab/>
              <w:t>Države članice lahko:</w:t>
            </w:r>
          </w:p>
        </w:tc>
        <w:tc>
          <w:tcPr>
            <w:tcW w:w="4876" w:type="dxa"/>
            <w:hideMark/>
          </w:tcPr>
          <w:p w14:paraId="5A858615" w14:textId="77777777" w:rsidR="006F5BFE" w:rsidRPr="003B2277" w:rsidRDefault="006F5BFE" w:rsidP="005B4D60">
            <w:pPr>
              <w:pStyle w:val="Normal6"/>
              <w:rPr>
                <w:szCs w:val="24"/>
              </w:rPr>
            </w:pPr>
            <w:r w:rsidRPr="003B2277">
              <w:t>2.</w:t>
            </w:r>
            <w:r w:rsidRPr="003B2277">
              <w:tab/>
              <w:t>Države članice lahko:</w:t>
            </w:r>
          </w:p>
        </w:tc>
      </w:tr>
      <w:tr w:rsidR="006F5BFE" w:rsidRPr="003B2277" w14:paraId="5325153B" w14:textId="77777777" w:rsidTr="005B4D60">
        <w:trPr>
          <w:jc w:val="center"/>
        </w:trPr>
        <w:tc>
          <w:tcPr>
            <w:tcW w:w="4876" w:type="dxa"/>
          </w:tcPr>
          <w:p w14:paraId="70E5C241" w14:textId="77777777" w:rsidR="006F5BFE" w:rsidRPr="003B2277" w:rsidRDefault="006F5BFE" w:rsidP="005B4D60">
            <w:pPr>
              <w:pStyle w:val="Normal6"/>
            </w:pPr>
            <w:r w:rsidRPr="003B2277">
              <w:t>(a) na nacionalni ravni uporabijo odstotek, nižji od tistega, ki je določen v odstavku 1;</w:t>
            </w:r>
          </w:p>
        </w:tc>
        <w:tc>
          <w:tcPr>
            <w:tcW w:w="4876" w:type="dxa"/>
            <w:hideMark/>
          </w:tcPr>
          <w:p w14:paraId="395A2AB4" w14:textId="77777777" w:rsidR="006F5BFE" w:rsidRPr="003B2277" w:rsidRDefault="006F5BFE" w:rsidP="005B4D60">
            <w:pPr>
              <w:pStyle w:val="Normal6"/>
              <w:rPr>
                <w:szCs w:val="24"/>
              </w:rPr>
            </w:pPr>
            <w:r w:rsidRPr="003B2277">
              <w:t>(a) na nacionalni ravni uporabijo odstotek, nižji od tistega, ki je določen v odstavku 1;</w:t>
            </w:r>
          </w:p>
        </w:tc>
      </w:tr>
      <w:tr w:rsidR="006F5BFE" w:rsidRPr="003B2277" w14:paraId="321DBDC1" w14:textId="77777777" w:rsidTr="005B4D60">
        <w:trPr>
          <w:jc w:val="center"/>
        </w:trPr>
        <w:tc>
          <w:tcPr>
            <w:tcW w:w="4876" w:type="dxa"/>
          </w:tcPr>
          <w:p w14:paraId="50AC4A1B" w14:textId="77777777" w:rsidR="006F5BFE" w:rsidRPr="003B2277" w:rsidRDefault="006F5BFE" w:rsidP="005B4D60">
            <w:pPr>
              <w:pStyle w:val="Normal6"/>
            </w:pPr>
            <w:r w:rsidRPr="003B2277">
              <w:t>(b) omejijo izdajo dovoljenj na regionalni ravni za določena območja, ki so upravičena do pridelave vin z zaščiteno označbo porekla, za območja, upravičena do pridelave vin z zaščiteno geografsko označbo, ali za območja brez geografske označbe.</w:t>
            </w:r>
          </w:p>
        </w:tc>
        <w:tc>
          <w:tcPr>
            <w:tcW w:w="4876" w:type="dxa"/>
            <w:hideMark/>
          </w:tcPr>
          <w:p w14:paraId="7CA3C732" w14:textId="77777777" w:rsidR="006F5BFE" w:rsidRPr="003B2277" w:rsidRDefault="006F5BFE" w:rsidP="005B4D60">
            <w:pPr>
              <w:pStyle w:val="Normal6"/>
              <w:rPr>
                <w:szCs w:val="24"/>
              </w:rPr>
            </w:pPr>
            <w:r w:rsidRPr="003B2277">
              <w:t>(b) omejijo izdajo dovoljenj na regionalni ravni za določena območja, ki so upravičena do pridelave vin z zaščiteno označbo porekla, za območja, upravičena do pridelave vin z zaščiteno geografsko označbo, ali za območja brez geografske označbe</w:t>
            </w:r>
            <w:r w:rsidRPr="003B2277">
              <w:rPr>
                <w:b/>
                <w:i/>
              </w:rPr>
              <w:t>; ta dovoljenja naj bi se uporabljala v navedenih regijah</w:t>
            </w:r>
            <w:r w:rsidRPr="003B2277">
              <w:t>.</w:t>
            </w:r>
          </w:p>
        </w:tc>
      </w:tr>
      <w:tr w:rsidR="006F5BFE" w:rsidRPr="003B2277" w14:paraId="77590B01" w14:textId="77777777" w:rsidTr="005B4D60">
        <w:trPr>
          <w:jc w:val="center"/>
        </w:trPr>
        <w:tc>
          <w:tcPr>
            <w:tcW w:w="4876" w:type="dxa"/>
          </w:tcPr>
          <w:p w14:paraId="3A0560DE" w14:textId="77777777" w:rsidR="006F5BFE" w:rsidRPr="003B2277" w:rsidRDefault="006F5BFE" w:rsidP="005B4D60">
            <w:pPr>
              <w:pStyle w:val="Normal6"/>
            </w:pPr>
            <w:r w:rsidRPr="003B2277">
              <w:t>3.</w:t>
            </w:r>
            <w:r w:rsidRPr="003B2277">
              <w:tab/>
              <w:t>Katera koli od omejitev odstavka 2 prispeva k urejeni rasti nasadov, je nad 0 % in je upravičena zaradi enega ali več naslednjih posebnih razlogov:</w:t>
            </w:r>
          </w:p>
        </w:tc>
        <w:tc>
          <w:tcPr>
            <w:tcW w:w="4876" w:type="dxa"/>
            <w:hideMark/>
          </w:tcPr>
          <w:p w14:paraId="7B61F09F" w14:textId="77777777" w:rsidR="006F5BFE" w:rsidRPr="003B2277" w:rsidRDefault="006F5BFE" w:rsidP="005B4D60">
            <w:pPr>
              <w:pStyle w:val="Normal6"/>
              <w:rPr>
                <w:szCs w:val="24"/>
              </w:rPr>
            </w:pPr>
            <w:r w:rsidRPr="003B2277">
              <w:t>3.</w:t>
            </w:r>
            <w:r w:rsidRPr="003B2277">
              <w:tab/>
              <w:t>Katera koli od omejitev odstavka 2 prispeva k urejeni rasti nasadov, je nad 0 % in je upravičena zaradi enega ali več naslednjih posebnih razlogov:</w:t>
            </w:r>
          </w:p>
        </w:tc>
      </w:tr>
      <w:tr w:rsidR="006F5BFE" w:rsidRPr="003B2277" w14:paraId="32E7043F" w14:textId="77777777" w:rsidTr="005B4D60">
        <w:trPr>
          <w:jc w:val="center"/>
        </w:trPr>
        <w:tc>
          <w:tcPr>
            <w:tcW w:w="4876" w:type="dxa"/>
          </w:tcPr>
          <w:p w14:paraId="2E082052" w14:textId="661F676E" w:rsidR="006F5BFE" w:rsidRPr="003B2277" w:rsidRDefault="006F5BFE" w:rsidP="005B4D60">
            <w:pPr>
              <w:pStyle w:val="Normal6"/>
            </w:pPr>
            <w:r w:rsidRPr="003B2277">
              <w:t xml:space="preserve">(a) </w:t>
            </w:r>
            <w:r w:rsidR="00174C31" w:rsidRPr="00302844">
              <w:tab/>
            </w:r>
            <w:r w:rsidRPr="003B2277">
              <w:t>potrebe, da bi se izognili dokazanemu tveganju prekomerne dobave vinskih proizvodov glede na tržne obete za te proizvode, ki ne presega tistega, kar je potrebno za izpolnjevanje te potrebe;</w:t>
            </w:r>
          </w:p>
        </w:tc>
        <w:tc>
          <w:tcPr>
            <w:tcW w:w="4876" w:type="dxa"/>
            <w:hideMark/>
          </w:tcPr>
          <w:p w14:paraId="08CCC67B" w14:textId="5E7CFF4D" w:rsidR="006F5BFE" w:rsidRPr="003B2277" w:rsidRDefault="006F5BFE" w:rsidP="005B4D60">
            <w:pPr>
              <w:pStyle w:val="Normal6"/>
              <w:rPr>
                <w:szCs w:val="24"/>
              </w:rPr>
            </w:pPr>
            <w:r w:rsidRPr="003B2277">
              <w:t xml:space="preserve">(a) </w:t>
            </w:r>
            <w:r w:rsidR="00174C31" w:rsidRPr="00302844">
              <w:tab/>
            </w:r>
            <w:r w:rsidRPr="003B2277">
              <w:t>potrebe, da bi se izognili dokazanemu tveganju prekomerne dobave vinskih proizvodov glede na tržne obete za te proizvode, ki ne presega tistega, kar je potrebno za izpolnjevanje te potrebe;</w:t>
            </w:r>
          </w:p>
        </w:tc>
      </w:tr>
      <w:tr w:rsidR="006F5BFE" w:rsidRPr="003B2277" w14:paraId="0AB5C42A" w14:textId="77777777" w:rsidTr="005B4D60">
        <w:trPr>
          <w:jc w:val="center"/>
        </w:trPr>
        <w:tc>
          <w:tcPr>
            <w:tcW w:w="4876" w:type="dxa"/>
          </w:tcPr>
          <w:p w14:paraId="639ABB21" w14:textId="0F2DABAB" w:rsidR="006F5BFE" w:rsidRPr="003B2277" w:rsidRDefault="006F5BFE" w:rsidP="005B4D60">
            <w:pPr>
              <w:pStyle w:val="Normal6"/>
            </w:pPr>
            <w:r w:rsidRPr="003B2277">
              <w:t xml:space="preserve">(b) </w:t>
            </w:r>
            <w:r w:rsidR="00174C31" w:rsidRPr="00302844">
              <w:tab/>
            </w:r>
            <w:r w:rsidRPr="003B2277">
              <w:t xml:space="preserve">potrebe, da bi se izognili dokazanemu tveganju, da bo določena zaščitena označba porekla ali zaščitena geografska označba </w:t>
            </w:r>
            <w:r w:rsidRPr="003B2277">
              <w:rPr>
                <w:b/>
                <w:i/>
              </w:rPr>
              <w:t xml:space="preserve">močno </w:t>
            </w:r>
            <w:r w:rsidRPr="003B2277">
              <w:t>razvrednotena</w:t>
            </w:r>
            <w:r w:rsidRPr="003B2277">
              <w:rPr>
                <w:b/>
                <w:i/>
              </w:rPr>
              <w:t>.</w:t>
            </w:r>
          </w:p>
        </w:tc>
        <w:tc>
          <w:tcPr>
            <w:tcW w:w="4876" w:type="dxa"/>
            <w:hideMark/>
          </w:tcPr>
          <w:p w14:paraId="4209BD73" w14:textId="7C5B163E" w:rsidR="006F5BFE" w:rsidRPr="003B2277" w:rsidRDefault="006F5BFE" w:rsidP="005B4D60">
            <w:pPr>
              <w:pStyle w:val="Normal6"/>
              <w:rPr>
                <w:szCs w:val="24"/>
              </w:rPr>
            </w:pPr>
            <w:r w:rsidRPr="003B2277">
              <w:t xml:space="preserve">(b) </w:t>
            </w:r>
            <w:r w:rsidR="00174C31" w:rsidRPr="00302844">
              <w:tab/>
            </w:r>
            <w:r w:rsidRPr="003B2277">
              <w:t>potrebe, da bi se izognili dokazanemu tveganju, da bo določena zaščitena označba porekla ali zaščitena geografska označba razvrednotena</w:t>
            </w:r>
            <w:r w:rsidRPr="003B2277">
              <w:rPr>
                <w:b/>
                <w:i/>
              </w:rPr>
              <w:t>;</w:t>
            </w:r>
          </w:p>
        </w:tc>
      </w:tr>
      <w:tr w:rsidR="006F5BFE" w:rsidRPr="003B2277" w14:paraId="00EE93C5" w14:textId="77777777" w:rsidTr="005B4D60">
        <w:trPr>
          <w:jc w:val="center"/>
        </w:trPr>
        <w:tc>
          <w:tcPr>
            <w:tcW w:w="4876" w:type="dxa"/>
          </w:tcPr>
          <w:p w14:paraId="7A333B7F" w14:textId="77777777" w:rsidR="006F5BFE" w:rsidRPr="003B2277" w:rsidRDefault="006F5BFE" w:rsidP="005B4D60">
            <w:pPr>
              <w:pStyle w:val="Normal6"/>
            </w:pPr>
          </w:p>
        </w:tc>
        <w:tc>
          <w:tcPr>
            <w:tcW w:w="4876" w:type="dxa"/>
            <w:hideMark/>
          </w:tcPr>
          <w:p w14:paraId="1A7E78D7" w14:textId="4D715098" w:rsidR="006F5BFE" w:rsidRPr="003B2277" w:rsidRDefault="006F5BFE" w:rsidP="005B4D60">
            <w:pPr>
              <w:pStyle w:val="Normal6"/>
              <w:rPr>
                <w:szCs w:val="24"/>
              </w:rPr>
            </w:pPr>
            <w:r w:rsidRPr="003B2277">
              <w:rPr>
                <w:b/>
                <w:i/>
              </w:rPr>
              <w:t xml:space="preserve">(ba) </w:t>
            </w:r>
            <w:r w:rsidR="00174C31" w:rsidRPr="00302844">
              <w:tab/>
            </w:r>
            <w:r w:rsidRPr="003B2277">
              <w:rPr>
                <w:b/>
                <w:i/>
              </w:rPr>
              <w:t>želje prispevati k razvoju ustreznih proizvodov ob ohranjanju njihove kakovosti.</w:t>
            </w:r>
          </w:p>
        </w:tc>
      </w:tr>
      <w:tr w:rsidR="006F5BFE" w:rsidRPr="003B2277" w14:paraId="69D4ECC5" w14:textId="77777777" w:rsidTr="005B4D60">
        <w:trPr>
          <w:jc w:val="center"/>
        </w:trPr>
        <w:tc>
          <w:tcPr>
            <w:tcW w:w="4876" w:type="dxa"/>
          </w:tcPr>
          <w:p w14:paraId="5BA7A0DD" w14:textId="77777777" w:rsidR="006F5BFE" w:rsidRPr="003B2277" w:rsidRDefault="006F5BFE" w:rsidP="005B4D60">
            <w:pPr>
              <w:pStyle w:val="Normal6"/>
            </w:pPr>
          </w:p>
        </w:tc>
        <w:tc>
          <w:tcPr>
            <w:tcW w:w="4876" w:type="dxa"/>
            <w:hideMark/>
          </w:tcPr>
          <w:p w14:paraId="48D3363F" w14:textId="77777777" w:rsidR="006F5BFE" w:rsidRPr="003B2277" w:rsidRDefault="006F5BFE" w:rsidP="005B4D60">
            <w:pPr>
              <w:pStyle w:val="Normal6"/>
              <w:rPr>
                <w:szCs w:val="24"/>
              </w:rPr>
            </w:pPr>
            <w:r w:rsidRPr="003B2277">
              <w:rPr>
                <w:b/>
                <w:i/>
              </w:rPr>
              <w:t>3a.</w:t>
            </w:r>
            <w:r w:rsidRPr="003B2277">
              <w:rPr>
                <w:b/>
                <w:i/>
              </w:rPr>
              <w:tab/>
              <w:t>Države članice lahko sprejmejo vse potrebne regulativne ukrepe, da bi izvajalcem preprečile izogibanje omejitvam, sprejetim v skladu z odstavkoma 2 in 3.</w:t>
            </w:r>
          </w:p>
        </w:tc>
      </w:tr>
      <w:tr w:rsidR="006F5BFE" w:rsidRPr="003B2277" w14:paraId="788E022E" w14:textId="77777777" w:rsidTr="005B4D60">
        <w:trPr>
          <w:jc w:val="center"/>
        </w:trPr>
        <w:tc>
          <w:tcPr>
            <w:tcW w:w="4876" w:type="dxa"/>
          </w:tcPr>
          <w:p w14:paraId="288C3243" w14:textId="77777777" w:rsidR="006F5BFE" w:rsidRPr="003B2277" w:rsidRDefault="006F5BFE" w:rsidP="005B4D60">
            <w:pPr>
              <w:pStyle w:val="Normal6"/>
            </w:pPr>
            <w:r w:rsidRPr="003B2277">
              <w:t>4.</w:t>
            </w:r>
            <w:r w:rsidRPr="003B2277">
              <w:tab/>
              <w:t>Države članice objavijo vse odločitve, sprejete v skladu z odstavkom 2, ki jih ustrezno upravičijo. Države članice Komisijo nemudoma obvestijo o teh odločitvah ter o razlogih zanje.</w:t>
            </w:r>
          </w:p>
        </w:tc>
        <w:tc>
          <w:tcPr>
            <w:tcW w:w="4876" w:type="dxa"/>
            <w:hideMark/>
          </w:tcPr>
          <w:p w14:paraId="2570EF03" w14:textId="77777777" w:rsidR="006F5BFE" w:rsidRPr="003B2277" w:rsidRDefault="006F5BFE" w:rsidP="005B4D60">
            <w:pPr>
              <w:pStyle w:val="Normal6"/>
              <w:rPr>
                <w:szCs w:val="24"/>
              </w:rPr>
            </w:pPr>
            <w:r w:rsidRPr="003B2277">
              <w:t>4.</w:t>
            </w:r>
            <w:r w:rsidRPr="003B2277">
              <w:tab/>
              <w:t>Države članice objavijo vse odločitve, sprejete v skladu z odstavkom 2, ki jih ustrezno upravičijo. Države članice Komisijo nemudoma obvestijo o teh odločitvah ter o razlogih zanje.</w:t>
            </w:r>
          </w:p>
        </w:tc>
      </w:tr>
      <w:tr w:rsidR="006F5BFE" w:rsidRPr="003B2277" w14:paraId="15BA4AB3" w14:textId="77777777" w:rsidTr="005B4D60">
        <w:trPr>
          <w:jc w:val="center"/>
        </w:trPr>
        <w:tc>
          <w:tcPr>
            <w:tcW w:w="4876" w:type="dxa"/>
          </w:tcPr>
          <w:p w14:paraId="7AF69279" w14:textId="77777777" w:rsidR="006F5BFE" w:rsidRPr="003B2277" w:rsidRDefault="006F5BFE" w:rsidP="005B4D60">
            <w:pPr>
              <w:pStyle w:val="Normal6"/>
            </w:pPr>
          </w:p>
        </w:tc>
        <w:tc>
          <w:tcPr>
            <w:tcW w:w="4876" w:type="dxa"/>
            <w:hideMark/>
          </w:tcPr>
          <w:p w14:paraId="605E1E39" w14:textId="03130CDA" w:rsidR="006F5BFE" w:rsidRPr="003B2277" w:rsidRDefault="006F5BFE" w:rsidP="005B4D60">
            <w:pPr>
              <w:pStyle w:val="Normal6"/>
              <w:rPr>
                <w:szCs w:val="24"/>
              </w:rPr>
            </w:pPr>
            <w:r w:rsidRPr="003B2277">
              <w:rPr>
                <w:b/>
                <w:i/>
              </w:rPr>
              <w:t>4a.</w:t>
            </w:r>
            <w:r w:rsidRPr="003B2277">
              <w:rPr>
                <w:b/>
                <w:i/>
              </w:rPr>
              <w:tab/>
              <w:t>Države lahko izdajo dovoljenja, ki presegajo omejitve iz tega člena, za zasaditve, namenjene ohranjanju genskih virov vinske trte.“</w:t>
            </w:r>
          </w:p>
        </w:tc>
      </w:tr>
    </w:tbl>
    <w:p w14:paraId="25234494" w14:textId="77777777" w:rsidR="006F5BFE" w:rsidRPr="003B2277" w:rsidRDefault="006F5BFE" w:rsidP="006F5BFE"/>
    <w:p w14:paraId="550AB0BD" w14:textId="5515BC86" w:rsidR="006F5BFE" w:rsidRPr="003B2277" w:rsidRDefault="003B2277" w:rsidP="006F5BFE">
      <w:pPr>
        <w:pStyle w:val="AMNumberTabs"/>
        <w:keepNext/>
      </w:pPr>
      <w:r>
        <w:t>Sprememba</w:t>
      </w:r>
      <w:r w:rsidR="006F5BFE" w:rsidRPr="003B2277">
        <w:tab/>
      </w:r>
      <w:r w:rsidR="006F5BFE" w:rsidRPr="003B2277">
        <w:tab/>
        <w:t>67</w:t>
      </w:r>
    </w:p>
    <w:p w14:paraId="162B2DBC" w14:textId="77777777" w:rsidR="006F5BFE" w:rsidRPr="003B2277" w:rsidRDefault="006F5BFE" w:rsidP="006F5BFE"/>
    <w:p w14:paraId="11864E6E" w14:textId="77777777" w:rsidR="006F5BFE" w:rsidRPr="003B2277" w:rsidRDefault="006F5BFE" w:rsidP="006F5BFE">
      <w:pPr>
        <w:pStyle w:val="NormalBold"/>
        <w:keepNext/>
      </w:pPr>
      <w:r w:rsidRPr="003B2277">
        <w:t>Predlog uredbe</w:t>
      </w:r>
    </w:p>
    <w:p w14:paraId="687B9039" w14:textId="77777777" w:rsidR="006F5BFE" w:rsidRPr="003B2277" w:rsidRDefault="006F5BFE" w:rsidP="006F5BFE">
      <w:pPr>
        <w:pStyle w:val="NormalBold"/>
      </w:pPr>
      <w:r w:rsidRPr="003B2277">
        <w:t>Člen 1 – odstavek 1 – točka 5 b (novo)</w:t>
      </w:r>
    </w:p>
    <w:p w14:paraId="6758D8BC" w14:textId="77777777" w:rsidR="006F5BFE" w:rsidRPr="003B2277" w:rsidRDefault="006F5BFE" w:rsidP="006F5BFE">
      <w:pPr>
        <w:keepNext/>
      </w:pPr>
      <w:r w:rsidRPr="003B2277">
        <w:t>Uredba (EU) št. 1308/2013</w:t>
      </w:r>
    </w:p>
    <w:p w14:paraId="567F9211" w14:textId="77777777" w:rsidR="006F5BFE" w:rsidRPr="003B2277" w:rsidRDefault="006F5BFE" w:rsidP="006F5BFE">
      <w:r w:rsidRPr="003B2277">
        <w:t>Člen 64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0557445" w14:textId="77777777" w:rsidTr="005B4D60">
        <w:trPr>
          <w:jc w:val="center"/>
        </w:trPr>
        <w:tc>
          <w:tcPr>
            <w:tcW w:w="9752" w:type="dxa"/>
            <w:gridSpan w:val="2"/>
          </w:tcPr>
          <w:p w14:paraId="771373FC" w14:textId="77777777" w:rsidR="006F5BFE" w:rsidRPr="003B2277" w:rsidRDefault="006F5BFE" w:rsidP="005B4D60">
            <w:pPr>
              <w:keepNext/>
            </w:pPr>
          </w:p>
        </w:tc>
      </w:tr>
      <w:tr w:rsidR="006F5BFE" w:rsidRPr="003B2277" w14:paraId="59575E69" w14:textId="77777777" w:rsidTr="005B4D60">
        <w:trPr>
          <w:jc w:val="center"/>
        </w:trPr>
        <w:tc>
          <w:tcPr>
            <w:tcW w:w="4876" w:type="dxa"/>
            <w:hideMark/>
          </w:tcPr>
          <w:p w14:paraId="295A604C" w14:textId="77777777" w:rsidR="006F5BFE" w:rsidRPr="003B2277" w:rsidRDefault="006F5BFE" w:rsidP="005B4D60">
            <w:pPr>
              <w:pStyle w:val="ColumnHeading"/>
              <w:keepNext/>
            </w:pPr>
            <w:r w:rsidRPr="003B2277">
              <w:t>Veljavno besedilo</w:t>
            </w:r>
          </w:p>
        </w:tc>
        <w:tc>
          <w:tcPr>
            <w:tcW w:w="4876" w:type="dxa"/>
            <w:hideMark/>
          </w:tcPr>
          <w:p w14:paraId="0B2D064D" w14:textId="3DEE4B27" w:rsidR="006F5BFE" w:rsidRPr="003B2277" w:rsidRDefault="003B2277" w:rsidP="005B4D60">
            <w:pPr>
              <w:pStyle w:val="ColumnHeading"/>
              <w:keepNext/>
            </w:pPr>
            <w:r>
              <w:t>Sprememba</w:t>
            </w:r>
          </w:p>
        </w:tc>
      </w:tr>
      <w:tr w:rsidR="006F5BFE" w:rsidRPr="003B2277" w14:paraId="16BEA991" w14:textId="77777777" w:rsidTr="005B4D60">
        <w:trPr>
          <w:jc w:val="center"/>
        </w:trPr>
        <w:tc>
          <w:tcPr>
            <w:tcW w:w="4876" w:type="dxa"/>
          </w:tcPr>
          <w:p w14:paraId="07CDC2F5" w14:textId="77777777" w:rsidR="006F5BFE" w:rsidRPr="003B2277" w:rsidRDefault="006F5BFE" w:rsidP="005B4D60">
            <w:pPr>
              <w:pStyle w:val="Normal6"/>
            </w:pPr>
          </w:p>
        </w:tc>
        <w:tc>
          <w:tcPr>
            <w:tcW w:w="4876" w:type="dxa"/>
            <w:hideMark/>
          </w:tcPr>
          <w:p w14:paraId="7BBCD830" w14:textId="77777777" w:rsidR="006F5BFE" w:rsidRPr="003B2277" w:rsidRDefault="006F5BFE" w:rsidP="005B4D60">
            <w:pPr>
              <w:pStyle w:val="Normal6"/>
              <w:rPr>
                <w:szCs w:val="24"/>
              </w:rPr>
            </w:pPr>
            <w:r w:rsidRPr="003B2277">
              <w:rPr>
                <w:b/>
                <w:i/>
              </w:rPr>
              <w:t>(5b)</w:t>
            </w:r>
            <w:r w:rsidRPr="003B2277">
              <w:rPr>
                <w:b/>
                <w:i/>
              </w:rPr>
              <w:tab/>
              <w:t>člen 64 se nadomesti z naslednjim:</w:t>
            </w:r>
          </w:p>
        </w:tc>
      </w:tr>
      <w:tr w:rsidR="006F5BFE" w:rsidRPr="003B2277" w14:paraId="17DB2F62" w14:textId="77777777" w:rsidTr="005B4D60">
        <w:trPr>
          <w:jc w:val="center"/>
        </w:trPr>
        <w:tc>
          <w:tcPr>
            <w:tcW w:w="4876" w:type="dxa"/>
            <w:hideMark/>
          </w:tcPr>
          <w:p w14:paraId="2B7BEA88" w14:textId="77777777" w:rsidR="006F5BFE" w:rsidRPr="003B2277" w:rsidRDefault="006F5BFE" w:rsidP="005B4D60">
            <w:pPr>
              <w:pStyle w:val="Normal6"/>
            </w:pPr>
            <w:r w:rsidRPr="003B2277">
              <w:t>Člen 64</w:t>
            </w:r>
          </w:p>
        </w:tc>
        <w:tc>
          <w:tcPr>
            <w:tcW w:w="4876" w:type="dxa"/>
            <w:hideMark/>
          </w:tcPr>
          <w:p w14:paraId="4BE1287D" w14:textId="77777777" w:rsidR="006F5BFE" w:rsidRPr="003B2277" w:rsidRDefault="006F5BFE" w:rsidP="005B4D60">
            <w:pPr>
              <w:pStyle w:val="Normal6"/>
              <w:rPr>
                <w:szCs w:val="24"/>
              </w:rPr>
            </w:pPr>
            <w:r w:rsidRPr="003B2277">
              <w:rPr>
                <w:b/>
                <w:i/>
              </w:rPr>
              <w:t>„</w:t>
            </w:r>
            <w:r w:rsidRPr="003B2277">
              <w:t>Člen 64</w:t>
            </w:r>
          </w:p>
        </w:tc>
      </w:tr>
      <w:tr w:rsidR="006F5BFE" w:rsidRPr="003B2277" w14:paraId="36329EEC" w14:textId="77777777" w:rsidTr="005B4D60">
        <w:trPr>
          <w:jc w:val="center"/>
        </w:trPr>
        <w:tc>
          <w:tcPr>
            <w:tcW w:w="4876" w:type="dxa"/>
            <w:hideMark/>
          </w:tcPr>
          <w:p w14:paraId="4EB592A0" w14:textId="77777777" w:rsidR="006F5BFE" w:rsidRPr="003B2277" w:rsidRDefault="006F5BFE" w:rsidP="005B4D60">
            <w:pPr>
              <w:pStyle w:val="Normal6"/>
            </w:pPr>
            <w:r w:rsidRPr="003B2277">
              <w:t>Izdaja dovoljenj za nove zasaditve</w:t>
            </w:r>
          </w:p>
        </w:tc>
        <w:tc>
          <w:tcPr>
            <w:tcW w:w="4876" w:type="dxa"/>
            <w:hideMark/>
          </w:tcPr>
          <w:p w14:paraId="26C6DDAB" w14:textId="77777777" w:rsidR="006F5BFE" w:rsidRPr="003B2277" w:rsidRDefault="006F5BFE" w:rsidP="005B4D60">
            <w:pPr>
              <w:pStyle w:val="Normal6"/>
              <w:rPr>
                <w:szCs w:val="24"/>
              </w:rPr>
            </w:pPr>
            <w:r w:rsidRPr="003B2277">
              <w:t>Izdaja dovoljenj za nove zasaditve</w:t>
            </w:r>
          </w:p>
        </w:tc>
      </w:tr>
      <w:tr w:rsidR="006F5BFE" w:rsidRPr="003B2277" w14:paraId="13DA88E1" w14:textId="77777777" w:rsidTr="005B4D60">
        <w:trPr>
          <w:jc w:val="center"/>
        </w:trPr>
        <w:tc>
          <w:tcPr>
            <w:tcW w:w="4876" w:type="dxa"/>
            <w:hideMark/>
          </w:tcPr>
          <w:p w14:paraId="4F07873F" w14:textId="77777777" w:rsidR="006F5BFE" w:rsidRPr="003B2277" w:rsidRDefault="006F5BFE" w:rsidP="005B4D60">
            <w:pPr>
              <w:pStyle w:val="Normal6"/>
            </w:pPr>
            <w:r w:rsidRPr="003B2277">
              <w:t>1.</w:t>
            </w:r>
            <w:r w:rsidRPr="003B2277">
              <w:tab/>
              <w:t>Če skupna površina iz upravičenih vlog v določenem letu ne presega površine, ki jo da na voljo država članica, se odobrijo vse takšne vloge.</w:t>
            </w:r>
          </w:p>
        </w:tc>
        <w:tc>
          <w:tcPr>
            <w:tcW w:w="4876" w:type="dxa"/>
            <w:hideMark/>
          </w:tcPr>
          <w:p w14:paraId="6EDC489C" w14:textId="77777777" w:rsidR="006F5BFE" w:rsidRPr="003B2277" w:rsidRDefault="006F5BFE" w:rsidP="005B4D60">
            <w:pPr>
              <w:pStyle w:val="Normal6"/>
              <w:rPr>
                <w:szCs w:val="24"/>
              </w:rPr>
            </w:pPr>
            <w:r w:rsidRPr="003B2277">
              <w:t>1.</w:t>
            </w:r>
            <w:r w:rsidRPr="003B2277">
              <w:tab/>
              <w:t>Če skupna površina iz upravičenih vlog v določenem letu ne presega površine, ki jo da na voljo država članica, se odobrijo vse takšne vloge.</w:t>
            </w:r>
          </w:p>
        </w:tc>
      </w:tr>
      <w:tr w:rsidR="006F5BFE" w:rsidRPr="003B2277" w14:paraId="334751DE" w14:textId="77777777" w:rsidTr="005B4D60">
        <w:trPr>
          <w:jc w:val="center"/>
        </w:trPr>
        <w:tc>
          <w:tcPr>
            <w:tcW w:w="4876" w:type="dxa"/>
            <w:hideMark/>
          </w:tcPr>
          <w:p w14:paraId="41C1CB1F" w14:textId="77777777" w:rsidR="006F5BFE" w:rsidRPr="003B2277" w:rsidRDefault="006F5BFE" w:rsidP="005B4D60">
            <w:pPr>
              <w:pStyle w:val="Normal6"/>
            </w:pPr>
            <w:r w:rsidRPr="003B2277">
              <w:t>Za namene tega člena lahko države članice uporabijo enega ali več naslednjih objektivnih in nediskriminatornih meril za upravičenost:</w:t>
            </w:r>
          </w:p>
        </w:tc>
        <w:tc>
          <w:tcPr>
            <w:tcW w:w="4876" w:type="dxa"/>
            <w:hideMark/>
          </w:tcPr>
          <w:p w14:paraId="429A449F" w14:textId="77777777" w:rsidR="006F5BFE" w:rsidRPr="003B2277" w:rsidRDefault="006F5BFE" w:rsidP="005B4D60">
            <w:pPr>
              <w:pStyle w:val="Normal6"/>
              <w:rPr>
                <w:szCs w:val="24"/>
              </w:rPr>
            </w:pPr>
            <w:r w:rsidRPr="003B2277">
              <w:t xml:space="preserve">Za namene tega člena lahko države članice </w:t>
            </w:r>
            <w:r w:rsidRPr="003B2277">
              <w:rPr>
                <w:b/>
                <w:i/>
              </w:rPr>
              <w:t xml:space="preserve">na nacionalni ali regionalni ravni </w:t>
            </w:r>
            <w:r w:rsidRPr="003B2277">
              <w:t>uporabijo enega ali več naslednjih objektivnih in nediskriminatornih meril za upravičenost:</w:t>
            </w:r>
          </w:p>
        </w:tc>
      </w:tr>
      <w:tr w:rsidR="006F5BFE" w:rsidRPr="003B2277" w14:paraId="1026A908" w14:textId="77777777" w:rsidTr="005B4D60">
        <w:trPr>
          <w:jc w:val="center"/>
        </w:trPr>
        <w:tc>
          <w:tcPr>
            <w:tcW w:w="4876" w:type="dxa"/>
            <w:hideMark/>
          </w:tcPr>
          <w:p w14:paraId="521C7DC6" w14:textId="77777777" w:rsidR="006F5BFE" w:rsidRPr="003B2277" w:rsidRDefault="006F5BFE" w:rsidP="005B4D60">
            <w:pPr>
              <w:pStyle w:val="Normal6"/>
            </w:pPr>
            <w:r w:rsidRPr="003B2277">
              <w:t>(a) vlagatelj ima kmetijsko površino, ki ni manjša od površine, za katero prosi za dovoljenje;</w:t>
            </w:r>
          </w:p>
        </w:tc>
        <w:tc>
          <w:tcPr>
            <w:tcW w:w="4876" w:type="dxa"/>
            <w:hideMark/>
          </w:tcPr>
          <w:p w14:paraId="2A1203C0" w14:textId="77777777" w:rsidR="006F5BFE" w:rsidRPr="003B2277" w:rsidRDefault="006F5BFE" w:rsidP="005B4D60">
            <w:pPr>
              <w:pStyle w:val="Normal6"/>
              <w:rPr>
                <w:szCs w:val="24"/>
              </w:rPr>
            </w:pPr>
            <w:r w:rsidRPr="003B2277">
              <w:t>(a) vlagatelj ima kmetijsko površino, ki ni manjša od površine, za katero prosi za dovoljenje;</w:t>
            </w:r>
          </w:p>
        </w:tc>
      </w:tr>
      <w:tr w:rsidR="006F5BFE" w:rsidRPr="003B2277" w14:paraId="23150FDA" w14:textId="77777777" w:rsidTr="005B4D60">
        <w:trPr>
          <w:jc w:val="center"/>
        </w:trPr>
        <w:tc>
          <w:tcPr>
            <w:tcW w:w="4876" w:type="dxa"/>
            <w:hideMark/>
          </w:tcPr>
          <w:p w14:paraId="362F47F0" w14:textId="77777777" w:rsidR="006F5BFE" w:rsidRPr="003B2277" w:rsidRDefault="006F5BFE" w:rsidP="005B4D60">
            <w:pPr>
              <w:pStyle w:val="Normal6"/>
            </w:pPr>
            <w:r w:rsidRPr="003B2277">
              <w:t>(b) vlagatelj ima ustrezno poklicno znanje in usposobljenost;</w:t>
            </w:r>
          </w:p>
        </w:tc>
        <w:tc>
          <w:tcPr>
            <w:tcW w:w="4876" w:type="dxa"/>
            <w:hideMark/>
          </w:tcPr>
          <w:p w14:paraId="4EE78639" w14:textId="77777777" w:rsidR="006F5BFE" w:rsidRPr="003B2277" w:rsidRDefault="006F5BFE" w:rsidP="005B4D60">
            <w:pPr>
              <w:pStyle w:val="Normal6"/>
              <w:rPr>
                <w:szCs w:val="24"/>
              </w:rPr>
            </w:pPr>
            <w:r w:rsidRPr="003B2277">
              <w:t>(b) vlagatelj ima ustrezno poklicno znanje in usposobljenost;</w:t>
            </w:r>
          </w:p>
        </w:tc>
      </w:tr>
      <w:tr w:rsidR="006F5BFE" w:rsidRPr="003B2277" w14:paraId="5EBCB11C" w14:textId="77777777" w:rsidTr="005B4D60">
        <w:trPr>
          <w:jc w:val="center"/>
        </w:trPr>
        <w:tc>
          <w:tcPr>
            <w:tcW w:w="4876" w:type="dxa"/>
            <w:hideMark/>
          </w:tcPr>
          <w:p w14:paraId="7A0DDB2F" w14:textId="77777777" w:rsidR="006F5BFE" w:rsidRPr="003B2277" w:rsidRDefault="006F5BFE" w:rsidP="005B4D60">
            <w:pPr>
              <w:pStyle w:val="Normal6"/>
            </w:pPr>
            <w:r w:rsidRPr="003B2277">
              <w:t>(c) vloga ne predstavlja velikega tveganja, da bo prilaščen sloves posebnih zaščitenih označb porekla, ki se domneva, razen če javni organi dokažejo, da takšno tveganje obstaja;</w:t>
            </w:r>
          </w:p>
        </w:tc>
        <w:tc>
          <w:tcPr>
            <w:tcW w:w="4876" w:type="dxa"/>
            <w:hideMark/>
          </w:tcPr>
          <w:p w14:paraId="009E94BC" w14:textId="77777777" w:rsidR="006F5BFE" w:rsidRPr="003B2277" w:rsidRDefault="006F5BFE" w:rsidP="005B4D60">
            <w:pPr>
              <w:pStyle w:val="Normal6"/>
              <w:rPr>
                <w:szCs w:val="24"/>
              </w:rPr>
            </w:pPr>
            <w:r w:rsidRPr="003B2277">
              <w:t>(c) vloga ne predstavlja velikega tveganja, da bo prilaščen sloves posebnih zaščitenih označb porekla, ki se domneva, razen če javni organi dokažejo, da takšno tveganje obstaja;</w:t>
            </w:r>
          </w:p>
        </w:tc>
      </w:tr>
      <w:tr w:rsidR="006F5BFE" w:rsidRPr="003B2277" w14:paraId="20C8AEC6" w14:textId="77777777" w:rsidTr="005B4D60">
        <w:trPr>
          <w:jc w:val="center"/>
        </w:trPr>
        <w:tc>
          <w:tcPr>
            <w:tcW w:w="4876" w:type="dxa"/>
            <w:hideMark/>
          </w:tcPr>
          <w:p w14:paraId="07E35D96" w14:textId="77777777" w:rsidR="006F5BFE" w:rsidRPr="003B2277" w:rsidRDefault="006F5BFE" w:rsidP="005B4D60">
            <w:pPr>
              <w:pStyle w:val="Normal6"/>
            </w:pPr>
            <w:r w:rsidRPr="003B2277">
              <w:t>(ca) vlagatelj nima vinske trte, zasajene brez dovoljenja, kot je navedeno v členu 71 te uredbe, ali brez pravice do zasaditve, kot je navedeno v členih 85a in 85b Uredbe (ES) št. 1234/2007;</w:t>
            </w:r>
          </w:p>
        </w:tc>
        <w:tc>
          <w:tcPr>
            <w:tcW w:w="4876" w:type="dxa"/>
            <w:hideMark/>
          </w:tcPr>
          <w:p w14:paraId="3889FD56" w14:textId="77777777" w:rsidR="006F5BFE" w:rsidRPr="003B2277" w:rsidRDefault="006F5BFE" w:rsidP="005B4D60">
            <w:pPr>
              <w:pStyle w:val="Normal6"/>
              <w:rPr>
                <w:szCs w:val="24"/>
              </w:rPr>
            </w:pPr>
            <w:r w:rsidRPr="003B2277">
              <w:t>(ca) vlagatelj nima vinske trte, zasajene brez dovoljenja, kot je navedeno v členu 71 te uredbe, ali brez pravice do zasaditve, kot je navedeno v členih 85a in 85b Uredbe (ES) št. 1234/2007;</w:t>
            </w:r>
          </w:p>
        </w:tc>
      </w:tr>
      <w:tr w:rsidR="006F5BFE" w:rsidRPr="003B2277" w14:paraId="19BC3989" w14:textId="77777777" w:rsidTr="005B4D60">
        <w:trPr>
          <w:jc w:val="center"/>
        </w:trPr>
        <w:tc>
          <w:tcPr>
            <w:tcW w:w="4876" w:type="dxa"/>
            <w:hideMark/>
          </w:tcPr>
          <w:p w14:paraId="4DE5B64C" w14:textId="77777777" w:rsidR="006F5BFE" w:rsidRPr="003B2277" w:rsidRDefault="006F5BFE" w:rsidP="005B4D60">
            <w:pPr>
              <w:pStyle w:val="Normal6"/>
            </w:pPr>
            <w:r w:rsidRPr="003B2277">
              <w:t>(d) eno ali več meril iz odstavka 2, če so ustrezno utemeljeni ter uporabljeni objektivno in nediskriminatorno.</w:t>
            </w:r>
          </w:p>
        </w:tc>
        <w:tc>
          <w:tcPr>
            <w:tcW w:w="4876" w:type="dxa"/>
            <w:hideMark/>
          </w:tcPr>
          <w:p w14:paraId="008F6FAF" w14:textId="77777777" w:rsidR="006F5BFE" w:rsidRPr="003B2277" w:rsidRDefault="006F5BFE" w:rsidP="005B4D60">
            <w:pPr>
              <w:pStyle w:val="Normal6"/>
              <w:rPr>
                <w:szCs w:val="24"/>
              </w:rPr>
            </w:pPr>
            <w:r w:rsidRPr="003B2277">
              <w:t>(d) eno ali več meril iz odstavka 2, če so ustrezno utemeljeni ter uporabljeni objektivno in nediskriminatorno.</w:t>
            </w:r>
          </w:p>
        </w:tc>
      </w:tr>
      <w:tr w:rsidR="006F5BFE" w:rsidRPr="003B2277" w14:paraId="32659E53" w14:textId="77777777" w:rsidTr="005B4D60">
        <w:trPr>
          <w:jc w:val="center"/>
        </w:trPr>
        <w:tc>
          <w:tcPr>
            <w:tcW w:w="4876" w:type="dxa"/>
            <w:hideMark/>
          </w:tcPr>
          <w:p w14:paraId="64F7EFA5" w14:textId="77777777" w:rsidR="006F5BFE" w:rsidRPr="003B2277" w:rsidRDefault="006F5BFE" w:rsidP="005B4D60">
            <w:pPr>
              <w:pStyle w:val="Normal6"/>
            </w:pPr>
            <w:r w:rsidRPr="003B2277">
              <w:t>2.</w:t>
            </w:r>
            <w:r w:rsidRPr="003B2277">
              <w:tab/>
              <w:t>Če skupna površina iz upravičenih vlog iz odstavka 1 v določenem letu presega površino, ki jo da na voljo država članica, se dovoljenja izdajo vsem vlagateljem glede na sorazmerno razdelitev hektarjev na podlagi površine, v zvezi s katero so prosili za dovoljenje. Ob izdaji takega dovoljenja se lahko določi minimalna in/ali maksimalna površina za posameznega vlagatelja, obenem pa je to dovoljenje mogoče delno ali v celoti izdati v skladu z enim ali več od naslednjih objektivnih in nediskriminatornih prednostnih meril:</w:t>
            </w:r>
          </w:p>
        </w:tc>
        <w:tc>
          <w:tcPr>
            <w:tcW w:w="4876" w:type="dxa"/>
            <w:hideMark/>
          </w:tcPr>
          <w:p w14:paraId="16B17F19" w14:textId="77777777" w:rsidR="006F5BFE" w:rsidRPr="003B2277" w:rsidRDefault="006F5BFE" w:rsidP="005B4D60">
            <w:pPr>
              <w:pStyle w:val="Normal6"/>
              <w:rPr>
                <w:szCs w:val="24"/>
              </w:rPr>
            </w:pPr>
            <w:r w:rsidRPr="003B2277">
              <w:t>2.</w:t>
            </w:r>
            <w:r w:rsidRPr="003B2277">
              <w:tab/>
              <w:t>Če skupna površina iz upravičenih vlog iz odstavka 1 v določenem letu presega površino, ki jo da na voljo država članica, se dovoljenja izdajo vsem vlagateljem glede na sorazmerno razdelitev hektarjev na podlagi površine, v zvezi s katero so prosili za dovoljenje. Ob izdaji takega dovoljenja se lahko določi minimalna in/ali maksimalna površina za posameznega vlagatelja, obenem pa je to dovoljenje mogoče delno ali v celoti izdati v skladu z enim ali več od naslednjih objektivnih in nediskriminatornih prednostnih meril:</w:t>
            </w:r>
          </w:p>
        </w:tc>
      </w:tr>
      <w:tr w:rsidR="006F5BFE" w:rsidRPr="003B2277" w14:paraId="29BE8745" w14:textId="77777777" w:rsidTr="005B4D60">
        <w:trPr>
          <w:jc w:val="center"/>
        </w:trPr>
        <w:tc>
          <w:tcPr>
            <w:tcW w:w="4876" w:type="dxa"/>
            <w:hideMark/>
          </w:tcPr>
          <w:p w14:paraId="7F77B17D" w14:textId="77777777" w:rsidR="006F5BFE" w:rsidRPr="003B2277" w:rsidRDefault="006F5BFE" w:rsidP="005B4D60">
            <w:pPr>
              <w:pStyle w:val="Normal6"/>
            </w:pPr>
            <w:r w:rsidRPr="003B2277">
              <w:t>(a) pridelovalci, ki nasade vinske trte sadijo prvič in vodijo vinogradniško gospodarstvo (novi udeleženci);</w:t>
            </w:r>
          </w:p>
        </w:tc>
        <w:tc>
          <w:tcPr>
            <w:tcW w:w="4876" w:type="dxa"/>
            <w:hideMark/>
          </w:tcPr>
          <w:p w14:paraId="2DE0F25C" w14:textId="77777777" w:rsidR="006F5BFE" w:rsidRPr="003B2277" w:rsidRDefault="006F5BFE" w:rsidP="005B4D60">
            <w:pPr>
              <w:pStyle w:val="Normal6"/>
              <w:rPr>
                <w:szCs w:val="24"/>
              </w:rPr>
            </w:pPr>
            <w:r w:rsidRPr="003B2277">
              <w:t>(a) pridelovalci, ki nasade vinske trte sadijo prvič in vodijo vinogradniško gospodarstvo (novi udeleženci);</w:t>
            </w:r>
          </w:p>
        </w:tc>
      </w:tr>
      <w:tr w:rsidR="006F5BFE" w:rsidRPr="003B2277" w14:paraId="0FA245B1" w14:textId="77777777" w:rsidTr="005B4D60">
        <w:trPr>
          <w:jc w:val="center"/>
        </w:trPr>
        <w:tc>
          <w:tcPr>
            <w:tcW w:w="4876" w:type="dxa"/>
            <w:hideMark/>
          </w:tcPr>
          <w:p w14:paraId="0D581F5C" w14:textId="77777777" w:rsidR="006F5BFE" w:rsidRPr="003B2277" w:rsidRDefault="006F5BFE" w:rsidP="005B4D60">
            <w:pPr>
              <w:pStyle w:val="Normal6"/>
            </w:pPr>
            <w:r w:rsidRPr="003B2277">
              <w:t>(b) površine, kjer vinogradi prispevajo k ohranjanju okolja;</w:t>
            </w:r>
          </w:p>
        </w:tc>
        <w:tc>
          <w:tcPr>
            <w:tcW w:w="4876" w:type="dxa"/>
            <w:hideMark/>
          </w:tcPr>
          <w:p w14:paraId="08B7D63B" w14:textId="77777777" w:rsidR="006F5BFE" w:rsidRPr="003B2277" w:rsidRDefault="006F5BFE" w:rsidP="005B4D60">
            <w:pPr>
              <w:pStyle w:val="Normal6"/>
              <w:rPr>
                <w:szCs w:val="24"/>
              </w:rPr>
            </w:pPr>
            <w:r w:rsidRPr="003B2277">
              <w:t>(b) površine, kjer vinogradi prispevajo k ohranjanju okolja</w:t>
            </w:r>
            <w:r w:rsidRPr="003B2277">
              <w:rPr>
                <w:b/>
                <w:i/>
              </w:rPr>
              <w:t xml:space="preserve"> ali ohranjanju genskih virov vinske trte</w:t>
            </w:r>
            <w:r w:rsidRPr="003B2277">
              <w:t>;</w:t>
            </w:r>
          </w:p>
        </w:tc>
      </w:tr>
      <w:tr w:rsidR="006F5BFE" w:rsidRPr="003B2277" w14:paraId="6388376E" w14:textId="77777777" w:rsidTr="005B4D60">
        <w:trPr>
          <w:jc w:val="center"/>
        </w:trPr>
        <w:tc>
          <w:tcPr>
            <w:tcW w:w="4876" w:type="dxa"/>
            <w:hideMark/>
          </w:tcPr>
          <w:p w14:paraId="5F5849E0" w14:textId="77777777" w:rsidR="006F5BFE" w:rsidRPr="003B2277" w:rsidRDefault="006F5BFE" w:rsidP="005B4D60">
            <w:pPr>
              <w:pStyle w:val="Normal6"/>
            </w:pPr>
            <w:r w:rsidRPr="003B2277">
              <w:t>(c) površine, ki jih je treba na novo zasaditi v okviru projektov kosomacije;</w:t>
            </w:r>
          </w:p>
        </w:tc>
        <w:tc>
          <w:tcPr>
            <w:tcW w:w="4876" w:type="dxa"/>
            <w:hideMark/>
          </w:tcPr>
          <w:p w14:paraId="59170784" w14:textId="77777777" w:rsidR="006F5BFE" w:rsidRPr="003B2277" w:rsidRDefault="006F5BFE" w:rsidP="005B4D60">
            <w:pPr>
              <w:pStyle w:val="Normal6"/>
              <w:rPr>
                <w:szCs w:val="24"/>
              </w:rPr>
            </w:pPr>
            <w:r w:rsidRPr="003B2277">
              <w:t>(c) površine, ki jih je treba na novo zasaditi v okviru projektov komasacije;</w:t>
            </w:r>
          </w:p>
        </w:tc>
      </w:tr>
      <w:tr w:rsidR="006F5BFE" w:rsidRPr="003B2277" w14:paraId="6E7A306E" w14:textId="77777777" w:rsidTr="005B4D60">
        <w:trPr>
          <w:jc w:val="center"/>
        </w:trPr>
        <w:tc>
          <w:tcPr>
            <w:tcW w:w="4876" w:type="dxa"/>
            <w:hideMark/>
          </w:tcPr>
          <w:p w14:paraId="7BC3670D" w14:textId="77777777" w:rsidR="006F5BFE" w:rsidRPr="003B2277" w:rsidRDefault="006F5BFE" w:rsidP="005B4D60">
            <w:pPr>
              <w:pStyle w:val="Normal6"/>
            </w:pPr>
            <w:r w:rsidRPr="003B2277">
              <w:t>(d) površine, za katere so značilne naravne ali posebne omejitve;</w:t>
            </w:r>
          </w:p>
        </w:tc>
        <w:tc>
          <w:tcPr>
            <w:tcW w:w="4876" w:type="dxa"/>
            <w:hideMark/>
          </w:tcPr>
          <w:p w14:paraId="125553BD" w14:textId="77777777" w:rsidR="006F5BFE" w:rsidRPr="003B2277" w:rsidRDefault="006F5BFE" w:rsidP="005B4D60">
            <w:pPr>
              <w:pStyle w:val="Normal6"/>
              <w:rPr>
                <w:szCs w:val="24"/>
              </w:rPr>
            </w:pPr>
            <w:r w:rsidRPr="003B2277">
              <w:t>(d) površine, za katere so značilne naravne ali posebne omejitve;</w:t>
            </w:r>
          </w:p>
        </w:tc>
      </w:tr>
      <w:tr w:rsidR="006F5BFE" w:rsidRPr="003B2277" w14:paraId="5ACFFDF2" w14:textId="77777777" w:rsidTr="005B4D60">
        <w:trPr>
          <w:jc w:val="center"/>
        </w:trPr>
        <w:tc>
          <w:tcPr>
            <w:tcW w:w="4876" w:type="dxa"/>
            <w:hideMark/>
          </w:tcPr>
          <w:p w14:paraId="60A0E3B2" w14:textId="77777777" w:rsidR="006F5BFE" w:rsidRPr="003B2277" w:rsidRDefault="006F5BFE" w:rsidP="005B4D60">
            <w:pPr>
              <w:pStyle w:val="Normal6"/>
            </w:pPr>
            <w:r w:rsidRPr="003B2277">
              <w:t>(e) trajnost projektov razvoja ali ponovne zasaditev na podlagi gospodarske ocene;</w:t>
            </w:r>
          </w:p>
        </w:tc>
        <w:tc>
          <w:tcPr>
            <w:tcW w:w="4876" w:type="dxa"/>
            <w:hideMark/>
          </w:tcPr>
          <w:p w14:paraId="174C07B2" w14:textId="77777777" w:rsidR="006F5BFE" w:rsidRPr="003B2277" w:rsidRDefault="006F5BFE" w:rsidP="005B4D60">
            <w:pPr>
              <w:pStyle w:val="Normal6"/>
              <w:rPr>
                <w:szCs w:val="24"/>
              </w:rPr>
            </w:pPr>
            <w:r w:rsidRPr="003B2277">
              <w:t>(e) trajnost projektov razvoja ali ponovne zasaditve na podlagi gospodarske ocene;</w:t>
            </w:r>
          </w:p>
        </w:tc>
      </w:tr>
      <w:tr w:rsidR="006F5BFE" w:rsidRPr="003B2277" w14:paraId="466F9633" w14:textId="77777777" w:rsidTr="005B4D60">
        <w:trPr>
          <w:jc w:val="center"/>
        </w:trPr>
        <w:tc>
          <w:tcPr>
            <w:tcW w:w="4876" w:type="dxa"/>
            <w:hideMark/>
          </w:tcPr>
          <w:p w14:paraId="784E1549" w14:textId="77777777" w:rsidR="006F5BFE" w:rsidRPr="003B2277" w:rsidRDefault="006F5BFE" w:rsidP="005B4D60">
            <w:pPr>
              <w:pStyle w:val="Normal6"/>
            </w:pPr>
            <w:r w:rsidRPr="003B2277">
              <w:t xml:space="preserve">(f) na novo zasajene površine, ki prispevajo k boljši konkurenčnosti </w:t>
            </w:r>
            <w:r w:rsidRPr="003B2277">
              <w:rPr>
                <w:b/>
                <w:i/>
              </w:rPr>
              <w:t>kmetijskega gospodarstva</w:t>
            </w:r>
            <w:r w:rsidRPr="003B2277">
              <w:t xml:space="preserve"> in </w:t>
            </w:r>
            <w:r w:rsidRPr="003B2277">
              <w:rPr>
                <w:b/>
                <w:i/>
              </w:rPr>
              <w:t>regije</w:t>
            </w:r>
            <w:r w:rsidRPr="003B2277">
              <w:t>;</w:t>
            </w:r>
          </w:p>
        </w:tc>
        <w:tc>
          <w:tcPr>
            <w:tcW w:w="4876" w:type="dxa"/>
            <w:hideMark/>
          </w:tcPr>
          <w:p w14:paraId="669392B2" w14:textId="77777777" w:rsidR="006F5BFE" w:rsidRPr="003B2277" w:rsidRDefault="006F5BFE" w:rsidP="005B4D60">
            <w:pPr>
              <w:pStyle w:val="Normal6"/>
              <w:rPr>
                <w:szCs w:val="24"/>
              </w:rPr>
            </w:pPr>
            <w:r w:rsidRPr="003B2277">
              <w:t xml:space="preserve">(f) na novo zasajene površine, ki prispevajo k boljši konkurenčnosti </w:t>
            </w:r>
            <w:r w:rsidRPr="003B2277">
              <w:rPr>
                <w:b/>
                <w:i/>
              </w:rPr>
              <w:t>gospodarstva na regionalni, državni</w:t>
            </w:r>
            <w:r w:rsidRPr="003B2277">
              <w:t xml:space="preserve"> in </w:t>
            </w:r>
            <w:r w:rsidRPr="003B2277">
              <w:rPr>
                <w:b/>
                <w:i/>
              </w:rPr>
              <w:t>mednarodni ravni</w:t>
            </w:r>
            <w:r w:rsidRPr="003B2277">
              <w:t>;</w:t>
            </w:r>
          </w:p>
        </w:tc>
      </w:tr>
      <w:tr w:rsidR="006F5BFE" w:rsidRPr="003B2277" w14:paraId="003AA589" w14:textId="77777777" w:rsidTr="005B4D60">
        <w:trPr>
          <w:jc w:val="center"/>
        </w:trPr>
        <w:tc>
          <w:tcPr>
            <w:tcW w:w="4876" w:type="dxa"/>
            <w:hideMark/>
          </w:tcPr>
          <w:p w14:paraId="41E1ECB5" w14:textId="77777777" w:rsidR="006F5BFE" w:rsidRPr="003B2277" w:rsidRDefault="006F5BFE" w:rsidP="005B4D60">
            <w:pPr>
              <w:pStyle w:val="Normal6"/>
            </w:pPr>
            <w:r w:rsidRPr="003B2277">
              <w:t>(g) projekti, ki bi lahko izboljšali kakovost proizvodov z geografskimi označbami;</w:t>
            </w:r>
          </w:p>
        </w:tc>
        <w:tc>
          <w:tcPr>
            <w:tcW w:w="4876" w:type="dxa"/>
            <w:hideMark/>
          </w:tcPr>
          <w:p w14:paraId="1342AEDA" w14:textId="77777777" w:rsidR="006F5BFE" w:rsidRPr="003B2277" w:rsidRDefault="006F5BFE" w:rsidP="005B4D60">
            <w:pPr>
              <w:pStyle w:val="Normal6"/>
              <w:rPr>
                <w:szCs w:val="24"/>
              </w:rPr>
            </w:pPr>
            <w:r w:rsidRPr="003B2277">
              <w:t>(g) projekti, ki bi lahko izboljšali kakovost proizvodov z geografskimi označbami;</w:t>
            </w:r>
          </w:p>
        </w:tc>
      </w:tr>
      <w:tr w:rsidR="006F5BFE" w:rsidRPr="003B2277" w14:paraId="1B4F0EF9" w14:textId="77777777" w:rsidTr="005B4D60">
        <w:trPr>
          <w:jc w:val="center"/>
        </w:trPr>
        <w:tc>
          <w:tcPr>
            <w:tcW w:w="4876" w:type="dxa"/>
            <w:hideMark/>
          </w:tcPr>
          <w:p w14:paraId="64ED1F0E" w14:textId="77777777" w:rsidR="006F5BFE" w:rsidRPr="003B2277" w:rsidRDefault="006F5BFE" w:rsidP="005B4D60">
            <w:pPr>
              <w:pStyle w:val="Normal6"/>
            </w:pPr>
            <w:r w:rsidRPr="003B2277">
              <w:t>(h) na novo zasajene površine zaradi povečanja malih ali srednjih gospodarstev.</w:t>
            </w:r>
          </w:p>
        </w:tc>
        <w:tc>
          <w:tcPr>
            <w:tcW w:w="4876" w:type="dxa"/>
            <w:hideMark/>
          </w:tcPr>
          <w:p w14:paraId="77CD5551" w14:textId="77777777" w:rsidR="006F5BFE" w:rsidRPr="003B2277" w:rsidRDefault="006F5BFE" w:rsidP="005B4D60">
            <w:pPr>
              <w:pStyle w:val="Normal6"/>
              <w:rPr>
                <w:szCs w:val="24"/>
              </w:rPr>
            </w:pPr>
            <w:r w:rsidRPr="003B2277">
              <w:t>(h) na novo zasajene površine zaradi povečanja malih ali srednjih gospodarstev.</w:t>
            </w:r>
          </w:p>
        </w:tc>
      </w:tr>
      <w:tr w:rsidR="006F5BFE" w:rsidRPr="003B2277" w14:paraId="2C72C09E" w14:textId="77777777" w:rsidTr="005B4D60">
        <w:trPr>
          <w:jc w:val="center"/>
        </w:trPr>
        <w:tc>
          <w:tcPr>
            <w:tcW w:w="4876" w:type="dxa"/>
            <w:hideMark/>
          </w:tcPr>
          <w:p w14:paraId="42FE1463" w14:textId="77777777" w:rsidR="006F5BFE" w:rsidRPr="003B2277" w:rsidRDefault="006F5BFE" w:rsidP="005B4D60">
            <w:pPr>
              <w:pStyle w:val="Normal6"/>
            </w:pPr>
            <w:r w:rsidRPr="003B2277">
              <w:t>2a.</w:t>
            </w:r>
            <w:r w:rsidRPr="003B2277">
              <w:tab/>
              <w:t>Če se država članica odloči uporabiti eno ali več meril iz odstavka 2, lahko doda še pogoj, da mora biti vlagatelj fizična oseba, ki je v letu predložitve vloge stara največ 40 let.</w:t>
            </w:r>
          </w:p>
        </w:tc>
        <w:tc>
          <w:tcPr>
            <w:tcW w:w="4876" w:type="dxa"/>
            <w:hideMark/>
          </w:tcPr>
          <w:p w14:paraId="28610111" w14:textId="77777777" w:rsidR="006F5BFE" w:rsidRPr="003B2277" w:rsidRDefault="006F5BFE" w:rsidP="005B4D60">
            <w:pPr>
              <w:pStyle w:val="Normal6"/>
              <w:rPr>
                <w:szCs w:val="24"/>
              </w:rPr>
            </w:pPr>
            <w:r w:rsidRPr="003B2277">
              <w:t>2a.</w:t>
            </w:r>
            <w:r w:rsidRPr="003B2277">
              <w:tab/>
              <w:t>Če se država članica odloči uporabiti eno ali več meril iz odstavka 2, lahko doda še pogoj, da mora biti vlagatelj fizična oseba, ki je v letu predložitve vloge stara največ 40 let.</w:t>
            </w:r>
          </w:p>
        </w:tc>
      </w:tr>
      <w:tr w:rsidR="006F5BFE" w:rsidRPr="003B2277" w14:paraId="5F882430" w14:textId="77777777" w:rsidTr="005B4D60">
        <w:trPr>
          <w:jc w:val="center"/>
        </w:trPr>
        <w:tc>
          <w:tcPr>
            <w:tcW w:w="4876" w:type="dxa"/>
          </w:tcPr>
          <w:p w14:paraId="49544643" w14:textId="77777777" w:rsidR="006F5BFE" w:rsidRPr="003B2277" w:rsidRDefault="006F5BFE" w:rsidP="005B4D60">
            <w:pPr>
              <w:pStyle w:val="Normal6"/>
            </w:pPr>
          </w:p>
        </w:tc>
        <w:tc>
          <w:tcPr>
            <w:tcW w:w="4876" w:type="dxa"/>
            <w:hideMark/>
          </w:tcPr>
          <w:p w14:paraId="41186283" w14:textId="77777777" w:rsidR="006F5BFE" w:rsidRPr="003B2277" w:rsidRDefault="006F5BFE" w:rsidP="005B4D60">
            <w:pPr>
              <w:pStyle w:val="Normal6"/>
              <w:rPr>
                <w:szCs w:val="24"/>
              </w:rPr>
            </w:pPr>
            <w:r w:rsidRPr="003B2277">
              <w:rPr>
                <w:b/>
                <w:i/>
              </w:rPr>
              <w:t>2b.</w:t>
            </w:r>
            <w:r w:rsidRPr="003B2277">
              <w:rPr>
                <w:b/>
                <w:i/>
              </w:rPr>
              <w:tab/>
              <w:t>Države članice lahko sprejmejo vse regulativne ukrepe, da bi izvajalcem preprečile izogibanje merilom, ki jih uporabljajo v skladu z odstavki (1), (2) in (2a).</w:t>
            </w:r>
          </w:p>
        </w:tc>
      </w:tr>
      <w:tr w:rsidR="006F5BFE" w:rsidRPr="003B2277" w14:paraId="5FF74EB1" w14:textId="77777777" w:rsidTr="005B4D60">
        <w:trPr>
          <w:jc w:val="center"/>
        </w:trPr>
        <w:tc>
          <w:tcPr>
            <w:tcW w:w="4876" w:type="dxa"/>
          </w:tcPr>
          <w:p w14:paraId="04E13529" w14:textId="77777777" w:rsidR="006F5BFE" w:rsidRPr="003B2277" w:rsidRDefault="006F5BFE" w:rsidP="005B4D60">
            <w:pPr>
              <w:pStyle w:val="Normal6"/>
            </w:pPr>
            <w:r w:rsidRPr="003B2277">
              <w:t>3.</w:t>
            </w:r>
            <w:r w:rsidRPr="003B2277">
              <w:tab/>
              <w:t>Države članice merila iz odstavkov 1, 2 in 2a, ki jih uporabljajo, objavijo ter o njih nemudoma uradno obvestijo Komisijo.</w:t>
            </w:r>
          </w:p>
        </w:tc>
        <w:tc>
          <w:tcPr>
            <w:tcW w:w="4876" w:type="dxa"/>
            <w:hideMark/>
          </w:tcPr>
          <w:p w14:paraId="4EC112B3" w14:textId="77777777" w:rsidR="006F5BFE" w:rsidRPr="003B2277" w:rsidRDefault="006F5BFE" w:rsidP="005B4D60">
            <w:pPr>
              <w:pStyle w:val="Normal6"/>
              <w:rPr>
                <w:szCs w:val="24"/>
              </w:rPr>
            </w:pPr>
            <w:r w:rsidRPr="003B2277">
              <w:t>3.</w:t>
            </w:r>
            <w:r w:rsidRPr="003B2277">
              <w:tab/>
              <w:t>Države članice merila iz odstavkov 1, 2 in 2a, ki jih uporabljajo, objavijo ter o njih nemudoma uradno obvestijo Komisijo.</w:t>
            </w:r>
          </w:p>
        </w:tc>
      </w:tr>
      <w:tr w:rsidR="006F5BFE" w:rsidRPr="003B2277" w14:paraId="12A45E6B" w14:textId="77777777" w:rsidTr="005B4D60">
        <w:trPr>
          <w:jc w:val="center"/>
        </w:trPr>
        <w:tc>
          <w:tcPr>
            <w:tcW w:w="4876" w:type="dxa"/>
          </w:tcPr>
          <w:p w14:paraId="2D92CB32" w14:textId="77777777" w:rsidR="006F5BFE" w:rsidRPr="003B2277" w:rsidRDefault="006F5BFE" w:rsidP="005B4D60">
            <w:pPr>
              <w:pStyle w:val="Normal6"/>
            </w:pPr>
          </w:p>
        </w:tc>
        <w:tc>
          <w:tcPr>
            <w:tcW w:w="4876" w:type="dxa"/>
            <w:hideMark/>
          </w:tcPr>
          <w:p w14:paraId="738A1068" w14:textId="0CE0BAAD" w:rsidR="006F5BFE" w:rsidRPr="003B2277" w:rsidRDefault="006F5BFE" w:rsidP="005B4D60">
            <w:pPr>
              <w:pStyle w:val="Normal6"/>
              <w:rPr>
                <w:szCs w:val="24"/>
              </w:rPr>
            </w:pPr>
            <w:r w:rsidRPr="003B2277">
              <w:rPr>
                <w:b/>
                <w:i/>
              </w:rPr>
              <w:t>3a.</w:t>
            </w:r>
            <w:r w:rsidRPr="003B2277">
              <w:rPr>
                <w:b/>
                <w:i/>
              </w:rPr>
              <w:tab/>
              <w:t>V primeru omejitve v skladu s členom 63(2)(b) na regionalni ravni se lahko uporabijo prednostna merila in merila za upravičenost, ki se upoštevajo v okviru tistih iz člena 64 na navedeni ravni.“</w:t>
            </w:r>
          </w:p>
        </w:tc>
      </w:tr>
    </w:tbl>
    <w:p w14:paraId="5975A484" w14:textId="77777777" w:rsidR="006F5BFE" w:rsidRPr="003B2277" w:rsidRDefault="006F5BFE" w:rsidP="006F5BFE"/>
    <w:p w14:paraId="113548D4" w14:textId="79C5F546" w:rsidR="006F5BFE" w:rsidRPr="003B2277" w:rsidRDefault="003B2277" w:rsidP="006F5BFE">
      <w:pPr>
        <w:pStyle w:val="AMNumberTabs"/>
        <w:keepNext/>
      </w:pPr>
      <w:r>
        <w:t>Sprememba</w:t>
      </w:r>
      <w:r w:rsidR="006F5BFE" w:rsidRPr="003B2277">
        <w:tab/>
      </w:r>
      <w:r w:rsidR="006F5BFE" w:rsidRPr="003B2277">
        <w:tab/>
        <w:t>68</w:t>
      </w:r>
    </w:p>
    <w:p w14:paraId="44379D92" w14:textId="77777777" w:rsidR="006F5BFE" w:rsidRPr="003B2277" w:rsidRDefault="006F5BFE" w:rsidP="006F5BFE">
      <w:pPr>
        <w:pStyle w:val="NormalBold12b"/>
        <w:keepNext/>
      </w:pPr>
      <w:r w:rsidRPr="003B2277">
        <w:t>Predlog uredbe</w:t>
      </w:r>
    </w:p>
    <w:p w14:paraId="24A4B87E" w14:textId="77777777" w:rsidR="006F5BFE" w:rsidRPr="003B2277" w:rsidRDefault="006F5BFE" w:rsidP="006F5BFE">
      <w:pPr>
        <w:pStyle w:val="NormalBold"/>
      </w:pPr>
      <w:r w:rsidRPr="003B2277">
        <w:t>Člen 1 – odstavek 1 – točka 5 c (novo)</w:t>
      </w:r>
    </w:p>
    <w:p w14:paraId="5E467411" w14:textId="77777777" w:rsidR="006F5BFE" w:rsidRPr="003B2277" w:rsidRDefault="006F5BFE" w:rsidP="006F5BFE">
      <w:pPr>
        <w:keepNext/>
      </w:pPr>
      <w:r w:rsidRPr="003B2277">
        <w:t>Uredba (EU) št. 1308/2013</w:t>
      </w:r>
    </w:p>
    <w:p w14:paraId="4FDF9627" w14:textId="77777777" w:rsidR="006F5BFE" w:rsidRPr="003B2277" w:rsidRDefault="006F5BFE" w:rsidP="006F5BFE">
      <w:r w:rsidRPr="003B2277">
        <w:t>Člen 65 – odstavek 1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6AC7E04D" w14:textId="77777777" w:rsidTr="005B4D60">
        <w:trPr>
          <w:jc w:val="center"/>
        </w:trPr>
        <w:tc>
          <w:tcPr>
            <w:tcW w:w="9752" w:type="dxa"/>
            <w:gridSpan w:val="2"/>
          </w:tcPr>
          <w:p w14:paraId="4F90382C" w14:textId="77777777" w:rsidR="006F5BFE" w:rsidRPr="003B2277" w:rsidRDefault="006F5BFE" w:rsidP="005B4D60">
            <w:pPr>
              <w:keepNext/>
            </w:pPr>
          </w:p>
        </w:tc>
      </w:tr>
      <w:tr w:rsidR="006F5BFE" w:rsidRPr="003B2277" w14:paraId="1C1DC14C" w14:textId="77777777" w:rsidTr="005B4D60">
        <w:trPr>
          <w:jc w:val="center"/>
        </w:trPr>
        <w:tc>
          <w:tcPr>
            <w:tcW w:w="4876" w:type="dxa"/>
          </w:tcPr>
          <w:p w14:paraId="10F4CE88" w14:textId="77777777" w:rsidR="006F5BFE" w:rsidRPr="003B2277" w:rsidRDefault="006F5BFE" w:rsidP="005B4D60">
            <w:pPr>
              <w:pStyle w:val="ColumnHeading"/>
              <w:keepNext/>
            </w:pPr>
            <w:r w:rsidRPr="003B2277">
              <w:t>Besedilo, ki ga predlaga Komisija</w:t>
            </w:r>
          </w:p>
        </w:tc>
        <w:tc>
          <w:tcPr>
            <w:tcW w:w="4876" w:type="dxa"/>
          </w:tcPr>
          <w:p w14:paraId="1AA3E1E5" w14:textId="3A5F8407" w:rsidR="006F5BFE" w:rsidRPr="003B2277" w:rsidRDefault="003B2277" w:rsidP="005B4D60">
            <w:pPr>
              <w:pStyle w:val="ColumnHeading"/>
              <w:keepNext/>
            </w:pPr>
            <w:r>
              <w:t>Sprememba</w:t>
            </w:r>
          </w:p>
        </w:tc>
      </w:tr>
      <w:tr w:rsidR="006F5BFE" w:rsidRPr="003B2277" w14:paraId="35830AED" w14:textId="77777777" w:rsidTr="005B4D60">
        <w:trPr>
          <w:jc w:val="center"/>
        </w:trPr>
        <w:tc>
          <w:tcPr>
            <w:tcW w:w="4876" w:type="dxa"/>
          </w:tcPr>
          <w:p w14:paraId="3C8D2F71" w14:textId="77777777" w:rsidR="006F5BFE" w:rsidRPr="003B2277" w:rsidRDefault="006F5BFE" w:rsidP="005B4D60">
            <w:pPr>
              <w:pStyle w:val="Normal6"/>
            </w:pPr>
          </w:p>
        </w:tc>
        <w:tc>
          <w:tcPr>
            <w:tcW w:w="4876" w:type="dxa"/>
          </w:tcPr>
          <w:p w14:paraId="0F61C9AF" w14:textId="24662A29" w:rsidR="006F5BFE" w:rsidRPr="003B2277" w:rsidRDefault="006F5BFE" w:rsidP="00721454">
            <w:pPr>
              <w:pStyle w:val="Normal6"/>
              <w:rPr>
                <w:szCs w:val="24"/>
              </w:rPr>
            </w:pPr>
            <w:r w:rsidRPr="003B2277">
              <w:rPr>
                <w:b/>
                <w:i/>
              </w:rPr>
              <w:t>(5c)</w:t>
            </w:r>
            <w:r w:rsidRPr="003B2277">
              <w:rPr>
                <w:b/>
                <w:i/>
              </w:rPr>
              <w:tab/>
            </w:r>
            <w:r w:rsidR="00721454" w:rsidRPr="003B2277">
              <w:rPr>
                <w:b/>
                <w:i/>
              </w:rPr>
              <w:t xml:space="preserve">v </w:t>
            </w:r>
            <w:r w:rsidRPr="003B2277">
              <w:rPr>
                <w:b/>
                <w:i/>
              </w:rPr>
              <w:t>členu 65 se za prvim odstavkom vstavi naslednji odstavek:</w:t>
            </w:r>
          </w:p>
        </w:tc>
      </w:tr>
      <w:tr w:rsidR="006F5BFE" w:rsidRPr="003B2277" w14:paraId="12852140" w14:textId="77777777" w:rsidTr="005B4D60">
        <w:trPr>
          <w:jc w:val="center"/>
        </w:trPr>
        <w:tc>
          <w:tcPr>
            <w:tcW w:w="4876" w:type="dxa"/>
          </w:tcPr>
          <w:p w14:paraId="7F470374" w14:textId="77777777" w:rsidR="006F5BFE" w:rsidRPr="003B2277" w:rsidRDefault="006F5BFE" w:rsidP="005B4D60">
            <w:pPr>
              <w:pStyle w:val="Normal6"/>
            </w:pPr>
          </w:p>
        </w:tc>
        <w:tc>
          <w:tcPr>
            <w:tcW w:w="4876" w:type="dxa"/>
          </w:tcPr>
          <w:p w14:paraId="625C85C7" w14:textId="77777777" w:rsidR="006F5BFE" w:rsidRPr="003B2277" w:rsidRDefault="006F5BFE" w:rsidP="005B4D60">
            <w:pPr>
              <w:pStyle w:val="Normal6"/>
              <w:rPr>
                <w:szCs w:val="24"/>
              </w:rPr>
            </w:pPr>
            <w:r w:rsidRPr="003B2277">
              <w:rPr>
                <w:b/>
                <w:i/>
              </w:rPr>
              <w:t>Država članica pri uporabi člena 63(2) uvede predhodni uradni postopek, ki ji omogoča, da upošteva mnenja reprezentativnih strokovnih organizacij, ki so v skladu z zakonodajo te države članice priznane na regionalni ravni.</w:t>
            </w:r>
          </w:p>
        </w:tc>
      </w:tr>
    </w:tbl>
    <w:p w14:paraId="33612308" w14:textId="031F1424" w:rsidR="007E5F3B" w:rsidRDefault="007E5F3B" w:rsidP="006F5BFE"/>
    <w:p w14:paraId="737D8D97" w14:textId="5A0E4E6F" w:rsidR="007E5F3B" w:rsidRPr="008606C8" w:rsidRDefault="008C7773" w:rsidP="007E5F3B">
      <w:pPr>
        <w:pStyle w:val="AmNumberTabs0"/>
      </w:pPr>
      <w:r>
        <w:t>Sprememba</w:t>
      </w:r>
      <w:r w:rsidR="007E5F3B" w:rsidRPr="008606C8">
        <w:tab/>
      </w:r>
      <w:r w:rsidR="007E5F3B" w:rsidRPr="008606C8">
        <w:tab/>
        <w:t>233</w:t>
      </w:r>
    </w:p>
    <w:p w14:paraId="32ADD75D" w14:textId="77777777" w:rsidR="007E5F3B" w:rsidRPr="008606C8" w:rsidRDefault="007E5F3B" w:rsidP="007E5F3B">
      <w:pPr>
        <w:pStyle w:val="NormalBold12b"/>
      </w:pPr>
      <w:r w:rsidRPr="008606C8">
        <w:t>Predlog uredbe</w:t>
      </w:r>
    </w:p>
    <w:p w14:paraId="522BC7DA" w14:textId="48E91E8C" w:rsidR="007E5F3B" w:rsidRPr="008606C8" w:rsidRDefault="00174C31" w:rsidP="007E5F3B">
      <w:pPr>
        <w:pStyle w:val="NormalBold"/>
      </w:pPr>
      <w:r>
        <w:t xml:space="preserve">Člen 1 – odstavek 1 – točka 5 d </w:t>
      </w:r>
      <w:r w:rsidR="007E5F3B" w:rsidRPr="008606C8">
        <w:t>(novo)</w:t>
      </w:r>
    </w:p>
    <w:p w14:paraId="749ED175" w14:textId="77777777" w:rsidR="007E5F3B" w:rsidRPr="008606C8" w:rsidRDefault="007E5F3B" w:rsidP="007E5F3B">
      <w:r w:rsidRPr="008606C8">
        <w:t>Uredba (EU) št. 1308/2013</w:t>
      </w:r>
    </w:p>
    <w:p w14:paraId="0BD6587D" w14:textId="77777777" w:rsidR="007E5F3B" w:rsidRPr="008606C8" w:rsidRDefault="007E5F3B" w:rsidP="007E5F3B">
      <w:r w:rsidRPr="008606C8">
        <w:t>Člen 68</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8606C8" w14:paraId="51E62780" w14:textId="77777777" w:rsidTr="007E5F3B">
        <w:trPr>
          <w:jc w:val="center"/>
        </w:trPr>
        <w:tc>
          <w:tcPr>
            <w:tcW w:w="9752" w:type="dxa"/>
            <w:gridSpan w:val="2"/>
          </w:tcPr>
          <w:p w14:paraId="390D64F0" w14:textId="77777777" w:rsidR="007E5F3B" w:rsidRPr="008606C8" w:rsidRDefault="007E5F3B" w:rsidP="007E5F3B">
            <w:pPr>
              <w:keepNext/>
            </w:pPr>
          </w:p>
        </w:tc>
      </w:tr>
      <w:tr w:rsidR="007E5F3B" w:rsidRPr="008606C8" w14:paraId="0234C36F" w14:textId="77777777" w:rsidTr="007E5F3B">
        <w:trPr>
          <w:jc w:val="center"/>
        </w:trPr>
        <w:tc>
          <w:tcPr>
            <w:tcW w:w="4876" w:type="dxa"/>
          </w:tcPr>
          <w:p w14:paraId="05862AF3" w14:textId="77777777" w:rsidR="007E5F3B" w:rsidRPr="008606C8" w:rsidRDefault="007E5F3B" w:rsidP="007E5F3B">
            <w:pPr>
              <w:pStyle w:val="ColumnHeading"/>
              <w:keepNext/>
            </w:pPr>
            <w:r w:rsidRPr="008606C8">
              <w:t>Veljavno besedilo</w:t>
            </w:r>
          </w:p>
        </w:tc>
        <w:tc>
          <w:tcPr>
            <w:tcW w:w="4876" w:type="dxa"/>
          </w:tcPr>
          <w:p w14:paraId="072A70C4" w14:textId="4DBFF2E2" w:rsidR="007E5F3B" w:rsidRPr="008606C8" w:rsidRDefault="008C7773" w:rsidP="007E5F3B">
            <w:pPr>
              <w:pStyle w:val="ColumnHeading"/>
              <w:keepNext/>
            </w:pPr>
            <w:r>
              <w:t>Sprememba</w:t>
            </w:r>
          </w:p>
        </w:tc>
      </w:tr>
      <w:tr w:rsidR="007E5F3B" w:rsidRPr="008606C8" w14:paraId="57B23207" w14:textId="77777777" w:rsidTr="007E5F3B">
        <w:trPr>
          <w:jc w:val="center"/>
        </w:trPr>
        <w:tc>
          <w:tcPr>
            <w:tcW w:w="4876" w:type="dxa"/>
          </w:tcPr>
          <w:p w14:paraId="3D3A1D97" w14:textId="77777777" w:rsidR="007E5F3B" w:rsidRPr="008606C8" w:rsidRDefault="007E5F3B" w:rsidP="007E5F3B">
            <w:pPr>
              <w:pStyle w:val="Normal6"/>
            </w:pPr>
          </w:p>
        </w:tc>
        <w:tc>
          <w:tcPr>
            <w:tcW w:w="4876" w:type="dxa"/>
          </w:tcPr>
          <w:p w14:paraId="798E0066" w14:textId="7E4908F1" w:rsidR="007E5F3B" w:rsidRPr="008606C8" w:rsidRDefault="00174C31" w:rsidP="007E5F3B">
            <w:pPr>
              <w:pStyle w:val="Normal6"/>
              <w:rPr>
                <w:szCs w:val="24"/>
              </w:rPr>
            </w:pPr>
            <w:r>
              <w:rPr>
                <w:b/>
                <w:i/>
              </w:rPr>
              <w:t>(5d</w:t>
            </w:r>
            <w:r w:rsidR="007E5F3B" w:rsidRPr="008606C8">
              <w:rPr>
                <w:b/>
                <w:i/>
              </w:rPr>
              <w:t>)</w:t>
            </w:r>
            <w:r w:rsidR="007E5F3B" w:rsidRPr="008606C8">
              <w:rPr>
                <w:b/>
                <w:i/>
              </w:rPr>
              <w:tab/>
              <w:t>člen 68 se nadomesti z naslednjim:</w:t>
            </w:r>
          </w:p>
        </w:tc>
      </w:tr>
      <w:tr w:rsidR="007E5F3B" w:rsidRPr="008606C8" w14:paraId="3F2784EC" w14:textId="77777777" w:rsidTr="007E5F3B">
        <w:trPr>
          <w:jc w:val="center"/>
        </w:trPr>
        <w:tc>
          <w:tcPr>
            <w:tcW w:w="4876" w:type="dxa"/>
          </w:tcPr>
          <w:p w14:paraId="6A3622D0" w14:textId="77777777" w:rsidR="007E5F3B" w:rsidRPr="008606C8" w:rsidRDefault="007E5F3B" w:rsidP="007E5F3B">
            <w:pPr>
              <w:pStyle w:val="Normal6"/>
              <w:jc w:val="center"/>
            </w:pPr>
            <w:r w:rsidRPr="008606C8">
              <w:t>Člen 68</w:t>
            </w:r>
          </w:p>
        </w:tc>
        <w:tc>
          <w:tcPr>
            <w:tcW w:w="4876" w:type="dxa"/>
          </w:tcPr>
          <w:p w14:paraId="39E27176" w14:textId="77777777" w:rsidR="007E5F3B" w:rsidRPr="008606C8" w:rsidRDefault="007E5F3B" w:rsidP="007E5F3B">
            <w:pPr>
              <w:pStyle w:val="Normal6"/>
              <w:rPr>
                <w:szCs w:val="24"/>
              </w:rPr>
            </w:pPr>
            <w:r w:rsidRPr="008606C8">
              <w:t>„Člen 68</w:t>
            </w:r>
          </w:p>
        </w:tc>
      </w:tr>
      <w:tr w:rsidR="007E5F3B" w:rsidRPr="008606C8" w14:paraId="7C5162B6" w14:textId="77777777" w:rsidTr="007E5F3B">
        <w:trPr>
          <w:jc w:val="center"/>
        </w:trPr>
        <w:tc>
          <w:tcPr>
            <w:tcW w:w="4876" w:type="dxa"/>
          </w:tcPr>
          <w:p w14:paraId="6A232F64" w14:textId="77777777" w:rsidR="007E5F3B" w:rsidRPr="008606C8" w:rsidRDefault="007E5F3B" w:rsidP="007E5F3B">
            <w:pPr>
              <w:pStyle w:val="Normal6"/>
            </w:pPr>
            <w:r w:rsidRPr="008606C8">
              <w:t>Prehodne določbe</w:t>
            </w:r>
          </w:p>
        </w:tc>
        <w:tc>
          <w:tcPr>
            <w:tcW w:w="4876" w:type="dxa"/>
          </w:tcPr>
          <w:p w14:paraId="62DE117A" w14:textId="77777777" w:rsidR="007E5F3B" w:rsidRPr="008606C8" w:rsidRDefault="007E5F3B" w:rsidP="007E5F3B">
            <w:pPr>
              <w:pStyle w:val="Normal6"/>
              <w:rPr>
                <w:szCs w:val="24"/>
              </w:rPr>
            </w:pPr>
            <w:r w:rsidRPr="008606C8">
              <w:t>Prehodne določbe</w:t>
            </w:r>
          </w:p>
        </w:tc>
      </w:tr>
      <w:tr w:rsidR="007E5F3B" w:rsidRPr="008606C8" w14:paraId="51377431" w14:textId="77777777" w:rsidTr="007E5F3B">
        <w:trPr>
          <w:jc w:val="center"/>
        </w:trPr>
        <w:tc>
          <w:tcPr>
            <w:tcW w:w="4876" w:type="dxa"/>
          </w:tcPr>
          <w:p w14:paraId="5944E7D0" w14:textId="77777777" w:rsidR="007E5F3B" w:rsidRPr="008606C8" w:rsidRDefault="007E5F3B" w:rsidP="007E5F3B">
            <w:pPr>
              <w:pStyle w:val="Normal6"/>
            </w:pPr>
            <w:r w:rsidRPr="008606C8">
              <w:t>1.</w:t>
            </w:r>
            <w:r w:rsidRPr="008606C8">
              <w:tab/>
              <w:t>Pravice do zasaditve, ki se pred 31. decembrom 2015 dodelijo pridelovalcem v skladu s členom 85h, členom 85i ali členom 85k Uredbe (ES) št. 1234/2007 in jih ti pridelovalci niso izkoristili ter so do navedenega datuma še veljavne, se lahko od 1. januarja 2016 pretvorijo v dovoljenja iz tega poglavja.</w:t>
            </w:r>
          </w:p>
        </w:tc>
        <w:tc>
          <w:tcPr>
            <w:tcW w:w="4876" w:type="dxa"/>
          </w:tcPr>
          <w:p w14:paraId="437DEE9A" w14:textId="77777777" w:rsidR="007E5F3B" w:rsidRPr="008606C8" w:rsidRDefault="007E5F3B" w:rsidP="007E5F3B">
            <w:pPr>
              <w:pStyle w:val="Normal6"/>
              <w:rPr>
                <w:szCs w:val="24"/>
              </w:rPr>
            </w:pPr>
            <w:r w:rsidRPr="008606C8">
              <w:t>1.</w:t>
            </w:r>
            <w:r w:rsidRPr="008606C8">
              <w:tab/>
              <w:t>Pravice do zasaditve, ki se pred 31. decembrom 2015 dodelijo pridelovalcem v skladu s členom 85h, členom 85i ali členom 85k Uredbe (ES) št. 1234/2007 in jih ti pridelovalci niso izkoristili ter so do navedenega datuma še veljavne, se lahko od 1. januarja 2016 pretvorijo v dovoljenja iz tega poglavja.</w:t>
            </w:r>
          </w:p>
        </w:tc>
      </w:tr>
      <w:tr w:rsidR="007E5F3B" w:rsidRPr="008606C8" w14:paraId="2F2AD2EF" w14:textId="77777777" w:rsidTr="007E5F3B">
        <w:trPr>
          <w:jc w:val="center"/>
        </w:trPr>
        <w:tc>
          <w:tcPr>
            <w:tcW w:w="4876" w:type="dxa"/>
          </w:tcPr>
          <w:p w14:paraId="57716B5E" w14:textId="77777777" w:rsidR="007E5F3B" w:rsidRPr="008606C8" w:rsidRDefault="007E5F3B" w:rsidP="007E5F3B">
            <w:pPr>
              <w:pStyle w:val="Normal6"/>
            </w:pPr>
            <w:r w:rsidRPr="008606C8">
              <w:t>Take pretvorbe se izvedejo na zahtevo, ki jo morajo ti pridelovalci predložiti pred 31. decembrom 2015. Države članice lahko odločijo, da bodo pridelovalcem dovolile predložiti tovrstno zahtevo za pretvorbo pravic v dovoljenja do 31. decembra 2020.</w:t>
            </w:r>
          </w:p>
        </w:tc>
        <w:tc>
          <w:tcPr>
            <w:tcW w:w="4876" w:type="dxa"/>
          </w:tcPr>
          <w:p w14:paraId="3530E0BF" w14:textId="77777777" w:rsidR="007E5F3B" w:rsidRPr="008606C8" w:rsidRDefault="007E5F3B" w:rsidP="007E5F3B">
            <w:pPr>
              <w:pStyle w:val="Normal6"/>
              <w:rPr>
                <w:szCs w:val="24"/>
              </w:rPr>
            </w:pPr>
            <w:r w:rsidRPr="008606C8">
              <w:t>Take pretvorbe se izvedejo na zahtevo, ki jo morajo ti pridelovalci predložiti pred 31. decembrom 2015. Države članice lahko odločijo, da bodo pridelovalcem dovolile predložiti tovrstno zahtevo za pretvorbo pravic v dovoljenja do 31. decembra 2020.</w:t>
            </w:r>
          </w:p>
        </w:tc>
      </w:tr>
      <w:tr w:rsidR="007E5F3B" w:rsidRPr="008606C8" w14:paraId="697C78B3" w14:textId="77777777" w:rsidTr="007E5F3B">
        <w:trPr>
          <w:jc w:val="center"/>
        </w:trPr>
        <w:tc>
          <w:tcPr>
            <w:tcW w:w="4876" w:type="dxa"/>
          </w:tcPr>
          <w:p w14:paraId="18EAE29C" w14:textId="77777777" w:rsidR="007E5F3B" w:rsidRPr="008606C8" w:rsidRDefault="007E5F3B" w:rsidP="007E5F3B">
            <w:pPr>
              <w:pStyle w:val="Normal6"/>
            </w:pPr>
          </w:p>
        </w:tc>
        <w:tc>
          <w:tcPr>
            <w:tcW w:w="4876" w:type="dxa"/>
          </w:tcPr>
          <w:p w14:paraId="06042E9A" w14:textId="77777777" w:rsidR="007E5F3B" w:rsidRPr="008606C8" w:rsidRDefault="007E5F3B" w:rsidP="007E5F3B">
            <w:pPr>
              <w:pStyle w:val="Normal6"/>
              <w:rPr>
                <w:szCs w:val="24"/>
              </w:rPr>
            </w:pPr>
            <w:r w:rsidRPr="008606C8">
              <w:rPr>
                <w:b/>
                <w:i/>
              </w:rPr>
              <w:t>1a.</w:t>
            </w:r>
            <w:r w:rsidRPr="008606C8">
              <w:rPr>
                <w:b/>
                <w:i/>
              </w:rPr>
              <w:tab/>
              <w:t>Po 31. decembru 2020 površine, za katere so bile pridelovalcem dodeljene pravice do zasaditve, ki niso bile pretvorjene v dovoljena, ostanejo na razpolago državam članicam, ki jih lahko predodelijo v skladu s členom 66 najpozneje do 31. decembra 2025.</w:t>
            </w:r>
          </w:p>
        </w:tc>
      </w:tr>
      <w:tr w:rsidR="007E5F3B" w:rsidRPr="008606C8" w14:paraId="47D451EF" w14:textId="77777777" w:rsidTr="007E5F3B">
        <w:trPr>
          <w:jc w:val="center"/>
        </w:trPr>
        <w:tc>
          <w:tcPr>
            <w:tcW w:w="4876" w:type="dxa"/>
          </w:tcPr>
          <w:p w14:paraId="672F520D" w14:textId="77777777" w:rsidR="007E5F3B" w:rsidRPr="008606C8" w:rsidRDefault="007E5F3B" w:rsidP="007E5F3B">
            <w:pPr>
              <w:pStyle w:val="Normal6"/>
            </w:pPr>
            <w:r w:rsidRPr="008606C8">
              <w:t>2.</w:t>
            </w:r>
            <w:r w:rsidRPr="008606C8">
              <w:tab/>
              <w:t xml:space="preserve">Dovoljenja, ki se izdajo v skladu z </w:t>
            </w:r>
            <w:r w:rsidRPr="008606C8">
              <w:rPr>
                <w:b/>
                <w:i/>
              </w:rPr>
              <w:t>odstavkom 1</w:t>
            </w:r>
            <w:r w:rsidRPr="008606C8">
              <w:t>, veljajo enako obdobje kot pravice do zasaditve iz odstavka 1. Če se ta dovoljenja ne uporabijo, prenehajo veljati najpozneje 31. decembra 2018 oziroma, če je država članica sprejela odločitev iz drugega pododstavka odstavka 1, najpozneje do 31. decembra </w:t>
            </w:r>
            <w:r w:rsidRPr="008606C8">
              <w:rPr>
                <w:b/>
                <w:i/>
              </w:rPr>
              <w:t>2023</w:t>
            </w:r>
            <w:r w:rsidRPr="008606C8">
              <w:t>.</w:t>
            </w:r>
          </w:p>
        </w:tc>
        <w:tc>
          <w:tcPr>
            <w:tcW w:w="4876" w:type="dxa"/>
          </w:tcPr>
          <w:p w14:paraId="1D6BB390" w14:textId="77777777" w:rsidR="007E5F3B" w:rsidRPr="008606C8" w:rsidRDefault="007E5F3B" w:rsidP="007E5F3B">
            <w:pPr>
              <w:pStyle w:val="Normal6"/>
              <w:rPr>
                <w:szCs w:val="24"/>
              </w:rPr>
            </w:pPr>
            <w:r w:rsidRPr="008606C8">
              <w:t>2.</w:t>
            </w:r>
            <w:r w:rsidRPr="008606C8">
              <w:tab/>
              <w:t xml:space="preserve">Dovoljenja, ki se izdajo v skladu z </w:t>
            </w:r>
            <w:r w:rsidRPr="008606C8">
              <w:rPr>
                <w:b/>
                <w:i/>
              </w:rPr>
              <w:t>odstavkoma 1 in 1a</w:t>
            </w:r>
            <w:r w:rsidRPr="008606C8">
              <w:t>, veljajo enako obdobje kot pravice do zasaditve iz odstavka 1. Če se ta dovoljenja ne uporabijo, prenehajo veljati najpozneje 31. decembra 2018 oziroma, če je država članica sprejela odločitev iz drugega pododstavka odstavka 1, najpozneje do 31. decembra </w:t>
            </w:r>
            <w:r w:rsidRPr="008606C8">
              <w:rPr>
                <w:b/>
                <w:i/>
              </w:rPr>
              <w:t>2028</w:t>
            </w:r>
            <w:r w:rsidRPr="008606C8">
              <w:t>.</w:t>
            </w:r>
          </w:p>
        </w:tc>
      </w:tr>
      <w:tr w:rsidR="007E5F3B" w:rsidRPr="008606C8" w14:paraId="0DE3BE11" w14:textId="77777777" w:rsidTr="007E5F3B">
        <w:trPr>
          <w:jc w:val="center"/>
        </w:trPr>
        <w:tc>
          <w:tcPr>
            <w:tcW w:w="4876" w:type="dxa"/>
          </w:tcPr>
          <w:p w14:paraId="375827A0" w14:textId="77777777" w:rsidR="007E5F3B" w:rsidRPr="008606C8" w:rsidRDefault="007E5F3B" w:rsidP="007E5F3B">
            <w:pPr>
              <w:pStyle w:val="Normal6"/>
            </w:pPr>
            <w:r w:rsidRPr="008606C8">
              <w:t>3.</w:t>
            </w:r>
            <w:r w:rsidRPr="008606C8">
              <w:tab/>
              <w:t>Površine, ki jih zadevajo dovoljenja, izdana skladno z odstavkom 1, ne štejejo za namene iz člena 63.</w:t>
            </w:r>
          </w:p>
        </w:tc>
        <w:tc>
          <w:tcPr>
            <w:tcW w:w="4876" w:type="dxa"/>
          </w:tcPr>
          <w:p w14:paraId="4BF4EAE2" w14:textId="77777777" w:rsidR="007E5F3B" w:rsidRPr="008606C8" w:rsidRDefault="007E5F3B" w:rsidP="007E5F3B">
            <w:pPr>
              <w:pStyle w:val="Normal6"/>
              <w:rPr>
                <w:szCs w:val="24"/>
              </w:rPr>
            </w:pPr>
            <w:r w:rsidRPr="008606C8">
              <w:t>3.</w:t>
            </w:r>
            <w:r w:rsidRPr="008606C8">
              <w:tab/>
              <w:t>Površine, ki jih zadevajo dovoljenja, izdana skladno z odstavkom 1, ne štejejo za namene iz člena 63.“</w:t>
            </w:r>
          </w:p>
        </w:tc>
      </w:tr>
    </w:tbl>
    <w:p w14:paraId="5A546A44" w14:textId="77777777" w:rsidR="007E5F3B" w:rsidRPr="003B2277" w:rsidRDefault="007E5F3B" w:rsidP="006F5BFE"/>
    <w:p w14:paraId="20D52550" w14:textId="7D58D549" w:rsidR="006F5BFE" w:rsidRPr="003B2277" w:rsidRDefault="003B2277" w:rsidP="006F5BFE">
      <w:pPr>
        <w:pStyle w:val="AMNumberTabs"/>
        <w:keepNext/>
      </w:pPr>
      <w:r>
        <w:t>Sprememba</w:t>
      </w:r>
      <w:r w:rsidR="006F5BFE" w:rsidRPr="003B2277">
        <w:tab/>
      </w:r>
      <w:r w:rsidR="006F5BFE" w:rsidRPr="003B2277">
        <w:tab/>
        <w:t>69</w:t>
      </w:r>
    </w:p>
    <w:p w14:paraId="2C053E63" w14:textId="77777777" w:rsidR="006F5BFE" w:rsidRPr="003B2277" w:rsidRDefault="006F5BFE" w:rsidP="006F5BFE">
      <w:pPr>
        <w:pStyle w:val="NormalBold12b"/>
      </w:pPr>
      <w:r w:rsidRPr="003B2277">
        <w:t>Predlog uredbe</w:t>
      </w:r>
    </w:p>
    <w:p w14:paraId="60372B03" w14:textId="16E2E39A" w:rsidR="006F5BFE" w:rsidRPr="003B2277" w:rsidRDefault="006F5BFE" w:rsidP="006F5BFE">
      <w:pPr>
        <w:pStyle w:val="NormalBold"/>
      </w:pPr>
      <w:r w:rsidRPr="003B2277">
        <w:t xml:space="preserve">Člen 1 – odstavek 1 – točka 5 </w:t>
      </w:r>
      <w:r w:rsidR="00174C31">
        <w:t>e</w:t>
      </w:r>
      <w:r w:rsidRPr="003B2277">
        <w:t xml:space="preserve"> (novo)</w:t>
      </w:r>
    </w:p>
    <w:p w14:paraId="3F7A0422" w14:textId="77777777" w:rsidR="006F5BFE" w:rsidRPr="003B2277" w:rsidRDefault="006F5BFE" w:rsidP="006F5BFE">
      <w:pPr>
        <w:keepNext/>
      </w:pPr>
      <w:r w:rsidRPr="003B2277">
        <w:t>Uredba (EU) št. 1308/2013</w:t>
      </w:r>
    </w:p>
    <w:p w14:paraId="46FD515C" w14:textId="77777777" w:rsidR="006F5BFE" w:rsidRPr="003B2277" w:rsidRDefault="006F5BFE" w:rsidP="006F5BFE">
      <w:r w:rsidRPr="003B2277">
        <w:t>Člen 69 – odstavek 1 – točka e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A53F8BF" w14:textId="77777777" w:rsidTr="005B4D60">
        <w:trPr>
          <w:jc w:val="center"/>
        </w:trPr>
        <w:tc>
          <w:tcPr>
            <w:tcW w:w="9752" w:type="dxa"/>
            <w:gridSpan w:val="2"/>
          </w:tcPr>
          <w:p w14:paraId="7F271B6C" w14:textId="77777777" w:rsidR="006F5BFE" w:rsidRPr="003B2277" w:rsidRDefault="006F5BFE" w:rsidP="005B4D60">
            <w:pPr>
              <w:keepNext/>
            </w:pPr>
          </w:p>
        </w:tc>
      </w:tr>
      <w:tr w:rsidR="006F5BFE" w:rsidRPr="003B2277" w14:paraId="62874E44" w14:textId="77777777" w:rsidTr="005B4D60">
        <w:trPr>
          <w:jc w:val="center"/>
        </w:trPr>
        <w:tc>
          <w:tcPr>
            <w:tcW w:w="4876" w:type="dxa"/>
            <w:hideMark/>
          </w:tcPr>
          <w:p w14:paraId="227A6A44" w14:textId="77777777" w:rsidR="006F5BFE" w:rsidRPr="003B2277" w:rsidRDefault="006F5BFE" w:rsidP="005B4D60">
            <w:pPr>
              <w:pStyle w:val="ColumnHeading"/>
              <w:keepNext/>
            </w:pPr>
            <w:r w:rsidRPr="003B2277">
              <w:t>Besedilo, ki ga predlaga Komisija</w:t>
            </w:r>
          </w:p>
        </w:tc>
        <w:tc>
          <w:tcPr>
            <w:tcW w:w="4876" w:type="dxa"/>
            <w:hideMark/>
          </w:tcPr>
          <w:p w14:paraId="4D4B72FE" w14:textId="53FB3C11" w:rsidR="006F5BFE" w:rsidRPr="003B2277" w:rsidRDefault="003B2277" w:rsidP="005B4D60">
            <w:pPr>
              <w:pStyle w:val="ColumnHeading"/>
              <w:keepNext/>
            </w:pPr>
            <w:r>
              <w:t>Sprememba</w:t>
            </w:r>
          </w:p>
        </w:tc>
      </w:tr>
      <w:tr w:rsidR="006F5BFE" w:rsidRPr="003B2277" w14:paraId="2B2F186D" w14:textId="77777777" w:rsidTr="005B4D60">
        <w:trPr>
          <w:jc w:val="center"/>
        </w:trPr>
        <w:tc>
          <w:tcPr>
            <w:tcW w:w="4876" w:type="dxa"/>
          </w:tcPr>
          <w:p w14:paraId="7BD2784B" w14:textId="77777777" w:rsidR="006F5BFE" w:rsidRPr="003B2277" w:rsidRDefault="006F5BFE" w:rsidP="005B4D60">
            <w:pPr>
              <w:pStyle w:val="Normal6"/>
            </w:pPr>
          </w:p>
        </w:tc>
        <w:tc>
          <w:tcPr>
            <w:tcW w:w="4876" w:type="dxa"/>
            <w:hideMark/>
          </w:tcPr>
          <w:p w14:paraId="545DBD2C" w14:textId="19425B92" w:rsidR="006F5BFE" w:rsidRPr="003B2277" w:rsidRDefault="006F5BFE" w:rsidP="005B4D60">
            <w:pPr>
              <w:pStyle w:val="Normal6"/>
              <w:rPr>
                <w:szCs w:val="24"/>
              </w:rPr>
            </w:pPr>
            <w:r w:rsidRPr="003B2277">
              <w:rPr>
                <w:b/>
                <w:i/>
              </w:rPr>
              <w:t>(5</w:t>
            </w:r>
            <w:r w:rsidR="00174C31">
              <w:rPr>
                <w:b/>
                <w:i/>
              </w:rPr>
              <w:t>e</w:t>
            </w:r>
            <w:r w:rsidRPr="003B2277">
              <w:rPr>
                <w:b/>
                <w:i/>
              </w:rPr>
              <w:t>)</w:t>
            </w:r>
            <w:r w:rsidRPr="003B2277">
              <w:rPr>
                <w:b/>
                <w:i/>
              </w:rPr>
              <w:tab/>
              <w:t>v členu 69 se doda naslednja točka:</w:t>
            </w:r>
          </w:p>
        </w:tc>
      </w:tr>
      <w:tr w:rsidR="006F5BFE" w:rsidRPr="003B2277" w14:paraId="116C933C" w14:textId="77777777" w:rsidTr="005B4D60">
        <w:trPr>
          <w:jc w:val="center"/>
        </w:trPr>
        <w:tc>
          <w:tcPr>
            <w:tcW w:w="4876" w:type="dxa"/>
          </w:tcPr>
          <w:p w14:paraId="48C8E676" w14:textId="77777777" w:rsidR="006F5BFE" w:rsidRPr="003B2277" w:rsidRDefault="006F5BFE" w:rsidP="005B4D60">
            <w:pPr>
              <w:pStyle w:val="Normal6"/>
            </w:pPr>
          </w:p>
        </w:tc>
        <w:tc>
          <w:tcPr>
            <w:tcW w:w="4876" w:type="dxa"/>
            <w:hideMark/>
          </w:tcPr>
          <w:p w14:paraId="5E3E270A" w14:textId="082D7827" w:rsidR="006F5BFE" w:rsidRPr="003B2277" w:rsidRDefault="006F5BFE" w:rsidP="005B4D60">
            <w:pPr>
              <w:pStyle w:val="Normal6"/>
              <w:rPr>
                <w:szCs w:val="24"/>
              </w:rPr>
            </w:pPr>
            <w:r w:rsidRPr="003B2277">
              <w:rPr>
                <w:b/>
                <w:i/>
              </w:rPr>
              <w:t xml:space="preserve">(ea) </w:t>
            </w:r>
            <w:r w:rsidR="00174C31" w:rsidRPr="003B2277">
              <w:rPr>
                <w:b/>
                <w:i/>
              </w:rPr>
              <w:tab/>
            </w:r>
            <w:r w:rsidRPr="003B2277">
              <w:rPr>
                <w:b/>
                <w:i/>
              </w:rPr>
              <w:t>merila za ohranjanje genskih virov vinske trte.</w:t>
            </w:r>
          </w:p>
        </w:tc>
      </w:tr>
    </w:tbl>
    <w:p w14:paraId="5A3F11E8" w14:textId="77777777" w:rsidR="006F5BFE" w:rsidRPr="003B2277" w:rsidRDefault="006F5BFE" w:rsidP="006F5BFE"/>
    <w:p w14:paraId="409EE02D" w14:textId="683C3D67" w:rsidR="006F5BFE" w:rsidRPr="003B2277" w:rsidRDefault="003B2277" w:rsidP="006F5BFE">
      <w:pPr>
        <w:pStyle w:val="AMNumberTabs"/>
        <w:keepNext/>
      </w:pPr>
      <w:r>
        <w:t>Sprememba</w:t>
      </w:r>
      <w:r w:rsidR="006F5BFE" w:rsidRPr="003B2277">
        <w:tab/>
      </w:r>
      <w:r w:rsidR="006F5BFE" w:rsidRPr="003B2277">
        <w:tab/>
        <w:t>70</w:t>
      </w:r>
    </w:p>
    <w:p w14:paraId="2A0AF198" w14:textId="77777777" w:rsidR="006F5BFE" w:rsidRPr="003B2277" w:rsidRDefault="006F5BFE" w:rsidP="006F5BFE">
      <w:pPr>
        <w:pStyle w:val="NormalBold12b"/>
        <w:keepNext/>
      </w:pPr>
      <w:r w:rsidRPr="003B2277">
        <w:t>Predlog uredbe</w:t>
      </w:r>
    </w:p>
    <w:p w14:paraId="00E3267F" w14:textId="21BFB49A" w:rsidR="006F5BFE" w:rsidRPr="003B2277" w:rsidRDefault="006F5BFE" w:rsidP="006F5BFE">
      <w:pPr>
        <w:pStyle w:val="NormalBold"/>
      </w:pPr>
      <w:r w:rsidRPr="003B2277">
        <w:t xml:space="preserve">Člen 1 – odstavek 1 – točka 5 </w:t>
      </w:r>
      <w:r w:rsidR="00174C31">
        <w:t>f</w:t>
      </w:r>
      <w:r w:rsidRPr="003B2277">
        <w:t xml:space="preserve"> (novo)</w:t>
      </w:r>
    </w:p>
    <w:p w14:paraId="2548742F" w14:textId="77777777" w:rsidR="006F5BFE" w:rsidRPr="003B2277" w:rsidRDefault="006F5BFE" w:rsidP="006F5BFE">
      <w:pPr>
        <w:keepNext/>
      </w:pPr>
      <w:r w:rsidRPr="003B2277">
        <w:t>Uredba (EU) št. 1308/2013</w:t>
      </w:r>
    </w:p>
    <w:p w14:paraId="679E02B1" w14:textId="77777777" w:rsidR="006F5BFE" w:rsidRPr="003B2277" w:rsidRDefault="006F5BFE" w:rsidP="006F5BFE">
      <w:r w:rsidRPr="003B2277">
        <w:t>Člen 73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56F935DC" w14:textId="77777777" w:rsidTr="005B4D60">
        <w:trPr>
          <w:jc w:val="center"/>
        </w:trPr>
        <w:tc>
          <w:tcPr>
            <w:tcW w:w="9752" w:type="dxa"/>
            <w:gridSpan w:val="2"/>
          </w:tcPr>
          <w:p w14:paraId="33DA40EB" w14:textId="77777777" w:rsidR="006F5BFE" w:rsidRPr="003B2277" w:rsidRDefault="006F5BFE" w:rsidP="005B4D60">
            <w:pPr>
              <w:keepNext/>
            </w:pPr>
          </w:p>
        </w:tc>
      </w:tr>
      <w:tr w:rsidR="006F5BFE" w:rsidRPr="003B2277" w14:paraId="1431A7A6" w14:textId="77777777" w:rsidTr="005B4D60">
        <w:trPr>
          <w:jc w:val="center"/>
        </w:trPr>
        <w:tc>
          <w:tcPr>
            <w:tcW w:w="4876" w:type="dxa"/>
          </w:tcPr>
          <w:p w14:paraId="3194257F" w14:textId="77777777" w:rsidR="006F5BFE" w:rsidRPr="003B2277" w:rsidRDefault="006F5BFE" w:rsidP="005B4D60">
            <w:pPr>
              <w:pStyle w:val="ColumnHeading"/>
              <w:keepNext/>
            </w:pPr>
            <w:r w:rsidRPr="003B2277">
              <w:t>Veljavno besedilo</w:t>
            </w:r>
          </w:p>
        </w:tc>
        <w:tc>
          <w:tcPr>
            <w:tcW w:w="4876" w:type="dxa"/>
          </w:tcPr>
          <w:p w14:paraId="1B6F342F" w14:textId="6A0C8177" w:rsidR="006F5BFE" w:rsidRPr="003B2277" w:rsidRDefault="003B2277" w:rsidP="005B4D60">
            <w:pPr>
              <w:pStyle w:val="ColumnHeading"/>
              <w:keepNext/>
            </w:pPr>
            <w:r>
              <w:t>Sprememba</w:t>
            </w:r>
          </w:p>
        </w:tc>
      </w:tr>
      <w:tr w:rsidR="006F5BFE" w:rsidRPr="003B2277" w14:paraId="789FDE24" w14:textId="77777777" w:rsidTr="005B4D60">
        <w:trPr>
          <w:jc w:val="center"/>
        </w:trPr>
        <w:tc>
          <w:tcPr>
            <w:tcW w:w="4876" w:type="dxa"/>
          </w:tcPr>
          <w:p w14:paraId="4FF9441A" w14:textId="77777777" w:rsidR="006F5BFE" w:rsidRPr="003B2277" w:rsidRDefault="006F5BFE" w:rsidP="005B4D60">
            <w:pPr>
              <w:pStyle w:val="Normal6"/>
            </w:pPr>
          </w:p>
        </w:tc>
        <w:tc>
          <w:tcPr>
            <w:tcW w:w="4876" w:type="dxa"/>
          </w:tcPr>
          <w:p w14:paraId="28B66726" w14:textId="52803323" w:rsidR="006F5BFE" w:rsidRPr="003B2277" w:rsidRDefault="006F5BFE" w:rsidP="00174C31">
            <w:pPr>
              <w:pStyle w:val="Normal6"/>
              <w:rPr>
                <w:szCs w:val="24"/>
              </w:rPr>
            </w:pPr>
            <w:r w:rsidRPr="003B2277">
              <w:rPr>
                <w:b/>
                <w:i/>
              </w:rPr>
              <w:t>(5</w:t>
            </w:r>
            <w:r w:rsidR="00174C31">
              <w:rPr>
                <w:b/>
                <w:i/>
              </w:rPr>
              <w:t>f</w:t>
            </w:r>
            <w:r w:rsidRPr="003B2277">
              <w:rPr>
                <w:b/>
                <w:i/>
              </w:rPr>
              <w:t>)</w:t>
            </w:r>
            <w:r w:rsidRPr="003B2277">
              <w:rPr>
                <w:b/>
                <w:i/>
              </w:rPr>
              <w:tab/>
              <w:t>člen 73 se nadomesti z naslednjim:</w:t>
            </w:r>
          </w:p>
        </w:tc>
      </w:tr>
      <w:tr w:rsidR="006F5BFE" w:rsidRPr="003B2277" w14:paraId="79856263" w14:textId="77777777" w:rsidTr="005B4D60">
        <w:trPr>
          <w:jc w:val="center"/>
        </w:trPr>
        <w:tc>
          <w:tcPr>
            <w:tcW w:w="4876" w:type="dxa"/>
          </w:tcPr>
          <w:p w14:paraId="2819F3E8" w14:textId="77777777" w:rsidR="006F5BFE" w:rsidRPr="003B2277" w:rsidRDefault="006F5BFE" w:rsidP="005B4D60">
            <w:pPr>
              <w:pStyle w:val="Normal6"/>
              <w:jc w:val="center"/>
            </w:pPr>
            <w:r w:rsidRPr="003B2277">
              <w:t>Člen 73</w:t>
            </w:r>
          </w:p>
        </w:tc>
        <w:tc>
          <w:tcPr>
            <w:tcW w:w="4876" w:type="dxa"/>
          </w:tcPr>
          <w:p w14:paraId="06AEC342" w14:textId="77777777" w:rsidR="006F5BFE" w:rsidRPr="003B2277" w:rsidRDefault="006F5BFE" w:rsidP="005B4D60">
            <w:pPr>
              <w:pStyle w:val="Normal6"/>
              <w:jc w:val="center"/>
              <w:rPr>
                <w:b/>
                <w:i/>
              </w:rPr>
            </w:pPr>
            <w:r w:rsidRPr="003B2277">
              <w:rPr>
                <w:b/>
                <w:i/>
              </w:rPr>
              <w:t>„</w:t>
            </w:r>
            <w:r w:rsidRPr="003B2277">
              <w:t>Člen 73</w:t>
            </w:r>
          </w:p>
        </w:tc>
      </w:tr>
      <w:tr w:rsidR="006F5BFE" w:rsidRPr="003B2277" w14:paraId="5AB37317" w14:textId="77777777" w:rsidTr="005B4D60">
        <w:trPr>
          <w:jc w:val="center"/>
        </w:trPr>
        <w:tc>
          <w:tcPr>
            <w:tcW w:w="4876" w:type="dxa"/>
          </w:tcPr>
          <w:p w14:paraId="0D1C5EA3" w14:textId="77777777" w:rsidR="006F5BFE" w:rsidRPr="003B2277" w:rsidRDefault="006F5BFE" w:rsidP="005B4D60">
            <w:pPr>
              <w:pStyle w:val="Normal6"/>
              <w:jc w:val="center"/>
            </w:pPr>
            <w:r w:rsidRPr="003B2277">
              <w:t>Področje uporabe</w:t>
            </w:r>
          </w:p>
        </w:tc>
        <w:tc>
          <w:tcPr>
            <w:tcW w:w="4876" w:type="dxa"/>
          </w:tcPr>
          <w:p w14:paraId="146751A2" w14:textId="77777777" w:rsidR="006F5BFE" w:rsidRPr="003B2277" w:rsidRDefault="006F5BFE" w:rsidP="005B4D60">
            <w:pPr>
              <w:pStyle w:val="Normal6"/>
              <w:jc w:val="center"/>
            </w:pPr>
            <w:r w:rsidRPr="003B2277">
              <w:t>Področje uporabe</w:t>
            </w:r>
          </w:p>
        </w:tc>
      </w:tr>
      <w:tr w:rsidR="006F5BFE" w:rsidRPr="003B2277" w14:paraId="64711013" w14:textId="77777777" w:rsidTr="005B4D60">
        <w:trPr>
          <w:jc w:val="center"/>
        </w:trPr>
        <w:tc>
          <w:tcPr>
            <w:tcW w:w="4876" w:type="dxa"/>
          </w:tcPr>
          <w:p w14:paraId="31531EE2" w14:textId="77777777" w:rsidR="006F5BFE" w:rsidRPr="003B2277" w:rsidRDefault="006F5BFE" w:rsidP="005B4D60">
            <w:pPr>
              <w:pStyle w:val="Normal6"/>
            </w:pPr>
            <w:r w:rsidRPr="003B2277">
              <w:t>Brez poseganja v druge določbe, ki se uporabljajo za kmetijske proizvode, in določbe, ki so bile sprejete v veterinarskem, fitosanitarnem in živilskem sektorju za zagotovitev, da proizvodi ustrezajo higienskim in zdravstvenim standardom, in za zaščito zdravja živali, rastlin in ljudi, so v tem oddelku določena pravila o tržnih standardih.</w:t>
            </w:r>
          </w:p>
        </w:tc>
        <w:tc>
          <w:tcPr>
            <w:tcW w:w="4876" w:type="dxa"/>
          </w:tcPr>
          <w:p w14:paraId="5CD4A2A9" w14:textId="77777777" w:rsidR="006F5BFE" w:rsidRPr="003B2277" w:rsidRDefault="006F5BFE" w:rsidP="005B4D60">
            <w:pPr>
              <w:pStyle w:val="Normal6"/>
              <w:rPr>
                <w:szCs w:val="24"/>
              </w:rPr>
            </w:pPr>
            <w:r w:rsidRPr="003B2277">
              <w:t>Brez poseganja v druge določbe, ki se uporabljajo za kmetijske proizvode, in določbe, ki so bile sprejete v veterinarskem, fitosanitarnem in živilskem sektorju za zagotovitev, da proizvodi ustrezajo higienskim in zdravstvenim standardom, in za zaščito zdravja živali, rastlin in ljudi</w:t>
            </w:r>
            <w:r w:rsidRPr="003B2277">
              <w:rPr>
                <w:b/>
                <w:i/>
              </w:rPr>
              <w:t xml:space="preserve"> ter za zagotovitev lojalne konkurence med evropskimi proizvajalci in proizvajalci iz tretjih držav</w:t>
            </w:r>
            <w:r w:rsidRPr="003B2277">
              <w:t>, so v tem oddelku določena pravila o tržnih standardih.</w:t>
            </w:r>
          </w:p>
        </w:tc>
      </w:tr>
    </w:tbl>
    <w:p w14:paraId="4E27A039" w14:textId="58CD75FA" w:rsidR="006F5BFE" w:rsidRDefault="006F5BFE" w:rsidP="006F5BFE"/>
    <w:p w14:paraId="5D33E92F" w14:textId="17BDD553" w:rsidR="007E5F3B" w:rsidRDefault="007E5F3B" w:rsidP="006F5BFE"/>
    <w:p w14:paraId="681B743D" w14:textId="3BA695B8" w:rsidR="007E5F3B" w:rsidRPr="00387264" w:rsidRDefault="008C7773" w:rsidP="007E5F3B">
      <w:pPr>
        <w:pStyle w:val="AmNumberTabs0"/>
      </w:pPr>
      <w:r>
        <w:t>Sprememba</w:t>
      </w:r>
      <w:r w:rsidR="007E5F3B" w:rsidRPr="00387264">
        <w:tab/>
      </w:r>
      <w:r w:rsidR="007E5F3B" w:rsidRPr="00387264">
        <w:tab/>
        <w:t>234</w:t>
      </w:r>
    </w:p>
    <w:p w14:paraId="00473616" w14:textId="77777777" w:rsidR="007E5F3B" w:rsidRPr="00387264" w:rsidRDefault="007E5F3B" w:rsidP="007E5F3B">
      <w:pPr>
        <w:pStyle w:val="NormalBold12b"/>
      </w:pPr>
      <w:r w:rsidRPr="00387264">
        <w:t>Predlog uredbe</w:t>
      </w:r>
    </w:p>
    <w:p w14:paraId="46F28903" w14:textId="1D636C54" w:rsidR="007E5F3B" w:rsidRPr="00387264" w:rsidRDefault="007E5F3B" w:rsidP="007E5F3B">
      <w:pPr>
        <w:pStyle w:val="NormalBold"/>
      </w:pPr>
      <w:r w:rsidRPr="00387264">
        <w:t xml:space="preserve">Člen 1 – odstavek 1 – </w:t>
      </w:r>
      <w:r w:rsidR="00174C31">
        <w:t>točka 5 g</w:t>
      </w:r>
      <w:r w:rsidRPr="00387264">
        <w:t xml:space="preserve"> (novo)</w:t>
      </w:r>
    </w:p>
    <w:p w14:paraId="617F1992" w14:textId="77777777" w:rsidR="007E5F3B" w:rsidRPr="00387264" w:rsidRDefault="007E5F3B" w:rsidP="007E5F3B">
      <w:r w:rsidRPr="00387264">
        <w:t>Uredba (EU) št. 1308/2013</w:t>
      </w:r>
    </w:p>
    <w:p w14:paraId="6404EA53" w14:textId="77777777" w:rsidR="007E5F3B" w:rsidRPr="00387264" w:rsidRDefault="007E5F3B" w:rsidP="007E5F3B">
      <w:r w:rsidRPr="00387264">
        <w:t>Člen 75</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387264" w14:paraId="780BE4EF" w14:textId="77777777" w:rsidTr="007E5F3B">
        <w:trPr>
          <w:jc w:val="center"/>
        </w:trPr>
        <w:tc>
          <w:tcPr>
            <w:tcW w:w="9752" w:type="dxa"/>
            <w:gridSpan w:val="2"/>
          </w:tcPr>
          <w:p w14:paraId="2B9E6EC2" w14:textId="77777777" w:rsidR="007E5F3B" w:rsidRPr="00387264" w:rsidRDefault="007E5F3B" w:rsidP="007E5F3B">
            <w:pPr>
              <w:keepNext/>
            </w:pPr>
          </w:p>
        </w:tc>
      </w:tr>
      <w:tr w:rsidR="007E5F3B" w:rsidRPr="00387264" w14:paraId="3F6CC63A" w14:textId="77777777" w:rsidTr="007E5F3B">
        <w:trPr>
          <w:jc w:val="center"/>
        </w:trPr>
        <w:tc>
          <w:tcPr>
            <w:tcW w:w="4876" w:type="dxa"/>
          </w:tcPr>
          <w:p w14:paraId="7B5AAA91" w14:textId="77777777" w:rsidR="007E5F3B" w:rsidRPr="00387264" w:rsidRDefault="007E5F3B" w:rsidP="007E5F3B">
            <w:pPr>
              <w:pStyle w:val="ColumnHeading"/>
              <w:keepNext/>
            </w:pPr>
            <w:r w:rsidRPr="00387264">
              <w:t>Veljavno besedilo</w:t>
            </w:r>
          </w:p>
        </w:tc>
        <w:tc>
          <w:tcPr>
            <w:tcW w:w="4876" w:type="dxa"/>
          </w:tcPr>
          <w:p w14:paraId="604E85B8" w14:textId="775F3096" w:rsidR="007E5F3B" w:rsidRPr="00387264" w:rsidRDefault="008C7773" w:rsidP="007E5F3B">
            <w:pPr>
              <w:pStyle w:val="ColumnHeading"/>
              <w:keepNext/>
            </w:pPr>
            <w:r>
              <w:t>Sprememba</w:t>
            </w:r>
          </w:p>
        </w:tc>
      </w:tr>
      <w:tr w:rsidR="007E5F3B" w:rsidRPr="00387264" w14:paraId="0AB65F23" w14:textId="77777777" w:rsidTr="007E5F3B">
        <w:trPr>
          <w:jc w:val="center"/>
        </w:trPr>
        <w:tc>
          <w:tcPr>
            <w:tcW w:w="4876" w:type="dxa"/>
          </w:tcPr>
          <w:p w14:paraId="4AFD6581" w14:textId="77777777" w:rsidR="007E5F3B" w:rsidRPr="00387264" w:rsidRDefault="007E5F3B" w:rsidP="007E5F3B">
            <w:pPr>
              <w:pStyle w:val="Normal6"/>
            </w:pPr>
          </w:p>
        </w:tc>
        <w:tc>
          <w:tcPr>
            <w:tcW w:w="4876" w:type="dxa"/>
          </w:tcPr>
          <w:p w14:paraId="762BD5CF" w14:textId="4F595090" w:rsidR="007E5F3B" w:rsidRPr="00387264" w:rsidRDefault="00174C31" w:rsidP="007E5F3B">
            <w:pPr>
              <w:pStyle w:val="Normal6"/>
              <w:rPr>
                <w:szCs w:val="24"/>
              </w:rPr>
            </w:pPr>
            <w:r>
              <w:rPr>
                <w:b/>
                <w:i/>
              </w:rPr>
              <w:t>(5g</w:t>
            </w:r>
            <w:r w:rsidR="007E5F3B" w:rsidRPr="00387264">
              <w:rPr>
                <w:b/>
                <w:i/>
              </w:rPr>
              <w:t>)</w:t>
            </w:r>
            <w:r w:rsidR="007E5F3B" w:rsidRPr="00387264">
              <w:rPr>
                <w:b/>
                <w:i/>
              </w:rPr>
              <w:tab/>
              <w:t>člen 75 se nadomesti z naslednjim:</w:t>
            </w:r>
          </w:p>
        </w:tc>
      </w:tr>
      <w:tr w:rsidR="007E5F3B" w:rsidRPr="00387264" w14:paraId="634523B9" w14:textId="77777777" w:rsidTr="007E5F3B">
        <w:trPr>
          <w:jc w:val="center"/>
        </w:trPr>
        <w:tc>
          <w:tcPr>
            <w:tcW w:w="4876" w:type="dxa"/>
          </w:tcPr>
          <w:p w14:paraId="116C7BCA" w14:textId="77777777" w:rsidR="007E5F3B" w:rsidRPr="00387264" w:rsidRDefault="007E5F3B" w:rsidP="007E5F3B">
            <w:pPr>
              <w:pStyle w:val="Normal6"/>
              <w:jc w:val="center"/>
            </w:pPr>
            <w:r w:rsidRPr="00387264">
              <w:t>Člen 75</w:t>
            </w:r>
          </w:p>
        </w:tc>
        <w:tc>
          <w:tcPr>
            <w:tcW w:w="4876" w:type="dxa"/>
          </w:tcPr>
          <w:p w14:paraId="09D59F18" w14:textId="77777777" w:rsidR="007E5F3B" w:rsidRPr="00387264" w:rsidRDefault="007E5F3B" w:rsidP="007E5F3B">
            <w:pPr>
              <w:pStyle w:val="Normal6"/>
              <w:rPr>
                <w:szCs w:val="24"/>
              </w:rPr>
            </w:pPr>
            <w:r w:rsidRPr="00387264">
              <w:t>„Člen 75</w:t>
            </w:r>
          </w:p>
        </w:tc>
      </w:tr>
      <w:tr w:rsidR="007E5F3B" w:rsidRPr="00387264" w14:paraId="20496F36" w14:textId="77777777" w:rsidTr="007E5F3B">
        <w:trPr>
          <w:jc w:val="center"/>
        </w:trPr>
        <w:tc>
          <w:tcPr>
            <w:tcW w:w="4876" w:type="dxa"/>
          </w:tcPr>
          <w:p w14:paraId="6E785F66" w14:textId="77777777" w:rsidR="007E5F3B" w:rsidRPr="00387264" w:rsidRDefault="007E5F3B" w:rsidP="007E5F3B">
            <w:pPr>
              <w:pStyle w:val="Normal6"/>
            </w:pPr>
            <w:r w:rsidRPr="00387264">
              <w:t>Določitev in vsebina</w:t>
            </w:r>
          </w:p>
        </w:tc>
        <w:tc>
          <w:tcPr>
            <w:tcW w:w="4876" w:type="dxa"/>
          </w:tcPr>
          <w:p w14:paraId="1AF0BB2D" w14:textId="77777777" w:rsidR="007E5F3B" w:rsidRPr="00387264" w:rsidRDefault="007E5F3B" w:rsidP="007E5F3B">
            <w:pPr>
              <w:pStyle w:val="Normal6"/>
              <w:rPr>
                <w:szCs w:val="24"/>
              </w:rPr>
            </w:pPr>
            <w:r w:rsidRPr="00387264">
              <w:t>Določitev in vsebina</w:t>
            </w:r>
          </w:p>
        </w:tc>
      </w:tr>
      <w:tr w:rsidR="007E5F3B" w:rsidRPr="00387264" w14:paraId="76661EA6" w14:textId="77777777" w:rsidTr="007E5F3B">
        <w:trPr>
          <w:jc w:val="center"/>
        </w:trPr>
        <w:tc>
          <w:tcPr>
            <w:tcW w:w="4876" w:type="dxa"/>
          </w:tcPr>
          <w:p w14:paraId="3C3C377F" w14:textId="77777777" w:rsidR="007E5F3B" w:rsidRPr="00387264" w:rsidRDefault="007E5F3B" w:rsidP="007E5F3B">
            <w:pPr>
              <w:pStyle w:val="Normal6"/>
            </w:pPr>
            <w:r w:rsidRPr="00387264">
              <w:t>1.</w:t>
            </w:r>
            <w:r w:rsidRPr="00387264">
              <w:tab/>
              <w:t>Tržni standardi se lahko uporabljajo za enega ali več navedenih sektorjev in proizvodov:</w:t>
            </w:r>
          </w:p>
        </w:tc>
        <w:tc>
          <w:tcPr>
            <w:tcW w:w="4876" w:type="dxa"/>
          </w:tcPr>
          <w:p w14:paraId="6D29C48C" w14:textId="77777777" w:rsidR="007E5F3B" w:rsidRPr="00387264" w:rsidRDefault="007E5F3B" w:rsidP="007E5F3B">
            <w:pPr>
              <w:pStyle w:val="Normal6"/>
              <w:rPr>
                <w:szCs w:val="24"/>
              </w:rPr>
            </w:pPr>
            <w:r w:rsidRPr="00387264">
              <w:t>1.</w:t>
            </w:r>
            <w:r w:rsidRPr="00387264">
              <w:tab/>
              <w:t>Tržni standardi se lahko uporabljajo za enega ali več navedenih sektorjev in proizvodov:</w:t>
            </w:r>
          </w:p>
        </w:tc>
      </w:tr>
      <w:tr w:rsidR="007E5F3B" w:rsidRPr="00387264" w14:paraId="32DAEA61" w14:textId="77777777" w:rsidTr="007E5F3B">
        <w:trPr>
          <w:jc w:val="center"/>
        </w:trPr>
        <w:tc>
          <w:tcPr>
            <w:tcW w:w="4876" w:type="dxa"/>
          </w:tcPr>
          <w:p w14:paraId="46B2C6CE" w14:textId="77777777" w:rsidR="007E5F3B" w:rsidRPr="00387264" w:rsidRDefault="007E5F3B" w:rsidP="007E5F3B">
            <w:pPr>
              <w:pStyle w:val="Normal6"/>
            </w:pPr>
            <w:r w:rsidRPr="00387264">
              <w:t>(a)</w:t>
            </w:r>
            <w:r w:rsidRPr="00387264">
              <w:tab/>
              <w:t>oljčno olje in namizne oljke;</w:t>
            </w:r>
          </w:p>
        </w:tc>
        <w:tc>
          <w:tcPr>
            <w:tcW w:w="4876" w:type="dxa"/>
          </w:tcPr>
          <w:p w14:paraId="5381BA75" w14:textId="77777777" w:rsidR="007E5F3B" w:rsidRPr="00387264" w:rsidRDefault="007E5F3B" w:rsidP="007E5F3B">
            <w:pPr>
              <w:pStyle w:val="Normal6"/>
              <w:rPr>
                <w:szCs w:val="24"/>
              </w:rPr>
            </w:pPr>
            <w:r w:rsidRPr="00387264">
              <w:t>(a)</w:t>
            </w:r>
            <w:r w:rsidRPr="00387264">
              <w:tab/>
              <w:t>oljčno olje in namizne oljke;</w:t>
            </w:r>
          </w:p>
        </w:tc>
      </w:tr>
      <w:tr w:rsidR="007E5F3B" w:rsidRPr="00387264" w14:paraId="313B165A" w14:textId="77777777" w:rsidTr="007E5F3B">
        <w:trPr>
          <w:jc w:val="center"/>
        </w:trPr>
        <w:tc>
          <w:tcPr>
            <w:tcW w:w="4876" w:type="dxa"/>
          </w:tcPr>
          <w:p w14:paraId="135E56D8" w14:textId="77777777" w:rsidR="007E5F3B" w:rsidRPr="00387264" w:rsidRDefault="007E5F3B" w:rsidP="007E5F3B">
            <w:pPr>
              <w:pStyle w:val="Normal6"/>
            </w:pPr>
            <w:r w:rsidRPr="00387264">
              <w:t>(b)</w:t>
            </w:r>
            <w:r w:rsidRPr="00387264">
              <w:tab/>
              <w:t>sadje in zelenjavo;</w:t>
            </w:r>
          </w:p>
        </w:tc>
        <w:tc>
          <w:tcPr>
            <w:tcW w:w="4876" w:type="dxa"/>
          </w:tcPr>
          <w:p w14:paraId="25365A83" w14:textId="77777777" w:rsidR="007E5F3B" w:rsidRPr="00387264" w:rsidRDefault="007E5F3B" w:rsidP="007E5F3B">
            <w:pPr>
              <w:pStyle w:val="Normal6"/>
              <w:rPr>
                <w:szCs w:val="24"/>
              </w:rPr>
            </w:pPr>
            <w:r w:rsidRPr="00387264">
              <w:t>(b)</w:t>
            </w:r>
            <w:r w:rsidRPr="00387264">
              <w:tab/>
              <w:t>sadje in zelenjavo;</w:t>
            </w:r>
          </w:p>
        </w:tc>
      </w:tr>
      <w:tr w:rsidR="007E5F3B" w:rsidRPr="00387264" w14:paraId="29AC904C" w14:textId="77777777" w:rsidTr="007E5F3B">
        <w:trPr>
          <w:jc w:val="center"/>
        </w:trPr>
        <w:tc>
          <w:tcPr>
            <w:tcW w:w="4876" w:type="dxa"/>
          </w:tcPr>
          <w:p w14:paraId="42D54E77" w14:textId="77777777" w:rsidR="007E5F3B" w:rsidRPr="00387264" w:rsidRDefault="007E5F3B" w:rsidP="007E5F3B">
            <w:pPr>
              <w:pStyle w:val="Normal6"/>
            </w:pPr>
            <w:r w:rsidRPr="00387264">
              <w:t>(c)</w:t>
            </w:r>
            <w:r w:rsidRPr="00387264">
              <w:tab/>
              <w:t>proizvode iz predelanega sadja in zelenjave;</w:t>
            </w:r>
          </w:p>
        </w:tc>
        <w:tc>
          <w:tcPr>
            <w:tcW w:w="4876" w:type="dxa"/>
          </w:tcPr>
          <w:p w14:paraId="0C3007EC" w14:textId="77777777" w:rsidR="007E5F3B" w:rsidRPr="00387264" w:rsidRDefault="007E5F3B" w:rsidP="007E5F3B">
            <w:pPr>
              <w:pStyle w:val="Normal6"/>
              <w:rPr>
                <w:szCs w:val="24"/>
              </w:rPr>
            </w:pPr>
            <w:r w:rsidRPr="00387264">
              <w:t>(c)</w:t>
            </w:r>
            <w:r w:rsidRPr="00387264">
              <w:tab/>
              <w:t>proizvode iz predelanega sadja in zelenjave;</w:t>
            </w:r>
          </w:p>
        </w:tc>
      </w:tr>
      <w:tr w:rsidR="007E5F3B" w:rsidRPr="00387264" w14:paraId="3CB2A86A" w14:textId="77777777" w:rsidTr="007E5F3B">
        <w:trPr>
          <w:jc w:val="center"/>
        </w:trPr>
        <w:tc>
          <w:tcPr>
            <w:tcW w:w="4876" w:type="dxa"/>
          </w:tcPr>
          <w:p w14:paraId="5C2889DA" w14:textId="77777777" w:rsidR="007E5F3B" w:rsidRPr="00387264" w:rsidRDefault="007E5F3B" w:rsidP="007E5F3B">
            <w:pPr>
              <w:pStyle w:val="Normal6"/>
            </w:pPr>
            <w:r w:rsidRPr="00387264">
              <w:t>(d)</w:t>
            </w:r>
            <w:r w:rsidRPr="00387264">
              <w:tab/>
              <w:t>banane;</w:t>
            </w:r>
          </w:p>
        </w:tc>
        <w:tc>
          <w:tcPr>
            <w:tcW w:w="4876" w:type="dxa"/>
          </w:tcPr>
          <w:p w14:paraId="1A3D4CA9" w14:textId="77777777" w:rsidR="007E5F3B" w:rsidRPr="00387264" w:rsidRDefault="007E5F3B" w:rsidP="007E5F3B">
            <w:pPr>
              <w:pStyle w:val="Normal6"/>
              <w:rPr>
                <w:szCs w:val="24"/>
              </w:rPr>
            </w:pPr>
            <w:r w:rsidRPr="00387264">
              <w:t>(d)</w:t>
            </w:r>
            <w:r w:rsidRPr="00387264">
              <w:tab/>
              <w:t>banane;</w:t>
            </w:r>
          </w:p>
        </w:tc>
      </w:tr>
      <w:tr w:rsidR="007E5F3B" w:rsidRPr="00387264" w14:paraId="3AC4D0F6" w14:textId="77777777" w:rsidTr="007E5F3B">
        <w:trPr>
          <w:jc w:val="center"/>
        </w:trPr>
        <w:tc>
          <w:tcPr>
            <w:tcW w:w="4876" w:type="dxa"/>
          </w:tcPr>
          <w:p w14:paraId="2CF3CD1D" w14:textId="77777777" w:rsidR="007E5F3B" w:rsidRPr="00387264" w:rsidRDefault="007E5F3B" w:rsidP="007E5F3B">
            <w:pPr>
              <w:pStyle w:val="Normal6"/>
            </w:pPr>
            <w:r w:rsidRPr="00387264">
              <w:t>(e)</w:t>
            </w:r>
            <w:r w:rsidRPr="00387264">
              <w:tab/>
              <w:t>žive rastline;</w:t>
            </w:r>
          </w:p>
        </w:tc>
        <w:tc>
          <w:tcPr>
            <w:tcW w:w="4876" w:type="dxa"/>
          </w:tcPr>
          <w:p w14:paraId="2010ACE0" w14:textId="77777777" w:rsidR="007E5F3B" w:rsidRPr="00387264" w:rsidRDefault="007E5F3B" w:rsidP="007E5F3B">
            <w:pPr>
              <w:pStyle w:val="Normal6"/>
              <w:rPr>
                <w:szCs w:val="24"/>
              </w:rPr>
            </w:pPr>
            <w:r w:rsidRPr="00387264">
              <w:t>(e)</w:t>
            </w:r>
            <w:r w:rsidRPr="00387264">
              <w:tab/>
              <w:t>žive rastline;</w:t>
            </w:r>
          </w:p>
        </w:tc>
      </w:tr>
      <w:tr w:rsidR="007E5F3B" w:rsidRPr="00387264" w14:paraId="2374AB74" w14:textId="77777777" w:rsidTr="007E5F3B">
        <w:trPr>
          <w:jc w:val="center"/>
        </w:trPr>
        <w:tc>
          <w:tcPr>
            <w:tcW w:w="4876" w:type="dxa"/>
          </w:tcPr>
          <w:p w14:paraId="2B914110" w14:textId="77777777" w:rsidR="007E5F3B" w:rsidRPr="00387264" w:rsidRDefault="007E5F3B" w:rsidP="007E5F3B">
            <w:pPr>
              <w:pStyle w:val="Normal6"/>
            </w:pPr>
            <w:r w:rsidRPr="00387264">
              <w:t>(f)</w:t>
            </w:r>
            <w:r w:rsidRPr="00387264">
              <w:tab/>
              <w:t>jajca;</w:t>
            </w:r>
          </w:p>
        </w:tc>
        <w:tc>
          <w:tcPr>
            <w:tcW w:w="4876" w:type="dxa"/>
          </w:tcPr>
          <w:p w14:paraId="7E79D887" w14:textId="77777777" w:rsidR="007E5F3B" w:rsidRPr="00387264" w:rsidRDefault="007E5F3B" w:rsidP="007E5F3B">
            <w:pPr>
              <w:pStyle w:val="Normal6"/>
              <w:rPr>
                <w:szCs w:val="24"/>
              </w:rPr>
            </w:pPr>
            <w:r w:rsidRPr="00387264">
              <w:t>(f)</w:t>
            </w:r>
            <w:r w:rsidRPr="00387264">
              <w:tab/>
              <w:t>jajca;</w:t>
            </w:r>
          </w:p>
        </w:tc>
      </w:tr>
      <w:tr w:rsidR="007E5F3B" w:rsidRPr="00387264" w14:paraId="7BB0C8A1" w14:textId="77777777" w:rsidTr="007E5F3B">
        <w:trPr>
          <w:jc w:val="center"/>
        </w:trPr>
        <w:tc>
          <w:tcPr>
            <w:tcW w:w="4876" w:type="dxa"/>
          </w:tcPr>
          <w:p w14:paraId="4DE25715" w14:textId="77777777" w:rsidR="007E5F3B" w:rsidRPr="00387264" w:rsidRDefault="007E5F3B" w:rsidP="007E5F3B">
            <w:pPr>
              <w:pStyle w:val="Normal6"/>
            </w:pPr>
            <w:r w:rsidRPr="00387264">
              <w:t>(g)</w:t>
            </w:r>
            <w:r w:rsidRPr="00387264">
              <w:tab/>
              <w:t>perutninsko meso;</w:t>
            </w:r>
          </w:p>
        </w:tc>
        <w:tc>
          <w:tcPr>
            <w:tcW w:w="4876" w:type="dxa"/>
          </w:tcPr>
          <w:p w14:paraId="7F33A794" w14:textId="77777777" w:rsidR="007E5F3B" w:rsidRPr="00387264" w:rsidRDefault="007E5F3B" w:rsidP="007E5F3B">
            <w:pPr>
              <w:pStyle w:val="Normal6"/>
              <w:rPr>
                <w:szCs w:val="24"/>
              </w:rPr>
            </w:pPr>
            <w:r w:rsidRPr="00387264">
              <w:t>(g)</w:t>
            </w:r>
            <w:r w:rsidRPr="00387264">
              <w:tab/>
              <w:t>perutninsko meso;</w:t>
            </w:r>
          </w:p>
        </w:tc>
      </w:tr>
      <w:tr w:rsidR="007E5F3B" w:rsidRPr="00387264" w14:paraId="7DD83600" w14:textId="77777777" w:rsidTr="007E5F3B">
        <w:trPr>
          <w:jc w:val="center"/>
        </w:trPr>
        <w:tc>
          <w:tcPr>
            <w:tcW w:w="4876" w:type="dxa"/>
          </w:tcPr>
          <w:p w14:paraId="480DD009" w14:textId="77777777" w:rsidR="007E5F3B" w:rsidRPr="00387264" w:rsidRDefault="007E5F3B" w:rsidP="007E5F3B">
            <w:pPr>
              <w:pStyle w:val="Normal6"/>
            </w:pPr>
            <w:r w:rsidRPr="00387264">
              <w:t>(h)</w:t>
            </w:r>
            <w:r w:rsidRPr="00387264">
              <w:tab/>
              <w:t>mazave maščobe, namenjene za prehrano ljudi;</w:t>
            </w:r>
          </w:p>
        </w:tc>
        <w:tc>
          <w:tcPr>
            <w:tcW w:w="4876" w:type="dxa"/>
          </w:tcPr>
          <w:p w14:paraId="54F2B35F" w14:textId="77777777" w:rsidR="007E5F3B" w:rsidRPr="00387264" w:rsidRDefault="007E5F3B" w:rsidP="007E5F3B">
            <w:pPr>
              <w:pStyle w:val="Normal6"/>
              <w:rPr>
                <w:szCs w:val="24"/>
              </w:rPr>
            </w:pPr>
            <w:r w:rsidRPr="00387264">
              <w:t>(h) mazave maščobe, namenjene za prehrano ljudi;</w:t>
            </w:r>
          </w:p>
        </w:tc>
      </w:tr>
      <w:tr w:rsidR="007E5F3B" w:rsidRPr="00387264" w14:paraId="489810F0" w14:textId="77777777" w:rsidTr="007E5F3B">
        <w:trPr>
          <w:jc w:val="center"/>
        </w:trPr>
        <w:tc>
          <w:tcPr>
            <w:tcW w:w="4876" w:type="dxa"/>
          </w:tcPr>
          <w:p w14:paraId="6A9C8CD1" w14:textId="77777777" w:rsidR="007E5F3B" w:rsidRPr="00387264" w:rsidRDefault="007E5F3B" w:rsidP="007E5F3B">
            <w:pPr>
              <w:pStyle w:val="Normal6"/>
            </w:pPr>
            <w:r w:rsidRPr="00387264">
              <w:t>(i)</w:t>
            </w:r>
            <w:r w:rsidRPr="00387264">
              <w:tab/>
              <w:t>hmelj.</w:t>
            </w:r>
          </w:p>
        </w:tc>
        <w:tc>
          <w:tcPr>
            <w:tcW w:w="4876" w:type="dxa"/>
          </w:tcPr>
          <w:p w14:paraId="12D320A5" w14:textId="77777777" w:rsidR="007E5F3B" w:rsidRPr="00387264" w:rsidRDefault="007E5F3B" w:rsidP="007E5F3B">
            <w:pPr>
              <w:pStyle w:val="Normal6"/>
              <w:rPr>
                <w:szCs w:val="24"/>
              </w:rPr>
            </w:pPr>
            <w:r w:rsidRPr="00387264">
              <w:t>(i)</w:t>
            </w:r>
            <w:r w:rsidRPr="00387264">
              <w:tab/>
              <w:t>hmelj</w:t>
            </w:r>
            <w:r w:rsidRPr="00387264">
              <w:rPr>
                <w:b/>
                <w:i/>
              </w:rPr>
              <w:t>;</w:t>
            </w:r>
          </w:p>
        </w:tc>
      </w:tr>
      <w:tr w:rsidR="007E5F3B" w:rsidRPr="00387264" w14:paraId="39D4D039" w14:textId="77777777" w:rsidTr="007E5F3B">
        <w:trPr>
          <w:jc w:val="center"/>
        </w:trPr>
        <w:tc>
          <w:tcPr>
            <w:tcW w:w="4876" w:type="dxa"/>
          </w:tcPr>
          <w:p w14:paraId="0CCEAD78" w14:textId="77777777" w:rsidR="007E5F3B" w:rsidRPr="00387264" w:rsidRDefault="007E5F3B" w:rsidP="007E5F3B">
            <w:pPr>
              <w:pStyle w:val="Normal6"/>
            </w:pPr>
          </w:p>
        </w:tc>
        <w:tc>
          <w:tcPr>
            <w:tcW w:w="4876" w:type="dxa"/>
          </w:tcPr>
          <w:p w14:paraId="6FE185BE" w14:textId="77777777" w:rsidR="007E5F3B" w:rsidRPr="00387264" w:rsidRDefault="007E5F3B" w:rsidP="007E5F3B">
            <w:pPr>
              <w:pStyle w:val="Normal6"/>
              <w:rPr>
                <w:b/>
                <w:i/>
              </w:rPr>
            </w:pPr>
            <w:r w:rsidRPr="00387264">
              <w:rPr>
                <w:b/>
                <w:i/>
              </w:rPr>
              <w:t>(ia)</w:t>
            </w:r>
            <w:r w:rsidRPr="00387264">
              <w:rPr>
                <w:b/>
                <w:i/>
              </w:rPr>
              <w:tab/>
              <w:t>riž;</w:t>
            </w:r>
          </w:p>
        </w:tc>
      </w:tr>
      <w:tr w:rsidR="007E5F3B" w:rsidRPr="00387264" w14:paraId="113FF8D9" w14:textId="77777777" w:rsidTr="007E5F3B">
        <w:trPr>
          <w:jc w:val="center"/>
        </w:trPr>
        <w:tc>
          <w:tcPr>
            <w:tcW w:w="4876" w:type="dxa"/>
          </w:tcPr>
          <w:p w14:paraId="3444DA79" w14:textId="77777777" w:rsidR="007E5F3B" w:rsidRPr="00387264" w:rsidRDefault="007E5F3B" w:rsidP="007E5F3B">
            <w:pPr>
              <w:pStyle w:val="Normal6"/>
            </w:pPr>
          </w:p>
        </w:tc>
        <w:tc>
          <w:tcPr>
            <w:tcW w:w="4876" w:type="dxa"/>
          </w:tcPr>
          <w:p w14:paraId="507E1D89" w14:textId="77777777" w:rsidR="007E5F3B" w:rsidRPr="00387264" w:rsidRDefault="007E5F3B" w:rsidP="007E5F3B">
            <w:pPr>
              <w:pStyle w:val="Normal6"/>
              <w:rPr>
                <w:b/>
                <w:i/>
              </w:rPr>
            </w:pPr>
            <w:r w:rsidRPr="00387264">
              <w:rPr>
                <w:b/>
                <w:i/>
              </w:rPr>
              <w:t>(ib)</w:t>
            </w:r>
            <w:r w:rsidRPr="00387264">
              <w:rPr>
                <w:b/>
                <w:i/>
              </w:rPr>
              <w:tab/>
              <w:t>mleko in mlečne proizvode;</w:t>
            </w:r>
          </w:p>
        </w:tc>
      </w:tr>
      <w:tr w:rsidR="007E5F3B" w:rsidRPr="00387264" w14:paraId="3CEE372C" w14:textId="77777777" w:rsidTr="007E5F3B">
        <w:trPr>
          <w:jc w:val="center"/>
        </w:trPr>
        <w:tc>
          <w:tcPr>
            <w:tcW w:w="4876" w:type="dxa"/>
          </w:tcPr>
          <w:p w14:paraId="5E3A5BC5" w14:textId="77777777" w:rsidR="007E5F3B" w:rsidRPr="00387264" w:rsidRDefault="007E5F3B" w:rsidP="007E5F3B">
            <w:pPr>
              <w:pStyle w:val="Normal6"/>
            </w:pPr>
          </w:p>
        </w:tc>
        <w:tc>
          <w:tcPr>
            <w:tcW w:w="4876" w:type="dxa"/>
          </w:tcPr>
          <w:p w14:paraId="7FDF8495" w14:textId="77777777" w:rsidR="007E5F3B" w:rsidRPr="00387264" w:rsidRDefault="007E5F3B" w:rsidP="007E5F3B">
            <w:pPr>
              <w:pStyle w:val="Normal6"/>
              <w:rPr>
                <w:b/>
                <w:i/>
              </w:rPr>
            </w:pPr>
            <w:r w:rsidRPr="00387264">
              <w:rPr>
                <w:b/>
                <w:i/>
              </w:rPr>
              <w:t>(ic)</w:t>
            </w:r>
            <w:r w:rsidRPr="00387264">
              <w:rPr>
                <w:b/>
                <w:i/>
              </w:rPr>
              <w:tab/>
              <w:t>med in čebelarske proizvode;</w:t>
            </w:r>
          </w:p>
        </w:tc>
      </w:tr>
      <w:tr w:rsidR="007E5F3B" w:rsidRPr="00387264" w14:paraId="32AF229C" w14:textId="77777777" w:rsidTr="007E5F3B">
        <w:trPr>
          <w:jc w:val="center"/>
        </w:trPr>
        <w:tc>
          <w:tcPr>
            <w:tcW w:w="4876" w:type="dxa"/>
          </w:tcPr>
          <w:p w14:paraId="19C77452" w14:textId="77777777" w:rsidR="007E5F3B" w:rsidRPr="00387264" w:rsidRDefault="007E5F3B" w:rsidP="007E5F3B">
            <w:pPr>
              <w:pStyle w:val="Normal6"/>
            </w:pPr>
          </w:p>
        </w:tc>
        <w:tc>
          <w:tcPr>
            <w:tcW w:w="4876" w:type="dxa"/>
          </w:tcPr>
          <w:p w14:paraId="13C61F65" w14:textId="77777777" w:rsidR="007E5F3B" w:rsidRPr="00387264" w:rsidRDefault="007E5F3B" w:rsidP="007E5F3B">
            <w:pPr>
              <w:pStyle w:val="Normal6"/>
              <w:rPr>
                <w:b/>
                <w:i/>
              </w:rPr>
            </w:pPr>
            <w:r w:rsidRPr="00387264">
              <w:rPr>
                <w:b/>
                <w:i/>
              </w:rPr>
              <w:t>(id)</w:t>
            </w:r>
            <w:r w:rsidRPr="00387264">
              <w:rPr>
                <w:b/>
                <w:i/>
              </w:rPr>
              <w:tab/>
              <w:t>goveje in telečje meso;</w:t>
            </w:r>
          </w:p>
        </w:tc>
      </w:tr>
      <w:tr w:rsidR="007E5F3B" w:rsidRPr="00387264" w14:paraId="0142CAFE" w14:textId="77777777" w:rsidTr="007E5F3B">
        <w:trPr>
          <w:jc w:val="center"/>
        </w:trPr>
        <w:tc>
          <w:tcPr>
            <w:tcW w:w="4876" w:type="dxa"/>
          </w:tcPr>
          <w:p w14:paraId="03CF8800" w14:textId="77777777" w:rsidR="007E5F3B" w:rsidRPr="00387264" w:rsidRDefault="007E5F3B" w:rsidP="007E5F3B">
            <w:pPr>
              <w:pStyle w:val="Normal6"/>
            </w:pPr>
          </w:p>
        </w:tc>
        <w:tc>
          <w:tcPr>
            <w:tcW w:w="4876" w:type="dxa"/>
          </w:tcPr>
          <w:p w14:paraId="4BA12CDC" w14:textId="77777777" w:rsidR="007E5F3B" w:rsidRPr="00387264" w:rsidRDefault="007E5F3B" w:rsidP="007E5F3B">
            <w:pPr>
              <w:pStyle w:val="Normal6"/>
              <w:rPr>
                <w:b/>
                <w:i/>
              </w:rPr>
            </w:pPr>
            <w:r w:rsidRPr="00387264">
              <w:rPr>
                <w:b/>
                <w:i/>
              </w:rPr>
              <w:t>(ie)</w:t>
            </w:r>
            <w:r w:rsidRPr="00387264">
              <w:rPr>
                <w:b/>
                <w:i/>
              </w:rPr>
              <w:tab/>
              <w:t>ovčje meso;</w:t>
            </w:r>
          </w:p>
        </w:tc>
      </w:tr>
      <w:tr w:rsidR="007E5F3B" w:rsidRPr="00387264" w14:paraId="4EED0C72" w14:textId="77777777" w:rsidTr="007E5F3B">
        <w:trPr>
          <w:jc w:val="center"/>
        </w:trPr>
        <w:tc>
          <w:tcPr>
            <w:tcW w:w="4876" w:type="dxa"/>
          </w:tcPr>
          <w:p w14:paraId="7A72284B" w14:textId="77777777" w:rsidR="007E5F3B" w:rsidRPr="00387264" w:rsidRDefault="007E5F3B" w:rsidP="007E5F3B">
            <w:pPr>
              <w:pStyle w:val="Normal6"/>
            </w:pPr>
          </w:p>
        </w:tc>
        <w:tc>
          <w:tcPr>
            <w:tcW w:w="4876" w:type="dxa"/>
          </w:tcPr>
          <w:p w14:paraId="0880C408" w14:textId="77777777" w:rsidR="007E5F3B" w:rsidRPr="00387264" w:rsidRDefault="007E5F3B" w:rsidP="007E5F3B">
            <w:pPr>
              <w:pStyle w:val="Normal6"/>
              <w:rPr>
                <w:b/>
                <w:i/>
              </w:rPr>
            </w:pPr>
            <w:r w:rsidRPr="00387264">
              <w:rPr>
                <w:b/>
                <w:i/>
              </w:rPr>
              <w:t>(if)</w:t>
            </w:r>
            <w:r w:rsidRPr="00387264">
              <w:rPr>
                <w:b/>
                <w:i/>
              </w:rPr>
              <w:tab/>
              <w:t>prašičje meso</w:t>
            </w:r>
            <w:r w:rsidRPr="00387264">
              <w:t>.</w:t>
            </w:r>
          </w:p>
        </w:tc>
      </w:tr>
      <w:tr w:rsidR="007E5F3B" w:rsidRPr="00387264" w14:paraId="0EBF09E1" w14:textId="77777777" w:rsidTr="007E5F3B">
        <w:trPr>
          <w:jc w:val="center"/>
        </w:trPr>
        <w:tc>
          <w:tcPr>
            <w:tcW w:w="4876" w:type="dxa"/>
          </w:tcPr>
          <w:p w14:paraId="77034B53" w14:textId="77777777" w:rsidR="007E5F3B" w:rsidRPr="00387264" w:rsidRDefault="007E5F3B" w:rsidP="007E5F3B">
            <w:pPr>
              <w:pStyle w:val="Normal6"/>
            </w:pPr>
          </w:p>
        </w:tc>
        <w:tc>
          <w:tcPr>
            <w:tcW w:w="4876" w:type="dxa"/>
          </w:tcPr>
          <w:p w14:paraId="546DAE28" w14:textId="77777777" w:rsidR="007E5F3B" w:rsidRPr="00387264" w:rsidRDefault="007E5F3B" w:rsidP="007E5F3B">
            <w:r w:rsidRPr="00387264">
              <w:rPr>
                <w:b/>
                <w:i/>
              </w:rPr>
              <w:t>(ig)</w:t>
            </w:r>
            <w:r w:rsidRPr="00387264">
              <w:rPr>
                <w:b/>
                <w:i/>
              </w:rPr>
              <w:tab/>
              <w:t>konopljo</w:t>
            </w:r>
            <w:r w:rsidRPr="00387264">
              <w:t>.</w:t>
            </w:r>
          </w:p>
        </w:tc>
      </w:tr>
      <w:tr w:rsidR="007E5F3B" w:rsidRPr="00387264" w14:paraId="698CEF4A" w14:textId="77777777" w:rsidTr="007E5F3B">
        <w:trPr>
          <w:jc w:val="center"/>
        </w:trPr>
        <w:tc>
          <w:tcPr>
            <w:tcW w:w="4876" w:type="dxa"/>
          </w:tcPr>
          <w:p w14:paraId="51EAABF1" w14:textId="77777777" w:rsidR="007E5F3B" w:rsidRPr="00387264" w:rsidRDefault="007E5F3B" w:rsidP="007E5F3B">
            <w:pPr>
              <w:pStyle w:val="Normal6"/>
            </w:pPr>
            <w:r w:rsidRPr="00387264">
              <w:t>2.</w:t>
            </w:r>
            <w:r w:rsidRPr="00387264">
              <w:tab/>
              <w:t>Da se upošteva pričakovanja potrošnikov ter izboljša gospodarske pogoje za proizvodnjo in trženje, pa tudi kakovost kmetijskih proizvodov iz odstavkov 1 in 4 tega člena, se na Komisijo prenese pooblastilo za sprejemanje delegiranih aktov v skladu s členom 227 o tržnih standardih po sektorjih ali proizvodih v vseh fazah trženja, pa tudi o odstopanjih in izvzetjih od uporabe takšnih standardov z namenom prilagoditve stalno spreminjajočim se tržnim pogojem, spreminjajočemu se povpraševanju potrošnikov, spremembam ustreznih mednarodnih standardov in preprečitve nastajanja ovir za inovacije pri proizvodih.</w:t>
            </w:r>
          </w:p>
        </w:tc>
        <w:tc>
          <w:tcPr>
            <w:tcW w:w="4876" w:type="dxa"/>
          </w:tcPr>
          <w:p w14:paraId="32D32706" w14:textId="77777777" w:rsidR="007E5F3B" w:rsidRPr="00387264" w:rsidRDefault="007E5F3B" w:rsidP="007E5F3B">
            <w:pPr>
              <w:pStyle w:val="Normal6"/>
              <w:rPr>
                <w:szCs w:val="24"/>
              </w:rPr>
            </w:pPr>
            <w:r w:rsidRPr="00387264">
              <w:t>2.</w:t>
            </w:r>
            <w:r w:rsidRPr="00387264">
              <w:tab/>
              <w:t>Da se upošteva pričakovanja potrošnikov ter izboljša gospodarske pogoje za proizvodnjo in trženje, pa tudi kakovost kmetijskih proizvodov iz odstavkov 1 in 4 tega člena, se na Komisijo prenese pooblastilo za sprejemanje delegiranih aktov v skladu s členom 227 o tržnih standardih po sektorjih ali proizvodih v vseh fazah trženja, pa tudi o odstopanjih in izvzetjih od uporabe takšnih standardov z namenom prilagoditve stalno spreminjajočim se tržnim pogojem, spreminjajočemu se povpraševanju potrošnikov, spremembam ustreznih mednarodnih standardov in preprečitve nastajanja ovir za inovacije pri proizvodih.</w:t>
            </w:r>
          </w:p>
        </w:tc>
      </w:tr>
      <w:tr w:rsidR="007E5F3B" w:rsidRPr="00387264" w14:paraId="2AA69642" w14:textId="77777777" w:rsidTr="007E5F3B">
        <w:trPr>
          <w:jc w:val="center"/>
        </w:trPr>
        <w:tc>
          <w:tcPr>
            <w:tcW w:w="4876" w:type="dxa"/>
          </w:tcPr>
          <w:p w14:paraId="5EC4C91D" w14:textId="77777777" w:rsidR="007E5F3B" w:rsidRPr="00387264" w:rsidRDefault="007E5F3B" w:rsidP="007E5F3B">
            <w:pPr>
              <w:pStyle w:val="Normal6"/>
            </w:pPr>
            <w:r w:rsidRPr="00387264">
              <w:t>3.</w:t>
            </w:r>
            <w:r w:rsidRPr="00387264">
              <w:tab/>
              <w:t>Brez poseganja v člen 26 Uredbe (EU) št. 1169/2011 Evropskega parlamenta in Sveta (27) lahko tržni standardi iz odstavka 1 zajemajo eno ali več naslednjega, ki se določi na podlagi sektorja ali proizvoda in ob upoštevanju lastnosti posameznega sektorja, potrebe po ureditvi dajanja na trg in pogojev iz odstavka 5 tega člena:</w:t>
            </w:r>
          </w:p>
        </w:tc>
        <w:tc>
          <w:tcPr>
            <w:tcW w:w="4876" w:type="dxa"/>
          </w:tcPr>
          <w:p w14:paraId="3E645891" w14:textId="77777777" w:rsidR="007E5F3B" w:rsidRPr="00387264" w:rsidRDefault="007E5F3B" w:rsidP="007E5F3B">
            <w:pPr>
              <w:pStyle w:val="Normal6"/>
              <w:rPr>
                <w:szCs w:val="24"/>
              </w:rPr>
            </w:pPr>
            <w:r w:rsidRPr="00387264">
              <w:t>3.</w:t>
            </w:r>
            <w:r w:rsidRPr="00387264">
              <w:tab/>
              <w:t>Brez poseganja v člen 26 Uredbe (EU) št. 1169/2011 Evropskega parlamenta in Sveta (27) lahko tržni standardi iz odstavka 1 zajemajo eno ali več naslednjega, ki se določi na podlagi sektorja ali proizvoda in ob upoštevanju lastnosti posameznega sektorja, potrebe po ureditvi dajanja na trg in pogojev iz odstavka 5 tega člena:</w:t>
            </w:r>
          </w:p>
        </w:tc>
      </w:tr>
      <w:tr w:rsidR="007E5F3B" w:rsidRPr="00387264" w14:paraId="76C1D489" w14:textId="77777777" w:rsidTr="007E5F3B">
        <w:trPr>
          <w:jc w:val="center"/>
        </w:trPr>
        <w:tc>
          <w:tcPr>
            <w:tcW w:w="4876" w:type="dxa"/>
          </w:tcPr>
          <w:p w14:paraId="53DF24D0" w14:textId="77777777" w:rsidR="007E5F3B" w:rsidRPr="00387264" w:rsidRDefault="007E5F3B" w:rsidP="007E5F3B">
            <w:pPr>
              <w:pStyle w:val="Normal6"/>
            </w:pPr>
            <w:r w:rsidRPr="00387264">
              <w:t>(a)</w:t>
            </w:r>
            <w:r w:rsidRPr="00387264">
              <w:tab/>
              <w:t>tehnične opredelitve, poimenovanje in prodajne oznake za sektorje, ki niso določeni v členu 78;</w:t>
            </w:r>
          </w:p>
        </w:tc>
        <w:tc>
          <w:tcPr>
            <w:tcW w:w="4876" w:type="dxa"/>
          </w:tcPr>
          <w:p w14:paraId="32941A4D" w14:textId="77777777" w:rsidR="007E5F3B" w:rsidRPr="00387264" w:rsidRDefault="007E5F3B" w:rsidP="007E5F3B">
            <w:pPr>
              <w:pStyle w:val="Normal6"/>
              <w:rPr>
                <w:szCs w:val="24"/>
              </w:rPr>
            </w:pPr>
            <w:r w:rsidRPr="00387264">
              <w:t>(a)</w:t>
            </w:r>
            <w:r w:rsidRPr="00387264">
              <w:tab/>
              <w:t>tehnične opredelitve, poimenovanje in prodajne oznake za sektorje, ki niso določeni v členu 78;</w:t>
            </w:r>
          </w:p>
        </w:tc>
      </w:tr>
      <w:tr w:rsidR="007E5F3B" w:rsidRPr="00387264" w14:paraId="59627516" w14:textId="77777777" w:rsidTr="007E5F3B">
        <w:trPr>
          <w:jc w:val="center"/>
        </w:trPr>
        <w:tc>
          <w:tcPr>
            <w:tcW w:w="4876" w:type="dxa"/>
          </w:tcPr>
          <w:p w14:paraId="05038070" w14:textId="77777777" w:rsidR="007E5F3B" w:rsidRPr="00387264" w:rsidRDefault="007E5F3B" w:rsidP="007E5F3B">
            <w:pPr>
              <w:pStyle w:val="Normal6"/>
            </w:pPr>
            <w:r w:rsidRPr="00387264">
              <w:t>(b)</w:t>
            </w:r>
            <w:r w:rsidRPr="00387264">
              <w:tab/>
              <w:t>merila za razvrščanje, kot je razvrščanje v razrede, po masi, velikosti, starosti in v kategorije;</w:t>
            </w:r>
          </w:p>
        </w:tc>
        <w:tc>
          <w:tcPr>
            <w:tcW w:w="4876" w:type="dxa"/>
          </w:tcPr>
          <w:p w14:paraId="7262F51E" w14:textId="77777777" w:rsidR="007E5F3B" w:rsidRPr="00387264" w:rsidRDefault="007E5F3B" w:rsidP="007E5F3B">
            <w:pPr>
              <w:pStyle w:val="Normal6"/>
              <w:rPr>
                <w:szCs w:val="24"/>
              </w:rPr>
            </w:pPr>
            <w:r w:rsidRPr="00387264">
              <w:t>(b)</w:t>
            </w:r>
            <w:r w:rsidRPr="00387264">
              <w:tab/>
              <w:t>merila za razvrščanje, kot je razvrščanje v razrede, po masi, velikosti, starosti in v kategorije;</w:t>
            </w:r>
          </w:p>
        </w:tc>
      </w:tr>
      <w:tr w:rsidR="007E5F3B" w:rsidRPr="00387264" w14:paraId="71C9FE4C" w14:textId="77777777" w:rsidTr="007E5F3B">
        <w:trPr>
          <w:jc w:val="center"/>
        </w:trPr>
        <w:tc>
          <w:tcPr>
            <w:tcW w:w="4876" w:type="dxa"/>
          </w:tcPr>
          <w:p w14:paraId="3132AA21" w14:textId="77777777" w:rsidR="007E5F3B" w:rsidRPr="00387264" w:rsidRDefault="007E5F3B" w:rsidP="007E5F3B">
            <w:pPr>
              <w:pStyle w:val="Normal6"/>
            </w:pPr>
            <w:r w:rsidRPr="00387264">
              <w:t>(c)</w:t>
            </w:r>
            <w:r w:rsidRPr="00387264">
              <w:tab/>
              <w:t>vrsto, sorto rastline ali živalsko pasmo ali komercialni tip;</w:t>
            </w:r>
          </w:p>
        </w:tc>
        <w:tc>
          <w:tcPr>
            <w:tcW w:w="4876" w:type="dxa"/>
          </w:tcPr>
          <w:p w14:paraId="7FB5855B" w14:textId="77777777" w:rsidR="007E5F3B" w:rsidRPr="00387264" w:rsidRDefault="007E5F3B" w:rsidP="007E5F3B">
            <w:pPr>
              <w:pStyle w:val="Normal6"/>
              <w:rPr>
                <w:szCs w:val="24"/>
              </w:rPr>
            </w:pPr>
            <w:r w:rsidRPr="00387264">
              <w:t>(c)</w:t>
            </w:r>
            <w:r w:rsidRPr="00387264">
              <w:tab/>
              <w:t>vrsto, sorto rastline ali živalsko pasmo ali komercialni tip;</w:t>
            </w:r>
          </w:p>
        </w:tc>
      </w:tr>
      <w:tr w:rsidR="007E5F3B" w:rsidRPr="00387264" w14:paraId="75679DEA" w14:textId="77777777" w:rsidTr="007E5F3B">
        <w:trPr>
          <w:jc w:val="center"/>
        </w:trPr>
        <w:tc>
          <w:tcPr>
            <w:tcW w:w="4876" w:type="dxa"/>
          </w:tcPr>
          <w:p w14:paraId="6D2DAEC1" w14:textId="77777777" w:rsidR="007E5F3B" w:rsidRPr="00387264" w:rsidRDefault="007E5F3B" w:rsidP="007E5F3B">
            <w:pPr>
              <w:pStyle w:val="Normal6"/>
            </w:pPr>
            <w:r w:rsidRPr="00387264">
              <w:t>(d)</w:t>
            </w:r>
            <w:r w:rsidRPr="00387264">
              <w:tab/>
              <w:t>predstavitev, označevanje, povezano z obveznimi tržnimi standardi, pakiranje, pravila, ki veljajo za pakirnice, označevanje, leto pridelave in uporabo posebnih navedb brez poseganja v člene od 92 do 123 te uredbe;</w:t>
            </w:r>
          </w:p>
        </w:tc>
        <w:tc>
          <w:tcPr>
            <w:tcW w:w="4876" w:type="dxa"/>
          </w:tcPr>
          <w:p w14:paraId="0C9619C7" w14:textId="77777777" w:rsidR="007E5F3B" w:rsidRPr="00387264" w:rsidRDefault="007E5F3B" w:rsidP="007E5F3B">
            <w:pPr>
              <w:pStyle w:val="Normal6"/>
              <w:rPr>
                <w:szCs w:val="24"/>
              </w:rPr>
            </w:pPr>
            <w:r w:rsidRPr="00387264">
              <w:t>(d)</w:t>
            </w:r>
            <w:r w:rsidRPr="00387264">
              <w:tab/>
              <w:t>predstavitev, označevanje, povezano z obveznimi tržnimi standardi, pakiranje, pravila, ki veljajo za pakirnice, označevanje, leto pridelave in uporabo posebnih navedb brez poseganja v člene od 92 do 123 te uredbe;</w:t>
            </w:r>
          </w:p>
        </w:tc>
      </w:tr>
      <w:tr w:rsidR="007E5F3B" w:rsidRPr="00387264" w14:paraId="690151F6" w14:textId="77777777" w:rsidTr="007E5F3B">
        <w:trPr>
          <w:jc w:val="center"/>
        </w:trPr>
        <w:tc>
          <w:tcPr>
            <w:tcW w:w="4876" w:type="dxa"/>
          </w:tcPr>
          <w:p w14:paraId="232203CF" w14:textId="77777777" w:rsidR="007E5F3B" w:rsidRPr="00387264" w:rsidRDefault="007E5F3B" w:rsidP="007E5F3B">
            <w:pPr>
              <w:pStyle w:val="Normal6"/>
            </w:pPr>
            <w:r w:rsidRPr="00387264">
              <w:t>(e)</w:t>
            </w:r>
            <w:r w:rsidRPr="00387264">
              <w:tab/>
              <w:t>merila, kot so videz, konsistenca, konformacija, lastnosti proizvoda in odstotek vsebnosti vode;</w:t>
            </w:r>
          </w:p>
        </w:tc>
        <w:tc>
          <w:tcPr>
            <w:tcW w:w="4876" w:type="dxa"/>
          </w:tcPr>
          <w:p w14:paraId="6AF8E1F5" w14:textId="77777777" w:rsidR="007E5F3B" w:rsidRPr="00387264" w:rsidRDefault="007E5F3B" w:rsidP="007E5F3B">
            <w:pPr>
              <w:pStyle w:val="Normal6"/>
              <w:rPr>
                <w:szCs w:val="24"/>
              </w:rPr>
            </w:pPr>
            <w:r w:rsidRPr="00387264">
              <w:t>(e)</w:t>
            </w:r>
            <w:r w:rsidRPr="00387264">
              <w:tab/>
              <w:t>merila, kot so videz, konsistenca, konformacija, lastnosti proizvoda in odstotek vsebnosti vode;</w:t>
            </w:r>
          </w:p>
        </w:tc>
      </w:tr>
      <w:tr w:rsidR="007E5F3B" w:rsidRPr="00387264" w14:paraId="42FE8FE7" w14:textId="77777777" w:rsidTr="007E5F3B">
        <w:trPr>
          <w:jc w:val="center"/>
        </w:trPr>
        <w:tc>
          <w:tcPr>
            <w:tcW w:w="4876" w:type="dxa"/>
          </w:tcPr>
          <w:p w14:paraId="72B2422D" w14:textId="77777777" w:rsidR="007E5F3B" w:rsidRPr="00387264" w:rsidRDefault="007E5F3B" w:rsidP="007E5F3B">
            <w:pPr>
              <w:pStyle w:val="Normal6"/>
            </w:pPr>
            <w:r w:rsidRPr="00387264">
              <w:t>(f)</w:t>
            </w:r>
            <w:r w:rsidRPr="00387264">
              <w:tab/>
              <w:t>posebne snovi, ki se uporabljajo v proizvodnji, ali sestavni deli ali sestavine, vključno z navedbo vsebnosti, čistosti in določitve snovi;</w:t>
            </w:r>
          </w:p>
        </w:tc>
        <w:tc>
          <w:tcPr>
            <w:tcW w:w="4876" w:type="dxa"/>
          </w:tcPr>
          <w:p w14:paraId="3BA1A332" w14:textId="77777777" w:rsidR="007E5F3B" w:rsidRPr="00387264" w:rsidRDefault="007E5F3B" w:rsidP="007E5F3B">
            <w:pPr>
              <w:pStyle w:val="Normal6"/>
              <w:rPr>
                <w:szCs w:val="24"/>
              </w:rPr>
            </w:pPr>
            <w:r w:rsidRPr="00387264">
              <w:t>(f)</w:t>
            </w:r>
            <w:r w:rsidRPr="00387264">
              <w:tab/>
              <w:t>posebne snovi, ki se uporabljajo v proizvodnji, ali sestavni deli ali sestavine, vključno z navedbo vsebnosti, čistosti in določitve snovi;</w:t>
            </w:r>
          </w:p>
        </w:tc>
      </w:tr>
      <w:tr w:rsidR="007E5F3B" w:rsidRPr="00387264" w14:paraId="1645910E" w14:textId="77777777" w:rsidTr="007E5F3B">
        <w:trPr>
          <w:jc w:val="center"/>
        </w:trPr>
        <w:tc>
          <w:tcPr>
            <w:tcW w:w="4876" w:type="dxa"/>
          </w:tcPr>
          <w:p w14:paraId="3AE3697C" w14:textId="77777777" w:rsidR="007E5F3B" w:rsidRPr="00387264" w:rsidRDefault="007E5F3B" w:rsidP="007E5F3B">
            <w:pPr>
              <w:pStyle w:val="Normal6"/>
            </w:pPr>
            <w:r w:rsidRPr="00387264">
              <w:t>(g)</w:t>
            </w:r>
            <w:r w:rsidRPr="00387264">
              <w:tab/>
              <w:t>način kmetovanja in pridelave, tudi enološki postopki in napredni sistemi trajnostne pridelave;</w:t>
            </w:r>
          </w:p>
        </w:tc>
        <w:tc>
          <w:tcPr>
            <w:tcW w:w="4876" w:type="dxa"/>
          </w:tcPr>
          <w:p w14:paraId="41528859" w14:textId="77777777" w:rsidR="007E5F3B" w:rsidRPr="00387264" w:rsidRDefault="007E5F3B" w:rsidP="007E5F3B">
            <w:pPr>
              <w:pStyle w:val="Normal6"/>
              <w:rPr>
                <w:szCs w:val="24"/>
              </w:rPr>
            </w:pPr>
            <w:r w:rsidRPr="00387264">
              <w:t>(g)</w:t>
            </w:r>
            <w:r w:rsidRPr="00387264">
              <w:tab/>
              <w:t>način kmetovanja in pridelave, tudi enološki postopki</w:t>
            </w:r>
            <w:r w:rsidRPr="00387264">
              <w:rPr>
                <w:b/>
                <w:i/>
              </w:rPr>
              <w:t>, način krmljenja živali</w:t>
            </w:r>
            <w:r w:rsidRPr="00387264">
              <w:t xml:space="preserve"> in napredni sistemi trajnostne pridelave;</w:t>
            </w:r>
          </w:p>
        </w:tc>
      </w:tr>
      <w:tr w:rsidR="007E5F3B" w:rsidRPr="00387264" w14:paraId="675DD132" w14:textId="77777777" w:rsidTr="007E5F3B">
        <w:trPr>
          <w:jc w:val="center"/>
        </w:trPr>
        <w:tc>
          <w:tcPr>
            <w:tcW w:w="4876" w:type="dxa"/>
          </w:tcPr>
          <w:p w14:paraId="05DA8DF2" w14:textId="77777777" w:rsidR="007E5F3B" w:rsidRPr="00387264" w:rsidRDefault="007E5F3B" w:rsidP="007E5F3B">
            <w:pPr>
              <w:pStyle w:val="Normal6"/>
            </w:pPr>
            <w:r w:rsidRPr="00387264">
              <w:t>(h)</w:t>
            </w:r>
            <w:r w:rsidRPr="00387264">
              <w:tab/>
              <w:t>rezanje mošta in vina, vključno z opredelitvami pojmov, tipiziranje in omejitve, ki veljajo za to;</w:t>
            </w:r>
          </w:p>
        </w:tc>
        <w:tc>
          <w:tcPr>
            <w:tcW w:w="4876" w:type="dxa"/>
          </w:tcPr>
          <w:p w14:paraId="2C8437CF" w14:textId="77777777" w:rsidR="007E5F3B" w:rsidRPr="00387264" w:rsidRDefault="007E5F3B" w:rsidP="007E5F3B">
            <w:pPr>
              <w:pStyle w:val="Normal6"/>
              <w:rPr>
                <w:szCs w:val="24"/>
              </w:rPr>
            </w:pPr>
            <w:r w:rsidRPr="00387264">
              <w:t>(h)</w:t>
            </w:r>
            <w:r w:rsidRPr="00387264">
              <w:tab/>
              <w:t>rezanje mošta in vina, vključno z opredelitvami pojmov, tipiziranje in omejitve, ki veljajo za to;</w:t>
            </w:r>
          </w:p>
        </w:tc>
      </w:tr>
      <w:tr w:rsidR="007E5F3B" w:rsidRPr="00387264" w14:paraId="566B55DE" w14:textId="77777777" w:rsidTr="007E5F3B">
        <w:trPr>
          <w:jc w:val="center"/>
        </w:trPr>
        <w:tc>
          <w:tcPr>
            <w:tcW w:w="4876" w:type="dxa"/>
          </w:tcPr>
          <w:p w14:paraId="152F5291" w14:textId="77777777" w:rsidR="007E5F3B" w:rsidRPr="00387264" w:rsidRDefault="007E5F3B" w:rsidP="007E5F3B">
            <w:pPr>
              <w:pStyle w:val="Normal6"/>
            </w:pPr>
            <w:r w:rsidRPr="00387264">
              <w:t>(i)</w:t>
            </w:r>
            <w:r w:rsidRPr="00387264">
              <w:tab/>
              <w:t>pogostnost zbiranja, dobavo, konzerviranje in ravnanje, metodo konzerviranja in temperaturo, skladiščenje in prevoz;</w:t>
            </w:r>
          </w:p>
        </w:tc>
        <w:tc>
          <w:tcPr>
            <w:tcW w:w="4876" w:type="dxa"/>
          </w:tcPr>
          <w:p w14:paraId="537F51A0" w14:textId="77777777" w:rsidR="007E5F3B" w:rsidRPr="00387264" w:rsidRDefault="007E5F3B" w:rsidP="007E5F3B">
            <w:pPr>
              <w:pStyle w:val="Normal6"/>
              <w:rPr>
                <w:szCs w:val="24"/>
              </w:rPr>
            </w:pPr>
            <w:r w:rsidRPr="00387264">
              <w:t>(i)</w:t>
            </w:r>
            <w:r w:rsidRPr="00387264">
              <w:tab/>
              <w:t>pogostnost zbiranja, dobavo, konzerviranje in ravnanje, metodo konzerviranja in temperaturo, skladiščenje in prevoz;</w:t>
            </w:r>
          </w:p>
        </w:tc>
      </w:tr>
      <w:tr w:rsidR="007E5F3B" w:rsidRPr="00387264" w14:paraId="08C6E100" w14:textId="77777777" w:rsidTr="007E5F3B">
        <w:trPr>
          <w:jc w:val="center"/>
        </w:trPr>
        <w:tc>
          <w:tcPr>
            <w:tcW w:w="4876" w:type="dxa"/>
          </w:tcPr>
          <w:p w14:paraId="6ECA1151" w14:textId="77777777" w:rsidR="007E5F3B" w:rsidRPr="00387264" w:rsidRDefault="007E5F3B" w:rsidP="007E5F3B">
            <w:pPr>
              <w:pStyle w:val="Normal6"/>
            </w:pPr>
            <w:r w:rsidRPr="00387264">
              <w:t>(j)</w:t>
            </w:r>
            <w:r w:rsidRPr="00387264">
              <w:tab/>
              <w:t xml:space="preserve">kraj kmetovanja in/ali poreklo </w:t>
            </w:r>
            <w:r w:rsidRPr="00387264">
              <w:rPr>
                <w:b/>
                <w:i/>
              </w:rPr>
              <w:t>razen perutninskega mesa in mazavih maščob</w:t>
            </w:r>
            <w:r w:rsidRPr="00387264">
              <w:t>;</w:t>
            </w:r>
          </w:p>
        </w:tc>
        <w:tc>
          <w:tcPr>
            <w:tcW w:w="4876" w:type="dxa"/>
          </w:tcPr>
          <w:p w14:paraId="5907514D" w14:textId="77777777" w:rsidR="007E5F3B" w:rsidRPr="00387264" w:rsidRDefault="007E5F3B" w:rsidP="007E5F3B">
            <w:pPr>
              <w:pStyle w:val="Normal6"/>
              <w:rPr>
                <w:szCs w:val="24"/>
              </w:rPr>
            </w:pPr>
            <w:r w:rsidRPr="00387264">
              <w:t>(j)</w:t>
            </w:r>
            <w:r w:rsidRPr="00387264">
              <w:tab/>
              <w:t>kraj kmetovanja in/ali poreklo;</w:t>
            </w:r>
          </w:p>
        </w:tc>
      </w:tr>
      <w:tr w:rsidR="007E5F3B" w:rsidRPr="00387264" w14:paraId="79057B75" w14:textId="77777777" w:rsidTr="007E5F3B">
        <w:trPr>
          <w:jc w:val="center"/>
        </w:trPr>
        <w:tc>
          <w:tcPr>
            <w:tcW w:w="4876" w:type="dxa"/>
          </w:tcPr>
          <w:p w14:paraId="50B2714D" w14:textId="77777777" w:rsidR="007E5F3B" w:rsidRPr="00387264" w:rsidRDefault="007E5F3B" w:rsidP="007E5F3B">
            <w:pPr>
              <w:pStyle w:val="Normal6"/>
            </w:pPr>
            <w:r w:rsidRPr="00387264">
              <w:t>(k)</w:t>
            </w:r>
            <w:r w:rsidRPr="00387264">
              <w:tab/>
              <w:t>omejitve glede uporabe nekaterih snovi in praks;</w:t>
            </w:r>
          </w:p>
        </w:tc>
        <w:tc>
          <w:tcPr>
            <w:tcW w:w="4876" w:type="dxa"/>
          </w:tcPr>
          <w:p w14:paraId="68B16891" w14:textId="77777777" w:rsidR="007E5F3B" w:rsidRPr="00387264" w:rsidRDefault="007E5F3B" w:rsidP="007E5F3B">
            <w:pPr>
              <w:pStyle w:val="Normal6"/>
              <w:rPr>
                <w:szCs w:val="24"/>
              </w:rPr>
            </w:pPr>
            <w:r w:rsidRPr="00387264">
              <w:t>(k)</w:t>
            </w:r>
            <w:r w:rsidRPr="00387264">
              <w:tab/>
              <w:t>omejitve glede uporabe nekaterih snovi in praks;</w:t>
            </w:r>
          </w:p>
        </w:tc>
      </w:tr>
      <w:tr w:rsidR="007E5F3B" w:rsidRPr="00387264" w14:paraId="267B6DCB" w14:textId="77777777" w:rsidTr="007E5F3B">
        <w:trPr>
          <w:jc w:val="center"/>
        </w:trPr>
        <w:tc>
          <w:tcPr>
            <w:tcW w:w="4876" w:type="dxa"/>
          </w:tcPr>
          <w:p w14:paraId="625E3036" w14:textId="77777777" w:rsidR="007E5F3B" w:rsidRPr="00387264" w:rsidRDefault="007E5F3B" w:rsidP="007E5F3B">
            <w:pPr>
              <w:pStyle w:val="Normal6"/>
            </w:pPr>
            <w:r w:rsidRPr="00387264">
              <w:t>(l)</w:t>
            </w:r>
            <w:r w:rsidRPr="00387264">
              <w:tab/>
              <w:t>posebno uporabo;</w:t>
            </w:r>
          </w:p>
        </w:tc>
        <w:tc>
          <w:tcPr>
            <w:tcW w:w="4876" w:type="dxa"/>
          </w:tcPr>
          <w:p w14:paraId="526C796F" w14:textId="77777777" w:rsidR="007E5F3B" w:rsidRPr="00387264" w:rsidRDefault="007E5F3B" w:rsidP="007E5F3B">
            <w:pPr>
              <w:pStyle w:val="Normal6"/>
              <w:rPr>
                <w:szCs w:val="24"/>
              </w:rPr>
            </w:pPr>
            <w:r w:rsidRPr="00387264">
              <w:t>(l)</w:t>
            </w:r>
            <w:r w:rsidRPr="00387264">
              <w:tab/>
              <w:t>posebno uporabo;</w:t>
            </w:r>
          </w:p>
        </w:tc>
      </w:tr>
      <w:tr w:rsidR="007E5F3B" w:rsidRPr="00387264" w14:paraId="3033284C" w14:textId="77777777" w:rsidTr="007E5F3B">
        <w:trPr>
          <w:jc w:val="center"/>
        </w:trPr>
        <w:tc>
          <w:tcPr>
            <w:tcW w:w="4876" w:type="dxa"/>
          </w:tcPr>
          <w:p w14:paraId="682FCFBF" w14:textId="77777777" w:rsidR="007E5F3B" w:rsidRPr="00387264" w:rsidRDefault="007E5F3B" w:rsidP="007E5F3B">
            <w:pPr>
              <w:pStyle w:val="Normal6"/>
            </w:pPr>
            <w:r w:rsidRPr="00387264">
              <w:t>(m)</w:t>
            </w:r>
            <w:r w:rsidRPr="00387264">
              <w:tab/>
              <w:t>pogoje, ki urejajo odstranitev, posedovanje, promet in uporabo proizvodov, ki niso v skladu s tržnimi standardi, sprejetimi na podlagi odstavka 1, ali opredelitvami, poimenovanji in prodajnimi oznakami iz člena 78, ter odstranjevanje stranskih proizvodov.</w:t>
            </w:r>
          </w:p>
        </w:tc>
        <w:tc>
          <w:tcPr>
            <w:tcW w:w="4876" w:type="dxa"/>
          </w:tcPr>
          <w:p w14:paraId="0D41CBC6" w14:textId="77777777" w:rsidR="007E5F3B" w:rsidRPr="00387264" w:rsidRDefault="007E5F3B" w:rsidP="007E5F3B">
            <w:pPr>
              <w:pStyle w:val="Normal6"/>
              <w:rPr>
                <w:szCs w:val="24"/>
              </w:rPr>
            </w:pPr>
            <w:r w:rsidRPr="00387264">
              <w:t>(m)</w:t>
            </w:r>
            <w:r w:rsidRPr="00387264">
              <w:tab/>
              <w:t>pogoje, ki urejajo odstranitev, posedovanje, promet in uporabo proizvodov, ki niso v skladu s tržnimi standardi, sprejetimi na podlagi odstavka 1, ali opredelitvami, poimenovanji in prodajnimi oznakami iz člena 78, ter odstranjevanje stranskih proizvodov</w:t>
            </w:r>
            <w:r w:rsidRPr="00387264">
              <w:rPr>
                <w:b/>
                <w:i/>
              </w:rPr>
              <w:t>;</w:t>
            </w:r>
          </w:p>
        </w:tc>
      </w:tr>
      <w:tr w:rsidR="007E5F3B" w:rsidRPr="00387264" w14:paraId="59FF6E65" w14:textId="77777777" w:rsidTr="007E5F3B">
        <w:trPr>
          <w:jc w:val="center"/>
        </w:trPr>
        <w:tc>
          <w:tcPr>
            <w:tcW w:w="4876" w:type="dxa"/>
          </w:tcPr>
          <w:p w14:paraId="359DBC62" w14:textId="77777777" w:rsidR="007E5F3B" w:rsidRPr="00387264" w:rsidRDefault="007E5F3B" w:rsidP="007E5F3B">
            <w:pPr>
              <w:pStyle w:val="Normal6"/>
            </w:pPr>
          </w:p>
        </w:tc>
        <w:tc>
          <w:tcPr>
            <w:tcW w:w="4876" w:type="dxa"/>
          </w:tcPr>
          <w:p w14:paraId="7F50CE18" w14:textId="77777777" w:rsidR="007E5F3B" w:rsidRPr="00387264" w:rsidRDefault="007E5F3B" w:rsidP="007E5F3B">
            <w:pPr>
              <w:pStyle w:val="Normal6"/>
            </w:pPr>
            <w:r w:rsidRPr="00387264">
              <w:rPr>
                <w:b/>
                <w:i/>
              </w:rPr>
              <w:t>(ma)</w:t>
            </w:r>
            <w:r w:rsidRPr="00387264">
              <w:rPr>
                <w:b/>
                <w:i/>
              </w:rPr>
              <w:tab/>
              <w:t>dobrobit živali</w:t>
            </w:r>
            <w:r w:rsidRPr="00387264">
              <w:t>.</w:t>
            </w:r>
          </w:p>
        </w:tc>
      </w:tr>
      <w:tr w:rsidR="007E5F3B" w:rsidRPr="00387264" w14:paraId="0C4094CB" w14:textId="77777777" w:rsidTr="007E5F3B">
        <w:trPr>
          <w:jc w:val="center"/>
        </w:trPr>
        <w:tc>
          <w:tcPr>
            <w:tcW w:w="4876" w:type="dxa"/>
          </w:tcPr>
          <w:p w14:paraId="373B0650" w14:textId="77777777" w:rsidR="007E5F3B" w:rsidRPr="00387264" w:rsidRDefault="007E5F3B" w:rsidP="007E5F3B">
            <w:pPr>
              <w:pStyle w:val="Normal6"/>
            </w:pPr>
            <w:r w:rsidRPr="00387264">
              <w:t>4.</w:t>
            </w:r>
            <w:r w:rsidRPr="00387264">
              <w:tab/>
              <w:t>Poleg odstavka 1 se za vinski sektor lahko uporabljajo tržni standardi. Za ta sektor se uporabljajo točke (f), (g), (h), (k) in (m) odstavka 3.</w:t>
            </w:r>
          </w:p>
        </w:tc>
        <w:tc>
          <w:tcPr>
            <w:tcW w:w="4876" w:type="dxa"/>
          </w:tcPr>
          <w:p w14:paraId="6E6DFAEF" w14:textId="77777777" w:rsidR="007E5F3B" w:rsidRPr="00387264" w:rsidRDefault="007E5F3B" w:rsidP="007E5F3B">
            <w:pPr>
              <w:pStyle w:val="Normal6"/>
              <w:rPr>
                <w:szCs w:val="24"/>
              </w:rPr>
            </w:pPr>
            <w:r w:rsidRPr="00387264">
              <w:t>4.</w:t>
            </w:r>
            <w:r w:rsidRPr="00387264">
              <w:tab/>
              <w:t>Poleg odstavka 1 se za vinski sektor lahko uporabljajo tržni standardi. Za ta sektor se uporabljajo točke (f), (g), (h), (k) in (m) odstavka 3.</w:t>
            </w:r>
          </w:p>
        </w:tc>
      </w:tr>
      <w:tr w:rsidR="007E5F3B" w:rsidRPr="00387264" w14:paraId="4135C61A" w14:textId="77777777" w:rsidTr="007E5F3B">
        <w:trPr>
          <w:jc w:val="center"/>
        </w:trPr>
        <w:tc>
          <w:tcPr>
            <w:tcW w:w="4876" w:type="dxa"/>
          </w:tcPr>
          <w:p w14:paraId="2498EDDD" w14:textId="77777777" w:rsidR="007E5F3B" w:rsidRPr="00387264" w:rsidRDefault="007E5F3B" w:rsidP="007E5F3B">
            <w:pPr>
              <w:pStyle w:val="Normal6"/>
            </w:pPr>
            <w:r w:rsidRPr="00387264">
              <w:t>5.</w:t>
            </w:r>
            <w:r w:rsidRPr="00387264">
              <w:tab/>
              <w:t>Tržni standardi po sektorjih ali proizvodih, sprejeti v skladu z odstavkom 1 tega člena, se določijo brez poseganja v člene od 84 do 88 in Prilogo IX ter ob upoštevanju:</w:t>
            </w:r>
          </w:p>
        </w:tc>
        <w:tc>
          <w:tcPr>
            <w:tcW w:w="4876" w:type="dxa"/>
          </w:tcPr>
          <w:p w14:paraId="19EA0104" w14:textId="77777777" w:rsidR="007E5F3B" w:rsidRPr="00387264" w:rsidRDefault="007E5F3B" w:rsidP="007E5F3B">
            <w:pPr>
              <w:pStyle w:val="Normal6"/>
              <w:rPr>
                <w:szCs w:val="24"/>
              </w:rPr>
            </w:pPr>
            <w:r w:rsidRPr="00387264">
              <w:t>5.</w:t>
            </w:r>
            <w:r w:rsidRPr="00387264">
              <w:tab/>
              <w:t>Tržni standardi po sektorjih ali proizvodih, sprejeti v skladu z odstavkom 1 tega člena, se določijo brez poseganja v člene od 84 do 88 in Prilogo IX ter ob upoštevanju:</w:t>
            </w:r>
          </w:p>
        </w:tc>
      </w:tr>
      <w:tr w:rsidR="007E5F3B" w:rsidRPr="00387264" w14:paraId="183B497E" w14:textId="77777777" w:rsidTr="007E5F3B">
        <w:trPr>
          <w:jc w:val="center"/>
        </w:trPr>
        <w:tc>
          <w:tcPr>
            <w:tcW w:w="4876" w:type="dxa"/>
          </w:tcPr>
          <w:p w14:paraId="46FDB082" w14:textId="77777777" w:rsidR="007E5F3B" w:rsidRPr="00387264" w:rsidRDefault="007E5F3B" w:rsidP="007E5F3B">
            <w:pPr>
              <w:pStyle w:val="Normal6"/>
            </w:pPr>
            <w:r w:rsidRPr="00387264">
              <w:t>(a)</w:t>
            </w:r>
            <w:r w:rsidRPr="00387264">
              <w:tab/>
              <w:t>posebnosti zadevnega proizvoda;</w:t>
            </w:r>
          </w:p>
        </w:tc>
        <w:tc>
          <w:tcPr>
            <w:tcW w:w="4876" w:type="dxa"/>
          </w:tcPr>
          <w:p w14:paraId="0D6935A2" w14:textId="77777777" w:rsidR="007E5F3B" w:rsidRPr="00387264" w:rsidRDefault="007E5F3B" w:rsidP="007E5F3B">
            <w:pPr>
              <w:pStyle w:val="Normal6"/>
              <w:rPr>
                <w:szCs w:val="24"/>
              </w:rPr>
            </w:pPr>
            <w:r w:rsidRPr="00387264">
              <w:t>(a)</w:t>
            </w:r>
            <w:r w:rsidRPr="00387264">
              <w:tab/>
              <w:t>posebnosti zadevnega proizvoda;</w:t>
            </w:r>
          </w:p>
        </w:tc>
      </w:tr>
      <w:tr w:rsidR="007E5F3B" w:rsidRPr="00387264" w14:paraId="5B423A90" w14:textId="77777777" w:rsidTr="007E5F3B">
        <w:trPr>
          <w:jc w:val="center"/>
        </w:trPr>
        <w:tc>
          <w:tcPr>
            <w:tcW w:w="4876" w:type="dxa"/>
          </w:tcPr>
          <w:p w14:paraId="357F1EBF" w14:textId="77777777" w:rsidR="007E5F3B" w:rsidRPr="00387264" w:rsidRDefault="007E5F3B" w:rsidP="007E5F3B">
            <w:pPr>
              <w:pStyle w:val="Normal6"/>
            </w:pPr>
            <w:r w:rsidRPr="00387264">
              <w:t>(b)</w:t>
            </w:r>
            <w:r w:rsidRPr="00387264">
              <w:tab/>
              <w:t>dejstva, da je treba zagotoviti pogoje za lažje dajanje proizvodov na trg;</w:t>
            </w:r>
          </w:p>
        </w:tc>
        <w:tc>
          <w:tcPr>
            <w:tcW w:w="4876" w:type="dxa"/>
          </w:tcPr>
          <w:p w14:paraId="68CB5329" w14:textId="77777777" w:rsidR="007E5F3B" w:rsidRPr="00387264" w:rsidRDefault="007E5F3B" w:rsidP="007E5F3B">
            <w:pPr>
              <w:pStyle w:val="Normal6"/>
              <w:rPr>
                <w:szCs w:val="24"/>
              </w:rPr>
            </w:pPr>
            <w:r w:rsidRPr="00387264">
              <w:t>(b)</w:t>
            </w:r>
            <w:r w:rsidRPr="00387264">
              <w:tab/>
              <w:t>dejstva, da je treba zagotoviti pogoje za lažje dajanje proizvodov na trg;</w:t>
            </w:r>
          </w:p>
        </w:tc>
      </w:tr>
      <w:tr w:rsidR="007E5F3B" w:rsidRPr="00387264" w14:paraId="4AC5F0A4" w14:textId="77777777" w:rsidTr="007E5F3B">
        <w:trPr>
          <w:jc w:val="center"/>
        </w:trPr>
        <w:tc>
          <w:tcPr>
            <w:tcW w:w="4876" w:type="dxa"/>
          </w:tcPr>
          <w:p w14:paraId="16CD8B05" w14:textId="77777777" w:rsidR="007E5F3B" w:rsidRPr="00387264" w:rsidRDefault="007E5F3B" w:rsidP="007E5F3B">
            <w:pPr>
              <w:pStyle w:val="Normal6"/>
            </w:pPr>
            <w:r w:rsidRPr="00387264">
              <w:t>(c)</w:t>
            </w:r>
            <w:r w:rsidRPr="00387264">
              <w:tab/>
              <w:t>interesa proizvajalcev, da obveščajo o lastnostih proizvodov in kmetovanja, ter interesa potrošnikov, da prejmejo ustrezne in pregledne informacije o proizvodu, vključno s krajem kmetovanja, ki se določi za vsak primer posebej na ustrezni geografski ravni, potem ko so bili ocenjeni zlasti stroški in upravna obremenitev izvajalcev ter koristi proizvajalcev in končnih potrošnikov;</w:t>
            </w:r>
          </w:p>
        </w:tc>
        <w:tc>
          <w:tcPr>
            <w:tcW w:w="4876" w:type="dxa"/>
          </w:tcPr>
          <w:p w14:paraId="665AF716" w14:textId="77777777" w:rsidR="007E5F3B" w:rsidRPr="00387264" w:rsidRDefault="007E5F3B" w:rsidP="007E5F3B">
            <w:pPr>
              <w:pStyle w:val="Normal6"/>
              <w:rPr>
                <w:szCs w:val="24"/>
              </w:rPr>
            </w:pPr>
            <w:r w:rsidRPr="00387264">
              <w:t>(c)</w:t>
            </w:r>
            <w:r w:rsidRPr="00387264">
              <w:tab/>
              <w:t>interesa proizvajalcev, da obveščajo o lastnostih proizvodov in kmetovanja, ter interesa potrošnikov, da prejmejo ustrezne in pregledne informacije o proizvodu, vključno s krajem kmetovanja, ki se določi za vsak primer posebej na ustrezni geografski ravni, potem ko so bili ocenjeni zlasti stroški in upravna obremenitev izvajalcev ter koristi proizvajalcev in končnih potrošnikov;</w:t>
            </w:r>
          </w:p>
        </w:tc>
      </w:tr>
      <w:tr w:rsidR="007E5F3B" w:rsidRPr="00387264" w14:paraId="6726228B" w14:textId="77777777" w:rsidTr="007E5F3B">
        <w:trPr>
          <w:jc w:val="center"/>
        </w:trPr>
        <w:tc>
          <w:tcPr>
            <w:tcW w:w="4876" w:type="dxa"/>
          </w:tcPr>
          <w:p w14:paraId="26ADA1C4" w14:textId="77777777" w:rsidR="007E5F3B" w:rsidRPr="00387264" w:rsidRDefault="007E5F3B" w:rsidP="007E5F3B">
            <w:pPr>
              <w:pStyle w:val="Normal6"/>
            </w:pPr>
            <w:r w:rsidRPr="00387264">
              <w:t>(d)</w:t>
            </w:r>
            <w:r w:rsidRPr="00387264">
              <w:tab/>
              <w:t>metod, ki so na voljo za določitev fizikalnih, kemičnih in organoleptičnih lastnosti proizvodov;</w:t>
            </w:r>
          </w:p>
        </w:tc>
        <w:tc>
          <w:tcPr>
            <w:tcW w:w="4876" w:type="dxa"/>
          </w:tcPr>
          <w:p w14:paraId="6E239C0A" w14:textId="77777777" w:rsidR="007E5F3B" w:rsidRPr="00387264" w:rsidRDefault="007E5F3B" w:rsidP="007E5F3B">
            <w:pPr>
              <w:pStyle w:val="Normal6"/>
              <w:rPr>
                <w:szCs w:val="24"/>
              </w:rPr>
            </w:pPr>
            <w:r w:rsidRPr="00387264">
              <w:t>(d)</w:t>
            </w:r>
            <w:r w:rsidRPr="00387264">
              <w:tab/>
              <w:t>metod, ki so na voljo za določitev fizikalnih, kemičnih in organoleptičnih lastnosti proizvodov;</w:t>
            </w:r>
          </w:p>
        </w:tc>
      </w:tr>
      <w:tr w:rsidR="007E5F3B" w:rsidRPr="00387264" w14:paraId="2ADCD787" w14:textId="77777777" w:rsidTr="007E5F3B">
        <w:trPr>
          <w:jc w:val="center"/>
        </w:trPr>
        <w:tc>
          <w:tcPr>
            <w:tcW w:w="4876" w:type="dxa"/>
          </w:tcPr>
          <w:p w14:paraId="3D081287" w14:textId="77777777" w:rsidR="007E5F3B" w:rsidRPr="00387264" w:rsidRDefault="007E5F3B" w:rsidP="007E5F3B">
            <w:pPr>
              <w:pStyle w:val="Normal6"/>
            </w:pPr>
            <w:r w:rsidRPr="00387264">
              <w:t>(e)</w:t>
            </w:r>
            <w:r w:rsidRPr="00387264">
              <w:tab/>
              <w:t>standardnih priporočil, ki jih sprejmejo mednarodni organi;</w:t>
            </w:r>
          </w:p>
        </w:tc>
        <w:tc>
          <w:tcPr>
            <w:tcW w:w="4876" w:type="dxa"/>
          </w:tcPr>
          <w:p w14:paraId="79BB8B53" w14:textId="77777777" w:rsidR="007E5F3B" w:rsidRPr="00387264" w:rsidRDefault="007E5F3B" w:rsidP="007E5F3B">
            <w:pPr>
              <w:pStyle w:val="Normal6"/>
              <w:rPr>
                <w:szCs w:val="24"/>
              </w:rPr>
            </w:pPr>
            <w:r w:rsidRPr="00387264">
              <w:t>(e)</w:t>
            </w:r>
            <w:r w:rsidRPr="00387264">
              <w:tab/>
              <w:t>standardnih priporočil, ki jih sprejmejo mednarodni organi;</w:t>
            </w:r>
          </w:p>
        </w:tc>
      </w:tr>
      <w:tr w:rsidR="007E5F3B" w:rsidRPr="00387264" w14:paraId="28F8C9CA" w14:textId="77777777" w:rsidTr="007E5F3B">
        <w:trPr>
          <w:jc w:val="center"/>
        </w:trPr>
        <w:tc>
          <w:tcPr>
            <w:tcW w:w="4876" w:type="dxa"/>
          </w:tcPr>
          <w:p w14:paraId="754530EE" w14:textId="77777777" w:rsidR="007E5F3B" w:rsidRPr="00387264" w:rsidRDefault="007E5F3B" w:rsidP="007E5F3B">
            <w:pPr>
              <w:pStyle w:val="Normal6"/>
            </w:pPr>
            <w:r w:rsidRPr="00387264">
              <w:t>(f)</w:t>
            </w:r>
            <w:r w:rsidRPr="00387264">
              <w:tab/>
              <w:t>potrebe po ohranitvi naravnih in osnovnih lastnosti proizvodov ter da se je treba izogniti bistveni spremembi sestave zadevnega proizvoda.</w:t>
            </w:r>
          </w:p>
        </w:tc>
        <w:tc>
          <w:tcPr>
            <w:tcW w:w="4876" w:type="dxa"/>
          </w:tcPr>
          <w:p w14:paraId="7A7300F6" w14:textId="77777777" w:rsidR="007E5F3B" w:rsidRPr="00387264" w:rsidRDefault="007E5F3B" w:rsidP="007E5F3B">
            <w:pPr>
              <w:pStyle w:val="Normal6"/>
              <w:rPr>
                <w:szCs w:val="24"/>
              </w:rPr>
            </w:pPr>
            <w:r w:rsidRPr="00387264">
              <w:t>(f)</w:t>
            </w:r>
            <w:r w:rsidRPr="00387264">
              <w:tab/>
              <w:t>potrebe po ohranitvi naravnih in osnovnih lastnosti proizvodov ter da se je treba izogniti bistveni spremembi sestave zadevnega proizvoda.</w:t>
            </w:r>
          </w:p>
        </w:tc>
      </w:tr>
      <w:tr w:rsidR="007E5F3B" w:rsidRPr="00387264" w14:paraId="0F0D53F7" w14:textId="77777777" w:rsidTr="007E5F3B">
        <w:trPr>
          <w:jc w:val="center"/>
        </w:trPr>
        <w:tc>
          <w:tcPr>
            <w:tcW w:w="4876" w:type="dxa"/>
          </w:tcPr>
          <w:p w14:paraId="6B621DED" w14:textId="77777777" w:rsidR="007E5F3B" w:rsidRPr="00387264" w:rsidRDefault="007E5F3B" w:rsidP="007E5F3B">
            <w:pPr>
              <w:pStyle w:val="Normal6"/>
            </w:pPr>
            <w:r w:rsidRPr="00387264">
              <w:t>6.</w:t>
            </w:r>
            <w:r w:rsidRPr="00387264">
              <w:tab/>
              <w:t>Da bi upoštevali pričakovanja potrošnikov ter potrebo po izboljšanju gospodarskih pogojev za pridelavo in trženje kmetijskih proizvodov, se na Komisijo prenese pooblastilo za sprejemanje delegiranih aktov v skladu s členom 227 za spremembo seznama sektorjev iz odstavka 1. Takšni delegirani akti so strogo omejeni na dejanske potrebe, ki nastanejo zaradi potrošniškega povpraševanja, tehničnega napredka ali potreb po inovacijah pri proizvodih, Komisija pa mora pred njihovim sprejetjem Evropskemu parlamentu in Svetu predložiti poročilo, v katerem oceni zlasti potrebe potrošnikov, stroške in upravna bremena za izvajalce, vključno z učinkom na notranji trg in mednarodno trgovino, ter koristi za proizvajalce in končne potrošnike.</w:t>
            </w:r>
          </w:p>
        </w:tc>
        <w:tc>
          <w:tcPr>
            <w:tcW w:w="4876" w:type="dxa"/>
          </w:tcPr>
          <w:p w14:paraId="2E22FB3E" w14:textId="77777777" w:rsidR="007E5F3B" w:rsidRPr="00387264" w:rsidRDefault="007E5F3B" w:rsidP="007E5F3B">
            <w:pPr>
              <w:pStyle w:val="Normal6"/>
              <w:rPr>
                <w:szCs w:val="24"/>
              </w:rPr>
            </w:pPr>
            <w:r w:rsidRPr="00387264">
              <w:t>6.</w:t>
            </w:r>
            <w:r w:rsidRPr="00387264">
              <w:tab/>
              <w:t>Da bi upoštevali pričakovanja potrošnikov ter potrebo po izboljšanju gospodarskih pogojev za pridelavo in trženje kmetijskih proizvodov, se na Komisijo prenese pooblastilo za sprejemanje delegiranih aktov v skladu s členom 227 za spremembo seznama sektorjev iz odstavka 1. Takšni delegirani akti so strogo omejeni na dejanske potrebe, ki nastanejo zaradi potrošniškega povpraševanja, tehničnega napredka ali potreb po inovacijah pri proizvodih, Komisija pa mora pred njihovim sprejetjem Evropskemu parlamentu in Svetu predložiti poročilo, v katerem oceni zlasti potrebe potrošnikov, stroške in upravna bremena za izvajalce, vključno z učinkom na notranji trg in mednarodno trgovino, ter koristi za proizvajalce in končne potrošnike.</w:t>
            </w:r>
            <w:r w:rsidRPr="00387264">
              <w:rPr>
                <w:b/>
                <w:i/>
              </w:rPr>
              <w:t>“</w:t>
            </w:r>
          </w:p>
        </w:tc>
      </w:tr>
      <w:tr w:rsidR="007E5F3B" w:rsidRPr="00387264" w14:paraId="369A060A" w14:textId="77777777" w:rsidTr="007E5F3B">
        <w:trPr>
          <w:jc w:val="center"/>
        </w:trPr>
        <w:tc>
          <w:tcPr>
            <w:tcW w:w="4876" w:type="dxa"/>
          </w:tcPr>
          <w:p w14:paraId="0D5AE76D" w14:textId="77777777" w:rsidR="007E5F3B" w:rsidRPr="00387264" w:rsidRDefault="007E5F3B" w:rsidP="007E5F3B">
            <w:pPr>
              <w:pStyle w:val="Normal6"/>
            </w:pPr>
          </w:p>
        </w:tc>
        <w:tc>
          <w:tcPr>
            <w:tcW w:w="4876" w:type="dxa"/>
          </w:tcPr>
          <w:p w14:paraId="736CF904" w14:textId="77777777" w:rsidR="007E5F3B" w:rsidRPr="00387264" w:rsidRDefault="007E5F3B" w:rsidP="007E5F3B">
            <w:pPr>
              <w:pStyle w:val="Normal6"/>
              <w:rPr>
                <w:szCs w:val="24"/>
              </w:rPr>
            </w:pPr>
            <w:r w:rsidRPr="00387264">
              <w:rPr>
                <w:i/>
              </w:rPr>
              <w:t>(Opomba pod črto št. 27 v odstavku 3 ostane nespremenjena.)</w:t>
            </w:r>
          </w:p>
        </w:tc>
      </w:tr>
    </w:tbl>
    <w:p w14:paraId="68ADA18C" w14:textId="77777777" w:rsidR="007E5F3B" w:rsidRPr="003B2277" w:rsidRDefault="007E5F3B" w:rsidP="006F5BFE"/>
    <w:p w14:paraId="49BF55C2" w14:textId="77777777" w:rsidR="006F5BFE" w:rsidRPr="003B2277" w:rsidRDefault="006F5BFE" w:rsidP="006F5BFE"/>
    <w:p w14:paraId="4C49CB24" w14:textId="0398A00E" w:rsidR="006F5BFE" w:rsidRPr="003B2277" w:rsidRDefault="003B2277" w:rsidP="006F5BFE">
      <w:pPr>
        <w:pStyle w:val="AMNumberTabs"/>
        <w:keepNext/>
      </w:pPr>
      <w:r>
        <w:t>Sprememba</w:t>
      </w:r>
      <w:r w:rsidR="006F5BFE" w:rsidRPr="003B2277">
        <w:tab/>
      </w:r>
      <w:r w:rsidR="006F5BFE" w:rsidRPr="003B2277">
        <w:tab/>
        <w:t>72</w:t>
      </w:r>
    </w:p>
    <w:p w14:paraId="460311D9" w14:textId="77777777" w:rsidR="006F5BFE" w:rsidRPr="003B2277" w:rsidRDefault="006F5BFE" w:rsidP="006F5BFE"/>
    <w:p w14:paraId="7ED08FA4" w14:textId="77777777" w:rsidR="006F5BFE" w:rsidRPr="003B2277" w:rsidRDefault="006F5BFE" w:rsidP="006F5BFE">
      <w:pPr>
        <w:pStyle w:val="NormalBold"/>
        <w:keepNext/>
      </w:pPr>
      <w:r w:rsidRPr="003B2277">
        <w:t>Predlog uredbe</w:t>
      </w:r>
    </w:p>
    <w:p w14:paraId="2223704E" w14:textId="2B950DA3" w:rsidR="006F5BFE" w:rsidRPr="003B2277" w:rsidRDefault="006F5BFE" w:rsidP="006F5BFE">
      <w:pPr>
        <w:pStyle w:val="NormalBold"/>
      </w:pPr>
      <w:r w:rsidRPr="003B2277">
        <w:t xml:space="preserve">Člen 1 – odstavek 1 – točka 5 </w:t>
      </w:r>
      <w:r w:rsidR="004B4EB7">
        <w:t>h</w:t>
      </w:r>
      <w:r w:rsidRPr="003B2277">
        <w:t xml:space="preserve"> (novo)</w:t>
      </w:r>
    </w:p>
    <w:p w14:paraId="44981F33" w14:textId="77777777" w:rsidR="006F5BFE" w:rsidRPr="003B2277" w:rsidRDefault="006F5BFE" w:rsidP="006F5BFE">
      <w:pPr>
        <w:keepNext/>
      </w:pPr>
      <w:r w:rsidRPr="003B2277">
        <w:t>Uredba (EU) št. 1308/2013</w:t>
      </w:r>
    </w:p>
    <w:p w14:paraId="1AF1D094" w14:textId="77777777" w:rsidR="006F5BFE" w:rsidRPr="003B2277" w:rsidRDefault="006F5BFE" w:rsidP="006F5BFE">
      <w:r w:rsidRPr="003B2277">
        <w:t>Člen 78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65FBD7D" w14:textId="77777777" w:rsidTr="005B4D60">
        <w:trPr>
          <w:jc w:val="center"/>
        </w:trPr>
        <w:tc>
          <w:tcPr>
            <w:tcW w:w="9752" w:type="dxa"/>
            <w:gridSpan w:val="2"/>
          </w:tcPr>
          <w:p w14:paraId="49DB8A91" w14:textId="77777777" w:rsidR="006F5BFE" w:rsidRPr="003B2277" w:rsidRDefault="006F5BFE" w:rsidP="005B4D60">
            <w:pPr>
              <w:keepNext/>
            </w:pPr>
          </w:p>
        </w:tc>
      </w:tr>
      <w:tr w:rsidR="006F5BFE" w:rsidRPr="003B2277" w14:paraId="0E280F0A" w14:textId="77777777" w:rsidTr="005B4D60">
        <w:trPr>
          <w:jc w:val="center"/>
        </w:trPr>
        <w:tc>
          <w:tcPr>
            <w:tcW w:w="4876" w:type="dxa"/>
            <w:hideMark/>
          </w:tcPr>
          <w:p w14:paraId="21F50B9A" w14:textId="77777777" w:rsidR="006F5BFE" w:rsidRPr="003B2277" w:rsidRDefault="006F5BFE" w:rsidP="005B4D60">
            <w:pPr>
              <w:pStyle w:val="ColumnHeading"/>
              <w:keepNext/>
            </w:pPr>
            <w:r w:rsidRPr="003B2277">
              <w:t>Veljavno besedilo</w:t>
            </w:r>
          </w:p>
        </w:tc>
        <w:tc>
          <w:tcPr>
            <w:tcW w:w="4876" w:type="dxa"/>
            <w:hideMark/>
          </w:tcPr>
          <w:p w14:paraId="50CAC658" w14:textId="1140EC7D" w:rsidR="006F5BFE" w:rsidRPr="003B2277" w:rsidRDefault="003B2277" w:rsidP="005B4D60">
            <w:pPr>
              <w:pStyle w:val="ColumnHeading"/>
              <w:keepNext/>
            </w:pPr>
            <w:r>
              <w:t>Sprememba</w:t>
            </w:r>
          </w:p>
        </w:tc>
      </w:tr>
      <w:tr w:rsidR="006F5BFE" w:rsidRPr="003B2277" w14:paraId="4894E980" w14:textId="77777777" w:rsidTr="005B4D60">
        <w:trPr>
          <w:jc w:val="center"/>
        </w:trPr>
        <w:tc>
          <w:tcPr>
            <w:tcW w:w="4876" w:type="dxa"/>
          </w:tcPr>
          <w:p w14:paraId="31D5A9C8" w14:textId="77777777" w:rsidR="006F5BFE" w:rsidRPr="003B2277" w:rsidRDefault="006F5BFE" w:rsidP="005B4D60">
            <w:pPr>
              <w:pStyle w:val="Normal6"/>
            </w:pPr>
          </w:p>
        </w:tc>
        <w:tc>
          <w:tcPr>
            <w:tcW w:w="4876" w:type="dxa"/>
            <w:hideMark/>
          </w:tcPr>
          <w:p w14:paraId="6CDF2B81" w14:textId="1038EC5A" w:rsidR="006F5BFE" w:rsidRPr="003B2277" w:rsidRDefault="006F5BFE" w:rsidP="004B4EB7">
            <w:pPr>
              <w:pStyle w:val="Normal6"/>
              <w:rPr>
                <w:szCs w:val="24"/>
              </w:rPr>
            </w:pPr>
            <w:r w:rsidRPr="003B2277">
              <w:rPr>
                <w:b/>
                <w:i/>
              </w:rPr>
              <w:t>(5</w:t>
            </w:r>
            <w:r w:rsidR="004B4EB7">
              <w:rPr>
                <w:b/>
                <w:i/>
              </w:rPr>
              <w:t>h</w:t>
            </w:r>
            <w:r w:rsidRPr="003B2277">
              <w:rPr>
                <w:b/>
                <w:i/>
              </w:rPr>
              <w:t>)</w:t>
            </w:r>
            <w:r w:rsidRPr="003B2277">
              <w:rPr>
                <w:b/>
                <w:i/>
              </w:rPr>
              <w:tab/>
              <w:t>člen 78 se nadomesti z naslednjim:</w:t>
            </w:r>
          </w:p>
        </w:tc>
      </w:tr>
      <w:tr w:rsidR="006F5BFE" w:rsidRPr="003B2277" w14:paraId="214AEF20" w14:textId="77777777" w:rsidTr="005B4D60">
        <w:trPr>
          <w:jc w:val="center"/>
        </w:trPr>
        <w:tc>
          <w:tcPr>
            <w:tcW w:w="4876" w:type="dxa"/>
            <w:hideMark/>
          </w:tcPr>
          <w:p w14:paraId="13CEB43C" w14:textId="77777777" w:rsidR="006F5BFE" w:rsidRPr="003B2277" w:rsidRDefault="006F5BFE" w:rsidP="005B4D60">
            <w:pPr>
              <w:pStyle w:val="Normal6"/>
            </w:pPr>
            <w:r w:rsidRPr="003B2277">
              <w:t>Člen 78</w:t>
            </w:r>
          </w:p>
        </w:tc>
        <w:tc>
          <w:tcPr>
            <w:tcW w:w="4876" w:type="dxa"/>
            <w:hideMark/>
          </w:tcPr>
          <w:p w14:paraId="7BE52860" w14:textId="77777777" w:rsidR="006F5BFE" w:rsidRPr="003B2277" w:rsidRDefault="006F5BFE" w:rsidP="005B4D60">
            <w:pPr>
              <w:pStyle w:val="Normal6"/>
              <w:rPr>
                <w:szCs w:val="24"/>
              </w:rPr>
            </w:pPr>
            <w:r w:rsidRPr="003B2277">
              <w:rPr>
                <w:b/>
                <w:i/>
              </w:rPr>
              <w:t>„</w:t>
            </w:r>
            <w:r w:rsidRPr="003B2277">
              <w:t>Člen 78</w:t>
            </w:r>
          </w:p>
        </w:tc>
      </w:tr>
      <w:tr w:rsidR="006F5BFE" w:rsidRPr="003B2277" w14:paraId="5626C7D4" w14:textId="77777777" w:rsidTr="005B4D60">
        <w:trPr>
          <w:jc w:val="center"/>
        </w:trPr>
        <w:tc>
          <w:tcPr>
            <w:tcW w:w="4876" w:type="dxa"/>
            <w:hideMark/>
          </w:tcPr>
          <w:p w14:paraId="52C46907" w14:textId="77777777" w:rsidR="006F5BFE" w:rsidRPr="003B2277" w:rsidRDefault="006F5BFE" w:rsidP="005B4D60">
            <w:pPr>
              <w:pStyle w:val="Normal6"/>
            </w:pPr>
            <w:r w:rsidRPr="003B2277">
              <w:t>Opredelitve, poimenovanja in prodajne oznake za nekatere sektorje in proizvode</w:t>
            </w:r>
          </w:p>
        </w:tc>
        <w:tc>
          <w:tcPr>
            <w:tcW w:w="4876" w:type="dxa"/>
            <w:hideMark/>
          </w:tcPr>
          <w:p w14:paraId="53FE198B" w14:textId="77777777" w:rsidR="006F5BFE" w:rsidRPr="003B2277" w:rsidRDefault="006F5BFE" w:rsidP="005B4D60">
            <w:pPr>
              <w:pStyle w:val="Normal6"/>
              <w:rPr>
                <w:szCs w:val="24"/>
              </w:rPr>
            </w:pPr>
            <w:r w:rsidRPr="003B2277">
              <w:t>Opredelitve, poimenovanja in prodajne oznake za nekatere sektorje in proizvode</w:t>
            </w:r>
          </w:p>
        </w:tc>
      </w:tr>
      <w:tr w:rsidR="006F5BFE" w:rsidRPr="003B2277" w14:paraId="1B4F0873" w14:textId="77777777" w:rsidTr="005B4D60">
        <w:trPr>
          <w:jc w:val="center"/>
        </w:trPr>
        <w:tc>
          <w:tcPr>
            <w:tcW w:w="4876" w:type="dxa"/>
            <w:hideMark/>
          </w:tcPr>
          <w:p w14:paraId="28CD0428" w14:textId="77777777" w:rsidR="006F5BFE" w:rsidRPr="003B2277" w:rsidRDefault="006F5BFE" w:rsidP="005B4D60">
            <w:pPr>
              <w:pStyle w:val="Normal6"/>
            </w:pPr>
            <w:r w:rsidRPr="003B2277">
              <w:t>1.</w:t>
            </w:r>
            <w:r w:rsidRPr="003B2277">
              <w:tab/>
              <w:t>Poleg tržnih standardov, ki se uporabljajo, kadar je ustrezno, se za naslednje sektorje ali proizvode uporabljajo opredelitve, poimenovanja in prodajne oznake iz Priloge VII:</w:t>
            </w:r>
          </w:p>
        </w:tc>
        <w:tc>
          <w:tcPr>
            <w:tcW w:w="4876" w:type="dxa"/>
            <w:hideMark/>
          </w:tcPr>
          <w:p w14:paraId="5C253AD6" w14:textId="77777777" w:rsidR="006F5BFE" w:rsidRPr="003B2277" w:rsidRDefault="006F5BFE" w:rsidP="005B4D60">
            <w:pPr>
              <w:pStyle w:val="Normal6"/>
              <w:rPr>
                <w:szCs w:val="24"/>
              </w:rPr>
            </w:pPr>
            <w:r w:rsidRPr="003B2277">
              <w:t>1.</w:t>
            </w:r>
            <w:r w:rsidRPr="003B2277">
              <w:tab/>
              <w:t>Poleg tržnih standardov, ki se uporabljajo, kadar je ustrezno, se za naslednje sektorje ali proizvode uporabljajo opredelitve, poimenovanja in prodajne oznake iz Priloge VII:</w:t>
            </w:r>
          </w:p>
        </w:tc>
      </w:tr>
      <w:tr w:rsidR="006F5BFE" w:rsidRPr="003B2277" w14:paraId="70DD04E9" w14:textId="77777777" w:rsidTr="005B4D60">
        <w:trPr>
          <w:jc w:val="center"/>
        </w:trPr>
        <w:tc>
          <w:tcPr>
            <w:tcW w:w="4876" w:type="dxa"/>
            <w:hideMark/>
          </w:tcPr>
          <w:p w14:paraId="4203DC0C" w14:textId="77777777" w:rsidR="006F5BFE" w:rsidRPr="003B2277" w:rsidRDefault="006F5BFE" w:rsidP="005B4D60">
            <w:pPr>
              <w:pStyle w:val="Normal6"/>
            </w:pPr>
            <w:r w:rsidRPr="003B2277">
              <w:t>(a) goveje in telečje meso;</w:t>
            </w:r>
          </w:p>
        </w:tc>
        <w:tc>
          <w:tcPr>
            <w:tcW w:w="4876" w:type="dxa"/>
            <w:hideMark/>
          </w:tcPr>
          <w:p w14:paraId="291DA203" w14:textId="77777777" w:rsidR="006F5BFE" w:rsidRPr="003B2277" w:rsidRDefault="006F5BFE" w:rsidP="005B4D60">
            <w:pPr>
              <w:pStyle w:val="Normal6"/>
              <w:rPr>
                <w:szCs w:val="24"/>
              </w:rPr>
            </w:pPr>
            <w:r w:rsidRPr="003B2277">
              <w:t>(a) goveje in telečje meso;</w:t>
            </w:r>
          </w:p>
        </w:tc>
      </w:tr>
      <w:tr w:rsidR="006F5BFE" w:rsidRPr="003B2277" w14:paraId="35BCB232" w14:textId="77777777" w:rsidTr="005B4D60">
        <w:trPr>
          <w:jc w:val="center"/>
        </w:trPr>
        <w:tc>
          <w:tcPr>
            <w:tcW w:w="4876" w:type="dxa"/>
          </w:tcPr>
          <w:p w14:paraId="6A1244D8" w14:textId="77777777" w:rsidR="006F5BFE" w:rsidRPr="003B2277" w:rsidRDefault="006F5BFE" w:rsidP="005B4D60">
            <w:pPr>
              <w:pStyle w:val="Normal6"/>
            </w:pPr>
          </w:p>
        </w:tc>
        <w:tc>
          <w:tcPr>
            <w:tcW w:w="4876" w:type="dxa"/>
            <w:hideMark/>
          </w:tcPr>
          <w:p w14:paraId="59E80961" w14:textId="77777777" w:rsidR="006F5BFE" w:rsidRPr="003B2277" w:rsidRDefault="006F5BFE" w:rsidP="005B4D60">
            <w:pPr>
              <w:pStyle w:val="Normal6"/>
              <w:rPr>
                <w:szCs w:val="24"/>
              </w:rPr>
            </w:pPr>
            <w:r w:rsidRPr="003B2277">
              <w:rPr>
                <w:b/>
                <w:i/>
              </w:rPr>
              <w:t>(aa) ovčje in jagnječje meso;</w:t>
            </w:r>
          </w:p>
        </w:tc>
      </w:tr>
      <w:tr w:rsidR="006F5BFE" w:rsidRPr="003B2277" w14:paraId="7BE66F5C" w14:textId="77777777" w:rsidTr="005B4D60">
        <w:trPr>
          <w:jc w:val="center"/>
        </w:trPr>
        <w:tc>
          <w:tcPr>
            <w:tcW w:w="4876" w:type="dxa"/>
          </w:tcPr>
          <w:p w14:paraId="230CE77B" w14:textId="77777777" w:rsidR="006F5BFE" w:rsidRPr="003B2277" w:rsidRDefault="006F5BFE" w:rsidP="005B4D60">
            <w:pPr>
              <w:pStyle w:val="Normal6"/>
            </w:pPr>
            <w:r w:rsidRPr="003B2277">
              <w:t>(b) vino;</w:t>
            </w:r>
          </w:p>
        </w:tc>
        <w:tc>
          <w:tcPr>
            <w:tcW w:w="4876" w:type="dxa"/>
            <w:hideMark/>
          </w:tcPr>
          <w:p w14:paraId="41191FD1" w14:textId="77777777" w:rsidR="006F5BFE" w:rsidRPr="003B2277" w:rsidRDefault="006F5BFE" w:rsidP="005B4D60">
            <w:pPr>
              <w:pStyle w:val="Normal6"/>
              <w:rPr>
                <w:szCs w:val="24"/>
              </w:rPr>
            </w:pPr>
            <w:r w:rsidRPr="003B2277">
              <w:t>(b) vino;</w:t>
            </w:r>
          </w:p>
        </w:tc>
      </w:tr>
      <w:tr w:rsidR="006F5BFE" w:rsidRPr="003B2277" w14:paraId="5E2AC6CA" w14:textId="77777777" w:rsidTr="005B4D60">
        <w:trPr>
          <w:jc w:val="center"/>
        </w:trPr>
        <w:tc>
          <w:tcPr>
            <w:tcW w:w="4876" w:type="dxa"/>
          </w:tcPr>
          <w:p w14:paraId="524B25D7" w14:textId="77777777" w:rsidR="006F5BFE" w:rsidRPr="003B2277" w:rsidRDefault="006F5BFE" w:rsidP="005B4D60">
            <w:pPr>
              <w:pStyle w:val="Normal6"/>
            </w:pPr>
            <w:r w:rsidRPr="003B2277">
              <w:t>(c) mleko in mlečne proizvode, namenjene za prehrano ljudi;</w:t>
            </w:r>
          </w:p>
        </w:tc>
        <w:tc>
          <w:tcPr>
            <w:tcW w:w="4876" w:type="dxa"/>
            <w:hideMark/>
          </w:tcPr>
          <w:p w14:paraId="27F7880B" w14:textId="77777777" w:rsidR="006F5BFE" w:rsidRPr="003B2277" w:rsidRDefault="006F5BFE" w:rsidP="005B4D60">
            <w:pPr>
              <w:pStyle w:val="Normal6"/>
              <w:rPr>
                <w:szCs w:val="24"/>
              </w:rPr>
            </w:pPr>
            <w:r w:rsidRPr="003B2277">
              <w:t>(c) mleko in mlečne proizvode, namenjene za prehrano ljudi;</w:t>
            </w:r>
          </w:p>
        </w:tc>
      </w:tr>
      <w:tr w:rsidR="006F5BFE" w:rsidRPr="003B2277" w14:paraId="210EC95D" w14:textId="77777777" w:rsidTr="005B4D60">
        <w:trPr>
          <w:jc w:val="center"/>
        </w:trPr>
        <w:tc>
          <w:tcPr>
            <w:tcW w:w="4876" w:type="dxa"/>
          </w:tcPr>
          <w:p w14:paraId="2A192773" w14:textId="77777777" w:rsidR="006F5BFE" w:rsidRPr="003B2277" w:rsidRDefault="006F5BFE" w:rsidP="005B4D60">
            <w:pPr>
              <w:pStyle w:val="Normal6"/>
            </w:pPr>
            <w:r w:rsidRPr="003B2277">
              <w:t>(d) perutnino;</w:t>
            </w:r>
          </w:p>
        </w:tc>
        <w:tc>
          <w:tcPr>
            <w:tcW w:w="4876" w:type="dxa"/>
            <w:hideMark/>
          </w:tcPr>
          <w:p w14:paraId="220B281E" w14:textId="77777777" w:rsidR="006F5BFE" w:rsidRPr="003B2277" w:rsidRDefault="006F5BFE" w:rsidP="005B4D60">
            <w:pPr>
              <w:pStyle w:val="Normal6"/>
              <w:rPr>
                <w:szCs w:val="24"/>
              </w:rPr>
            </w:pPr>
            <w:r w:rsidRPr="003B2277">
              <w:t>(d) perutnino;</w:t>
            </w:r>
          </w:p>
        </w:tc>
      </w:tr>
      <w:tr w:rsidR="006F5BFE" w:rsidRPr="003B2277" w14:paraId="2DD08808" w14:textId="77777777" w:rsidTr="005B4D60">
        <w:trPr>
          <w:jc w:val="center"/>
        </w:trPr>
        <w:tc>
          <w:tcPr>
            <w:tcW w:w="4876" w:type="dxa"/>
          </w:tcPr>
          <w:p w14:paraId="4F4FACAE" w14:textId="77777777" w:rsidR="006F5BFE" w:rsidRPr="003B2277" w:rsidRDefault="006F5BFE" w:rsidP="005B4D60">
            <w:pPr>
              <w:pStyle w:val="Normal6"/>
            </w:pPr>
            <w:r w:rsidRPr="003B2277">
              <w:t>(e) jajca;</w:t>
            </w:r>
          </w:p>
        </w:tc>
        <w:tc>
          <w:tcPr>
            <w:tcW w:w="4876" w:type="dxa"/>
            <w:hideMark/>
          </w:tcPr>
          <w:p w14:paraId="3EA07C62" w14:textId="77777777" w:rsidR="006F5BFE" w:rsidRPr="003B2277" w:rsidRDefault="006F5BFE" w:rsidP="005B4D60">
            <w:pPr>
              <w:pStyle w:val="Normal6"/>
              <w:rPr>
                <w:szCs w:val="24"/>
              </w:rPr>
            </w:pPr>
            <w:r w:rsidRPr="003B2277">
              <w:t>(e) jajca;</w:t>
            </w:r>
          </w:p>
        </w:tc>
      </w:tr>
      <w:tr w:rsidR="006F5BFE" w:rsidRPr="003B2277" w14:paraId="59C75A83" w14:textId="77777777" w:rsidTr="005B4D60">
        <w:trPr>
          <w:jc w:val="center"/>
        </w:trPr>
        <w:tc>
          <w:tcPr>
            <w:tcW w:w="4876" w:type="dxa"/>
          </w:tcPr>
          <w:p w14:paraId="33FF58DF" w14:textId="77777777" w:rsidR="006F5BFE" w:rsidRPr="003B2277" w:rsidRDefault="006F5BFE" w:rsidP="005B4D60">
            <w:pPr>
              <w:pStyle w:val="Normal6"/>
            </w:pPr>
            <w:r w:rsidRPr="003B2277">
              <w:t>(f) mazave maščobe, namenjene za prehrano ljudi ter</w:t>
            </w:r>
          </w:p>
        </w:tc>
        <w:tc>
          <w:tcPr>
            <w:tcW w:w="4876" w:type="dxa"/>
            <w:hideMark/>
          </w:tcPr>
          <w:p w14:paraId="6601452A" w14:textId="77777777" w:rsidR="006F5BFE" w:rsidRPr="003B2277" w:rsidRDefault="006F5BFE" w:rsidP="005B4D60">
            <w:pPr>
              <w:pStyle w:val="Normal6"/>
              <w:rPr>
                <w:szCs w:val="24"/>
              </w:rPr>
            </w:pPr>
            <w:r w:rsidRPr="003B2277">
              <w:t>(f) mazave maščobe, namenjene za prehrano ljudi ter</w:t>
            </w:r>
          </w:p>
        </w:tc>
      </w:tr>
      <w:tr w:rsidR="006F5BFE" w:rsidRPr="003B2277" w14:paraId="3ED014A2" w14:textId="77777777" w:rsidTr="005B4D60">
        <w:trPr>
          <w:jc w:val="center"/>
        </w:trPr>
        <w:tc>
          <w:tcPr>
            <w:tcW w:w="4876" w:type="dxa"/>
          </w:tcPr>
          <w:p w14:paraId="4FE82FE7" w14:textId="77777777" w:rsidR="006F5BFE" w:rsidRPr="003B2277" w:rsidRDefault="006F5BFE" w:rsidP="005B4D60">
            <w:pPr>
              <w:pStyle w:val="Normal6"/>
            </w:pPr>
            <w:r w:rsidRPr="003B2277">
              <w:t>(g) oljčno olje in namizne oljke.</w:t>
            </w:r>
          </w:p>
        </w:tc>
        <w:tc>
          <w:tcPr>
            <w:tcW w:w="4876" w:type="dxa"/>
            <w:hideMark/>
          </w:tcPr>
          <w:p w14:paraId="1982825E" w14:textId="77777777" w:rsidR="006F5BFE" w:rsidRPr="003B2277" w:rsidRDefault="006F5BFE" w:rsidP="005B4D60">
            <w:pPr>
              <w:pStyle w:val="Normal6"/>
              <w:rPr>
                <w:szCs w:val="24"/>
              </w:rPr>
            </w:pPr>
            <w:r w:rsidRPr="003B2277">
              <w:t>(g) oljčno olje in namizne oljke.</w:t>
            </w:r>
          </w:p>
        </w:tc>
      </w:tr>
      <w:tr w:rsidR="006F5BFE" w:rsidRPr="003B2277" w14:paraId="7C9D6BC0" w14:textId="77777777" w:rsidTr="005B4D60">
        <w:trPr>
          <w:jc w:val="center"/>
        </w:trPr>
        <w:tc>
          <w:tcPr>
            <w:tcW w:w="4876" w:type="dxa"/>
          </w:tcPr>
          <w:p w14:paraId="4FB46570" w14:textId="77777777" w:rsidR="006F5BFE" w:rsidRPr="003B2277" w:rsidRDefault="006F5BFE" w:rsidP="005B4D60">
            <w:pPr>
              <w:pStyle w:val="Normal6"/>
            </w:pPr>
            <w:r w:rsidRPr="003B2277">
              <w:t>2.</w:t>
            </w:r>
            <w:r w:rsidRPr="003B2277">
              <w:tab/>
              <w:t>Opredelitve, poimenovanja ali prodajne oznake iz Priloge VII se lahko v Uniji uporabijo le za trženje proizvoda, ki izpolnjuje ustrezne zahteve iz navedene priloge.</w:t>
            </w:r>
          </w:p>
        </w:tc>
        <w:tc>
          <w:tcPr>
            <w:tcW w:w="4876" w:type="dxa"/>
            <w:hideMark/>
          </w:tcPr>
          <w:p w14:paraId="56A46AAE" w14:textId="77777777" w:rsidR="006F5BFE" w:rsidRPr="003B2277" w:rsidRDefault="006F5BFE" w:rsidP="005B4D60">
            <w:pPr>
              <w:pStyle w:val="Normal6"/>
              <w:rPr>
                <w:szCs w:val="24"/>
              </w:rPr>
            </w:pPr>
            <w:r w:rsidRPr="003B2277">
              <w:t>2.</w:t>
            </w:r>
            <w:r w:rsidRPr="003B2277">
              <w:tab/>
              <w:t xml:space="preserve">Opredelitve, poimenovanja ali prodajne oznake iz Priloge VII se lahko v Uniji uporabijo le za trženje </w:t>
            </w:r>
            <w:r w:rsidRPr="003B2277">
              <w:rPr>
                <w:b/>
                <w:i/>
              </w:rPr>
              <w:t xml:space="preserve">in promocijo </w:t>
            </w:r>
            <w:r w:rsidRPr="003B2277">
              <w:t xml:space="preserve">proizvoda, ki izpolnjuje ustrezne zahteve iz navedene priloge. </w:t>
            </w:r>
            <w:r w:rsidRPr="003B2277">
              <w:rPr>
                <w:b/>
                <w:i/>
              </w:rPr>
              <w:t>V Prilogi VII so lahko določeni pogoji za zaščito poimenovanja ali prodajne oznake pri trženju ali promociji pred komercialno uporabo, zlorabo, posnemanjem in nedovoljenim navajanjem.</w:t>
            </w:r>
          </w:p>
        </w:tc>
      </w:tr>
      <w:tr w:rsidR="006F5BFE" w:rsidRPr="003B2277" w14:paraId="56A185AC" w14:textId="77777777" w:rsidTr="005B4D60">
        <w:trPr>
          <w:jc w:val="center"/>
        </w:trPr>
        <w:tc>
          <w:tcPr>
            <w:tcW w:w="4876" w:type="dxa"/>
          </w:tcPr>
          <w:p w14:paraId="3E3B9D16" w14:textId="77777777" w:rsidR="006F5BFE" w:rsidRPr="003B2277" w:rsidRDefault="006F5BFE" w:rsidP="005B4D60">
            <w:pPr>
              <w:pStyle w:val="Normal6"/>
            </w:pPr>
            <w:r w:rsidRPr="003B2277">
              <w:t>3.</w:t>
            </w:r>
            <w:r w:rsidRPr="003B2277">
              <w:tab/>
              <w:t>Na Komisijo se prenese pooblastilo za sprejemanje delegiranih aktov v skladu s členom 227 o spremembah opredelitev in prodajnih oznak iz Priloge VII, odstopanju od njih ali izjemah v zvezi z njimi. Ti delegirani akti so strogo omejeni na dejanske potrebe, ki nastanejo zaradi razvoja potrošniškega povpraševanja, tehničnega napredka ali potreb po inovacijah pri proizvodih.</w:t>
            </w:r>
          </w:p>
        </w:tc>
        <w:tc>
          <w:tcPr>
            <w:tcW w:w="4876" w:type="dxa"/>
            <w:hideMark/>
          </w:tcPr>
          <w:p w14:paraId="1006240B" w14:textId="77777777" w:rsidR="006F5BFE" w:rsidRPr="003B2277" w:rsidRDefault="006F5BFE" w:rsidP="005B4D60">
            <w:pPr>
              <w:pStyle w:val="Normal6"/>
              <w:rPr>
                <w:szCs w:val="24"/>
              </w:rPr>
            </w:pPr>
            <w:r w:rsidRPr="003B2277">
              <w:t>3.</w:t>
            </w:r>
            <w:r w:rsidRPr="003B2277">
              <w:tab/>
              <w:t>Na Komisijo se prenese pooblastilo za sprejemanje delegiranih aktov v skladu s členom 227 o spremembah opredelitev in prodajnih oznak iz Priloge VII, odstopanju od njih ali izjemah v zvezi z njimi. Ti delegirani akti so strogo omejeni na dejanske potrebe, ki nastanejo zaradi razvoja potrošniškega povpraševanja, tehničnega napredka ali potreb po inovacijah pri proizvodih.</w:t>
            </w:r>
          </w:p>
        </w:tc>
      </w:tr>
      <w:tr w:rsidR="006F5BFE" w:rsidRPr="003B2277" w14:paraId="34DF1875" w14:textId="77777777" w:rsidTr="005B4D60">
        <w:trPr>
          <w:jc w:val="center"/>
        </w:trPr>
        <w:tc>
          <w:tcPr>
            <w:tcW w:w="4876" w:type="dxa"/>
          </w:tcPr>
          <w:p w14:paraId="0D9202DC" w14:textId="77777777" w:rsidR="006F5BFE" w:rsidRPr="003B2277" w:rsidRDefault="006F5BFE" w:rsidP="005B4D60">
            <w:pPr>
              <w:pStyle w:val="Normal6"/>
            </w:pPr>
            <w:r w:rsidRPr="003B2277">
              <w:t>4.</w:t>
            </w:r>
            <w:r w:rsidRPr="003B2277">
              <w:tab/>
              <w:t>Da bi zagotovili, da bodo izvajalci in države članice jasno in pravilno razumeli opredelitve in prodajne oznake, določene v Prilogi VII, se na Komisijo prenese pooblastilo za sprejemanje delegiranih aktov v skladu s členom 227 v zvezi s pravili za določitev in uporabo teh opredelitev in oznak.</w:t>
            </w:r>
          </w:p>
        </w:tc>
        <w:tc>
          <w:tcPr>
            <w:tcW w:w="4876" w:type="dxa"/>
            <w:hideMark/>
          </w:tcPr>
          <w:p w14:paraId="35847090" w14:textId="77777777" w:rsidR="006F5BFE" w:rsidRPr="003B2277" w:rsidRDefault="006F5BFE" w:rsidP="005B4D60">
            <w:pPr>
              <w:pStyle w:val="Normal6"/>
              <w:rPr>
                <w:szCs w:val="24"/>
              </w:rPr>
            </w:pPr>
            <w:r w:rsidRPr="003B2277">
              <w:t>4.</w:t>
            </w:r>
            <w:r w:rsidRPr="003B2277">
              <w:tab/>
              <w:t>Da bi zagotovili, da bodo izvajalci in države članice jasno in pravilno razumeli opredelitve in prodajne oznake, določene v Prilogi VII, se na Komisijo prenese pooblastilo za sprejemanje delegiranih aktov v skladu s členom 227 v zvezi s pravili za določitev in uporabo teh opredelitev in oznak.</w:t>
            </w:r>
          </w:p>
        </w:tc>
      </w:tr>
      <w:tr w:rsidR="006F5BFE" w:rsidRPr="003B2277" w14:paraId="61947B06" w14:textId="77777777" w:rsidTr="005B4D60">
        <w:trPr>
          <w:jc w:val="center"/>
        </w:trPr>
        <w:tc>
          <w:tcPr>
            <w:tcW w:w="4876" w:type="dxa"/>
          </w:tcPr>
          <w:p w14:paraId="6DBA19AB" w14:textId="77777777" w:rsidR="006F5BFE" w:rsidRPr="003B2277" w:rsidRDefault="006F5BFE" w:rsidP="005B4D60">
            <w:pPr>
              <w:pStyle w:val="Normal6"/>
            </w:pPr>
            <w:r w:rsidRPr="003B2277">
              <w:t>5.</w:t>
            </w:r>
            <w:r w:rsidRPr="003B2277">
              <w:tab/>
              <w:t>Da se upoštevajo pričakovanja potrošnikov in razvoj na trgu mlečnih proizvodov, se na Komisijo prenese pooblastilo za sprejemanje delegiranih aktov v skladu s členom 227, s katerimi se določijo mlečni proizvodi, za katere se navedejo živalske vrste izvora mleka, razen goveda, ter potrebna zadevna pravila.“</w:t>
            </w:r>
          </w:p>
        </w:tc>
        <w:tc>
          <w:tcPr>
            <w:tcW w:w="4876" w:type="dxa"/>
            <w:hideMark/>
          </w:tcPr>
          <w:p w14:paraId="177794CF" w14:textId="114BF7A3" w:rsidR="006F5BFE" w:rsidRPr="003B2277" w:rsidRDefault="006F5BFE" w:rsidP="005B4D60">
            <w:pPr>
              <w:pStyle w:val="Normal6"/>
              <w:rPr>
                <w:szCs w:val="24"/>
              </w:rPr>
            </w:pPr>
            <w:r w:rsidRPr="003B2277">
              <w:t>5.</w:t>
            </w:r>
            <w:r w:rsidRPr="003B2277">
              <w:tab/>
              <w:t>Da se upoštevajo pričakovanja potrošnikov in razvoj na trgu mlečnih proizvodov, se na Komisijo prenese pooblastilo za sprejemanje delegiranih aktov v skladu s členom 227, s katerimi se določijo mlečni proizvodi, za katere se navedejo živalske vrste izvora mleka, razen goveda, ter potrebna zadevna pravila.</w:t>
            </w:r>
            <w:r w:rsidRPr="003B2277">
              <w:rPr>
                <w:b/>
                <w:i/>
              </w:rPr>
              <w:t>“</w:t>
            </w:r>
          </w:p>
        </w:tc>
      </w:tr>
    </w:tbl>
    <w:p w14:paraId="5582EE84" w14:textId="02BD421E" w:rsidR="006F5BFE" w:rsidRPr="003B2277" w:rsidRDefault="003B2277" w:rsidP="006F5BFE">
      <w:pPr>
        <w:pStyle w:val="AMNumberTabs"/>
        <w:keepNext/>
      </w:pPr>
      <w:r>
        <w:t>Sprememba</w:t>
      </w:r>
      <w:r w:rsidR="006F5BFE" w:rsidRPr="003B2277">
        <w:tab/>
      </w:r>
      <w:r w:rsidR="006F5BFE" w:rsidRPr="003B2277">
        <w:tab/>
        <w:t>73</w:t>
      </w:r>
    </w:p>
    <w:p w14:paraId="1B0530F8" w14:textId="77777777" w:rsidR="006F5BFE" w:rsidRPr="003B2277" w:rsidRDefault="006F5BFE" w:rsidP="006F5BFE">
      <w:pPr>
        <w:pStyle w:val="NormalBold12b"/>
      </w:pPr>
      <w:r w:rsidRPr="003B2277">
        <w:t>Predlog uredbe</w:t>
      </w:r>
    </w:p>
    <w:p w14:paraId="31346CF7" w14:textId="7F78C6B1" w:rsidR="006F5BFE" w:rsidRPr="003B2277" w:rsidRDefault="006F5BFE" w:rsidP="006F5BFE">
      <w:pPr>
        <w:pStyle w:val="NormalBold"/>
      </w:pPr>
      <w:r w:rsidRPr="003B2277">
        <w:t xml:space="preserve">Člen 1 – odstavek 1 – točka 5 </w:t>
      </w:r>
      <w:r w:rsidR="004B4EB7">
        <w:t>i</w:t>
      </w:r>
      <w:r w:rsidRPr="003B2277">
        <w:t xml:space="preserve"> (novo)</w:t>
      </w:r>
    </w:p>
    <w:p w14:paraId="43451586" w14:textId="77777777" w:rsidR="006F5BFE" w:rsidRPr="003B2277" w:rsidRDefault="006F5BFE" w:rsidP="006F5BFE">
      <w:pPr>
        <w:keepNext/>
      </w:pPr>
      <w:r w:rsidRPr="003B2277">
        <w:t>Uredba (EU) št. 1308/2013</w:t>
      </w:r>
    </w:p>
    <w:p w14:paraId="4C578EB2" w14:textId="77777777" w:rsidR="006F5BFE" w:rsidRPr="003B2277" w:rsidRDefault="006F5BFE" w:rsidP="006F5BFE">
      <w:r w:rsidRPr="003B2277">
        <w:t>Člen 79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BBDE080" w14:textId="77777777" w:rsidTr="005B4D60">
        <w:trPr>
          <w:jc w:val="center"/>
        </w:trPr>
        <w:tc>
          <w:tcPr>
            <w:tcW w:w="9752" w:type="dxa"/>
            <w:gridSpan w:val="2"/>
          </w:tcPr>
          <w:p w14:paraId="560A1469" w14:textId="77777777" w:rsidR="006F5BFE" w:rsidRPr="003B2277" w:rsidRDefault="006F5BFE" w:rsidP="005B4D60">
            <w:pPr>
              <w:keepNext/>
            </w:pPr>
          </w:p>
        </w:tc>
      </w:tr>
      <w:tr w:rsidR="006F5BFE" w:rsidRPr="003B2277" w14:paraId="0CD29F2B" w14:textId="77777777" w:rsidTr="005B4D60">
        <w:trPr>
          <w:jc w:val="center"/>
        </w:trPr>
        <w:tc>
          <w:tcPr>
            <w:tcW w:w="4876" w:type="dxa"/>
            <w:hideMark/>
          </w:tcPr>
          <w:p w14:paraId="1E5A7EF8" w14:textId="77777777" w:rsidR="006F5BFE" w:rsidRPr="003B2277" w:rsidRDefault="006F5BFE" w:rsidP="005B4D60">
            <w:pPr>
              <w:pStyle w:val="ColumnHeading"/>
              <w:keepNext/>
            </w:pPr>
            <w:r w:rsidRPr="003B2277">
              <w:t>Besedilo, ki ga predlaga Komisija</w:t>
            </w:r>
          </w:p>
        </w:tc>
        <w:tc>
          <w:tcPr>
            <w:tcW w:w="4876" w:type="dxa"/>
            <w:hideMark/>
          </w:tcPr>
          <w:p w14:paraId="10C5BC39" w14:textId="319E300C" w:rsidR="006F5BFE" w:rsidRPr="003B2277" w:rsidRDefault="003B2277" w:rsidP="005B4D60">
            <w:pPr>
              <w:pStyle w:val="ColumnHeading"/>
              <w:keepNext/>
            </w:pPr>
            <w:r>
              <w:t>Sprememba</w:t>
            </w:r>
          </w:p>
        </w:tc>
      </w:tr>
      <w:tr w:rsidR="006F5BFE" w:rsidRPr="003B2277" w14:paraId="46735F4B" w14:textId="77777777" w:rsidTr="005B4D60">
        <w:trPr>
          <w:jc w:val="center"/>
        </w:trPr>
        <w:tc>
          <w:tcPr>
            <w:tcW w:w="4876" w:type="dxa"/>
          </w:tcPr>
          <w:p w14:paraId="0730DA8A" w14:textId="77777777" w:rsidR="006F5BFE" w:rsidRPr="003B2277" w:rsidRDefault="006F5BFE" w:rsidP="005B4D60">
            <w:pPr>
              <w:pStyle w:val="Normal6"/>
            </w:pPr>
          </w:p>
        </w:tc>
        <w:tc>
          <w:tcPr>
            <w:tcW w:w="4876" w:type="dxa"/>
            <w:hideMark/>
          </w:tcPr>
          <w:p w14:paraId="783C9029" w14:textId="576B79D2" w:rsidR="006F5BFE" w:rsidRPr="003B2277" w:rsidRDefault="006F5BFE" w:rsidP="005B4D60">
            <w:pPr>
              <w:pStyle w:val="Normal6"/>
              <w:rPr>
                <w:szCs w:val="24"/>
              </w:rPr>
            </w:pPr>
            <w:r w:rsidRPr="003B2277">
              <w:rPr>
                <w:b/>
                <w:i/>
              </w:rPr>
              <w:t>(5</w:t>
            </w:r>
            <w:r w:rsidR="004B4EB7">
              <w:rPr>
                <w:b/>
                <w:i/>
              </w:rPr>
              <w:t>i</w:t>
            </w:r>
            <w:r w:rsidRPr="003B2277">
              <w:rPr>
                <w:b/>
                <w:i/>
              </w:rPr>
              <w:t>)</w:t>
            </w:r>
            <w:r w:rsidRPr="003B2277">
              <w:rPr>
                <w:b/>
                <w:i/>
              </w:rPr>
              <w:tab/>
              <w:t>vstavi se naslednji člen:</w:t>
            </w:r>
          </w:p>
        </w:tc>
      </w:tr>
      <w:tr w:rsidR="006F5BFE" w:rsidRPr="003B2277" w14:paraId="59C5E215" w14:textId="77777777" w:rsidTr="005B4D60">
        <w:trPr>
          <w:jc w:val="center"/>
        </w:trPr>
        <w:tc>
          <w:tcPr>
            <w:tcW w:w="4876" w:type="dxa"/>
          </w:tcPr>
          <w:p w14:paraId="531B9763" w14:textId="77777777" w:rsidR="006F5BFE" w:rsidRPr="003B2277" w:rsidRDefault="006F5BFE" w:rsidP="005B4D60">
            <w:pPr>
              <w:pStyle w:val="Normal6"/>
            </w:pPr>
          </w:p>
        </w:tc>
        <w:tc>
          <w:tcPr>
            <w:tcW w:w="4876" w:type="dxa"/>
          </w:tcPr>
          <w:p w14:paraId="648B9451" w14:textId="22112A10" w:rsidR="006F5BFE" w:rsidRPr="003B2277" w:rsidRDefault="004B4EB7" w:rsidP="005B4D60">
            <w:pPr>
              <w:pStyle w:val="Normal6"/>
              <w:rPr>
                <w:b/>
                <w:i/>
              </w:rPr>
            </w:pPr>
            <w:r>
              <w:rPr>
                <w:b/>
                <w:i/>
              </w:rPr>
              <w:t>„</w:t>
            </w:r>
            <w:r w:rsidR="006F5BFE" w:rsidRPr="003B2277">
              <w:rPr>
                <w:b/>
                <w:i/>
              </w:rPr>
              <w:t>Člen 79a</w:t>
            </w:r>
          </w:p>
        </w:tc>
      </w:tr>
      <w:tr w:rsidR="006F5BFE" w:rsidRPr="003B2277" w14:paraId="35A45ABE" w14:textId="77777777" w:rsidTr="005B4D60">
        <w:trPr>
          <w:jc w:val="center"/>
        </w:trPr>
        <w:tc>
          <w:tcPr>
            <w:tcW w:w="4876" w:type="dxa"/>
          </w:tcPr>
          <w:p w14:paraId="177F26BC" w14:textId="77777777" w:rsidR="006F5BFE" w:rsidRPr="003B2277" w:rsidRDefault="006F5BFE" w:rsidP="005B4D60">
            <w:pPr>
              <w:pStyle w:val="Normal6"/>
            </w:pPr>
          </w:p>
        </w:tc>
        <w:tc>
          <w:tcPr>
            <w:tcW w:w="4876" w:type="dxa"/>
            <w:hideMark/>
          </w:tcPr>
          <w:p w14:paraId="03FDAB61" w14:textId="77777777" w:rsidR="006F5BFE" w:rsidRPr="003B2277" w:rsidRDefault="006F5BFE" w:rsidP="005B4D60">
            <w:pPr>
              <w:pStyle w:val="Normal6"/>
              <w:rPr>
                <w:szCs w:val="24"/>
              </w:rPr>
            </w:pPr>
            <w:r w:rsidRPr="003B2277">
              <w:rPr>
                <w:b/>
                <w:i/>
              </w:rPr>
              <w:t>Mešanica oljčnega olja z drugimi rastlinskimi olji</w:t>
            </w:r>
          </w:p>
        </w:tc>
      </w:tr>
      <w:tr w:rsidR="006F5BFE" w:rsidRPr="003B2277" w14:paraId="4AFEEB8A" w14:textId="77777777" w:rsidTr="005B4D60">
        <w:trPr>
          <w:jc w:val="center"/>
        </w:trPr>
        <w:tc>
          <w:tcPr>
            <w:tcW w:w="4876" w:type="dxa"/>
          </w:tcPr>
          <w:p w14:paraId="7D39EED5" w14:textId="77777777" w:rsidR="006F5BFE" w:rsidRPr="003B2277" w:rsidRDefault="006F5BFE" w:rsidP="005B4D60">
            <w:pPr>
              <w:pStyle w:val="Normal6"/>
            </w:pPr>
          </w:p>
        </w:tc>
        <w:tc>
          <w:tcPr>
            <w:tcW w:w="4876" w:type="dxa"/>
            <w:hideMark/>
          </w:tcPr>
          <w:p w14:paraId="328C49FB" w14:textId="77777777" w:rsidR="006F5BFE" w:rsidRPr="003B2277" w:rsidRDefault="006F5BFE" w:rsidP="005B4D60">
            <w:pPr>
              <w:pStyle w:val="Normal6"/>
              <w:rPr>
                <w:szCs w:val="24"/>
              </w:rPr>
            </w:pPr>
            <w:r w:rsidRPr="003B2277">
              <w:rPr>
                <w:b/>
                <w:i/>
              </w:rPr>
              <w:t>1.</w:t>
            </w:r>
            <w:r w:rsidRPr="003B2277">
              <w:rPr>
                <w:b/>
                <w:i/>
              </w:rPr>
              <w:tab/>
              <w:t>Mešanje oljčnega olja in drugih rastlinskih olj je prepovedano.</w:t>
            </w:r>
          </w:p>
        </w:tc>
      </w:tr>
      <w:tr w:rsidR="006F5BFE" w:rsidRPr="003B2277" w14:paraId="2D69EB1C" w14:textId="77777777" w:rsidTr="005B4D60">
        <w:trPr>
          <w:jc w:val="center"/>
        </w:trPr>
        <w:tc>
          <w:tcPr>
            <w:tcW w:w="4876" w:type="dxa"/>
          </w:tcPr>
          <w:p w14:paraId="309EE04E" w14:textId="77777777" w:rsidR="006F5BFE" w:rsidRPr="003B2277" w:rsidRDefault="006F5BFE" w:rsidP="005B4D60">
            <w:pPr>
              <w:pStyle w:val="Normal6"/>
            </w:pPr>
          </w:p>
        </w:tc>
        <w:tc>
          <w:tcPr>
            <w:tcW w:w="4876" w:type="dxa"/>
            <w:hideMark/>
          </w:tcPr>
          <w:p w14:paraId="5A0FDBA3" w14:textId="07877CA3" w:rsidR="006F5BFE" w:rsidRPr="003B2277" w:rsidRDefault="006F5BFE" w:rsidP="005B4D60">
            <w:pPr>
              <w:pStyle w:val="Normal6"/>
              <w:rPr>
                <w:szCs w:val="24"/>
              </w:rPr>
            </w:pPr>
            <w:r w:rsidRPr="003B2277">
              <w:rPr>
                <w:b/>
                <w:i/>
              </w:rPr>
              <w:t>2.</w:t>
            </w:r>
            <w:r w:rsidRPr="003B2277">
              <w:rPr>
                <w:b/>
                <w:i/>
              </w:rPr>
              <w:tab/>
              <w:t>Na Komisijo se prenese pooblastilo za sprejemanje delegiranih aktov v skladu s členom 227 za uvedbo kazni za izvajalce, ki ne spoštujejo odstavka 1 tega člena.</w:t>
            </w:r>
            <w:r w:rsidR="004B4EB7">
              <w:rPr>
                <w:b/>
                <w:i/>
              </w:rPr>
              <w:t>“</w:t>
            </w:r>
          </w:p>
        </w:tc>
      </w:tr>
    </w:tbl>
    <w:p w14:paraId="1CC762DA" w14:textId="77777777" w:rsidR="006F5BFE" w:rsidRPr="003B2277" w:rsidRDefault="006F5BFE" w:rsidP="006F5BFE"/>
    <w:p w14:paraId="282818D1" w14:textId="1CA60A37" w:rsidR="006F5BFE" w:rsidRPr="003B2277" w:rsidRDefault="003B2277" w:rsidP="006F5BFE">
      <w:pPr>
        <w:pStyle w:val="AMNumberTabs"/>
        <w:keepNext/>
      </w:pPr>
      <w:r>
        <w:t>Sprememba</w:t>
      </w:r>
      <w:r w:rsidR="006F5BFE" w:rsidRPr="003B2277">
        <w:tab/>
      </w:r>
      <w:r w:rsidR="006F5BFE" w:rsidRPr="003B2277">
        <w:tab/>
        <w:t>74</w:t>
      </w:r>
    </w:p>
    <w:p w14:paraId="254CD8AD" w14:textId="77777777" w:rsidR="006F5BFE" w:rsidRPr="003B2277" w:rsidRDefault="006F5BFE" w:rsidP="006F5BFE">
      <w:pPr>
        <w:pStyle w:val="NormalBold12b"/>
      </w:pPr>
      <w:r w:rsidRPr="003B2277">
        <w:t>Predlog uredbe</w:t>
      </w:r>
    </w:p>
    <w:p w14:paraId="10213B05" w14:textId="512D6181" w:rsidR="006F5BFE" w:rsidRPr="003B2277" w:rsidRDefault="006F5BFE" w:rsidP="006F5BFE">
      <w:pPr>
        <w:pStyle w:val="NormalBold"/>
      </w:pPr>
      <w:r w:rsidRPr="003B2277">
        <w:t xml:space="preserve">Člen 1 – odstavek 1 – točka 5 </w:t>
      </w:r>
      <w:r w:rsidR="004B4EB7">
        <w:t xml:space="preserve">j </w:t>
      </w:r>
      <w:r w:rsidRPr="003B2277">
        <w:t>(novo)</w:t>
      </w:r>
    </w:p>
    <w:p w14:paraId="65E1DDF2" w14:textId="77777777" w:rsidR="006F5BFE" w:rsidRPr="003B2277" w:rsidRDefault="006F5BFE" w:rsidP="006F5BFE">
      <w:pPr>
        <w:keepNext/>
      </w:pPr>
      <w:r w:rsidRPr="003B2277">
        <w:t>Uredba (EU) št. 1308/2013</w:t>
      </w:r>
    </w:p>
    <w:p w14:paraId="250C706C" w14:textId="77777777" w:rsidR="006F5BFE" w:rsidRPr="003B2277" w:rsidRDefault="006F5BFE" w:rsidP="006F5BFE">
      <w:r w:rsidRPr="003B2277">
        <w:t>Člen 79 b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4E8134F" w14:textId="77777777" w:rsidTr="005B4D60">
        <w:trPr>
          <w:jc w:val="center"/>
        </w:trPr>
        <w:tc>
          <w:tcPr>
            <w:tcW w:w="9752" w:type="dxa"/>
            <w:gridSpan w:val="2"/>
          </w:tcPr>
          <w:p w14:paraId="69419B1A" w14:textId="77777777" w:rsidR="006F5BFE" w:rsidRPr="003B2277" w:rsidRDefault="006F5BFE" w:rsidP="005B4D60">
            <w:pPr>
              <w:keepNext/>
            </w:pPr>
          </w:p>
        </w:tc>
      </w:tr>
      <w:tr w:rsidR="006F5BFE" w:rsidRPr="003B2277" w14:paraId="1902889D" w14:textId="77777777" w:rsidTr="005B4D60">
        <w:trPr>
          <w:jc w:val="center"/>
        </w:trPr>
        <w:tc>
          <w:tcPr>
            <w:tcW w:w="4876" w:type="dxa"/>
            <w:hideMark/>
          </w:tcPr>
          <w:p w14:paraId="26396F87" w14:textId="77777777" w:rsidR="006F5BFE" w:rsidRPr="003B2277" w:rsidRDefault="006F5BFE" w:rsidP="005B4D60">
            <w:pPr>
              <w:pStyle w:val="ColumnHeading"/>
              <w:keepNext/>
            </w:pPr>
            <w:r w:rsidRPr="003B2277">
              <w:t>Besedilo, ki ga predlaga Komisija</w:t>
            </w:r>
          </w:p>
        </w:tc>
        <w:tc>
          <w:tcPr>
            <w:tcW w:w="4876" w:type="dxa"/>
            <w:hideMark/>
          </w:tcPr>
          <w:p w14:paraId="04785FDE" w14:textId="191CEBB6" w:rsidR="006F5BFE" w:rsidRPr="003B2277" w:rsidRDefault="003B2277" w:rsidP="005B4D60">
            <w:pPr>
              <w:pStyle w:val="ColumnHeading"/>
              <w:keepNext/>
            </w:pPr>
            <w:r>
              <w:t>Sprememba</w:t>
            </w:r>
          </w:p>
        </w:tc>
      </w:tr>
      <w:tr w:rsidR="006F5BFE" w:rsidRPr="003B2277" w14:paraId="107307BA" w14:textId="77777777" w:rsidTr="005B4D60">
        <w:trPr>
          <w:jc w:val="center"/>
        </w:trPr>
        <w:tc>
          <w:tcPr>
            <w:tcW w:w="4876" w:type="dxa"/>
          </w:tcPr>
          <w:p w14:paraId="113FB505" w14:textId="77777777" w:rsidR="006F5BFE" w:rsidRPr="003B2277" w:rsidRDefault="006F5BFE" w:rsidP="005B4D60">
            <w:pPr>
              <w:pStyle w:val="Normal6"/>
            </w:pPr>
          </w:p>
        </w:tc>
        <w:tc>
          <w:tcPr>
            <w:tcW w:w="4876" w:type="dxa"/>
            <w:hideMark/>
          </w:tcPr>
          <w:p w14:paraId="54104D51" w14:textId="55026123" w:rsidR="006F5BFE" w:rsidRPr="003B2277" w:rsidRDefault="006F5BFE" w:rsidP="004B4EB7">
            <w:pPr>
              <w:pStyle w:val="Normal6"/>
              <w:rPr>
                <w:szCs w:val="24"/>
              </w:rPr>
            </w:pPr>
            <w:r w:rsidRPr="003B2277">
              <w:rPr>
                <w:b/>
                <w:i/>
              </w:rPr>
              <w:t>(5</w:t>
            </w:r>
            <w:r w:rsidR="004B4EB7">
              <w:rPr>
                <w:b/>
                <w:i/>
              </w:rPr>
              <w:t>j</w:t>
            </w:r>
            <w:r w:rsidRPr="003B2277">
              <w:rPr>
                <w:b/>
                <w:i/>
              </w:rPr>
              <w:t>)</w:t>
            </w:r>
            <w:r w:rsidRPr="003B2277">
              <w:rPr>
                <w:b/>
                <w:i/>
              </w:rPr>
              <w:tab/>
              <w:t>vstavi se naslednji člen:</w:t>
            </w:r>
          </w:p>
        </w:tc>
      </w:tr>
      <w:tr w:rsidR="006F5BFE" w:rsidRPr="003B2277" w14:paraId="23522A2D" w14:textId="77777777" w:rsidTr="005B4D60">
        <w:trPr>
          <w:jc w:val="center"/>
        </w:trPr>
        <w:tc>
          <w:tcPr>
            <w:tcW w:w="4876" w:type="dxa"/>
          </w:tcPr>
          <w:p w14:paraId="27FC223E" w14:textId="77777777" w:rsidR="006F5BFE" w:rsidRPr="003B2277" w:rsidRDefault="006F5BFE" w:rsidP="005B4D60">
            <w:pPr>
              <w:pStyle w:val="Normal6"/>
            </w:pPr>
          </w:p>
        </w:tc>
        <w:tc>
          <w:tcPr>
            <w:tcW w:w="4876" w:type="dxa"/>
          </w:tcPr>
          <w:p w14:paraId="0EBA7CCB" w14:textId="4953D188" w:rsidR="006F5BFE" w:rsidRPr="003B2277" w:rsidRDefault="004B4EB7" w:rsidP="005B4D60">
            <w:pPr>
              <w:pStyle w:val="Normal6"/>
              <w:rPr>
                <w:b/>
                <w:i/>
              </w:rPr>
            </w:pPr>
            <w:r>
              <w:rPr>
                <w:b/>
                <w:i/>
              </w:rPr>
              <w:t>„</w:t>
            </w:r>
            <w:r w:rsidR="006F5BFE" w:rsidRPr="003B2277">
              <w:rPr>
                <w:b/>
                <w:i/>
              </w:rPr>
              <w:t>Člen 79b</w:t>
            </w:r>
          </w:p>
        </w:tc>
      </w:tr>
      <w:tr w:rsidR="006F5BFE" w:rsidRPr="003B2277" w14:paraId="565B38E0" w14:textId="77777777" w:rsidTr="005B4D60">
        <w:trPr>
          <w:jc w:val="center"/>
        </w:trPr>
        <w:tc>
          <w:tcPr>
            <w:tcW w:w="4876" w:type="dxa"/>
          </w:tcPr>
          <w:p w14:paraId="2228BD31" w14:textId="77777777" w:rsidR="006F5BFE" w:rsidRPr="003B2277" w:rsidRDefault="006F5BFE" w:rsidP="005B4D60">
            <w:pPr>
              <w:pStyle w:val="Normal6"/>
            </w:pPr>
          </w:p>
        </w:tc>
        <w:tc>
          <w:tcPr>
            <w:tcW w:w="4876" w:type="dxa"/>
            <w:hideMark/>
          </w:tcPr>
          <w:p w14:paraId="0FEEC729" w14:textId="77777777" w:rsidR="006F5BFE" w:rsidRPr="003B2277" w:rsidRDefault="006F5BFE" w:rsidP="005B4D60">
            <w:pPr>
              <w:pStyle w:val="Normal6"/>
              <w:rPr>
                <w:szCs w:val="24"/>
              </w:rPr>
            </w:pPr>
            <w:r w:rsidRPr="003B2277">
              <w:rPr>
                <w:b/>
                <w:i/>
              </w:rPr>
              <w:t>Pravila trženja za sektor oljk in oljčnega olja</w:t>
            </w:r>
          </w:p>
        </w:tc>
      </w:tr>
      <w:tr w:rsidR="006F5BFE" w:rsidRPr="003B2277" w14:paraId="07720EA7" w14:textId="77777777" w:rsidTr="005B4D60">
        <w:trPr>
          <w:jc w:val="center"/>
        </w:trPr>
        <w:tc>
          <w:tcPr>
            <w:tcW w:w="4876" w:type="dxa"/>
          </w:tcPr>
          <w:p w14:paraId="04A1C012" w14:textId="77777777" w:rsidR="006F5BFE" w:rsidRPr="003B2277" w:rsidRDefault="006F5BFE" w:rsidP="005B4D60">
            <w:pPr>
              <w:pStyle w:val="Normal6"/>
            </w:pPr>
          </w:p>
        </w:tc>
        <w:tc>
          <w:tcPr>
            <w:tcW w:w="4876" w:type="dxa"/>
            <w:hideMark/>
          </w:tcPr>
          <w:p w14:paraId="4C522C15" w14:textId="2F9A2181" w:rsidR="006F5BFE" w:rsidRPr="003B2277" w:rsidRDefault="006F5BFE" w:rsidP="005B4D60">
            <w:pPr>
              <w:pStyle w:val="Normal6"/>
              <w:rPr>
                <w:szCs w:val="24"/>
              </w:rPr>
            </w:pPr>
            <w:r w:rsidRPr="003B2277">
              <w:rPr>
                <w:b/>
                <w:i/>
              </w:rPr>
              <w:t>Da bi upoštevali posebne lastnosti sektorja oljk in oljčnega olja, se na Komisijo prenese pooblastilo za sprejemanje delegiranih aktov v skladu s členom 227, s katerimi se bodo uskladila pravila trženja za namizne oljke in oljčno olje.</w:t>
            </w:r>
            <w:r w:rsidR="004B4EB7">
              <w:rPr>
                <w:b/>
                <w:i/>
              </w:rPr>
              <w:t>“</w:t>
            </w:r>
          </w:p>
        </w:tc>
      </w:tr>
    </w:tbl>
    <w:p w14:paraId="3DA8DB29" w14:textId="77777777" w:rsidR="006F5BFE" w:rsidRPr="003B2277" w:rsidRDefault="006F5BFE" w:rsidP="006F5BFE"/>
    <w:p w14:paraId="11EC7A1B" w14:textId="058B5E97" w:rsidR="006F5BFE" w:rsidRPr="003B2277" w:rsidRDefault="003B2277" w:rsidP="006F5BFE">
      <w:pPr>
        <w:pStyle w:val="AMNumberTabs"/>
        <w:keepNext/>
      </w:pPr>
      <w:r>
        <w:t>Sprememba</w:t>
      </w:r>
      <w:r w:rsidR="006F5BFE" w:rsidRPr="003B2277">
        <w:tab/>
      </w:r>
      <w:r w:rsidR="006F5BFE" w:rsidRPr="003B2277">
        <w:tab/>
        <w:t>75</w:t>
      </w:r>
    </w:p>
    <w:p w14:paraId="381518DA" w14:textId="77777777" w:rsidR="006F5BFE" w:rsidRPr="003B2277" w:rsidRDefault="006F5BFE" w:rsidP="006F5BFE"/>
    <w:p w14:paraId="1C674222" w14:textId="77777777" w:rsidR="006F5BFE" w:rsidRPr="003B2277" w:rsidRDefault="006F5BFE" w:rsidP="006F5BFE">
      <w:pPr>
        <w:pStyle w:val="NormalBold"/>
        <w:keepNext/>
      </w:pPr>
      <w:r w:rsidRPr="003B2277">
        <w:t>Predlog uredbe</w:t>
      </w:r>
    </w:p>
    <w:p w14:paraId="4060CB26" w14:textId="77777777" w:rsidR="006F5BFE" w:rsidRPr="003B2277" w:rsidRDefault="006F5BFE" w:rsidP="006F5BFE">
      <w:pPr>
        <w:pStyle w:val="NormalBold"/>
      </w:pPr>
      <w:r w:rsidRPr="003B2277">
        <w:t>Člen 1 – odstavek 1 – točka 6</w:t>
      </w:r>
    </w:p>
    <w:p w14:paraId="5C5E3E81" w14:textId="77777777" w:rsidR="006F5BFE" w:rsidRPr="003B2277" w:rsidRDefault="006F5BFE" w:rsidP="006F5BFE">
      <w:pPr>
        <w:keepNext/>
      </w:pPr>
      <w:r w:rsidRPr="003B2277">
        <w:t>Uredba (EU) št. 1308/2013</w:t>
      </w:r>
    </w:p>
    <w:p w14:paraId="2690C291" w14:textId="77777777" w:rsidR="006F5BFE" w:rsidRPr="003B2277" w:rsidRDefault="006F5BFE" w:rsidP="006F5BFE">
      <w:r w:rsidRPr="003B2277">
        <w:t>Člen 81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A09D7F9" w14:textId="77777777" w:rsidTr="005B4D60">
        <w:trPr>
          <w:jc w:val="center"/>
        </w:trPr>
        <w:tc>
          <w:tcPr>
            <w:tcW w:w="9752" w:type="dxa"/>
            <w:gridSpan w:val="2"/>
          </w:tcPr>
          <w:p w14:paraId="1A84F724" w14:textId="77777777" w:rsidR="006F5BFE" w:rsidRPr="003B2277" w:rsidRDefault="006F5BFE" w:rsidP="005B4D60">
            <w:pPr>
              <w:keepNext/>
            </w:pPr>
          </w:p>
        </w:tc>
      </w:tr>
      <w:tr w:rsidR="006F5BFE" w:rsidRPr="003B2277" w14:paraId="2E48A935" w14:textId="77777777" w:rsidTr="005B4D60">
        <w:trPr>
          <w:jc w:val="center"/>
        </w:trPr>
        <w:tc>
          <w:tcPr>
            <w:tcW w:w="4876" w:type="dxa"/>
            <w:hideMark/>
          </w:tcPr>
          <w:p w14:paraId="66AF58A0" w14:textId="77777777" w:rsidR="006F5BFE" w:rsidRPr="003B2277" w:rsidRDefault="006F5BFE" w:rsidP="005B4D60">
            <w:pPr>
              <w:pStyle w:val="ColumnHeading"/>
              <w:keepNext/>
            </w:pPr>
            <w:r w:rsidRPr="003B2277">
              <w:t>Besedilo, ki ga predlaga Komisija</w:t>
            </w:r>
          </w:p>
        </w:tc>
        <w:tc>
          <w:tcPr>
            <w:tcW w:w="4876" w:type="dxa"/>
            <w:hideMark/>
          </w:tcPr>
          <w:p w14:paraId="6FE7E4FD" w14:textId="180E6B79" w:rsidR="006F5BFE" w:rsidRPr="003B2277" w:rsidRDefault="003B2277" w:rsidP="005B4D60">
            <w:pPr>
              <w:pStyle w:val="ColumnHeading"/>
              <w:keepNext/>
            </w:pPr>
            <w:r>
              <w:t>Sprememba</w:t>
            </w:r>
          </w:p>
        </w:tc>
      </w:tr>
      <w:tr w:rsidR="006F5BFE" w:rsidRPr="003B2277" w14:paraId="07DB3199" w14:textId="77777777" w:rsidTr="005B4D60">
        <w:trPr>
          <w:jc w:val="center"/>
        </w:trPr>
        <w:tc>
          <w:tcPr>
            <w:tcW w:w="4876" w:type="dxa"/>
            <w:hideMark/>
          </w:tcPr>
          <w:p w14:paraId="3490344A" w14:textId="77777777" w:rsidR="006F5BFE" w:rsidRPr="003B2277" w:rsidRDefault="006F5BFE" w:rsidP="005B4D60">
            <w:pPr>
              <w:pStyle w:val="Normal6"/>
            </w:pPr>
            <w:r w:rsidRPr="003B2277">
              <w:rPr>
                <w:b/>
                <w:i/>
              </w:rPr>
              <w:t>(6)</w:t>
            </w:r>
            <w:r w:rsidRPr="003B2277">
              <w:rPr>
                <w:b/>
                <w:i/>
              </w:rPr>
              <w:tab/>
              <w:t>v členu 81 se odstavek 2 nadomesti z naslednjim:</w:t>
            </w:r>
          </w:p>
        </w:tc>
        <w:tc>
          <w:tcPr>
            <w:tcW w:w="4876" w:type="dxa"/>
            <w:hideMark/>
          </w:tcPr>
          <w:p w14:paraId="1B32D327" w14:textId="77777777" w:rsidR="006F5BFE" w:rsidRPr="003B2277" w:rsidRDefault="006F5BFE" w:rsidP="005B4D60">
            <w:pPr>
              <w:pStyle w:val="Normal6"/>
              <w:rPr>
                <w:szCs w:val="24"/>
              </w:rPr>
            </w:pPr>
            <w:r w:rsidRPr="003B2277">
              <w:rPr>
                <w:b/>
                <w:i/>
              </w:rPr>
              <w:t>črtano</w:t>
            </w:r>
          </w:p>
        </w:tc>
      </w:tr>
      <w:tr w:rsidR="006F5BFE" w:rsidRPr="003B2277" w14:paraId="08D8BE10" w14:textId="77777777" w:rsidTr="005B4D60">
        <w:trPr>
          <w:jc w:val="center"/>
        </w:trPr>
        <w:tc>
          <w:tcPr>
            <w:tcW w:w="4876" w:type="dxa"/>
            <w:hideMark/>
          </w:tcPr>
          <w:p w14:paraId="7F0A776C" w14:textId="77777777" w:rsidR="006F5BFE" w:rsidRPr="003B2277" w:rsidRDefault="006F5BFE" w:rsidP="005B4D60">
            <w:pPr>
              <w:pStyle w:val="Normal6"/>
            </w:pPr>
            <w:r w:rsidRPr="003B2277">
              <w:rPr>
                <w:b/>
                <w:i/>
              </w:rPr>
              <w:t>„2.</w:t>
            </w:r>
            <w:r w:rsidRPr="003B2277">
              <w:rPr>
                <w:b/>
                <w:i/>
              </w:rPr>
              <w:tab/>
              <w:t>Ob upoštevanju odstavka 3 države članice razvrstijo sorte vinske trte, ki se smejo zasaditi, ponovno zasaditi ali cepiti na njihovem ozemlju za pridelavo vina.</w:t>
            </w:r>
          </w:p>
        </w:tc>
        <w:tc>
          <w:tcPr>
            <w:tcW w:w="4876" w:type="dxa"/>
          </w:tcPr>
          <w:p w14:paraId="4F9456F4" w14:textId="77777777" w:rsidR="006F5BFE" w:rsidRPr="003B2277" w:rsidRDefault="006F5BFE" w:rsidP="005B4D60">
            <w:pPr>
              <w:pStyle w:val="Normal6"/>
              <w:rPr>
                <w:szCs w:val="24"/>
              </w:rPr>
            </w:pPr>
          </w:p>
        </w:tc>
      </w:tr>
      <w:tr w:rsidR="006F5BFE" w:rsidRPr="003B2277" w14:paraId="1D43D87A" w14:textId="77777777" w:rsidTr="005B4D60">
        <w:trPr>
          <w:jc w:val="center"/>
        </w:trPr>
        <w:tc>
          <w:tcPr>
            <w:tcW w:w="4876" w:type="dxa"/>
            <w:hideMark/>
          </w:tcPr>
          <w:p w14:paraId="7E00231B" w14:textId="77777777" w:rsidR="006F5BFE" w:rsidRPr="003B2277" w:rsidRDefault="006F5BFE" w:rsidP="005B4D60">
            <w:pPr>
              <w:pStyle w:val="Normal6"/>
            </w:pPr>
            <w:r w:rsidRPr="003B2277">
              <w:rPr>
                <w:b/>
                <w:i/>
              </w:rPr>
              <w:t>Države članice smejo razvrstiti sorte vinske trte, kadar:</w:t>
            </w:r>
          </w:p>
        </w:tc>
        <w:tc>
          <w:tcPr>
            <w:tcW w:w="4876" w:type="dxa"/>
          </w:tcPr>
          <w:p w14:paraId="664FC4F5" w14:textId="77777777" w:rsidR="006F5BFE" w:rsidRPr="003B2277" w:rsidRDefault="006F5BFE" w:rsidP="005B4D60">
            <w:pPr>
              <w:pStyle w:val="Normal6"/>
              <w:rPr>
                <w:szCs w:val="24"/>
              </w:rPr>
            </w:pPr>
          </w:p>
        </w:tc>
      </w:tr>
      <w:tr w:rsidR="006F5BFE" w:rsidRPr="003B2277" w14:paraId="186AE8F2" w14:textId="77777777" w:rsidTr="005B4D60">
        <w:trPr>
          <w:jc w:val="center"/>
        </w:trPr>
        <w:tc>
          <w:tcPr>
            <w:tcW w:w="4876" w:type="dxa"/>
            <w:hideMark/>
          </w:tcPr>
          <w:p w14:paraId="4ED48242" w14:textId="77777777" w:rsidR="006F5BFE" w:rsidRPr="003B2277" w:rsidRDefault="006F5BFE" w:rsidP="005B4D60">
            <w:pPr>
              <w:pStyle w:val="Normal6"/>
            </w:pPr>
            <w:r w:rsidRPr="003B2277">
              <w:rPr>
                <w:b/>
                <w:i/>
              </w:rPr>
              <w:t>(a)</w:t>
            </w:r>
            <w:r w:rsidRPr="003B2277">
              <w:rPr>
                <w:b/>
                <w:i/>
              </w:rPr>
              <w:tab/>
              <w:t>zadevna sorta spada v vrsto Vitis vinifera ali Vitis Labrusca, ali</w:t>
            </w:r>
          </w:p>
        </w:tc>
        <w:tc>
          <w:tcPr>
            <w:tcW w:w="4876" w:type="dxa"/>
          </w:tcPr>
          <w:p w14:paraId="4995F1D2" w14:textId="77777777" w:rsidR="006F5BFE" w:rsidRPr="003B2277" w:rsidRDefault="006F5BFE" w:rsidP="005B4D60">
            <w:pPr>
              <w:pStyle w:val="Normal6"/>
              <w:rPr>
                <w:szCs w:val="24"/>
              </w:rPr>
            </w:pPr>
          </w:p>
        </w:tc>
      </w:tr>
      <w:tr w:rsidR="006F5BFE" w:rsidRPr="003B2277" w14:paraId="72D569CE" w14:textId="77777777" w:rsidTr="005B4D60">
        <w:trPr>
          <w:jc w:val="center"/>
        </w:trPr>
        <w:tc>
          <w:tcPr>
            <w:tcW w:w="4876" w:type="dxa"/>
            <w:hideMark/>
          </w:tcPr>
          <w:p w14:paraId="587755B8" w14:textId="77777777" w:rsidR="006F5BFE" w:rsidRPr="003B2277" w:rsidRDefault="006F5BFE" w:rsidP="005B4D60">
            <w:pPr>
              <w:pStyle w:val="Normal6"/>
            </w:pPr>
            <w:r w:rsidRPr="003B2277">
              <w:rPr>
                <w:b/>
                <w:i/>
              </w:rPr>
              <w:t>(b)</w:t>
            </w:r>
            <w:r w:rsidRPr="003B2277">
              <w:rPr>
                <w:b/>
                <w:i/>
              </w:rPr>
              <w:tab/>
              <w:t>je zadevna sorta pridobljena s križanjem vrst Vitis vinifera in Vitis Labrusca z drugimi vrstami rodu Vitis.</w:t>
            </w:r>
          </w:p>
        </w:tc>
        <w:tc>
          <w:tcPr>
            <w:tcW w:w="4876" w:type="dxa"/>
          </w:tcPr>
          <w:p w14:paraId="75204A75" w14:textId="77777777" w:rsidR="006F5BFE" w:rsidRPr="003B2277" w:rsidRDefault="006F5BFE" w:rsidP="005B4D60">
            <w:pPr>
              <w:pStyle w:val="Normal6"/>
              <w:rPr>
                <w:szCs w:val="24"/>
              </w:rPr>
            </w:pPr>
          </w:p>
        </w:tc>
      </w:tr>
      <w:tr w:rsidR="006F5BFE" w:rsidRPr="003B2277" w14:paraId="059A4078" w14:textId="77777777" w:rsidTr="005B4D60">
        <w:trPr>
          <w:jc w:val="center"/>
        </w:trPr>
        <w:tc>
          <w:tcPr>
            <w:tcW w:w="4876" w:type="dxa"/>
            <w:hideMark/>
          </w:tcPr>
          <w:p w14:paraId="0048F50F" w14:textId="2A67ED60" w:rsidR="006F5BFE" w:rsidRPr="003B2277" w:rsidRDefault="006F5BFE" w:rsidP="005B4D60">
            <w:pPr>
              <w:pStyle w:val="Normal6"/>
            </w:pPr>
            <w:r w:rsidRPr="003B2277">
              <w:rPr>
                <w:b/>
                <w:i/>
              </w:rPr>
              <w:t>Kadar je sorta vinske trte izločena iz razvrstitve iz prvega pododstavka, se izkrči v 15 letih po izločitvi.“</w:t>
            </w:r>
          </w:p>
        </w:tc>
        <w:tc>
          <w:tcPr>
            <w:tcW w:w="4876" w:type="dxa"/>
          </w:tcPr>
          <w:p w14:paraId="09EDDF40" w14:textId="77777777" w:rsidR="006F5BFE" w:rsidRPr="003B2277" w:rsidRDefault="006F5BFE" w:rsidP="005B4D60">
            <w:pPr>
              <w:pStyle w:val="Normal6"/>
              <w:rPr>
                <w:szCs w:val="24"/>
              </w:rPr>
            </w:pPr>
          </w:p>
        </w:tc>
      </w:tr>
    </w:tbl>
    <w:p w14:paraId="09A7EF83" w14:textId="77777777" w:rsidR="006F5BFE" w:rsidRPr="003B2277" w:rsidRDefault="006F5BFE" w:rsidP="006F5BFE"/>
    <w:p w14:paraId="0A9C3A74" w14:textId="7C3DC6C9" w:rsidR="006F5BFE" w:rsidRPr="003B2277" w:rsidRDefault="003B2277" w:rsidP="006F5BFE">
      <w:pPr>
        <w:pStyle w:val="AMNumberTabs"/>
        <w:keepNext/>
      </w:pPr>
      <w:r>
        <w:t>Sprememba</w:t>
      </w:r>
      <w:r w:rsidR="006F5BFE" w:rsidRPr="003B2277">
        <w:tab/>
      </w:r>
      <w:r w:rsidR="006F5BFE" w:rsidRPr="003B2277">
        <w:tab/>
        <w:t>76</w:t>
      </w:r>
    </w:p>
    <w:p w14:paraId="267B3A1E" w14:textId="77777777" w:rsidR="006F5BFE" w:rsidRPr="003B2277" w:rsidRDefault="006F5BFE" w:rsidP="006F5BFE"/>
    <w:p w14:paraId="60714E24" w14:textId="77777777" w:rsidR="006F5BFE" w:rsidRPr="003B2277" w:rsidRDefault="006F5BFE" w:rsidP="006F5BFE">
      <w:pPr>
        <w:pStyle w:val="NormalBold"/>
        <w:keepNext/>
      </w:pPr>
      <w:r w:rsidRPr="003B2277">
        <w:t>Predlog uredbe</w:t>
      </w:r>
    </w:p>
    <w:p w14:paraId="75CFABB1" w14:textId="77777777" w:rsidR="006F5BFE" w:rsidRPr="003B2277" w:rsidRDefault="006F5BFE" w:rsidP="006F5BFE">
      <w:pPr>
        <w:pStyle w:val="NormalBold"/>
      </w:pPr>
      <w:r w:rsidRPr="003B2277">
        <w:t>Člen 1 – odstavek 1 – točka 6 a (novo)</w:t>
      </w:r>
    </w:p>
    <w:p w14:paraId="3AFAA5BB" w14:textId="77777777" w:rsidR="006F5BFE" w:rsidRPr="003B2277" w:rsidRDefault="006F5BFE" w:rsidP="006F5BFE">
      <w:pPr>
        <w:keepNext/>
      </w:pPr>
      <w:r w:rsidRPr="003B2277">
        <w:t>Uredba (EU) št. 1308/2013</w:t>
      </w:r>
    </w:p>
    <w:p w14:paraId="3CB4B74C" w14:textId="77777777" w:rsidR="006F5BFE" w:rsidRPr="003B2277" w:rsidRDefault="006F5BFE" w:rsidP="006F5BFE">
      <w:r w:rsidRPr="003B2277">
        <w:t>Člen 81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A240383" w14:textId="77777777" w:rsidTr="005B4D60">
        <w:trPr>
          <w:jc w:val="center"/>
        </w:trPr>
        <w:tc>
          <w:tcPr>
            <w:tcW w:w="9752" w:type="dxa"/>
            <w:gridSpan w:val="2"/>
          </w:tcPr>
          <w:p w14:paraId="7BE8B992" w14:textId="77777777" w:rsidR="006F5BFE" w:rsidRPr="003B2277" w:rsidRDefault="006F5BFE" w:rsidP="005B4D60">
            <w:pPr>
              <w:keepNext/>
            </w:pPr>
          </w:p>
        </w:tc>
      </w:tr>
      <w:tr w:rsidR="006F5BFE" w:rsidRPr="003B2277" w14:paraId="4D1C3202" w14:textId="77777777" w:rsidTr="005B4D60">
        <w:trPr>
          <w:jc w:val="center"/>
        </w:trPr>
        <w:tc>
          <w:tcPr>
            <w:tcW w:w="4876" w:type="dxa"/>
            <w:hideMark/>
          </w:tcPr>
          <w:p w14:paraId="42A77A9A" w14:textId="77777777" w:rsidR="006F5BFE" w:rsidRPr="003B2277" w:rsidRDefault="006F5BFE" w:rsidP="005B4D60">
            <w:pPr>
              <w:pStyle w:val="ColumnHeading"/>
              <w:keepNext/>
            </w:pPr>
            <w:r w:rsidRPr="003B2277">
              <w:t>Veljavno besedilo</w:t>
            </w:r>
          </w:p>
        </w:tc>
        <w:tc>
          <w:tcPr>
            <w:tcW w:w="4876" w:type="dxa"/>
            <w:hideMark/>
          </w:tcPr>
          <w:p w14:paraId="2E1740C3" w14:textId="6900184F" w:rsidR="006F5BFE" w:rsidRPr="003B2277" w:rsidRDefault="003B2277" w:rsidP="005B4D60">
            <w:pPr>
              <w:pStyle w:val="ColumnHeading"/>
              <w:keepNext/>
            </w:pPr>
            <w:r>
              <w:t>Sprememba</w:t>
            </w:r>
          </w:p>
        </w:tc>
      </w:tr>
      <w:tr w:rsidR="006F5BFE" w:rsidRPr="003B2277" w14:paraId="27C43098" w14:textId="77777777" w:rsidTr="005B4D60">
        <w:trPr>
          <w:jc w:val="center"/>
        </w:trPr>
        <w:tc>
          <w:tcPr>
            <w:tcW w:w="4876" w:type="dxa"/>
          </w:tcPr>
          <w:p w14:paraId="4DB76745" w14:textId="77777777" w:rsidR="006F5BFE" w:rsidRPr="003B2277" w:rsidRDefault="006F5BFE" w:rsidP="005B4D60">
            <w:pPr>
              <w:pStyle w:val="Normal6"/>
            </w:pPr>
          </w:p>
        </w:tc>
        <w:tc>
          <w:tcPr>
            <w:tcW w:w="4876" w:type="dxa"/>
            <w:hideMark/>
          </w:tcPr>
          <w:p w14:paraId="1001952A" w14:textId="77777777" w:rsidR="006F5BFE" w:rsidRPr="003B2277" w:rsidRDefault="006F5BFE" w:rsidP="005B4D60">
            <w:pPr>
              <w:pStyle w:val="Normal6"/>
              <w:rPr>
                <w:szCs w:val="24"/>
              </w:rPr>
            </w:pPr>
            <w:r w:rsidRPr="003B2277">
              <w:rPr>
                <w:b/>
                <w:i/>
              </w:rPr>
              <w:t>(6a)</w:t>
            </w:r>
            <w:r w:rsidRPr="003B2277">
              <w:rPr>
                <w:b/>
                <w:i/>
              </w:rPr>
              <w:tab/>
              <w:t>v členu 81 se odstavek 2 nadomesti z naslednjim:</w:t>
            </w:r>
          </w:p>
        </w:tc>
      </w:tr>
      <w:tr w:rsidR="006F5BFE" w:rsidRPr="003B2277" w14:paraId="33D337E5" w14:textId="77777777" w:rsidTr="005B4D60">
        <w:trPr>
          <w:jc w:val="center"/>
        </w:trPr>
        <w:tc>
          <w:tcPr>
            <w:tcW w:w="4876" w:type="dxa"/>
            <w:hideMark/>
          </w:tcPr>
          <w:p w14:paraId="2C8903DF" w14:textId="77777777" w:rsidR="006F5BFE" w:rsidRPr="003B2277" w:rsidRDefault="006F5BFE" w:rsidP="005B4D60">
            <w:pPr>
              <w:pStyle w:val="Normal6"/>
            </w:pPr>
            <w:r w:rsidRPr="003B2277">
              <w:t>2.</w:t>
            </w:r>
            <w:r w:rsidRPr="003B2277">
              <w:tab/>
              <w:t>Ob upoštevanju odstavka 3 države članice razvrstijo sorte vinske trte, ki se smejo zasaditi, ponovno zasaditi ali cepiti na njihovem ozemlju za pridelavo vina.</w:t>
            </w:r>
          </w:p>
        </w:tc>
        <w:tc>
          <w:tcPr>
            <w:tcW w:w="4876" w:type="dxa"/>
            <w:hideMark/>
          </w:tcPr>
          <w:p w14:paraId="1F6654E2" w14:textId="77777777" w:rsidR="006F5BFE" w:rsidRPr="003B2277" w:rsidRDefault="006F5BFE" w:rsidP="005B4D60">
            <w:pPr>
              <w:pStyle w:val="Normal6"/>
              <w:rPr>
                <w:szCs w:val="24"/>
              </w:rPr>
            </w:pPr>
            <w:r w:rsidRPr="003B2277">
              <w:rPr>
                <w:b/>
                <w:i/>
              </w:rPr>
              <w:t>„2.</w:t>
            </w:r>
            <w:r w:rsidRPr="003B2277">
              <w:tab/>
              <w:t>Ob upoštevanju odstavka 3 države članice razvrstijo sorte vinske trte, ki se smejo zasaditi, ponovno zasaditi ali cepiti na njihovem ozemlju za pridelavo vina.</w:t>
            </w:r>
          </w:p>
        </w:tc>
      </w:tr>
      <w:tr w:rsidR="006F5BFE" w:rsidRPr="003B2277" w14:paraId="61ABC45B" w14:textId="77777777" w:rsidTr="005B4D60">
        <w:trPr>
          <w:jc w:val="center"/>
        </w:trPr>
        <w:tc>
          <w:tcPr>
            <w:tcW w:w="4876" w:type="dxa"/>
            <w:hideMark/>
          </w:tcPr>
          <w:p w14:paraId="49142535" w14:textId="77777777" w:rsidR="006F5BFE" w:rsidRPr="003B2277" w:rsidRDefault="006F5BFE" w:rsidP="005B4D60">
            <w:pPr>
              <w:pStyle w:val="Normal6"/>
            </w:pPr>
            <w:r w:rsidRPr="003B2277">
              <w:t xml:space="preserve">Države članice smejo razvrstiti </w:t>
            </w:r>
            <w:r w:rsidRPr="003B2277">
              <w:rPr>
                <w:b/>
                <w:i/>
              </w:rPr>
              <w:t xml:space="preserve">le </w:t>
            </w:r>
            <w:r w:rsidRPr="003B2277">
              <w:t xml:space="preserve">sorte vinske trte, </w:t>
            </w:r>
            <w:r w:rsidRPr="003B2277">
              <w:rPr>
                <w:b/>
                <w:i/>
              </w:rPr>
              <w:t>ki izpolnjujejo naslednje pogoje</w:t>
            </w:r>
            <w:r w:rsidRPr="003B2277">
              <w:t>:</w:t>
            </w:r>
          </w:p>
        </w:tc>
        <w:tc>
          <w:tcPr>
            <w:tcW w:w="4876" w:type="dxa"/>
            <w:hideMark/>
          </w:tcPr>
          <w:p w14:paraId="24E43401" w14:textId="77777777" w:rsidR="006F5BFE" w:rsidRPr="003B2277" w:rsidRDefault="006F5BFE" w:rsidP="005B4D60">
            <w:pPr>
              <w:pStyle w:val="Normal6"/>
              <w:rPr>
                <w:szCs w:val="24"/>
              </w:rPr>
            </w:pPr>
            <w:r w:rsidRPr="003B2277">
              <w:t xml:space="preserve">Države članice smejo razvrstiti sorte vinske trte, </w:t>
            </w:r>
            <w:r w:rsidRPr="003B2277">
              <w:rPr>
                <w:b/>
                <w:i/>
              </w:rPr>
              <w:t>kadar</w:t>
            </w:r>
            <w:r w:rsidRPr="003B2277">
              <w:t>:</w:t>
            </w:r>
          </w:p>
        </w:tc>
      </w:tr>
      <w:tr w:rsidR="006F5BFE" w:rsidRPr="003B2277" w14:paraId="15FC2A71" w14:textId="77777777" w:rsidTr="005B4D60">
        <w:trPr>
          <w:jc w:val="center"/>
        </w:trPr>
        <w:tc>
          <w:tcPr>
            <w:tcW w:w="4876" w:type="dxa"/>
            <w:hideMark/>
          </w:tcPr>
          <w:p w14:paraId="1598C787" w14:textId="77777777" w:rsidR="006F5BFE" w:rsidRPr="003B2277" w:rsidRDefault="006F5BFE" w:rsidP="005B4D60">
            <w:pPr>
              <w:pStyle w:val="Normal6"/>
            </w:pPr>
            <w:r w:rsidRPr="003B2277">
              <w:t xml:space="preserve">(a) zadevna sorta spada v vrsto Vitis vinifera </w:t>
            </w:r>
            <w:r w:rsidRPr="003B2277">
              <w:rPr>
                <w:b/>
                <w:i/>
              </w:rPr>
              <w:t>ali</w:t>
            </w:r>
            <w:r w:rsidRPr="003B2277">
              <w:t xml:space="preserve"> je pridobljena s križanjem vrste Vitis vinifera </w:t>
            </w:r>
            <w:r w:rsidRPr="003B2277">
              <w:rPr>
                <w:b/>
                <w:i/>
              </w:rPr>
              <w:t>z drugimi vrstami</w:t>
            </w:r>
            <w:r w:rsidRPr="003B2277">
              <w:t xml:space="preserve"> rodu Vitis</w:t>
            </w:r>
            <w:r w:rsidRPr="003B2277">
              <w:rPr>
                <w:b/>
                <w:i/>
              </w:rPr>
              <w:t>;</w:t>
            </w:r>
          </w:p>
        </w:tc>
        <w:tc>
          <w:tcPr>
            <w:tcW w:w="4876" w:type="dxa"/>
            <w:hideMark/>
          </w:tcPr>
          <w:p w14:paraId="212B522C" w14:textId="77777777" w:rsidR="006F5BFE" w:rsidRPr="003B2277" w:rsidRDefault="006F5BFE" w:rsidP="005B4D60">
            <w:pPr>
              <w:pStyle w:val="Normal6"/>
              <w:rPr>
                <w:szCs w:val="24"/>
              </w:rPr>
            </w:pPr>
            <w:r w:rsidRPr="003B2277">
              <w:t xml:space="preserve">(a) zadevna sorta spada v vrsto Vitis vinifera </w:t>
            </w:r>
            <w:r w:rsidRPr="003B2277">
              <w:rPr>
                <w:b/>
                <w:i/>
              </w:rPr>
              <w:t>oziroma</w:t>
            </w:r>
            <w:r w:rsidRPr="003B2277">
              <w:t xml:space="preserve"> je pridobljena s križanjem vrste Vitis vinifera </w:t>
            </w:r>
            <w:r w:rsidRPr="003B2277">
              <w:rPr>
                <w:b/>
                <w:i/>
              </w:rPr>
              <w:t>ali spada v druge vrste</w:t>
            </w:r>
            <w:r w:rsidRPr="003B2277">
              <w:t xml:space="preserve"> rodu Vitis</w:t>
            </w:r>
            <w:r w:rsidRPr="003B2277">
              <w:rPr>
                <w:b/>
                <w:i/>
              </w:rPr>
              <w:t>.</w:t>
            </w:r>
          </w:p>
        </w:tc>
      </w:tr>
      <w:tr w:rsidR="006F5BFE" w:rsidRPr="003B2277" w14:paraId="08978FAF" w14:textId="77777777" w:rsidTr="005B4D60">
        <w:trPr>
          <w:jc w:val="center"/>
        </w:trPr>
        <w:tc>
          <w:tcPr>
            <w:tcW w:w="4876" w:type="dxa"/>
            <w:hideMark/>
          </w:tcPr>
          <w:p w14:paraId="05F4FD55" w14:textId="77777777" w:rsidR="006F5BFE" w:rsidRPr="003B2277" w:rsidRDefault="006F5BFE" w:rsidP="005B4D60">
            <w:pPr>
              <w:pStyle w:val="Normal6"/>
            </w:pPr>
            <w:r w:rsidRPr="003B2277">
              <w:t>(b) sorta ni ena od naslednjih: Noah, Othello, Isabelle, Jacquez, Clinton in Herbemont.</w:t>
            </w:r>
          </w:p>
        </w:tc>
        <w:tc>
          <w:tcPr>
            <w:tcW w:w="4876" w:type="dxa"/>
            <w:hideMark/>
          </w:tcPr>
          <w:p w14:paraId="22A755E9" w14:textId="77777777" w:rsidR="006F5BFE" w:rsidRPr="003B2277" w:rsidRDefault="006F5BFE" w:rsidP="005B4D60">
            <w:pPr>
              <w:pStyle w:val="Normal6"/>
              <w:rPr>
                <w:szCs w:val="24"/>
              </w:rPr>
            </w:pPr>
            <w:r w:rsidRPr="003B2277">
              <w:t>(b) sorta ni ena od naslednjih: Noah, Othello, Isabelle, Jacquez, Clinton in Herbemont.</w:t>
            </w:r>
          </w:p>
        </w:tc>
      </w:tr>
      <w:tr w:rsidR="006F5BFE" w:rsidRPr="003B2277" w14:paraId="6FE12C04" w14:textId="77777777" w:rsidTr="005B4D60">
        <w:trPr>
          <w:jc w:val="center"/>
        </w:trPr>
        <w:tc>
          <w:tcPr>
            <w:tcW w:w="4876" w:type="dxa"/>
          </w:tcPr>
          <w:p w14:paraId="396FDD5A" w14:textId="77777777" w:rsidR="006F5BFE" w:rsidRPr="003B2277" w:rsidRDefault="006F5BFE" w:rsidP="005B4D60">
            <w:pPr>
              <w:pStyle w:val="Normal6"/>
            </w:pPr>
          </w:p>
        </w:tc>
        <w:tc>
          <w:tcPr>
            <w:tcW w:w="4876" w:type="dxa"/>
            <w:hideMark/>
          </w:tcPr>
          <w:p w14:paraId="138BA90E" w14:textId="77777777" w:rsidR="006F5BFE" w:rsidRPr="003B2277" w:rsidRDefault="006F5BFE" w:rsidP="005B4D60">
            <w:pPr>
              <w:pStyle w:val="Normal6"/>
              <w:rPr>
                <w:szCs w:val="24"/>
              </w:rPr>
            </w:pPr>
            <w:r w:rsidRPr="003B2277">
              <w:rPr>
                <w:b/>
                <w:i/>
              </w:rPr>
              <w:t>Z odstopanjem od drugega pododstavka lahko države članice odobrijo ponovno zasaditev vrste Vitis labrusca ali vrst iz točke (b) v obstoječih zgodovinskih vinogradih, če se obstoječa zasajena površina Vitis labrusca ne poveča.</w:t>
            </w:r>
          </w:p>
        </w:tc>
      </w:tr>
      <w:tr w:rsidR="006F5BFE" w:rsidRPr="003B2277" w14:paraId="19EC8469" w14:textId="77777777" w:rsidTr="005B4D60">
        <w:trPr>
          <w:jc w:val="center"/>
        </w:trPr>
        <w:tc>
          <w:tcPr>
            <w:tcW w:w="4876" w:type="dxa"/>
          </w:tcPr>
          <w:p w14:paraId="2C627C8E" w14:textId="77777777" w:rsidR="006F5BFE" w:rsidRPr="003B2277" w:rsidRDefault="006F5BFE" w:rsidP="005B4D60">
            <w:pPr>
              <w:pStyle w:val="Normal6"/>
            </w:pPr>
            <w:r w:rsidRPr="003B2277">
              <w:t>Kadar je sorta vinske trte izločena iz razvrstitve iz prvega pododstavka, se izkrči v 15 letih po izločitvi.</w:t>
            </w:r>
          </w:p>
        </w:tc>
        <w:tc>
          <w:tcPr>
            <w:tcW w:w="4876" w:type="dxa"/>
            <w:hideMark/>
          </w:tcPr>
          <w:p w14:paraId="59512B07" w14:textId="700A4873" w:rsidR="006F5BFE" w:rsidRPr="003B2277" w:rsidRDefault="006F5BFE" w:rsidP="005B4D60">
            <w:pPr>
              <w:pStyle w:val="Normal6"/>
              <w:rPr>
                <w:szCs w:val="24"/>
              </w:rPr>
            </w:pPr>
            <w:r w:rsidRPr="003B2277">
              <w:t>Kadar je sorta vinske trte izločena iz razvrstitve iz prvega pododstavka, se izkrči v 15 letih po izločitvi.</w:t>
            </w:r>
            <w:r w:rsidRPr="003B2277">
              <w:rPr>
                <w:b/>
                <w:i/>
              </w:rPr>
              <w:t>“</w:t>
            </w:r>
          </w:p>
        </w:tc>
      </w:tr>
    </w:tbl>
    <w:p w14:paraId="7CE653E0" w14:textId="0BE11B52" w:rsidR="006F5BFE" w:rsidRPr="003B2277" w:rsidRDefault="003B2277" w:rsidP="006F5BFE">
      <w:pPr>
        <w:pStyle w:val="AMNumberTabs"/>
        <w:keepNext/>
      </w:pPr>
      <w:r>
        <w:t>Sprememba</w:t>
      </w:r>
      <w:r w:rsidR="006F5BFE" w:rsidRPr="003B2277">
        <w:tab/>
      </w:r>
      <w:r w:rsidR="006F5BFE" w:rsidRPr="003B2277">
        <w:tab/>
        <w:t>77</w:t>
      </w:r>
    </w:p>
    <w:p w14:paraId="2B2CB1E9" w14:textId="77777777" w:rsidR="006F5BFE" w:rsidRPr="003B2277" w:rsidRDefault="006F5BFE" w:rsidP="006F5BFE">
      <w:pPr>
        <w:pStyle w:val="NormalBold12b"/>
      </w:pPr>
      <w:r w:rsidRPr="003B2277">
        <w:t>Predlog uredbe</w:t>
      </w:r>
    </w:p>
    <w:p w14:paraId="6CB20318" w14:textId="77777777" w:rsidR="006F5BFE" w:rsidRPr="003B2277" w:rsidRDefault="006F5BFE" w:rsidP="006F5BFE">
      <w:pPr>
        <w:pStyle w:val="NormalBold"/>
      </w:pPr>
      <w:r w:rsidRPr="003B2277">
        <w:t>Člen 1 – odstavek 1 – točka 8</w:t>
      </w:r>
    </w:p>
    <w:p w14:paraId="042DAC8E" w14:textId="77777777" w:rsidR="006F5BFE" w:rsidRPr="003B2277" w:rsidRDefault="006F5BFE" w:rsidP="006F5BFE">
      <w:pPr>
        <w:keepNext/>
      </w:pPr>
      <w:r w:rsidRPr="003B2277">
        <w:t>Uredba (EU) št. 1308/2013</w:t>
      </w:r>
    </w:p>
    <w:p w14:paraId="67416860" w14:textId="77777777" w:rsidR="006F5BFE" w:rsidRPr="003B2277" w:rsidRDefault="006F5BFE" w:rsidP="006F5BFE">
      <w:r w:rsidRPr="003B2277">
        <w:t>Člen 90a – odstavek 2 – točka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428C5DD" w14:textId="77777777" w:rsidTr="005B4D60">
        <w:trPr>
          <w:jc w:val="center"/>
        </w:trPr>
        <w:tc>
          <w:tcPr>
            <w:tcW w:w="9752" w:type="dxa"/>
            <w:gridSpan w:val="2"/>
          </w:tcPr>
          <w:p w14:paraId="534E0BD5" w14:textId="77777777" w:rsidR="006F5BFE" w:rsidRPr="003B2277" w:rsidRDefault="006F5BFE" w:rsidP="005B4D60">
            <w:pPr>
              <w:keepNext/>
            </w:pPr>
          </w:p>
        </w:tc>
      </w:tr>
      <w:tr w:rsidR="006F5BFE" w:rsidRPr="003B2277" w14:paraId="16FBB528" w14:textId="77777777" w:rsidTr="005B4D60">
        <w:trPr>
          <w:jc w:val="center"/>
        </w:trPr>
        <w:tc>
          <w:tcPr>
            <w:tcW w:w="4876" w:type="dxa"/>
            <w:hideMark/>
          </w:tcPr>
          <w:p w14:paraId="5B3BA72B" w14:textId="77777777" w:rsidR="006F5BFE" w:rsidRPr="003B2277" w:rsidRDefault="006F5BFE" w:rsidP="005B4D60">
            <w:pPr>
              <w:pStyle w:val="ColumnHeading"/>
              <w:keepNext/>
            </w:pPr>
            <w:r w:rsidRPr="003B2277">
              <w:t>Besedilo, ki ga predlaga Komisija</w:t>
            </w:r>
          </w:p>
        </w:tc>
        <w:tc>
          <w:tcPr>
            <w:tcW w:w="4876" w:type="dxa"/>
            <w:hideMark/>
          </w:tcPr>
          <w:p w14:paraId="1A890E71" w14:textId="55E1CD9D" w:rsidR="006F5BFE" w:rsidRPr="003B2277" w:rsidRDefault="003B2277" w:rsidP="005B4D60">
            <w:pPr>
              <w:pStyle w:val="ColumnHeading"/>
              <w:keepNext/>
            </w:pPr>
            <w:r>
              <w:t>Sprememba</w:t>
            </w:r>
          </w:p>
        </w:tc>
      </w:tr>
      <w:tr w:rsidR="006F5BFE" w:rsidRPr="003B2277" w14:paraId="481C351D" w14:textId="77777777" w:rsidTr="005B4D60">
        <w:trPr>
          <w:jc w:val="center"/>
        </w:trPr>
        <w:tc>
          <w:tcPr>
            <w:tcW w:w="4876" w:type="dxa"/>
            <w:hideMark/>
          </w:tcPr>
          <w:p w14:paraId="51618A89" w14:textId="77777777" w:rsidR="006F5BFE" w:rsidRPr="003B2277" w:rsidRDefault="006F5BFE" w:rsidP="005B4D60">
            <w:pPr>
              <w:pStyle w:val="Normal6"/>
            </w:pPr>
            <w:r w:rsidRPr="003B2277">
              <w:t>(a)</w:t>
            </w:r>
            <w:r w:rsidRPr="003B2277">
              <w:tab/>
              <w:t>vzpostavitvijo banke podatkov izotopskih analiz, ki bo v pomoč pri odkrivanju goljufij in se bo oblikovala na podlagi vzorcev, ki jih zberejo države članice;</w:t>
            </w:r>
          </w:p>
        </w:tc>
        <w:tc>
          <w:tcPr>
            <w:tcW w:w="4876" w:type="dxa"/>
            <w:hideMark/>
          </w:tcPr>
          <w:p w14:paraId="260C7CCB" w14:textId="77777777" w:rsidR="006F5BFE" w:rsidRPr="003B2277" w:rsidRDefault="006F5BFE" w:rsidP="005B4D60">
            <w:pPr>
              <w:pStyle w:val="Normal6"/>
              <w:rPr>
                <w:szCs w:val="24"/>
              </w:rPr>
            </w:pPr>
            <w:r w:rsidRPr="003B2277">
              <w:t>(a)</w:t>
            </w:r>
            <w:r w:rsidRPr="003B2277">
              <w:tab/>
              <w:t xml:space="preserve">vzpostavitvijo </w:t>
            </w:r>
            <w:r w:rsidRPr="003B2277">
              <w:rPr>
                <w:b/>
                <w:i/>
              </w:rPr>
              <w:t xml:space="preserve">ali vzdrževanjem </w:t>
            </w:r>
            <w:r w:rsidRPr="003B2277">
              <w:t>banke podatkov izotopskih analiz, ki bo v pomoč pri odkrivanju goljufij in se bo oblikovala na podlagi vzorcev, ki jih zberejo države članice;</w:t>
            </w:r>
          </w:p>
        </w:tc>
      </w:tr>
    </w:tbl>
    <w:p w14:paraId="3FD2F68E" w14:textId="77777777" w:rsidR="006F5BFE" w:rsidRPr="003B2277" w:rsidRDefault="006F5BFE" w:rsidP="006F5BFE"/>
    <w:p w14:paraId="1B4973E3" w14:textId="5299DC0C" w:rsidR="006F5BFE" w:rsidRPr="003B2277" w:rsidRDefault="003B2277" w:rsidP="006F5BFE">
      <w:pPr>
        <w:pStyle w:val="AMNumberTabs"/>
        <w:keepNext/>
      </w:pPr>
      <w:r>
        <w:t>Sprememba</w:t>
      </w:r>
      <w:r w:rsidR="006F5BFE" w:rsidRPr="003B2277">
        <w:tab/>
      </w:r>
      <w:r w:rsidR="006F5BFE" w:rsidRPr="003B2277">
        <w:tab/>
        <w:t>78</w:t>
      </w:r>
    </w:p>
    <w:p w14:paraId="6BEF9E2F" w14:textId="77777777" w:rsidR="006F5BFE" w:rsidRPr="003B2277" w:rsidRDefault="006F5BFE" w:rsidP="006F5BFE"/>
    <w:p w14:paraId="62945F4B" w14:textId="77777777" w:rsidR="006F5BFE" w:rsidRPr="003B2277" w:rsidRDefault="006F5BFE" w:rsidP="006F5BFE">
      <w:pPr>
        <w:pStyle w:val="NormalBold"/>
        <w:keepNext/>
      </w:pPr>
      <w:r w:rsidRPr="003B2277">
        <w:t>Predlog uredbe</w:t>
      </w:r>
    </w:p>
    <w:p w14:paraId="7118A193" w14:textId="77777777" w:rsidR="006F5BFE" w:rsidRPr="003B2277" w:rsidRDefault="006F5BFE" w:rsidP="006F5BFE">
      <w:pPr>
        <w:pStyle w:val="NormalBold"/>
      </w:pPr>
      <w:r w:rsidRPr="003B2277">
        <w:t>Člen 1 – odstavek 1 – točka 8 a (novo)</w:t>
      </w:r>
    </w:p>
    <w:p w14:paraId="58FB82BB" w14:textId="77777777" w:rsidR="006F5BFE" w:rsidRPr="003B2277" w:rsidRDefault="006F5BFE" w:rsidP="006F5BFE">
      <w:pPr>
        <w:keepNext/>
      </w:pPr>
      <w:r w:rsidRPr="003B2277">
        <w:t>Uredba (EU) št. 1308/2013</w:t>
      </w:r>
    </w:p>
    <w:p w14:paraId="43D3235D" w14:textId="77777777" w:rsidR="006F5BFE" w:rsidRPr="003B2277" w:rsidRDefault="006F5BFE" w:rsidP="006F5BFE">
      <w:r w:rsidRPr="003B2277">
        <w:t>Člen 92 – 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C89E957" w14:textId="77777777" w:rsidTr="005B4D60">
        <w:trPr>
          <w:jc w:val="center"/>
        </w:trPr>
        <w:tc>
          <w:tcPr>
            <w:tcW w:w="9752" w:type="dxa"/>
            <w:gridSpan w:val="2"/>
          </w:tcPr>
          <w:p w14:paraId="1600820D" w14:textId="77777777" w:rsidR="006F5BFE" w:rsidRPr="003B2277" w:rsidRDefault="006F5BFE" w:rsidP="005B4D60">
            <w:pPr>
              <w:keepNext/>
            </w:pPr>
          </w:p>
        </w:tc>
      </w:tr>
      <w:tr w:rsidR="006F5BFE" w:rsidRPr="003B2277" w14:paraId="2C6DAD56" w14:textId="77777777" w:rsidTr="005B4D60">
        <w:trPr>
          <w:jc w:val="center"/>
        </w:trPr>
        <w:tc>
          <w:tcPr>
            <w:tcW w:w="4876" w:type="dxa"/>
            <w:hideMark/>
          </w:tcPr>
          <w:p w14:paraId="41C9866C" w14:textId="77777777" w:rsidR="006F5BFE" w:rsidRPr="003B2277" w:rsidRDefault="006F5BFE" w:rsidP="005B4D60">
            <w:pPr>
              <w:pStyle w:val="ColumnHeading"/>
              <w:keepNext/>
            </w:pPr>
            <w:r w:rsidRPr="003B2277">
              <w:t>Veljavno besedilo</w:t>
            </w:r>
          </w:p>
        </w:tc>
        <w:tc>
          <w:tcPr>
            <w:tcW w:w="4876" w:type="dxa"/>
            <w:hideMark/>
          </w:tcPr>
          <w:p w14:paraId="6B36B293" w14:textId="739B944B" w:rsidR="006F5BFE" w:rsidRPr="003B2277" w:rsidRDefault="003B2277" w:rsidP="005B4D60">
            <w:pPr>
              <w:pStyle w:val="ColumnHeading"/>
              <w:keepNext/>
            </w:pPr>
            <w:r>
              <w:t>Sprememba</w:t>
            </w:r>
          </w:p>
        </w:tc>
      </w:tr>
      <w:tr w:rsidR="006F5BFE" w:rsidRPr="003B2277" w14:paraId="2E62C3DA" w14:textId="77777777" w:rsidTr="005B4D60">
        <w:trPr>
          <w:jc w:val="center"/>
        </w:trPr>
        <w:tc>
          <w:tcPr>
            <w:tcW w:w="4876" w:type="dxa"/>
          </w:tcPr>
          <w:p w14:paraId="069F8081" w14:textId="77777777" w:rsidR="006F5BFE" w:rsidRPr="003B2277" w:rsidRDefault="006F5BFE" w:rsidP="005B4D60">
            <w:pPr>
              <w:pStyle w:val="Normal6"/>
            </w:pPr>
          </w:p>
        </w:tc>
        <w:tc>
          <w:tcPr>
            <w:tcW w:w="4876" w:type="dxa"/>
            <w:hideMark/>
          </w:tcPr>
          <w:p w14:paraId="30119A8C" w14:textId="00C2AE9F" w:rsidR="006F5BFE" w:rsidRPr="003B2277" w:rsidRDefault="006F5BFE" w:rsidP="000302D4">
            <w:pPr>
              <w:pStyle w:val="Normal6"/>
              <w:rPr>
                <w:szCs w:val="24"/>
              </w:rPr>
            </w:pPr>
            <w:r w:rsidRPr="003B2277">
              <w:rPr>
                <w:b/>
                <w:i/>
              </w:rPr>
              <w:t>(8a)</w:t>
            </w:r>
            <w:r w:rsidRPr="003B2277">
              <w:rPr>
                <w:b/>
                <w:i/>
              </w:rPr>
              <w:tab/>
              <w:t xml:space="preserve">v členu 92 se </w:t>
            </w:r>
            <w:r w:rsidR="00721454" w:rsidRPr="003B2277">
              <w:rPr>
                <w:b/>
                <w:i/>
              </w:rPr>
              <w:t xml:space="preserve">odstavek 1 </w:t>
            </w:r>
            <w:r w:rsidR="000302D4">
              <w:rPr>
                <w:b/>
                <w:i/>
              </w:rPr>
              <w:t>nadomesti z naslednjim</w:t>
            </w:r>
            <w:r w:rsidRPr="003B2277">
              <w:rPr>
                <w:b/>
                <w:i/>
              </w:rPr>
              <w:t>:</w:t>
            </w:r>
          </w:p>
        </w:tc>
      </w:tr>
      <w:tr w:rsidR="006F5BFE" w:rsidRPr="003B2277" w14:paraId="158C0D65" w14:textId="77777777" w:rsidTr="005B4D60">
        <w:trPr>
          <w:jc w:val="center"/>
        </w:trPr>
        <w:tc>
          <w:tcPr>
            <w:tcW w:w="4876" w:type="dxa"/>
          </w:tcPr>
          <w:p w14:paraId="1E00579E" w14:textId="77777777" w:rsidR="006F5BFE" w:rsidRPr="003B2277" w:rsidRDefault="006F5BFE" w:rsidP="005B4D60">
            <w:pPr>
              <w:pStyle w:val="Normal6"/>
            </w:pPr>
            <w:r w:rsidRPr="003B2277">
              <w:t>1.</w:t>
            </w:r>
            <w:r w:rsidRPr="003B2277">
              <w:tab/>
              <w:t>Pravila o označbah porekla, geografskih označbah in tradicionalnih izrazih iz tega oddelka se uporabljajo za proizvode iz točk 1, 3 do 6, 8, 9, 11, 15 in 16 dela II Priloge VII.</w:t>
            </w:r>
          </w:p>
        </w:tc>
        <w:tc>
          <w:tcPr>
            <w:tcW w:w="4876" w:type="dxa"/>
            <w:hideMark/>
          </w:tcPr>
          <w:p w14:paraId="0E2DFE93" w14:textId="32E89214" w:rsidR="006F5BFE" w:rsidRPr="003B2277" w:rsidRDefault="000302D4" w:rsidP="005B4D60">
            <w:pPr>
              <w:pStyle w:val="Normal6"/>
              <w:rPr>
                <w:szCs w:val="24"/>
              </w:rPr>
            </w:pPr>
            <w:r w:rsidRPr="00FD1F1B">
              <w:rPr>
                <w:b/>
                <w:i/>
              </w:rPr>
              <w:t>„</w:t>
            </w:r>
            <w:r w:rsidR="006F5BFE" w:rsidRPr="003B2277">
              <w:t>1.</w:t>
            </w:r>
            <w:r w:rsidR="006F5BFE" w:rsidRPr="003B2277">
              <w:tab/>
              <w:t xml:space="preserve">Pravila o označbah porekla, geografskih označbah in tradicionalnih izrazih iz tega oddelka se uporabljajo </w:t>
            </w:r>
            <w:r w:rsidR="006F5BFE" w:rsidRPr="003B2277">
              <w:rPr>
                <w:b/>
                <w:i/>
              </w:rPr>
              <w:t xml:space="preserve">samo </w:t>
            </w:r>
            <w:r w:rsidR="006F5BFE" w:rsidRPr="003B2277">
              <w:t>za proizvode iz točk 1, 3 do 6, 8, 9, 11, 15 in 16 dela II Priloge VII.</w:t>
            </w:r>
            <w:r w:rsidRPr="00FD1F1B">
              <w:rPr>
                <w:b/>
                <w:i/>
              </w:rPr>
              <w:t>“</w:t>
            </w:r>
          </w:p>
        </w:tc>
      </w:tr>
    </w:tbl>
    <w:p w14:paraId="1A356E47" w14:textId="77777777" w:rsidR="006F5BFE" w:rsidRPr="003B2277" w:rsidRDefault="006F5BFE" w:rsidP="006F5BFE"/>
    <w:p w14:paraId="0ED459DC" w14:textId="5FB70C4D" w:rsidR="006F5BFE" w:rsidRPr="003B2277" w:rsidRDefault="003B2277" w:rsidP="006F5BFE">
      <w:pPr>
        <w:pStyle w:val="AMNumberTabs"/>
        <w:keepNext/>
      </w:pPr>
      <w:r>
        <w:t>Sprememba</w:t>
      </w:r>
      <w:r w:rsidR="006F5BFE" w:rsidRPr="003B2277">
        <w:tab/>
      </w:r>
      <w:r w:rsidR="006F5BFE" w:rsidRPr="003B2277">
        <w:tab/>
      </w:r>
      <w:r w:rsidR="007E5F3B">
        <w:t>235/rev</w:t>
      </w:r>
    </w:p>
    <w:p w14:paraId="03880C04" w14:textId="04260408" w:rsidR="006F5BFE" w:rsidRPr="003B2277" w:rsidRDefault="006F5BFE" w:rsidP="006F5BFE"/>
    <w:p w14:paraId="1541A6AF" w14:textId="41754D32" w:rsidR="006F5BFE" w:rsidRPr="003B2277" w:rsidRDefault="006F5BFE" w:rsidP="006F5BFE">
      <w:pPr>
        <w:pStyle w:val="NormalBold"/>
        <w:keepNext/>
      </w:pPr>
      <w:r w:rsidRPr="003B2277">
        <w:t>Predlog uredbe</w:t>
      </w:r>
    </w:p>
    <w:p w14:paraId="12A44804" w14:textId="4C1F4A09" w:rsidR="006F5BFE" w:rsidRPr="003B2277" w:rsidRDefault="006F5BFE" w:rsidP="006F5BFE">
      <w:pPr>
        <w:pStyle w:val="NormalBold"/>
      </w:pPr>
      <w:r w:rsidRPr="003B2277">
        <w:t>Člen 1 – odstavek 1 – točka 9 – točka a</w:t>
      </w:r>
    </w:p>
    <w:p w14:paraId="436B7D05" w14:textId="6768110F" w:rsidR="006F5BFE" w:rsidRPr="003B2277" w:rsidRDefault="006F5BFE" w:rsidP="006F5BFE">
      <w:pPr>
        <w:keepNext/>
      </w:pPr>
      <w:r w:rsidRPr="003B2277">
        <w:t>Uredba (EU) št. 1308/2013</w:t>
      </w:r>
    </w:p>
    <w:p w14:paraId="33B19A9F" w14:textId="77777777" w:rsidR="007E5F3B" w:rsidRPr="003B2277" w:rsidDel="007E5F3B" w:rsidRDefault="006F5BFE" w:rsidP="006F5BFE">
      <w:r w:rsidRPr="003B2277">
        <w:t>Člen 93 – odstavek 1 – točka a – uvodni del</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14:paraId="02CA59D2" w14:textId="77777777" w:rsidTr="007E5F3B">
        <w:trPr>
          <w:jc w:val="center"/>
        </w:trPr>
        <w:tc>
          <w:tcPr>
            <w:tcW w:w="9752" w:type="dxa"/>
            <w:gridSpan w:val="2"/>
          </w:tcPr>
          <w:p w14:paraId="3F8595A3" w14:textId="77777777" w:rsidR="007E5F3B" w:rsidRPr="00411529" w:rsidRDefault="007E5F3B" w:rsidP="007E5F3B">
            <w:pPr>
              <w:keepNext/>
            </w:pPr>
          </w:p>
        </w:tc>
      </w:tr>
      <w:tr w:rsidR="007E5F3B" w14:paraId="7E52C459" w14:textId="77777777" w:rsidTr="007E5F3B">
        <w:trPr>
          <w:jc w:val="center"/>
        </w:trPr>
        <w:tc>
          <w:tcPr>
            <w:tcW w:w="4876" w:type="dxa"/>
          </w:tcPr>
          <w:p w14:paraId="27E48B55" w14:textId="77777777" w:rsidR="007E5F3B" w:rsidRPr="00411529" w:rsidRDefault="007E5F3B" w:rsidP="007E5F3B">
            <w:pPr>
              <w:pStyle w:val="AmColumnHeading"/>
              <w:keepNext/>
            </w:pPr>
            <w:r>
              <w:t>Besedilo, ki ga predlaga Komisija</w:t>
            </w:r>
          </w:p>
        </w:tc>
        <w:tc>
          <w:tcPr>
            <w:tcW w:w="4876" w:type="dxa"/>
          </w:tcPr>
          <w:p w14:paraId="05C1FEA5" w14:textId="095F6275" w:rsidR="007E5F3B" w:rsidRPr="00411529" w:rsidRDefault="008C7773" w:rsidP="007E5F3B">
            <w:pPr>
              <w:pStyle w:val="AmColumnHeading"/>
              <w:keepNext/>
            </w:pPr>
            <w:r>
              <w:t>Sprememba</w:t>
            </w:r>
          </w:p>
        </w:tc>
      </w:tr>
      <w:tr w:rsidR="007E5F3B" w14:paraId="38862284" w14:textId="77777777" w:rsidTr="007E5F3B">
        <w:trPr>
          <w:jc w:val="center"/>
        </w:trPr>
        <w:tc>
          <w:tcPr>
            <w:tcW w:w="4876" w:type="dxa"/>
          </w:tcPr>
          <w:p w14:paraId="48438451" w14:textId="77777777" w:rsidR="007E5F3B" w:rsidRPr="00411529" w:rsidRDefault="007E5F3B" w:rsidP="007E5F3B">
            <w:pPr>
              <w:pStyle w:val="Normal6"/>
            </w:pPr>
            <w:r>
              <w:t>(a)</w:t>
            </w:r>
            <w:r>
              <w:tab/>
              <w:t>‚označba porekla‘ pomeni ime</w:t>
            </w:r>
            <w:r>
              <w:rPr>
                <w:b/>
                <w:i/>
              </w:rPr>
              <w:t>, ki opredeljuje proizvod</w:t>
            </w:r>
            <w:r>
              <w:t xml:space="preserve"> iz člena 92(1):</w:t>
            </w:r>
          </w:p>
        </w:tc>
        <w:tc>
          <w:tcPr>
            <w:tcW w:w="4876" w:type="dxa"/>
          </w:tcPr>
          <w:p w14:paraId="6137E62C" w14:textId="77777777" w:rsidR="007E5F3B" w:rsidRPr="00411529" w:rsidRDefault="007E5F3B" w:rsidP="007E5F3B">
            <w:pPr>
              <w:pStyle w:val="Normal6"/>
              <w:rPr>
                <w:szCs w:val="24"/>
              </w:rPr>
            </w:pPr>
            <w:r>
              <w:t>(a)</w:t>
            </w:r>
            <w:r>
              <w:tab/>
              <w:t xml:space="preserve">‚označba porekla‘ pomeni ime </w:t>
            </w:r>
            <w:r>
              <w:rPr>
                <w:b/>
                <w:i/>
              </w:rPr>
              <w:t>regije, specifičnega kraja ali izjemoma v ustrezno utemeljenih primerih ime države, ki se uporablja za opis proizvoda</w:t>
            </w:r>
            <w:r>
              <w:rPr>
                <w:i/>
              </w:rPr>
              <w:t xml:space="preserve"> </w:t>
            </w:r>
            <w:r>
              <w:t>iz člena92(1):</w:t>
            </w:r>
          </w:p>
        </w:tc>
      </w:tr>
    </w:tbl>
    <w:p w14:paraId="4F56D203" w14:textId="62D67403" w:rsidR="006F5BFE" w:rsidRPr="003B2277" w:rsidRDefault="003B2277" w:rsidP="006F5BFE">
      <w:pPr>
        <w:pStyle w:val="AMNumberTabs"/>
        <w:keepNext/>
      </w:pPr>
      <w:r>
        <w:t>Sprememba</w:t>
      </w:r>
      <w:r w:rsidR="006F5BFE" w:rsidRPr="003B2277">
        <w:tab/>
      </w:r>
      <w:r w:rsidR="006F5BFE" w:rsidRPr="003B2277">
        <w:tab/>
        <w:t>80</w:t>
      </w:r>
    </w:p>
    <w:p w14:paraId="50C3AE4E" w14:textId="77777777" w:rsidR="006F5BFE" w:rsidRPr="003B2277" w:rsidRDefault="006F5BFE" w:rsidP="006F5BFE"/>
    <w:p w14:paraId="7E02D1C8" w14:textId="77777777" w:rsidR="006F5BFE" w:rsidRPr="003B2277" w:rsidRDefault="006F5BFE" w:rsidP="006F5BFE">
      <w:pPr>
        <w:pStyle w:val="NormalBold"/>
        <w:keepNext/>
      </w:pPr>
      <w:r w:rsidRPr="003B2277">
        <w:t>Predlog uredbe</w:t>
      </w:r>
    </w:p>
    <w:p w14:paraId="4D36D1A1" w14:textId="77777777" w:rsidR="006F5BFE" w:rsidRPr="003B2277" w:rsidRDefault="006F5BFE" w:rsidP="006F5BFE">
      <w:pPr>
        <w:pStyle w:val="NormalBold"/>
      </w:pPr>
      <w:r w:rsidRPr="003B2277">
        <w:t>Člen 1 – odstavek 1 – točka 9 – točka a</w:t>
      </w:r>
    </w:p>
    <w:p w14:paraId="4B14DD96" w14:textId="77777777" w:rsidR="006F5BFE" w:rsidRPr="003B2277" w:rsidRDefault="006F5BFE" w:rsidP="006F5BFE">
      <w:pPr>
        <w:keepNext/>
      </w:pPr>
      <w:r w:rsidRPr="003B2277">
        <w:t>Uredba (EU) št. 1308/2013</w:t>
      </w:r>
    </w:p>
    <w:p w14:paraId="7A85A3FF" w14:textId="77777777" w:rsidR="006F5BFE" w:rsidRPr="003B2277" w:rsidRDefault="006F5BFE" w:rsidP="006F5BFE">
      <w:r w:rsidRPr="003B2277">
        <w:t>Člen 93 – odstavek 1 – točka a – točka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FCAA5F6" w14:textId="77777777" w:rsidTr="005B4D60">
        <w:trPr>
          <w:jc w:val="center"/>
        </w:trPr>
        <w:tc>
          <w:tcPr>
            <w:tcW w:w="9752" w:type="dxa"/>
            <w:gridSpan w:val="2"/>
          </w:tcPr>
          <w:p w14:paraId="73F16C0A" w14:textId="77777777" w:rsidR="006F5BFE" w:rsidRPr="003B2277" w:rsidRDefault="006F5BFE" w:rsidP="005B4D60">
            <w:pPr>
              <w:keepNext/>
            </w:pPr>
          </w:p>
        </w:tc>
      </w:tr>
      <w:tr w:rsidR="006F5BFE" w:rsidRPr="003B2277" w14:paraId="0C7F059E" w14:textId="77777777" w:rsidTr="005B4D60">
        <w:trPr>
          <w:jc w:val="center"/>
        </w:trPr>
        <w:tc>
          <w:tcPr>
            <w:tcW w:w="4876" w:type="dxa"/>
            <w:hideMark/>
          </w:tcPr>
          <w:p w14:paraId="6C4D7840" w14:textId="77777777" w:rsidR="006F5BFE" w:rsidRPr="003B2277" w:rsidRDefault="006F5BFE" w:rsidP="005B4D60">
            <w:pPr>
              <w:pStyle w:val="ColumnHeading"/>
              <w:keepNext/>
            </w:pPr>
            <w:r w:rsidRPr="003B2277">
              <w:t>Besedilo, ki ga predlaga Komisija</w:t>
            </w:r>
          </w:p>
        </w:tc>
        <w:tc>
          <w:tcPr>
            <w:tcW w:w="4876" w:type="dxa"/>
            <w:hideMark/>
          </w:tcPr>
          <w:p w14:paraId="730B1DB1" w14:textId="582D9172" w:rsidR="006F5BFE" w:rsidRPr="003B2277" w:rsidRDefault="003B2277" w:rsidP="005B4D60">
            <w:pPr>
              <w:pStyle w:val="ColumnHeading"/>
              <w:keepNext/>
            </w:pPr>
            <w:r>
              <w:t>Sprememba</w:t>
            </w:r>
          </w:p>
        </w:tc>
      </w:tr>
      <w:tr w:rsidR="006F5BFE" w:rsidRPr="003B2277" w14:paraId="6705603F" w14:textId="77777777" w:rsidTr="005B4D60">
        <w:trPr>
          <w:jc w:val="center"/>
        </w:trPr>
        <w:tc>
          <w:tcPr>
            <w:tcW w:w="4876" w:type="dxa"/>
            <w:hideMark/>
          </w:tcPr>
          <w:p w14:paraId="00072AAF" w14:textId="77777777" w:rsidR="006F5BFE" w:rsidRPr="003B2277" w:rsidRDefault="006F5BFE" w:rsidP="005B4D60">
            <w:pPr>
              <w:pStyle w:val="Normal6"/>
            </w:pPr>
            <w:r w:rsidRPr="003B2277">
              <w:t>(i)</w:t>
            </w:r>
            <w:r w:rsidRPr="003B2277">
              <w:tab/>
              <w:t xml:space="preserve">katerega kakovost ali značilnosti so pretežno ali izključno posledica določenega geografskega okolja z njegovimi </w:t>
            </w:r>
            <w:r w:rsidRPr="003B2277">
              <w:rPr>
                <w:b/>
                <w:i/>
              </w:rPr>
              <w:t xml:space="preserve">lastnimi </w:t>
            </w:r>
            <w:r w:rsidRPr="003B2277">
              <w:t xml:space="preserve">naravnimi </w:t>
            </w:r>
            <w:r w:rsidRPr="003B2277">
              <w:rPr>
                <w:b/>
                <w:i/>
              </w:rPr>
              <w:t>in, če ti obstajajo,</w:t>
            </w:r>
            <w:r w:rsidRPr="003B2277">
              <w:t xml:space="preserve"> človeškimi dejavniki;</w:t>
            </w:r>
          </w:p>
        </w:tc>
        <w:tc>
          <w:tcPr>
            <w:tcW w:w="4876" w:type="dxa"/>
            <w:hideMark/>
          </w:tcPr>
          <w:p w14:paraId="2DFD3C77" w14:textId="77777777" w:rsidR="006F5BFE" w:rsidRPr="003B2277" w:rsidRDefault="006F5BFE" w:rsidP="005B4D60">
            <w:pPr>
              <w:pStyle w:val="Normal6"/>
              <w:rPr>
                <w:szCs w:val="24"/>
              </w:rPr>
            </w:pPr>
            <w:r w:rsidRPr="003B2277">
              <w:t>(i)</w:t>
            </w:r>
            <w:r w:rsidRPr="003B2277">
              <w:tab/>
              <w:t xml:space="preserve">katerega kakovost ali značilnosti so pretežno ali izključno posledica določenega geografskega okolja z njegovimi naravnimi </w:t>
            </w:r>
            <w:r w:rsidRPr="003B2277">
              <w:rPr>
                <w:b/>
                <w:i/>
              </w:rPr>
              <w:t>dejavniki in</w:t>
            </w:r>
            <w:r w:rsidRPr="003B2277">
              <w:t xml:space="preserve"> človeškimi dejavniki;</w:t>
            </w:r>
          </w:p>
        </w:tc>
      </w:tr>
    </w:tbl>
    <w:p w14:paraId="544A2F25" w14:textId="77777777" w:rsidR="006F5BFE" w:rsidRPr="003B2277" w:rsidRDefault="006F5BFE" w:rsidP="006F5BFE"/>
    <w:p w14:paraId="3CFF8B9D" w14:textId="6731B401" w:rsidR="006F5BFE" w:rsidRPr="003B2277" w:rsidRDefault="003B2277" w:rsidP="006F5BFE">
      <w:pPr>
        <w:pStyle w:val="AMNumberTabs"/>
        <w:keepNext/>
      </w:pPr>
      <w:r>
        <w:t>Sprememba</w:t>
      </w:r>
      <w:r w:rsidR="006F5BFE" w:rsidRPr="003B2277">
        <w:tab/>
      </w:r>
      <w:r w:rsidR="006F5BFE" w:rsidRPr="003B2277">
        <w:tab/>
        <w:t>81</w:t>
      </w:r>
    </w:p>
    <w:p w14:paraId="329BD277" w14:textId="77777777" w:rsidR="006F5BFE" w:rsidRPr="003B2277" w:rsidRDefault="006F5BFE" w:rsidP="006F5BFE"/>
    <w:p w14:paraId="1EE5DD33" w14:textId="77777777" w:rsidR="006F5BFE" w:rsidRPr="003B2277" w:rsidRDefault="006F5BFE" w:rsidP="006F5BFE">
      <w:pPr>
        <w:pStyle w:val="NormalBold"/>
        <w:keepNext/>
      </w:pPr>
      <w:r w:rsidRPr="003B2277">
        <w:t>Predlog uredbe</w:t>
      </w:r>
    </w:p>
    <w:p w14:paraId="7363A951" w14:textId="77777777" w:rsidR="006F5BFE" w:rsidRPr="003B2277" w:rsidRDefault="006F5BFE" w:rsidP="006F5BFE">
      <w:pPr>
        <w:pStyle w:val="NormalBold"/>
      </w:pPr>
      <w:r w:rsidRPr="003B2277">
        <w:t>Člen 1 – odstavek 1 – točka 9 – točka a</w:t>
      </w:r>
    </w:p>
    <w:p w14:paraId="516386AE" w14:textId="77777777" w:rsidR="006F5BFE" w:rsidRPr="003B2277" w:rsidRDefault="006F5BFE" w:rsidP="006F5BFE">
      <w:pPr>
        <w:keepNext/>
      </w:pPr>
      <w:r w:rsidRPr="003B2277">
        <w:t>Uredba (EU) št. 1308/2013</w:t>
      </w:r>
    </w:p>
    <w:p w14:paraId="72329D98" w14:textId="77777777" w:rsidR="006F5BFE" w:rsidRPr="003B2277" w:rsidRDefault="006F5BFE" w:rsidP="006F5BFE">
      <w:r w:rsidRPr="003B2277">
        <w:t>Člen 93 – odstavek 1 – točka a – točka ii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115F35C" w14:textId="77777777" w:rsidTr="005B4D60">
        <w:trPr>
          <w:jc w:val="center"/>
        </w:trPr>
        <w:tc>
          <w:tcPr>
            <w:tcW w:w="9752" w:type="dxa"/>
            <w:gridSpan w:val="2"/>
          </w:tcPr>
          <w:p w14:paraId="1AD4CF00" w14:textId="77777777" w:rsidR="006F5BFE" w:rsidRPr="003B2277" w:rsidRDefault="006F5BFE" w:rsidP="005B4D60">
            <w:pPr>
              <w:keepNext/>
            </w:pPr>
          </w:p>
        </w:tc>
      </w:tr>
      <w:tr w:rsidR="006F5BFE" w:rsidRPr="003B2277" w14:paraId="0D83AEAE" w14:textId="77777777" w:rsidTr="005B4D60">
        <w:trPr>
          <w:jc w:val="center"/>
        </w:trPr>
        <w:tc>
          <w:tcPr>
            <w:tcW w:w="4876" w:type="dxa"/>
            <w:hideMark/>
          </w:tcPr>
          <w:p w14:paraId="722611BF" w14:textId="77777777" w:rsidR="006F5BFE" w:rsidRPr="003B2277" w:rsidRDefault="006F5BFE" w:rsidP="005B4D60">
            <w:pPr>
              <w:pStyle w:val="ColumnHeading"/>
              <w:keepNext/>
            </w:pPr>
            <w:r w:rsidRPr="003B2277">
              <w:t>Besedilo, ki ga predlaga Komisija</w:t>
            </w:r>
          </w:p>
        </w:tc>
        <w:tc>
          <w:tcPr>
            <w:tcW w:w="4876" w:type="dxa"/>
            <w:hideMark/>
          </w:tcPr>
          <w:p w14:paraId="3983BA02" w14:textId="78D37249" w:rsidR="006F5BFE" w:rsidRPr="003B2277" w:rsidRDefault="003B2277" w:rsidP="005B4D60">
            <w:pPr>
              <w:pStyle w:val="ColumnHeading"/>
              <w:keepNext/>
            </w:pPr>
            <w:r>
              <w:t>Sprememba</w:t>
            </w:r>
          </w:p>
        </w:tc>
      </w:tr>
      <w:tr w:rsidR="006F5BFE" w:rsidRPr="003B2277" w14:paraId="3A1AC3AB" w14:textId="77777777" w:rsidTr="005B4D60">
        <w:trPr>
          <w:jc w:val="center"/>
        </w:trPr>
        <w:tc>
          <w:tcPr>
            <w:tcW w:w="4876" w:type="dxa"/>
            <w:hideMark/>
          </w:tcPr>
          <w:p w14:paraId="0FD0F56C" w14:textId="77777777" w:rsidR="006F5BFE" w:rsidRPr="003B2277" w:rsidRDefault="006F5BFE" w:rsidP="005B4D60">
            <w:pPr>
              <w:pStyle w:val="Normal6"/>
            </w:pPr>
            <w:r w:rsidRPr="003B2277">
              <w:rPr>
                <w:b/>
                <w:i/>
              </w:rPr>
              <w:t>(ii)</w:t>
            </w:r>
            <w:r w:rsidRPr="003B2277">
              <w:rPr>
                <w:b/>
                <w:i/>
              </w:rPr>
              <w:tab/>
              <w:t>s poreklom iz specifičnega kraja, regije ali izjemoma države;</w:t>
            </w:r>
          </w:p>
        </w:tc>
        <w:tc>
          <w:tcPr>
            <w:tcW w:w="4876" w:type="dxa"/>
            <w:hideMark/>
          </w:tcPr>
          <w:p w14:paraId="5E63EA27" w14:textId="77777777" w:rsidR="006F5BFE" w:rsidRPr="003B2277" w:rsidRDefault="006F5BFE" w:rsidP="005B4D60">
            <w:pPr>
              <w:pStyle w:val="Normal6"/>
              <w:rPr>
                <w:szCs w:val="24"/>
              </w:rPr>
            </w:pPr>
            <w:r w:rsidRPr="003B2277">
              <w:rPr>
                <w:b/>
                <w:i/>
              </w:rPr>
              <w:t>črtano</w:t>
            </w:r>
          </w:p>
        </w:tc>
      </w:tr>
    </w:tbl>
    <w:p w14:paraId="2FD1475F" w14:textId="77777777" w:rsidR="006F5BFE" w:rsidRPr="003B2277" w:rsidRDefault="006F5BFE" w:rsidP="006F5BFE"/>
    <w:p w14:paraId="0AABCF99" w14:textId="62D4583F" w:rsidR="006F5BFE" w:rsidRPr="003B2277" w:rsidRDefault="003B2277" w:rsidP="006F5BFE">
      <w:pPr>
        <w:pStyle w:val="AMNumberTabs"/>
        <w:keepNext/>
      </w:pPr>
      <w:r>
        <w:t>Sprememba</w:t>
      </w:r>
      <w:r w:rsidR="006F5BFE" w:rsidRPr="003B2277">
        <w:tab/>
      </w:r>
      <w:r w:rsidR="006F5BFE" w:rsidRPr="003B2277">
        <w:tab/>
        <w:t>82</w:t>
      </w:r>
    </w:p>
    <w:p w14:paraId="7C47CA04" w14:textId="77777777" w:rsidR="006F5BFE" w:rsidRPr="003B2277" w:rsidRDefault="006F5BFE" w:rsidP="006F5BFE"/>
    <w:p w14:paraId="691DE673" w14:textId="77777777" w:rsidR="006F5BFE" w:rsidRPr="003B2277" w:rsidRDefault="006F5BFE" w:rsidP="006F5BFE">
      <w:pPr>
        <w:pStyle w:val="NormalBold"/>
        <w:keepNext/>
      </w:pPr>
      <w:r w:rsidRPr="003B2277">
        <w:t>Predlog uredbe</w:t>
      </w:r>
    </w:p>
    <w:p w14:paraId="3B1EB24E" w14:textId="77777777" w:rsidR="006F5BFE" w:rsidRPr="003B2277" w:rsidRDefault="006F5BFE" w:rsidP="006F5BFE">
      <w:pPr>
        <w:pStyle w:val="NormalBold"/>
      </w:pPr>
      <w:r w:rsidRPr="003B2277">
        <w:t>Člen 1 – odstavek 1 – točka 9 – točka a</w:t>
      </w:r>
    </w:p>
    <w:p w14:paraId="23AB1CB9" w14:textId="77777777" w:rsidR="006F5BFE" w:rsidRPr="003B2277" w:rsidRDefault="006F5BFE" w:rsidP="006F5BFE">
      <w:pPr>
        <w:keepNext/>
      </w:pPr>
      <w:r w:rsidRPr="003B2277">
        <w:t>Uredba (EU) št. 1308/2013</w:t>
      </w:r>
    </w:p>
    <w:p w14:paraId="7679BC7F" w14:textId="77777777" w:rsidR="006F5BFE" w:rsidRPr="003B2277" w:rsidRDefault="006F5BFE" w:rsidP="006F5BFE">
      <w:r w:rsidRPr="003B2277">
        <w:t>Člen 93 – odstavek 1 – točka a – točka v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115903" w14:textId="77777777" w:rsidTr="005B4D60">
        <w:trPr>
          <w:jc w:val="center"/>
        </w:trPr>
        <w:tc>
          <w:tcPr>
            <w:tcW w:w="9752" w:type="dxa"/>
            <w:gridSpan w:val="2"/>
          </w:tcPr>
          <w:p w14:paraId="3741456E" w14:textId="77777777" w:rsidR="006F5BFE" w:rsidRPr="003B2277" w:rsidRDefault="006F5BFE" w:rsidP="005B4D60">
            <w:pPr>
              <w:keepNext/>
            </w:pPr>
          </w:p>
        </w:tc>
      </w:tr>
      <w:tr w:rsidR="006F5BFE" w:rsidRPr="003B2277" w14:paraId="3CF1C04C" w14:textId="77777777" w:rsidTr="005B4D60">
        <w:trPr>
          <w:jc w:val="center"/>
        </w:trPr>
        <w:tc>
          <w:tcPr>
            <w:tcW w:w="4876" w:type="dxa"/>
            <w:hideMark/>
          </w:tcPr>
          <w:p w14:paraId="5A90AFF0" w14:textId="77777777" w:rsidR="006F5BFE" w:rsidRPr="003B2277" w:rsidRDefault="006F5BFE" w:rsidP="005B4D60">
            <w:pPr>
              <w:pStyle w:val="ColumnHeading"/>
              <w:keepNext/>
            </w:pPr>
            <w:r w:rsidRPr="003B2277">
              <w:t>Besedilo, ki ga predlaga Komisija</w:t>
            </w:r>
          </w:p>
        </w:tc>
        <w:tc>
          <w:tcPr>
            <w:tcW w:w="4876" w:type="dxa"/>
            <w:hideMark/>
          </w:tcPr>
          <w:p w14:paraId="7BBA80F2" w14:textId="074A614D" w:rsidR="006F5BFE" w:rsidRPr="003B2277" w:rsidRDefault="003B2277" w:rsidP="005B4D60">
            <w:pPr>
              <w:pStyle w:val="ColumnHeading"/>
              <w:keepNext/>
            </w:pPr>
            <w:r>
              <w:t>Sprememba</w:t>
            </w:r>
          </w:p>
        </w:tc>
      </w:tr>
      <w:tr w:rsidR="006F5BFE" w:rsidRPr="003B2277" w14:paraId="4CA385D8" w14:textId="77777777" w:rsidTr="005B4D60">
        <w:trPr>
          <w:jc w:val="center"/>
        </w:trPr>
        <w:tc>
          <w:tcPr>
            <w:tcW w:w="4876" w:type="dxa"/>
          </w:tcPr>
          <w:p w14:paraId="216AEB2B" w14:textId="77777777" w:rsidR="006F5BFE" w:rsidRPr="003B2277" w:rsidRDefault="006F5BFE" w:rsidP="005B4D60">
            <w:pPr>
              <w:pStyle w:val="Normal6"/>
            </w:pPr>
          </w:p>
        </w:tc>
        <w:tc>
          <w:tcPr>
            <w:tcW w:w="4876" w:type="dxa"/>
            <w:hideMark/>
          </w:tcPr>
          <w:p w14:paraId="1DCC9602" w14:textId="77777777" w:rsidR="006F5BFE" w:rsidRPr="003B2277" w:rsidRDefault="006F5BFE" w:rsidP="005B4D60">
            <w:pPr>
              <w:pStyle w:val="Normal6"/>
              <w:rPr>
                <w:szCs w:val="24"/>
              </w:rPr>
            </w:pPr>
            <w:r w:rsidRPr="003B2277">
              <w:rPr>
                <w:b/>
                <w:i/>
              </w:rPr>
              <w:t>(va)</w:t>
            </w:r>
            <w:r w:rsidRPr="003B2277">
              <w:rPr>
                <w:b/>
                <w:i/>
              </w:rPr>
              <w:tab/>
              <w:t>ki ni „delno dealkoholiziran“ ali „dealkoholiziran“, kot je navedeno v točkah (18) in (19) dela II Priloge VII.</w:t>
            </w:r>
          </w:p>
        </w:tc>
      </w:tr>
    </w:tbl>
    <w:p w14:paraId="3852955F" w14:textId="77777777" w:rsidR="006F5BFE" w:rsidRPr="003B2277" w:rsidRDefault="006F5BFE" w:rsidP="006F5BFE"/>
    <w:p w14:paraId="5339388C" w14:textId="4B83767A" w:rsidR="006F5BFE" w:rsidRPr="003B2277" w:rsidRDefault="003B2277" w:rsidP="006F5BFE">
      <w:pPr>
        <w:pStyle w:val="AMNumberTabs"/>
        <w:keepNext/>
      </w:pPr>
      <w:r>
        <w:t>Sprememba</w:t>
      </w:r>
      <w:r w:rsidR="006F5BFE" w:rsidRPr="003B2277">
        <w:tab/>
      </w:r>
      <w:r w:rsidR="006F5BFE" w:rsidRPr="003B2277">
        <w:tab/>
        <w:t>83</w:t>
      </w:r>
    </w:p>
    <w:p w14:paraId="553B474C" w14:textId="77777777" w:rsidR="006F5BFE" w:rsidRPr="003B2277" w:rsidRDefault="006F5BFE" w:rsidP="006F5BFE"/>
    <w:p w14:paraId="5E2B12C9" w14:textId="77777777" w:rsidR="006F5BFE" w:rsidRPr="003B2277" w:rsidRDefault="006F5BFE" w:rsidP="006F5BFE">
      <w:pPr>
        <w:pStyle w:val="NormalBold"/>
        <w:keepNext/>
      </w:pPr>
      <w:r w:rsidRPr="003B2277">
        <w:t>Predlog uredbe</w:t>
      </w:r>
    </w:p>
    <w:p w14:paraId="357CA39A" w14:textId="77777777" w:rsidR="006F5BFE" w:rsidRPr="003B2277" w:rsidRDefault="006F5BFE" w:rsidP="006F5BFE">
      <w:pPr>
        <w:pStyle w:val="NormalBold"/>
      </w:pPr>
      <w:r w:rsidRPr="003B2277">
        <w:t>Člen 1 – odstavek 1 – točka 10</w:t>
      </w:r>
    </w:p>
    <w:p w14:paraId="099D2B15" w14:textId="77777777" w:rsidR="006F5BFE" w:rsidRPr="003B2277" w:rsidRDefault="006F5BFE" w:rsidP="006F5BFE">
      <w:pPr>
        <w:keepNext/>
      </w:pPr>
      <w:r w:rsidRPr="003B2277">
        <w:t>Uredba (EU) št. 1308/2013</w:t>
      </w:r>
    </w:p>
    <w:p w14:paraId="6D8A79D3" w14:textId="77777777" w:rsidR="006F5BFE" w:rsidRPr="003B2277" w:rsidRDefault="006F5BFE" w:rsidP="006F5BFE">
      <w:r w:rsidRPr="003B2277">
        <w:t>Člen 94 – odstavek 1 – uvodni del</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DB14CA3" w14:textId="77777777" w:rsidTr="005B4D60">
        <w:trPr>
          <w:jc w:val="center"/>
        </w:trPr>
        <w:tc>
          <w:tcPr>
            <w:tcW w:w="9752" w:type="dxa"/>
            <w:gridSpan w:val="2"/>
          </w:tcPr>
          <w:p w14:paraId="74709281" w14:textId="77777777" w:rsidR="006F5BFE" w:rsidRPr="003B2277" w:rsidRDefault="006F5BFE" w:rsidP="005B4D60">
            <w:pPr>
              <w:keepNext/>
            </w:pPr>
          </w:p>
        </w:tc>
      </w:tr>
      <w:tr w:rsidR="006F5BFE" w:rsidRPr="003B2277" w14:paraId="66DDB6F1" w14:textId="77777777" w:rsidTr="005B4D60">
        <w:trPr>
          <w:jc w:val="center"/>
        </w:trPr>
        <w:tc>
          <w:tcPr>
            <w:tcW w:w="4876" w:type="dxa"/>
            <w:hideMark/>
          </w:tcPr>
          <w:p w14:paraId="35D5C0BD" w14:textId="77777777" w:rsidR="006F5BFE" w:rsidRPr="003B2277" w:rsidRDefault="006F5BFE" w:rsidP="005B4D60">
            <w:pPr>
              <w:pStyle w:val="ColumnHeading"/>
              <w:keepNext/>
            </w:pPr>
            <w:r w:rsidRPr="003B2277">
              <w:t>Besedilo, ki ga predlaga Komisija</w:t>
            </w:r>
          </w:p>
        </w:tc>
        <w:tc>
          <w:tcPr>
            <w:tcW w:w="4876" w:type="dxa"/>
            <w:hideMark/>
          </w:tcPr>
          <w:p w14:paraId="644FDCFD" w14:textId="0D65064F" w:rsidR="006F5BFE" w:rsidRPr="003B2277" w:rsidRDefault="003B2277" w:rsidP="005B4D60">
            <w:pPr>
              <w:pStyle w:val="ColumnHeading"/>
              <w:keepNext/>
            </w:pPr>
            <w:r>
              <w:t>Sprememba</w:t>
            </w:r>
          </w:p>
        </w:tc>
      </w:tr>
      <w:tr w:rsidR="006F5BFE" w:rsidRPr="003B2277" w14:paraId="21ADBDD1" w14:textId="77777777" w:rsidTr="005B4D60">
        <w:trPr>
          <w:jc w:val="center"/>
        </w:trPr>
        <w:tc>
          <w:tcPr>
            <w:tcW w:w="4876" w:type="dxa"/>
            <w:hideMark/>
          </w:tcPr>
          <w:p w14:paraId="62C01E01" w14:textId="77777777" w:rsidR="006F5BFE" w:rsidRPr="003B2277" w:rsidRDefault="006F5BFE" w:rsidP="005B4D60">
            <w:pPr>
              <w:pStyle w:val="Normal6"/>
            </w:pPr>
            <w:r w:rsidRPr="003B2277">
              <w:rPr>
                <w:b/>
                <w:i/>
              </w:rPr>
              <w:t>(10)</w:t>
            </w:r>
            <w:r w:rsidRPr="003B2277">
              <w:rPr>
                <w:b/>
                <w:i/>
              </w:rPr>
              <w:tab/>
              <w:t>v členu 94(1) se uvodni stavek nadomesti z naslednjim:</w:t>
            </w:r>
          </w:p>
        </w:tc>
        <w:tc>
          <w:tcPr>
            <w:tcW w:w="4876" w:type="dxa"/>
            <w:hideMark/>
          </w:tcPr>
          <w:p w14:paraId="7F4C0020" w14:textId="77777777" w:rsidR="006F5BFE" w:rsidRPr="003B2277" w:rsidRDefault="006F5BFE" w:rsidP="005B4D60">
            <w:pPr>
              <w:pStyle w:val="Normal6"/>
              <w:rPr>
                <w:szCs w:val="24"/>
              </w:rPr>
            </w:pPr>
            <w:r w:rsidRPr="003B2277">
              <w:rPr>
                <w:b/>
                <w:i/>
              </w:rPr>
              <w:t>črtano</w:t>
            </w:r>
          </w:p>
        </w:tc>
      </w:tr>
      <w:tr w:rsidR="006F5BFE" w:rsidRPr="003B2277" w14:paraId="4CCD40D3" w14:textId="77777777" w:rsidTr="005B4D60">
        <w:trPr>
          <w:jc w:val="center"/>
        </w:trPr>
        <w:tc>
          <w:tcPr>
            <w:tcW w:w="4876" w:type="dxa"/>
            <w:hideMark/>
          </w:tcPr>
          <w:p w14:paraId="2157CDE0" w14:textId="77777777" w:rsidR="006F5BFE" w:rsidRPr="003B2277" w:rsidRDefault="006F5BFE" w:rsidP="005B4D60">
            <w:pPr>
              <w:pStyle w:val="Normal6"/>
            </w:pPr>
            <w:r w:rsidRPr="003B2277">
              <w:rPr>
                <w:b/>
                <w:i/>
              </w:rPr>
              <w:t>„Vloge za zaščito imen kot označb porekla ali geografskih označb vključujejo:“;</w:t>
            </w:r>
          </w:p>
        </w:tc>
        <w:tc>
          <w:tcPr>
            <w:tcW w:w="4876" w:type="dxa"/>
          </w:tcPr>
          <w:p w14:paraId="4081C0C6" w14:textId="77777777" w:rsidR="006F5BFE" w:rsidRPr="003B2277" w:rsidRDefault="006F5BFE" w:rsidP="005B4D60">
            <w:pPr>
              <w:pStyle w:val="Normal6"/>
              <w:rPr>
                <w:szCs w:val="24"/>
              </w:rPr>
            </w:pPr>
          </w:p>
        </w:tc>
      </w:tr>
    </w:tbl>
    <w:p w14:paraId="793CB0C5" w14:textId="77777777" w:rsidR="006F5BFE" w:rsidRPr="003B2277" w:rsidRDefault="006F5BFE" w:rsidP="006F5BFE"/>
    <w:p w14:paraId="36352F41" w14:textId="77777777" w:rsidR="007E5F3B" w:rsidRDefault="007E5F3B" w:rsidP="006F5BFE">
      <w:pPr>
        <w:pStyle w:val="AMNumberTabs"/>
        <w:keepNext/>
      </w:pPr>
    </w:p>
    <w:p w14:paraId="3162A3B6" w14:textId="56397AD9" w:rsidR="007E5F3B" w:rsidRPr="0028548C" w:rsidRDefault="008C7773" w:rsidP="007E5F3B">
      <w:pPr>
        <w:pStyle w:val="AmNumberTabs0"/>
      </w:pPr>
      <w:r>
        <w:t>Sprememba</w:t>
      </w:r>
      <w:r w:rsidR="007E5F3B" w:rsidRPr="0028548C">
        <w:tab/>
      </w:r>
      <w:r w:rsidR="007E5F3B" w:rsidRPr="0028548C">
        <w:tab/>
        <w:t>236</w:t>
      </w:r>
    </w:p>
    <w:p w14:paraId="302F4174" w14:textId="77777777" w:rsidR="007E5F3B" w:rsidRPr="0028548C" w:rsidRDefault="007E5F3B" w:rsidP="007E5F3B">
      <w:pPr>
        <w:pStyle w:val="NormalBold12b"/>
      </w:pPr>
      <w:r w:rsidRPr="0028548C">
        <w:t>Predlog uredbe</w:t>
      </w:r>
    </w:p>
    <w:p w14:paraId="1FEECBCB" w14:textId="16B56C60" w:rsidR="007E5F3B" w:rsidRPr="0028548C" w:rsidRDefault="007E5F3B" w:rsidP="007E5F3B">
      <w:pPr>
        <w:pStyle w:val="NormalBold"/>
      </w:pPr>
      <w:r w:rsidRPr="0028548C">
        <w:t>Člen 1 – odstavek 1 – točka 10</w:t>
      </w:r>
      <w:r w:rsidR="000302D4">
        <w:t xml:space="preserve"> a (novo)</w:t>
      </w:r>
    </w:p>
    <w:p w14:paraId="270CFD9E" w14:textId="77777777" w:rsidR="007E5F3B" w:rsidRPr="0028548C" w:rsidRDefault="007E5F3B" w:rsidP="007E5F3B">
      <w:r w:rsidRPr="0028548C">
        <w:t>Uredba (EU) št. 1308/2013</w:t>
      </w:r>
    </w:p>
    <w:p w14:paraId="386A6C31" w14:textId="77777777" w:rsidR="007E5F3B" w:rsidRPr="0028548C" w:rsidRDefault="007E5F3B" w:rsidP="007E5F3B">
      <w:r w:rsidRPr="0028548C">
        <w:t>Člen 94</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28548C" w14:paraId="61EC5FAC" w14:textId="77777777" w:rsidTr="007E5F3B">
        <w:trPr>
          <w:jc w:val="center"/>
        </w:trPr>
        <w:tc>
          <w:tcPr>
            <w:tcW w:w="9752" w:type="dxa"/>
            <w:gridSpan w:val="2"/>
          </w:tcPr>
          <w:p w14:paraId="65C56CD0" w14:textId="77777777" w:rsidR="007E5F3B" w:rsidRPr="0028548C" w:rsidRDefault="007E5F3B" w:rsidP="007E5F3B">
            <w:pPr>
              <w:keepNext/>
            </w:pPr>
          </w:p>
        </w:tc>
      </w:tr>
      <w:tr w:rsidR="007E5F3B" w:rsidRPr="0028548C" w14:paraId="43368C88" w14:textId="77777777" w:rsidTr="007E5F3B">
        <w:trPr>
          <w:jc w:val="center"/>
        </w:trPr>
        <w:tc>
          <w:tcPr>
            <w:tcW w:w="4876" w:type="dxa"/>
          </w:tcPr>
          <w:p w14:paraId="441F29D8" w14:textId="77777777" w:rsidR="007E5F3B" w:rsidRPr="0028548C" w:rsidRDefault="007E5F3B" w:rsidP="007E5F3B">
            <w:pPr>
              <w:pStyle w:val="AmColumnHeading"/>
              <w:keepNext/>
            </w:pPr>
            <w:r w:rsidRPr="0028548C">
              <w:t>Veljavno besedilo</w:t>
            </w:r>
          </w:p>
        </w:tc>
        <w:tc>
          <w:tcPr>
            <w:tcW w:w="4876" w:type="dxa"/>
          </w:tcPr>
          <w:p w14:paraId="7A950D92" w14:textId="5F77E044" w:rsidR="007E5F3B" w:rsidRPr="0028548C" w:rsidRDefault="008C7773" w:rsidP="007E5F3B">
            <w:pPr>
              <w:pStyle w:val="AmColumnHeading"/>
              <w:keepNext/>
            </w:pPr>
            <w:r>
              <w:t>Sprememba</w:t>
            </w:r>
          </w:p>
        </w:tc>
      </w:tr>
      <w:tr w:rsidR="007E5F3B" w:rsidRPr="0028548C" w14:paraId="7C4B59B4" w14:textId="77777777" w:rsidTr="007E5F3B">
        <w:trPr>
          <w:jc w:val="center"/>
        </w:trPr>
        <w:tc>
          <w:tcPr>
            <w:tcW w:w="4876" w:type="dxa"/>
          </w:tcPr>
          <w:p w14:paraId="1EBA05DD" w14:textId="77777777" w:rsidR="007E5F3B" w:rsidRPr="0028548C" w:rsidRDefault="007E5F3B" w:rsidP="007E5F3B">
            <w:pPr>
              <w:pStyle w:val="Normal6"/>
            </w:pPr>
          </w:p>
        </w:tc>
        <w:tc>
          <w:tcPr>
            <w:tcW w:w="4876" w:type="dxa"/>
          </w:tcPr>
          <w:p w14:paraId="617FBB8F" w14:textId="490B59C5" w:rsidR="007E5F3B" w:rsidRPr="0028548C" w:rsidRDefault="007E5F3B" w:rsidP="007E5F3B">
            <w:pPr>
              <w:pStyle w:val="Normal6"/>
              <w:rPr>
                <w:szCs w:val="24"/>
              </w:rPr>
            </w:pPr>
            <w:r w:rsidRPr="0028548C">
              <w:rPr>
                <w:b/>
                <w:i/>
              </w:rPr>
              <w:t>(10</w:t>
            </w:r>
            <w:r w:rsidR="000302D4">
              <w:rPr>
                <w:b/>
                <w:i/>
              </w:rPr>
              <w:t>a</w:t>
            </w:r>
            <w:r w:rsidRPr="0028548C">
              <w:rPr>
                <w:b/>
                <w:i/>
              </w:rPr>
              <w:t>)</w:t>
            </w:r>
            <w:r w:rsidRPr="0028548C">
              <w:rPr>
                <w:b/>
                <w:i/>
              </w:rPr>
              <w:tab/>
              <w:t>člen 94 se nadomesti z naslednjim:</w:t>
            </w:r>
          </w:p>
        </w:tc>
      </w:tr>
      <w:tr w:rsidR="007E5F3B" w:rsidRPr="0028548C" w14:paraId="27DB1C1D" w14:textId="77777777" w:rsidTr="007E5F3B">
        <w:trPr>
          <w:jc w:val="center"/>
        </w:trPr>
        <w:tc>
          <w:tcPr>
            <w:tcW w:w="4876" w:type="dxa"/>
          </w:tcPr>
          <w:p w14:paraId="71BD38C9" w14:textId="77777777" w:rsidR="007E5F3B" w:rsidRPr="0028548C" w:rsidRDefault="007E5F3B" w:rsidP="007E5F3B">
            <w:pPr>
              <w:pStyle w:val="Normal6"/>
              <w:jc w:val="center"/>
            </w:pPr>
            <w:r w:rsidRPr="0028548C">
              <w:t>Člen 94</w:t>
            </w:r>
          </w:p>
        </w:tc>
        <w:tc>
          <w:tcPr>
            <w:tcW w:w="4876" w:type="dxa"/>
          </w:tcPr>
          <w:p w14:paraId="03387487" w14:textId="77777777" w:rsidR="007E5F3B" w:rsidRPr="0028548C" w:rsidRDefault="007E5F3B" w:rsidP="007E5F3B">
            <w:pPr>
              <w:pStyle w:val="Normal6"/>
              <w:rPr>
                <w:szCs w:val="24"/>
              </w:rPr>
            </w:pPr>
            <w:r w:rsidRPr="0028548C">
              <w:t>„Člen 94</w:t>
            </w:r>
          </w:p>
        </w:tc>
      </w:tr>
      <w:tr w:rsidR="007E5F3B" w:rsidRPr="0028548C" w14:paraId="6D261272" w14:textId="77777777" w:rsidTr="007E5F3B">
        <w:trPr>
          <w:jc w:val="center"/>
        </w:trPr>
        <w:tc>
          <w:tcPr>
            <w:tcW w:w="4876" w:type="dxa"/>
          </w:tcPr>
          <w:p w14:paraId="1BD23970" w14:textId="77777777" w:rsidR="007E5F3B" w:rsidRPr="0028548C" w:rsidRDefault="007E5F3B" w:rsidP="007E5F3B">
            <w:pPr>
              <w:pStyle w:val="Normal6"/>
            </w:pPr>
            <w:r w:rsidRPr="0028548C">
              <w:t>Vloge za zaščito</w:t>
            </w:r>
          </w:p>
        </w:tc>
        <w:tc>
          <w:tcPr>
            <w:tcW w:w="4876" w:type="dxa"/>
          </w:tcPr>
          <w:p w14:paraId="6AF2514E" w14:textId="77777777" w:rsidR="007E5F3B" w:rsidRPr="0028548C" w:rsidRDefault="007E5F3B" w:rsidP="007E5F3B">
            <w:pPr>
              <w:pStyle w:val="Normal6"/>
              <w:rPr>
                <w:szCs w:val="24"/>
              </w:rPr>
            </w:pPr>
            <w:r w:rsidRPr="0028548C">
              <w:t>Vloge za zaščito</w:t>
            </w:r>
          </w:p>
        </w:tc>
      </w:tr>
      <w:tr w:rsidR="007E5F3B" w:rsidRPr="0028548C" w14:paraId="15E88B0D" w14:textId="77777777" w:rsidTr="007E5F3B">
        <w:trPr>
          <w:jc w:val="center"/>
        </w:trPr>
        <w:tc>
          <w:tcPr>
            <w:tcW w:w="4876" w:type="dxa"/>
          </w:tcPr>
          <w:p w14:paraId="689E9C05" w14:textId="77777777" w:rsidR="007E5F3B" w:rsidRPr="0028548C" w:rsidRDefault="007E5F3B" w:rsidP="007E5F3B">
            <w:pPr>
              <w:pStyle w:val="Normal6"/>
            </w:pPr>
            <w:r w:rsidRPr="0028548C">
              <w:t>1.</w:t>
            </w:r>
            <w:r w:rsidRPr="0028548C">
              <w:tab/>
              <w:t xml:space="preserve">Vloge za zaščito imen kot označb porekla ali geografskih označb vključujejo </w:t>
            </w:r>
            <w:r w:rsidRPr="0028548C">
              <w:rPr>
                <w:b/>
                <w:i/>
              </w:rPr>
              <w:t>tehnično dokumentacijo, ki vsebuje</w:t>
            </w:r>
            <w:r w:rsidRPr="0028548C">
              <w:t>:</w:t>
            </w:r>
          </w:p>
        </w:tc>
        <w:tc>
          <w:tcPr>
            <w:tcW w:w="4876" w:type="dxa"/>
          </w:tcPr>
          <w:p w14:paraId="27D4485B" w14:textId="77777777" w:rsidR="007E5F3B" w:rsidRPr="0028548C" w:rsidRDefault="007E5F3B" w:rsidP="007E5F3B">
            <w:pPr>
              <w:pStyle w:val="Normal6"/>
              <w:rPr>
                <w:szCs w:val="24"/>
              </w:rPr>
            </w:pPr>
            <w:r w:rsidRPr="0028548C">
              <w:t>1.</w:t>
            </w:r>
            <w:r w:rsidRPr="0028548C">
              <w:tab/>
              <w:t>Vloge za zaščito imen kot označb porekla ali geografskih označb vključujejo:</w:t>
            </w:r>
          </w:p>
        </w:tc>
      </w:tr>
      <w:tr w:rsidR="007E5F3B" w:rsidRPr="0028548C" w14:paraId="44460E23" w14:textId="77777777" w:rsidTr="007E5F3B">
        <w:trPr>
          <w:jc w:val="center"/>
        </w:trPr>
        <w:tc>
          <w:tcPr>
            <w:tcW w:w="4876" w:type="dxa"/>
          </w:tcPr>
          <w:p w14:paraId="152B29D9" w14:textId="77777777" w:rsidR="007E5F3B" w:rsidRPr="0028548C" w:rsidRDefault="007E5F3B" w:rsidP="007E5F3B">
            <w:pPr>
              <w:pStyle w:val="Normal6"/>
            </w:pPr>
            <w:r w:rsidRPr="0028548C">
              <w:t>(a)</w:t>
            </w:r>
            <w:r w:rsidRPr="0028548C">
              <w:tab/>
              <w:t>ime, ki naj se zaščiti;</w:t>
            </w:r>
          </w:p>
        </w:tc>
        <w:tc>
          <w:tcPr>
            <w:tcW w:w="4876" w:type="dxa"/>
          </w:tcPr>
          <w:p w14:paraId="33F11F2F" w14:textId="77777777" w:rsidR="007E5F3B" w:rsidRPr="0028548C" w:rsidRDefault="007E5F3B" w:rsidP="007E5F3B">
            <w:pPr>
              <w:pStyle w:val="Normal6"/>
              <w:rPr>
                <w:szCs w:val="24"/>
              </w:rPr>
            </w:pPr>
            <w:r w:rsidRPr="0028548C">
              <w:t>(a)</w:t>
            </w:r>
            <w:r w:rsidRPr="0028548C">
              <w:tab/>
              <w:t>ime, ki naj se zaščiti;</w:t>
            </w:r>
          </w:p>
        </w:tc>
      </w:tr>
      <w:tr w:rsidR="007E5F3B" w:rsidRPr="0028548C" w14:paraId="6A0D0D6B" w14:textId="77777777" w:rsidTr="007E5F3B">
        <w:trPr>
          <w:jc w:val="center"/>
        </w:trPr>
        <w:tc>
          <w:tcPr>
            <w:tcW w:w="4876" w:type="dxa"/>
          </w:tcPr>
          <w:p w14:paraId="4E993A2B" w14:textId="77777777" w:rsidR="007E5F3B" w:rsidRPr="0028548C" w:rsidRDefault="007E5F3B" w:rsidP="007E5F3B">
            <w:pPr>
              <w:pStyle w:val="Normal6"/>
            </w:pPr>
            <w:r w:rsidRPr="0028548C">
              <w:t>(b)</w:t>
            </w:r>
            <w:r w:rsidRPr="0028548C">
              <w:tab/>
              <w:t>ime in priimek ter naslov vlagatelja;</w:t>
            </w:r>
          </w:p>
        </w:tc>
        <w:tc>
          <w:tcPr>
            <w:tcW w:w="4876" w:type="dxa"/>
          </w:tcPr>
          <w:p w14:paraId="67595B36" w14:textId="77777777" w:rsidR="007E5F3B" w:rsidRPr="0028548C" w:rsidRDefault="007E5F3B" w:rsidP="007E5F3B">
            <w:pPr>
              <w:pStyle w:val="Normal6"/>
              <w:rPr>
                <w:szCs w:val="24"/>
              </w:rPr>
            </w:pPr>
            <w:r w:rsidRPr="0028548C">
              <w:t>(b)</w:t>
            </w:r>
            <w:r w:rsidRPr="0028548C">
              <w:tab/>
              <w:t>ime in priimek ter naslov vlagatelja;</w:t>
            </w:r>
          </w:p>
        </w:tc>
      </w:tr>
      <w:tr w:rsidR="007E5F3B" w:rsidRPr="0028548C" w14:paraId="27CAD8F7" w14:textId="77777777" w:rsidTr="007E5F3B">
        <w:trPr>
          <w:jc w:val="center"/>
        </w:trPr>
        <w:tc>
          <w:tcPr>
            <w:tcW w:w="4876" w:type="dxa"/>
          </w:tcPr>
          <w:p w14:paraId="11C8A3CE" w14:textId="77777777" w:rsidR="007E5F3B" w:rsidRPr="0028548C" w:rsidRDefault="007E5F3B" w:rsidP="007E5F3B">
            <w:pPr>
              <w:pStyle w:val="Normal6"/>
            </w:pPr>
            <w:r w:rsidRPr="0028548C">
              <w:t>(c)</w:t>
            </w:r>
            <w:r w:rsidRPr="0028548C">
              <w:tab/>
              <w:t>specifikacijo proizvoda iz odstavka 2 ter</w:t>
            </w:r>
          </w:p>
        </w:tc>
        <w:tc>
          <w:tcPr>
            <w:tcW w:w="4876" w:type="dxa"/>
          </w:tcPr>
          <w:p w14:paraId="5940D8D2" w14:textId="77777777" w:rsidR="007E5F3B" w:rsidRPr="0028548C" w:rsidRDefault="007E5F3B" w:rsidP="007E5F3B">
            <w:pPr>
              <w:pStyle w:val="Normal6"/>
              <w:rPr>
                <w:szCs w:val="24"/>
              </w:rPr>
            </w:pPr>
            <w:r w:rsidRPr="0028548C">
              <w:t>(c)</w:t>
            </w:r>
            <w:r w:rsidRPr="0028548C">
              <w:tab/>
              <w:t>specifikacijo proizvoda iz odstavka 2 ter</w:t>
            </w:r>
          </w:p>
        </w:tc>
      </w:tr>
      <w:tr w:rsidR="007E5F3B" w:rsidRPr="0028548C" w14:paraId="3D45FE65" w14:textId="77777777" w:rsidTr="007E5F3B">
        <w:trPr>
          <w:jc w:val="center"/>
        </w:trPr>
        <w:tc>
          <w:tcPr>
            <w:tcW w:w="4876" w:type="dxa"/>
          </w:tcPr>
          <w:p w14:paraId="2BF24C0E" w14:textId="77777777" w:rsidR="007E5F3B" w:rsidRPr="0028548C" w:rsidRDefault="007E5F3B" w:rsidP="007E5F3B">
            <w:pPr>
              <w:pStyle w:val="Normal6"/>
            </w:pPr>
            <w:r w:rsidRPr="0028548C">
              <w:t>(d)</w:t>
            </w:r>
            <w:r w:rsidRPr="0028548C">
              <w:tab/>
              <w:t>enotni dokument, ki povzema specifikacijo proizvoda iz odstavka 2.</w:t>
            </w:r>
          </w:p>
        </w:tc>
        <w:tc>
          <w:tcPr>
            <w:tcW w:w="4876" w:type="dxa"/>
          </w:tcPr>
          <w:p w14:paraId="095C8424" w14:textId="77777777" w:rsidR="007E5F3B" w:rsidRPr="0028548C" w:rsidRDefault="007E5F3B" w:rsidP="007E5F3B">
            <w:pPr>
              <w:pStyle w:val="Normal6"/>
              <w:rPr>
                <w:szCs w:val="24"/>
              </w:rPr>
            </w:pPr>
            <w:r w:rsidRPr="0028548C">
              <w:t>(d)</w:t>
            </w:r>
            <w:r w:rsidRPr="0028548C">
              <w:tab/>
              <w:t>enotni dokument, ki povzema specifikacijo proizvoda iz odstavka 2.</w:t>
            </w:r>
          </w:p>
        </w:tc>
      </w:tr>
      <w:tr w:rsidR="007E5F3B" w:rsidRPr="0028548C" w14:paraId="540D340D" w14:textId="77777777" w:rsidTr="007E5F3B">
        <w:trPr>
          <w:jc w:val="center"/>
        </w:trPr>
        <w:tc>
          <w:tcPr>
            <w:tcW w:w="4876" w:type="dxa"/>
          </w:tcPr>
          <w:p w14:paraId="413D2DB3" w14:textId="77777777" w:rsidR="007E5F3B" w:rsidRPr="0028548C" w:rsidRDefault="007E5F3B" w:rsidP="007E5F3B">
            <w:pPr>
              <w:pStyle w:val="Normal6"/>
            </w:pPr>
            <w:r w:rsidRPr="0028548C">
              <w:t>2.</w:t>
            </w:r>
            <w:r w:rsidRPr="0028548C">
              <w:tab/>
              <w:t>Specifikacija proizvoda zainteresiranim stranem omogoča, da preverijo pogoje pridelave, v zvezi z označbo porekla ali geografsko označbo. Specifikacija proizvoda je sestavljena vsaj iz:</w:t>
            </w:r>
          </w:p>
        </w:tc>
        <w:tc>
          <w:tcPr>
            <w:tcW w:w="4876" w:type="dxa"/>
          </w:tcPr>
          <w:p w14:paraId="630F1107" w14:textId="77777777" w:rsidR="007E5F3B" w:rsidRPr="0028548C" w:rsidRDefault="007E5F3B" w:rsidP="007E5F3B">
            <w:pPr>
              <w:pStyle w:val="Normal6"/>
              <w:rPr>
                <w:szCs w:val="24"/>
              </w:rPr>
            </w:pPr>
            <w:r w:rsidRPr="0028548C">
              <w:t>2.</w:t>
            </w:r>
            <w:r w:rsidRPr="0028548C">
              <w:tab/>
              <w:t>Specifikacija proizvoda zainteresiranim stranem omogoča, da preverijo pogoje pridelave, v zvezi z označbo porekla ali geografsko označbo. Specifikacija proizvoda je sestavljena vsaj iz:</w:t>
            </w:r>
          </w:p>
        </w:tc>
      </w:tr>
      <w:tr w:rsidR="007E5F3B" w:rsidRPr="0028548C" w14:paraId="6151C4EB" w14:textId="77777777" w:rsidTr="007E5F3B">
        <w:trPr>
          <w:jc w:val="center"/>
        </w:trPr>
        <w:tc>
          <w:tcPr>
            <w:tcW w:w="4876" w:type="dxa"/>
          </w:tcPr>
          <w:p w14:paraId="1992AFE4" w14:textId="77777777" w:rsidR="007E5F3B" w:rsidRPr="0028548C" w:rsidRDefault="007E5F3B" w:rsidP="007E5F3B">
            <w:pPr>
              <w:pStyle w:val="Normal6"/>
            </w:pPr>
            <w:r w:rsidRPr="0028548C">
              <w:t>(a)</w:t>
            </w:r>
            <w:r w:rsidRPr="0028548C">
              <w:tab/>
              <w:t>imena, ki naj se zaščiti;</w:t>
            </w:r>
          </w:p>
        </w:tc>
        <w:tc>
          <w:tcPr>
            <w:tcW w:w="4876" w:type="dxa"/>
          </w:tcPr>
          <w:p w14:paraId="2B727726" w14:textId="77777777" w:rsidR="007E5F3B" w:rsidRPr="0028548C" w:rsidRDefault="007E5F3B" w:rsidP="007E5F3B">
            <w:pPr>
              <w:pStyle w:val="Normal6"/>
              <w:rPr>
                <w:szCs w:val="24"/>
              </w:rPr>
            </w:pPr>
            <w:r w:rsidRPr="0028548C">
              <w:t>(a)</w:t>
            </w:r>
            <w:r w:rsidRPr="0028548C">
              <w:tab/>
              <w:t>imena, ki naj se zaščiti;</w:t>
            </w:r>
          </w:p>
        </w:tc>
      </w:tr>
      <w:tr w:rsidR="007E5F3B" w:rsidRPr="0028548C" w14:paraId="4A1AD029" w14:textId="77777777" w:rsidTr="007E5F3B">
        <w:trPr>
          <w:jc w:val="center"/>
        </w:trPr>
        <w:tc>
          <w:tcPr>
            <w:tcW w:w="4876" w:type="dxa"/>
          </w:tcPr>
          <w:p w14:paraId="18FC5C97" w14:textId="77777777" w:rsidR="007E5F3B" w:rsidRPr="0028548C" w:rsidRDefault="007E5F3B" w:rsidP="007E5F3B">
            <w:pPr>
              <w:pStyle w:val="Normal6"/>
            </w:pPr>
            <w:r w:rsidRPr="0028548C">
              <w:t>(b)</w:t>
            </w:r>
            <w:r w:rsidRPr="0028548C">
              <w:tab/>
              <w:t>opisa vina ali vin:</w:t>
            </w:r>
          </w:p>
        </w:tc>
        <w:tc>
          <w:tcPr>
            <w:tcW w:w="4876" w:type="dxa"/>
          </w:tcPr>
          <w:p w14:paraId="2478D1F1" w14:textId="77777777" w:rsidR="007E5F3B" w:rsidRPr="0028548C" w:rsidRDefault="007E5F3B" w:rsidP="007E5F3B">
            <w:pPr>
              <w:pStyle w:val="Normal6"/>
              <w:rPr>
                <w:szCs w:val="24"/>
              </w:rPr>
            </w:pPr>
            <w:r w:rsidRPr="0028548C">
              <w:t>(b)</w:t>
            </w:r>
            <w:r w:rsidRPr="0028548C">
              <w:tab/>
              <w:t>opisa vina ali vin:</w:t>
            </w:r>
          </w:p>
        </w:tc>
      </w:tr>
      <w:tr w:rsidR="007E5F3B" w:rsidRPr="0028548C" w14:paraId="3F113ACF" w14:textId="77777777" w:rsidTr="007E5F3B">
        <w:trPr>
          <w:jc w:val="center"/>
        </w:trPr>
        <w:tc>
          <w:tcPr>
            <w:tcW w:w="4876" w:type="dxa"/>
          </w:tcPr>
          <w:p w14:paraId="01B084EC" w14:textId="77777777" w:rsidR="007E5F3B" w:rsidRPr="0028548C" w:rsidRDefault="007E5F3B" w:rsidP="007E5F3B">
            <w:pPr>
              <w:pStyle w:val="Normal6"/>
            </w:pPr>
            <w:r w:rsidRPr="0028548C">
              <w:t>(i)</w:t>
            </w:r>
            <w:r w:rsidRPr="0028548C">
              <w:tab/>
              <w:t>glavnih analitskih in organoleptičnih lastnosti za vina z označbo porekla;</w:t>
            </w:r>
          </w:p>
        </w:tc>
        <w:tc>
          <w:tcPr>
            <w:tcW w:w="4876" w:type="dxa"/>
          </w:tcPr>
          <w:p w14:paraId="6BE804E8" w14:textId="77777777" w:rsidR="007E5F3B" w:rsidRPr="0028548C" w:rsidRDefault="007E5F3B" w:rsidP="007E5F3B">
            <w:pPr>
              <w:pStyle w:val="Normal6"/>
              <w:rPr>
                <w:szCs w:val="24"/>
              </w:rPr>
            </w:pPr>
            <w:r w:rsidRPr="0028548C">
              <w:t>(i)</w:t>
            </w:r>
            <w:r w:rsidRPr="0028548C">
              <w:tab/>
              <w:t>glavnih analitskih in organoleptičnih lastnosti za vina z označbo porekla;</w:t>
            </w:r>
          </w:p>
        </w:tc>
      </w:tr>
      <w:tr w:rsidR="007E5F3B" w:rsidRPr="0028548C" w14:paraId="76CD52A1" w14:textId="77777777" w:rsidTr="007E5F3B">
        <w:trPr>
          <w:jc w:val="center"/>
        </w:trPr>
        <w:tc>
          <w:tcPr>
            <w:tcW w:w="4876" w:type="dxa"/>
          </w:tcPr>
          <w:p w14:paraId="1309F1CA" w14:textId="77777777" w:rsidR="007E5F3B" w:rsidRPr="0028548C" w:rsidRDefault="007E5F3B" w:rsidP="007E5F3B">
            <w:pPr>
              <w:pStyle w:val="Normal6"/>
            </w:pPr>
            <w:r w:rsidRPr="0028548C">
              <w:t>(ii)</w:t>
            </w:r>
            <w:r w:rsidRPr="0028548C">
              <w:tab/>
              <w:t>glavnih analitskih lastnosti ter vrednotenja ali navedbe organoleptičnih lastnosti za vina z geografsko označbo;</w:t>
            </w:r>
          </w:p>
        </w:tc>
        <w:tc>
          <w:tcPr>
            <w:tcW w:w="4876" w:type="dxa"/>
          </w:tcPr>
          <w:p w14:paraId="7F8D9D02" w14:textId="77777777" w:rsidR="007E5F3B" w:rsidRPr="0028548C" w:rsidRDefault="007E5F3B" w:rsidP="007E5F3B">
            <w:pPr>
              <w:pStyle w:val="Normal6"/>
              <w:rPr>
                <w:szCs w:val="24"/>
              </w:rPr>
            </w:pPr>
            <w:r w:rsidRPr="0028548C">
              <w:t>(ii)</w:t>
            </w:r>
            <w:r w:rsidRPr="0028548C">
              <w:tab/>
              <w:t>glavnih analitskih lastnosti ter vrednotenja ali navedbe organoleptičnih lastnosti za vina z geografsko označbo;</w:t>
            </w:r>
          </w:p>
        </w:tc>
      </w:tr>
      <w:tr w:rsidR="007E5F3B" w:rsidRPr="0028548C" w14:paraId="6BA75A16" w14:textId="77777777" w:rsidTr="007E5F3B">
        <w:trPr>
          <w:jc w:val="center"/>
        </w:trPr>
        <w:tc>
          <w:tcPr>
            <w:tcW w:w="4876" w:type="dxa"/>
          </w:tcPr>
          <w:p w14:paraId="3DE7E2E6" w14:textId="77777777" w:rsidR="007E5F3B" w:rsidRPr="0028548C" w:rsidRDefault="007E5F3B" w:rsidP="007E5F3B">
            <w:pPr>
              <w:pStyle w:val="Normal6"/>
            </w:pPr>
            <w:r w:rsidRPr="0028548C">
              <w:t>(c)</w:t>
            </w:r>
            <w:r w:rsidRPr="0028548C">
              <w:tab/>
              <w:t>po potrebi posebnih enoloških postopkov pridelave vina ali vin ter ustreznih omejitev pri njihovi pridelavi;</w:t>
            </w:r>
          </w:p>
        </w:tc>
        <w:tc>
          <w:tcPr>
            <w:tcW w:w="4876" w:type="dxa"/>
          </w:tcPr>
          <w:p w14:paraId="03F86780" w14:textId="77777777" w:rsidR="007E5F3B" w:rsidRPr="0028548C" w:rsidRDefault="007E5F3B" w:rsidP="007E5F3B">
            <w:pPr>
              <w:pStyle w:val="Normal6"/>
              <w:rPr>
                <w:szCs w:val="24"/>
              </w:rPr>
            </w:pPr>
            <w:r w:rsidRPr="0028548C">
              <w:t>(c)</w:t>
            </w:r>
            <w:r w:rsidRPr="0028548C">
              <w:tab/>
              <w:t>po potrebi posebnih enoloških postopkov pridelave vina ali vin ter ustreznih omejitev pri njihovi pridelavi;</w:t>
            </w:r>
          </w:p>
        </w:tc>
      </w:tr>
      <w:tr w:rsidR="007E5F3B" w:rsidRPr="0028548C" w14:paraId="0FD0BFD7" w14:textId="77777777" w:rsidTr="007E5F3B">
        <w:trPr>
          <w:jc w:val="center"/>
        </w:trPr>
        <w:tc>
          <w:tcPr>
            <w:tcW w:w="4876" w:type="dxa"/>
          </w:tcPr>
          <w:p w14:paraId="0E37EDDD" w14:textId="77777777" w:rsidR="007E5F3B" w:rsidRPr="0028548C" w:rsidRDefault="007E5F3B" w:rsidP="007E5F3B">
            <w:pPr>
              <w:pStyle w:val="Normal6"/>
            </w:pPr>
            <w:r w:rsidRPr="0028548C">
              <w:t>(d)</w:t>
            </w:r>
            <w:r w:rsidRPr="0028548C">
              <w:tab/>
              <w:t>razmejitve zadevnega geografskega območja;</w:t>
            </w:r>
          </w:p>
        </w:tc>
        <w:tc>
          <w:tcPr>
            <w:tcW w:w="4876" w:type="dxa"/>
          </w:tcPr>
          <w:p w14:paraId="12ACF21B" w14:textId="77777777" w:rsidR="007E5F3B" w:rsidRPr="0028548C" w:rsidRDefault="007E5F3B" w:rsidP="007E5F3B">
            <w:pPr>
              <w:pStyle w:val="Normal6"/>
              <w:rPr>
                <w:szCs w:val="24"/>
              </w:rPr>
            </w:pPr>
            <w:r w:rsidRPr="0028548C">
              <w:t>(d)</w:t>
            </w:r>
            <w:r w:rsidRPr="0028548C">
              <w:tab/>
              <w:t>razmejitve zadevnega geografskega območja;</w:t>
            </w:r>
          </w:p>
        </w:tc>
      </w:tr>
      <w:tr w:rsidR="007E5F3B" w:rsidRPr="0028548C" w14:paraId="7D66DF0E" w14:textId="77777777" w:rsidTr="007E5F3B">
        <w:trPr>
          <w:jc w:val="center"/>
        </w:trPr>
        <w:tc>
          <w:tcPr>
            <w:tcW w:w="4876" w:type="dxa"/>
          </w:tcPr>
          <w:p w14:paraId="565C6043" w14:textId="77777777" w:rsidR="007E5F3B" w:rsidRPr="0028548C" w:rsidRDefault="007E5F3B" w:rsidP="007E5F3B">
            <w:pPr>
              <w:pStyle w:val="Normal6"/>
            </w:pPr>
            <w:r w:rsidRPr="0028548C">
              <w:t>(e)</w:t>
            </w:r>
            <w:r w:rsidRPr="0028548C">
              <w:tab/>
              <w:t>največjega hektarskega donosa;</w:t>
            </w:r>
          </w:p>
        </w:tc>
        <w:tc>
          <w:tcPr>
            <w:tcW w:w="4876" w:type="dxa"/>
          </w:tcPr>
          <w:p w14:paraId="30E5DD48" w14:textId="77777777" w:rsidR="007E5F3B" w:rsidRPr="0028548C" w:rsidRDefault="007E5F3B" w:rsidP="007E5F3B">
            <w:pPr>
              <w:pStyle w:val="Normal6"/>
              <w:rPr>
                <w:szCs w:val="24"/>
              </w:rPr>
            </w:pPr>
            <w:r w:rsidRPr="0028548C">
              <w:t>(e)</w:t>
            </w:r>
            <w:r w:rsidRPr="0028548C">
              <w:tab/>
              <w:t>največjega hektarskega donosa;</w:t>
            </w:r>
          </w:p>
        </w:tc>
      </w:tr>
      <w:tr w:rsidR="007E5F3B" w:rsidRPr="0028548C" w14:paraId="1711CEF2" w14:textId="77777777" w:rsidTr="007E5F3B">
        <w:trPr>
          <w:jc w:val="center"/>
        </w:trPr>
        <w:tc>
          <w:tcPr>
            <w:tcW w:w="4876" w:type="dxa"/>
          </w:tcPr>
          <w:p w14:paraId="6E881C5C" w14:textId="77777777" w:rsidR="007E5F3B" w:rsidRPr="0028548C" w:rsidRDefault="007E5F3B" w:rsidP="007E5F3B">
            <w:pPr>
              <w:pStyle w:val="Normal6"/>
            </w:pPr>
            <w:r w:rsidRPr="0028548C">
              <w:t>(f)</w:t>
            </w:r>
            <w:r w:rsidRPr="0028548C">
              <w:tab/>
              <w:t>navedbe sorte ali sort vinske trte, iz katerih je pridobljeno vino oziroma vina;</w:t>
            </w:r>
          </w:p>
        </w:tc>
        <w:tc>
          <w:tcPr>
            <w:tcW w:w="4876" w:type="dxa"/>
          </w:tcPr>
          <w:p w14:paraId="76B4F46C" w14:textId="77777777" w:rsidR="007E5F3B" w:rsidRPr="0028548C" w:rsidRDefault="007E5F3B" w:rsidP="007E5F3B">
            <w:pPr>
              <w:pStyle w:val="Normal6"/>
              <w:rPr>
                <w:szCs w:val="24"/>
              </w:rPr>
            </w:pPr>
            <w:r w:rsidRPr="0028548C">
              <w:t>(f)</w:t>
            </w:r>
            <w:r w:rsidRPr="0028548C">
              <w:tab/>
              <w:t>navedbe sorte ali sort vinske trte, iz katerih je pridobljeno vino oziroma vina;</w:t>
            </w:r>
          </w:p>
        </w:tc>
      </w:tr>
      <w:tr w:rsidR="007E5F3B" w:rsidRPr="0028548C" w14:paraId="64697A83" w14:textId="77777777" w:rsidTr="007E5F3B">
        <w:trPr>
          <w:jc w:val="center"/>
        </w:trPr>
        <w:tc>
          <w:tcPr>
            <w:tcW w:w="4876" w:type="dxa"/>
          </w:tcPr>
          <w:p w14:paraId="213CC932" w14:textId="77777777" w:rsidR="007E5F3B" w:rsidRPr="0028548C" w:rsidRDefault="007E5F3B" w:rsidP="007E5F3B">
            <w:pPr>
              <w:pStyle w:val="Normal6"/>
            </w:pPr>
            <w:r w:rsidRPr="0028548C">
              <w:t>(g)</w:t>
            </w:r>
            <w:r w:rsidRPr="0028548C">
              <w:tab/>
              <w:t xml:space="preserve">podrobnosti, ki potrjujejo </w:t>
            </w:r>
            <w:r w:rsidRPr="0028548C">
              <w:rPr>
                <w:b/>
                <w:i/>
              </w:rPr>
              <w:t>povezavo</w:t>
            </w:r>
            <w:r w:rsidRPr="0028548C">
              <w:t xml:space="preserve"> iz točke (a)(i) </w:t>
            </w:r>
            <w:r w:rsidRPr="0028548C">
              <w:rPr>
                <w:b/>
                <w:i/>
              </w:rPr>
              <w:t>oziroma</w:t>
            </w:r>
            <w:r w:rsidRPr="0028548C">
              <w:t xml:space="preserve"> točke (b)(i) člena 93(1)</w:t>
            </w:r>
            <w:r w:rsidRPr="0028548C">
              <w:rPr>
                <w:b/>
                <w:i/>
              </w:rPr>
              <w:t>:</w:t>
            </w:r>
          </w:p>
        </w:tc>
        <w:tc>
          <w:tcPr>
            <w:tcW w:w="4876" w:type="dxa"/>
          </w:tcPr>
          <w:p w14:paraId="33FF4E3E" w14:textId="77777777" w:rsidR="007E5F3B" w:rsidRPr="0028548C" w:rsidRDefault="007E5F3B" w:rsidP="007E5F3B">
            <w:pPr>
              <w:pStyle w:val="Normal6"/>
              <w:rPr>
                <w:szCs w:val="24"/>
              </w:rPr>
            </w:pPr>
            <w:r w:rsidRPr="0028548C">
              <w:t>(g)</w:t>
            </w:r>
            <w:r w:rsidRPr="0028548C">
              <w:tab/>
              <w:t xml:space="preserve">podrobnosti, ki potrjujejo </w:t>
            </w:r>
            <w:r w:rsidRPr="0028548C">
              <w:rPr>
                <w:b/>
                <w:i/>
              </w:rPr>
              <w:t>naslednje povezave:</w:t>
            </w:r>
          </w:p>
        </w:tc>
      </w:tr>
      <w:tr w:rsidR="007E5F3B" w:rsidRPr="0028548C" w14:paraId="7114E7D2" w14:textId="77777777" w:rsidTr="007E5F3B">
        <w:trPr>
          <w:jc w:val="center"/>
        </w:trPr>
        <w:tc>
          <w:tcPr>
            <w:tcW w:w="4876" w:type="dxa"/>
          </w:tcPr>
          <w:p w14:paraId="3D8DD333" w14:textId="77777777" w:rsidR="007E5F3B" w:rsidRPr="0028548C" w:rsidRDefault="007E5F3B" w:rsidP="007E5F3B">
            <w:pPr>
              <w:pStyle w:val="Normal6"/>
            </w:pPr>
          </w:p>
        </w:tc>
        <w:tc>
          <w:tcPr>
            <w:tcW w:w="4876" w:type="dxa"/>
          </w:tcPr>
          <w:p w14:paraId="04EC1CAE" w14:textId="77777777" w:rsidR="007E5F3B" w:rsidRPr="0028548C" w:rsidRDefault="007E5F3B" w:rsidP="007E5F3B">
            <w:pPr>
              <w:pStyle w:val="Normal6"/>
            </w:pPr>
            <w:r w:rsidRPr="0028548C">
              <w:rPr>
                <w:b/>
                <w:i/>
              </w:rPr>
              <w:t>(i)</w:t>
            </w:r>
            <w:r w:rsidRPr="0028548C">
              <w:rPr>
                <w:b/>
                <w:i/>
              </w:rPr>
              <w:tab/>
              <w:t>kar zadeva zaščiteno označbo porekla, povezavo med kakovostjo ali značilnostmi proizvoda in geografskim okoljem ter podatke o naravnih in človeških dejavnikih tega geografskega okolja</w:t>
            </w:r>
            <w:r w:rsidRPr="0028548C">
              <w:t xml:space="preserve"> iz točke (a)(i) </w:t>
            </w:r>
            <w:r w:rsidRPr="0028548C">
              <w:rPr>
                <w:b/>
                <w:i/>
              </w:rPr>
              <w:t>člena 93(1);</w:t>
            </w:r>
          </w:p>
        </w:tc>
      </w:tr>
      <w:tr w:rsidR="007E5F3B" w:rsidRPr="0028548C" w14:paraId="5208EB82" w14:textId="77777777" w:rsidTr="007E5F3B">
        <w:trPr>
          <w:jc w:val="center"/>
        </w:trPr>
        <w:tc>
          <w:tcPr>
            <w:tcW w:w="4876" w:type="dxa"/>
          </w:tcPr>
          <w:p w14:paraId="4A0E4E5C" w14:textId="77777777" w:rsidR="007E5F3B" w:rsidRPr="0028548C" w:rsidRDefault="007E5F3B" w:rsidP="007E5F3B">
            <w:pPr>
              <w:pStyle w:val="Normal6"/>
            </w:pPr>
          </w:p>
        </w:tc>
        <w:tc>
          <w:tcPr>
            <w:tcW w:w="4876" w:type="dxa"/>
          </w:tcPr>
          <w:p w14:paraId="21E10EFE" w14:textId="77777777" w:rsidR="007E5F3B" w:rsidRPr="0028548C" w:rsidRDefault="007E5F3B" w:rsidP="007E5F3B">
            <w:pPr>
              <w:pStyle w:val="Normal6"/>
            </w:pPr>
            <w:r w:rsidRPr="0028548C">
              <w:rPr>
                <w:b/>
                <w:i/>
              </w:rPr>
              <w:t>(ii)</w:t>
            </w:r>
            <w:r w:rsidRPr="0028548C">
              <w:rPr>
                <w:b/>
                <w:i/>
              </w:rPr>
              <w:tab/>
              <w:t>kar zadeva zaščiteno geografsko označbo, povezavo med določeno kakovostjo, slovesom ali drugo značilnostjo proizvoda in geografskim poreklom iz</w:t>
            </w:r>
            <w:r w:rsidRPr="0028548C">
              <w:t xml:space="preserve"> točke (b)(i) člena 93(1)</w:t>
            </w:r>
            <w:r w:rsidRPr="0028548C">
              <w:rPr>
                <w:b/>
                <w:i/>
              </w:rPr>
              <w:t>;</w:t>
            </w:r>
          </w:p>
        </w:tc>
      </w:tr>
      <w:tr w:rsidR="007E5F3B" w:rsidRPr="0028548C" w14:paraId="615DBC67" w14:textId="77777777" w:rsidTr="007E5F3B">
        <w:trPr>
          <w:jc w:val="center"/>
        </w:trPr>
        <w:tc>
          <w:tcPr>
            <w:tcW w:w="4876" w:type="dxa"/>
          </w:tcPr>
          <w:p w14:paraId="3B3FADC6" w14:textId="77777777" w:rsidR="007E5F3B" w:rsidRPr="0028548C" w:rsidRDefault="007E5F3B" w:rsidP="007E5F3B">
            <w:pPr>
              <w:pStyle w:val="Normal6"/>
            </w:pPr>
          </w:p>
        </w:tc>
        <w:tc>
          <w:tcPr>
            <w:tcW w:w="4876" w:type="dxa"/>
          </w:tcPr>
          <w:p w14:paraId="14FA4CB7" w14:textId="77777777" w:rsidR="007E5F3B" w:rsidRPr="0028548C" w:rsidRDefault="007E5F3B" w:rsidP="007E5F3B">
            <w:pPr>
              <w:pStyle w:val="Normal6"/>
            </w:pPr>
            <w:r w:rsidRPr="0028548C">
              <w:rPr>
                <w:b/>
                <w:i/>
              </w:rPr>
              <w:t>(ga)</w:t>
            </w:r>
            <w:r w:rsidRPr="0028548C">
              <w:rPr>
                <w:b/>
                <w:i/>
              </w:rPr>
              <w:tab/>
              <w:t>kjer je ustrezno, njenega prispevka k trajnostnemu razvoju</w:t>
            </w:r>
            <w:r w:rsidRPr="0028548C">
              <w:t>;</w:t>
            </w:r>
          </w:p>
        </w:tc>
      </w:tr>
      <w:tr w:rsidR="007E5F3B" w:rsidRPr="0028548C" w14:paraId="72923099" w14:textId="77777777" w:rsidTr="007E5F3B">
        <w:trPr>
          <w:jc w:val="center"/>
        </w:trPr>
        <w:tc>
          <w:tcPr>
            <w:tcW w:w="4876" w:type="dxa"/>
          </w:tcPr>
          <w:p w14:paraId="6411B6E6" w14:textId="77777777" w:rsidR="007E5F3B" w:rsidRPr="0028548C" w:rsidRDefault="007E5F3B" w:rsidP="007E5F3B">
            <w:pPr>
              <w:pStyle w:val="Normal6"/>
            </w:pPr>
            <w:r w:rsidRPr="0028548C">
              <w:t>(h)</w:t>
            </w:r>
            <w:r w:rsidRPr="0028548C">
              <w:tab/>
              <w:t>veljavnih zahtev, ki so določene v zakonodaji Unije ali nacionalni zakonodaji ali jih, če tako določijo države članice, določi organizacija, ki upravlja zaščiteno označbo porekla ali zaščiteno geografsko označbo, ob upoštevanju, da morajo biti take zahteve objektivne in nediskriminatorne ter skladne s pravom Unije;</w:t>
            </w:r>
          </w:p>
        </w:tc>
        <w:tc>
          <w:tcPr>
            <w:tcW w:w="4876" w:type="dxa"/>
          </w:tcPr>
          <w:p w14:paraId="16A27C95" w14:textId="77777777" w:rsidR="007E5F3B" w:rsidRPr="0028548C" w:rsidRDefault="007E5F3B" w:rsidP="007E5F3B">
            <w:pPr>
              <w:pStyle w:val="Normal6"/>
              <w:rPr>
                <w:szCs w:val="24"/>
              </w:rPr>
            </w:pPr>
            <w:r w:rsidRPr="0028548C">
              <w:t>(h)</w:t>
            </w:r>
            <w:r w:rsidRPr="0028548C">
              <w:tab/>
              <w:t>veljavnih zahtev, ki so določene v zakonodaji Unije ali nacionalni zakonodaji ali jih, če tako določijo države članice, določi organizacija, ki upravlja zaščiteno označbo porekla ali zaščiteno geografsko označbo, ob upoštevanju, da morajo biti take zahteve objektivne in nediskriminatorne ter skladne s pravom Unije;</w:t>
            </w:r>
          </w:p>
        </w:tc>
      </w:tr>
      <w:tr w:rsidR="007E5F3B" w:rsidRPr="0028548C" w14:paraId="1B79D40C" w14:textId="77777777" w:rsidTr="007E5F3B">
        <w:trPr>
          <w:jc w:val="center"/>
        </w:trPr>
        <w:tc>
          <w:tcPr>
            <w:tcW w:w="4876" w:type="dxa"/>
          </w:tcPr>
          <w:p w14:paraId="6D5F60EE" w14:textId="77777777" w:rsidR="007E5F3B" w:rsidRPr="0028548C" w:rsidRDefault="007E5F3B" w:rsidP="007E5F3B">
            <w:pPr>
              <w:pStyle w:val="Normal6"/>
            </w:pPr>
            <w:r w:rsidRPr="0028548C">
              <w:t>(i)</w:t>
            </w:r>
            <w:r w:rsidRPr="0028548C">
              <w:tab/>
              <w:t>imena in naslova organov ali teles, ki preverjajo skladnost z določbami iz specifikacije proizvoda, in opisa njihovih specifičnih nalog.</w:t>
            </w:r>
          </w:p>
        </w:tc>
        <w:tc>
          <w:tcPr>
            <w:tcW w:w="4876" w:type="dxa"/>
          </w:tcPr>
          <w:p w14:paraId="7F167455" w14:textId="77777777" w:rsidR="007E5F3B" w:rsidRPr="0028548C" w:rsidRDefault="007E5F3B" w:rsidP="007E5F3B">
            <w:pPr>
              <w:pStyle w:val="Normal6"/>
              <w:rPr>
                <w:szCs w:val="24"/>
              </w:rPr>
            </w:pPr>
            <w:r w:rsidRPr="0028548C">
              <w:t>(i)</w:t>
            </w:r>
            <w:r w:rsidRPr="0028548C">
              <w:tab/>
              <w:t>imena in naslova organov ali teles, ki preverjajo skladnost z določbami iz specifikacije proizvoda, in opisa njihovih specifičnih nalog.</w:t>
            </w:r>
          </w:p>
        </w:tc>
      </w:tr>
      <w:tr w:rsidR="007E5F3B" w:rsidRPr="0028548C" w14:paraId="481DEF9F" w14:textId="77777777" w:rsidTr="007E5F3B">
        <w:trPr>
          <w:jc w:val="center"/>
        </w:trPr>
        <w:tc>
          <w:tcPr>
            <w:tcW w:w="4876" w:type="dxa"/>
          </w:tcPr>
          <w:p w14:paraId="2BC88AE1" w14:textId="77777777" w:rsidR="007E5F3B" w:rsidRPr="0028548C" w:rsidRDefault="007E5F3B" w:rsidP="007E5F3B">
            <w:pPr>
              <w:pStyle w:val="Normal6"/>
            </w:pPr>
            <w:r w:rsidRPr="0028548C">
              <w:t>3.</w:t>
            </w:r>
            <w:r w:rsidRPr="0028548C">
              <w:tab/>
              <w:t>Kadar se vloga za zaščito nanaša na geografsko območje, ki se nahaja v tretji državi, vsebuje poleg elementov iz odstavkov 1 in 2 tudi dokazilo, da je zadevno ime zaščiteno v državi porekla.</w:t>
            </w:r>
          </w:p>
        </w:tc>
        <w:tc>
          <w:tcPr>
            <w:tcW w:w="4876" w:type="dxa"/>
          </w:tcPr>
          <w:p w14:paraId="4784AE42" w14:textId="77777777" w:rsidR="007E5F3B" w:rsidRPr="0028548C" w:rsidRDefault="007E5F3B" w:rsidP="007E5F3B">
            <w:pPr>
              <w:pStyle w:val="Normal6"/>
              <w:rPr>
                <w:szCs w:val="24"/>
              </w:rPr>
            </w:pPr>
            <w:r w:rsidRPr="0028548C">
              <w:t>3.</w:t>
            </w:r>
            <w:r w:rsidRPr="0028548C">
              <w:tab/>
              <w:t>Kadar se vloga za zaščito nanaša na geografsko območje, ki se nahaja v tretji državi, vsebuje poleg elementov iz odstavkov 1 in 2 tudi dokazilo, da je zadevno ime zaščiteno v državi porekla.</w:t>
            </w:r>
            <w:r w:rsidRPr="0028548C">
              <w:rPr>
                <w:b/>
                <w:i/>
              </w:rPr>
              <w:t>“</w:t>
            </w:r>
          </w:p>
        </w:tc>
      </w:tr>
    </w:tbl>
    <w:p w14:paraId="54406A27" w14:textId="1D82F51B" w:rsidR="006F5BFE" w:rsidRPr="003B2277" w:rsidRDefault="003B2277" w:rsidP="006F5BFE">
      <w:pPr>
        <w:pStyle w:val="AMNumberTabs"/>
        <w:keepNext/>
      </w:pPr>
      <w:r>
        <w:t>Sprememba</w:t>
      </w:r>
      <w:r w:rsidR="006F5BFE" w:rsidRPr="003B2277">
        <w:tab/>
      </w:r>
      <w:r w:rsidR="006F5BFE" w:rsidRPr="003B2277">
        <w:tab/>
        <w:t>85</w:t>
      </w:r>
    </w:p>
    <w:p w14:paraId="4635477D" w14:textId="77777777" w:rsidR="006F5BFE" w:rsidRPr="003B2277" w:rsidRDefault="006F5BFE" w:rsidP="006F5BFE"/>
    <w:p w14:paraId="050460C7" w14:textId="77777777" w:rsidR="006F5BFE" w:rsidRPr="003B2277" w:rsidRDefault="006F5BFE" w:rsidP="006F5BFE">
      <w:pPr>
        <w:pStyle w:val="NormalBold"/>
        <w:keepNext/>
      </w:pPr>
      <w:r w:rsidRPr="003B2277">
        <w:t>Predlog uredbe</w:t>
      </w:r>
    </w:p>
    <w:p w14:paraId="14016805" w14:textId="1ECD2BEF" w:rsidR="006F5BFE" w:rsidRPr="003B2277" w:rsidRDefault="006F5BFE" w:rsidP="006F5BFE">
      <w:pPr>
        <w:pStyle w:val="NormalBold"/>
      </w:pPr>
      <w:r w:rsidRPr="003B2277">
        <w:t xml:space="preserve">Člen 1 – odstavek 1 – točka 10 </w:t>
      </w:r>
      <w:r w:rsidR="006C4927">
        <w:t>b</w:t>
      </w:r>
      <w:r w:rsidRPr="003B2277">
        <w:t xml:space="preserve"> (novo)</w:t>
      </w:r>
    </w:p>
    <w:p w14:paraId="1500445D" w14:textId="77777777" w:rsidR="006F5BFE" w:rsidRPr="003B2277" w:rsidRDefault="006F5BFE" w:rsidP="006F5BFE">
      <w:pPr>
        <w:keepNext/>
      </w:pPr>
      <w:r w:rsidRPr="003B2277">
        <w:t>Uredba (EU) št. 1308/2013</w:t>
      </w:r>
    </w:p>
    <w:p w14:paraId="464B4E45" w14:textId="401B30F0" w:rsidR="006F5BFE" w:rsidRPr="003B2277" w:rsidRDefault="006F5BFE" w:rsidP="006F5BFE">
      <w:r w:rsidRPr="003B2277">
        <w:t>Člen 96 – odstavek 5 – pododstav</w:t>
      </w:r>
      <w:r w:rsidR="006C4927">
        <w:t>ka</w:t>
      </w:r>
      <w:r w:rsidRPr="003B2277">
        <w:t xml:space="preserve"> 1 a </w:t>
      </w:r>
      <w:r w:rsidR="006C4927">
        <w:t xml:space="preserve">in 1 b </w:t>
      </w:r>
      <w:r w:rsidRPr="003B2277">
        <w:t>(novo)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F63E499" w14:textId="77777777" w:rsidTr="005B4D60">
        <w:trPr>
          <w:jc w:val="center"/>
        </w:trPr>
        <w:tc>
          <w:tcPr>
            <w:tcW w:w="9752" w:type="dxa"/>
            <w:gridSpan w:val="2"/>
          </w:tcPr>
          <w:p w14:paraId="52068688" w14:textId="77777777" w:rsidR="006F5BFE" w:rsidRPr="003B2277" w:rsidRDefault="006F5BFE" w:rsidP="005B4D60">
            <w:pPr>
              <w:keepNext/>
            </w:pPr>
          </w:p>
        </w:tc>
      </w:tr>
      <w:tr w:rsidR="006F5BFE" w:rsidRPr="003B2277" w14:paraId="27CB9543" w14:textId="77777777" w:rsidTr="005B4D60">
        <w:trPr>
          <w:jc w:val="center"/>
        </w:trPr>
        <w:tc>
          <w:tcPr>
            <w:tcW w:w="4876" w:type="dxa"/>
            <w:hideMark/>
          </w:tcPr>
          <w:p w14:paraId="1645AF94" w14:textId="77777777" w:rsidR="006F5BFE" w:rsidRPr="003B2277" w:rsidRDefault="006F5BFE" w:rsidP="005B4D60">
            <w:pPr>
              <w:pStyle w:val="ColumnHeading"/>
              <w:keepNext/>
            </w:pPr>
            <w:r w:rsidRPr="003B2277">
              <w:t>Besedilo, ki ga predlaga Komisija</w:t>
            </w:r>
          </w:p>
        </w:tc>
        <w:tc>
          <w:tcPr>
            <w:tcW w:w="4876" w:type="dxa"/>
            <w:hideMark/>
          </w:tcPr>
          <w:p w14:paraId="0A6D8D1F" w14:textId="4401CB4D" w:rsidR="006F5BFE" w:rsidRPr="003B2277" w:rsidRDefault="003B2277" w:rsidP="005B4D60">
            <w:pPr>
              <w:pStyle w:val="ColumnHeading"/>
              <w:keepNext/>
            </w:pPr>
            <w:r>
              <w:t>Sprememba</w:t>
            </w:r>
          </w:p>
        </w:tc>
      </w:tr>
      <w:tr w:rsidR="006F5BFE" w:rsidRPr="003B2277" w14:paraId="3CCC75D2" w14:textId="77777777" w:rsidTr="005B4D60">
        <w:trPr>
          <w:jc w:val="center"/>
        </w:trPr>
        <w:tc>
          <w:tcPr>
            <w:tcW w:w="4876" w:type="dxa"/>
          </w:tcPr>
          <w:p w14:paraId="4829EB41" w14:textId="77777777" w:rsidR="006F5BFE" w:rsidRPr="003B2277" w:rsidRDefault="006F5BFE" w:rsidP="005B4D60">
            <w:pPr>
              <w:pStyle w:val="Normal6"/>
            </w:pPr>
          </w:p>
        </w:tc>
        <w:tc>
          <w:tcPr>
            <w:tcW w:w="4876" w:type="dxa"/>
            <w:hideMark/>
          </w:tcPr>
          <w:p w14:paraId="0B32F422" w14:textId="57011915" w:rsidR="006F5BFE" w:rsidRPr="003B2277" w:rsidRDefault="006F5BFE" w:rsidP="006C4927">
            <w:pPr>
              <w:pStyle w:val="Normal6"/>
              <w:rPr>
                <w:b/>
                <w:i/>
                <w:szCs w:val="24"/>
              </w:rPr>
            </w:pPr>
            <w:r w:rsidRPr="003B2277">
              <w:rPr>
                <w:b/>
                <w:i/>
              </w:rPr>
              <w:t>(10</w:t>
            </w:r>
            <w:r w:rsidR="006C4927">
              <w:rPr>
                <w:b/>
                <w:i/>
              </w:rPr>
              <w:t>b</w:t>
            </w:r>
            <w:r w:rsidRPr="003B2277">
              <w:rPr>
                <w:b/>
                <w:i/>
              </w:rPr>
              <w:t>)</w:t>
            </w:r>
            <w:r w:rsidRPr="003B2277">
              <w:rPr>
                <w:b/>
                <w:i/>
              </w:rPr>
              <w:tab/>
              <w:t>v členu 96(5) se doda</w:t>
            </w:r>
            <w:r w:rsidR="006C4927">
              <w:rPr>
                <w:b/>
                <w:i/>
              </w:rPr>
              <w:t>ta</w:t>
            </w:r>
            <w:r w:rsidRPr="003B2277">
              <w:rPr>
                <w:b/>
                <w:i/>
              </w:rPr>
              <w:t xml:space="preserve"> </w:t>
            </w:r>
            <w:r w:rsidR="006C4927" w:rsidRPr="003B2277">
              <w:rPr>
                <w:b/>
                <w:i/>
              </w:rPr>
              <w:t>nasledn</w:t>
            </w:r>
            <w:r w:rsidR="006C4927">
              <w:rPr>
                <w:b/>
                <w:i/>
              </w:rPr>
              <w:t xml:space="preserve">ja </w:t>
            </w:r>
            <w:r w:rsidR="006C4927" w:rsidRPr="003B2277">
              <w:rPr>
                <w:b/>
                <w:i/>
              </w:rPr>
              <w:t>pododstav</w:t>
            </w:r>
            <w:r w:rsidR="006C4927">
              <w:rPr>
                <w:b/>
                <w:i/>
              </w:rPr>
              <w:t>ka</w:t>
            </w:r>
            <w:r w:rsidRPr="003B2277">
              <w:rPr>
                <w:b/>
                <w:i/>
              </w:rPr>
              <w:t>:</w:t>
            </w:r>
          </w:p>
        </w:tc>
      </w:tr>
      <w:tr w:rsidR="006F5BFE" w:rsidRPr="003B2277" w14:paraId="611E1AF6" w14:textId="77777777" w:rsidTr="005B4D60">
        <w:trPr>
          <w:jc w:val="center"/>
        </w:trPr>
        <w:tc>
          <w:tcPr>
            <w:tcW w:w="4876" w:type="dxa"/>
          </w:tcPr>
          <w:p w14:paraId="0AD0DF58" w14:textId="77777777" w:rsidR="006F5BFE" w:rsidRPr="003B2277" w:rsidRDefault="006F5BFE" w:rsidP="005B4D60">
            <w:pPr>
              <w:pStyle w:val="Normal6"/>
            </w:pPr>
          </w:p>
        </w:tc>
        <w:tc>
          <w:tcPr>
            <w:tcW w:w="4876" w:type="dxa"/>
          </w:tcPr>
          <w:p w14:paraId="0A14F595" w14:textId="77777777" w:rsidR="006F5BFE" w:rsidRPr="003B2277" w:rsidRDefault="006F5BFE" w:rsidP="005B4D60">
            <w:pPr>
              <w:pStyle w:val="Normal6"/>
              <w:rPr>
                <w:szCs w:val="24"/>
              </w:rPr>
            </w:pPr>
            <w:r w:rsidRPr="003B2277">
              <w:rPr>
                <w:b/>
                <w:i/>
              </w:rPr>
              <w:t>Pri posredovanju vloge za zaščito Komisiji v skladu s prvim pododstavkom tega odstavka država članica vključi izjavo, da po njenem mnenju vloga vložnika izpolnjuje pogoje za zaščito iz tega oddelka ter da potrjuje, da je enotni dokument iz člena 94(1)(d) natančen povzetek specifikacije proizvoda.</w:t>
            </w:r>
          </w:p>
        </w:tc>
      </w:tr>
      <w:tr w:rsidR="006F5BFE" w:rsidRPr="003B2277" w14:paraId="3646404E" w14:textId="77777777" w:rsidTr="005B4D60">
        <w:trPr>
          <w:jc w:val="center"/>
        </w:trPr>
        <w:tc>
          <w:tcPr>
            <w:tcW w:w="4876" w:type="dxa"/>
          </w:tcPr>
          <w:p w14:paraId="5AFD344B" w14:textId="77777777" w:rsidR="006F5BFE" w:rsidRPr="003B2277" w:rsidRDefault="006F5BFE" w:rsidP="005B4D60">
            <w:pPr>
              <w:pStyle w:val="Normal6"/>
            </w:pPr>
          </w:p>
        </w:tc>
        <w:tc>
          <w:tcPr>
            <w:tcW w:w="4876" w:type="dxa"/>
          </w:tcPr>
          <w:p w14:paraId="3ECC14C9" w14:textId="77777777" w:rsidR="006F5BFE" w:rsidRPr="003B2277" w:rsidRDefault="006F5BFE" w:rsidP="005B4D60">
            <w:pPr>
              <w:pStyle w:val="Normal6"/>
              <w:rPr>
                <w:szCs w:val="24"/>
              </w:rPr>
            </w:pPr>
            <w:r w:rsidRPr="003B2277">
              <w:rPr>
                <w:b/>
                <w:i/>
              </w:rPr>
              <w:t>Države članice Komisijo obvestijo o dopustnih ugovorih, prejetih v okviru nacionalnega postopka.</w:t>
            </w:r>
          </w:p>
        </w:tc>
      </w:tr>
    </w:tbl>
    <w:p w14:paraId="401DCFA5" w14:textId="77777777" w:rsidR="006F5BFE" w:rsidRPr="003B2277" w:rsidRDefault="006F5BFE" w:rsidP="006F5BFE"/>
    <w:p w14:paraId="52B3C894" w14:textId="13E10F2F" w:rsidR="006F5BFE" w:rsidRPr="003B2277" w:rsidRDefault="003B2277" w:rsidP="006F5BFE">
      <w:pPr>
        <w:pStyle w:val="AMNumberTabs"/>
        <w:keepNext/>
      </w:pPr>
      <w:r>
        <w:t>Sprememba</w:t>
      </w:r>
      <w:r w:rsidR="006F5BFE" w:rsidRPr="003B2277">
        <w:tab/>
      </w:r>
      <w:r w:rsidR="006F5BFE" w:rsidRPr="003B2277">
        <w:tab/>
        <w:t>86</w:t>
      </w:r>
    </w:p>
    <w:p w14:paraId="5622B539" w14:textId="77777777" w:rsidR="006F5BFE" w:rsidRPr="003B2277" w:rsidRDefault="006F5BFE" w:rsidP="006F5BFE"/>
    <w:p w14:paraId="0C8F3549" w14:textId="77777777" w:rsidR="006F5BFE" w:rsidRPr="003B2277" w:rsidRDefault="006F5BFE" w:rsidP="006F5BFE">
      <w:pPr>
        <w:pStyle w:val="NormalBold"/>
        <w:keepNext/>
      </w:pPr>
      <w:r w:rsidRPr="003B2277">
        <w:t>Predlog uredbe</w:t>
      </w:r>
    </w:p>
    <w:p w14:paraId="6CFBE25F" w14:textId="77777777" w:rsidR="006F5BFE" w:rsidRPr="003B2277" w:rsidRDefault="006F5BFE" w:rsidP="006F5BFE">
      <w:pPr>
        <w:pStyle w:val="NormalBold"/>
      </w:pPr>
      <w:r w:rsidRPr="003B2277">
        <w:t>Člen 1 – odstavek 1 – točka 11</w:t>
      </w:r>
    </w:p>
    <w:p w14:paraId="162840D6" w14:textId="77777777" w:rsidR="006F5BFE" w:rsidRPr="003B2277" w:rsidRDefault="006F5BFE" w:rsidP="006F5BFE">
      <w:pPr>
        <w:keepNext/>
      </w:pPr>
      <w:r w:rsidRPr="003B2277">
        <w:t>Uredba (EU) št. 1308/2013</w:t>
      </w:r>
    </w:p>
    <w:p w14:paraId="214C21FE" w14:textId="77777777" w:rsidR="006F5BFE" w:rsidRPr="003B2277" w:rsidRDefault="006F5BFE" w:rsidP="006F5BFE">
      <w:r w:rsidRPr="003B2277">
        <w:t>Člen 96 – odstavek 7</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0C5D3DD" w14:textId="77777777" w:rsidTr="005B4D60">
        <w:trPr>
          <w:jc w:val="center"/>
        </w:trPr>
        <w:tc>
          <w:tcPr>
            <w:tcW w:w="9752" w:type="dxa"/>
            <w:gridSpan w:val="2"/>
          </w:tcPr>
          <w:p w14:paraId="00C0D55C" w14:textId="77777777" w:rsidR="006F5BFE" w:rsidRPr="003B2277" w:rsidRDefault="006F5BFE" w:rsidP="005B4D60">
            <w:pPr>
              <w:keepNext/>
            </w:pPr>
          </w:p>
        </w:tc>
      </w:tr>
      <w:tr w:rsidR="006F5BFE" w:rsidRPr="003B2277" w14:paraId="63BF6B1A" w14:textId="77777777" w:rsidTr="005B4D60">
        <w:trPr>
          <w:jc w:val="center"/>
        </w:trPr>
        <w:tc>
          <w:tcPr>
            <w:tcW w:w="4876" w:type="dxa"/>
            <w:hideMark/>
          </w:tcPr>
          <w:p w14:paraId="405D638F" w14:textId="77777777" w:rsidR="006F5BFE" w:rsidRPr="003B2277" w:rsidRDefault="006F5BFE" w:rsidP="005B4D60">
            <w:pPr>
              <w:pStyle w:val="ColumnHeading"/>
              <w:keepNext/>
            </w:pPr>
            <w:r w:rsidRPr="003B2277">
              <w:t>Besedilo, ki ga predlaga Komisija</w:t>
            </w:r>
          </w:p>
        </w:tc>
        <w:tc>
          <w:tcPr>
            <w:tcW w:w="4876" w:type="dxa"/>
            <w:hideMark/>
          </w:tcPr>
          <w:p w14:paraId="59C1329C" w14:textId="3C10391E" w:rsidR="006F5BFE" w:rsidRPr="003B2277" w:rsidRDefault="003B2277" w:rsidP="005B4D60">
            <w:pPr>
              <w:pStyle w:val="ColumnHeading"/>
              <w:keepNext/>
            </w:pPr>
            <w:r>
              <w:t>Sprememba</w:t>
            </w:r>
          </w:p>
        </w:tc>
      </w:tr>
      <w:tr w:rsidR="006F5BFE" w:rsidRPr="003B2277" w14:paraId="6DA51C00" w14:textId="77777777" w:rsidTr="005B4D60">
        <w:trPr>
          <w:jc w:val="center"/>
        </w:trPr>
        <w:tc>
          <w:tcPr>
            <w:tcW w:w="4876" w:type="dxa"/>
          </w:tcPr>
          <w:p w14:paraId="417CBBE2" w14:textId="77777777" w:rsidR="006F5BFE" w:rsidRPr="003B2277" w:rsidRDefault="006F5BFE" w:rsidP="005B4D60">
            <w:pPr>
              <w:pStyle w:val="Normal6"/>
              <w:rPr>
                <w:b/>
                <w:bCs/>
                <w:i/>
                <w:iCs/>
              </w:rPr>
            </w:pPr>
            <w:r w:rsidRPr="003B2277">
              <w:rPr>
                <w:b/>
                <w:bCs/>
                <w:i/>
                <w:iCs/>
              </w:rPr>
              <w:t>7.</w:t>
            </w:r>
            <w:r w:rsidRPr="003B2277">
              <w:rPr>
                <w:b/>
                <w:bCs/>
                <w:i/>
                <w:iCs/>
              </w:rPr>
              <w:tab/>
              <w:t>Kadar je to primerno, lahko Komisija sprejme izvedbene akte za odložitev pregleda vloge iz člena 97(2), dokler nacionalno sodišče ali drug nacionalni organ ne odloči v zvezi z ugovorom zoper vlogo za zaščito, kadar je država članica menila, da so v predhodnem nacionalnem postopku v skladu z odstavkom 5 zahteve izpolnjene.</w:t>
            </w:r>
          </w:p>
        </w:tc>
        <w:tc>
          <w:tcPr>
            <w:tcW w:w="4876" w:type="dxa"/>
          </w:tcPr>
          <w:p w14:paraId="6940951B" w14:textId="77777777" w:rsidR="006F5BFE" w:rsidRPr="003B2277" w:rsidRDefault="006F5BFE" w:rsidP="005B4D60">
            <w:pPr>
              <w:pStyle w:val="Normal6"/>
              <w:rPr>
                <w:b/>
                <w:bCs/>
                <w:i/>
                <w:iCs/>
              </w:rPr>
            </w:pPr>
            <w:r w:rsidRPr="003B2277">
              <w:rPr>
                <w:b/>
                <w:bCs/>
                <w:i/>
                <w:iCs/>
              </w:rPr>
              <w:t>črtano</w:t>
            </w:r>
          </w:p>
        </w:tc>
      </w:tr>
      <w:tr w:rsidR="006F5BFE" w:rsidRPr="003B2277" w14:paraId="56623693" w14:textId="77777777" w:rsidTr="005B4D60">
        <w:trPr>
          <w:jc w:val="center"/>
        </w:trPr>
        <w:tc>
          <w:tcPr>
            <w:tcW w:w="4876" w:type="dxa"/>
          </w:tcPr>
          <w:p w14:paraId="72301B1E" w14:textId="77777777" w:rsidR="006F5BFE" w:rsidRPr="003B2277" w:rsidRDefault="006F5BFE" w:rsidP="005B4D60">
            <w:pPr>
              <w:pStyle w:val="Normal6"/>
              <w:rPr>
                <w:b/>
                <w:i/>
              </w:rPr>
            </w:pPr>
            <w:r w:rsidRPr="003B2277">
              <w:rPr>
                <w:b/>
                <w:i/>
              </w:rPr>
              <w:t xml:space="preserve">Ti izvedbeni akti se sprejmejo brez uporabe postopka iz člena 229(2) ali (3).“; </w:t>
            </w:r>
          </w:p>
        </w:tc>
        <w:tc>
          <w:tcPr>
            <w:tcW w:w="4876" w:type="dxa"/>
          </w:tcPr>
          <w:p w14:paraId="3A8D3620" w14:textId="77777777" w:rsidR="006F5BFE" w:rsidRPr="003B2277" w:rsidRDefault="006F5BFE" w:rsidP="005B4D60">
            <w:pPr>
              <w:pStyle w:val="Normal6"/>
            </w:pPr>
          </w:p>
        </w:tc>
      </w:tr>
    </w:tbl>
    <w:p w14:paraId="10D49426" w14:textId="77777777" w:rsidR="006F5BFE" w:rsidRPr="003B2277" w:rsidRDefault="006F5BFE" w:rsidP="006F5BFE"/>
    <w:p w14:paraId="46443B1D" w14:textId="556C12D5" w:rsidR="006F5BFE" w:rsidRPr="003B2277" w:rsidRDefault="003B2277" w:rsidP="006F5BFE">
      <w:pPr>
        <w:pStyle w:val="AMNumberTabs"/>
        <w:keepNext/>
      </w:pPr>
      <w:r>
        <w:t>Sprememba</w:t>
      </w:r>
      <w:r w:rsidR="006F5BFE" w:rsidRPr="003B2277">
        <w:tab/>
      </w:r>
      <w:r w:rsidR="006F5BFE" w:rsidRPr="003B2277">
        <w:tab/>
        <w:t>87</w:t>
      </w:r>
    </w:p>
    <w:p w14:paraId="429CA20C" w14:textId="77777777" w:rsidR="006F5BFE" w:rsidRPr="003B2277" w:rsidRDefault="006F5BFE" w:rsidP="006F5BFE">
      <w:pPr>
        <w:pStyle w:val="NormalBold12b"/>
      </w:pPr>
      <w:r w:rsidRPr="003B2277">
        <w:t>Predlog uredbe</w:t>
      </w:r>
    </w:p>
    <w:p w14:paraId="0E019063" w14:textId="77777777" w:rsidR="006F5BFE" w:rsidRPr="003B2277" w:rsidRDefault="006F5BFE" w:rsidP="006F5BFE">
      <w:pPr>
        <w:pStyle w:val="NormalBold"/>
      </w:pPr>
      <w:r w:rsidRPr="003B2277">
        <w:t>Člen 1 – odstavek 1 – točka 12</w:t>
      </w:r>
    </w:p>
    <w:p w14:paraId="6D0CDA43" w14:textId="77777777" w:rsidR="006F5BFE" w:rsidRPr="003B2277" w:rsidRDefault="006F5BFE" w:rsidP="006F5BFE">
      <w:pPr>
        <w:keepNext/>
      </w:pPr>
      <w:r w:rsidRPr="003B2277">
        <w:t>Uredba (EU) št. 1308/2013</w:t>
      </w:r>
    </w:p>
    <w:p w14:paraId="211E344D" w14:textId="77777777" w:rsidR="006F5BFE" w:rsidRPr="003B2277" w:rsidRDefault="006F5BFE" w:rsidP="006F5BFE">
      <w:r w:rsidRPr="003B2277">
        <w:t>Člen 97 – odstavek 2 – pododstavek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9BB14E9" w14:textId="77777777" w:rsidTr="005B4D60">
        <w:trPr>
          <w:jc w:val="center"/>
        </w:trPr>
        <w:tc>
          <w:tcPr>
            <w:tcW w:w="9752" w:type="dxa"/>
            <w:gridSpan w:val="2"/>
          </w:tcPr>
          <w:p w14:paraId="1EC94079" w14:textId="77777777" w:rsidR="006F5BFE" w:rsidRPr="003B2277" w:rsidRDefault="006F5BFE" w:rsidP="005B4D60">
            <w:pPr>
              <w:keepNext/>
            </w:pPr>
          </w:p>
        </w:tc>
      </w:tr>
      <w:tr w:rsidR="006F5BFE" w:rsidRPr="003B2277" w14:paraId="16FA2D5A" w14:textId="77777777" w:rsidTr="005B4D60">
        <w:trPr>
          <w:jc w:val="center"/>
        </w:trPr>
        <w:tc>
          <w:tcPr>
            <w:tcW w:w="4876" w:type="dxa"/>
            <w:hideMark/>
          </w:tcPr>
          <w:p w14:paraId="091DF5E8" w14:textId="77777777" w:rsidR="006F5BFE" w:rsidRPr="003B2277" w:rsidRDefault="006F5BFE" w:rsidP="005B4D60">
            <w:pPr>
              <w:pStyle w:val="ColumnHeading"/>
              <w:keepNext/>
            </w:pPr>
            <w:r w:rsidRPr="003B2277">
              <w:t>Besedilo, ki ga predlaga Komisija</w:t>
            </w:r>
          </w:p>
        </w:tc>
        <w:tc>
          <w:tcPr>
            <w:tcW w:w="4876" w:type="dxa"/>
            <w:hideMark/>
          </w:tcPr>
          <w:p w14:paraId="5D6F6ECA" w14:textId="2E1B548A" w:rsidR="006F5BFE" w:rsidRPr="003B2277" w:rsidRDefault="003B2277" w:rsidP="005B4D60">
            <w:pPr>
              <w:pStyle w:val="ColumnHeading"/>
              <w:keepNext/>
            </w:pPr>
            <w:r>
              <w:t>Sprememba</w:t>
            </w:r>
          </w:p>
        </w:tc>
      </w:tr>
      <w:tr w:rsidR="006F5BFE" w:rsidRPr="003B2277" w14:paraId="799C0F00" w14:textId="77777777" w:rsidTr="005B4D60">
        <w:trPr>
          <w:jc w:val="center"/>
        </w:trPr>
        <w:tc>
          <w:tcPr>
            <w:tcW w:w="4876" w:type="dxa"/>
            <w:hideMark/>
          </w:tcPr>
          <w:p w14:paraId="16AA93BD" w14:textId="77777777" w:rsidR="006F5BFE" w:rsidRPr="003B2277" w:rsidRDefault="006F5BFE" w:rsidP="005B4D60">
            <w:pPr>
              <w:pStyle w:val="Normal6"/>
            </w:pPr>
            <w:r w:rsidRPr="003B2277">
              <w:t>Komisija pregleda vloge za zaščito, ki jih prejme v skladu s členoma 94 in 96(5). Posebej preveri, da vloge ne vsebujejo očitnih napak, pri tem pa upošteva rezultate predhodnega nacionalnega postopka, ki ga je izvedla zadevna država članica.</w:t>
            </w:r>
          </w:p>
        </w:tc>
        <w:tc>
          <w:tcPr>
            <w:tcW w:w="4876" w:type="dxa"/>
            <w:hideMark/>
          </w:tcPr>
          <w:p w14:paraId="28F27C6C" w14:textId="77777777" w:rsidR="006F5BFE" w:rsidRPr="003B2277" w:rsidRDefault="006F5BFE" w:rsidP="005B4D60">
            <w:pPr>
              <w:pStyle w:val="Normal6"/>
              <w:rPr>
                <w:szCs w:val="24"/>
              </w:rPr>
            </w:pPr>
            <w:r w:rsidRPr="003B2277">
              <w:t xml:space="preserve">Komisija pregleda vloge za zaščito, ki jih prejme v skladu s členoma 94 in 96(5). Posebej preveri, da vloge ne vsebujejo očitnih napak, pri tem pa upošteva rezultate predhodnega nacionalnega postopka, ki ga je izvedla zadevna država članica. </w:t>
            </w:r>
            <w:r w:rsidRPr="003B2277">
              <w:rPr>
                <w:b/>
                <w:i/>
              </w:rPr>
              <w:t>Pri preverjanju pregleda zlasti enotni dokument iz točke (d) člena 94(1).</w:t>
            </w:r>
          </w:p>
        </w:tc>
      </w:tr>
    </w:tbl>
    <w:p w14:paraId="5E36FC7E" w14:textId="77777777" w:rsidR="006F5BFE" w:rsidRPr="003B2277" w:rsidRDefault="006F5BFE" w:rsidP="006F5BFE"/>
    <w:p w14:paraId="7E814D14" w14:textId="6986FFD5" w:rsidR="006F5BFE" w:rsidRPr="003B2277" w:rsidRDefault="003B2277" w:rsidP="006F5BFE">
      <w:pPr>
        <w:pStyle w:val="AMNumberTabs"/>
        <w:keepNext/>
      </w:pPr>
      <w:r>
        <w:t>Sprememba</w:t>
      </w:r>
      <w:r w:rsidR="006F5BFE" w:rsidRPr="003B2277">
        <w:tab/>
      </w:r>
      <w:r w:rsidR="006F5BFE" w:rsidRPr="003B2277">
        <w:tab/>
        <w:t>88</w:t>
      </w:r>
    </w:p>
    <w:p w14:paraId="4176FA44" w14:textId="77777777" w:rsidR="006F5BFE" w:rsidRPr="003B2277" w:rsidRDefault="006F5BFE" w:rsidP="006F5BFE"/>
    <w:p w14:paraId="0C6BE23D" w14:textId="77777777" w:rsidR="006F5BFE" w:rsidRPr="003B2277" w:rsidRDefault="006F5BFE" w:rsidP="006F5BFE">
      <w:pPr>
        <w:pStyle w:val="NormalBold"/>
        <w:keepNext/>
      </w:pPr>
      <w:r w:rsidRPr="003B2277">
        <w:t>Predlog uredbe</w:t>
      </w:r>
    </w:p>
    <w:p w14:paraId="21D30857" w14:textId="77777777" w:rsidR="006F5BFE" w:rsidRPr="003B2277" w:rsidRDefault="006F5BFE" w:rsidP="006F5BFE">
      <w:pPr>
        <w:pStyle w:val="NormalBold"/>
      </w:pPr>
      <w:r w:rsidRPr="003B2277">
        <w:t>Člen 1 – odstavek 1 – točka 14</w:t>
      </w:r>
    </w:p>
    <w:p w14:paraId="37F3C4B4" w14:textId="77777777" w:rsidR="006F5BFE" w:rsidRPr="003B2277" w:rsidRDefault="006F5BFE" w:rsidP="006F5BFE">
      <w:pPr>
        <w:keepNext/>
      </w:pPr>
      <w:r w:rsidRPr="003B2277">
        <w:t>Uredba (EU) št. 1308/2013</w:t>
      </w:r>
    </w:p>
    <w:p w14:paraId="1DCDF1BA" w14:textId="77777777" w:rsidR="006F5BFE" w:rsidRPr="003B2277" w:rsidRDefault="006F5BFE" w:rsidP="006F5BFE">
      <w:r w:rsidRPr="003B2277">
        <w:t>Člen 103 – odstavek 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3031294" w14:textId="77777777" w:rsidTr="005B4D60">
        <w:trPr>
          <w:jc w:val="center"/>
        </w:trPr>
        <w:tc>
          <w:tcPr>
            <w:tcW w:w="9752" w:type="dxa"/>
            <w:gridSpan w:val="2"/>
          </w:tcPr>
          <w:p w14:paraId="00BF393A" w14:textId="77777777" w:rsidR="006F5BFE" w:rsidRPr="003B2277" w:rsidRDefault="006F5BFE" w:rsidP="005B4D60">
            <w:pPr>
              <w:keepNext/>
            </w:pPr>
          </w:p>
        </w:tc>
      </w:tr>
      <w:tr w:rsidR="006F5BFE" w:rsidRPr="003B2277" w14:paraId="7E94C4B0" w14:textId="77777777" w:rsidTr="005B4D60">
        <w:trPr>
          <w:jc w:val="center"/>
        </w:trPr>
        <w:tc>
          <w:tcPr>
            <w:tcW w:w="4876" w:type="dxa"/>
            <w:hideMark/>
          </w:tcPr>
          <w:p w14:paraId="67EC8D8F" w14:textId="77777777" w:rsidR="006F5BFE" w:rsidRPr="003B2277" w:rsidRDefault="006F5BFE" w:rsidP="005B4D60">
            <w:pPr>
              <w:pStyle w:val="ColumnHeading"/>
              <w:keepNext/>
            </w:pPr>
            <w:r w:rsidRPr="003B2277">
              <w:t>Besedilo, ki ga predlaga Komisija</w:t>
            </w:r>
          </w:p>
        </w:tc>
        <w:tc>
          <w:tcPr>
            <w:tcW w:w="4876" w:type="dxa"/>
            <w:hideMark/>
          </w:tcPr>
          <w:p w14:paraId="78FF8B6D" w14:textId="7B117614" w:rsidR="006F5BFE" w:rsidRPr="003B2277" w:rsidRDefault="003B2277" w:rsidP="005B4D60">
            <w:pPr>
              <w:pStyle w:val="ColumnHeading"/>
              <w:keepNext/>
            </w:pPr>
            <w:r>
              <w:t>Sprememba</w:t>
            </w:r>
          </w:p>
        </w:tc>
      </w:tr>
      <w:tr w:rsidR="006F5BFE" w:rsidRPr="003B2277" w14:paraId="51380FE1" w14:textId="77777777" w:rsidTr="005B4D60">
        <w:trPr>
          <w:jc w:val="center"/>
        </w:trPr>
        <w:tc>
          <w:tcPr>
            <w:tcW w:w="4876" w:type="dxa"/>
            <w:hideMark/>
          </w:tcPr>
          <w:p w14:paraId="2C4A89F3" w14:textId="77777777" w:rsidR="006F5BFE" w:rsidRPr="003B2277" w:rsidRDefault="006F5BFE" w:rsidP="005B4D60">
            <w:pPr>
              <w:pStyle w:val="Normal6"/>
            </w:pPr>
            <w:r w:rsidRPr="003B2277">
              <w:rPr>
                <w:b/>
                <w:i/>
              </w:rPr>
              <w:t>(14)</w:t>
            </w:r>
            <w:r w:rsidRPr="003B2277">
              <w:rPr>
                <w:b/>
                <w:i/>
              </w:rPr>
              <w:tab/>
              <w:t>v členu 103 se doda naslednji odstavek 4:</w:t>
            </w:r>
          </w:p>
        </w:tc>
        <w:tc>
          <w:tcPr>
            <w:tcW w:w="4876" w:type="dxa"/>
            <w:hideMark/>
          </w:tcPr>
          <w:p w14:paraId="429B0C6A" w14:textId="77777777" w:rsidR="006F5BFE" w:rsidRPr="003B2277" w:rsidRDefault="006F5BFE" w:rsidP="005B4D60">
            <w:pPr>
              <w:pStyle w:val="Normal6"/>
              <w:rPr>
                <w:szCs w:val="24"/>
              </w:rPr>
            </w:pPr>
            <w:r w:rsidRPr="003B2277">
              <w:rPr>
                <w:b/>
                <w:i/>
              </w:rPr>
              <w:t>črtano</w:t>
            </w:r>
          </w:p>
        </w:tc>
      </w:tr>
      <w:tr w:rsidR="006F5BFE" w:rsidRPr="003B2277" w14:paraId="07F6D66E" w14:textId="77777777" w:rsidTr="005B4D60">
        <w:trPr>
          <w:jc w:val="center"/>
        </w:trPr>
        <w:tc>
          <w:tcPr>
            <w:tcW w:w="4876" w:type="dxa"/>
            <w:hideMark/>
          </w:tcPr>
          <w:p w14:paraId="6EC60E9D" w14:textId="54B26BAD" w:rsidR="006F5BFE" w:rsidRPr="003B2277" w:rsidRDefault="006F5BFE" w:rsidP="005B4D60">
            <w:pPr>
              <w:pStyle w:val="Normal6"/>
            </w:pPr>
            <w:r w:rsidRPr="003B2277">
              <w:rPr>
                <w:b/>
                <w:i/>
              </w:rPr>
              <w:t>„4.</w:t>
            </w:r>
            <w:r w:rsidRPr="003B2277">
              <w:rPr>
                <w:b/>
                <w:i/>
              </w:rPr>
              <w:tab/>
              <w:t>Zaščita iz odstavka 2 se uporablja tudi za blago, ki vstopa na carinsko območje Unije, brez da bi bilo sproščeno v prosti promet na carinskem območju Unije, in za blago, prodano prek elektronskega trgovanja v Uniji;“</w:t>
            </w:r>
          </w:p>
        </w:tc>
        <w:tc>
          <w:tcPr>
            <w:tcW w:w="4876" w:type="dxa"/>
          </w:tcPr>
          <w:p w14:paraId="3F2BA21C" w14:textId="77777777" w:rsidR="006F5BFE" w:rsidRPr="003B2277" w:rsidRDefault="006F5BFE" w:rsidP="005B4D60">
            <w:pPr>
              <w:pStyle w:val="Normal6"/>
              <w:rPr>
                <w:szCs w:val="24"/>
              </w:rPr>
            </w:pPr>
          </w:p>
        </w:tc>
      </w:tr>
    </w:tbl>
    <w:p w14:paraId="238CEDAA" w14:textId="77777777" w:rsidR="006F5BFE" w:rsidRPr="003B2277" w:rsidRDefault="006F5BFE" w:rsidP="006F5BFE"/>
    <w:p w14:paraId="708652F8" w14:textId="602C18AA" w:rsidR="006F5BFE" w:rsidRPr="003B2277" w:rsidRDefault="003B2277" w:rsidP="006F5BFE">
      <w:pPr>
        <w:pStyle w:val="AMNumberTabs"/>
        <w:keepNext/>
      </w:pPr>
      <w:r>
        <w:t>Sprememba</w:t>
      </w:r>
      <w:r w:rsidR="006F5BFE" w:rsidRPr="003B2277">
        <w:tab/>
      </w:r>
      <w:r w:rsidR="006F5BFE" w:rsidRPr="003B2277">
        <w:tab/>
      </w:r>
      <w:r w:rsidR="007E5F3B">
        <w:t>263/rev</w:t>
      </w:r>
    </w:p>
    <w:p w14:paraId="6C29E77B" w14:textId="77777777" w:rsidR="006F5BFE" w:rsidRPr="003B2277" w:rsidRDefault="006F5BFE" w:rsidP="006F5BFE"/>
    <w:p w14:paraId="1EA24F66" w14:textId="77777777" w:rsidR="006F5BFE" w:rsidRPr="003B2277" w:rsidRDefault="006F5BFE" w:rsidP="006F5BFE">
      <w:pPr>
        <w:pStyle w:val="NormalBold"/>
        <w:keepNext/>
      </w:pPr>
      <w:r w:rsidRPr="003B2277">
        <w:t>Predlog uredbe</w:t>
      </w:r>
    </w:p>
    <w:p w14:paraId="53CCBD51" w14:textId="77777777" w:rsidR="006F5BFE" w:rsidRPr="003B2277" w:rsidRDefault="006F5BFE" w:rsidP="006F5BFE">
      <w:pPr>
        <w:pStyle w:val="NormalBold"/>
      </w:pPr>
      <w:r w:rsidRPr="003B2277">
        <w:t>Člen 1 – odstavek 1 – točka 14 a (novo)</w:t>
      </w:r>
    </w:p>
    <w:p w14:paraId="7087AE48" w14:textId="77777777" w:rsidR="006F5BFE" w:rsidRPr="003B2277" w:rsidRDefault="006F5BFE" w:rsidP="006F5BFE">
      <w:pPr>
        <w:keepNext/>
      </w:pPr>
      <w:r w:rsidRPr="003B2277">
        <w:t>Uredba (EU) št. 1308/2013</w:t>
      </w:r>
    </w:p>
    <w:p w14:paraId="59A3D26D" w14:textId="77777777" w:rsidR="007E5F3B" w:rsidRPr="003B2277" w:rsidRDefault="006F5BFE" w:rsidP="006F5BFE">
      <w:r w:rsidRPr="003B2277">
        <w:t>Člen 103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E5F3B" w:rsidRPr="00D37F0A" w14:paraId="4F6C208B" w14:textId="77777777" w:rsidTr="007E5F3B">
        <w:trPr>
          <w:trHeight w:hRule="exact" w:val="240"/>
          <w:jc w:val="center"/>
        </w:trPr>
        <w:tc>
          <w:tcPr>
            <w:tcW w:w="9752" w:type="dxa"/>
            <w:gridSpan w:val="2"/>
          </w:tcPr>
          <w:p w14:paraId="7CCC948F" w14:textId="77777777" w:rsidR="007E5F3B" w:rsidRPr="00D37F0A" w:rsidRDefault="007E5F3B" w:rsidP="007E5F3B"/>
        </w:tc>
      </w:tr>
      <w:tr w:rsidR="007E5F3B" w:rsidRPr="00D37F0A" w14:paraId="0D900EB8" w14:textId="77777777" w:rsidTr="007E5F3B">
        <w:trPr>
          <w:trHeight w:val="240"/>
          <w:jc w:val="center"/>
        </w:trPr>
        <w:tc>
          <w:tcPr>
            <w:tcW w:w="4876" w:type="dxa"/>
          </w:tcPr>
          <w:p w14:paraId="0229523C" w14:textId="77777777" w:rsidR="007E5F3B" w:rsidRPr="00D37F0A" w:rsidRDefault="007E5F3B" w:rsidP="007E5F3B">
            <w:pPr>
              <w:pStyle w:val="AmColumnHeading"/>
            </w:pPr>
            <w:r w:rsidRPr="00D37F0A">
              <w:t>Veljavno besedilo</w:t>
            </w:r>
          </w:p>
        </w:tc>
        <w:tc>
          <w:tcPr>
            <w:tcW w:w="4876" w:type="dxa"/>
          </w:tcPr>
          <w:p w14:paraId="06448431" w14:textId="545D7A85" w:rsidR="007E5F3B" w:rsidRPr="00D37F0A" w:rsidRDefault="008C7773" w:rsidP="007E5F3B">
            <w:pPr>
              <w:pStyle w:val="AmColumnHeading"/>
            </w:pPr>
            <w:r>
              <w:t>Sprememba</w:t>
            </w:r>
          </w:p>
        </w:tc>
      </w:tr>
      <w:tr w:rsidR="007E5F3B" w:rsidRPr="00D37F0A" w14:paraId="2D02C4FA" w14:textId="77777777" w:rsidTr="007E5F3B">
        <w:trPr>
          <w:jc w:val="center"/>
        </w:trPr>
        <w:tc>
          <w:tcPr>
            <w:tcW w:w="4876" w:type="dxa"/>
          </w:tcPr>
          <w:p w14:paraId="6A9154D1" w14:textId="77777777" w:rsidR="007E5F3B" w:rsidRPr="00D37F0A" w:rsidRDefault="007E5F3B" w:rsidP="007E5F3B">
            <w:pPr>
              <w:pStyle w:val="Normal6a"/>
            </w:pPr>
          </w:p>
        </w:tc>
        <w:tc>
          <w:tcPr>
            <w:tcW w:w="4876" w:type="dxa"/>
          </w:tcPr>
          <w:p w14:paraId="646FB86B" w14:textId="77777777" w:rsidR="007E5F3B" w:rsidRPr="00D37F0A" w:rsidRDefault="007E5F3B" w:rsidP="007E5F3B">
            <w:pPr>
              <w:pStyle w:val="Normal6a"/>
            </w:pPr>
            <w:r w:rsidRPr="00D37F0A">
              <w:rPr>
                <w:b/>
                <w:i/>
              </w:rPr>
              <w:t>(14a)</w:t>
            </w:r>
            <w:r w:rsidRPr="00D37F0A">
              <w:tab/>
            </w:r>
            <w:r w:rsidRPr="00D37F0A">
              <w:rPr>
                <w:b/>
                <w:i/>
              </w:rPr>
              <w:t>člen 103 se nadomesti z naslednjim:</w:t>
            </w:r>
          </w:p>
        </w:tc>
      </w:tr>
      <w:tr w:rsidR="007E5F3B" w:rsidRPr="00D37F0A" w14:paraId="08F1FCF0" w14:textId="77777777" w:rsidTr="007E5F3B">
        <w:trPr>
          <w:jc w:val="center"/>
        </w:trPr>
        <w:tc>
          <w:tcPr>
            <w:tcW w:w="4876" w:type="dxa"/>
          </w:tcPr>
          <w:p w14:paraId="5E4B7812" w14:textId="77777777" w:rsidR="007E5F3B" w:rsidRPr="00D37F0A" w:rsidRDefault="007E5F3B" w:rsidP="007E5F3B">
            <w:pPr>
              <w:pStyle w:val="Normal6a"/>
            </w:pPr>
            <w:r w:rsidRPr="00D37F0A">
              <w:rPr>
                <w:b/>
                <w:i/>
              </w:rPr>
              <w:t>Člen</w:t>
            </w:r>
            <w:r w:rsidRPr="00D37F0A">
              <w:t xml:space="preserve"> 103</w:t>
            </w:r>
          </w:p>
        </w:tc>
        <w:tc>
          <w:tcPr>
            <w:tcW w:w="4876" w:type="dxa"/>
          </w:tcPr>
          <w:p w14:paraId="104A2ECC" w14:textId="77777777" w:rsidR="007E5F3B" w:rsidRPr="00D37F0A" w:rsidRDefault="007E5F3B" w:rsidP="007E5F3B">
            <w:pPr>
              <w:pStyle w:val="Normal6a"/>
            </w:pPr>
            <w:r w:rsidRPr="00D37F0A">
              <w:rPr>
                <w:b/>
                <w:i/>
              </w:rPr>
              <w:t>„Člen</w:t>
            </w:r>
            <w:r w:rsidRPr="00D37F0A">
              <w:t xml:space="preserve"> 103</w:t>
            </w:r>
          </w:p>
        </w:tc>
      </w:tr>
      <w:tr w:rsidR="007E5F3B" w:rsidRPr="00D37F0A" w14:paraId="2F73F92E" w14:textId="77777777" w:rsidTr="007E5F3B">
        <w:trPr>
          <w:jc w:val="center"/>
        </w:trPr>
        <w:tc>
          <w:tcPr>
            <w:tcW w:w="4876" w:type="dxa"/>
          </w:tcPr>
          <w:p w14:paraId="468138D6" w14:textId="77777777" w:rsidR="007E5F3B" w:rsidRPr="00D37F0A" w:rsidRDefault="007E5F3B" w:rsidP="007E5F3B">
            <w:pPr>
              <w:pStyle w:val="Normal6a"/>
            </w:pPr>
            <w:r w:rsidRPr="00D37F0A">
              <w:t>Zaščita</w:t>
            </w:r>
          </w:p>
        </w:tc>
        <w:tc>
          <w:tcPr>
            <w:tcW w:w="4876" w:type="dxa"/>
          </w:tcPr>
          <w:p w14:paraId="666E45AD" w14:textId="77777777" w:rsidR="007E5F3B" w:rsidRPr="00D37F0A" w:rsidRDefault="007E5F3B" w:rsidP="007E5F3B">
            <w:pPr>
              <w:pStyle w:val="Normal6a"/>
            </w:pPr>
            <w:r w:rsidRPr="00D37F0A">
              <w:t>Zaščita</w:t>
            </w:r>
          </w:p>
        </w:tc>
      </w:tr>
      <w:tr w:rsidR="007E5F3B" w:rsidRPr="00D37F0A" w14:paraId="0C41FCAD" w14:textId="77777777" w:rsidTr="007E5F3B">
        <w:trPr>
          <w:jc w:val="center"/>
        </w:trPr>
        <w:tc>
          <w:tcPr>
            <w:tcW w:w="4876" w:type="dxa"/>
          </w:tcPr>
          <w:p w14:paraId="0F2B32CE" w14:textId="77777777" w:rsidR="007E5F3B" w:rsidRPr="00D37F0A" w:rsidRDefault="007E5F3B" w:rsidP="007E5F3B">
            <w:pPr>
              <w:pStyle w:val="Normal6a"/>
            </w:pPr>
            <w:r w:rsidRPr="00D37F0A">
              <w:t xml:space="preserve">1. </w:t>
            </w:r>
            <w:r w:rsidRPr="00D37F0A">
              <w:tab/>
              <w:t>Zaščiteno označbo porekla in zaščiteno geografsko označbo lahko uporablja vsak izvajalec, ki trži vino, ki je bilo pridelano v skladu z ustrezno specifikacijo proizvoda.</w:t>
            </w:r>
          </w:p>
        </w:tc>
        <w:tc>
          <w:tcPr>
            <w:tcW w:w="4876" w:type="dxa"/>
          </w:tcPr>
          <w:p w14:paraId="0748BB31" w14:textId="77777777" w:rsidR="007E5F3B" w:rsidRPr="00D37F0A" w:rsidRDefault="007E5F3B" w:rsidP="007E5F3B">
            <w:pPr>
              <w:pStyle w:val="Normal6a"/>
            </w:pPr>
            <w:r w:rsidRPr="00D37F0A">
              <w:t xml:space="preserve">1. </w:t>
            </w:r>
            <w:r w:rsidRPr="00D37F0A">
              <w:tab/>
              <w:t>Zaščiteno označbo porekla in zaščiteno geografsko označbo lahko uporablja vsak izvajalec, ki trži vino, ki je bilo pridelano v skladu z ustrezno specifikacijo proizvoda.</w:t>
            </w:r>
          </w:p>
        </w:tc>
      </w:tr>
      <w:tr w:rsidR="007E5F3B" w:rsidRPr="00D37F0A" w14:paraId="250D9D7A" w14:textId="77777777" w:rsidTr="007E5F3B">
        <w:trPr>
          <w:jc w:val="center"/>
        </w:trPr>
        <w:tc>
          <w:tcPr>
            <w:tcW w:w="4876" w:type="dxa"/>
          </w:tcPr>
          <w:p w14:paraId="5A874353" w14:textId="77777777" w:rsidR="007E5F3B" w:rsidRPr="00D37F0A" w:rsidRDefault="007E5F3B" w:rsidP="007E5F3B">
            <w:pPr>
              <w:pStyle w:val="Normal6a"/>
            </w:pPr>
            <w:r w:rsidRPr="00D37F0A">
              <w:t xml:space="preserve">2. </w:t>
            </w:r>
            <w:r w:rsidRPr="00D37F0A">
              <w:tab/>
              <w:t>Zaščitena označba porekla in zaščitena geografska označba ter vino, za katero se uporablja navedeno zaščiteno ime v skladu s specifikacijo proizvoda, so zaščiteni pred:</w:t>
            </w:r>
          </w:p>
        </w:tc>
        <w:tc>
          <w:tcPr>
            <w:tcW w:w="4876" w:type="dxa"/>
          </w:tcPr>
          <w:p w14:paraId="122EB620" w14:textId="77777777" w:rsidR="007E5F3B" w:rsidRPr="00D37F0A" w:rsidRDefault="007E5F3B" w:rsidP="007E5F3B">
            <w:pPr>
              <w:pStyle w:val="Normal6a"/>
            </w:pPr>
            <w:r w:rsidRPr="00D37F0A">
              <w:t xml:space="preserve">2. </w:t>
            </w:r>
            <w:r w:rsidRPr="00D37F0A">
              <w:tab/>
              <w:t>Zaščitena označba porekla in zaščitena geografska označba ter vino, za katero se uporablja navedeno zaščiteno ime v skladu s specifikacijo proizvoda, so zaščiteni pred:</w:t>
            </w:r>
          </w:p>
        </w:tc>
      </w:tr>
      <w:tr w:rsidR="007E5F3B" w:rsidRPr="00D37F0A" w14:paraId="77192E1E" w14:textId="77777777" w:rsidTr="007E5F3B">
        <w:trPr>
          <w:jc w:val="center"/>
        </w:trPr>
        <w:tc>
          <w:tcPr>
            <w:tcW w:w="4876" w:type="dxa"/>
          </w:tcPr>
          <w:p w14:paraId="165F1F79" w14:textId="77777777" w:rsidR="007E5F3B" w:rsidRPr="00D37F0A" w:rsidRDefault="007E5F3B" w:rsidP="007E5F3B">
            <w:pPr>
              <w:pStyle w:val="Normal6a"/>
            </w:pPr>
            <w:r w:rsidRPr="00D37F0A">
              <w:t xml:space="preserve">(a) </w:t>
            </w:r>
            <w:r w:rsidRPr="00D37F0A">
              <w:tab/>
              <w:t>vsako neposredno ali posredno komercialno rabo navedenega zaščitenega imena:</w:t>
            </w:r>
          </w:p>
        </w:tc>
        <w:tc>
          <w:tcPr>
            <w:tcW w:w="4876" w:type="dxa"/>
          </w:tcPr>
          <w:p w14:paraId="5A4729BD" w14:textId="77777777" w:rsidR="007E5F3B" w:rsidRPr="00D37F0A" w:rsidRDefault="007E5F3B" w:rsidP="007E5F3B">
            <w:pPr>
              <w:pStyle w:val="Normal6a"/>
            </w:pPr>
            <w:r w:rsidRPr="00D37F0A">
              <w:t xml:space="preserve">(a) </w:t>
            </w:r>
            <w:r w:rsidRPr="00D37F0A">
              <w:tab/>
              <w:t>vsako neposredno ali posredno komercialno rabo navedenega zaščitenega imena:</w:t>
            </w:r>
          </w:p>
        </w:tc>
      </w:tr>
      <w:tr w:rsidR="007E5F3B" w:rsidRPr="00D37F0A" w14:paraId="17B6408F" w14:textId="77777777" w:rsidTr="007E5F3B">
        <w:trPr>
          <w:jc w:val="center"/>
        </w:trPr>
        <w:tc>
          <w:tcPr>
            <w:tcW w:w="4876" w:type="dxa"/>
          </w:tcPr>
          <w:p w14:paraId="1C0B3BC6" w14:textId="77777777" w:rsidR="007E5F3B" w:rsidRPr="00D37F0A" w:rsidRDefault="007E5F3B" w:rsidP="007E5F3B">
            <w:pPr>
              <w:pStyle w:val="Normal6a"/>
            </w:pPr>
            <w:r w:rsidRPr="00D37F0A">
              <w:t xml:space="preserve">(i) </w:t>
            </w:r>
            <w:r w:rsidRPr="00D37F0A">
              <w:tab/>
              <w:t>za primerljive proizvode, ki niso v skladu s specifikacijo proizvoda za zaščiteno ime; ali</w:t>
            </w:r>
          </w:p>
        </w:tc>
        <w:tc>
          <w:tcPr>
            <w:tcW w:w="4876" w:type="dxa"/>
          </w:tcPr>
          <w:p w14:paraId="7600CC9B" w14:textId="77777777" w:rsidR="007E5F3B" w:rsidRPr="00D37F0A" w:rsidRDefault="007E5F3B" w:rsidP="007E5F3B">
            <w:pPr>
              <w:pStyle w:val="Normal6a"/>
            </w:pPr>
            <w:r w:rsidRPr="00D37F0A">
              <w:t xml:space="preserve">(i) </w:t>
            </w:r>
            <w:r w:rsidRPr="00D37F0A">
              <w:tab/>
              <w:t>za primerljive proizvode, ki niso v skladu s specifikacijo proizvoda za zaščiteno ime; ali</w:t>
            </w:r>
          </w:p>
        </w:tc>
      </w:tr>
      <w:tr w:rsidR="007E5F3B" w:rsidRPr="00D37F0A" w14:paraId="48814C88" w14:textId="77777777" w:rsidTr="007E5F3B">
        <w:trPr>
          <w:jc w:val="center"/>
        </w:trPr>
        <w:tc>
          <w:tcPr>
            <w:tcW w:w="4876" w:type="dxa"/>
          </w:tcPr>
          <w:p w14:paraId="45D7774E" w14:textId="77777777" w:rsidR="007E5F3B" w:rsidRPr="00D37F0A" w:rsidRDefault="007E5F3B" w:rsidP="007E5F3B">
            <w:pPr>
              <w:pStyle w:val="Normal6a"/>
            </w:pPr>
            <w:r w:rsidRPr="00D37F0A">
              <w:t xml:space="preserve">(ii) </w:t>
            </w:r>
            <w:r w:rsidRPr="00D37F0A">
              <w:tab/>
              <w:t>kolikor bi takšna raba izkoriščala sloves označbe porekla ali geografske označbe;</w:t>
            </w:r>
          </w:p>
        </w:tc>
        <w:tc>
          <w:tcPr>
            <w:tcW w:w="4876" w:type="dxa"/>
          </w:tcPr>
          <w:p w14:paraId="7608BE81" w14:textId="77777777" w:rsidR="007E5F3B" w:rsidRPr="00D37F0A" w:rsidRDefault="007E5F3B" w:rsidP="007E5F3B">
            <w:pPr>
              <w:pStyle w:val="Normal6a"/>
            </w:pPr>
            <w:r w:rsidRPr="00D37F0A">
              <w:t xml:space="preserve">(ii) </w:t>
            </w:r>
            <w:r w:rsidRPr="00D37F0A">
              <w:tab/>
              <w:t>kolikor bi takšna raba izkoriščala</w:t>
            </w:r>
            <w:r w:rsidRPr="00D37F0A">
              <w:rPr>
                <w:b/>
                <w:i/>
              </w:rPr>
              <w:t>, oslabila ali zmanjšala</w:t>
            </w:r>
            <w:r w:rsidRPr="00D37F0A">
              <w:t xml:space="preserve"> sloves označbe porekla ali geografske označbe</w:t>
            </w:r>
            <w:r w:rsidRPr="00D37F0A">
              <w:rPr>
                <w:b/>
                <w:i/>
              </w:rPr>
              <w:t>, tudi kadar je registrirano ime uporabljeno kot sestavina</w:t>
            </w:r>
            <w:r w:rsidRPr="00D37F0A">
              <w:t>;</w:t>
            </w:r>
          </w:p>
        </w:tc>
      </w:tr>
      <w:tr w:rsidR="007E5F3B" w:rsidRPr="00D37F0A" w14:paraId="194DED7D" w14:textId="77777777" w:rsidTr="007E5F3B">
        <w:trPr>
          <w:jc w:val="center"/>
        </w:trPr>
        <w:tc>
          <w:tcPr>
            <w:tcW w:w="4876" w:type="dxa"/>
          </w:tcPr>
          <w:p w14:paraId="2361C604" w14:textId="77777777" w:rsidR="007E5F3B" w:rsidRPr="00D37F0A" w:rsidRDefault="007E5F3B" w:rsidP="007E5F3B">
            <w:pPr>
              <w:pStyle w:val="Normal6a"/>
            </w:pPr>
            <w:r w:rsidRPr="00D37F0A">
              <w:t xml:space="preserve">(b) </w:t>
            </w:r>
            <w:r w:rsidRPr="00D37F0A">
              <w:tab/>
              <w:t xml:space="preserve">vsako zlorabo, posnemanjem ali prikazovanjem, tudi če je resnično poreklo proizvoda ali storitve navedeno ali če je zaščiteno ime prevedeno, drugače zapisano ali prečrkovano ali če mu je dodan izraz, kot so </w:t>
            </w:r>
            <w:r w:rsidRPr="00D37F0A">
              <w:rPr>
                <w:b/>
                <w:i/>
              </w:rPr>
              <w:t>"stil"</w:t>
            </w:r>
            <w:r w:rsidRPr="00D37F0A">
              <w:t xml:space="preserve">, </w:t>
            </w:r>
            <w:r w:rsidRPr="00D37F0A">
              <w:rPr>
                <w:b/>
                <w:i/>
              </w:rPr>
              <w:t>"tip"</w:t>
            </w:r>
            <w:r w:rsidRPr="00D37F0A">
              <w:t xml:space="preserve">, </w:t>
            </w:r>
            <w:r w:rsidRPr="00D37F0A">
              <w:rPr>
                <w:b/>
                <w:i/>
              </w:rPr>
              <w:t>"metoda"</w:t>
            </w:r>
            <w:r w:rsidRPr="00D37F0A">
              <w:t xml:space="preserve">, </w:t>
            </w:r>
            <w:r w:rsidRPr="00D37F0A">
              <w:rPr>
                <w:b/>
                <w:i/>
              </w:rPr>
              <w:t>"kot</w:t>
            </w:r>
            <w:r w:rsidRPr="00D37F0A">
              <w:t xml:space="preserve"> se proizvaja </w:t>
            </w:r>
            <w:r w:rsidRPr="00D37F0A">
              <w:rPr>
                <w:b/>
                <w:i/>
              </w:rPr>
              <w:t>v"</w:t>
            </w:r>
            <w:r w:rsidRPr="00D37F0A">
              <w:t xml:space="preserve">, </w:t>
            </w:r>
            <w:r w:rsidRPr="00D37F0A">
              <w:rPr>
                <w:b/>
                <w:i/>
              </w:rPr>
              <w:t>"imitacija"</w:t>
            </w:r>
            <w:r w:rsidRPr="00D37F0A">
              <w:t xml:space="preserve">, </w:t>
            </w:r>
            <w:r w:rsidRPr="00D37F0A">
              <w:rPr>
                <w:b/>
                <w:i/>
              </w:rPr>
              <w:t>"okus"</w:t>
            </w:r>
            <w:r w:rsidRPr="00D37F0A">
              <w:t xml:space="preserve">, </w:t>
            </w:r>
            <w:r w:rsidRPr="00D37F0A">
              <w:rPr>
                <w:b/>
                <w:i/>
              </w:rPr>
              <w:t>"kot"</w:t>
            </w:r>
            <w:r w:rsidRPr="00D37F0A">
              <w:t xml:space="preserve"> ali podobno;</w:t>
            </w:r>
          </w:p>
        </w:tc>
        <w:tc>
          <w:tcPr>
            <w:tcW w:w="4876" w:type="dxa"/>
          </w:tcPr>
          <w:p w14:paraId="78F63B4D" w14:textId="77777777" w:rsidR="007E5F3B" w:rsidRPr="00D37F0A" w:rsidRDefault="007E5F3B" w:rsidP="007E5F3B">
            <w:pPr>
              <w:pStyle w:val="Normal6a"/>
            </w:pPr>
            <w:r w:rsidRPr="00D37F0A">
              <w:t xml:space="preserve">(b) </w:t>
            </w:r>
            <w:r w:rsidRPr="00D37F0A">
              <w:tab/>
              <w:t xml:space="preserve">vsako zlorabo, posnemanjem ali prikazovanjem, tudi če je resnično poreklo proizvoda ali storitve navedeno ali če je zaščiteno ime prevedeno, drugače zapisano ali prečrkovano ali če mu je dodan izraz, kot so </w:t>
            </w:r>
            <w:r w:rsidRPr="00D37F0A">
              <w:rPr>
                <w:b/>
                <w:i/>
              </w:rPr>
              <w:t>„stil“</w:t>
            </w:r>
            <w:r w:rsidRPr="00D37F0A">
              <w:t xml:space="preserve">, </w:t>
            </w:r>
            <w:r w:rsidRPr="00D37F0A">
              <w:rPr>
                <w:b/>
                <w:i/>
              </w:rPr>
              <w:t>„tip“</w:t>
            </w:r>
            <w:r w:rsidRPr="00D37F0A">
              <w:t xml:space="preserve">, </w:t>
            </w:r>
            <w:r w:rsidRPr="00D37F0A">
              <w:rPr>
                <w:b/>
                <w:i/>
              </w:rPr>
              <w:t>„metoda“</w:t>
            </w:r>
            <w:r w:rsidRPr="00D37F0A">
              <w:t xml:space="preserve">, </w:t>
            </w:r>
            <w:r w:rsidRPr="00D37F0A">
              <w:rPr>
                <w:b/>
                <w:i/>
              </w:rPr>
              <w:t>„kot</w:t>
            </w:r>
            <w:r w:rsidRPr="00D37F0A">
              <w:t xml:space="preserve"> se proizvaja </w:t>
            </w:r>
            <w:r w:rsidRPr="00D37F0A">
              <w:rPr>
                <w:b/>
                <w:i/>
              </w:rPr>
              <w:t>v“</w:t>
            </w:r>
            <w:r w:rsidRPr="00D37F0A">
              <w:t xml:space="preserve">, </w:t>
            </w:r>
            <w:r w:rsidRPr="00D37F0A">
              <w:rPr>
                <w:b/>
                <w:i/>
              </w:rPr>
              <w:t>„imitacija“</w:t>
            </w:r>
            <w:r w:rsidRPr="00D37F0A">
              <w:t xml:space="preserve">, </w:t>
            </w:r>
            <w:r w:rsidRPr="00D37F0A">
              <w:rPr>
                <w:b/>
                <w:i/>
              </w:rPr>
              <w:t>„okus“</w:t>
            </w:r>
            <w:r w:rsidRPr="00D37F0A">
              <w:t xml:space="preserve">, </w:t>
            </w:r>
            <w:r w:rsidRPr="00D37F0A">
              <w:rPr>
                <w:b/>
                <w:i/>
              </w:rPr>
              <w:t>„kot“</w:t>
            </w:r>
            <w:r w:rsidRPr="00D37F0A">
              <w:t xml:space="preserve"> ali podobno</w:t>
            </w:r>
            <w:r w:rsidRPr="00D37F0A">
              <w:rPr>
                <w:b/>
                <w:i/>
              </w:rPr>
              <w:t>, tudi kadar je registrirano ime uporabljeno kot sestavina</w:t>
            </w:r>
            <w:r w:rsidRPr="00D37F0A">
              <w:t>;</w:t>
            </w:r>
          </w:p>
        </w:tc>
      </w:tr>
      <w:tr w:rsidR="007E5F3B" w:rsidRPr="00D37F0A" w14:paraId="273ACBBD" w14:textId="77777777" w:rsidTr="007E5F3B">
        <w:trPr>
          <w:jc w:val="center"/>
        </w:trPr>
        <w:tc>
          <w:tcPr>
            <w:tcW w:w="4876" w:type="dxa"/>
          </w:tcPr>
          <w:p w14:paraId="5D9C9945" w14:textId="77777777" w:rsidR="007E5F3B" w:rsidRPr="00D37F0A" w:rsidRDefault="007E5F3B" w:rsidP="007E5F3B">
            <w:pPr>
              <w:pStyle w:val="Normal6a"/>
            </w:pPr>
            <w:r w:rsidRPr="00D37F0A">
              <w:t xml:space="preserve">(c) </w:t>
            </w:r>
            <w:r w:rsidRPr="00D37F0A">
              <w:tab/>
              <w:t>vsako drugo napačno ali zavajajočo navedbo izvora, porekla, vrste ali bistvenih lastnosti proizvoda na notranji ali zunanji embalaži, v reklamnem gradivu ali dokumentih, ki se nanašajo na zadevni vinski proizvod, in pred uporabo embalaže, ki lahko ustvari napačen vtis o poreklu proizvoda;</w:t>
            </w:r>
          </w:p>
        </w:tc>
        <w:tc>
          <w:tcPr>
            <w:tcW w:w="4876" w:type="dxa"/>
          </w:tcPr>
          <w:p w14:paraId="5BB0C322" w14:textId="77777777" w:rsidR="007E5F3B" w:rsidRPr="00D37F0A" w:rsidRDefault="007E5F3B" w:rsidP="007E5F3B">
            <w:pPr>
              <w:pStyle w:val="Normal6a"/>
            </w:pPr>
            <w:r w:rsidRPr="00D37F0A">
              <w:t xml:space="preserve">(c) </w:t>
            </w:r>
            <w:r w:rsidRPr="00D37F0A">
              <w:tab/>
              <w:t>vsako drugo napačno ali zavajajočo navedbo izvora, porekla, vrste ali bistvenih lastnosti proizvoda na notranji ali zunanji embalaži, v reklamnem gradivu ali dokumentih, ki se nanašajo na zadevni vinski proizvod, in pred uporabo embalaže, ki lahko ustvari napačen vtis o poreklu proizvoda;</w:t>
            </w:r>
          </w:p>
        </w:tc>
      </w:tr>
      <w:tr w:rsidR="007E5F3B" w:rsidRPr="00D37F0A" w14:paraId="17071874" w14:textId="77777777" w:rsidTr="007E5F3B">
        <w:trPr>
          <w:jc w:val="center"/>
        </w:trPr>
        <w:tc>
          <w:tcPr>
            <w:tcW w:w="4876" w:type="dxa"/>
          </w:tcPr>
          <w:p w14:paraId="15A6EA14" w14:textId="77777777" w:rsidR="007E5F3B" w:rsidRPr="00D37F0A" w:rsidRDefault="007E5F3B" w:rsidP="007E5F3B">
            <w:pPr>
              <w:pStyle w:val="Normal6a"/>
            </w:pPr>
            <w:r w:rsidRPr="00D37F0A">
              <w:t xml:space="preserve">(d) </w:t>
            </w:r>
            <w:r w:rsidRPr="00D37F0A">
              <w:tab/>
            </w:r>
            <w:r w:rsidRPr="00D37F0A">
              <w:rPr>
                <w:b/>
                <w:i/>
              </w:rPr>
              <w:t>vsako drugo prakso</w:t>
            </w:r>
            <w:r w:rsidRPr="00D37F0A">
              <w:t xml:space="preserve">, ki lahko potrošnika </w:t>
            </w:r>
            <w:r w:rsidRPr="00D37F0A">
              <w:rPr>
                <w:b/>
                <w:i/>
              </w:rPr>
              <w:t>zavede</w:t>
            </w:r>
            <w:r w:rsidRPr="00D37F0A">
              <w:t xml:space="preserve"> glede </w:t>
            </w:r>
            <w:r w:rsidRPr="00D37F0A">
              <w:rPr>
                <w:b/>
                <w:i/>
              </w:rPr>
              <w:t>pravega</w:t>
            </w:r>
            <w:r w:rsidRPr="00D37F0A">
              <w:t xml:space="preserve"> porekla proizvoda.</w:t>
            </w:r>
          </w:p>
        </w:tc>
        <w:tc>
          <w:tcPr>
            <w:tcW w:w="4876" w:type="dxa"/>
          </w:tcPr>
          <w:p w14:paraId="3F6EC1A1" w14:textId="77777777" w:rsidR="007E5F3B" w:rsidRPr="00D37F0A" w:rsidRDefault="007E5F3B" w:rsidP="007E5F3B">
            <w:pPr>
              <w:pStyle w:val="Normal6a"/>
            </w:pPr>
            <w:r w:rsidRPr="00D37F0A">
              <w:t xml:space="preserve">(d) </w:t>
            </w:r>
            <w:r w:rsidRPr="00D37F0A">
              <w:tab/>
            </w:r>
            <w:r w:rsidRPr="00D37F0A">
              <w:rPr>
                <w:b/>
                <w:i/>
              </w:rPr>
              <w:t>vsemi drugimi praksami</w:t>
            </w:r>
            <w:r w:rsidRPr="00D37F0A">
              <w:t xml:space="preserve">, ki lahko potrošnika </w:t>
            </w:r>
            <w:r w:rsidRPr="00D37F0A">
              <w:rPr>
                <w:b/>
                <w:i/>
              </w:rPr>
              <w:t>zavajajo</w:t>
            </w:r>
            <w:r w:rsidRPr="00D37F0A">
              <w:t xml:space="preserve"> glede </w:t>
            </w:r>
            <w:r w:rsidRPr="00D37F0A">
              <w:rPr>
                <w:b/>
                <w:i/>
              </w:rPr>
              <w:t>resničnega</w:t>
            </w:r>
            <w:r w:rsidRPr="00D37F0A">
              <w:t xml:space="preserve"> porekla proizvoda.</w:t>
            </w:r>
          </w:p>
        </w:tc>
      </w:tr>
      <w:tr w:rsidR="007E5F3B" w:rsidRPr="00D37F0A" w14:paraId="2F3F0349" w14:textId="77777777" w:rsidTr="007E5F3B">
        <w:trPr>
          <w:jc w:val="center"/>
        </w:trPr>
        <w:tc>
          <w:tcPr>
            <w:tcW w:w="4876" w:type="dxa"/>
          </w:tcPr>
          <w:p w14:paraId="0641E140" w14:textId="77777777" w:rsidR="007E5F3B" w:rsidRPr="00D37F0A" w:rsidRDefault="007E5F3B" w:rsidP="007E5F3B">
            <w:pPr>
              <w:pStyle w:val="Normal6a"/>
            </w:pPr>
          </w:p>
        </w:tc>
        <w:tc>
          <w:tcPr>
            <w:tcW w:w="4876" w:type="dxa"/>
          </w:tcPr>
          <w:p w14:paraId="286B1630" w14:textId="77777777" w:rsidR="007E5F3B" w:rsidRPr="00D37F0A" w:rsidRDefault="007E5F3B" w:rsidP="007E5F3B">
            <w:pPr>
              <w:pStyle w:val="Normal6a"/>
            </w:pPr>
            <w:r w:rsidRPr="00D37F0A">
              <w:rPr>
                <w:b/>
                <w:i/>
              </w:rPr>
              <w:t xml:space="preserve">(da) </w:t>
            </w:r>
            <w:r w:rsidRPr="00D37F0A">
              <w:tab/>
            </w:r>
            <w:r w:rsidRPr="00D37F0A">
              <w:rPr>
                <w:b/>
                <w:i/>
              </w:rPr>
              <w:t>vsakršnimi zlonamernimi navedbami podobnega imena domene ali zaradi katerih bi lahko prišlo do delne ali popolne zamenjave z zaščiteno označbo.</w:t>
            </w:r>
          </w:p>
        </w:tc>
      </w:tr>
      <w:tr w:rsidR="007E5F3B" w:rsidRPr="00D37F0A" w14:paraId="7353D1C3" w14:textId="77777777" w:rsidTr="007E5F3B">
        <w:trPr>
          <w:jc w:val="center"/>
        </w:trPr>
        <w:tc>
          <w:tcPr>
            <w:tcW w:w="4876" w:type="dxa"/>
          </w:tcPr>
          <w:p w14:paraId="1F6DC4D0" w14:textId="77777777" w:rsidR="007E5F3B" w:rsidRPr="00D37F0A" w:rsidRDefault="007E5F3B" w:rsidP="007E5F3B">
            <w:pPr>
              <w:pStyle w:val="Normal6a"/>
            </w:pPr>
            <w:r w:rsidRPr="00D37F0A">
              <w:t xml:space="preserve">3. </w:t>
            </w:r>
            <w:r w:rsidRPr="00D37F0A">
              <w:tab/>
              <w:t>Zaščitene označbe porekla in zaščitene geografske označbe v Uniji ne postanejo generične v smislu člena 101(1).</w:t>
            </w:r>
          </w:p>
        </w:tc>
        <w:tc>
          <w:tcPr>
            <w:tcW w:w="4876" w:type="dxa"/>
          </w:tcPr>
          <w:p w14:paraId="5124295E" w14:textId="77777777" w:rsidR="007E5F3B" w:rsidRPr="00D37F0A" w:rsidRDefault="007E5F3B" w:rsidP="007E5F3B">
            <w:pPr>
              <w:pStyle w:val="Normal6a"/>
            </w:pPr>
            <w:r w:rsidRPr="00D37F0A">
              <w:t xml:space="preserve">3. </w:t>
            </w:r>
            <w:r w:rsidRPr="00D37F0A">
              <w:tab/>
              <w:t>Zaščitene označbe porekla in zaščitene geografske označbe v Uniji ne postanejo generične v smislu člena 101(1).</w:t>
            </w:r>
          </w:p>
        </w:tc>
      </w:tr>
      <w:tr w:rsidR="007E5F3B" w:rsidRPr="00D37F0A" w14:paraId="6FEE73C4" w14:textId="77777777" w:rsidTr="007E5F3B">
        <w:trPr>
          <w:jc w:val="center"/>
        </w:trPr>
        <w:tc>
          <w:tcPr>
            <w:tcW w:w="4876" w:type="dxa"/>
          </w:tcPr>
          <w:p w14:paraId="71A32524" w14:textId="77777777" w:rsidR="007E5F3B" w:rsidRPr="00D37F0A" w:rsidRDefault="007E5F3B" w:rsidP="007E5F3B">
            <w:pPr>
              <w:pStyle w:val="Normal6a"/>
            </w:pPr>
          </w:p>
        </w:tc>
        <w:tc>
          <w:tcPr>
            <w:tcW w:w="4876" w:type="dxa"/>
          </w:tcPr>
          <w:p w14:paraId="1AD4C74C" w14:textId="77777777" w:rsidR="007E5F3B" w:rsidRPr="00D37F0A" w:rsidRDefault="007E5F3B" w:rsidP="007E5F3B">
            <w:pPr>
              <w:pStyle w:val="Normal6a"/>
            </w:pPr>
            <w:r w:rsidRPr="00D37F0A">
              <w:rPr>
                <w:b/>
                <w:i/>
              </w:rPr>
              <w:t xml:space="preserve">3a. </w:t>
            </w:r>
            <w:r w:rsidRPr="00D37F0A">
              <w:tab/>
            </w:r>
            <w:r w:rsidRPr="00D37F0A">
              <w:rPr>
                <w:b/>
                <w:i/>
              </w:rPr>
              <w:t>Zaščita iz odstavka 2 se uporablja tudi za blago, ki vstopa na carinsko območje Unije, brez da bi bilo sproščeno v prosti promet na carinskem območju Unije, in za blago, prodano prek elektronskega trgovanja v Uniji.</w:t>
            </w:r>
          </w:p>
        </w:tc>
      </w:tr>
      <w:tr w:rsidR="007E5F3B" w:rsidRPr="00D37F0A" w14:paraId="2CF805A0" w14:textId="77777777" w:rsidTr="007E5F3B">
        <w:trPr>
          <w:jc w:val="center"/>
        </w:trPr>
        <w:tc>
          <w:tcPr>
            <w:tcW w:w="4876" w:type="dxa"/>
          </w:tcPr>
          <w:p w14:paraId="29DC1925" w14:textId="77777777" w:rsidR="007E5F3B" w:rsidRPr="00D37F0A" w:rsidRDefault="007E5F3B" w:rsidP="007E5F3B">
            <w:pPr>
              <w:pStyle w:val="Normal6a"/>
            </w:pPr>
          </w:p>
        </w:tc>
        <w:tc>
          <w:tcPr>
            <w:tcW w:w="4876" w:type="dxa"/>
          </w:tcPr>
          <w:p w14:paraId="7BBD6C7E" w14:textId="77777777" w:rsidR="007E5F3B" w:rsidRPr="00D37F0A" w:rsidRDefault="007E5F3B" w:rsidP="007E5F3B">
            <w:pPr>
              <w:pStyle w:val="Normal6a"/>
            </w:pPr>
            <w:r w:rsidRPr="00D37F0A">
              <w:rPr>
                <w:b/>
                <w:i/>
              </w:rPr>
              <w:t xml:space="preserve">3b. </w:t>
            </w:r>
            <w:r w:rsidRPr="00D37F0A">
              <w:tab/>
            </w:r>
            <w:r w:rsidRPr="00D37F0A">
              <w:rPr>
                <w:b/>
                <w:i/>
              </w:rPr>
              <w:t>Kadar geografsko območje vina z zaščitene označbo porekla pokriva druga zaščitena označba porekla, katerega geografsko območje je večje, lahko države členice določijo pogoje, pod katerimi so lahko zadevna vina upravičena do te druge zaščitene označbe. Te pogoje je treba vključiti v specifikacije proizvoda za zadevna vina.“</w:t>
            </w:r>
          </w:p>
        </w:tc>
      </w:tr>
    </w:tbl>
    <w:p w14:paraId="2035E28A" w14:textId="0B15AD3E" w:rsidR="006F5BFE" w:rsidRPr="003B2277" w:rsidRDefault="006F5BFE" w:rsidP="006F5BFE"/>
    <w:p w14:paraId="5898BB1B" w14:textId="77777777" w:rsidR="006F5BFE" w:rsidRPr="003B2277" w:rsidRDefault="006F5BFE" w:rsidP="006F5BFE"/>
    <w:p w14:paraId="4FA07055" w14:textId="77777777" w:rsidR="007E5F3B" w:rsidRDefault="007E5F3B" w:rsidP="006F5BFE">
      <w:pPr>
        <w:pStyle w:val="AMNumberTabs"/>
        <w:keepNext/>
      </w:pPr>
    </w:p>
    <w:p w14:paraId="5902443E" w14:textId="197B89B5" w:rsidR="007E5F3B" w:rsidRPr="00C45A40" w:rsidRDefault="008C7773" w:rsidP="007E5F3B">
      <w:pPr>
        <w:pStyle w:val="AmNumberTabs0"/>
      </w:pPr>
      <w:r>
        <w:t>Sprememba</w:t>
      </w:r>
      <w:r w:rsidR="007E5F3B" w:rsidRPr="00C45A40">
        <w:tab/>
      </w:r>
      <w:r w:rsidR="007E5F3B" w:rsidRPr="00C45A40">
        <w:tab/>
        <w:t>237</w:t>
      </w:r>
    </w:p>
    <w:p w14:paraId="4700F6C9" w14:textId="77777777" w:rsidR="007E5F3B" w:rsidRPr="00C45A40" w:rsidRDefault="007E5F3B" w:rsidP="007E5F3B">
      <w:pPr>
        <w:pStyle w:val="NormalBold12b"/>
      </w:pPr>
      <w:r w:rsidRPr="00C45A40">
        <w:t>Predlog uredbe</w:t>
      </w:r>
    </w:p>
    <w:p w14:paraId="0B0844F4" w14:textId="23AE5C35" w:rsidR="007E5F3B" w:rsidRPr="00C45A40" w:rsidRDefault="006C4927" w:rsidP="007E5F3B">
      <w:pPr>
        <w:pStyle w:val="NormalBold"/>
      </w:pPr>
      <w:r>
        <w:t>Člen 1 – odstavek 1 – točka 14 b</w:t>
      </w:r>
      <w:r w:rsidR="007E5F3B" w:rsidRPr="00C45A40">
        <w:t xml:space="preserve"> (novo)</w:t>
      </w:r>
    </w:p>
    <w:p w14:paraId="574A0680" w14:textId="77777777" w:rsidR="007E5F3B" w:rsidRPr="00C45A40" w:rsidRDefault="007E5F3B" w:rsidP="007E5F3B">
      <w:r w:rsidRPr="00C45A40">
        <w:t>Uredba (EU) št. 1308/2013</w:t>
      </w:r>
    </w:p>
    <w:p w14:paraId="4DE84FBD" w14:textId="77777777" w:rsidR="007E5F3B" w:rsidRPr="00C45A40" w:rsidRDefault="007E5F3B" w:rsidP="007E5F3B">
      <w:r w:rsidRPr="00C45A40">
        <w:t>Člen 105</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C45A40" w14:paraId="366CAB1E" w14:textId="77777777" w:rsidTr="007E5F3B">
        <w:trPr>
          <w:jc w:val="center"/>
        </w:trPr>
        <w:tc>
          <w:tcPr>
            <w:tcW w:w="9752" w:type="dxa"/>
            <w:gridSpan w:val="2"/>
          </w:tcPr>
          <w:p w14:paraId="6447ED6F" w14:textId="77777777" w:rsidR="007E5F3B" w:rsidRPr="00C45A40" w:rsidRDefault="007E5F3B" w:rsidP="007E5F3B">
            <w:pPr>
              <w:keepNext/>
            </w:pPr>
          </w:p>
        </w:tc>
      </w:tr>
      <w:tr w:rsidR="007E5F3B" w:rsidRPr="00C45A40" w14:paraId="6ACAC0D5" w14:textId="77777777" w:rsidTr="007E5F3B">
        <w:trPr>
          <w:jc w:val="center"/>
        </w:trPr>
        <w:tc>
          <w:tcPr>
            <w:tcW w:w="4876" w:type="dxa"/>
          </w:tcPr>
          <w:p w14:paraId="01ED780B" w14:textId="77777777" w:rsidR="007E5F3B" w:rsidRPr="00C45A40" w:rsidRDefault="007E5F3B" w:rsidP="007E5F3B">
            <w:pPr>
              <w:pStyle w:val="AmColumnHeading"/>
              <w:keepNext/>
            </w:pPr>
            <w:r w:rsidRPr="00C45A40">
              <w:t>Veljavno besedilo</w:t>
            </w:r>
          </w:p>
        </w:tc>
        <w:tc>
          <w:tcPr>
            <w:tcW w:w="4876" w:type="dxa"/>
          </w:tcPr>
          <w:p w14:paraId="0E22DED1" w14:textId="5044D29F" w:rsidR="007E5F3B" w:rsidRPr="00C45A40" w:rsidRDefault="008C7773" w:rsidP="007E5F3B">
            <w:pPr>
              <w:pStyle w:val="AmColumnHeading"/>
              <w:keepNext/>
            </w:pPr>
            <w:r>
              <w:t>Sprememba</w:t>
            </w:r>
          </w:p>
        </w:tc>
      </w:tr>
      <w:tr w:rsidR="007E5F3B" w:rsidRPr="00C45A40" w14:paraId="49A582FB" w14:textId="77777777" w:rsidTr="007E5F3B">
        <w:trPr>
          <w:jc w:val="center"/>
        </w:trPr>
        <w:tc>
          <w:tcPr>
            <w:tcW w:w="4876" w:type="dxa"/>
          </w:tcPr>
          <w:p w14:paraId="7F54921A" w14:textId="77777777" w:rsidR="007E5F3B" w:rsidRPr="00C45A40" w:rsidRDefault="007E5F3B" w:rsidP="007E5F3B">
            <w:pPr>
              <w:pStyle w:val="Normal6"/>
            </w:pPr>
          </w:p>
        </w:tc>
        <w:tc>
          <w:tcPr>
            <w:tcW w:w="4876" w:type="dxa"/>
          </w:tcPr>
          <w:p w14:paraId="6A75F0D8" w14:textId="52322644" w:rsidR="007E5F3B" w:rsidRPr="00C45A40" w:rsidRDefault="006C4927" w:rsidP="007E5F3B">
            <w:pPr>
              <w:pStyle w:val="Normal6"/>
              <w:rPr>
                <w:szCs w:val="24"/>
              </w:rPr>
            </w:pPr>
            <w:r>
              <w:rPr>
                <w:b/>
                <w:i/>
              </w:rPr>
              <w:t>(14b</w:t>
            </w:r>
            <w:r w:rsidR="007E5F3B" w:rsidRPr="00C45A40">
              <w:rPr>
                <w:b/>
                <w:i/>
              </w:rPr>
              <w:t>)</w:t>
            </w:r>
            <w:r w:rsidR="007E5F3B" w:rsidRPr="00C45A40">
              <w:rPr>
                <w:b/>
                <w:i/>
              </w:rPr>
              <w:tab/>
              <w:t>člen 105 se nadomesti z naslednjim:</w:t>
            </w:r>
          </w:p>
        </w:tc>
      </w:tr>
      <w:tr w:rsidR="007E5F3B" w:rsidRPr="00C45A40" w14:paraId="43228567" w14:textId="77777777" w:rsidTr="007E5F3B">
        <w:trPr>
          <w:jc w:val="center"/>
        </w:trPr>
        <w:tc>
          <w:tcPr>
            <w:tcW w:w="4876" w:type="dxa"/>
          </w:tcPr>
          <w:p w14:paraId="6D9EC254" w14:textId="77777777" w:rsidR="007E5F3B" w:rsidRPr="00C45A40" w:rsidRDefault="007E5F3B" w:rsidP="007E5F3B">
            <w:pPr>
              <w:pStyle w:val="Normal6"/>
              <w:jc w:val="center"/>
            </w:pPr>
            <w:r w:rsidRPr="00C45A40">
              <w:t>Člen 105</w:t>
            </w:r>
          </w:p>
        </w:tc>
        <w:tc>
          <w:tcPr>
            <w:tcW w:w="4876" w:type="dxa"/>
          </w:tcPr>
          <w:p w14:paraId="7E9206F9" w14:textId="77777777" w:rsidR="007E5F3B" w:rsidRPr="00C45A40" w:rsidRDefault="007E5F3B" w:rsidP="007E5F3B">
            <w:pPr>
              <w:pStyle w:val="Normal6"/>
              <w:rPr>
                <w:szCs w:val="24"/>
              </w:rPr>
            </w:pPr>
            <w:r w:rsidRPr="00C45A40">
              <w:t>„Člen 105</w:t>
            </w:r>
          </w:p>
        </w:tc>
      </w:tr>
      <w:tr w:rsidR="007E5F3B" w:rsidRPr="00C45A40" w14:paraId="0133590B" w14:textId="77777777" w:rsidTr="007E5F3B">
        <w:trPr>
          <w:jc w:val="center"/>
        </w:trPr>
        <w:tc>
          <w:tcPr>
            <w:tcW w:w="4876" w:type="dxa"/>
          </w:tcPr>
          <w:p w14:paraId="1E649F81" w14:textId="77777777" w:rsidR="007E5F3B" w:rsidRPr="00C45A40" w:rsidRDefault="007E5F3B" w:rsidP="007E5F3B">
            <w:pPr>
              <w:pStyle w:val="Normal6"/>
            </w:pPr>
            <w:r w:rsidRPr="00C45A40">
              <w:t>Spremembe specifikacije proizvoda</w:t>
            </w:r>
          </w:p>
        </w:tc>
        <w:tc>
          <w:tcPr>
            <w:tcW w:w="4876" w:type="dxa"/>
          </w:tcPr>
          <w:p w14:paraId="1547DE99" w14:textId="77777777" w:rsidR="007E5F3B" w:rsidRPr="00C45A40" w:rsidRDefault="007E5F3B" w:rsidP="007E5F3B">
            <w:pPr>
              <w:pStyle w:val="Normal6"/>
              <w:rPr>
                <w:szCs w:val="24"/>
              </w:rPr>
            </w:pPr>
            <w:r w:rsidRPr="00C45A40">
              <w:t>Spremembe specifikacije proizvoda</w:t>
            </w:r>
          </w:p>
        </w:tc>
      </w:tr>
      <w:tr w:rsidR="007E5F3B" w:rsidRPr="00C45A40" w14:paraId="4899930F" w14:textId="77777777" w:rsidTr="007E5F3B">
        <w:trPr>
          <w:jc w:val="center"/>
        </w:trPr>
        <w:tc>
          <w:tcPr>
            <w:tcW w:w="4876" w:type="dxa"/>
          </w:tcPr>
          <w:p w14:paraId="29EBBD16" w14:textId="77777777" w:rsidR="007E5F3B" w:rsidRPr="00C45A40" w:rsidRDefault="007E5F3B" w:rsidP="007E5F3B">
            <w:pPr>
              <w:pStyle w:val="Normal6"/>
            </w:pPr>
            <w:r w:rsidRPr="00C45A40">
              <w:t>Vlagatelj, ki izpolnjuje pogoje, določene v členu 95, lahko vloži vlogo za odobritev spremembe specifikacije proizvoda za zaščiteno označbo porekla ali zaščiteno geografsko označbo, zlasti zaradi upoštevanja razvoja znanstvenih in tehničnih dognanj ali zaradi nove razmejitve geografskega območja iz točke (d) drugega pododstavka člena 94(2). Vloge vsebujejo opis in utemeljitev zahtevanih sprememb.</w:t>
            </w:r>
          </w:p>
        </w:tc>
        <w:tc>
          <w:tcPr>
            <w:tcW w:w="4876" w:type="dxa"/>
          </w:tcPr>
          <w:p w14:paraId="53C1B069" w14:textId="77777777" w:rsidR="007E5F3B" w:rsidRPr="00C45A40" w:rsidRDefault="007E5F3B" w:rsidP="007E5F3B">
            <w:pPr>
              <w:pStyle w:val="Normal6"/>
              <w:rPr>
                <w:szCs w:val="24"/>
              </w:rPr>
            </w:pPr>
            <w:r w:rsidRPr="00C45A40">
              <w:rPr>
                <w:b/>
                <w:i/>
              </w:rPr>
              <w:t>1.</w:t>
            </w:r>
            <w:r w:rsidRPr="00C45A40">
              <w:rPr>
                <w:b/>
                <w:i/>
              </w:rPr>
              <w:tab/>
            </w:r>
            <w:r w:rsidRPr="00C45A40">
              <w:t>Vlagatelj, ki izpolnjuje pogoje, določene v členu 95, lahko vloži vlogo za odobritev spremembe specifikacije proizvoda za zaščiteno označbo porekla ali zaščiteno geografsko označbo, zlasti zaradi upoštevanja razvoja znanstvenih in tehničnih dognanj ali zaradi nove razmejitve geografskega območja iz točke (d) drugega pododstavka člena 94(2). Vloge vsebujejo opis in utemeljitev zahtevanih sprememb.</w:t>
            </w:r>
          </w:p>
        </w:tc>
      </w:tr>
      <w:tr w:rsidR="007E5F3B" w:rsidRPr="00C45A40" w14:paraId="38EF2FF6" w14:textId="77777777" w:rsidTr="007E5F3B">
        <w:trPr>
          <w:jc w:val="center"/>
        </w:trPr>
        <w:tc>
          <w:tcPr>
            <w:tcW w:w="4876" w:type="dxa"/>
          </w:tcPr>
          <w:p w14:paraId="46AB7F9D" w14:textId="77777777" w:rsidR="007E5F3B" w:rsidRPr="00C45A40" w:rsidRDefault="007E5F3B" w:rsidP="007E5F3B">
            <w:pPr>
              <w:pStyle w:val="Normal6"/>
            </w:pPr>
          </w:p>
        </w:tc>
        <w:tc>
          <w:tcPr>
            <w:tcW w:w="4876" w:type="dxa"/>
          </w:tcPr>
          <w:p w14:paraId="3C4B89B8" w14:textId="77777777" w:rsidR="007E5F3B" w:rsidRPr="00C45A40" w:rsidRDefault="007E5F3B" w:rsidP="007E5F3B">
            <w:pPr>
              <w:pStyle w:val="Normal6"/>
              <w:rPr>
                <w:szCs w:val="24"/>
              </w:rPr>
            </w:pPr>
            <w:r w:rsidRPr="00C45A40">
              <w:rPr>
                <w:b/>
                <w:i/>
              </w:rPr>
              <w:t>1a.</w:t>
            </w:r>
            <w:r w:rsidRPr="00C45A40">
              <w:rPr>
                <w:b/>
                <w:i/>
              </w:rPr>
              <w:tab/>
              <w:t>Spremembe specifikacije proizvoda so razvrščene v dve kategoriji glede na njihov pomen: spremembe, ki zahtevajo postopek ugovora na ravni Unije (‚spremembe na ravni Unije‘), in spremembe, ki se obravnavajo na ravni države članice ali tretje države (‚standardne spremembe‘).</w:t>
            </w:r>
          </w:p>
        </w:tc>
      </w:tr>
      <w:tr w:rsidR="007E5F3B" w:rsidRPr="00C45A40" w14:paraId="2D0BB75B" w14:textId="77777777" w:rsidTr="007E5F3B">
        <w:trPr>
          <w:jc w:val="center"/>
        </w:trPr>
        <w:tc>
          <w:tcPr>
            <w:tcW w:w="4876" w:type="dxa"/>
          </w:tcPr>
          <w:p w14:paraId="4B0FBB38" w14:textId="77777777" w:rsidR="007E5F3B" w:rsidRPr="00C45A40" w:rsidRDefault="007E5F3B" w:rsidP="007E5F3B">
            <w:pPr>
              <w:pStyle w:val="Normal6"/>
            </w:pPr>
          </w:p>
        </w:tc>
        <w:tc>
          <w:tcPr>
            <w:tcW w:w="4876" w:type="dxa"/>
          </w:tcPr>
          <w:p w14:paraId="358E3ECB" w14:textId="77777777" w:rsidR="007E5F3B" w:rsidRPr="00C45A40" w:rsidRDefault="007E5F3B" w:rsidP="007E5F3B">
            <w:pPr>
              <w:pStyle w:val="Normal6"/>
              <w:rPr>
                <w:szCs w:val="24"/>
              </w:rPr>
            </w:pPr>
            <w:r w:rsidRPr="00C45A40">
              <w:rPr>
                <w:b/>
                <w:i/>
              </w:rPr>
              <w:t>Sprememba se šteje za spremembo Unije, če:</w:t>
            </w:r>
          </w:p>
        </w:tc>
      </w:tr>
      <w:tr w:rsidR="007E5F3B" w:rsidRPr="00C45A40" w14:paraId="489ACEC8" w14:textId="77777777" w:rsidTr="007E5F3B">
        <w:trPr>
          <w:jc w:val="center"/>
        </w:trPr>
        <w:tc>
          <w:tcPr>
            <w:tcW w:w="4876" w:type="dxa"/>
          </w:tcPr>
          <w:p w14:paraId="3585EE15" w14:textId="77777777" w:rsidR="007E5F3B" w:rsidRPr="00C45A40" w:rsidRDefault="007E5F3B" w:rsidP="007E5F3B">
            <w:pPr>
              <w:pStyle w:val="Normal6"/>
            </w:pPr>
          </w:p>
        </w:tc>
        <w:tc>
          <w:tcPr>
            <w:tcW w:w="4876" w:type="dxa"/>
          </w:tcPr>
          <w:p w14:paraId="6E0B752A" w14:textId="77777777" w:rsidR="007E5F3B" w:rsidRPr="00C45A40" w:rsidRDefault="007E5F3B" w:rsidP="007E5F3B">
            <w:pPr>
              <w:pStyle w:val="Normal6"/>
              <w:rPr>
                <w:szCs w:val="24"/>
              </w:rPr>
            </w:pPr>
            <w:r w:rsidRPr="00C45A40">
              <w:rPr>
                <w:b/>
                <w:i/>
              </w:rPr>
              <w:t>(a)</w:t>
            </w:r>
            <w:r w:rsidRPr="00C45A40">
              <w:rPr>
                <w:b/>
                <w:i/>
              </w:rPr>
              <w:tab/>
              <w:t>vključuje spremembo imena zaščitene označbe porekla ali zaščitene geografske označbe;</w:t>
            </w:r>
          </w:p>
        </w:tc>
      </w:tr>
      <w:tr w:rsidR="007E5F3B" w:rsidRPr="00C45A40" w14:paraId="00FBF420" w14:textId="77777777" w:rsidTr="007E5F3B">
        <w:trPr>
          <w:jc w:val="center"/>
        </w:trPr>
        <w:tc>
          <w:tcPr>
            <w:tcW w:w="4876" w:type="dxa"/>
          </w:tcPr>
          <w:p w14:paraId="75FBB8AD" w14:textId="77777777" w:rsidR="007E5F3B" w:rsidRPr="00C45A40" w:rsidRDefault="007E5F3B" w:rsidP="007E5F3B">
            <w:pPr>
              <w:pStyle w:val="Normal6"/>
            </w:pPr>
          </w:p>
        </w:tc>
        <w:tc>
          <w:tcPr>
            <w:tcW w:w="4876" w:type="dxa"/>
          </w:tcPr>
          <w:p w14:paraId="54E8C5E0" w14:textId="77777777" w:rsidR="007E5F3B" w:rsidRPr="00C45A40" w:rsidRDefault="007E5F3B" w:rsidP="007E5F3B">
            <w:pPr>
              <w:pStyle w:val="Normal6"/>
              <w:rPr>
                <w:szCs w:val="24"/>
              </w:rPr>
            </w:pPr>
            <w:r w:rsidRPr="00C45A40">
              <w:rPr>
                <w:b/>
                <w:i/>
              </w:rPr>
              <w:t>(b)</w:t>
            </w:r>
            <w:r w:rsidRPr="00C45A40">
              <w:rPr>
                <w:b/>
                <w:i/>
              </w:rPr>
              <w:tab/>
              <w:t>vsebuje spremembo, izbris ali dodajanje kategorije proizvoda vinske trte, kot so navedene v delu II Priloge VII;</w:t>
            </w:r>
          </w:p>
        </w:tc>
      </w:tr>
      <w:tr w:rsidR="007E5F3B" w:rsidRPr="00C45A40" w14:paraId="4947563D" w14:textId="77777777" w:rsidTr="007E5F3B">
        <w:trPr>
          <w:jc w:val="center"/>
        </w:trPr>
        <w:tc>
          <w:tcPr>
            <w:tcW w:w="4876" w:type="dxa"/>
          </w:tcPr>
          <w:p w14:paraId="5CD1299E" w14:textId="77777777" w:rsidR="007E5F3B" w:rsidRPr="00C45A40" w:rsidRDefault="007E5F3B" w:rsidP="007E5F3B">
            <w:pPr>
              <w:pStyle w:val="Normal6"/>
            </w:pPr>
          </w:p>
        </w:tc>
        <w:tc>
          <w:tcPr>
            <w:tcW w:w="4876" w:type="dxa"/>
          </w:tcPr>
          <w:p w14:paraId="5F3682DE" w14:textId="77777777" w:rsidR="007E5F3B" w:rsidRPr="00C45A40" w:rsidRDefault="007E5F3B" w:rsidP="007E5F3B">
            <w:pPr>
              <w:pStyle w:val="Normal6"/>
              <w:rPr>
                <w:szCs w:val="24"/>
              </w:rPr>
            </w:pPr>
            <w:r w:rsidRPr="00C45A40">
              <w:rPr>
                <w:b/>
                <w:i/>
              </w:rPr>
              <w:t>(c)</w:t>
            </w:r>
            <w:r w:rsidRPr="00C45A40">
              <w:rPr>
                <w:b/>
                <w:i/>
              </w:rPr>
              <w:tab/>
              <w:t>bi lahko izničila povezavo iz točke (a)(i) ali (b)(i) člena 93(1);</w:t>
            </w:r>
          </w:p>
        </w:tc>
      </w:tr>
      <w:tr w:rsidR="007E5F3B" w:rsidRPr="00C45A40" w14:paraId="69C937F5" w14:textId="77777777" w:rsidTr="007E5F3B">
        <w:trPr>
          <w:jc w:val="center"/>
        </w:trPr>
        <w:tc>
          <w:tcPr>
            <w:tcW w:w="4876" w:type="dxa"/>
          </w:tcPr>
          <w:p w14:paraId="50C448F6" w14:textId="77777777" w:rsidR="007E5F3B" w:rsidRPr="00C45A40" w:rsidRDefault="007E5F3B" w:rsidP="007E5F3B">
            <w:pPr>
              <w:pStyle w:val="Normal6"/>
            </w:pPr>
          </w:p>
        </w:tc>
        <w:tc>
          <w:tcPr>
            <w:tcW w:w="4876" w:type="dxa"/>
          </w:tcPr>
          <w:p w14:paraId="152FE74D" w14:textId="77777777" w:rsidR="007E5F3B" w:rsidRPr="00C45A40" w:rsidRDefault="007E5F3B" w:rsidP="007E5F3B">
            <w:pPr>
              <w:pStyle w:val="Normal6"/>
              <w:rPr>
                <w:szCs w:val="24"/>
              </w:rPr>
            </w:pPr>
            <w:r w:rsidRPr="00C45A40">
              <w:rPr>
                <w:b/>
                <w:i/>
              </w:rPr>
              <w:t>(d)</w:t>
            </w:r>
            <w:r w:rsidRPr="00C45A40">
              <w:rPr>
                <w:b/>
                <w:i/>
              </w:rPr>
              <w:tab/>
              <w:t>vključuje dodatne omejitve glede trženja proizvoda.</w:t>
            </w:r>
          </w:p>
        </w:tc>
      </w:tr>
      <w:tr w:rsidR="007E5F3B" w:rsidRPr="00C45A40" w14:paraId="7432B7D1" w14:textId="77777777" w:rsidTr="007E5F3B">
        <w:trPr>
          <w:jc w:val="center"/>
        </w:trPr>
        <w:tc>
          <w:tcPr>
            <w:tcW w:w="4876" w:type="dxa"/>
          </w:tcPr>
          <w:p w14:paraId="67749AAD" w14:textId="77777777" w:rsidR="007E5F3B" w:rsidRPr="00C45A40" w:rsidRDefault="007E5F3B" w:rsidP="007E5F3B">
            <w:pPr>
              <w:pStyle w:val="Normal6"/>
            </w:pPr>
          </w:p>
        </w:tc>
        <w:tc>
          <w:tcPr>
            <w:tcW w:w="4876" w:type="dxa"/>
          </w:tcPr>
          <w:p w14:paraId="7F5ED588" w14:textId="77777777" w:rsidR="007E5F3B" w:rsidRPr="00C45A40" w:rsidRDefault="007E5F3B" w:rsidP="007E5F3B">
            <w:pPr>
              <w:pStyle w:val="Normal6"/>
              <w:rPr>
                <w:szCs w:val="24"/>
              </w:rPr>
            </w:pPr>
            <w:r w:rsidRPr="00C45A40">
              <w:rPr>
                <w:b/>
                <w:i/>
              </w:rPr>
              <w:t>Vloge za spremembo na ravni Unije, ki jih vložijo tretje države ali proizvajalci iz tretje države, vsebujejo dokaz, da je zahtevana sprememba skladna z zakoni o zaščiti označb porekla ali geografskih označb, ki veljajo v zadevnih tretjih državah.</w:t>
            </w:r>
          </w:p>
        </w:tc>
      </w:tr>
      <w:tr w:rsidR="007E5F3B" w:rsidRPr="00C45A40" w14:paraId="0D251537" w14:textId="77777777" w:rsidTr="007E5F3B">
        <w:trPr>
          <w:jc w:val="center"/>
        </w:trPr>
        <w:tc>
          <w:tcPr>
            <w:tcW w:w="4876" w:type="dxa"/>
          </w:tcPr>
          <w:p w14:paraId="58C2BF0A" w14:textId="77777777" w:rsidR="007E5F3B" w:rsidRPr="00C45A40" w:rsidRDefault="007E5F3B" w:rsidP="007E5F3B">
            <w:pPr>
              <w:pStyle w:val="Normal6"/>
            </w:pPr>
          </w:p>
        </w:tc>
        <w:tc>
          <w:tcPr>
            <w:tcW w:w="4876" w:type="dxa"/>
          </w:tcPr>
          <w:p w14:paraId="4227D50C" w14:textId="77777777" w:rsidR="007E5F3B" w:rsidRPr="00C45A40" w:rsidRDefault="007E5F3B" w:rsidP="007E5F3B">
            <w:pPr>
              <w:pStyle w:val="Normal6"/>
              <w:rPr>
                <w:szCs w:val="24"/>
              </w:rPr>
            </w:pPr>
            <w:r w:rsidRPr="00C45A40">
              <w:rPr>
                <w:b/>
                <w:i/>
              </w:rPr>
              <w:t>Vse druge spremembe se štejejo za standardne spremembe.</w:t>
            </w:r>
          </w:p>
        </w:tc>
      </w:tr>
      <w:tr w:rsidR="007E5F3B" w:rsidRPr="00C45A40" w14:paraId="414DCD84" w14:textId="77777777" w:rsidTr="007E5F3B">
        <w:trPr>
          <w:jc w:val="center"/>
        </w:trPr>
        <w:tc>
          <w:tcPr>
            <w:tcW w:w="4876" w:type="dxa"/>
          </w:tcPr>
          <w:p w14:paraId="62AB8903" w14:textId="77777777" w:rsidR="007E5F3B" w:rsidRPr="00C45A40" w:rsidRDefault="007E5F3B" w:rsidP="007E5F3B">
            <w:pPr>
              <w:pStyle w:val="Normal6"/>
            </w:pPr>
          </w:p>
        </w:tc>
        <w:tc>
          <w:tcPr>
            <w:tcW w:w="4876" w:type="dxa"/>
          </w:tcPr>
          <w:p w14:paraId="69B43478" w14:textId="77777777" w:rsidR="007E5F3B" w:rsidRPr="00C45A40" w:rsidRDefault="007E5F3B" w:rsidP="007E5F3B">
            <w:pPr>
              <w:pStyle w:val="Normal6"/>
              <w:rPr>
                <w:szCs w:val="24"/>
              </w:rPr>
            </w:pPr>
            <w:r w:rsidRPr="00C45A40">
              <w:rPr>
                <w:b/>
                <w:i/>
              </w:rPr>
              <w:t>1b.</w:t>
            </w:r>
            <w:r w:rsidRPr="00C45A40">
              <w:rPr>
                <w:b/>
                <w:i/>
              </w:rPr>
              <w:tab/>
              <w:t>Začasna sprememba je standardna sprememba, ki se nanaša na začasno spremembo specifikacije proizvoda zaradi obveznih sanitarnih in fitosanitarnih ukrepov, ki jih naložijo javni organi, ali je povezana z naravnimi nesrečami ali neugodnimi vremenskimi razmerami, ki jih uradno potrdijo pristojni organi.</w:t>
            </w:r>
          </w:p>
        </w:tc>
      </w:tr>
      <w:tr w:rsidR="007E5F3B" w:rsidRPr="00C45A40" w14:paraId="53F1891C" w14:textId="77777777" w:rsidTr="007E5F3B">
        <w:trPr>
          <w:jc w:val="center"/>
        </w:trPr>
        <w:tc>
          <w:tcPr>
            <w:tcW w:w="4876" w:type="dxa"/>
          </w:tcPr>
          <w:p w14:paraId="60D20656" w14:textId="77777777" w:rsidR="007E5F3B" w:rsidRPr="00C45A40" w:rsidRDefault="007E5F3B" w:rsidP="007E5F3B">
            <w:pPr>
              <w:pStyle w:val="Normal6"/>
            </w:pPr>
          </w:p>
        </w:tc>
        <w:tc>
          <w:tcPr>
            <w:tcW w:w="4876" w:type="dxa"/>
          </w:tcPr>
          <w:p w14:paraId="7449F2B9" w14:textId="77777777" w:rsidR="007E5F3B" w:rsidRPr="00C45A40" w:rsidRDefault="007E5F3B" w:rsidP="007E5F3B">
            <w:pPr>
              <w:pStyle w:val="Normal6"/>
              <w:rPr>
                <w:szCs w:val="24"/>
              </w:rPr>
            </w:pPr>
            <w:r w:rsidRPr="00C45A40">
              <w:rPr>
                <w:b/>
                <w:i/>
              </w:rPr>
              <w:t>1c.</w:t>
            </w:r>
            <w:r w:rsidRPr="00C45A40">
              <w:rPr>
                <w:b/>
                <w:i/>
              </w:rPr>
              <w:tab/>
              <w:t>V primeru spremembe pogojev pridelave vinske trte, namenjene za proizvodnjo izdelkov z zaščiteno označbo porekla, ima obstoječa vinska trta še naprej koristi od pravice do pridelave izdelkov z zaščiteno označbo porekla v obdobju, ki je določeno v specifikaciji proizvoda, in najdlje do takrat, ko se izkrči.“</w:t>
            </w:r>
          </w:p>
        </w:tc>
      </w:tr>
    </w:tbl>
    <w:p w14:paraId="28FC3CF2" w14:textId="78453ABD" w:rsidR="006F5BFE" w:rsidRPr="003B2277" w:rsidRDefault="003B2277" w:rsidP="006F5BFE">
      <w:pPr>
        <w:pStyle w:val="AMNumberTabs"/>
        <w:keepNext/>
      </w:pPr>
      <w:r>
        <w:t>Sprememba</w:t>
      </w:r>
      <w:r w:rsidR="006F5BFE" w:rsidRPr="003B2277">
        <w:tab/>
      </w:r>
      <w:r w:rsidR="006F5BFE" w:rsidRPr="003B2277">
        <w:tab/>
        <w:t>91</w:t>
      </w:r>
    </w:p>
    <w:p w14:paraId="6FBAE9AD" w14:textId="77777777" w:rsidR="006F5BFE" w:rsidRPr="003B2277" w:rsidRDefault="006F5BFE" w:rsidP="006F5BFE"/>
    <w:p w14:paraId="70A382E9" w14:textId="77777777" w:rsidR="006F5BFE" w:rsidRPr="003B2277" w:rsidRDefault="006F5BFE" w:rsidP="006F5BFE">
      <w:pPr>
        <w:pStyle w:val="NormalBold"/>
        <w:keepNext/>
      </w:pPr>
      <w:r w:rsidRPr="003B2277">
        <w:t>Predlog uredbe</w:t>
      </w:r>
    </w:p>
    <w:p w14:paraId="4BE22898" w14:textId="77777777" w:rsidR="006F5BFE" w:rsidRPr="003B2277" w:rsidRDefault="006F5BFE" w:rsidP="006F5BFE">
      <w:pPr>
        <w:pStyle w:val="NormalBold"/>
      </w:pPr>
      <w:r w:rsidRPr="003B2277">
        <w:t>Člen 1 – odstavek 1 – točka 14 c (novo)</w:t>
      </w:r>
    </w:p>
    <w:p w14:paraId="3E3C241D" w14:textId="77777777" w:rsidR="006F5BFE" w:rsidRPr="003B2277" w:rsidRDefault="006F5BFE" w:rsidP="006F5BFE">
      <w:pPr>
        <w:keepNext/>
      </w:pPr>
      <w:r w:rsidRPr="003B2277">
        <w:t>Uredba (EU) št. 1308/2013</w:t>
      </w:r>
    </w:p>
    <w:p w14:paraId="24423EA9" w14:textId="77777777" w:rsidR="006F5BFE" w:rsidRPr="003B2277" w:rsidRDefault="006F5BFE" w:rsidP="006F5BFE">
      <w:r w:rsidRPr="003B2277">
        <w:t>Člen 105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F1E1383" w14:textId="77777777" w:rsidTr="005B4D60">
        <w:trPr>
          <w:jc w:val="center"/>
        </w:trPr>
        <w:tc>
          <w:tcPr>
            <w:tcW w:w="9752" w:type="dxa"/>
            <w:gridSpan w:val="2"/>
          </w:tcPr>
          <w:p w14:paraId="1C6A8FDF" w14:textId="77777777" w:rsidR="006F5BFE" w:rsidRPr="003B2277" w:rsidRDefault="006F5BFE" w:rsidP="005B4D60">
            <w:pPr>
              <w:keepNext/>
            </w:pPr>
          </w:p>
        </w:tc>
      </w:tr>
      <w:tr w:rsidR="006F5BFE" w:rsidRPr="003B2277" w14:paraId="2E80B085" w14:textId="77777777" w:rsidTr="005B4D60">
        <w:trPr>
          <w:jc w:val="center"/>
        </w:trPr>
        <w:tc>
          <w:tcPr>
            <w:tcW w:w="4876" w:type="dxa"/>
            <w:hideMark/>
          </w:tcPr>
          <w:p w14:paraId="7FDF5696" w14:textId="77777777" w:rsidR="006F5BFE" w:rsidRPr="003B2277" w:rsidRDefault="006F5BFE" w:rsidP="005B4D60">
            <w:pPr>
              <w:pStyle w:val="ColumnHeading"/>
              <w:keepNext/>
            </w:pPr>
            <w:r w:rsidRPr="003B2277">
              <w:t>Besedilo, ki ga predlaga Komisija</w:t>
            </w:r>
          </w:p>
        </w:tc>
        <w:tc>
          <w:tcPr>
            <w:tcW w:w="4876" w:type="dxa"/>
            <w:hideMark/>
          </w:tcPr>
          <w:p w14:paraId="3609BC11" w14:textId="6C413BC1" w:rsidR="006F5BFE" w:rsidRPr="003B2277" w:rsidRDefault="003B2277" w:rsidP="005B4D60">
            <w:pPr>
              <w:pStyle w:val="ColumnHeading"/>
              <w:keepNext/>
            </w:pPr>
            <w:r>
              <w:t>Sprememba</w:t>
            </w:r>
          </w:p>
        </w:tc>
      </w:tr>
      <w:tr w:rsidR="006F5BFE" w:rsidRPr="003B2277" w14:paraId="7119919F" w14:textId="77777777" w:rsidTr="005B4D60">
        <w:trPr>
          <w:jc w:val="center"/>
        </w:trPr>
        <w:tc>
          <w:tcPr>
            <w:tcW w:w="4876" w:type="dxa"/>
          </w:tcPr>
          <w:p w14:paraId="1A0097B7" w14:textId="77777777" w:rsidR="006F5BFE" w:rsidRPr="003B2277" w:rsidRDefault="006F5BFE" w:rsidP="005B4D60">
            <w:pPr>
              <w:pStyle w:val="Normal6"/>
            </w:pPr>
          </w:p>
        </w:tc>
        <w:tc>
          <w:tcPr>
            <w:tcW w:w="4876" w:type="dxa"/>
            <w:hideMark/>
          </w:tcPr>
          <w:p w14:paraId="23C90034" w14:textId="77777777" w:rsidR="006F5BFE" w:rsidRPr="003B2277" w:rsidRDefault="006F5BFE" w:rsidP="005B4D60">
            <w:pPr>
              <w:pStyle w:val="Normal6"/>
              <w:rPr>
                <w:szCs w:val="24"/>
              </w:rPr>
            </w:pPr>
            <w:r w:rsidRPr="003B2277">
              <w:rPr>
                <w:b/>
                <w:i/>
              </w:rPr>
              <w:t>(14c)</w:t>
            </w:r>
            <w:r w:rsidRPr="003B2277">
              <w:rPr>
                <w:b/>
                <w:i/>
              </w:rPr>
              <w:tab/>
              <w:t>vstavi se naslednji člen:</w:t>
            </w:r>
          </w:p>
        </w:tc>
      </w:tr>
      <w:tr w:rsidR="006F5BFE" w:rsidRPr="003B2277" w14:paraId="557F877E" w14:textId="77777777" w:rsidTr="005B4D60">
        <w:trPr>
          <w:jc w:val="center"/>
        </w:trPr>
        <w:tc>
          <w:tcPr>
            <w:tcW w:w="4876" w:type="dxa"/>
          </w:tcPr>
          <w:p w14:paraId="7CF46C95" w14:textId="77777777" w:rsidR="006F5BFE" w:rsidRPr="003B2277" w:rsidRDefault="006F5BFE" w:rsidP="005B4D60">
            <w:pPr>
              <w:pStyle w:val="Normal6"/>
            </w:pPr>
          </w:p>
        </w:tc>
        <w:tc>
          <w:tcPr>
            <w:tcW w:w="4876" w:type="dxa"/>
            <w:hideMark/>
          </w:tcPr>
          <w:p w14:paraId="47F678A7" w14:textId="68F2EFB1" w:rsidR="006F5BFE" w:rsidRPr="003B2277" w:rsidRDefault="006C4927" w:rsidP="005B4D60">
            <w:pPr>
              <w:pStyle w:val="Normal6"/>
              <w:rPr>
                <w:szCs w:val="24"/>
              </w:rPr>
            </w:pPr>
            <w:r>
              <w:rPr>
                <w:b/>
                <w:i/>
              </w:rPr>
              <w:t>„</w:t>
            </w:r>
            <w:r w:rsidR="006F5BFE" w:rsidRPr="003B2277">
              <w:rPr>
                <w:b/>
                <w:i/>
              </w:rPr>
              <w:t>Člen 105a</w:t>
            </w:r>
          </w:p>
        </w:tc>
      </w:tr>
      <w:tr w:rsidR="006F5BFE" w:rsidRPr="003B2277" w14:paraId="1694CEB2" w14:textId="77777777" w:rsidTr="005B4D60">
        <w:trPr>
          <w:jc w:val="center"/>
        </w:trPr>
        <w:tc>
          <w:tcPr>
            <w:tcW w:w="4876" w:type="dxa"/>
          </w:tcPr>
          <w:p w14:paraId="187DCB09" w14:textId="77777777" w:rsidR="006F5BFE" w:rsidRPr="003B2277" w:rsidRDefault="006F5BFE" w:rsidP="005B4D60">
            <w:pPr>
              <w:pStyle w:val="Normal6"/>
            </w:pPr>
          </w:p>
        </w:tc>
        <w:tc>
          <w:tcPr>
            <w:tcW w:w="4876" w:type="dxa"/>
            <w:hideMark/>
          </w:tcPr>
          <w:p w14:paraId="2CE2DF14" w14:textId="77777777" w:rsidR="006F5BFE" w:rsidRPr="003B2277" w:rsidRDefault="006F5BFE" w:rsidP="005B4D60">
            <w:pPr>
              <w:pStyle w:val="Normal6"/>
              <w:rPr>
                <w:szCs w:val="24"/>
              </w:rPr>
            </w:pPr>
            <w:r w:rsidRPr="003B2277">
              <w:rPr>
                <w:b/>
                <w:i/>
              </w:rPr>
              <w:t>Spremembe na ravni Unije</w:t>
            </w:r>
          </w:p>
        </w:tc>
      </w:tr>
      <w:tr w:rsidR="006F5BFE" w:rsidRPr="003B2277" w14:paraId="72EF8BD4" w14:textId="77777777" w:rsidTr="005B4D60">
        <w:trPr>
          <w:jc w:val="center"/>
        </w:trPr>
        <w:tc>
          <w:tcPr>
            <w:tcW w:w="4876" w:type="dxa"/>
          </w:tcPr>
          <w:p w14:paraId="65CA40A1" w14:textId="77777777" w:rsidR="006F5BFE" w:rsidRPr="003B2277" w:rsidRDefault="006F5BFE" w:rsidP="005B4D60">
            <w:pPr>
              <w:pStyle w:val="Normal6"/>
            </w:pPr>
          </w:p>
        </w:tc>
        <w:tc>
          <w:tcPr>
            <w:tcW w:w="4876" w:type="dxa"/>
            <w:hideMark/>
          </w:tcPr>
          <w:p w14:paraId="1B1E42A6" w14:textId="77777777" w:rsidR="006F5BFE" w:rsidRPr="003B2277" w:rsidRDefault="006F5BFE" w:rsidP="005B4D60">
            <w:pPr>
              <w:pStyle w:val="Normal6"/>
              <w:rPr>
                <w:szCs w:val="24"/>
              </w:rPr>
            </w:pPr>
            <w:r w:rsidRPr="003B2277">
              <w:rPr>
                <w:b/>
                <w:i/>
              </w:rPr>
              <w:t>1.</w:t>
            </w:r>
            <w:r w:rsidRPr="003B2277">
              <w:rPr>
                <w:b/>
                <w:i/>
              </w:rPr>
              <w:tab/>
              <w:t>Pri vlogi za odobritev spremembe specifikacije proizvoda na ravni Unije se smiselno uporablja postopek iz člena 94 ter členov 96 do 99. Vloge za odobritev spremembe specifikacije proizvoda na ravni Unije se štejejo za dopustne, če so vložene v skladu s členom 105 ter če so popolne, razumljive in ustrezno izpolnjene. Ko Komisija odobri vlogo za odobritev spremembe specifikacije proizvoda na ravni Unije, to zajema samo spremembe, predložene v sami vlogi.</w:t>
            </w:r>
          </w:p>
        </w:tc>
      </w:tr>
      <w:tr w:rsidR="006F5BFE" w:rsidRPr="003B2277" w14:paraId="21B71B50" w14:textId="77777777" w:rsidTr="005B4D60">
        <w:trPr>
          <w:jc w:val="center"/>
        </w:trPr>
        <w:tc>
          <w:tcPr>
            <w:tcW w:w="4876" w:type="dxa"/>
          </w:tcPr>
          <w:p w14:paraId="6AD446B0" w14:textId="77777777" w:rsidR="006F5BFE" w:rsidRPr="003B2277" w:rsidRDefault="006F5BFE" w:rsidP="005B4D60">
            <w:pPr>
              <w:pStyle w:val="Normal6"/>
            </w:pPr>
          </w:p>
        </w:tc>
        <w:tc>
          <w:tcPr>
            <w:tcW w:w="4876" w:type="dxa"/>
            <w:hideMark/>
          </w:tcPr>
          <w:p w14:paraId="6CA8C5BF" w14:textId="77777777" w:rsidR="006F5BFE" w:rsidRPr="003B2277" w:rsidRDefault="006F5BFE" w:rsidP="005B4D60">
            <w:pPr>
              <w:pStyle w:val="Normal6"/>
              <w:rPr>
                <w:szCs w:val="24"/>
              </w:rPr>
            </w:pPr>
            <w:r w:rsidRPr="003B2277">
              <w:rPr>
                <w:b/>
                <w:i/>
              </w:rPr>
              <w:t>2.</w:t>
            </w:r>
            <w:r w:rsidRPr="003B2277">
              <w:rPr>
                <w:b/>
                <w:i/>
              </w:rPr>
              <w:tab/>
              <w:t>Če Komisija na podlagi preverjanja, izvedenega v skladu s členom 97(2), meni, da so izpolnjeni pogoji iz člena 97(3), objavi vlogo za spremembo na ravni Unije v Uradnem listu Evropske unije. Končni sklep o odobritvi spremembe se sprejme brez uporabe postopka pregleda iz člena 229(2), razen če je bil vložen dopusten ugovor ali je vloga za spremembo zavrnjena; v tem primeru se uporablja člen 99(2).</w:t>
            </w:r>
          </w:p>
        </w:tc>
      </w:tr>
      <w:tr w:rsidR="006F5BFE" w:rsidRPr="003B2277" w14:paraId="02C996DC" w14:textId="77777777" w:rsidTr="005B4D60">
        <w:trPr>
          <w:jc w:val="center"/>
        </w:trPr>
        <w:tc>
          <w:tcPr>
            <w:tcW w:w="4876" w:type="dxa"/>
          </w:tcPr>
          <w:p w14:paraId="089F8756" w14:textId="77777777" w:rsidR="006F5BFE" w:rsidRPr="003B2277" w:rsidRDefault="006F5BFE" w:rsidP="005B4D60">
            <w:pPr>
              <w:pStyle w:val="Normal6"/>
            </w:pPr>
          </w:p>
        </w:tc>
        <w:tc>
          <w:tcPr>
            <w:tcW w:w="4876" w:type="dxa"/>
            <w:hideMark/>
          </w:tcPr>
          <w:p w14:paraId="6B17955A" w14:textId="77777777" w:rsidR="006F5BFE" w:rsidRPr="003B2277" w:rsidRDefault="006F5BFE" w:rsidP="005B4D60">
            <w:pPr>
              <w:pStyle w:val="Normal6"/>
              <w:rPr>
                <w:szCs w:val="24"/>
              </w:rPr>
            </w:pPr>
            <w:r w:rsidRPr="003B2277">
              <w:rPr>
                <w:b/>
                <w:i/>
              </w:rPr>
              <w:t>3.</w:t>
            </w:r>
            <w:r w:rsidRPr="003B2277">
              <w:rPr>
                <w:b/>
                <w:i/>
              </w:rPr>
              <w:tab/>
              <w:t>Če se vloga šteje za nedopustno, se pristojne organe države članice ali tretje države ali vložnika s sedežem v tretji državi obvesti o razlogih za nedopustnost.</w:t>
            </w:r>
          </w:p>
        </w:tc>
      </w:tr>
      <w:tr w:rsidR="006F5BFE" w:rsidRPr="003B2277" w14:paraId="0C4C0EEC" w14:textId="77777777" w:rsidTr="005B4D60">
        <w:trPr>
          <w:jc w:val="center"/>
        </w:trPr>
        <w:tc>
          <w:tcPr>
            <w:tcW w:w="4876" w:type="dxa"/>
          </w:tcPr>
          <w:p w14:paraId="0AAD1E76" w14:textId="77777777" w:rsidR="006F5BFE" w:rsidRPr="003B2277" w:rsidRDefault="006F5BFE" w:rsidP="005B4D60">
            <w:pPr>
              <w:pStyle w:val="Normal6"/>
            </w:pPr>
          </w:p>
        </w:tc>
        <w:tc>
          <w:tcPr>
            <w:tcW w:w="4876" w:type="dxa"/>
            <w:hideMark/>
          </w:tcPr>
          <w:p w14:paraId="2E76529D" w14:textId="77777777" w:rsidR="006F5BFE" w:rsidRPr="003B2277" w:rsidRDefault="006F5BFE" w:rsidP="005B4D60">
            <w:pPr>
              <w:pStyle w:val="Normal6"/>
              <w:rPr>
                <w:szCs w:val="24"/>
              </w:rPr>
            </w:pPr>
            <w:r w:rsidRPr="003B2277">
              <w:rPr>
                <w:b/>
                <w:i/>
              </w:rPr>
              <w:t>4.</w:t>
            </w:r>
            <w:r w:rsidRPr="003B2277">
              <w:rPr>
                <w:b/>
                <w:i/>
              </w:rPr>
              <w:tab/>
              <w:t>Vloge za odobritev spremembe na ravni Unije vsebujejo izključno spremembe na ravni Unije. Če vloga za spremembo na ravni Unije vsebuje tudi standardne ali začasne spremembe, se postopek za spremembe na ravni Unije uporablja le za spremembe na ravni Unije. Za standardne ali začasne spremembe se šteje, da niso vložene.</w:t>
            </w:r>
          </w:p>
        </w:tc>
      </w:tr>
      <w:tr w:rsidR="006F5BFE" w:rsidRPr="003B2277" w14:paraId="5AF77997" w14:textId="77777777" w:rsidTr="005B4D60">
        <w:trPr>
          <w:jc w:val="center"/>
        </w:trPr>
        <w:tc>
          <w:tcPr>
            <w:tcW w:w="4876" w:type="dxa"/>
          </w:tcPr>
          <w:p w14:paraId="5CE5194F" w14:textId="77777777" w:rsidR="006F5BFE" w:rsidRPr="003B2277" w:rsidRDefault="006F5BFE" w:rsidP="005B4D60">
            <w:pPr>
              <w:pStyle w:val="Normal6"/>
            </w:pPr>
          </w:p>
        </w:tc>
        <w:tc>
          <w:tcPr>
            <w:tcW w:w="4876" w:type="dxa"/>
            <w:hideMark/>
          </w:tcPr>
          <w:p w14:paraId="5C08DC47" w14:textId="4AE25635" w:rsidR="006F5BFE" w:rsidRPr="003B2277" w:rsidRDefault="006F5BFE" w:rsidP="005B4D60">
            <w:pPr>
              <w:pStyle w:val="Normal6"/>
              <w:rPr>
                <w:szCs w:val="24"/>
              </w:rPr>
            </w:pPr>
            <w:r w:rsidRPr="003B2277">
              <w:rPr>
                <w:b/>
                <w:i/>
              </w:rPr>
              <w:t>5.</w:t>
            </w:r>
            <w:r w:rsidRPr="003B2277">
              <w:rPr>
                <w:b/>
                <w:i/>
              </w:rPr>
              <w:tab/>
              <w:t>Komisija se pri preverjanju vlog za spremembo osredotoči na predlagane spremembe.</w:t>
            </w:r>
            <w:r w:rsidR="006C4927">
              <w:rPr>
                <w:b/>
                <w:i/>
              </w:rPr>
              <w:t>“</w:t>
            </w:r>
          </w:p>
        </w:tc>
      </w:tr>
    </w:tbl>
    <w:p w14:paraId="630081FA" w14:textId="1D9E4045"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92</w:t>
      </w:r>
    </w:p>
    <w:p w14:paraId="258731C8" w14:textId="77777777" w:rsidR="006F5BFE" w:rsidRPr="003B2277" w:rsidRDefault="006F5BFE" w:rsidP="006F5BFE"/>
    <w:p w14:paraId="4E8D96F4" w14:textId="77777777" w:rsidR="006F5BFE" w:rsidRPr="003B2277" w:rsidRDefault="006F5BFE" w:rsidP="006F5BFE">
      <w:pPr>
        <w:keepNext/>
        <w:rPr>
          <w:b/>
          <w:lang w:eastAsia="en-US"/>
        </w:rPr>
      </w:pPr>
      <w:r w:rsidRPr="003B2277">
        <w:rPr>
          <w:rFonts w:eastAsia="Calibri" w:cs="Mangal"/>
          <w:b/>
          <w:lang w:eastAsia="en-US"/>
        </w:rPr>
        <w:t>Predlog uredbe</w:t>
      </w:r>
    </w:p>
    <w:p w14:paraId="28E4EB8E" w14:textId="77777777" w:rsidR="006F5BFE" w:rsidRPr="003B2277" w:rsidRDefault="006F5BFE" w:rsidP="006F5BFE">
      <w:pPr>
        <w:rPr>
          <w:b/>
          <w:lang w:eastAsia="en-US"/>
        </w:rPr>
      </w:pPr>
      <w:r w:rsidRPr="003B2277">
        <w:rPr>
          <w:rFonts w:eastAsia="Calibri" w:cs="Mangal"/>
          <w:b/>
          <w:lang w:eastAsia="en-US"/>
        </w:rPr>
        <w:t>Člen 1 – odstavek 1 – točka 14 d (novo)</w:t>
      </w:r>
    </w:p>
    <w:p w14:paraId="712D630D" w14:textId="77777777" w:rsidR="006F5BFE" w:rsidRPr="003B2277" w:rsidRDefault="006F5BFE" w:rsidP="006F5BFE">
      <w:pPr>
        <w:keepNext/>
        <w:rPr>
          <w:lang w:eastAsia="en-US"/>
        </w:rPr>
      </w:pPr>
      <w:r w:rsidRPr="003B2277">
        <w:rPr>
          <w:rFonts w:eastAsia="Calibri" w:cs="Mangal"/>
          <w:lang w:eastAsia="en-US"/>
        </w:rPr>
        <w:t>Uredba (EU) št. 1308/2013</w:t>
      </w:r>
    </w:p>
    <w:p w14:paraId="753DD9F6" w14:textId="77777777" w:rsidR="006F5BFE" w:rsidRPr="003B2277" w:rsidRDefault="006F5BFE" w:rsidP="006F5BFE">
      <w:pPr>
        <w:rPr>
          <w:lang w:eastAsia="en-US"/>
        </w:rPr>
      </w:pPr>
      <w:r w:rsidRPr="003B2277">
        <w:rPr>
          <w:rFonts w:eastAsia="Calibri" w:cs="Mangal"/>
          <w:lang w:eastAsia="en-US"/>
        </w:rPr>
        <w:t>Člen 105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167D611" w14:textId="77777777" w:rsidTr="005B4D60">
        <w:trPr>
          <w:jc w:val="center"/>
        </w:trPr>
        <w:tc>
          <w:tcPr>
            <w:tcW w:w="9752" w:type="dxa"/>
            <w:gridSpan w:val="2"/>
          </w:tcPr>
          <w:p w14:paraId="60DFB677" w14:textId="77777777" w:rsidR="006F5BFE" w:rsidRPr="003B2277" w:rsidRDefault="006F5BFE" w:rsidP="005B4D60">
            <w:pPr>
              <w:keepNext/>
            </w:pPr>
          </w:p>
        </w:tc>
      </w:tr>
      <w:tr w:rsidR="006F5BFE" w:rsidRPr="003B2277" w14:paraId="5F05F0C9" w14:textId="77777777" w:rsidTr="005B4D60">
        <w:trPr>
          <w:jc w:val="center"/>
        </w:trPr>
        <w:tc>
          <w:tcPr>
            <w:tcW w:w="4876" w:type="dxa"/>
            <w:hideMark/>
          </w:tcPr>
          <w:p w14:paraId="078BEDB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E2A7CE4" w14:textId="5B1452E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3EC4899" w14:textId="77777777" w:rsidTr="005B4D60">
        <w:trPr>
          <w:jc w:val="center"/>
        </w:trPr>
        <w:tc>
          <w:tcPr>
            <w:tcW w:w="4876" w:type="dxa"/>
          </w:tcPr>
          <w:p w14:paraId="01F328D3" w14:textId="77777777" w:rsidR="006F5BFE" w:rsidRPr="003B2277" w:rsidRDefault="006F5BFE" w:rsidP="005B4D60">
            <w:pPr>
              <w:spacing w:after="120"/>
            </w:pPr>
          </w:p>
        </w:tc>
        <w:tc>
          <w:tcPr>
            <w:tcW w:w="4876" w:type="dxa"/>
            <w:hideMark/>
          </w:tcPr>
          <w:p w14:paraId="6871E1B2" w14:textId="484C61EF" w:rsidR="006F5BFE" w:rsidRPr="003B2277" w:rsidRDefault="006F5BFE" w:rsidP="00EF7639">
            <w:pPr>
              <w:spacing w:after="120"/>
              <w:rPr>
                <w:szCs w:val="24"/>
                <w:lang w:eastAsia="en-US"/>
              </w:rPr>
            </w:pPr>
            <w:r w:rsidRPr="003B2277">
              <w:rPr>
                <w:rFonts w:eastAsia="Calibri" w:cs="Mangal"/>
                <w:b/>
                <w:i/>
                <w:lang w:eastAsia="en-US"/>
              </w:rPr>
              <w:t>(14d)</w:t>
            </w:r>
            <w:r w:rsidRPr="003B2277">
              <w:rPr>
                <w:rFonts w:eastAsia="Calibri" w:cs="Mangal"/>
                <w:b/>
                <w:i/>
                <w:lang w:eastAsia="en-US"/>
              </w:rPr>
              <w:tab/>
            </w:r>
            <w:r w:rsidR="00EF7639" w:rsidRPr="003B2277">
              <w:rPr>
                <w:rFonts w:eastAsia="Calibri" w:cs="Mangal"/>
                <w:b/>
                <w:i/>
                <w:lang w:eastAsia="en-US"/>
              </w:rPr>
              <w:t xml:space="preserve">vstavi </w:t>
            </w:r>
            <w:r w:rsidRPr="003B2277">
              <w:rPr>
                <w:rFonts w:eastAsia="Calibri" w:cs="Mangal"/>
                <w:b/>
                <w:i/>
                <w:lang w:eastAsia="en-US"/>
              </w:rPr>
              <w:t>se naslednji člen:</w:t>
            </w:r>
          </w:p>
        </w:tc>
      </w:tr>
      <w:tr w:rsidR="006F5BFE" w:rsidRPr="003B2277" w14:paraId="7C937F35" w14:textId="77777777" w:rsidTr="005B4D60">
        <w:trPr>
          <w:jc w:val="center"/>
        </w:trPr>
        <w:tc>
          <w:tcPr>
            <w:tcW w:w="4876" w:type="dxa"/>
          </w:tcPr>
          <w:p w14:paraId="4AAA0BBE" w14:textId="77777777" w:rsidR="006F5BFE" w:rsidRPr="003B2277" w:rsidRDefault="006F5BFE" w:rsidP="005B4D60">
            <w:pPr>
              <w:spacing w:after="120"/>
            </w:pPr>
          </w:p>
        </w:tc>
        <w:tc>
          <w:tcPr>
            <w:tcW w:w="4876" w:type="dxa"/>
            <w:hideMark/>
          </w:tcPr>
          <w:p w14:paraId="78916318" w14:textId="68120139" w:rsidR="006F5BFE" w:rsidRPr="003B2277" w:rsidRDefault="006C4927" w:rsidP="005B4D60">
            <w:pPr>
              <w:spacing w:after="120"/>
              <w:rPr>
                <w:szCs w:val="24"/>
                <w:lang w:eastAsia="en-US"/>
              </w:rPr>
            </w:pPr>
            <w:r>
              <w:rPr>
                <w:rFonts w:eastAsia="Calibri" w:cs="Mangal"/>
                <w:b/>
                <w:i/>
                <w:lang w:eastAsia="en-US"/>
              </w:rPr>
              <w:t>„</w:t>
            </w:r>
            <w:r w:rsidR="006F5BFE" w:rsidRPr="003B2277">
              <w:rPr>
                <w:rFonts w:eastAsia="Calibri" w:cs="Mangal"/>
                <w:b/>
                <w:i/>
                <w:lang w:eastAsia="en-US"/>
              </w:rPr>
              <w:t>Člen 105b</w:t>
            </w:r>
          </w:p>
        </w:tc>
      </w:tr>
      <w:tr w:rsidR="006F5BFE" w:rsidRPr="003B2277" w14:paraId="5D8C6DDD" w14:textId="77777777" w:rsidTr="005B4D60">
        <w:trPr>
          <w:jc w:val="center"/>
        </w:trPr>
        <w:tc>
          <w:tcPr>
            <w:tcW w:w="4876" w:type="dxa"/>
          </w:tcPr>
          <w:p w14:paraId="41841F3F" w14:textId="77777777" w:rsidR="006F5BFE" w:rsidRPr="003B2277" w:rsidRDefault="006F5BFE" w:rsidP="005B4D60">
            <w:pPr>
              <w:spacing w:after="120"/>
            </w:pPr>
          </w:p>
        </w:tc>
        <w:tc>
          <w:tcPr>
            <w:tcW w:w="4876" w:type="dxa"/>
            <w:hideMark/>
          </w:tcPr>
          <w:p w14:paraId="04AF8BA2" w14:textId="77777777" w:rsidR="006F5BFE" w:rsidRPr="003B2277" w:rsidRDefault="006F5BFE" w:rsidP="005B4D60">
            <w:pPr>
              <w:spacing w:after="120"/>
              <w:rPr>
                <w:szCs w:val="24"/>
                <w:lang w:eastAsia="en-US"/>
              </w:rPr>
            </w:pPr>
            <w:r w:rsidRPr="003B2277">
              <w:rPr>
                <w:rFonts w:eastAsia="Calibri" w:cs="Mangal"/>
                <w:b/>
                <w:i/>
                <w:lang w:eastAsia="en-US"/>
              </w:rPr>
              <w:t>Standardne spremembe</w:t>
            </w:r>
          </w:p>
        </w:tc>
      </w:tr>
      <w:tr w:rsidR="006F5BFE" w:rsidRPr="003B2277" w14:paraId="60554B37" w14:textId="77777777" w:rsidTr="005B4D60">
        <w:trPr>
          <w:jc w:val="center"/>
        </w:trPr>
        <w:tc>
          <w:tcPr>
            <w:tcW w:w="4876" w:type="dxa"/>
          </w:tcPr>
          <w:p w14:paraId="6F5F90F9" w14:textId="77777777" w:rsidR="006F5BFE" w:rsidRPr="003B2277" w:rsidRDefault="006F5BFE" w:rsidP="005B4D60">
            <w:pPr>
              <w:spacing w:after="120"/>
            </w:pPr>
          </w:p>
        </w:tc>
        <w:tc>
          <w:tcPr>
            <w:tcW w:w="4876" w:type="dxa"/>
            <w:hideMark/>
          </w:tcPr>
          <w:p w14:paraId="40498A8E"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Standardne spremembe odobrijo in objavijo države članice, v katerih leži geografsko območje označbe porekla ali geografske označbe.</w:t>
            </w:r>
          </w:p>
        </w:tc>
      </w:tr>
      <w:tr w:rsidR="006F5BFE" w:rsidRPr="003B2277" w14:paraId="5A5C49D1" w14:textId="77777777" w:rsidTr="005B4D60">
        <w:trPr>
          <w:jc w:val="center"/>
        </w:trPr>
        <w:tc>
          <w:tcPr>
            <w:tcW w:w="4876" w:type="dxa"/>
          </w:tcPr>
          <w:p w14:paraId="433370D2" w14:textId="77777777" w:rsidR="006F5BFE" w:rsidRPr="003B2277" w:rsidRDefault="006F5BFE" w:rsidP="005B4D60">
            <w:pPr>
              <w:spacing w:after="120"/>
            </w:pPr>
          </w:p>
        </w:tc>
        <w:tc>
          <w:tcPr>
            <w:tcW w:w="4876" w:type="dxa"/>
            <w:hideMark/>
          </w:tcPr>
          <w:p w14:paraId="277BFB16" w14:textId="77777777" w:rsidR="006F5BFE" w:rsidRPr="003B2277" w:rsidRDefault="006F5BFE" w:rsidP="005B4D60">
            <w:pPr>
              <w:spacing w:after="120"/>
              <w:rPr>
                <w:szCs w:val="24"/>
                <w:lang w:eastAsia="en-US"/>
              </w:rPr>
            </w:pPr>
            <w:r w:rsidRPr="003B2277">
              <w:rPr>
                <w:rFonts w:eastAsia="Calibri" w:cs="Mangal"/>
                <w:b/>
                <w:i/>
                <w:lang w:eastAsia="en-US"/>
              </w:rPr>
              <w:t>Vloge za odobritev standardne spremembe specifikacije proizvoda se predložijo organom države članice, v kateri leži geografsko območje označbe porekla ali geografske označbe. Vlagatelji izpolnjujejo pogoje iz člena 95. Če vloge za odobritev standardne spremembe specifikacije proizvoda ne vloži vlagatelj, ki je vložil vlogo za zaščito imena ali imen, na katere se nanaša specifikacija proizvoda, država članica takemu vlagatelju, če ta še obstaja, omogoči, da poda pripombe k vlogi.</w:t>
            </w:r>
          </w:p>
        </w:tc>
      </w:tr>
      <w:tr w:rsidR="006F5BFE" w:rsidRPr="003B2277" w14:paraId="3EFE3DF4" w14:textId="77777777" w:rsidTr="005B4D60">
        <w:trPr>
          <w:jc w:val="center"/>
        </w:trPr>
        <w:tc>
          <w:tcPr>
            <w:tcW w:w="4876" w:type="dxa"/>
          </w:tcPr>
          <w:p w14:paraId="2188B410" w14:textId="77777777" w:rsidR="006F5BFE" w:rsidRPr="003B2277" w:rsidRDefault="006F5BFE" w:rsidP="005B4D60">
            <w:pPr>
              <w:spacing w:after="120"/>
            </w:pPr>
          </w:p>
        </w:tc>
        <w:tc>
          <w:tcPr>
            <w:tcW w:w="4876" w:type="dxa"/>
            <w:hideMark/>
          </w:tcPr>
          <w:p w14:paraId="14709B30" w14:textId="77777777" w:rsidR="006F5BFE" w:rsidRPr="003B2277" w:rsidRDefault="006F5BFE" w:rsidP="005B4D60">
            <w:pPr>
              <w:spacing w:after="120"/>
              <w:rPr>
                <w:szCs w:val="24"/>
                <w:lang w:eastAsia="en-US"/>
              </w:rPr>
            </w:pPr>
            <w:r w:rsidRPr="003B2277">
              <w:rPr>
                <w:rFonts w:eastAsia="Calibri" w:cs="Mangal"/>
                <w:b/>
                <w:i/>
                <w:lang w:eastAsia="en-US"/>
              </w:rPr>
              <w:t>Vloga za standardno spremembo vključuje opis standardnih sprememb in povzetek razlogov, zaradi katerih se zahtevajo spremembe, ter dokazuje, da se predlagane spremembe štejejo za standardne v skladu s členom 105.</w:t>
            </w:r>
          </w:p>
        </w:tc>
      </w:tr>
      <w:tr w:rsidR="006F5BFE" w:rsidRPr="003B2277" w14:paraId="25830A58" w14:textId="77777777" w:rsidTr="005B4D60">
        <w:trPr>
          <w:jc w:val="center"/>
        </w:trPr>
        <w:tc>
          <w:tcPr>
            <w:tcW w:w="4876" w:type="dxa"/>
          </w:tcPr>
          <w:p w14:paraId="3A9B985A" w14:textId="77777777" w:rsidR="006F5BFE" w:rsidRPr="003B2277" w:rsidRDefault="006F5BFE" w:rsidP="005B4D60">
            <w:pPr>
              <w:spacing w:after="120"/>
            </w:pPr>
          </w:p>
        </w:tc>
        <w:tc>
          <w:tcPr>
            <w:tcW w:w="4876" w:type="dxa"/>
            <w:hideMark/>
          </w:tcPr>
          <w:p w14:paraId="7E307EF2"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Kadar država članica meni, da so zahteve izpolnjene, lahko standardno spremembo odobri in objavi. Odločitev o odobritvi vsebuje spremenjen prečiščen enotni dokument, kjer je ustrezno, in spremenjeno prečiščeno specifikacijo proizvoda.</w:t>
            </w:r>
          </w:p>
        </w:tc>
      </w:tr>
      <w:tr w:rsidR="006F5BFE" w:rsidRPr="003B2277" w14:paraId="16CFA294" w14:textId="77777777" w:rsidTr="005B4D60">
        <w:trPr>
          <w:jc w:val="center"/>
        </w:trPr>
        <w:tc>
          <w:tcPr>
            <w:tcW w:w="4876" w:type="dxa"/>
          </w:tcPr>
          <w:p w14:paraId="2F309255" w14:textId="77777777" w:rsidR="006F5BFE" w:rsidRPr="003B2277" w:rsidRDefault="006F5BFE" w:rsidP="005B4D60">
            <w:pPr>
              <w:spacing w:after="120"/>
            </w:pPr>
          </w:p>
        </w:tc>
        <w:tc>
          <w:tcPr>
            <w:tcW w:w="4876" w:type="dxa"/>
            <w:hideMark/>
          </w:tcPr>
          <w:p w14:paraId="756AA1D7" w14:textId="77777777" w:rsidR="006F5BFE" w:rsidRPr="003B2277" w:rsidRDefault="006F5BFE" w:rsidP="005B4D60">
            <w:pPr>
              <w:spacing w:after="120"/>
              <w:rPr>
                <w:szCs w:val="24"/>
                <w:lang w:eastAsia="en-US"/>
              </w:rPr>
            </w:pPr>
            <w:r w:rsidRPr="003B2277">
              <w:rPr>
                <w:rFonts w:eastAsia="Calibri" w:cs="Mangal"/>
                <w:b/>
                <w:i/>
                <w:lang w:eastAsia="en-US"/>
              </w:rPr>
              <w:t>Standardna sprememba se začne v državi članici uporabljati po objavi. Država članica Komisijo obvesti o standardnih spremembah najpozneje en mesec po datumu objave nacionalne odločitve o odobritvi.</w:t>
            </w:r>
          </w:p>
        </w:tc>
      </w:tr>
      <w:tr w:rsidR="006F5BFE" w:rsidRPr="003B2277" w14:paraId="67BE9557" w14:textId="77777777" w:rsidTr="005B4D60">
        <w:trPr>
          <w:jc w:val="center"/>
        </w:trPr>
        <w:tc>
          <w:tcPr>
            <w:tcW w:w="4876" w:type="dxa"/>
          </w:tcPr>
          <w:p w14:paraId="369CC9C7" w14:textId="77777777" w:rsidR="006F5BFE" w:rsidRPr="003B2277" w:rsidRDefault="006F5BFE" w:rsidP="005B4D60">
            <w:pPr>
              <w:spacing w:after="120"/>
            </w:pPr>
          </w:p>
        </w:tc>
        <w:tc>
          <w:tcPr>
            <w:tcW w:w="4876" w:type="dxa"/>
            <w:hideMark/>
          </w:tcPr>
          <w:p w14:paraId="37F5B21B"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Odločitve o odobritvi standardnih sprememb v zvezi s proizvodi vinske trte, ki izvirajo iz tretjih držav, se sprejmejo v skladu z veljavnim sistemom v zadevni tretji državi, posamezen proizvajalec ali skupina proizvajalcev, ki imajo zakoniti interes, pa jih sporoči Komisiji, bodisi neposredno bodisi prek organov zadevne tretje države, in sicer najpozneje en mesec po datumu njihove objave.</w:t>
            </w:r>
          </w:p>
        </w:tc>
      </w:tr>
      <w:tr w:rsidR="006F5BFE" w:rsidRPr="003B2277" w14:paraId="65998940" w14:textId="77777777" w:rsidTr="005B4D60">
        <w:trPr>
          <w:jc w:val="center"/>
        </w:trPr>
        <w:tc>
          <w:tcPr>
            <w:tcW w:w="4876" w:type="dxa"/>
          </w:tcPr>
          <w:p w14:paraId="15741B27" w14:textId="77777777" w:rsidR="006F5BFE" w:rsidRPr="003B2277" w:rsidRDefault="006F5BFE" w:rsidP="005B4D60">
            <w:pPr>
              <w:spacing w:after="120"/>
            </w:pPr>
          </w:p>
        </w:tc>
        <w:tc>
          <w:tcPr>
            <w:tcW w:w="4876" w:type="dxa"/>
            <w:hideMark/>
          </w:tcPr>
          <w:p w14:paraId="224253E7" w14:textId="77777777"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Če geografsko območje zajema več kot eno državo članico, zadevne države članice uporabijo postopek za standardne spremembe posebej za del območja, ki je na njihovem ozemlju. Standardna sprememba se uporablja po začetku uporabe zadnje nacionalne odločitve o odobritvi. Država članica, ki je zadnja odobrila standardno spremembo, Komisiji pošlje obvestilo najpozneje en mesec po datumu objave svoje odločitve o odobritvi standardne spremembe.</w:t>
            </w:r>
          </w:p>
        </w:tc>
      </w:tr>
      <w:tr w:rsidR="006F5BFE" w:rsidRPr="003B2277" w14:paraId="158CFB33" w14:textId="77777777" w:rsidTr="005B4D60">
        <w:trPr>
          <w:jc w:val="center"/>
        </w:trPr>
        <w:tc>
          <w:tcPr>
            <w:tcW w:w="4876" w:type="dxa"/>
          </w:tcPr>
          <w:p w14:paraId="4E334F44" w14:textId="77777777" w:rsidR="006F5BFE" w:rsidRPr="003B2277" w:rsidRDefault="006F5BFE" w:rsidP="005B4D60">
            <w:pPr>
              <w:spacing w:after="120"/>
            </w:pPr>
          </w:p>
        </w:tc>
        <w:tc>
          <w:tcPr>
            <w:tcW w:w="4876" w:type="dxa"/>
            <w:hideMark/>
          </w:tcPr>
          <w:p w14:paraId="2174B693" w14:textId="15C5DCF9" w:rsidR="006F5BFE" w:rsidRPr="003B2277" w:rsidRDefault="006F5BFE" w:rsidP="005B4D60">
            <w:pPr>
              <w:spacing w:after="120"/>
              <w:rPr>
                <w:szCs w:val="24"/>
                <w:lang w:eastAsia="en-US"/>
              </w:rPr>
            </w:pPr>
            <w:r w:rsidRPr="003B2277">
              <w:rPr>
                <w:rFonts w:eastAsia="Calibri" w:cs="Mangal"/>
                <w:b/>
                <w:i/>
                <w:lang w:eastAsia="en-US"/>
              </w:rPr>
              <w:t>Če ena ali več zadevnih držav članic ne sprejme nacionalne odločitve o odobritvi iz prvega pododstavka, lahko katera koli od zadevnih držav članic vloži vlogo po postopku za spremembo na ravni Unije. Tako pravilo se smiselno uporablja tudi, kadar je ena ali več zadevnih držav tretja država.</w:t>
            </w:r>
            <w:r w:rsidR="006C4927">
              <w:rPr>
                <w:rFonts w:eastAsia="Calibri" w:cs="Mangal"/>
                <w:b/>
                <w:i/>
                <w:lang w:eastAsia="en-US"/>
              </w:rPr>
              <w:t>“</w:t>
            </w:r>
          </w:p>
        </w:tc>
      </w:tr>
    </w:tbl>
    <w:p w14:paraId="5C8D862D" w14:textId="77777777" w:rsidR="006F5BFE" w:rsidRPr="003B2277" w:rsidRDefault="006F5BFE" w:rsidP="006F5BFE">
      <w:pPr>
        <w:rPr>
          <w:lang w:eastAsia="en-US"/>
        </w:rPr>
      </w:pPr>
    </w:p>
    <w:p w14:paraId="3C616475" w14:textId="35BE79A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93</w:t>
      </w:r>
    </w:p>
    <w:p w14:paraId="7F57BCDC" w14:textId="77777777" w:rsidR="006F5BFE" w:rsidRPr="003B2277" w:rsidRDefault="006F5BFE" w:rsidP="006F5BFE">
      <w:pPr>
        <w:keepNext/>
        <w:rPr>
          <w:b/>
          <w:lang w:eastAsia="en-US"/>
        </w:rPr>
      </w:pPr>
      <w:r w:rsidRPr="003B2277">
        <w:rPr>
          <w:rFonts w:eastAsia="Calibri" w:cs="Mangal"/>
          <w:b/>
          <w:lang w:eastAsia="en-US"/>
        </w:rPr>
        <w:t>Predlog uredbe</w:t>
      </w:r>
    </w:p>
    <w:p w14:paraId="63F53463" w14:textId="77777777" w:rsidR="006F5BFE" w:rsidRPr="003B2277" w:rsidRDefault="006F5BFE" w:rsidP="006F5BFE">
      <w:pPr>
        <w:rPr>
          <w:b/>
          <w:lang w:eastAsia="en-US"/>
        </w:rPr>
      </w:pPr>
      <w:r w:rsidRPr="003B2277">
        <w:rPr>
          <w:rFonts w:eastAsia="Calibri" w:cs="Mangal"/>
          <w:b/>
          <w:lang w:eastAsia="en-US"/>
        </w:rPr>
        <w:t>Člen 1 – odstavek 1 – točka 14 e (novo)</w:t>
      </w:r>
    </w:p>
    <w:p w14:paraId="50E7AC88" w14:textId="77777777" w:rsidR="006F5BFE" w:rsidRPr="003B2277" w:rsidRDefault="006F5BFE" w:rsidP="006F5BFE">
      <w:pPr>
        <w:keepNext/>
        <w:rPr>
          <w:lang w:eastAsia="en-US"/>
        </w:rPr>
      </w:pPr>
      <w:r w:rsidRPr="003B2277">
        <w:rPr>
          <w:rFonts w:eastAsia="Calibri" w:cs="Mangal"/>
          <w:lang w:eastAsia="en-US"/>
        </w:rPr>
        <w:t>Uredba (EU) št. 1308/2013</w:t>
      </w:r>
    </w:p>
    <w:p w14:paraId="62D2ACD4" w14:textId="77777777" w:rsidR="006F5BFE" w:rsidRPr="003B2277" w:rsidRDefault="006F5BFE" w:rsidP="006F5BFE">
      <w:pPr>
        <w:rPr>
          <w:lang w:eastAsia="en-US"/>
        </w:rPr>
      </w:pPr>
      <w:r w:rsidRPr="003B2277">
        <w:rPr>
          <w:rFonts w:eastAsia="Calibri" w:cs="Mangal"/>
          <w:lang w:eastAsia="en-US"/>
        </w:rPr>
        <w:t>Člen 105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155718A" w14:textId="77777777" w:rsidTr="005B4D60">
        <w:trPr>
          <w:jc w:val="center"/>
        </w:trPr>
        <w:tc>
          <w:tcPr>
            <w:tcW w:w="9752" w:type="dxa"/>
            <w:gridSpan w:val="2"/>
          </w:tcPr>
          <w:p w14:paraId="473D2F89" w14:textId="77777777" w:rsidR="006F5BFE" w:rsidRPr="003B2277" w:rsidRDefault="006F5BFE" w:rsidP="005B4D60">
            <w:pPr>
              <w:keepNext/>
            </w:pPr>
          </w:p>
        </w:tc>
      </w:tr>
      <w:tr w:rsidR="006F5BFE" w:rsidRPr="003B2277" w14:paraId="554D8A55" w14:textId="77777777" w:rsidTr="005B4D60">
        <w:trPr>
          <w:jc w:val="center"/>
        </w:trPr>
        <w:tc>
          <w:tcPr>
            <w:tcW w:w="4876" w:type="dxa"/>
            <w:hideMark/>
          </w:tcPr>
          <w:p w14:paraId="15F17BA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C2151D7" w14:textId="674F06C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8E9CF09" w14:textId="77777777" w:rsidTr="005B4D60">
        <w:trPr>
          <w:jc w:val="center"/>
        </w:trPr>
        <w:tc>
          <w:tcPr>
            <w:tcW w:w="4876" w:type="dxa"/>
          </w:tcPr>
          <w:p w14:paraId="1AC0C802" w14:textId="77777777" w:rsidR="006F5BFE" w:rsidRPr="003B2277" w:rsidRDefault="006F5BFE" w:rsidP="005B4D60">
            <w:pPr>
              <w:spacing w:after="120"/>
            </w:pPr>
          </w:p>
        </w:tc>
        <w:tc>
          <w:tcPr>
            <w:tcW w:w="4876" w:type="dxa"/>
            <w:hideMark/>
          </w:tcPr>
          <w:p w14:paraId="70C5A221" w14:textId="3555F274" w:rsidR="006F5BFE" w:rsidRPr="003B2277" w:rsidRDefault="006F5BFE" w:rsidP="00EF7639">
            <w:pPr>
              <w:spacing w:after="120"/>
              <w:rPr>
                <w:szCs w:val="24"/>
                <w:lang w:eastAsia="en-US"/>
              </w:rPr>
            </w:pPr>
            <w:r w:rsidRPr="003B2277">
              <w:rPr>
                <w:rFonts w:eastAsia="Calibri" w:cs="Mangal"/>
                <w:b/>
                <w:i/>
                <w:lang w:eastAsia="en-US"/>
              </w:rPr>
              <w:t>(14e)</w:t>
            </w:r>
            <w:r w:rsidRPr="003B2277">
              <w:rPr>
                <w:rFonts w:eastAsia="Calibri" w:cs="Mangal"/>
                <w:b/>
                <w:i/>
                <w:lang w:eastAsia="en-US"/>
              </w:rPr>
              <w:tab/>
            </w:r>
            <w:r w:rsidR="00EF7639" w:rsidRPr="003B2277">
              <w:rPr>
                <w:rFonts w:eastAsia="Calibri" w:cs="Mangal"/>
                <w:b/>
                <w:i/>
                <w:lang w:eastAsia="en-US"/>
              </w:rPr>
              <w:t xml:space="preserve">vstavi </w:t>
            </w:r>
            <w:r w:rsidRPr="003B2277">
              <w:rPr>
                <w:rFonts w:eastAsia="Calibri" w:cs="Mangal"/>
                <w:b/>
                <w:i/>
                <w:lang w:eastAsia="en-US"/>
              </w:rPr>
              <w:t>se naslednji člen:</w:t>
            </w:r>
          </w:p>
        </w:tc>
      </w:tr>
      <w:tr w:rsidR="006F5BFE" w:rsidRPr="003B2277" w14:paraId="0E41D228" w14:textId="77777777" w:rsidTr="005B4D60">
        <w:trPr>
          <w:jc w:val="center"/>
        </w:trPr>
        <w:tc>
          <w:tcPr>
            <w:tcW w:w="4876" w:type="dxa"/>
          </w:tcPr>
          <w:p w14:paraId="6CB880A1" w14:textId="77777777" w:rsidR="006F5BFE" w:rsidRPr="003B2277" w:rsidRDefault="006F5BFE" w:rsidP="005B4D60">
            <w:pPr>
              <w:spacing w:after="120"/>
            </w:pPr>
          </w:p>
        </w:tc>
        <w:tc>
          <w:tcPr>
            <w:tcW w:w="4876" w:type="dxa"/>
            <w:hideMark/>
          </w:tcPr>
          <w:p w14:paraId="7D2BA40F" w14:textId="62BAFA32" w:rsidR="006F5BFE" w:rsidRPr="003B2277" w:rsidRDefault="006C4927" w:rsidP="005B4D60">
            <w:pPr>
              <w:spacing w:after="120"/>
              <w:rPr>
                <w:szCs w:val="24"/>
                <w:lang w:eastAsia="en-US"/>
              </w:rPr>
            </w:pPr>
            <w:r>
              <w:rPr>
                <w:rFonts w:eastAsia="Calibri" w:cs="Mangal"/>
                <w:b/>
                <w:i/>
                <w:lang w:eastAsia="en-US"/>
              </w:rPr>
              <w:t>„</w:t>
            </w:r>
            <w:r w:rsidR="006F5BFE" w:rsidRPr="003B2277">
              <w:rPr>
                <w:rFonts w:eastAsia="Calibri" w:cs="Mangal"/>
                <w:b/>
                <w:i/>
                <w:lang w:eastAsia="en-US"/>
              </w:rPr>
              <w:t>Člen 105c</w:t>
            </w:r>
          </w:p>
        </w:tc>
      </w:tr>
      <w:tr w:rsidR="006F5BFE" w:rsidRPr="003B2277" w14:paraId="7DC5FBB2" w14:textId="77777777" w:rsidTr="005B4D60">
        <w:trPr>
          <w:jc w:val="center"/>
        </w:trPr>
        <w:tc>
          <w:tcPr>
            <w:tcW w:w="4876" w:type="dxa"/>
          </w:tcPr>
          <w:p w14:paraId="0E280201" w14:textId="77777777" w:rsidR="006F5BFE" w:rsidRPr="003B2277" w:rsidRDefault="006F5BFE" w:rsidP="005B4D60">
            <w:pPr>
              <w:spacing w:after="120"/>
            </w:pPr>
          </w:p>
        </w:tc>
        <w:tc>
          <w:tcPr>
            <w:tcW w:w="4876" w:type="dxa"/>
            <w:hideMark/>
          </w:tcPr>
          <w:p w14:paraId="2FE1A00E" w14:textId="77777777" w:rsidR="006F5BFE" w:rsidRPr="003B2277" w:rsidRDefault="006F5BFE" w:rsidP="005B4D60">
            <w:pPr>
              <w:spacing w:after="120"/>
              <w:rPr>
                <w:szCs w:val="24"/>
                <w:lang w:eastAsia="en-US"/>
              </w:rPr>
            </w:pPr>
            <w:r w:rsidRPr="003B2277">
              <w:rPr>
                <w:rFonts w:eastAsia="Calibri" w:cs="Mangal"/>
                <w:b/>
                <w:i/>
                <w:lang w:eastAsia="en-US"/>
              </w:rPr>
              <w:t>Začasne spremembe</w:t>
            </w:r>
          </w:p>
        </w:tc>
      </w:tr>
      <w:tr w:rsidR="006F5BFE" w:rsidRPr="003B2277" w14:paraId="40C2A35F" w14:textId="77777777" w:rsidTr="005B4D60">
        <w:trPr>
          <w:jc w:val="center"/>
        </w:trPr>
        <w:tc>
          <w:tcPr>
            <w:tcW w:w="4876" w:type="dxa"/>
          </w:tcPr>
          <w:p w14:paraId="2F55C7DD" w14:textId="77777777" w:rsidR="006F5BFE" w:rsidRPr="003B2277" w:rsidRDefault="006F5BFE" w:rsidP="005B4D60">
            <w:pPr>
              <w:spacing w:after="120"/>
            </w:pPr>
          </w:p>
        </w:tc>
        <w:tc>
          <w:tcPr>
            <w:tcW w:w="4876" w:type="dxa"/>
            <w:hideMark/>
          </w:tcPr>
          <w:p w14:paraId="08E127DB"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Začasne spremembe odobri in objavi država članica, na katero se nanaša geografsko območje označbe porekla ali geografske označbe. Komisiji se skupaj z razlogi, ki utemeljujejo začasne spremembe, sporočijo najpozneje v enem mesecu po datumu objave nacionalne odločitve o odobritvi. Začasna sprememba se začne v državi članici uporabljati po objavi.</w:t>
            </w:r>
          </w:p>
        </w:tc>
      </w:tr>
      <w:tr w:rsidR="006F5BFE" w:rsidRPr="003B2277" w14:paraId="098BC183" w14:textId="77777777" w:rsidTr="005B4D60">
        <w:trPr>
          <w:jc w:val="center"/>
        </w:trPr>
        <w:tc>
          <w:tcPr>
            <w:tcW w:w="4876" w:type="dxa"/>
          </w:tcPr>
          <w:p w14:paraId="060250CD" w14:textId="77777777" w:rsidR="006F5BFE" w:rsidRPr="003B2277" w:rsidRDefault="006F5BFE" w:rsidP="005B4D60">
            <w:pPr>
              <w:spacing w:after="120"/>
            </w:pPr>
          </w:p>
        </w:tc>
        <w:tc>
          <w:tcPr>
            <w:tcW w:w="4876" w:type="dxa"/>
            <w:hideMark/>
          </w:tcPr>
          <w:p w14:paraId="21E2816C"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Če geografsko območje zajema več kot eno državo članico, se postopek za začasno spremembo v zadevnih državah članicah uporablja posebej za del območja, ki spada na njihovo ozemlje. Začasne spremembe se začnejo uporabljati šele, ko se začne uporabljati zadnja nacionalna odločitev o odobritvi. Država članica, ki je zadnja odobrila začasno spremembo, o tem obvesti Komisijo najpozneje en mesec po datumu objave svoje odločitve o odobritvi. To pravilo se smiselno uporablja tudi, kadar je ena ali več zadevnih držav tretja država.</w:t>
            </w:r>
          </w:p>
        </w:tc>
      </w:tr>
      <w:tr w:rsidR="006F5BFE" w:rsidRPr="003B2277" w14:paraId="0DD7AF06" w14:textId="77777777" w:rsidTr="005B4D60">
        <w:trPr>
          <w:jc w:val="center"/>
        </w:trPr>
        <w:tc>
          <w:tcPr>
            <w:tcW w:w="4876" w:type="dxa"/>
          </w:tcPr>
          <w:p w14:paraId="518B77AF" w14:textId="77777777" w:rsidR="006F5BFE" w:rsidRPr="003B2277" w:rsidRDefault="006F5BFE" w:rsidP="005B4D60">
            <w:pPr>
              <w:spacing w:after="120"/>
            </w:pPr>
          </w:p>
        </w:tc>
        <w:tc>
          <w:tcPr>
            <w:tcW w:w="4876" w:type="dxa"/>
            <w:hideMark/>
          </w:tcPr>
          <w:p w14:paraId="6E7B5E25"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Začasne spremembe v zvezi s proizvodi vinske trte s poreklom iz tretjih držav skupaj z razlogi zanje se sporočijo Komisiji, posameznemu proizvajalcu ali skupini proizvajalcev z zakonitim interesom, in sicer neposredno ali prek organov te tretje države najpozneje v enem mesecu po datumu odobritve.</w:t>
            </w:r>
          </w:p>
        </w:tc>
      </w:tr>
      <w:tr w:rsidR="006F5BFE" w:rsidRPr="003B2277" w14:paraId="51BCA4BA" w14:textId="77777777" w:rsidTr="005B4D60">
        <w:trPr>
          <w:jc w:val="center"/>
        </w:trPr>
        <w:tc>
          <w:tcPr>
            <w:tcW w:w="4876" w:type="dxa"/>
          </w:tcPr>
          <w:p w14:paraId="26623D24" w14:textId="77777777" w:rsidR="006F5BFE" w:rsidRPr="003B2277" w:rsidRDefault="006F5BFE" w:rsidP="005B4D60">
            <w:pPr>
              <w:spacing w:after="120"/>
            </w:pPr>
          </w:p>
        </w:tc>
        <w:tc>
          <w:tcPr>
            <w:tcW w:w="4876" w:type="dxa"/>
            <w:hideMark/>
          </w:tcPr>
          <w:p w14:paraId="21D05E41" w14:textId="091A8F0D"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Komisija take spremembe objavi v treh mesecih od datuma, ko prejme obvestilo od države članice, tretje države ali posameznega proizvajalca ali skupine proizvajalcev iz tretje države. Začasna sprememba se začne na ozemlju Unije uporabljati potem, ko jo Komisija objavi.</w:t>
            </w:r>
            <w:r w:rsidR="006C4927">
              <w:rPr>
                <w:rFonts w:eastAsia="Calibri" w:cs="Mangal"/>
                <w:b/>
                <w:i/>
                <w:lang w:eastAsia="en-US"/>
              </w:rPr>
              <w:t>“</w:t>
            </w:r>
          </w:p>
        </w:tc>
      </w:tr>
    </w:tbl>
    <w:p w14:paraId="4D08477D" w14:textId="77777777" w:rsidR="006F5BFE" w:rsidRPr="003B2277" w:rsidRDefault="006F5BFE" w:rsidP="006F5BFE">
      <w:pPr>
        <w:rPr>
          <w:lang w:eastAsia="en-US"/>
        </w:rPr>
      </w:pPr>
    </w:p>
    <w:p w14:paraId="51AB7108" w14:textId="5DC35F0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94</w:t>
      </w:r>
    </w:p>
    <w:p w14:paraId="391C2BF4" w14:textId="77777777" w:rsidR="006F5BFE" w:rsidRPr="003B2277" w:rsidRDefault="006F5BFE" w:rsidP="006F5BFE"/>
    <w:p w14:paraId="08CF06A3" w14:textId="77777777" w:rsidR="006F5BFE" w:rsidRPr="003B2277" w:rsidRDefault="006F5BFE" w:rsidP="006F5BFE">
      <w:pPr>
        <w:keepNext/>
        <w:rPr>
          <w:b/>
          <w:lang w:eastAsia="en-US"/>
        </w:rPr>
      </w:pPr>
      <w:r w:rsidRPr="003B2277">
        <w:rPr>
          <w:rFonts w:eastAsia="Calibri" w:cs="Mangal"/>
          <w:b/>
          <w:lang w:eastAsia="en-US"/>
        </w:rPr>
        <w:t>Predlog uredbe</w:t>
      </w:r>
    </w:p>
    <w:p w14:paraId="093E4A46" w14:textId="77777777" w:rsidR="006F5BFE" w:rsidRPr="003B2277" w:rsidRDefault="006F5BFE" w:rsidP="006F5BFE">
      <w:pPr>
        <w:rPr>
          <w:b/>
          <w:lang w:eastAsia="en-US"/>
        </w:rPr>
      </w:pPr>
      <w:r w:rsidRPr="003B2277">
        <w:rPr>
          <w:rFonts w:eastAsia="Calibri" w:cs="Mangal"/>
          <w:b/>
          <w:lang w:eastAsia="en-US"/>
        </w:rPr>
        <w:t>Člen 1 – odstavek 1 – točka 15</w:t>
      </w:r>
    </w:p>
    <w:p w14:paraId="35B4159B" w14:textId="77777777" w:rsidR="006F5BFE" w:rsidRPr="003B2277" w:rsidRDefault="006F5BFE" w:rsidP="006F5BFE">
      <w:pPr>
        <w:keepNext/>
        <w:rPr>
          <w:lang w:eastAsia="en-US"/>
        </w:rPr>
      </w:pPr>
      <w:r w:rsidRPr="003B2277">
        <w:rPr>
          <w:rFonts w:eastAsia="Calibri" w:cs="Mangal"/>
          <w:lang w:eastAsia="en-US"/>
        </w:rPr>
        <w:t>Uredba (EU) št. 1308/2013</w:t>
      </w:r>
    </w:p>
    <w:p w14:paraId="58AD9B4C" w14:textId="77777777" w:rsidR="006F5BFE" w:rsidRPr="003B2277" w:rsidRDefault="006F5BFE" w:rsidP="006F5BFE">
      <w:pPr>
        <w:rPr>
          <w:lang w:eastAsia="en-US"/>
        </w:rPr>
      </w:pPr>
      <w:r w:rsidRPr="003B2277">
        <w:rPr>
          <w:rFonts w:eastAsia="Calibri" w:cs="Mangal"/>
          <w:lang w:eastAsia="en-US"/>
        </w:rPr>
        <w:t>Člen 106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D6A216D" w14:textId="77777777" w:rsidTr="005B4D60">
        <w:trPr>
          <w:jc w:val="center"/>
        </w:trPr>
        <w:tc>
          <w:tcPr>
            <w:tcW w:w="9752" w:type="dxa"/>
            <w:gridSpan w:val="2"/>
          </w:tcPr>
          <w:p w14:paraId="172B9119" w14:textId="77777777" w:rsidR="006F5BFE" w:rsidRPr="003B2277" w:rsidRDefault="006F5BFE" w:rsidP="005B4D60">
            <w:pPr>
              <w:keepNext/>
            </w:pPr>
          </w:p>
        </w:tc>
      </w:tr>
      <w:tr w:rsidR="006F5BFE" w:rsidRPr="003B2277" w14:paraId="3B3B4669" w14:textId="77777777" w:rsidTr="005B4D60">
        <w:trPr>
          <w:jc w:val="center"/>
        </w:trPr>
        <w:tc>
          <w:tcPr>
            <w:tcW w:w="4876" w:type="dxa"/>
            <w:hideMark/>
          </w:tcPr>
          <w:p w14:paraId="6B915F6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3053E7E" w14:textId="2B21508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D1338B9" w14:textId="77777777" w:rsidTr="005B4D60">
        <w:trPr>
          <w:jc w:val="center"/>
        </w:trPr>
        <w:tc>
          <w:tcPr>
            <w:tcW w:w="4876" w:type="dxa"/>
            <w:hideMark/>
          </w:tcPr>
          <w:p w14:paraId="6C08ED6E" w14:textId="77777777" w:rsidR="006F5BFE" w:rsidRPr="003B2277" w:rsidRDefault="006F5BFE" w:rsidP="005B4D60">
            <w:pPr>
              <w:spacing w:after="120"/>
              <w:rPr>
                <w:lang w:eastAsia="en-US"/>
              </w:rPr>
            </w:pPr>
            <w:r w:rsidRPr="003B2277">
              <w:rPr>
                <w:rFonts w:eastAsia="Calibri" w:cs="Mangal"/>
                <w:b/>
                <w:i/>
                <w:lang w:eastAsia="en-US"/>
              </w:rPr>
              <w:t>(15)</w:t>
            </w:r>
            <w:r w:rsidRPr="003B2277">
              <w:rPr>
                <w:rFonts w:eastAsia="Calibri" w:cs="Mangal"/>
                <w:b/>
                <w:i/>
                <w:lang w:eastAsia="en-US"/>
              </w:rPr>
              <w:tab/>
              <w:t>člen 106 se nadomesti z naslednjim:</w:t>
            </w:r>
          </w:p>
        </w:tc>
        <w:tc>
          <w:tcPr>
            <w:tcW w:w="4876" w:type="dxa"/>
            <w:hideMark/>
          </w:tcPr>
          <w:p w14:paraId="2D897326" w14:textId="77777777" w:rsidR="006F5BFE" w:rsidRPr="003B2277" w:rsidRDefault="006F5BFE" w:rsidP="005B4D60">
            <w:pPr>
              <w:spacing w:after="120"/>
              <w:rPr>
                <w:szCs w:val="24"/>
                <w:lang w:eastAsia="en-US"/>
              </w:rPr>
            </w:pPr>
            <w:r w:rsidRPr="003B2277">
              <w:rPr>
                <w:rFonts w:eastAsia="Calibri" w:cs="Mangal"/>
                <w:b/>
                <w:i/>
                <w:lang w:eastAsia="en-US"/>
              </w:rPr>
              <w:t>črtano</w:t>
            </w:r>
          </w:p>
        </w:tc>
      </w:tr>
      <w:tr w:rsidR="006F5BFE" w:rsidRPr="003B2277" w14:paraId="14F95AAB" w14:textId="77777777" w:rsidTr="005B4D60">
        <w:trPr>
          <w:jc w:val="center"/>
        </w:trPr>
        <w:tc>
          <w:tcPr>
            <w:tcW w:w="4876" w:type="dxa"/>
            <w:hideMark/>
          </w:tcPr>
          <w:p w14:paraId="3573C25C" w14:textId="77777777" w:rsidR="006F5BFE" w:rsidRPr="003B2277" w:rsidRDefault="006F5BFE" w:rsidP="005B4D60">
            <w:pPr>
              <w:spacing w:after="120"/>
              <w:rPr>
                <w:lang w:eastAsia="en-US"/>
              </w:rPr>
            </w:pPr>
            <w:r w:rsidRPr="003B2277">
              <w:rPr>
                <w:rFonts w:eastAsia="Calibri" w:cs="Mangal"/>
                <w:b/>
                <w:i/>
                <w:lang w:eastAsia="en-US"/>
              </w:rPr>
              <w:t>„Člen 106</w:t>
            </w:r>
          </w:p>
        </w:tc>
        <w:tc>
          <w:tcPr>
            <w:tcW w:w="4876" w:type="dxa"/>
          </w:tcPr>
          <w:p w14:paraId="34F42342" w14:textId="77777777" w:rsidR="006F5BFE" w:rsidRPr="003B2277" w:rsidRDefault="006F5BFE" w:rsidP="005B4D60">
            <w:pPr>
              <w:spacing w:after="120"/>
              <w:rPr>
                <w:szCs w:val="24"/>
              </w:rPr>
            </w:pPr>
          </w:p>
        </w:tc>
      </w:tr>
      <w:tr w:rsidR="006F5BFE" w:rsidRPr="003B2277" w14:paraId="378974EB" w14:textId="77777777" w:rsidTr="005B4D60">
        <w:trPr>
          <w:jc w:val="center"/>
        </w:trPr>
        <w:tc>
          <w:tcPr>
            <w:tcW w:w="4876" w:type="dxa"/>
            <w:hideMark/>
          </w:tcPr>
          <w:p w14:paraId="3D1814BC" w14:textId="77777777" w:rsidR="006F5BFE" w:rsidRPr="003B2277" w:rsidRDefault="006F5BFE" w:rsidP="005B4D60">
            <w:pPr>
              <w:spacing w:after="120"/>
              <w:rPr>
                <w:lang w:eastAsia="en-US"/>
              </w:rPr>
            </w:pPr>
            <w:r w:rsidRPr="003B2277">
              <w:rPr>
                <w:rFonts w:eastAsia="Calibri" w:cs="Mangal"/>
                <w:b/>
                <w:i/>
                <w:lang w:eastAsia="en-US"/>
              </w:rPr>
              <w:t>Preklic</w:t>
            </w:r>
          </w:p>
        </w:tc>
        <w:tc>
          <w:tcPr>
            <w:tcW w:w="4876" w:type="dxa"/>
          </w:tcPr>
          <w:p w14:paraId="5FE03621" w14:textId="77777777" w:rsidR="006F5BFE" w:rsidRPr="003B2277" w:rsidRDefault="006F5BFE" w:rsidP="005B4D60">
            <w:pPr>
              <w:spacing w:after="120"/>
              <w:rPr>
                <w:szCs w:val="24"/>
              </w:rPr>
            </w:pPr>
          </w:p>
        </w:tc>
      </w:tr>
      <w:tr w:rsidR="006F5BFE" w:rsidRPr="003B2277" w14:paraId="58644AC0" w14:textId="77777777" w:rsidTr="005B4D60">
        <w:trPr>
          <w:jc w:val="center"/>
        </w:trPr>
        <w:tc>
          <w:tcPr>
            <w:tcW w:w="4876" w:type="dxa"/>
            <w:hideMark/>
          </w:tcPr>
          <w:p w14:paraId="2F57288C" w14:textId="77777777" w:rsidR="006F5BFE" w:rsidRPr="003B2277" w:rsidRDefault="006F5BFE" w:rsidP="005B4D60">
            <w:pPr>
              <w:spacing w:after="120"/>
              <w:rPr>
                <w:lang w:eastAsia="en-US"/>
              </w:rPr>
            </w:pPr>
            <w:r w:rsidRPr="003B2277">
              <w:rPr>
                <w:rFonts w:eastAsia="Calibri" w:cs="Mangal"/>
                <w:b/>
                <w:i/>
                <w:lang w:eastAsia="en-US"/>
              </w:rPr>
              <w:t>Komisija lahko na lastno pobudo ali na podlagi ustrezno utemeljene zahteve države članice, tretje države ali fizične ali pravne osebe z zakonitim interesom sprejme izvedbene akte, s katerimi prekliče zaščito označbe porekla ali geografske označbe v enem ali več od naslednjih primerov:</w:t>
            </w:r>
          </w:p>
        </w:tc>
        <w:tc>
          <w:tcPr>
            <w:tcW w:w="4876" w:type="dxa"/>
          </w:tcPr>
          <w:p w14:paraId="3DBB6025" w14:textId="77777777" w:rsidR="006F5BFE" w:rsidRPr="003B2277" w:rsidRDefault="006F5BFE" w:rsidP="005B4D60">
            <w:pPr>
              <w:spacing w:after="120"/>
              <w:rPr>
                <w:szCs w:val="24"/>
              </w:rPr>
            </w:pPr>
          </w:p>
        </w:tc>
      </w:tr>
      <w:tr w:rsidR="006F5BFE" w:rsidRPr="003B2277" w14:paraId="515DB4CF" w14:textId="77777777" w:rsidTr="005B4D60">
        <w:trPr>
          <w:jc w:val="center"/>
        </w:trPr>
        <w:tc>
          <w:tcPr>
            <w:tcW w:w="4876" w:type="dxa"/>
            <w:hideMark/>
          </w:tcPr>
          <w:p w14:paraId="1A948364" w14:textId="77777777" w:rsidR="006F5BFE" w:rsidRPr="003B2277" w:rsidRDefault="006F5BFE" w:rsidP="005B4D60">
            <w:pPr>
              <w:spacing w:after="120"/>
              <w:rPr>
                <w:lang w:eastAsia="en-US"/>
              </w:rPr>
            </w:pPr>
            <w:r w:rsidRPr="003B2277">
              <w:rPr>
                <w:rFonts w:eastAsia="Calibri" w:cs="Mangal"/>
                <w:b/>
                <w:i/>
                <w:lang w:eastAsia="en-US"/>
              </w:rPr>
              <w:t>(a)</w:t>
            </w:r>
            <w:r w:rsidRPr="003B2277">
              <w:rPr>
                <w:rFonts w:eastAsia="Calibri" w:cs="Mangal"/>
                <w:b/>
                <w:i/>
                <w:lang w:eastAsia="en-US"/>
              </w:rPr>
              <w:tab/>
              <w:t>kadar skladnost z ustrezno specifikacijo proizvoda ni več zagotovljena;</w:t>
            </w:r>
          </w:p>
        </w:tc>
        <w:tc>
          <w:tcPr>
            <w:tcW w:w="4876" w:type="dxa"/>
          </w:tcPr>
          <w:p w14:paraId="4E814C6C" w14:textId="77777777" w:rsidR="006F5BFE" w:rsidRPr="003B2277" w:rsidRDefault="006F5BFE" w:rsidP="005B4D60">
            <w:pPr>
              <w:spacing w:after="120"/>
              <w:rPr>
                <w:szCs w:val="24"/>
              </w:rPr>
            </w:pPr>
          </w:p>
        </w:tc>
      </w:tr>
      <w:tr w:rsidR="006F5BFE" w:rsidRPr="003B2277" w14:paraId="3D3B178D" w14:textId="77777777" w:rsidTr="005B4D60">
        <w:trPr>
          <w:jc w:val="center"/>
        </w:trPr>
        <w:tc>
          <w:tcPr>
            <w:tcW w:w="4876" w:type="dxa"/>
            <w:hideMark/>
          </w:tcPr>
          <w:p w14:paraId="12EE406B" w14:textId="77777777" w:rsidR="006F5BFE" w:rsidRPr="003B2277" w:rsidRDefault="006F5BFE" w:rsidP="005B4D60">
            <w:pPr>
              <w:spacing w:after="120"/>
              <w:rPr>
                <w:lang w:eastAsia="en-US"/>
              </w:rPr>
            </w:pPr>
            <w:r w:rsidRPr="003B2277">
              <w:rPr>
                <w:rFonts w:eastAsia="Calibri" w:cs="Mangal"/>
                <w:b/>
                <w:i/>
                <w:lang w:eastAsia="en-US"/>
              </w:rPr>
              <w:t>(b)</w:t>
            </w:r>
            <w:r w:rsidRPr="003B2277">
              <w:rPr>
                <w:rFonts w:eastAsia="Calibri" w:cs="Mangal"/>
                <w:b/>
                <w:i/>
                <w:lang w:eastAsia="en-US"/>
              </w:rPr>
              <w:tab/>
              <w:t>kadar najmanj sedem zaporednih let ni bil na trg dan noben proizvod z zadevno označbo porekla ali geografsko označbo;</w:t>
            </w:r>
          </w:p>
        </w:tc>
        <w:tc>
          <w:tcPr>
            <w:tcW w:w="4876" w:type="dxa"/>
          </w:tcPr>
          <w:p w14:paraId="592A0CD4" w14:textId="77777777" w:rsidR="006F5BFE" w:rsidRPr="003B2277" w:rsidRDefault="006F5BFE" w:rsidP="005B4D60">
            <w:pPr>
              <w:spacing w:after="120"/>
              <w:rPr>
                <w:szCs w:val="24"/>
              </w:rPr>
            </w:pPr>
          </w:p>
        </w:tc>
      </w:tr>
      <w:tr w:rsidR="006F5BFE" w:rsidRPr="003B2277" w14:paraId="11FC378A" w14:textId="77777777" w:rsidTr="005B4D60">
        <w:trPr>
          <w:jc w:val="center"/>
        </w:trPr>
        <w:tc>
          <w:tcPr>
            <w:tcW w:w="4876" w:type="dxa"/>
            <w:hideMark/>
          </w:tcPr>
          <w:p w14:paraId="1F0363B3" w14:textId="77777777" w:rsidR="006F5BFE" w:rsidRPr="003B2277" w:rsidRDefault="006F5BFE" w:rsidP="005B4D60">
            <w:pPr>
              <w:spacing w:after="120"/>
              <w:rPr>
                <w:lang w:eastAsia="en-US"/>
              </w:rPr>
            </w:pPr>
            <w:r w:rsidRPr="003B2277">
              <w:rPr>
                <w:rFonts w:eastAsia="Calibri" w:cs="Mangal"/>
                <w:b/>
                <w:i/>
                <w:lang w:eastAsia="en-US"/>
              </w:rPr>
              <w:t>(c)</w:t>
            </w:r>
            <w:r w:rsidRPr="003B2277">
              <w:rPr>
                <w:rFonts w:eastAsia="Calibri" w:cs="Mangal"/>
                <w:b/>
                <w:i/>
                <w:lang w:eastAsia="en-US"/>
              </w:rPr>
              <w:tab/>
              <w:t>kadar vlagatelj, ki izpolnjuje pogoje iz člena 95, izjavi, da ne želi ohraniti zaščite označbe porekla ali geografske označbe.</w:t>
            </w:r>
          </w:p>
        </w:tc>
        <w:tc>
          <w:tcPr>
            <w:tcW w:w="4876" w:type="dxa"/>
          </w:tcPr>
          <w:p w14:paraId="60149DF2" w14:textId="77777777" w:rsidR="006F5BFE" w:rsidRPr="003B2277" w:rsidRDefault="006F5BFE" w:rsidP="005B4D60">
            <w:pPr>
              <w:spacing w:after="120"/>
              <w:rPr>
                <w:szCs w:val="24"/>
              </w:rPr>
            </w:pPr>
          </w:p>
        </w:tc>
      </w:tr>
      <w:tr w:rsidR="006F5BFE" w:rsidRPr="003B2277" w14:paraId="0E39F2CB" w14:textId="77777777" w:rsidTr="005B4D60">
        <w:trPr>
          <w:jc w:val="center"/>
        </w:trPr>
        <w:tc>
          <w:tcPr>
            <w:tcW w:w="4876" w:type="dxa"/>
            <w:hideMark/>
          </w:tcPr>
          <w:p w14:paraId="13EB6ED2" w14:textId="53C1839B" w:rsidR="006F5BFE" w:rsidRPr="003B2277" w:rsidRDefault="006F5BFE" w:rsidP="005B4D60">
            <w:pPr>
              <w:spacing w:after="120"/>
              <w:rPr>
                <w:lang w:eastAsia="en-US"/>
              </w:rPr>
            </w:pPr>
            <w:r w:rsidRPr="003B2277">
              <w:rPr>
                <w:rFonts w:eastAsia="Calibri" w:cs="Mangal"/>
                <w:b/>
                <w:i/>
                <w:lang w:eastAsia="en-US"/>
              </w:rPr>
              <w:t>Ti izvedbeni akti se sprejmejo v skladu s postopkom pregleda iz člena 229(2).</w:t>
            </w:r>
            <w:r w:rsidR="00EF7639" w:rsidRPr="003B2277">
              <w:rPr>
                <w:rFonts w:eastAsia="Calibri" w:cs="Mangal"/>
                <w:b/>
                <w:i/>
                <w:lang w:eastAsia="en-US"/>
              </w:rPr>
              <w:t>“</w:t>
            </w:r>
          </w:p>
        </w:tc>
        <w:tc>
          <w:tcPr>
            <w:tcW w:w="4876" w:type="dxa"/>
          </w:tcPr>
          <w:p w14:paraId="4A071EEB" w14:textId="77777777" w:rsidR="006F5BFE" w:rsidRPr="003B2277" w:rsidRDefault="006F5BFE" w:rsidP="005B4D60">
            <w:pPr>
              <w:spacing w:after="120"/>
              <w:rPr>
                <w:szCs w:val="24"/>
              </w:rPr>
            </w:pPr>
          </w:p>
        </w:tc>
      </w:tr>
    </w:tbl>
    <w:p w14:paraId="60240BEB" w14:textId="77777777" w:rsidR="006F5BFE" w:rsidRPr="003B2277" w:rsidRDefault="006F5BFE" w:rsidP="006F5BFE">
      <w:pPr>
        <w:rPr>
          <w:lang w:eastAsia="en-US"/>
        </w:rPr>
      </w:pPr>
    </w:p>
    <w:p w14:paraId="61EA1CB9" w14:textId="64AA511E"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95</w:t>
      </w:r>
    </w:p>
    <w:p w14:paraId="6D5CC3B0" w14:textId="77777777" w:rsidR="006F5BFE" w:rsidRPr="003B2277" w:rsidRDefault="006F5BFE" w:rsidP="006F5BFE"/>
    <w:p w14:paraId="1ACC3904" w14:textId="77777777" w:rsidR="006F5BFE" w:rsidRPr="003B2277" w:rsidRDefault="006F5BFE" w:rsidP="006F5BFE">
      <w:pPr>
        <w:keepNext/>
        <w:rPr>
          <w:b/>
          <w:lang w:eastAsia="en-US"/>
        </w:rPr>
      </w:pPr>
      <w:r w:rsidRPr="003B2277">
        <w:rPr>
          <w:rFonts w:eastAsia="Calibri" w:cs="Mangal"/>
          <w:b/>
          <w:lang w:eastAsia="en-US"/>
        </w:rPr>
        <w:t>Predlog uredbe</w:t>
      </w:r>
    </w:p>
    <w:p w14:paraId="27B40E85" w14:textId="77777777" w:rsidR="006F5BFE" w:rsidRPr="003B2277" w:rsidRDefault="006F5BFE" w:rsidP="006F5BFE">
      <w:pPr>
        <w:rPr>
          <w:b/>
          <w:lang w:eastAsia="en-US"/>
        </w:rPr>
      </w:pPr>
      <w:r w:rsidRPr="003B2277">
        <w:rPr>
          <w:rFonts w:eastAsia="Calibri" w:cs="Mangal"/>
          <w:b/>
          <w:lang w:eastAsia="en-US"/>
        </w:rPr>
        <w:t>Člen 1 – odstavek 1 – točka 15 a (novo)</w:t>
      </w:r>
    </w:p>
    <w:p w14:paraId="419DC368" w14:textId="77777777" w:rsidR="006F5BFE" w:rsidRPr="003B2277" w:rsidRDefault="006F5BFE" w:rsidP="006F5BFE">
      <w:pPr>
        <w:keepNext/>
        <w:rPr>
          <w:lang w:eastAsia="en-US"/>
        </w:rPr>
      </w:pPr>
      <w:r w:rsidRPr="003B2277">
        <w:rPr>
          <w:rFonts w:eastAsia="Calibri" w:cs="Mangal"/>
          <w:lang w:eastAsia="en-US"/>
        </w:rPr>
        <w:t>Uredba (EU) št. 1308/2013</w:t>
      </w:r>
    </w:p>
    <w:p w14:paraId="5C5E445F" w14:textId="77777777" w:rsidR="006F5BFE" w:rsidRPr="003B2277" w:rsidRDefault="006F5BFE" w:rsidP="006F5BFE">
      <w:pPr>
        <w:rPr>
          <w:lang w:eastAsia="en-US"/>
        </w:rPr>
      </w:pPr>
      <w:r w:rsidRPr="003B2277">
        <w:rPr>
          <w:rFonts w:eastAsia="Calibri" w:cs="Mangal"/>
          <w:lang w:eastAsia="en-US"/>
        </w:rPr>
        <w:t>Člen 106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55DF9FE" w14:textId="77777777" w:rsidTr="005B4D60">
        <w:trPr>
          <w:jc w:val="center"/>
        </w:trPr>
        <w:tc>
          <w:tcPr>
            <w:tcW w:w="9752" w:type="dxa"/>
            <w:gridSpan w:val="2"/>
          </w:tcPr>
          <w:p w14:paraId="2771D751" w14:textId="77777777" w:rsidR="006F5BFE" w:rsidRPr="003B2277" w:rsidRDefault="006F5BFE" w:rsidP="005B4D60">
            <w:pPr>
              <w:keepNext/>
            </w:pPr>
          </w:p>
        </w:tc>
      </w:tr>
      <w:tr w:rsidR="006F5BFE" w:rsidRPr="003B2277" w14:paraId="7F964302" w14:textId="77777777" w:rsidTr="005B4D60">
        <w:trPr>
          <w:jc w:val="center"/>
        </w:trPr>
        <w:tc>
          <w:tcPr>
            <w:tcW w:w="4876" w:type="dxa"/>
            <w:hideMark/>
          </w:tcPr>
          <w:p w14:paraId="114C6EA0"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C3CB270" w14:textId="74F6D73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452485C" w14:textId="77777777" w:rsidTr="005B4D60">
        <w:trPr>
          <w:jc w:val="center"/>
        </w:trPr>
        <w:tc>
          <w:tcPr>
            <w:tcW w:w="4876" w:type="dxa"/>
          </w:tcPr>
          <w:p w14:paraId="42959924" w14:textId="77777777" w:rsidR="006F5BFE" w:rsidRPr="003B2277" w:rsidRDefault="006F5BFE" w:rsidP="005B4D60">
            <w:pPr>
              <w:spacing w:after="120"/>
            </w:pPr>
          </w:p>
        </w:tc>
        <w:tc>
          <w:tcPr>
            <w:tcW w:w="4876" w:type="dxa"/>
            <w:hideMark/>
          </w:tcPr>
          <w:p w14:paraId="0020C5D6" w14:textId="77777777" w:rsidR="006F5BFE" w:rsidRPr="003B2277" w:rsidRDefault="006F5BFE" w:rsidP="005B4D60">
            <w:pPr>
              <w:spacing w:after="120"/>
              <w:rPr>
                <w:szCs w:val="24"/>
                <w:lang w:eastAsia="en-US"/>
              </w:rPr>
            </w:pPr>
            <w:r w:rsidRPr="003B2277">
              <w:rPr>
                <w:rFonts w:eastAsia="Calibri" w:cs="Mangal"/>
                <w:b/>
                <w:i/>
                <w:lang w:eastAsia="en-US"/>
              </w:rPr>
              <w:t>(15a)</w:t>
            </w:r>
            <w:r w:rsidRPr="003B2277">
              <w:rPr>
                <w:rFonts w:eastAsia="Calibri" w:cs="Mangal"/>
                <w:b/>
                <w:i/>
                <w:lang w:eastAsia="en-US"/>
              </w:rPr>
              <w:tab/>
              <w:t>člen 106 se nadomesti z naslednjim:</w:t>
            </w:r>
          </w:p>
        </w:tc>
      </w:tr>
      <w:tr w:rsidR="006F5BFE" w:rsidRPr="003B2277" w14:paraId="0F4E1269" w14:textId="77777777" w:rsidTr="005B4D60">
        <w:trPr>
          <w:jc w:val="center"/>
        </w:trPr>
        <w:tc>
          <w:tcPr>
            <w:tcW w:w="4876" w:type="dxa"/>
            <w:hideMark/>
          </w:tcPr>
          <w:p w14:paraId="63AEABF1" w14:textId="77777777" w:rsidR="006F5BFE" w:rsidRPr="003B2277" w:rsidRDefault="006F5BFE" w:rsidP="005B4D60">
            <w:pPr>
              <w:spacing w:after="120"/>
              <w:rPr>
                <w:lang w:eastAsia="en-US"/>
              </w:rPr>
            </w:pPr>
            <w:r w:rsidRPr="003B2277">
              <w:rPr>
                <w:rFonts w:eastAsia="Calibri" w:cs="Mangal"/>
                <w:lang w:eastAsia="en-US"/>
              </w:rPr>
              <w:t>Člen 106</w:t>
            </w:r>
          </w:p>
        </w:tc>
        <w:tc>
          <w:tcPr>
            <w:tcW w:w="4876" w:type="dxa"/>
            <w:hideMark/>
          </w:tcPr>
          <w:p w14:paraId="3F071F71"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106</w:t>
            </w:r>
          </w:p>
        </w:tc>
      </w:tr>
      <w:tr w:rsidR="006F5BFE" w:rsidRPr="003B2277" w14:paraId="37D8D8B2" w14:textId="77777777" w:rsidTr="005B4D60">
        <w:trPr>
          <w:jc w:val="center"/>
        </w:trPr>
        <w:tc>
          <w:tcPr>
            <w:tcW w:w="4876" w:type="dxa"/>
            <w:hideMark/>
          </w:tcPr>
          <w:p w14:paraId="41251040" w14:textId="77777777" w:rsidR="006F5BFE" w:rsidRPr="003B2277" w:rsidRDefault="006F5BFE" w:rsidP="005B4D60">
            <w:pPr>
              <w:spacing w:after="120"/>
              <w:rPr>
                <w:lang w:eastAsia="en-US"/>
              </w:rPr>
            </w:pPr>
            <w:r w:rsidRPr="003B2277">
              <w:rPr>
                <w:rFonts w:eastAsia="Calibri" w:cs="Mangal"/>
                <w:lang w:eastAsia="en-US"/>
              </w:rPr>
              <w:t>Preklic</w:t>
            </w:r>
          </w:p>
        </w:tc>
        <w:tc>
          <w:tcPr>
            <w:tcW w:w="4876" w:type="dxa"/>
            <w:hideMark/>
          </w:tcPr>
          <w:p w14:paraId="45ED3361" w14:textId="77777777" w:rsidR="006F5BFE" w:rsidRPr="003B2277" w:rsidRDefault="006F5BFE" w:rsidP="005B4D60">
            <w:pPr>
              <w:spacing w:after="120"/>
              <w:rPr>
                <w:szCs w:val="24"/>
                <w:lang w:eastAsia="en-US"/>
              </w:rPr>
            </w:pPr>
            <w:r w:rsidRPr="003B2277">
              <w:rPr>
                <w:rFonts w:eastAsia="Calibri" w:cs="Mangal"/>
                <w:lang w:eastAsia="en-US"/>
              </w:rPr>
              <w:t>Preklic</w:t>
            </w:r>
          </w:p>
        </w:tc>
      </w:tr>
      <w:tr w:rsidR="006F5BFE" w:rsidRPr="003B2277" w14:paraId="459CBEF3" w14:textId="77777777" w:rsidTr="005B4D60">
        <w:trPr>
          <w:jc w:val="center"/>
        </w:trPr>
        <w:tc>
          <w:tcPr>
            <w:tcW w:w="4876" w:type="dxa"/>
            <w:hideMark/>
          </w:tcPr>
          <w:p w14:paraId="14FDF0F2" w14:textId="77777777" w:rsidR="006F5BFE" w:rsidRPr="003B2277" w:rsidRDefault="006F5BFE" w:rsidP="005B4D60">
            <w:pPr>
              <w:spacing w:after="120"/>
              <w:rPr>
                <w:lang w:eastAsia="en-US"/>
              </w:rPr>
            </w:pPr>
            <w:r w:rsidRPr="003B2277">
              <w:rPr>
                <w:rFonts w:eastAsia="Calibri" w:cs="Mangal"/>
                <w:lang w:eastAsia="en-US"/>
              </w:rPr>
              <w:t>Komisija lahko na lastno pobudo ali na podlagi ustrezno utemeljene zahteve države članice, tretje države ali fizične ali pravne osebe z zakonitim interesom sprejme izvedbene akte, s katerimi prekliče zaščito označbe porekla ali geografske označbe</w:t>
            </w:r>
            <w:r w:rsidRPr="003B2277">
              <w:rPr>
                <w:rFonts w:eastAsia="Calibri" w:cs="Mangal"/>
                <w:b/>
                <w:i/>
                <w:lang w:eastAsia="en-US"/>
              </w:rPr>
              <w:t>, če skladnost z ustrezno specifikacijo proizvoda ni</w:t>
            </w:r>
            <w:r w:rsidRPr="003B2277">
              <w:rPr>
                <w:rFonts w:eastAsia="Calibri" w:cs="Mangal"/>
                <w:lang w:eastAsia="en-US"/>
              </w:rPr>
              <w:t xml:space="preserve"> več </w:t>
            </w:r>
            <w:r w:rsidRPr="003B2277">
              <w:rPr>
                <w:rFonts w:eastAsia="Calibri" w:cs="Mangal"/>
                <w:b/>
                <w:i/>
                <w:lang w:eastAsia="en-US"/>
              </w:rPr>
              <w:t>zagotovljena.</w:t>
            </w:r>
            <w:r w:rsidRPr="003B2277">
              <w:rPr>
                <w:rFonts w:eastAsia="Calibri" w:cs="Mangal"/>
                <w:lang w:eastAsia="en-US"/>
              </w:rPr>
              <w:t xml:space="preserve"> Ti izvedbeni akti se sprejmejo v skladu s postopkom pregleda iz člena 229(2).</w:t>
            </w:r>
          </w:p>
        </w:tc>
        <w:tc>
          <w:tcPr>
            <w:tcW w:w="4876" w:type="dxa"/>
            <w:hideMark/>
          </w:tcPr>
          <w:p w14:paraId="6D1123F1"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lang w:eastAsia="en-US"/>
              </w:rPr>
              <w:tab/>
              <w:t>Komisija lahko na lastno pobudo ali na podlagi ustrezno utemeljene zahteve države članice, tretje države ali fizične ali pravne osebe z zakonitim interesom sprejme izvedbene akte, s katerimi prekliče zaščito označbe porekla ali geografske označbe</w:t>
            </w:r>
            <w:r w:rsidRPr="003B2277">
              <w:rPr>
                <w:rFonts w:eastAsia="Calibri" w:cs="Mangal"/>
                <w:b/>
                <w:i/>
                <w:lang w:eastAsia="en-US"/>
              </w:rPr>
              <w:t xml:space="preserve"> v enem ali</w:t>
            </w:r>
            <w:r w:rsidRPr="003B2277">
              <w:rPr>
                <w:rFonts w:eastAsia="Calibri" w:cs="Mangal"/>
                <w:lang w:eastAsia="en-US"/>
              </w:rPr>
              <w:t xml:space="preserve"> več </w:t>
            </w:r>
            <w:r w:rsidRPr="003B2277">
              <w:rPr>
                <w:rFonts w:eastAsia="Calibri" w:cs="Mangal"/>
                <w:b/>
                <w:i/>
                <w:lang w:eastAsia="en-US"/>
              </w:rPr>
              <w:t>od naslednjih primerov:</w:t>
            </w:r>
          </w:p>
        </w:tc>
      </w:tr>
      <w:tr w:rsidR="006F5BFE" w:rsidRPr="003B2277" w14:paraId="5FC8005D" w14:textId="77777777" w:rsidTr="005B4D60">
        <w:trPr>
          <w:jc w:val="center"/>
        </w:trPr>
        <w:tc>
          <w:tcPr>
            <w:tcW w:w="4876" w:type="dxa"/>
          </w:tcPr>
          <w:p w14:paraId="2956476C" w14:textId="77777777" w:rsidR="006F5BFE" w:rsidRPr="003B2277" w:rsidRDefault="006F5BFE" w:rsidP="005B4D60">
            <w:pPr>
              <w:spacing w:after="120"/>
            </w:pPr>
          </w:p>
        </w:tc>
        <w:tc>
          <w:tcPr>
            <w:tcW w:w="4876" w:type="dxa"/>
            <w:hideMark/>
          </w:tcPr>
          <w:p w14:paraId="6DFEB739" w14:textId="77777777" w:rsidR="006F5BFE" w:rsidRPr="003B2277" w:rsidRDefault="006F5BFE" w:rsidP="005B4D60">
            <w:pPr>
              <w:spacing w:after="120"/>
              <w:rPr>
                <w:szCs w:val="24"/>
                <w:lang w:eastAsia="en-US"/>
              </w:rPr>
            </w:pPr>
            <w:r w:rsidRPr="003B2277">
              <w:rPr>
                <w:rFonts w:eastAsia="Calibri" w:cs="Mangal"/>
                <w:b/>
                <w:i/>
                <w:lang w:eastAsia="en-US"/>
              </w:rPr>
              <w:t>(a) kadar skladnost z ustrezno specifikacijo proizvoda ni več zagotovljena;</w:t>
            </w:r>
          </w:p>
        </w:tc>
      </w:tr>
      <w:tr w:rsidR="006F5BFE" w:rsidRPr="003B2277" w14:paraId="3EF59C0A" w14:textId="77777777" w:rsidTr="005B4D60">
        <w:trPr>
          <w:jc w:val="center"/>
        </w:trPr>
        <w:tc>
          <w:tcPr>
            <w:tcW w:w="4876" w:type="dxa"/>
          </w:tcPr>
          <w:p w14:paraId="16C2D6F7" w14:textId="77777777" w:rsidR="006F5BFE" w:rsidRPr="003B2277" w:rsidRDefault="006F5BFE" w:rsidP="005B4D60">
            <w:pPr>
              <w:spacing w:after="120"/>
            </w:pPr>
          </w:p>
        </w:tc>
        <w:tc>
          <w:tcPr>
            <w:tcW w:w="4876" w:type="dxa"/>
            <w:hideMark/>
          </w:tcPr>
          <w:p w14:paraId="4BBD79C7" w14:textId="77777777" w:rsidR="006F5BFE" w:rsidRPr="003B2277" w:rsidRDefault="006F5BFE" w:rsidP="005B4D60">
            <w:pPr>
              <w:spacing w:after="120"/>
              <w:rPr>
                <w:szCs w:val="24"/>
                <w:lang w:eastAsia="en-US"/>
              </w:rPr>
            </w:pPr>
            <w:r w:rsidRPr="003B2277">
              <w:rPr>
                <w:rFonts w:eastAsia="Calibri" w:cs="Mangal"/>
                <w:b/>
                <w:i/>
                <w:lang w:eastAsia="en-US"/>
              </w:rPr>
              <w:t>(b) kadar najmanj sedem zaporednih let ni bil na trg dan noben proizvod z zadevno označbo porekla ali geografsko označbo;</w:t>
            </w:r>
          </w:p>
        </w:tc>
      </w:tr>
      <w:tr w:rsidR="006F5BFE" w:rsidRPr="003B2277" w14:paraId="7D9CA38C" w14:textId="77777777" w:rsidTr="005B4D60">
        <w:trPr>
          <w:jc w:val="center"/>
        </w:trPr>
        <w:tc>
          <w:tcPr>
            <w:tcW w:w="4876" w:type="dxa"/>
          </w:tcPr>
          <w:p w14:paraId="6F6FEFD1" w14:textId="77777777" w:rsidR="006F5BFE" w:rsidRPr="003B2277" w:rsidRDefault="006F5BFE" w:rsidP="005B4D60">
            <w:pPr>
              <w:spacing w:after="120"/>
            </w:pPr>
          </w:p>
        </w:tc>
        <w:tc>
          <w:tcPr>
            <w:tcW w:w="4876" w:type="dxa"/>
            <w:hideMark/>
          </w:tcPr>
          <w:p w14:paraId="34500A01" w14:textId="77777777" w:rsidR="006F5BFE" w:rsidRPr="003B2277" w:rsidRDefault="006F5BFE" w:rsidP="005B4D60">
            <w:pPr>
              <w:spacing w:after="120"/>
              <w:rPr>
                <w:szCs w:val="24"/>
                <w:lang w:eastAsia="en-US"/>
              </w:rPr>
            </w:pPr>
            <w:r w:rsidRPr="003B2277">
              <w:rPr>
                <w:rFonts w:eastAsia="Calibri" w:cs="Mangal"/>
                <w:b/>
                <w:i/>
                <w:lang w:eastAsia="en-US"/>
              </w:rPr>
              <w:t>(c) kadar vlagatelj, ki izpolnjuje pogoje iz člena 95, izjavi, da ne želi ohraniti zaščite označbe porekla ali geografske označbe.</w:t>
            </w:r>
            <w:r w:rsidRPr="003B2277">
              <w:rPr>
                <w:rFonts w:eastAsia="Calibri" w:cs="Mangal"/>
                <w:lang w:eastAsia="en-US"/>
              </w:rPr>
              <w:t xml:space="preserve"> Ti izvedbeni akti se sprejmejo v skladu s postopkom pregleda iz člena 229(2).</w:t>
            </w:r>
          </w:p>
        </w:tc>
      </w:tr>
      <w:tr w:rsidR="006F5BFE" w:rsidRPr="003B2277" w14:paraId="052EAA58" w14:textId="77777777" w:rsidTr="005B4D60">
        <w:trPr>
          <w:jc w:val="center"/>
        </w:trPr>
        <w:tc>
          <w:tcPr>
            <w:tcW w:w="4876" w:type="dxa"/>
          </w:tcPr>
          <w:p w14:paraId="7D3B343B" w14:textId="77777777" w:rsidR="006F5BFE" w:rsidRPr="003B2277" w:rsidRDefault="006F5BFE" w:rsidP="005B4D60">
            <w:pPr>
              <w:spacing w:after="120"/>
            </w:pPr>
          </w:p>
        </w:tc>
        <w:tc>
          <w:tcPr>
            <w:tcW w:w="4876" w:type="dxa"/>
            <w:hideMark/>
          </w:tcPr>
          <w:p w14:paraId="634FBDBB" w14:textId="77777777" w:rsidR="006F5BFE" w:rsidRPr="003B2277" w:rsidRDefault="006F5BFE" w:rsidP="005B4D60">
            <w:pPr>
              <w:spacing w:after="120"/>
              <w:rPr>
                <w:szCs w:val="24"/>
                <w:lang w:eastAsia="en-US"/>
              </w:rPr>
            </w:pPr>
            <w:r w:rsidRPr="003B2277">
              <w:rPr>
                <w:rFonts w:eastAsia="Calibri" w:cs="Mangal"/>
                <w:b/>
                <w:i/>
                <w:lang w:eastAsia="en-US"/>
              </w:rPr>
              <w:t>1a.</w:t>
            </w:r>
            <w:r w:rsidRPr="003B2277">
              <w:rPr>
                <w:rFonts w:eastAsia="Calibri" w:cs="Mangal"/>
                <w:b/>
                <w:i/>
                <w:lang w:eastAsia="en-US"/>
              </w:rPr>
              <w:tab/>
              <w:t>Če Komisija meni, da zahtevek za preklic ni dopusten, obvesti organ države članice ali tretje države ali fizično ali pravno osebo, ki je vložila zahtevek, o razlogih za ugotovitev nedopustnosti.</w:t>
            </w:r>
          </w:p>
        </w:tc>
      </w:tr>
      <w:tr w:rsidR="006F5BFE" w:rsidRPr="003B2277" w14:paraId="13AEF24F" w14:textId="77777777" w:rsidTr="005B4D60">
        <w:trPr>
          <w:jc w:val="center"/>
        </w:trPr>
        <w:tc>
          <w:tcPr>
            <w:tcW w:w="4876" w:type="dxa"/>
          </w:tcPr>
          <w:p w14:paraId="6A49ABA9" w14:textId="77777777" w:rsidR="006F5BFE" w:rsidRPr="003B2277" w:rsidRDefault="006F5BFE" w:rsidP="005B4D60">
            <w:pPr>
              <w:spacing w:after="120"/>
            </w:pPr>
          </w:p>
        </w:tc>
        <w:tc>
          <w:tcPr>
            <w:tcW w:w="4876" w:type="dxa"/>
            <w:hideMark/>
          </w:tcPr>
          <w:p w14:paraId="274B6D5B" w14:textId="41E2AF1E" w:rsidR="006F5BFE" w:rsidRPr="003B2277" w:rsidRDefault="006F5BFE" w:rsidP="005B4D60">
            <w:pPr>
              <w:spacing w:after="120"/>
              <w:rPr>
                <w:szCs w:val="24"/>
                <w:lang w:eastAsia="en-US"/>
              </w:rPr>
            </w:pPr>
            <w:r w:rsidRPr="003B2277">
              <w:rPr>
                <w:rFonts w:eastAsia="Calibri" w:cs="Mangal"/>
                <w:b/>
                <w:i/>
                <w:lang w:eastAsia="en-US"/>
              </w:rPr>
              <w:t>1b.</w:t>
            </w:r>
            <w:r w:rsidRPr="003B2277">
              <w:rPr>
                <w:rFonts w:eastAsia="Calibri" w:cs="Mangal"/>
                <w:b/>
                <w:i/>
                <w:lang w:eastAsia="en-US"/>
              </w:rPr>
              <w:tab/>
              <w:t>Utemeljene izjave o ugovoru zoper preklic so dopustne le, če izkazujejo trgovinsko odvisnost zainteresirane osebe v zvezi z registriranim imenom.“</w:t>
            </w:r>
          </w:p>
        </w:tc>
      </w:tr>
    </w:tbl>
    <w:p w14:paraId="456B1265" w14:textId="77777777" w:rsidR="006F5BFE" w:rsidRPr="003B2277" w:rsidRDefault="006F5BFE" w:rsidP="006F5BFE">
      <w:pPr>
        <w:rPr>
          <w:lang w:eastAsia="en-US"/>
        </w:rPr>
      </w:pPr>
    </w:p>
    <w:p w14:paraId="37AD88C7" w14:textId="3CAA7733"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96</w:t>
      </w:r>
    </w:p>
    <w:p w14:paraId="17651D33" w14:textId="77777777" w:rsidR="006F5BFE" w:rsidRPr="003B2277" w:rsidRDefault="006F5BFE" w:rsidP="006F5BFE"/>
    <w:p w14:paraId="1D1DFE61" w14:textId="77777777" w:rsidR="006F5BFE" w:rsidRPr="003B2277" w:rsidRDefault="006F5BFE" w:rsidP="006F5BFE">
      <w:pPr>
        <w:keepNext/>
        <w:rPr>
          <w:b/>
          <w:lang w:eastAsia="en-US"/>
        </w:rPr>
      </w:pPr>
      <w:r w:rsidRPr="003B2277">
        <w:rPr>
          <w:rFonts w:eastAsia="Calibri" w:cs="Mangal"/>
          <w:b/>
          <w:lang w:eastAsia="en-US"/>
        </w:rPr>
        <w:t>Predlog uredbe</w:t>
      </w:r>
    </w:p>
    <w:p w14:paraId="22B48257" w14:textId="77777777" w:rsidR="006F5BFE" w:rsidRPr="003B2277" w:rsidRDefault="006F5BFE" w:rsidP="006F5BFE">
      <w:pPr>
        <w:rPr>
          <w:b/>
          <w:lang w:eastAsia="en-US"/>
        </w:rPr>
      </w:pPr>
      <w:r w:rsidRPr="003B2277">
        <w:rPr>
          <w:rFonts w:eastAsia="Calibri" w:cs="Mangal"/>
          <w:b/>
          <w:lang w:eastAsia="en-US"/>
        </w:rPr>
        <w:t>Člen 1 – odstavek 1 – točka 15 b (novo)</w:t>
      </w:r>
    </w:p>
    <w:p w14:paraId="01F918CE" w14:textId="77777777" w:rsidR="006F5BFE" w:rsidRPr="003B2277" w:rsidRDefault="006F5BFE" w:rsidP="006F5BFE">
      <w:pPr>
        <w:keepNext/>
        <w:rPr>
          <w:lang w:eastAsia="en-US"/>
        </w:rPr>
      </w:pPr>
      <w:r w:rsidRPr="003B2277">
        <w:rPr>
          <w:rFonts w:eastAsia="Calibri" w:cs="Mangal"/>
          <w:lang w:eastAsia="en-US"/>
        </w:rPr>
        <w:t>Uredba (EU) št. 1308/2013</w:t>
      </w:r>
    </w:p>
    <w:p w14:paraId="4C39381B" w14:textId="77777777" w:rsidR="006F5BFE" w:rsidRPr="003B2277" w:rsidRDefault="006F5BFE" w:rsidP="006F5BFE">
      <w:pPr>
        <w:rPr>
          <w:lang w:eastAsia="en-US"/>
        </w:rPr>
      </w:pPr>
      <w:r w:rsidRPr="003B2277">
        <w:rPr>
          <w:rFonts w:eastAsia="Calibri" w:cs="Mangal"/>
          <w:lang w:eastAsia="en-US"/>
        </w:rPr>
        <w:t>Člen 106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F868942" w14:textId="77777777" w:rsidTr="005B4D60">
        <w:trPr>
          <w:jc w:val="center"/>
        </w:trPr>
        <w:tc>
          <w:tcPr>
            <w:tcW w:w="9752" w:type="dxa"/>
            <w:gridSpan w:val="2"/>
          </w:tcPr>
          <w:p w14:paraId="4A2A302A" w14:textId="77777777" w:rsidR="006F5BFE" w:rsidRPr="003B2277" w:rsidRDefault="006F5BFE" w:rsidP="005B4D60">
            <w:pPr>
              <w:keepNext/>
            </w:pPr>
          </w:p>
        </w:tc>
      </w:tr>
      <w:tr w:rsidR="006F5BFE" w:rsidRPr="003B2277" w14:paraId="0ECB2D21" w14:textId="77777777" w:rsidTr="005B4D60">
        <w:trPr>
          <w:jc w:val="center"/>
        </w:trPr>
        <w:tc>
          <w:tcPr>
            <w:tcW w:w="4876" w:type="dxa"/>
            <w:hideMark/>
          </w:tcPr>
          <w:p w14:paraId="774C862F"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DC4B7C7" w14:textId="72ABB7D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7969F7D" w14:textId="77777777" w:rsidTr="005B4D60">
        <w:trPr>
          <w:jc w:val="center"/>
        </w:trPr>
        <w:tc>
          <w:tcPr>
            <w:tcW w:w="4876" w:type="dxa"/>
          </w:tcPr>
          <w:p w14:paraId="238F0AAE" w14:textId="77777777" w:rsidR="006F5BFE" w:rsidRPr="003B2277" w:rsidRDefault="006F5BFE" w:rsidP="005B4D60">
            <w:pPr>
              <w:spacing w:after="120"/>
            </w:pPr>
          </w:p>
        </w:tc>
        <w:tc>
          <w:tcPr>
            <w:tcW w:w="4876" w:type="dxa"/>
            <w:hideMark/>
          </w:tcPr>
          <w:p w14:paraId="419977D3" w14:textId="77777777" w:rsidR="006F5BFE" w:rsidRPr="003B2277" w:rsidRDefault="006F5BFE" w:rsidP="005B4D60">
            <w:pPr>
              <w:spacing w:after="120"/>
              <w:rPr>
                <w:szCs w:val="24"/>
                <w:lang w:eastAsia="en-US"/>
              </w:rPr>
            </w:pPr>
            <w:r w:rsidRPr="003B2277">
              <w:rPr>
                <w:rFonts w:eastAsia="Calibri" w:cs="Mangal"/>
                <w:b/>
                <w:i/>
                <w:lang w:eastAsia="en-US"/>
              </w:rPr>
              <w:t>(15b)</w:t>
            </w:r>
            <w:r w:rsidRPr="003B2277">
              <w:rPr>
                <w:rFonts w:eastAsia="Calibri" w:cs="Mangal"/>
                <w:b/>
                <w:i/>
                <w:lang w:eastAsia="en-US"/>
              </w:rPr>
              <w:tab/>
              <w:t>vstavi se naslednji člen:</w:t>
            </w:r>
          </w:p>
        </w:tc>
      </w:tr>
      <w:tr w:rsidR="006F5BFE" w:rsidRPr="003B2277" w14:paraId="109B86ED" w14:textId="77777777" w:rsidTr="005B4D60">
        <w:trPr>
          <w:jc w:val="center"/>
        </w:trPr>
        <w:tc>
          <w:tcPr>
            <w:tcW w:w="4876" w:type="dxa"/>
          </w:tcPr>
          <w:p w14:paraId="28713CFA" w14:textId="77777777" w:rsidR="006F5BFE" w:rsidRPr="003B2277" w:rsidRDefault="006F5BFE" w:rsidP="005B4D60">
            <w:pPr>
              <w:spacing w:after="120"/>
            </w:pPr>
          </w:p>
        </w:tc>
        <w:tc>
          <w:tcPr>
            <w:tcW w:w="4876" w:type="dxa"/>
            <w:hideMark/>
          </w:tcPr>
          <w:p w14:paraId="1B3D1000" w14:textId="77777777" w:rsidR="006F5BFE" w:rsidRPr="003B2277" w:rsidRDefault="006F5BFE" w:rsidP="005B4D60">
            <w:pPr>
              <w:spacing w:after="120"/>
              <w:rPr>
                <w:szCs w:val="24"/>
                <w:lang w:eastAsia="en-US"/>
              </w:rPr>
            </w:pPr>
            <w:r w:rsidRPr="003B2277">
              <w:rPr>
                <w:rFonts w:eastAsia="Calibri" w:cs="Mangal"/>
                <w:b/>
                <w:i/>
                <w:lang w:eastAsia="en-US"/>
              </w:rPr>
              <w:t>„Člen 106a</w:t>
            </w:r>
          </w:p>
        </w:tc>
      </w:tr>
      <w:tr w:rsidR="006F5BFE" w:rsidRPr="003B2277" w14:paraId="5532864F" w14:textId="77777777" w:rsidTr="005B4D60">
        <w:trPr>
          <w:jc w:val="center"/>
        </w:trPr>
        <w:tc>
          <w:tcPr>
            <w:tcW w:w="4876" w:type="dxa"/>
          </w:tcPr>
          <w:p w14:paraId="3993EB0B" w14:textId="77777777" w:rsidR="006F5BFE" w:rsidRPr="003B2277" w:rsidRDefault="006F5BFE" w:rsidP="005B4D60">
            <w:pPr>
              <w:spacing w:after="120"/>
            </w:pPr>
          </w:p>
        </w:tc>
        <w:tc>
          <w:tcPr>
            <w:tcW w:w="4876" w:type="dxa"/>
            <w:hideMark/>
          </w:tcPr>
          <w:p w14:paraId="7AACE0A1" w14:textId="77777777" w:rsidR="006F5BFE" w:rsidRPr="003B2277" w:rsidRDefault="006F5BFE" w:rsidP="005B4D60">
            <w:pPr>
              <w:spacing w:after="120"/>
              <w:rPr>
                <w:szCs w:val="24"/>
                <w:lang w:eastAsia="en-US"/>
              </w:rPr>
            </w:pPr>
            <w:r w:rsidRPr="003B2277">
              <w:rPr>
                <w:rFonts w:eastAsia="Calibri" w:cs="Mangal"/>
                <w:b/>
                <w:i/>
                <w:lang w:eastAsia="en-US"/>
              </w:rPr>
              <w:t>Začasno označevanje in predstavitev</w:t>
            </w:r>
          </w:p>
        </w:tc>
      </w:tr>
      <w:tr w:rsidR="006F5BFE" w:rsidRPr="003B2277" w14:paraId="267F5A0C" w14:textId="77777777" w:rsidTr="005B4D60">
        <w:trPr>
          <w:jc w:val="center"/>
        </w:trPr>
        <w:tc>
          <w:tcPr>
            <w:tcW w:w="4876" w:type="dxa"/>
          </w:tcPr>
          <w:p w14:paraId="0E576E6D" w14:textId="77777777" w:rsidR="006F5BFE" w:rsidRPr="003B2277" w:rsidRDefault="006F5BFE" w:rsidP="005B4D60">
            <w:pPr>
              <w:spacing w:after="120"/>
            </w:pPr>
          </w:p>
        </w:tc>
        <w:tc>
          <w:tcPr>
            <w:tcW w:w="4876" w:type="dxa"/>
            <w:hideMark/>
          </w:tcPr>
          <w:p w14:paraId="4B340A63" w14:textId="77777777" w:rsidR="006F5BFE" w:rsidRPr="003B2277" w:rsidRDefault="006F5BFE" w:rsidP="005B4D60">
            <w:pPr>
              <w:spacing w:after="120"/>
              <w:rPr>
                <w:szCs w:val="24"/>
                <w:lang w:eastAsia="en-US"/>
              </w:rPr>
            </w:pPr>
            <w:r w:rsidRPr="003B2277">
              <w:rPr>
                <w:rFonts w:eastAsia="Calibri" w:cs="Mangal"/>
                <w:b/>
                <w:i/>
                <w:lang w:eastAsia="en-US"/>
              </w:rPr>
              <w:t>Po posredovanju vloge za zaščito označbe porekla ali geografske označbe Komisiji jo lahko proizvajalci navedejo pri označevanju in predstavitvi ter uporabljajo nacionalne logotipe in označbe v skladu s pravom Unije, zlasti Uredbo (EU) št. 1169/2011.</w:t>
            </w:r>
          </w:p>
        </w:tc>
      </w:tr>
      <w:tr w:rsidR="006F5BFE" w:rsidRPr="003B2277" w14:paraId="0E273B02" w14:textId="77777777" w:rsidTr="005B4D60">
        <w:trPr>
          <w:jc w:val="center"/>
        </w:trPr>
        <w:tc>
          <w:tcPr>
            <w:tcW w:w="4876" w:type="dxa"/>
          </w:tcPr>
          <w:p w14:paraId="7EAE4F47" w14:textId="77777777" w:rsidR="006F5BFE" w:rsidRPr="003B2277" w:rsidRDefault="006F5BFE" w:rsidP="005B4D60">
            <w:pPr>
              <w:spacing w:after="120"/>
            </w:pPr>
          </w:p>
        </w:tc>
        <w:tc>
          <w:tcPr>
            <w:tcW w:w="4876" w:type="dxa"/>
            <w:hideMark/>
          </w:tcPr>
          <w:p w14:paraId="00245D98" w14:textId="77777777" w:rsidR="006F5BFE" w:rsidRPr="003B2277" w:rsidRDefault="006F5BFE" w:rsidP="005B4D60">
            <w:pPr>
              <w:spacing w:after="120"/>
              <w:rPr>
                <w:szCs w:val="24"/>
                <w:lang w:eastAsia="en-US"/>
              </w:rPr>
            </w:pPr>
            <w:r w:rsidRPr="003B2277">
              <w:rPr>
                <w:rFonts w:eastAsia="Calibri" w:cs="Mangal"/>
                <w:b/>
                <w:i/>
                <w:lang w:eastAsia="en-US"/>
              </w:rPr>
              <w:t>Simboli Unije, ki označujejo zaščiteno označbo porekla ali zaščiteno geografsko označbo, označbi Unije „zaščitena označba porekla“ ali „zaščitena geografska označba“ ter kratici Unije „ZOP“ in „ZGO“ se lahko na etiketah uporabljajo šele po objavi sklepa o podelitvi zaščite zadevni označbi porekla ali geografski označbi.</w:t>
            </w:r>
          </w:p>
        </w:tc>
      </w:tr>
      <w:tr w:rsidR="006F5BFE" w:rsidRPr="003B2277" w14:paraId="711D75C1" w14:textId="77777777" w:rsidTr="005B4D60">
        <w:trPr>
          <w:jc w:val="center"/>
        </w:trPr>
        <w:tc>
          <w:tcPr>
            <w:tcW w:w="4876" w:type="dxa"/>
          </w:tcPr>
          <w:p w14:paraId="120F6458" w14:textId="77777777" w:rsidR="006F5BFE" w:rsidRPr="003B2277" w:rsidRDefault="006F5BFE" w:rsidP="005B4D60">
            <w:pPr>
              <w:spacing w:after="120"/>
            </w:pPr>
          </w:p>
        </w:tc>
        <w:tc>
          <w:tcPr>
            <w:tcW w:w="4876" w:type="dxa"/>
            <w:hideMark/>
          </w:tcPr>
          <w:p w14:paraId="738930AE" w14:textId="77777777" w:rsidR="006F5BFE" w:rsidRPr="003B2277" w:rsidRDefault="006F5BFE" w:rsidP="005B4D60">
            <w:pPr>
              <w:spacing w:after="120"/>
              <w:rPr>
                <w:szCs w:val="24"/>
                <w:lang w:eastAsia="en-US"/>
              </w:rPr>
            </w:pPr>
            <w:r w:rsidRPr="003B2277">
              <w:rPr>
                <w:rFonts w:eastAsia="Calibri" w:cs="Mangal"/>
                <w:b/>
                <w:i/>
                <w:lang w:eastAsia="en-US"/>
              </w:rPr>
              <w:t>Če se vloga zavrne, se lahko vsi proizvodi vinske trte, označeni v skladu s prvim odstavkom, tržijo do izčrpanja zalog.“</w:t>
            </w:r>
          </w:p>
        </w:tc>
      </w:tr>
    </w:tbl>
    <w:p w14:paraId="123B6AC5" w14:textId="77777777" w:rsidR="006F5BFE" w:rsidRPr="003B2277" w:rsidRDefault="006F5BFE" w:rsidP="006F5BFE">
      <w:pPr>
        <w:rPr>
          <w:lang w:eastAsia="en-US"/>
        </w:rPr>
      </w:pPr>
    </w:p>
    <w:p w14:paraId="0C7BD293" w14:textId="40B99F6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97</w:t>
      </w:r>
    </w:p>
    <w:p w14:paraId="0549FE10" w14:textId="77777777" w:rsidR="006F5BFE" w:rsidRPr="003B2277" w:rsidRDefault="006F5BFE" w:rsidP="006F5BFE">
      <w:pPr>
        <w:spacing w:before="240"/>
        <w:rPr>
          <w:b/>
          <w:lang w:eastAsia="en-US"/>
        </w:rPr>
      </w:pPr>
      <w:r w:rsidRPr="003B2277">
        <w:rPr>
          <w:rFonts w:eastAsia="Calibri" w:cs="Mangal"/>
          <w:b/>
          <w:lang w:eastAsia="en-US"/>
        </w:rPr>
        <w:t>Predlog uredbe</w:t>
      </w:r>
    </w:p>
    <w:p w14:paraId="02A4692F" w14:textId="77777777" w:rsidR="006F5BFE" w:rsidRPr="003B2277" w:rsidRDefault="006F5BFE" w:rsidP="006F5BFE">
      <w:pPr>
        <w:rPr>
          <w:b/>
          <w:lang w:eastAsia="en-US"/>
        </w:rPr>
      </w:pPr>
      <w:r w:rsidRPr="003B2277">
        <w:rPr>
          <w:rFonts w:eastAsia="Calibri" w:cs="Mangal"/>
          <w:b/>
          <w:lang w:eastAsia="en-US"/>
        </w:rPr>
        <w:t>Člen 1 – odstavek 1 – točka 15 c (novo)</w:t>
      </w:r>
    </w:p>
    <w:p w14:paraId="7863DA7B" w14:textId="77777777" w:rsidR="006F5BFE" w:rsidRPr="003B2277" w:rsidRDefault="006F5BFE" w:rsidP="006F5BFE">
      <w:pPr>
        <w:keepNext/>
        <w:rPr>
          <w:lang w:eastAsia="en-US"/>
        </w:rPr>
      </w:pPr>
      <w:r w:rsidRPr="003B2277">
        <w:rPr>
          <w:rFonts w:eastAsia="Calibri" w:cs="Mangal"/>
          <w:lang w:eastAsia="en-US"/>
        </w:rPr>
        <w:t>Uredba (EU) št. 1308/2013</w:t>
      </w:r>
    </w:p>
    <w:p w14:paraId="29C1998C" w14:textId="77777777" w:rsidR="006F5BFE" w:rsidRPr="003B2277" w:rsidRDefault="006F5BFE" w:rsidP="006F5BFE">
      <w:pPr>
        <w:rPr>
          <w:lang w:eastAsia="en-US"/>
        </w:rPr>
      </w:pPr>
      <w:r w:rsidRPr="003B2277">
        <w:rPr>
          <w:rFonts w:eastAsia="Calibri" w:cs="Mangal"/>
          <w:lang w:eastAsia="en-US"/>
        </w:rPr>
        <w:t>Člen 107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77E651D" w14:textId="77777777" w:rsidTr="005B4D60">
        <w:trPr>
          <w:jc w:val="center"/>
        </w:trPr>
        <w:tc>
          <w:tcPr>
            <w:tcW w:w="9752" w:type="dxa"/>
            <w:gridSpan w:val="2"/>
          </w:tcPr>
          <w:p w14:paraId="032C59D1" w14:textId="77777777" w:rsidR="006F5BFE" w:rsidRPr="003B2277" w:rsidRDefault="006F5BFE" w:rsidP="005B4D60">
            <w:pPr>
              <w:keepNext/>
            </w:pPr>
          </w:p>
        </w:tc>
      </w:tr>
      <w:tr w:rsidR="006F5BFE" w:rsidRPr="003B2277" w14:paraId="743DBCE7" w14:textId="77777777" w:rsidTr="005B4D60">
        <w:trPr>
          <w:jc w:val="center"/>
        </w:trPr>
        <w:tc>
          <w:tcPr>
            <w:tcW w:w="4876" w:type="dxa"/>
            <w:hideMark/>
          </w:tcPr>
          <w:p w14:paraId="26FA009A"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FF5D01C" w14:textId="2C25380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F9D089F" w14:textId="77777777" w:rsidTr="005B4D60">
        <w:trPr>
          <w:jc w:val="center"/>
        </w:trPr>
        <w:tc>
          <w:tcPr>
            <w:tcW w:w="4876" w:type="dxa"/>
          </w:tcPr>
          <w:p w14:paraId="7F84D7FC" w14:textId="77777777" w:rsidR="006F5BFE" w:rsidRPr="003B2277" w:rsidRDefault="006F5BFE" w:rsidP="005B4D60">
            <w:pPr>
              <w:spacing w:after="120"/>
            </w:pPr>
          </w:p>
        </w:tc>
        <w:tc>
          <w:tcPr>
            <w:tcW w:w="4876" w:type="dxa"/>
            <w:hideMark/>
          </w:tcPr>
          <w:p w14:paraId="265ED84F" w14:textId="77777777" w:rsidR="006F5BFE" w:rsidRPr="003B2277" w:rsidRDefault="006F5BFE" w:rsidP="005B4D60">
            <w:pPr>
              <w:spacing w:after="120"/>
              <w:rPr>
                <w:szCs w:val="24"/>
                <w:lang w:eastAsia="en-US"/>
              </w:rPr>
            </w:pPr>
            <w:r w:rsidRPr="003B2277">
              <w:rPr>
                <w:rFonts w:eastAsia="Calibri" w:cs="Mangal"/>
                <w:b/>
                <w:i/>
                <w:lang w:eastAsia="en-US"/>
              </w:rPr>
              <w:t>(15c)</w:t>
            </w:r>
            <w:r w:rsidRPr="003B2277">
              <w:rPr>
                <w:rFonts w:eastAsia="Calibri" w:cs="Mangal"/>
                <w:b/>
                <w:i/>
                <w:lang w:eastAsia="en-US"/>
              </w:rPr>
              <w:tab/>
              <w:t>doda se naslednji člen:</w:t>
            </w:r>
          </w:p>
        </w:tc>
      </w:tr>
      <w:tr w:rsidR="006F5BFE" w:rsidRPr="003B2277" w14:paraId="20AB5FEB" w14:textId="77777777" w:rsidTr="005B4D60">
        <w:trPr>
          <w:jc w:val="center"/>
        </w:trPr>
        <w:tc>
          <w:tcPr>
            <w:tcW w:w="4876" w:type="dxa"/>
          </w:tcPr>
          <w:p w14:paraId="66607EE5" w14:textId="77777777" w:rsidR="006F5BFE" w:rsidRPr="003B2277" w:rsidRDefault="006F5BFE" w:rsidP="005B4D60">
            <w:pPr>
              <w:spacing w:after="120"/>
            </w:pPr>
          </w:p>
        </w:tc>
        <w:tc>
          <w:tcPr>
            <w:tcW w:w="4876" w:type="dxa"/>
          </w:tcPr>
          <w:p w14:paraId="1EF10DCE" w14:textId="77777777" w:rsidR="006F5BFE" w:rsidRPr="003B2277" w:rsidRDefault="006F5BFE" w:rsidP="005B4D60">
            <w:pPr>
              <w:spacing w:after="120"/>
              <w:rPr>
                <w:b/>
                <w:i/>
                <w:lang w:eastAsia="en-US"/>
              </w:rPr>
            </w:pPr>
            <w:r w:rsidRPr="003B2277">
              <w:rPr>
                <w:rFonts w:eastAsia="Calibri" w:cs="Mangal"/>
                <w:b/>
                <w:i/>
                <w:lang w:eastAsia="en-US"/>
              </w:rPr>
              <w:t>„Člen 107a</w:t>
            </w:r>
          </w:p>
        </w:tc>
      </w:tr>
      <w:tr w:rsidR="006F5BFE" w:rsidRPr="003B2277" w14:paraId="2A465BED" w14:textId="77777777" w:rsidTr="005B4D60">
        <w:trPr>
          <w:jc w:val="center"/>
        </w:trPr>
        <w:tc>
          <w:tcPr>
            <w:tcW w:w="4876" w:type="dxa"/>
          </w:tcPr>
          <w:p w14:paraId="698B8A2B" w14:textId="77777777" w:rsidR="006F5BFE" w:rsidRPr="003B2277" w:rsidRDefault="006F5BFE" w:rsidP="005B4D60">
            <w:pPr>
              <w:spacing w:after="120"/>
            </w:pPr>
          </w:p>
        </w:tc>
        <w:tc>
          <w:tcPr>
            <w:tcW w:w="4876" w:type="dxa"/>
          </w:tcPr>
          <w:p w14:paraId="29407E9F" w14:textId="77777777" w:rsidR="006F5BFE" w:rsidRPr="003B2277" w:rsidRDefault="006F5BFE" w:rsidP="005B4D60">
            <w:pPr>
              <w:spacing w:after="120"/>
              <w:rPr>
                <w:b/>
                <w:i/>
                <w:lang w:eastAsia="en-US"/>
              </w:rPr>
            </w:pPr>
            <w:r w:rsidRPr="003B2277">
              <w:rPr>
                <w:rFonts w:eastAsia="Calibri" w:cs="Mangal"/>
                <w:b/>
                <w:i/>
                <w:lang w:eastAsia="en-US"/>
              </w:rPr>
              <w:t>Uporaba specifikacije proizvoda na območjih, kjer se proizvajajo vinska žganja</w:t>
            </w:r>
          </w:p>
        </w:tc>
      </w:tr>
      <w:tr w:rsidR="006F5BFE" w:rsidRPr="003B2277" w14:paraId="2198CD89" w14:textId="77777777" w:rsidTr="005B4D60">
        <w:trPr>
          <w:jc w:val="center"/>
        </w:trPr>
        <w:tc>
          <w:tcPr>
            <w:tcW w:w="4876" w:type="dxa"/>
          </w:tcPr>
          <w:p w14:paraId="6841557B" w14:textId="77777777" w:rsidR="006F5BFE" w:rsidRPr="003B2277" w:rsidRDefault="006F5BFE" w:rsidP="005B4D60">
            <w:pPr>
              <w:spacing w:after="120"/>
            </w:pPr>
          </w:p>
        </w:tc>
        <w:tc>
          <w:tcPr>
            <w:tcW w:w="4876" w:type="dxa"/>
            <w:hideMark/>
          </w:tcPr>
          <w:p w14:paraId="2D794D57" w14:textId="3064FBA0" w:rsidR="006F5BFE" w:rsidRPr="003B2277" w:rsidRDefault="006F5BFE" w:rsidP="005B4D60">
            <w:pPr>
              <w:spacing w:after="120"/>
              <w:rPr>
                <w:szCs w:val="24"/>
                <w:lang w:eastAsia="en-US"/>
              </w:rPr>
            </w:pPr>
            <w:r w:rsidRPr="003B2277">
              <w:rPr>
                <w:rFonts w:eastAsia="Calibri" w:cs="Mangal"/>
                <w:b/>
                <w:i/>
                <w:lang w:eastAsia="en-US"/>
              </w:rPr>
              <w:t>Države članice lahko specifikacijo proizvoda v smislu člena 94(2) uporabljajo za območja, kjer se pridelujejo vina, primerna za proizvodnjo vinskega žganja z geografsko označbo, registrirano v skladu s Prilogo III k Uredbi (ES) št. 110/2008.“</w:t>
            </w:r>
          </w:p>
        </w:tc>
      </w:tr>
    </w:tbl>
    <w:p w14:paraId="640641A0" w14:textId="77777777" w:rsidR="006F5BFE" w:rsidRPr="003B2277" w:rsidRDefault="006F5BFE" w:rsidP="006F5BFE">
      <w:pPr>
        <w:rPr>
          <w:lang w:eastAsia="en-US"/>
        </w:rPr>
      </w:pPr>
    </w:p>
    <w:p w14:paraId="5F107B14" w14:textId="2AE2C62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98</w:t>
      </w:r>
    </w:p>
    <w:p w14:paraId="164E93F2" w14:textId="77777777" w:rsidR="006F5BFE" w:rsidRPr="003B2277" w:rsidRDefault="006F5BFE" w:rsidP="006F5BFE">
      <w:pPr>
        <w:keepNext/>
        <w:rPr>
          <w:b/>
          <w:lang w:eastAsia="en-US"/>
        </w:rPr>
      </w:pPr>
      <w:r w:rsidRPr="003B2277">
        <w:rPr>
          <w:rFonts w:eastAsia="Calibri" w:cs="Mangal"/>
          <w:b/>
          <w:lang w:eastAsia="en-US"/>
        </w:rPr>
        <w:t>Predlog uredbe</w:t>
      </w:r>
    </w:p>
    <w:p w14:paraId="5F8E710C" w14:textId="77777777" w:rsidR="006F5BFE" w:rsidRPr="003B2277" w:rsidRDefault="006F5BFE" w:rsidP="006F5BFE">
      <w:pPr>
        <w:rPr>
          <w:b/>
          <w:lang w:eastAsia="en-US"/>
        </w:rPr>
      </w:pPr>
      <w:r w:rsidRPr="003B2277">
        <w:rPr>
          <w:rFonts w:eastAsia="Calibri" w:cs="Mangal"/>
          <w:b/>
          <w:lang w:eastAsia="en-US"/>
        </w:rPr>
        <w:t>Člen 1 – odstavek 1 – točka 17</w:t>
      </w:r>
    </w:p>
    <w:p w14:paraId="7693B3CB" w14:textId="77777777" w:rsidR="006F5BFE" w:rsidRPr="003B2277" w:rsidRDefault="006F5BFE" w:rsidP="006F5BFE">
      <w:pPr>
        <w:keepNext/>
        <w:rPr>
          <w:lang w:eastAsia="en-US"/>
        </w:rPr>
      </w:pPr>
      <w:r w:rsidRPr="003B2277">
        <w:rPr>
          <w:rFonts w:eastAsia="Calibri" w:cs="Mangal"/>
          <w:lang w:eastAsia="en-US"/>
        </w:rPr>
        <w:t>Uredba (EU) št. 1308/2013</w:t>
      </w:r>
    </w:p>
    <w:p w14:paraId="1B657C2B" w14:textId="77777777" w:rsidR="006F5BFE" w:rsidRPr="003B2277" w:rsidRDefault="006F5BFE" w:rsidP="006F5BFE">
      <w:pPr>
        <w:rPr>
          <w:lang w:eastAsia="en-US"/>
        </w:rPr>
      </w:pPr>
      <w:r w:rsidRPr="003B2277">
        <w:rPr>
          <w:rFonts w:eastAsia="Calibri" w:cs="Mangal"/>
          <w:lang w:eastAsia="en-US"/>
        </w:rPr>
        <w:t>Člen 116a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C80D4F6" w14:textId="77777777" w:rsidTr="005B4D60">
        <w:trPr>
          <w:jc w:val="center"/>
        </w:trPr>
        <w:tc>
          <w:tcPr>
            <w:tcW w:w="9752" w:type="dxa"/>
            <w:gridSpan w:val="2"/>
          </w:tcPr>
          <w:p w14:paraId="1F593632" w14:textId="77777777" w:rsidR="006F5BFE" w:rsidRPr="003B2277" w:rsidRDefault="006F5BFE" w:rsidP="005B4D60">
            <w:pPr>
              <w:keepNext/>
            </w:pPr>
          </w:p>
        </w:tc>
      </w:tr>
      <w:tr w:rsidR="006F5BFE" w:rsidRPr="003B2277" w14:paraId="653FA833" w14:textId="77777777" w:rsidTr="005B4D60">
        <w:trPr>
          <w:jc w:val="center"/>
        </w:trPr>
        <w:tc>
          <w:tcPr>
            <w:tcW w:w="4876" w:type="dxa"/>
            <w:hideMark/>
          </w:tcPr>
          <w:p w14:paraId="3576AF1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52706E1" w14:textId="58D776D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011DA3A" w14:textId="77777777" w:rsidTr="005B4D60">
        <w:trPr>
          <w:jc w:val="center"/>
        </w:trPr>
        <w:tc>
          <w:tcPr>
            <w:tcW w:w="4876" w:type="dxa"/>
            <w:hideMark/>
          </w:tcPr>
          <w:p w14:paraId="56248AC9"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Znotraj Unije pristojni organ iz odstavka 2 ali eden ali več delegiranih organov v smislu točke 5 člena 3 Uredbe (EU) 2017/625, ki delujejo kot certifikacijski organ za proizvode v skladu z merili iz poglavja III naslova II navedene uredbe, vsako leto zagotovijo preverjanje skladnosti s specifikacijo proizvoda med proizvodnjo in med polnjenjem vina ali po njem.</w:t>
            </w:r>
          </w:p>
        </w:tc>
        <w:tc>
          <w:tcPr>
            <w:tcW w:w="4876" w:type="dxa"/>
            <w:hideMark/>
          </w:tcPr>
          <w:p w14:paraId="52ED2E30"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Znotraj Unije pristojni organ iz odstavka 2 ali eden ali več delegiranih organov v smislu točke 5 člena 3 Uredbe (EU) 2017/625, ki delujejo kot certifikacijski organ za proizvode v skladu z merili iz poglavja III naslova II navedene uredbe, vsako leto zagotovijo preverjanje skladnosti s specifikacijo proizvoda med proizvodnjo in med polnjenjem vina ali po njem</w:t>
            </w:r>
            <w:r w:rsidRPr="003B2277">
              <w:rPr>
                <w:rFonts w:eastAsia="Calibri" w:cs="Mangal"/>
                <w:b/>
                <w:i/>
                <w:lang w:eastAsia="en-US"/>
              </w:rPr>
              <w:t>, tudi v državi članici, v kateri poteka proizvodnja vina</w:t>
            </w:r>
            <w:r w:rsidRPr="003B2277">
              <w:rPr>
                <w:rFonts w:eastAsia="Calibri" w:cs="Mangal"/>
                <w:lang w:eastAsia="en-US"/>
              </w:rPr>
              <w:t>.</w:t>
            </w:r>
          </w:p>
        </w:tc>
      </w:tr>
    </w:tbl>
    <w:p w14:paraId="77EDC765" w14:textId="77777777" w:rsidR="006F5BFE" w:rsidRPr="003B2277" w:rsidRDefault="006F5BFE" w:rsidP="006F5BFE">
      <w:pPr>
        <w:rPr>
          <w:lang w:eastAsia="en-US"/>
        </w:rPr>
      </w:pPr>
    </w:p>
    <w:p w14:paraId="78077648" w14:textId="5CF6FF4E"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99</w:t>
      </w:r>
    </w:p>
    <w:p w14:paraId="5151AD74" w14:textId="77777777" w:rsidR="006F5BFE" w:rsidRPr="003B2277" w:rsidRDefault="006F5BFE" w:rsidP="006F5BFE">
      <w:pPr>
        <w:keepNext/>
        <w:rPr>
          <w:b/>
          <w:lang w:eastAsia="en-US"/>
        </w:rPr>
      </w:pPr>
      <w:r w:rsidRPr="003B2277">
        <w:rPr>
          <w:rFonts w:eastAsia="Calibri" w:cs="Mangal"/>
          <w:b/>
          <w:lang w:eastAsia="en-US"/>
        </w:rPr>
        <w:t>Predlog uredbe</w:t>
      </w:r>
    </w:p>
    <w:p w14:paraId="45781A60" w14:textId="77777777" w:rsidR="006F5BFE" w:rsidRPr="003B2277" w:rsidRDefault="006F5BFE" w:rsidP="006F5BFE">
      <w:pPr>
        <w:rPr>
          <w:b/>
          <w:lang w:eastAsia="en-US"/>
        </w:rPr>
      </w:pPr>
      <w:r w:rsidRPr="003B2277">
        <w:rPr>
          <w:rFonts w:eastAsia="Calibri" w:cs="Mangal"/>
          <w:b/>
          <w:lang w:eastAsia="en-US"/>
        </w:rPr>
        <w:t>Člen 1 – odstavek 1 – točka 17</w:t>
      </w:r>
    </w:p>
    <w:p w14:paraId="2B98A98C" w14:textId="77777777" w:rsidR="006F5BFE" w:rsidRPr="003B2277" w:rsidRDefault="006F5BFE" w:rsidP="006F5BFE">
      <w:pPr>
        <w:keepNext/>
        <w:rPr>
          <w:lang w:eastAsia="en-US"/>
        </w:rPr>
      </w:pPr>
      <w:r w:rsidRPr="003B2277">
        <w:rPr>
          <w:rFonts w:eastAsia="Calibri" w:cs="Mangal"/>
          <w:lang w:eastAsia="en-US"/>
        </w:rPr>
        <w:t>Uredba (EU) št. 1308/2013</w:t>
      </w:r>
    </w:p>
    <w:p w14:paraId="1AAD1D14" w14:textId="77777777" w:rsidR="006F5BFE" w:rsidRPr="003B2277" w:rsidRDefault="006F5BFE" w:rsidP="006F5BFE">
      <w:pPr>
        <w:rPr>
          <w:lang w:eastAsia="en-US"/>
        </w:rPr>
      </w:pPr>
      <w:r w:rsidRPr="003B2277">
        <w:rPr>
          <w:rFonts w:eastAsia="Calibri" w:cs="Mangal"/>
          <w:lang w:eastAsia="en-US"/>
        </w:rPr>
        <w:t>Člen 116a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9EAFF2F" w14:textId="77777777" w:rsidTr="005B4D60">
        <w:trPr>
          <w:jc w:val="center"/>
        </w:trPr>
        <w:tc>
          <w:tcPr>
            <w:tcW w:w="9752" w:type="dxa"/>
            <w:gridSpan w:val="2"/>
          </w:tcPr>
          <w:p w14:paraId="7E414B19" w14:textId="77777777" w:rsidR="006F5BFE" w:rsidRPr="003B2277" w:rsidRDefault="006F5BFE" w:rsidP="005B4D60">
            <w:pPr>
              <w:keepNext/>
            </w:pPr>
          </w:p>
        </w:tc>
      </w:tr>
      <w:tr w:rsidR="006F5BFE" w:rsidRPr="003B2277" w14:paraId="56726759" w14:textId="77777777" w:rsidTr="005B4D60">
        <w:trPr>
          <w:jc w:val="center"/>
        </w:trPr>
        <w:tc>
          <w:tcPr>
            <w:tcW w:w="4876" w:type="dxa"/>
            <w:hideMark/>
          </w:tcPr>
          <w:p w14:paraId="374C86B7"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DD8EFC1" w14:textId="0AAD2E1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7AD7237" w14:textId="77777777" w:rsidTr="005B4D60">
        <w:trPr>
          <w:jc w:val="center"/>
        </w:trPr>
        <w:tc>
          <w:tcPr>
            <w:tcW w:w="4876" w:type="dxa"/>
          </w:tcPr>
          <w:p w14:paraId="7DF3AFEC" w14:textId="77777777" w:rsidR="006F5BFE" w:rsidRPr="003B2277" w:rsidRDefault="006F5BFE" w:rsidP="005B4D60">
            <w:pPr>
              <w:spacing w:after="120"/>
            </w:pPr>
          </w:p>
        </w:tc>
        <w:tc>
          <w:tcPr>
            <w:tcW w:w="4876" w:type="dxa"/>
            <w:hideMark/>
          </w:tcPr>
          <w:p w14:paraId="08B0F4D6" w14:textId="77777777" w:rsidR="006F5BFE" w:rsidRPr="003B2277" w:rsidRDefault="006F5BFE" w:rsidP="005B4D60">
            <w:pPr>
              <w:spacing w:after="120"/>
              <w:rPr>
                <w:szCs w:val="24"/>
                <w:lang w:eastAsia="en-US"/>
              </w:rPr>
            </w:pPr>
            <w:r w:rsidRPr="003B2277">
              <w:rPr>
                <w:rFonts w:eastAsia="Calibri" w:cs="Mangal"/>
                <w:b/>
                <w:i/>
                <w:lang w:eastAsia="en-US"/>
              </w:rPr>
              <w:t>3a.</w:t>
            </w:r>
            <w:r w:rsidRPr="003B2277">
              <w:rPr>
                <w:rFonts w:eastAsia="Calibri" w:cs="Mangal"/>
                <w:b/>
                <w:i/>
                <w:lang w:eastAsia="en-US"/>
              </w:rPr>
              <w:tab/>
              <w:t>Pregledi iz odstavka 3 obsegajo upravne preglede in preglede na kraju samem. Ti pregledi so lahko omejeni zgolj na upravne preglede, kadar so varni in omogočajo, da se zagotovi celotno izpolnjevanje zahtev in pogojev iz specifikacije proizvoda.</w:t>
            </w:r>
          </w:p>
        </w:tc>
      </w:tr>
    </w:tbl>
    <w:p w14:paraId="24034B80" w14:textId="77777777" w:rsidR="006F5BFE" w:rsidRPr="003B2277" w:rsidRDefault="006F5BFE" w:rsidP="006F5BFE">
      <w:pPr>
        <w:rPr>
          <w:lang w:eastAsia="en-US"/>
        </w:rPr>
      </w:pPr>
    </w:p>
    <w:p w14:paraId="2D7424B9" w14:textId="30CD677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100</w:t>
      </w:r>
    </w:p>
    <w:p w14:paraId="5BB1A206" w14:textId="77777777" w:rsidR="006F5BFE" w:rsidRPr="003B2277" w:rsidRDefault="006F5BFE" w:rsidP="006F5BFE"/>
    <w:p w14:paraId="48A1B1B2" w14:textId="77777777" w:rsidR="006F5BFE" w:rsidRPr="003B2277" w:rsidRDefault="006F5BFE" w:rsidP="006F5BFE">
      <w:pPr>
        <w:keepNext/>
        <w:rPr>
          <w:b/>
          <w:lang w:eastAsia="en-US"/>
        </w:rPr>
      </w:pPr>
      <w:r w:rsidRPr="003B2277">
        <w:rPr>
          <w:rFonts w:eastAsia="Calibri" w:cs="Mangal"/>
          <w:b/>
          <w:lang w:eastAsia="en-US"/>
        </w:rPr>
        <w:t>Predlog uredbe</w:t>
      </w:r>
    </w:p>
    <w:p w14:paraId="7E2ADA9E" w14:textId="77777777" w:rsidR="006F5BFE" w:rsidRPr="003B2277" w:rsidRDefault="006F5BFE" w:rsidP="006F5BFE">
      <w:pPr>
        <w:rPr>
          <w:b/>
          <w:lang w:eastAsia="en-US"/>
        </w:rPr>
      </w:pPr>
      <w:r w:rsidRPr="003B2277">
        <w:rPr>
          <w:rFonts w:eastAsia="Calibri" w:cs="Mangal"/>
          <w:b/>
          <w:lang w:eastAsia="en-US"/>
        </w:rPr>
        <w:t>Člen 1 – odstavek 1 – točka 17</w:t>
      </w:r>
    </w:p>
    <w:p w14:paraId="4D11E140" w14:textId="77777777" w:rsidR="006F5BFE" w:rsidRPr="003B2277" w:rsidRDefault="006F5BFE" w:rsidP="006F5BFE">
      <w:pPr>
        <w:keepNext/>
        <w:rPr>
          <w:lang w:eastAsia="en-US"/>
        </w:rPr>
      </w:pPr>
      <w:r w:rsidRPr="003B2277">
        <w:rPr>
          <w:rFonts w:eastAsia="Calibri" w:cs="Mangal"/>
          <w:lang w:eastAsia="en-US"/>
        </w:rPr>
        <w:t>Uredba (EU) št. 1308/2013</w:t>
      </w:r>
    </w:p>
    <w:p w14:paraId="41FB25D9" w14:textId="77777777" w:rsidR="006F5BFE" w:rsidRPr="003B2277" w:rsidRDefault="006F5BFE" w:rsidP="006F5BFE">
      <w:pPr>
        <w:rPr>
          <w:lang w:eastAsia="en-US"/>
        </w:rPr>
      </w:pPr>
      <w:r w:rsidRPr="003B2277">
        <w:rPr>
          <w:rFonts w:eastAsia="Calibri" w:cs="Mangal"/>
          <w:lang w:eastAsia="en-US"/>
        </w:rPr>
        <w:t>Člen 116a – odstavek 3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8FA37F7" w14:textId="77777777" w:rsidTr="005B4D60">
        <w:trPr>
          <w:jc w:val="center"/>
        </w:trPr>
        <w:tc>
          <w:tcPr>
            <w:tcW w:w="9752" w:type="dxa"/>
            <w:gridSpan w:val="2"/>
          </w:tcPr>
          <w:p w14:paraId="5AE7C840" w14:textId="77777777" w:rsidR="006F5BFE" w:rsidRPr="003B2277" w:rsidRDefault="006F5BFE" w:rsidP="005B4D60">
            <w:pPr>
              <w:keepNext/>
            </w:pPr>
          </w:p>
        </w:tc>
      </w:tr>
      <w:tr w:rsidR="006F5BFE" w:rsidRPr="003B2277" w14:paraId="776FC497" w14:textId="77777777" w:rsidTr="005B4D60">
        <w:trPr>
          <w:jc w:val="center"/>
        </w:trPr>
        <w:tc>
          <w:tcPr>
            <w:tcW w:w="4876" w:type="dxa"/>
            <w:hideMark/>
          </w:tcPr>
          <w:p w14:paraId="0241A3C0"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B33A5E3" w14:textId="530734E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171274D" w14:textId="77777777" w:rsidTr="005B4D60">
        <w:trPr>
          <w:jc w:val="center"/>
        </w:trPr>
        <w:tc>
          <w:tcPr>
            <w:tcW w:w="4876" w:type="dxa"/>
          </w:tcPr>
          <w:p w14:paraId="15D5BE82" w14:textId="77777777" w:rsidR="006F5BFE" w:rsidRPr="003B2277" w:rsidRDefault="006F5BFE" w:rsidP="005B4D60">
            <w:pPr>
              <w:spacing w:after="120"/>
            </w:pPr>
          </w:p>
        </w:tc>
        <w:tc>
          <w:tcPr>
            <w:tcW w:w="4876" w:type="dxa"/>
            <w:hideMark/>
          </w:tcPr>
          <w:p w14:paraId="43FA3933" w14:textId="77777777" w:rsidR="006F5BFE" w:rsidRPr="003B2277" w:rsidRDefault="006F5BFE" w:rsidP="005B4D60">
            <w:pPr>
              <w:spacing w:after="120"/>
              <w:rPr>
                <w:szCs w:val="24"/>
                <w:lang w:eastAsia="en-US"/>
              </w:rPr>
            </w:pPr>
            <w:r w:rsidRPr="003B2277">
              <w:rPr>
                <w:rFonts w:eastAsia="Calibri" w:cs="Mangal"/>
                <w:b/>
                <w:i/>
                <w:lang w:eastAsia="en-US"/>
              </w:rPr>
              <w:t>3b.</w:t>
            </w:r>
            <w:r w:rsidRPr="003B2277">
              <w:rPr>
                <w:rFonts w:eastAsia="Calibri" w:cs="Mangal"/>
                <w:b/>
                <w:i/>
                <w:lang w:eastAsia="en-US"/>
              </w:rPr>
              <w:tab/>
              <w:t>Za preverjanje skladnosti s specifikacijo proizvoda lahko pristojni organi ali nadzorni organi iz odstavka 3 nadzorujejo izvajalce s sedežem v drugi državi članici, če so ti vključeni v pakiranje proizvoda z zaščiteno označbo porekla, registrirano na njihovem ozemlju. Če nadzorni organi iz odstavka 3 na podlagi rezultatov predhodnih pregledov izvajalcem in njihovim proizvodom zaupajo, lahko svoje ukrepe osredotočijo na glavne točke, ki jih je treba preveriti v specifikaciji proizvoda in se vnaprej opredelijo in sporočijo izvajalcem.</w:t>
            </w:r>
          </w:p>
        </w:tc>
      </w:tr>
    </w:tbl>
    <w:p w14:paraId="1CFDA3A5" w14:textId="77777777" w:rsidR="006F5BFE" w:rsidRPr="003B2277" w:rsidRDefault="006F5BFE" w:rsidP="006F5BFE">
      <w:pPr>
        <w:rPr>
          <w:lang w:eastAsia="en-US"/>
        </w:rPr>
      </w:pPr>
    </w:p>
    <w:p w14:paraId="497BAF5B" w14:textId="568507E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101</w:t>
      </w:r>
    </w:p>
    <w:p w14:paraId="29031BAA" w14:textId="77777777" w:rsidR="006F5BFE" w:rsidRPr="003B2277" w:rsidRDefault="006F5BFE"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sidRPr="003B2277">
        <w:rPr>
          <w:rFonts w:eastAsia="Calibri" w:cs="Mangal"/>
          <w:b/>
          <w:lang w:eastAsia="en-US"/>
        </w:rPr>
        <w:t>Predlog uredbe</w:t>
      </w:r>
    </w:p>
    <w:p w14:paraId="774907EB" w14:textId="77777777" w:rsidR="006F5BFE" w:rsidRPr="003B2277" w:rsidRDefault="006F5BFE" w:rsidP="006F5BFE">
      <w:pPr>
        <w:rPr>
          <w:b/>
          <w:lang w:eastAsia="en-US"/>
        </w:rPr>
      </w:pPr>
      <w:r w:rsidRPr="003B2277">
        <w:rPr>
          <w:rFonts w:eastAsia="Calibri" w:cs="Mangal"/>
          <w:b/>
          <w:lang w:eastAsia="en-US"/>
        </w:rPr>
        <w:t>Člen 1 – odstavek 1 – točka 18</w:t>
      </w:r>
    </w:p>
    <w:p w14:paraId="47C1C74B" w14:textId="77777777" w:rsidR="006F5BFE" w:rsidRPr="003B2277" w:rsidRDefault="006F5BFE" w:rsidP="006F5BFE">
      <w:pPr>
        <w:keepNext/>
        <w:rPr>
          <w:lang w:eastAsia="en-US"/>
        </w:rPr>
      </w:pPr>
      <w:r w:rsidRPr="003B2277">
        <w:rPr>
          <w:rFonts w:eastAsia="Calibri" w:cs="Mangal"/>
          <w:lang w:eastAsia="en-US"/>
        </w:rPr>
        <w:t>Uredba (EU) št. 1308/2013</w:t>
      </w:r>
    </w:p>
    <w:p w14:paraId="70076B13" w14:textId="77777777" w:rsidR="006F5BFE" w:rsidRPr="003B2277" w:rsidRDefault="006F5BFE" w:rsidP="006F5BFE">
      <w:pPr>
        <w:rPr>
          <w:lang w:eastAsia="en-US"/>
        </w:rPr>
      </w:pPr>
      <w:r w:rsidRPr="003B2277">
        <w:rPr>
          <w:rFonts w:eastAsia="Calibri" w:cs="Mangal"/>
          <w:lang w:eastAsia="en-US"/>
        </w:rPr>
        <w:t>Člen 119 – odstavka 1 in 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C76712E" w14:textId="77777777" w:rsidTr="005B4D60">
        <w:trPr>
          <w:jc w:val="center"/>
        </w:trPr>
        <w:tc>
          <w:tcPr>
            <w:tcW w:w="9752" w:type="dxa"/>
            <w:gridSpan w:val="2"/>
          </w:tcPr>
          <w:p w14:paraId="67A3A825" w14:textId="77777777" w:rsidR="006F5BFE" w:rsidRPr="003B2277" w:rsidRDefault="006F5BFE" w:rsidP="005B4D60">
            <w:pPr>
              <w:keepNext/>
            </w:pPr>
          </w:p>
        </w:tc>
      </w:tr>
      <w:tr w:rsidR="006F5BFE" w:rsidRPr="003B2277" w14:paraId="37B5E88D" w14:textId="77777777" w:rsidTr="005B4D60">
        <w:trPr>
          <w:jc w:val="center"/>
        </w:trPr>
        <w:tc>
          <w:tcPr>
            <w:tcW w:w="4876" w:type="dxa"/>
            <w:hideMark/>
          </w:tcPr>
          <w:p w14:paraId="36E0AE1B"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48404B8" w14:textId="488D63D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2CD3C4F" w14:textId="77777777" w:rsidTr="005B4D60">
        <w:trPr>
          <w:jc w:val="center"/>
        </w:trPr>
        <w:tc>
          <w:tcPr>
            <w:tcW w:w="4876" w:type="dxa"/>
          </w:tcPr>
          <w:p w14:paraId="58A73DAA" w14:textId="77777777" w:rsidR="006F5BFE" w:rsidRPr="003B2277" w:rsidRDefault="006F5BFE" w:rsidP="005B4D60">
            <w:pPr>
              <w:spacing w:after="120"/>
              <w:rPr>
                <w:b/>
                <w:bCs/>
                <w:i/>
                <w:iCs/>
                <w:lang w:eastAsia="en-US"/>
              </w:rPr>
            </w:pPr>
            <w:r w:rsidRPr="003B2277">
              <w:rPr>
                <w:rFonts w:eastAsia="Calibri" w:cs="Mangal"/>
                <w:b/>
                <w:bCs/>
                <w:i/>
                <w:iCs/>
                <w:lang w:eastAsia="en-US"/>
              </w:rPr>
              <w:t>(18)</w:t>
            </w:r>
            <w:r w:rsidRPr="003B2277">
              <w:rPr>
                <w:rFonts w:eastAsia="Calibri" w:cs="Mangal"/>
                <w:b/>
                <w:bCs/>
                <w:i/>
                <w:iCs/>
                <w:lang w:eastAsia="en-US"/>
              </w:rPr>
              <w:tab/>
              <w:t>člen 119 se spremeni:</w:t>
            </w:r>
          </w:p>
        </w:tc>
        <w:tc>
          <w:tcPr>
            <w:tcW w:w="4876" w:type="dxa"/>
          </w:tcPr>
          <w:p w14:paraId="22F597CC" w14:textId="77777777" w:rsidR="006F5BFE" w:rsidRPr="003B2277" w:rsidRDefault="006F5BFE" w:rsidP="005B4D60">
            <w:pPr>
              <w:spacing w:after="120"/>
              <w:rPr>
                <w:b/>
                <w:bCs/>
                <w:i/>
                <w:iCs/>
                <w:szCs w:val="24"/>
                <w:lang w:eastAsia="en-US"/>
              </w:rPr>
            </w:pPr>
            <w:r w:rsidRPr="003B2277">
              <w:rPr>
                <w:rFonts w:eastAsia="Calibri" w:cs="Mangal"/>
                <w:b/>
                <w:bCs/>
                <w:i/>
                <w:iCs/>
                <w:szCs w:val="24"/>
                <w:lang w:eastAsia="en-US"/>
              </w:rPr>
              <w:t>črtano</w:t>
            </w:r>
          </w:p>
        </w:tc>
      </w:tr>
      <w:tr w:rsidR="006F5BFE" w:rsidRPr="003B2277" w14:paraId="0D91F98F" w14:textId="77777777" w:rsidTr="005B4D60">
        <w:trPr>
          <w:jc w:val="center"/>
        </w:trPr>
        <w:tc>
          <w:tcPr>
            <w:tcW w:w="4876" w:type="dxa"/>
          </w:tcPr>
          <w:p w14:paraId="568F7C50" w14:textId="2D15E7EB" w:rsidR="006F5BFE" w:rsidRPr="003B2277" w:rsidRDefault="006F5BFE" w:rsidP="005B4D60">
            <w:pPr>
              <w:spacing w:after="120"/>
              <w:rPr>
                <w:b/>
                <w:bCs/>
                <w:i/>
                <w:iCs/>
                <w:lang w:eastAsia="en-US"/>
              </w:rPr>
            </w:pPr>
            <w:r w:rsidRPr="003B2277">
              <w:rPr>
                <w:rFonts w:eastAsia="Calibri" w:cs="Mangal"/>
                <w:b/>
                <w:bCs/>
                <w:i/>
                <w:iCs/>
                <w:lang w:eastAsia="en-US"/>
              </w:rPr>
              <w:t>(a)</w:t>
            </w:r>
            <w:r w:rsidRPr="003B2277">
              <w:rPr>
                <w:rFonts w:eastAsia="Calibri" w:cs="Mangal"/>
                <w:b/>
                <w:bCs/>
                <w:i/>
                <w:iCs/>
                <w:lang w:eastAsia="en-US"/>
              </w:rPr>
              <w:tab/>
              <w:t>v odstavku 1 se uvodni stavek nadomesti z naslednjim:</w:t>
            </w:r>
          </w:p>
        </w:tc>
        <w:tc>
          <w:tcPr>
            <w:tcW w:w="4876" w:type="dxa"/>
          </w:tcPr>
          <w:p w14:paraId="59A0EC31" w14:textId="77777777" w:rsidR="006F5BFE" w:rsidRPr="003B2277" w:rsidRDefault="006F5BFE" w:rsidP="005B4D60">
            <w:pPr>
              <w:spacing w:after="120"/>
              <w:rPr>
                <w:b/>
                <w:bCs/>
                <w:i/>
                <w:iCs/>
                <w:szCs w:val="24"/>
              </w:rPr>
            </w:pPr>
          </w:p>
        </w:tc>
      </w:tr>
      <w:tr w:rsidR="006F5BFE" w:rsidRPr="003B2277" w14:paraId="3640D00B" w14:textId="77777777" w:rsidTr="005B4D60">
        <w:trPr>
          <w:jc w:val="center"/>
        </w:trPr>
        <w:tc>
          <w:tcPr>
            <w:tcW w:w="4876" w:type="dxa"/>
          </w:tcPr>
          <w:p w14:paraId="341F89B0" w14:textId="3C6EDE17" w:rsidR="006F5BFE" w:rsidRPr="003B2277" w:rsidRDefault="006F5BFE" w:rsidP="005B4D60">
            <w:pPr>
              <w:spacing w:after="120"/>
              <w:rPr>
                <w:b/>
                <w:bCs/>
                <w:i/>
                <w:iCs/>
                <w:lang w:eastAsia="en-US"/>
              </w:rPr>
            </w:pPr>
            <w:r w:rsidRPr="003B2277">
              <w:rPr>
                <w:rFonts w:eastAsia="Calibri" w:cs="Mangal"/>
                <w:b/>
                <w:bCs/>
                <w:i/>
                <w:iCs/>
                <w:lang w:eastAsia="en-US"/>
              </w:rPr>
              <w:t>„Označevanje in predstavitev proizvodov iz točk od 1 do 11, 13, 15, 16, 18 in 19 dela II Priloge VII, ki se tržijo v Uniji ali so namenjeni za izvoz, vsebujeta naslednje obvezne navedbe:“;</w:t>
            </w:r>
          </w:p>
        </w:tc>
        <w:tc>
          <w:tcPr>
            <w:tcW w:w="4876" w:type="dxa"/>
          </w:tcPr>
          <w:p w14:paraId="38F1FB41" w14:textId="77777777" w:rsidR="006F5BFE" w:rsidRPr="003B2277" w:rsidRDefault="006F5BFE" w:rsidP="005B4D60">
            <w:pPr>
              <w:spacing w:after="120"/>
              <w:rPr>
                <w:b/>
                <w:bCs/>
                <w:i/>
                <w:iCs/>
                <w:szCs w:val="24"/>
              </w:rPr>
            </w:pPr>
          </w:p>
        </w:tc>
      </w:tr>
      <w:tr w:rsidR="006F5BFE" w:rsidRPr="003B2277" w14:paraId="283FD5E6" w14:textId="77777777" w:rsidTr="005B4D60">
        <w:trPr>
          <w:jc w:val="center"/>
        </w:trPr>
        <w:tc>
          <w:tcPr>
            <w:tcW w:w="4876" w:type="dxa"/>
          </w:tcPr>
          <w:p w14:paraId="6F7A1142" w14:textId="044AE948" w:rsidR="006F5BFE" w:rsidRPr="003B2277" w:rsidRDefault="006F5BFE" w:rsidP="005B4D60">
            <w:pPr>
              <w:spacing w:after="120"/>
              <w:rPr>
                <w:b/>
                <w:bCs/>
                <w:i/>
                <w:iCs/>
                <w:lang w:eastAsia="en-US"/>
              </w:rPr>
            </w:pPr>
            <w:r w:rsidRPr="003B2277">
              <w:rPr>
                <w:rFonts w:eastAsia="Calibri" w:cs="Mangal"/>
                <w:b/>
                <w:bCs/>
                <w:i/>
                <w:iCs/>
                <w:lang w:eastAsia="en-US"/>
              </w:rPr>
              <w:t>(b)</w:t>
            </w:r>
            <w:r w:rsidRPr="003B2277">
              <w:rPr>
                <w:rFonts w:eastAsia="Calibri" w:cs="Mangal"/>
                <w:b/>
                <w:bCs/>
                <w:i/>
                <w:iCs/>
                <w:lang w:eastAsia="en-US"/>
              </w:rPr>
              <w:tab/>
              <w:t>doda se naslednji odstavek 4:</w:t>
            </w:r>
          </w:p>
        </w:tc>
        <w:tc>
          <w:tcPr>
            <w:tcW w:w="4876" w:type="dxa"/>
          </w:tcPr>
          <w:p w14:paraId="38F4F3F5" w14:textId="77777777" w:rsidR="006F5BFE" w:rsidRPr="003B2277" w:rsidRDefault="006F5BFE" w:rsidP="005B4D60">
            <w:pPr>
              <w:spacing w:after="120"/>
              <w:rPr>
                <w:b/>
                <w:bCs/>
                <w:i/>
                <w:iCs/>
                <w:szCs w:val="24"/>
              </w:rPr>
            </w:pPr>
          </w:p>
        </w:tc>
      </w:tr>
      <w:tr w:rsidR="006F5BFE" w:rsidRPr="003B2277" w14:paraId="31550D8C" w14:textId="77777777" w:rsidTr="005B4D60">
        <w:trPr>
          <w:jc w:val="center"/>
        </w:trPr>
        <w:tc>
          <w:tcPr>
            <w:tcW w:w="4876" w:type="dxa"/>
          </w:tcPr>
          <w:p w14:paraId="33FD8E81" w14:textId="2C4C7BBF" w:rsidR="006F5BFE" w:rsidRPr="003B2277" w:rsidRDefault="006F5BFE" w:rsidP="005B4D60">
            <w:pPr>
              <w:spacing w:after="120"/>
              <w:rPr>
                <w:b/>
                <w:bCs/>
                <w:i/>
                <w:iCs/>
                <w:szCs w:val="24"/>
                <w:lang w:eastAsia="en-US"/>
              </w:rPr>
            </w:pPr>
            <w:r w:rsidRPr="003B2277">
              <w:rPr>
                <w:rFonts w:eastAsia="Calibri" w:cs="Mangal"/>
                <w:b/>
                <w:bCs/>
                <w:i/>
                <w:iCs/>
                <w:lang w:eastAsia="en-US"/>
              </w:rPr>
              <w:t>„4.</w:t>
            </w:r>
            <w:r w:rsidRPr="003B2277">
              <w:rPr>
                <w:rFonts w:eastAsia="Calibri" w:cs="Mangal"/>
                <w:b/>
                <w:bCs/>
                <w:i/>
                <w:iCs/>
                <w:lang w:eastAsia="en-US"/>
              </w:rPr>
              <w:tab/>
              <w:t>Države članice sprejmejo ukrepe, s katerimi zagotovijo, da se proizvodi, navedeni v odstavku 1, ki niso označeni v skladu z določbami iz te uredbe, ne dajo na trg, če pa so že na trgu, se z njega umaknejo.</w:t>
            </w:r>
            <w:r w:rsidR="006C4927">
              <w:rPr>
                <w:rFonts w:eastAsia="Calibri" w:cs="Mangal"/>
                <w:b/>
                <w:bCs/>
                <w:i/>
                <w:iCs/>
                <w:lang w:eastAsia="en-US"/>
              </w:rPr>
              <w:t>“</w:t>
            </w:r>
          </w:p>
        </w:tc>
        <w:tc>
          <w:tcPr>
            <w:tcW w:w="4876" w:type="dxa"/>
            <w:hideMark/>
          </w:tcPr>
          <w:p w14:paraId="2150BC50" w14:textId="77777777" w:rsidR="006F5BFE" w:rsidRPr="003B2277" w:rsidRDefault="006F5BFE" w:rsidP="005B4D60">
            <w:pPr>
              <w:spacing w:after="120"/>
              <w:rPr>
                <w:b/>
                <w:bCs/>
                <w:i/>
                <w:iCs/>
                <w:szCs w:val="24"/>
              </w:rPr>
            </w:pPr>
          </w:p>
        </w:tc>
      </w:tr>
    </w:tbl>
    <w:p w14:paraId="26F58E73" w14:textId="77777777" w:rsidR="006F5BFE" w:rsidRPr="003B2277" w:rsidRDefault="006F5BFE" w:rsidP="006F5BFE">
      <w:pPr>
        <w:rPr>
          <w:lang w:eastAsia="en-US"/>
        </w:rPr>
      </w:pPr>
    </w:p>
    <w:p w14:paraId="35669C68" w14:textId="733CF68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102</w:t>
      </w:r>
    </w:p>
    <w:p w14:paraId="3C8B1853" w14:textId="77777777" w:rsidR="006F5BFE" w:rsidRPr="003B2277" w:rsidRDefault="006F5BFE" w:rsidP="006F5BFE">
      <w:pPr>
        <w:spacing w:before="240"/>
        <w:rPr>
          <w:b/>
          <w:lang w:eastAsia="en-US"/>
        </w:rPr>
      </w:pPr>
      <w:r w:rsidRPr="003B2277">
        <w:rPr>
          <w:rFonts w:eastAsia="Calibri" w:cs="Mangal"/>
          <w:b/>
          <w:lang w:eastAsia="en-US"/>
        </w:rPr>
        <w:t>Predlog uredbe</w:t>
      </w:r>
    </w:p>
    <w:p w14:paraId="3F30FA20" w14:textId="77777777" w:rsidR="006F5BFE" w:rsidRPr="003B2277" w:rsidRDefault="006F5BFE" w:rsidP="006F5BFE">
      <w:pPr>
        <w:rPr>
          <w:b/>
          <w:lang w:eastAsia="en-US"/>
        </w:rPr>
      </w:pPr>
      <w:r w:rsidRPr="003B2277">
        <w:rPr>
          <w:rFonts w:eastAsia="Calibri" w:cs="Mangal"/>
          <w:b/>
          <w:lang w:eastAsia="en-US"/>
        </w:rPr>
        <w:t>Člen 1 – odstavek 1 – točka 18 a (novo)</w:t>
      </w:r>
    </w:p>
    <w:p w14:paraId="54F86C86" w14:textId="77777777" w:rsidR="006F5BFE" w:rsidRPr="003B2277" w:rsidRDefault="006F5BFE" w:rsidP="006F5BFE">
      <w:pPr>
        <w:keepNext/>
        <w:rPr>
          <w:lang w:eastAsia="en-US"/>
        </w:rPr>
      </w:pPr>
      <w:r w:rsidRPr="003B2277">
        <w:rPr>
          <w:rFonts w:eastAsia="Calibri" w:cs="Mangal"/>
          <w:lang w:eastAsia="en-US"/>
        </w:rPr>
        <w:t>Uredba (EU) št. 1308/2013</w:t>
      </w:r>
    </w:p>
    <w:p w14:paraId="596834C8" w14:textId="77777777" w:rsidR="006F5BFE" w:rsidRPr="003B2277" w:rsidRDefault="006F5BFE" w:rsidP="006F5BFE">
      <w:pPr>
        <w:rPr>
          <w:lang w:eastAsia="en-US"/>
        </w:rPr>
      </w:pPr>
      <w:r w:rsidRPr="003B2277">
        <w:rPr>
          <w:rFonts w:eastAsia="Calibri" w:cs="Mangal"/>
          <w:lang w:eastAsia="en-US"/>
        </w:rPr>
        <w:t>Člen 119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EBCB52" w14:textId="77777777" w:rsidTr="005B4D60">
        <w:trPr>
          <w:jc w:val="center"/>
        </w:trPr>
        <w:tc>
          <w:tcPr>
            <w:tcW w:w="9752" w:type="dxa"/>
            <w:gridSpan w:val="2"/>
          </w:tcPr>
          <w:p w14:paraId="0DBDD046" w14:textId="77777777" w:rsidR="006F5BFE" w:rsidRPr="003B2277" w:rsidRDefault="006F5BFE" w:rsidP="005B4D60">
            <w:pPr>
              <w:keepNext/>
            </w:pPr>
          </w:p>
        </w:tc>
      </w:tr>
      <w:tr w:rsidR="006F5BFE" w:rsidRPr="003B2277" w14:paraId="0C24CC52" w14:textId="77777777" w:rsidTr="005B4D60">
        <w:trPr>
          <w:jc w:val="center"/>
        </w:trPr>
        <w:tc>
          <w:tcPr>
            <w:tcW w:w="4876" w:type="dxa"/>
            <w:hideMark/>
          </w:tcPr>
          <w:p w14:paraId="01E3E3FB"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EADC9D6" w14:textId="7B51E03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7D2B0CE" w14:textId="77777777" w:rsidTr="005B4D60">
        <w:trPr>
          <w:jc w:val="center"/>
        </w:trPr>
        <w:tc>
          <w:tcPr>
            <w:tcW w:w="4876" w:type="dxa"/>
          </w:tcPr>
          <w:p w14:paraId="7ABF2B65" w14:textId="77777777" w:rsidR="006F5BFE" w:rsidRPr="003B2277" w:rsidRDefault="006F5BFE" w:rsidP="005B4D60">
            <w:pPr>
              <w:spacing w:after="120"/>
            </w:pPr>
          </w:p>
        </w:tc>
        <w:tc>
          <w:tcPr>
            <w:tcW w:w="4876" w:type="dxa"/>
            <w:hideMark/>
          </w:tcPr>
          <w:p w14:paraId="12F0B815" w14:textId="77777777" w:rsidR="006F5BFE" w:rsidRPr="003B2277" w:rsidRDefault="006F5BFE" w:rsidP="005B4D60">
            <w:pPr>
              <w:spacing w:after="120"/>
              <w:rPr>
                <w:szCs w:val="24"/>
                <w:lang w:eastAsia="en-US"/>
              </w:rPr>
            </w:pPr>
            <w:r w:rsidRPr="003B2277">
              <w:rPr>
                <w:rFonts w:eastAsia="Calibri" w:cs="Mangal"/>
                <w:b/>
                <w:i/>
                <w:lang w:eastAsia="en-US"/>
              </w:rPr>
              <w:t>(18a)</w:t>
            </w:r>
            <w:r w:rsidRPr="003B2277">
              <w:rPr>
                <w:rFonts w:eastAsia="Calibri" w:cs="Mangal"/>
                <w:b/>
                <w:i/>
                <w:lang w:eastAsia="en-US"/>
              </w:rPr>
              <w:tab/>
              <w:t>člen 119 se nadomesti z naslednjim:</w:t>
            </w:r>
          </w:p>
        </w:tc>
      </w:tr>
      <w:tr w:rsidR="006F5BFE" w:rsidRPr="003B2277" w14:paraId="37B78851" w14:textId="77777777" w:rsidTr="005B4D60">
        <w:trPr>
          <w:jc w:val="center"/>
        </w:trPr>
        <w:tc>
          <w:tcPr>
            <w:tcW w:w="4876" w:type="dxa"/>
            <w:hideMark/>
          </w:tcPr>
          <w:p w14:paraId="28D5AB00" w14:textId="77777777" w:rsidR="006F5BFE" w:rsidRPr="003B2277" w:rsidRDefault="006F5BFE" w:rsidP="005B4D60">
            <w:pPr>
              <w:spacing w:after="120"/>
              <w:rPr>
                <w:lang w:eastAsia="en-US"/>
              </w:rPr>
            </w:pPr>
            <w:r w:rsidRPr="003B2277">
              <w:rPr>
                <w:rFonts w:eastAsia="Calibri" w:cs="Mangal"/>
                <w:lang w:eastAsia="en-US"/>
              </w:rPr>
              <w:t>Člen 119</w:t>
            </w:r>
          </w:p>
        </w:tc>
        <w:tc>
          <w:tcPr>
            <w:tcW w:w="4876" w:type="dxa"/>
            <w:hideMark/>
          </w:tcPr>
          <w:p w14:paraId="280DE283"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119</w:t>
            </w:r>
          </w:p>
        </w:tc>
      </w:tr>
      <w:tr w:rsidR="006F5BFE" w:rsidRPr="003B2277" w14:paraId="6A004343" w14:textId="77777777" w:rsidTr="005B4D60">
        <w:trPr>
          <w:jc w:val="center"/>
        </w:trPr>
        <w:tc>
          <w:tcPr>
            <w:tcW w:w="4876" w:type="dxa"/>
            <w:hideMark/>
          </w:tcPr>
          <w:p w14:paraId="16F56545" w14:textId="77777777" w:rsidR="006F5BFE" w:rsidRPr="003B2277" w:rsidRDefault="006F5BFE" w:rsidP="005B4D60">
            <w:pPr>
              <w:spacing w:after="120"/>
              <w:rPr>
                <w:lang w:eastAsia="en-US"/>
              </w:rPr>
            </w:pPr>
            <w:r w:rsidRPr="003B2277">
              <w:rPr>
                <w:rFonts w:eastAsia="Calibri" w:cs="Mangal"/>
                <w:lang w:eastAsia="en-US"/>
              </w:rPr>
              <w:t>Obvezne navedbe</w:t>
            </w:r>
          </w:p>
        </w:tc>
        <w:tc>
          <w:tcPr>
            <w:tcW w:w="4876" w:type="dxa"/>
            <w:hideMark/>
          </w:tcPr>
          <w:p w14:paraId="5F3AB360" w14:textId="77777777" w:rsidR="006F5BFE" w:rsidRPr="003B2277" w:rsidRDefault="006F5BFE" w:rsidP="005B4D60">
            <w:pPr>
              <w:spacing w:after="120"/>
              <w:rPr>
                <w:szCs w:val="24"/>
                <w:lang w:eastAsia="en-US"/>
              </w:rPr>
            </w:pPr>
            <w:r w:rsidRPr="003B2277">
              <w:rPr>
                <w:rFonts w:eastAsia="Calibri" w:cs="Mangal"/>
                <w:lang w:eastAsia="en-US"/>
              </w:rPr>
              <w:t>Obvezne navedbe</w:t>
            </w:r>
          </w:p>
        </w:tc>
      </w:tr>
      <w:tr w:rsidR="006F5BFE" w:rsidRPr="003B2277" w14:paraId="6D20A4F5" w14:textId="77777777" w:rsidTr="005B4D60">
        <w:trPr>
          <w:jc w:val="center"/>
        </w:trPr>
        <w:tc>
          <w:tcPr>
            <w:tcW w:w="4876" w:type="dxa"/>
            <w:hideMark/>
          </w:tcPr>
          <w:p w14:paraId="272155EE" w14:textId="77777777" w:rsidR="006F5BFE" w:rsidRPr="003B2277" w:rsidRDefault="006F5BFE" w:rsidP="005B4D60">
            <w:pPr>
              <w:spacing w:after="120"/>
              <w:rPr>
                <w:lang w:eastAsia="en-US"/>
              </w:rPr>
            </w:pPr>
            <w:r w:rsidRPr="003B2277">
              <w:rPr>
                <w:rFonts w:eastAsia="Calibri" w:cs="Mangal"/>
                <w:lang w:eastAsia="en-US"/>
              </w:rPr>
              <w:t xml:space="preserve">1. Označevanje in predstavitev proizvodov iz točk od 1 do 11, 13, 15 in </w:t>
            </w:r>
            <w:r w:rsidRPr="003B2277">
              <w:rPr>
                <w:rFonts w:eastAsia="Calibri" w:cs="Mangal"/>
                <w:b/>
                <w:i/>
                <w:lang w:eastAsia="en-US"/>
              </w:rPr>
              <w:t>16</w:t>
            </w:r>
            <w:r w:rsidRPr="003B2277">
              <w:rPr>
                <w:rFonts w:eastAsia="Calibri" w:cs="Mangal"/>
                <w:lang w:eastAsia="en-US"/>
              </w:rPr>
              <w:t xml:space="preserve"> dela II Priloge VII, ki se tržijo v Uniji ali so namenjeni za izvoz, vsebujeta naslednje obvezne navedbe:</w:t>
            </w:r>
          </w:p>
        </w:tc>
        <w:tc>
          <w:tcPr>
            <w:tcW w:w="4876" w:type="dxa"/>
            <w:hideMark/>
          </w:tcPr>
          <w:p w14:paraId="44EA5737" w14:textId="77777777" w:rsidR="006F5BFE" w:rsidRPr="003B2277" w:rsidRDefault="006F5BFE" w:rsidP="005B4D60">
            <w:pPr>
              <w:spacing w:after="120"/>
              <w:rPr>
                <w:szCs w:val="24"/>
                <w:lang w:eastAsia="en-US"/>
              </w:rPr>
            </w:pPr>
            <w:r w:rsidRPr="003B2277">
              <w:rPr>
                <w:rFonts w:eastAsia="Calibri" w:cs="Mangal"/>
                <w:lang w:eastAsia="en-US"/>
              </w:rPr>
              <w:t xml:space="preserve">1. </w:t>
            </w:r>
            <w:r w:rsidRPr="003B2277">
              <w:rPr>
                <w:rFonts w:eastAsia="Calibri" w:cs="Mangal"/>
                <w:b/>
                <w:i/>
                <w:lang w:eastAsia="en-US"/>
              </w:rPr>
              <w:t>„</w:t>
            </w:r>
            <w:r w:rsidRPr="003B2277">
              <w:rPr>
                <w:rFonts w:eastAsia="Calibri" w:cs="Mangal"/>
                <w:lang w:eastAsia="en-US"/>
              </w:rPr>
              <w:t>Označevanje in predstavitev proizvodov iz točk od 1 do 11, 13, 15</w:t>
            </w:r>
            <w:r w:rsidRPr="003B2277">
              <w:rPr>
                <w:rFonts w:eastAsia="Calibri" w:cs="Mangal"/>
                <w:b/>
                <w:i/>
                <w:lang w:eastAsia="en-US"/>
              </w:rPr>
              <w:t>, 16, 18</w:t>
            </w:r>
            <w:r w:rsidRPr="003B2277">
              <w:rPr>
                <w:rFonts w:eastAsia="Calibri" w:cs="Mangal"/>
                <w:lang w:eastAsia="en-US"/>
              </w:rPr>
              <w:t xml:space="preserve"> in </w:t>
            </w:r>
            <w:r w:rsidRPr="003B2277">
              <w:rPr>
                <w:rFonts w:eastAsia="Calibri" w:cs="Mangal"/>
                <w:b/>
                <w:i/>
                <w:lang w:eastAsia="en-US"/>
              </w:rPr>
              <w:t>19</w:t>
            </w:r>
            <w:r w:rsidRPr="003B2277">
              <w:rPr>
                <w:rFonts w:eastAsia="Calibri" w:cs="Mangal"/>
                <w:lang w:eastAsia="en-US"/>
              </w:rPr>
              <w:t xml:space="preserve"> dela II Priloge VII, ki se tržijo v Uniji ali so namenjeni za izvoz, vsebujeta naslednje obvezne navedbe:</w:t>
            </w:r>
          </w:p>
        </w:tc>
      </w:tr>
      <w:tr w:rsidR="006F5BFE" w:rsidRPr="003B2277" w14:paraId="5C77B40F" w14:textId="77777777" w:rsidTr="005B4D60">
        <w:trPr>
          <w:jc w:val="center"/>
        </w:trPr>
        <w:tc>
          <w:tcPr>
            <w:tcW w:w="4876" w:type="dxa"/>
            <w:hideMark/>
          </w:tcPr>
          <w:p w14:paraId="18652BE4" w14:textId="77777777" w:rsidR="006F5BFE" w:rsidRPr="003B2277" w:rsidRDefault="006F5BFE" w:rsidP="005B4D60">
            <w:pPr>
              <w:spacing w:after="120"/>
              <w:rPr>
                <w:lang w:eastAsia="en-US"/>
              </w:rPr>
            </w:pPr>
            <w:r w:rsidRPr="003B2277">
              <w:rPr>
                <w:rFonts w:eastAsia="Calibri" w:cs="Mangal"/>
                <w:lang w:eastAsia="en-US"/>
              </w:rPr>
              <w:t>(a) poimenovanje kategorije proizvoda vinske trte v skladu z delom II Priloge VII;</w:t>
            </w:r>
          </w:p>
        </w:tc>
        <w:tc>
          <w:tcPr>
            <w:tcW w:w="4876" w:type="dxa"/>
            <w:hideMark/>
          </w:tcPr>
          <w:p w14:paraId="7C51780E" w14:textId="77777777" w:rsidR="006F5BFE" w:rsidRPr="003B2277" w:rsidRDefault="006F5BFE" w:rsidP="005B4D60">
            <w:pPr>
              <w:spacing w:after="120"/>
              <w:rPr>
                <w:szCs w:val="24"/>
                <w:lang w:eastAsia="en-US"/>
              </w:rPr>
            </w:pPr>
            <w:r w:rsidRPr="003B2277">
              <w:rPr>
                <w:rFonts w:eastAsia="Calibri" w:cs="Mangal"/>
                <w:lang w:eastAsia="en-US"/>
              </w:rPr>
              <w:t>(a) poimenovanje kategorije proizvoda vinske trte v skladu z delom II Priloge VII;</w:t>
            </w:r>
          </w:p>
        </w:tc>
      </w:tr>
      <w:tr w:rsidR="006F5BFE" w:rsidRPr="003B2277" w14:paraId="390B19B3" w14:textId="77777777" w:rsidTr="005B4D60">
        <w:trPr>
          <w:jc w:val="center"/>
        </w:trPr>
        <w:tc>
          <w:tcPr>
            <w:tcW w:w="4876" w:type="dxa"/>
            <w:hideMark/>
          </w:tcPr>
          <w:p w14:paraId="774390C4" w14:textId="77777777" w:rsidR="006F5BFE" w:rsidRPr="003B2277" w:rsidRDefault="006F5BFE" w:rsidP="005B4D60">
            <w:pPr>
              <w:spacing w:after="120"/>
              <w:rPr>
                <w:lang w:eastAsia="en-US"/>
              </w:rPr>
            </w:pPr>
            <w:r w:rsidRPr="003B2277">
              <w:rPr>
                <w:rFonts w:eastAsia="Calibri" w:cs="Mangal"/>
                <w:lang w:eastAsia="en-US"/>
              </w:rPr>
              <w:t>(b) za vina z zaščiteno označbo porekla ali zaščiteno geografsko označbo:</w:t>
            </w:r>
          </w:p>
        </w:tc>
        <w:tc>
          <w:tcPr>
            <w:tcW w:w="4876" w:type="dxa"/>
            <w:hideMark/>
          </w:tcPr>
          <w:p w14:paraId="7615AFED" w14:textId="77777777" w:rsidR="006F5BFE" w:rsidRPr="003B2277" w:rsidRDefault="006F5BFE" w:rsidP="005B4D60">
            <w:pPr>
              <w:spacing w:after="120"/>
              <w:rPr>
                <w:szCs w:val="24"/>
                <w:lang w:eastAsia="en-US"/>
              </w:rPr>
            </w:pPr>
            <w:r w:rsidRPr="003B2277">
              <w:rPr>
                <w:rFonts w:eastAsia="Calibri" w:cs="Mangal"/>
                <w:lang w:eastAsia="en-US"/>
              </w:rPr>
              <w:t xml:space="preserve">(b) za vina z zaščiteno označbo porekla ali zaščiteno geografsko označbo: </w:t>
            </w:r>
          </w:p>
        </w:tc>
      </w:tr>
      <w:tr w:rsidR="006F5BFE" w:rsidRPr="003B2277" w14:paraId="45E048A2" w14:textId="77777777" w:rsidTr="005B4D60">
        <w:trPr>
          <w:jc w:val="center"/>
        </w:trPr>
        <w:tc>
          <w:tcPr>
            <w:tcW w:w="4876" w:type="dxa"/>
            <w:hideMark/>
          </w:tcPr>
          <w:p w14:paraId="79E5B294" w14:textId="77777777" w:rsidR="006F5BFE" w:rsidRPr="003B2277" w:rsidRDefault="006F5BFE" w:rsidP="005B4D60">
            <w:pPr>
              <w:spacing w:after="120"/>
              <w:rPr>
                <w:lang w:eastAsia="en-US"/>
              </w:rPr>
            </w:pPr>
            <w:r w:rsidRPr="003B2277">
              <w:rPr>
                <w:rFonts w:eastAsia="Calibri" w:cs="Mangal"/>
                <w:lang w:eastAsia="en-US"/>
              </w:rPr>
              <w:t xml:space="preserve">(i) navedbo ‚zaščitena označba porekla‘ ali ‚zaščitena geografska označba‘ </w:t>
            </w:r>
            <w:r w:rsidRPr="003B2277">
              <w:rPr>
                <w:rFonts w:eastAsia="Calibri" w:cs="Mangal"/>
                <w:b/>
                <w:i/>
                <w:lang w:eastAsia="en-US"/>
              </w:rPr>
              <w:t>ter</w:t>
            </w:r>
          </w:p>
        </w:tc>
        <w:tc>
          <w:tcPr>
            <w:tcW w:w="4876" w:type="dxa"/>
          </w:tcPr>
          <w:p w14:paraId="7C00CDB3" w14:textId="77777777" w:rsidR="006F5BFE" w:rsidRPr="003B2277" w:rsidRDefault="006F5BFE" w:rsidP="005B4D60">
            <w:pPr>
              <w:spacing w:after="120"/>
              <w:rPr>
                <w:szCs w:val="24"/>
                <w:lang w:eastAsia="en-US"/>
              </w:rPr>
            </w:pPr>
            <w:r w:rsidRPr="003B2277">
              <w:rPr>
                <w:rFonts w:eastAsia="Calibri" w:cs="Mangal"/>
                <w:lang w:eastAsia="en-US"/>
              </w:rPr>
              <w:t>(i) navedbo ‚zaščitena označba porekla‘ ali ‚zaščitena geografska označba‘</w:t>
            </w:r>
          </w:p>
        </w:tc>
      </w:tr>
      <w:tr w:rsidR="006F5BFE" w:rsidRPr="003B2277" w14:paraId="57B530E9" w14:textId="77777777" w:rsidTr="005B4D60">
        <w:trPr>
          <w:jc w:val="center"/>
        </w:trPr>
        <w:tc>
          <w:tcPr>
            <w:tcW w:w="4876" w:type="dxa"/>
            <w:hideMark/>
          </w:tcPr>
          <w:p w14:paraId="484F4B63" w14:textId="77777777" w:rsidR="006F5BFE" w:rsidRPr="003B2277" w:rsidRDefault="006F5BFE" w:rsidP="005B4D60">
            <w:pPr>
              <w:spacing w:after="120"/>
              <w:rPr>
                <w:lang w:eastAsia="en-US"/>
              </w:rPr>
            </w:pPr>
            <w:r w:rsidRPr="003B2277">
              <w:rPr>
                <w:rFonts w:eastAsia="Calibri" w:cs="Mangal"/>
                <w:lang w:eastAsia="en-US"/>
              </w:rPr>
              <w:t>(ii) ime zaščitene označbe porekla ali zaščitene geografske označbe;</w:t>
            </w:r>
          </w:p>
        </w:tc>
        <w:tc>
          <w:tcPr>
            <w:tcW w:w="4876" w:type="dxa"/>
          </w:tcPr>
          <w:p w14:paraId="250BFB52" w14:textId="77777777" w:rsidR="006F5BFE" w:rsidRPr="003B2277" w:rsidRDefault="006F5BFE" w:rsidP="005B4D60">
            <w:pPr>
              <w:spacing w:after="120"/>
              <w:rPr>
                <w:szCs w:val="24"/>
                <w:lang w:eastAsia="en-US"/>
              </w:rPr>
            </w:pPr>
            <w:r w:rsidRPr="003B2277">
              <w:rPr>
                <w:rFonts w:eastAsia="Calibri" w:cs="Mangal"/>
                <w:lang w:eastAsia="en-US"/>
              </w:rPr>
              <w:t>ime zaščitene označbe porekla ali zaščitene geografske označbe;</w:t>
            </w:r>
          </w:p>
        </w:tc>
      </w:tr>
      <w:tr w:rsidR="006F5BFE" w:rsidRPr="003B2277" w14:paraId="0FD3A581" w14:textId="77777777" w:rsidTr="005B4D60">
        <w:trPr>
          <w:jc w:val="center"/>
        </w:trPr>
        <w:tc>
          <w:tcPr>
            <w:tcW w:w="4876" w:type="dxa"/>
            <w:hideMark/>
          </w:tcPr>
          <w:p w14:paraId="5D22365B" w14:textId="77777777" w:rsidR="006F5BFE" w:rsidRPr="003B2277" w:rsidRDefault="006F5BFE" w:rsidP="005B4D60">
            <w:pPr>
              <w:spacing w:after="120"/>
              <w:rPr>
                <w:lang w:eastAsia="en-US"/>
              </w:rPr>
            </w:pPr>
            <w:r w:rsidRPr="003B2277">
              <w:rPr>
                <w:rFonts w:eastAsia="Calibri" w:cs="Mangal"/>
                <w:lang w:eastAsia="en-US"/>
              </w:rPr>
              <w:t>(c) dejanski volumenski delež alkohola;</w:t>
            </w:r>
          </w:p>
        </w:tc>
        <w:tc>
          <w:tcPr>
            <w:tcW w:w="4876" w:type="dxa"/>
          </w:tcPr>
          <w:p w14:paraId="048C277D" w14:textId="77777777" w:rsidR="006F5BFE" w:rsidRPr="003B2277" w:rsidRDefault="006F5BFE" w:rsidP="005B4D60">
            <w:pPr>
              <w:spacing w:after="120"/>
              <w:rPr>
                <w:szCs w:val="24"/>
                <w:lang w:eastAsia="en-US"/>
              </w:rPr>
            </w:pPr>
            <w:r w:rsidRPr="003B2277">
              <w:rPr>
                <w:rFonts w:eastAsia="Calibri" w:cs="Mangal"/>
                <w:lang w:eastAsia="en-US"/>
              </w:rPr>
              <w:t>(c) dejanski volumenski delež alkohola;</w:t>
            </w:r>
          </w:p>
        </w:tc>
      </w:tr>
      <w:tr w:rsidR="006F5BFE" w:rsidRPr="003B2277" w14:paraId="6ED62476" w14:textId="77777777" w:rsidTr="005B4D60">
        <w:trPr>
          <w:jc w:val="center"/>
        </w:trPr>
        <w:tc>
          <w:tcPr>
            <w:tcW w:w="4876" w:type="dxa"/>
            <w:hideMark/>
          </w:tcPr>
          <w:p w14:paraId="4580F717" w14:textId="77777777" w:rsidR="006F5BFE" w:rsidRPr="003B2277" w:rsidRDefault="006F5BFE" w:rsidP="005B4D60">
            <w:pPr>
              <w:spacing w:after="120"/>
              <w:rPr>
                <w:lang w:eastAsia="en-US"/>
              </w:rPr>
            </w:pPr>
            <w:r w:rsidRPr="003B2277">
              <w:rPr>
                <w:rFonts w:eastAsia="Calibri" w:cs="Mangal"/>
                <w:lang w:eastAsia="en-US"/>
              </w:rPr>
              <w:t>(d) navedbo izvora;</w:t>
            </w:r>
          </w:p>
        </w:tc>
        <w:tc>
          <w:tcPr>
            <w:tcW w:w="4876" w:type="dxa"/>
          </w:tcPr>
          <w:p w14:paraId="7F941427" w14:textId="77777777" w:rsidR="006F5BFE" w:rsidRPr="003B2277" w:rsidRDefault="006F5BFE" w:rsidP="005B4D60">
            <w:pPr>
              <w:spacing w:after="120"/>
              <w:rPr>
                <w:szCs w:val="24"/>
                <w:lang w:eastAsia="en-US"/>
              </w:rPr>
            </w:pPr>
            <w:r w:rsidRPr="003B2277">
              <w:rPr>
                <w:rFonts w:eastAsia="Calibri" w:cs="Mangal"/>
                <w:lang w:eastAsia="en-US"/>
              </w:rPr>
              <w:t>(d) navedbo izvora;</w:t>
            </w:r>
          </w:p>
        </w:tc>
      </w:tr>
      <w:tr w:rsidR="006F5BFE" w:rsidRPr="003B2277" w14:paraId="6F4E211D" w14:textId="77777777" w:rsidTr="005B4D60">
        <w:trPr>
          <w:jc w:val="center"/>
        </w:trPr>
        <w:tc>
          <w:tcPr>
            <w:tcW w:w="4876" w:type="dxa"/>
            <w:hideMark/>
          </w:tcPr>
          <w:p w14:paraId="2841AC4B" w14:textId="77777777" w:rsidR="006F5BFE" w:rsidRPr="003B2277" w:rsidRDefault="006F5BFE" w:rsidP="005B4D60">
            <w:pPr>
              <w:spacing w:after="120"/>
              <w:rPr>
                <w:lang w:eastAsia="en-US"/>
              </w:rPr>
            </w:pPr>
            <w:r w:rsidRPr="003B2277">
              <w:rPr>
                <w:rFonts w:eastAsia="Calibri" w:cs="Mangal"/>
                <w:lang w:eastAsia="en-US"/>
              </w:rPr>
              <w:t>(e) navedbo polnilca ali, v primeru penečega vina, gaziranega penečega vina, kakovostnega penečega vina ali kakovostnega aromatičnega penečega vina, ime proizvajalca ali prodajalca;</w:t>
            </w:r>
          </w:p>
        </w:tc>
        <w:tc>
          <w:tcPr>
            <w:tcW w:w="4876" w:type="dxa"/>
          </w:tcPr>
          <w:p w14:paraId="7A7B8299" w14:textId="77777777" w:rsidR="006F5BFE" w:rsidRPr="003B2277" w:rsidRDefault="006F5BFE" w:rsidP="005B4D60">
            <w:pPr>
              <w:spacing w:after="120"/>
              <w:rPr>
                <w:szCs w:val="24"/>
                <w:lang w:eastAsia="en-US"/>
              </w:rPr>
            </w:pPr>
            <w:r w:rsidRPr="003B2277">
              <w:rPr>
                <w:rFonts w:eastAsia="Calibri" w:cs="Mangal"/>
                <w:lang w:eastAsia="en-US"/>
              </w:rPr>
              <w:t>(e) navedbo polnilca ali, v primeru penečega vina, gaziranega penečega vina, kakovostnega penečega vina ali kakovostnega aromatičnega penečega vina, ime proizvajalca ali prodajalca;</w:t>
            </w:r>
          </w:p>
        </w:tc>
      </w:tr>
      <w:tr w:rsidR="006F5BFE" w:rsidRPr="003B2277" w14:paraId="7F7BDC21" w14:textId="77777777" w:rsidTr="005B4D60">
        <w:trPr>
          <w:jc w:val="center"/>
        </w:trPr>
        <w:tc>
          <w:tcPr>
            <w:tcW w:w="4876" w:type="dxa"/>
            <w:hideMark/>
          </w:tcPr>
          <w:p w14:paraId="2359475A" w14:textId="77777777" w:rsidR="006F5BFE" w:rsidRPr="003B2277" w:rsidRDefault="006F5BFE" w:rsidP="005B4D60">
            <w:pPr>
              <w:spacing w:after="120"/>
              <w:rPr>
                <w:lang w:eastAsia="en-US"/>
              </w:rPr>
            </w:pPr>
            <w:r w:rsidRPr="003B2277">
              <w:rPr>
                <w:rFonts w:eastAsia="Calibri" w:cs="Mangal"/>
                <w:lang w:eastAsia="en-US"/>
              </w:rPr>
              <w:t xml:space="preserve">(f) navedbo uvoznika v primeru uvoženega vina </w:t>
            </w:r>
            <w:r w:rsidRPr="003B2277">
              <w:rPr>
                <w:rFonts w:eastAsia="Calibri" w:cs="Mangal"/>
                <w:b/>
                <w:i/>
                <w:lang w:eastAsia="en-US"/>
              </w:rPr>
              <w:t>ter</w:t>
            </w:r>
          </w:p>
        </w:tc>
        <w:tc>
          <w:tcPr>
            <w:tcW w:w="4876" w:type="dxa"/>
          </w:tcPr>
          <w:p w14:paraId="33131E3D" w14:textId="77777777" w:rsidR="006F5BFE" w:rsidRPr="003B2277" w:rsidRDefault="006F5BFE" w:rsidP="005B4D60">
            <w:pPr>
              <w:spacing w:after="120"/>
              <w:rPr>
                <w:szCs w:val="24"/>
                <w:lang w:eastAsia="en-US"/>
              </w:rPr>
            </w:pPr>
            <w:r w:rsidRPr="003B2277">
              <w:rPr>
                <w:rFonts w:eastAsia="Calibri" w:cs="Mangal"/>
                <w:lang w:eastAsia="en-US"/>
              </w:rPr>
              <w:t>(f) navedbo uvoznika v primeru uvoženega vina ter</w:t>
            </w:r>
          </w:p>
        </w:tc>
      </w:tr>
      <w:tr w:rsidR="006F5BFE" w:rsidRPr="003B2277" w14:paraId="2F6EAA2F" w14:textId="77777777" w:rsidTr="005B4D60">
        <w:trPr>
          <w:jc w:val="center"/>
        </w:trPr>
        <w:tc>
          <w:tcPr>
            <w:tcW w:w="4876" w:type="dxa"/>
            <w:hideMark/>
          </w:tcPr>
          <w:p w14:paraId="4DB8D340" w14:textId="77777777" w:rsidR="006F5BFE" w:rsidRPr="003B2277" w:rsidRDefault="006F5BFE" w:rsidP="005B4D60">
            <w:pPr>
              <w:spacing w:after="120"/>
              <w:rPr>
                <w:lang w:eastAsia="en-US"/>
              </w:rPr>
            </w:pPr>
            <w:r w:rsidRPr="003B2277">
              <w:rPr>
                <w:rFonts w:eastAsia="Calibri" w:cs="Mangal"/>
                <w:lang w:eastAsia="en-US"/>
              </w:rPr>
              <w:t>(g) navedbo vsebnosti sladkorja v primeru penečega vina, gaziranega penečega vina, kakovostnega penečega vina ali kakovostnega aromatičnega penečega vina</w:t>
            </w:r>
            <w:r w:rsidRPr="003B2277">
              <w:rPr>
                <w:rFonts w:eastAsia="Calibri" w:cs="Mangal"/>
                <w:b/>
                <w:i/>
                <w:lang w:eastAsia="en-US"/>
              </w:rPr>
              <w:t>.</w:t>
            </w:r>
          </w:p>
        </w:tc>
        <w:tc>
          <w:tcPr>
            <w:tcW w:w="4876" w:type="dxa"/>
          </w:tcPr>
          <w:p w14:paraId="468D226E" w14:textId="77777777" w:rsidR="006F5BFE" w:rsidRPr="003B2277" w:rsidRDefault="006F5BFE" w:rsidP="005B4D60">
            <w:pPr>
              <w:spacing w:after="120"/>
              <w:rPr>
                <w:szCs w:val="24"/>
                <w:lang w:eastAsia="en-US"/>
              </w:rPr>
            </w:pPr>
            <w:r w:rsidRPr="003B2277">
              <w:rPr>
                <w:rFonts w:eastAsia="Calibri" w:cs="Mangal"/>
                <w:lang w:eastAsia="en-US"/>
              </w:rPr>
              <w:t>(g) navedbo vsebnosti sladkorja v primeru penečega vina, gaziranega penečega vina, kakovostnega penečega vina ali kakovostnega aromatičnega penečega vina</w:t>
            </w:r>
            <w:r w:rsidRPr="003B2277">
              <w:rPr>
                <w:rFonts w:eastAsia="Calibri" w:cs="Mangal"/>
                <w:b/>
                <w:i/>
                <w:lang w:eastAsia="en-US"/>
              </w:rPr>
              <w:t xml:space="preserve">; </w:t>
            </w:r>
          </w:p>
        </w:tc>
      </w:tr>
      <w:tr w:rsidR="006F5BFE" w:rsidRPr="003B2277" w14:paraId="474A5365" w14:textId="77777777" w:rsidTr="005B4D60">
        <w:trPr>
          <w:jc w:val="center"/>
        </w:trPr>
        <w:tc>
          <w:tcPr>
            <w:tcW w:w="4876" w:type="dxa"/>
          </w:tcPr>
          <w:p w14:paraId="438386D8" w14:textId="77777777" w:rsidR="006F5BFE" w:rsidRPr="003B2277" w:rsidRDefault="006F5BFE" w:rsidP="005B4D60">
            <w:pPr>
              <w:spacing w:after="120"/>
            </w:pPr>
          </w:p>
        </w:tc>
        <w:tc>
          <w:tcPr>
            <w:tcW w:w="4876" w:type="dxa"/>
          </w:tcPr>
          <w:p w14:paraId="27D8E808" w14:textId="77777777" w:rsidR="006F5BFE" w:rsidRPr="003B2277" w:rsidRDefault="006F5BFE" w:rsidP="005B4D60">
            <w:pPr>
              <w:spacing w:after="120"/>
              <w:rPr>
                <w:b/>
                <w:i/>
                <w:lang w:eastAsia="en-US"/>
              </w:rPr>
            </w:pPr>
            <w:r w:rsidRPr="003B2277">
              <w:rPr>
                <w:rFonts w:eastAsia="Calibri" w:cs="Mangal"/>
                <w:b/>
                <w:i/>
                <w:lang w:eastAsia="en-US"/>
              </w:rPr>
              <w:t>(ga) označbo hranilne vrednosti, ki je lahko omejena samo na energijsko vrednost; in</w:t>
            </w:r>
          </w:p>
        </w:tc>
      </w:tr>
      <w:tr w:rsidR="006F5BFE" w:rsidRPr="003B2277" w14:paraId="5EE577AE" w14:textId="77777777" w:rsidTr="005B4D60">
        <w:trPr>
          <w:jc w:val="center"/>
        </w:trPr>
        <w:tc>
          <w:tcPr>
            <w:tcW w:w="4876" w:type="dxa"/>
          </w:tcPr>
          <w:p w14:paraId="096E3764" w14:textId="77777777" w:rsidR="006F5BFE" w:rsidRPr="003B2277" w:rsidRDefault="006F5BFE" w:rsidP="005B4D60">
            <w:pPr>
              <w:spacing w:after="120"/>
            </w:pPr>
          </w:p>
        </w:tc>
        <w:tc>
          <w:tcPr>
            <w:tcW w:w="4876" w:type="dxa"/>
          </w:tcPr>
          <w:p w14:paraId="644FA7CE" w14:textId="77777777" w:rsidR="006F5BFE" w:rsidRPr="003B2277" w:rsidRDefault="006F5BFE" w:rsidP="005B4D60">
            <w:pPr>
              <w:spacing w:after="120"/>
              <w:rPr>
                <w:b/>
                <w:i/>
                <w:lang w:eastAsia="en-US"/>
              </w:rPr>
            </w:pPr>
            <w:r w:rsidRPr="003B2277">
              <w:rPr>
                <w:rFonts w:eastAsia="Calibri" w:cs="Mangal"/>
                <w:b/>
                <w:i/>
                <w:lang w:eastAsia="en-US"/>
              </w:rPr>
              <w:t>(gb) seznam sestavin.</w:t>
            </w:r>
          </w:p>
        </w:tc>
      </w:tr>
      <w:tr w:rsidR="006F5BFE" w:rsidRPr="003B2277" w14:paraId="1AB5FC1F" w14:textId="77777777" w:rsidTr="005B4D60">
        <w:trPr>
          <w:jc w:val="center"/>
        </w:trPr>
        <w:tc>
          <w:tcPr>
            <w:tcW w:w="4876" w:type="dxa"/>
            <w:hideMark/>
          </w:tcPr>
          <w:p w14:paraId="242D32FE"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Z odstopanjem od točke (a) odstavka 1 se lahko navedba kategorije proizvoda vinske trte izpusti za vina, katerih oznake vključujejo ime zaščitene označbe porekla ali zaščitene geografske označbe.</w:t>
            </w:r>
          </w:p>
        </w:tc>
        <w:tc>
          <w:tcPr>
            <w:tcW w:w="4876" w:type="dxa"/>
            <w:hideMark/>
          </w:tcPr>
          <w:p w14:paraId="7509F983"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Z odstopanjem od točke (a) odstavka 1 se lahko navedba kategorije proizvoda vinske trte izpusti za vina, katerih oznake vključujejo ime zaščitene označbe porekla ali zaščitene geografske označbe.</w:t>
            </w:r>
          </w:p>
        </w:tc>
      </w:tr>
      <w:tr w:rsidR="006F5BFE" w:rsidRPr="003B2277" w14:paraId="43022745" w14:textId="77777777" w:rsidTr="005B4D60">
        <w:trPr>
          <w:jc w:val="center"/>
        </w:trPr>
        <w:tc>
          <w:tcPr>
            <w:tcW w:w="4876" w:type="dxa"/>
            <w:hideMark/>
          </w:tcPr>
          <w:p w14:paraId="5295E988"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Z odstopanjem od točke (b) odstavka 1 se lahko navedba „zaščitena označba porekla“ ali „zaščitena geografska označba“ izpusti v naslednjih primerih:</w:t>
            </w:r>
          </w:p>
        </w:tc>
        <w:tc>
          <w:tcPr>
            <w:tcW w:w="4876" w:type="dxa"/>
            <w:hideMark/>
          </w:tcPr>
          <w:p w14:paraId="5C2CF00E"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Z odstopanjem od točke (b) odstavka 1 se lahko navedba „zaščitena označba porekla“ ali „zaščitena geografska označba“ izpusti v naslednjih primerih:</w:t>
            </w:r>
          </w:p>
        </w:tc>
      </w:tr>
      <w:tr w:rsidR="006F5BFE" w:rsidRPr="003B2277" w14:paraId="75223DFD" w14:textId="77777777" w:rsidTr="005B4D60">
        <w:trPr>
          <w:jc w:val="center"/>
        </w:trPr>
        <w:tc>
          <w:tcPr>
            <w:tcW w:w="4876" w:type="dxa"/>
            <w:hideMark/>
          </w:tcPr>
          <w:p w14:paraId="44A96845" w14:textId="77777777" w:rsidR="006F5BFE" w:rsidRPr="003B2277" w:rsidRDefault="006F5BFE" w:rsidP="005B4D60">
            <w:pPr>
              <w:spacing w:after="120"/>
              <w:rPr>
                <w:lang w:eastAsia="en-US"/>
              </w:rPr>
            </w:pPr>
            <w:r w:rsidRPr="003B2277">
              <w:rPr>
                <w:rFonts w:eastAsia="Calibri" w:cs="Mangal"/>
                <w:lang w:eastAsia="en-US"/>
              </w:rPr>
              <w:t>(a) kadar je tradicionalni izraz v skladu s točko (a) člena 112 naveden na oznaki v skladu s specifikacijo proizvoda iz člena 94(2);</w:t>
            </w:r>
          </w:p>
        </w:tc>
        <w:tc>
          <w:tcPr>
            <w:tcW w:w="4876" w:type="dxa"/>
            <w:hideMark/>
          </w:tcPr>
          <w:p w14:paraId="3211EF9E" w14:textId="77777777" w:rsidR="006F5BFE" w:rsidRPr="003B2277" w:rsidRDefault="006F5BFE" w:rsidP="005B4D60">
            <w:pPr>
              <w:spacing w:after="120"/>
              <w:rPr>
                <w:szCs w:val="24"/>
                <w:lang w:eastAsia="en-US"/>
              </w:rPr>
            </w:pPr>
            <w:r w:rsidRPr="003B2277">
              <w:rPr>
                <w:rFonts w:eastAsia="Calibri" w:cs="Mangal"/>
                <w:lang w:eastAsia="en-US"/>
              </w:rPr>
              <w:t>(a) kadar je tradicionalni izraz v skladu s točko (a) člena 112 naveden na oznaki v skladu s specifikacijo proizvoda iz člena 94(2);</w:t>
            </w:r>
          </w:p>
        </w:tc>
      </w:tr>
      <w:tr w:rsidR="006F5BFE" w:rsidRPr="003B2277" w14:paraId="57406A38" w14:textId="77777777" w:rsidTr="005B4D60">
        <w:trPr>
          <w:jc w:val="center"/>
        </w:trPr>
        <w:tc>
          <w:tcPr>
            <w:tcW w:w="4876" w:type="dxa"/>
            <w:hideMark/>
          </w:tcPr>
          <w:p w14:paraId="3DB0F897" w14:textId="77777777" w:rsidR="006F5BFE" w:rsidRPr="003B2277" w:rsidRDefault="006F5BFE" w:rsidP="005B4D60">
            <w:pPr>
              <w:spacing w:after="120"/>
              <w:rPr>
                <w:lang w:eastAsia="en-US"/>
              </w:rPr>
            </w:pPr>
            <w:r w:rsidRPr="003B2277">
              <w:rPr>
                <w:rFonts w:eastAsia="Calibri" w:cs="Mangal"/>
                <w:lang w:eastAsia="en-US"/>
              </w:rPr>
              <w:t>(b) v izjemnih in ustrezno utemeljenih okoliščinah, ki jih Komisija opredeli z delegiranimi akti, sprejetimi v skladu s členom 227, da se zagotovi upoštevanje obstoječih praks označevanja.</w:t>
            </w:r>
          </w:p>
        </w:tc>
        <w:tc>
          <w:tcPr>
            <w:tcW w:w="4876" w:type="dxa"/>
            <w:hideMark/>
          </w:tcPr>
          <w:p w14:paraId="493D7F10" w14:textId="77777777" w:rsidR="006F5BFE" w:rsidRPr="003B2277" w:rsidRDefault="006F5BFE" w:rsidP="005B4D60">
            <w:pPr>
              <w:spacing w:after="120"/>
              <w:rPr>
                <w:szCs w:val="24"/>
                <w:lang w:eastAsia="en-US"/>
              </w:rPr>
            </w:pPr>
            <w:r w:rsidRPr="003B2277">
              <w:rPr>
                <w:rFonts w:eastAsia="Calibri" w:cs="Mangal"/>
                <w:lang w:eastAsia="en-US"/>
              </w:rPr>
              <w:t>(b) v izjemnih in ustrezno utemeljenih okoliščinah, ki jih Komisija opredeli z delegiranimi akti, sprejetimi v skladu s členom 227, da se zagotovi upoštevanje obstoječih praks označevanja.</w:t>
            </w:r>
          </w:p>
        </w:tc>
      </w:tr>
      <w:tr w:rsidR="006F5BFE" w:rsidRPr="003B2277" w14:paraId="48424557" w14:textId="77777777" w:rsidTr="005B4D60">
        <w:trPr>
          <w:jc w:val="center"/>
        </w:trPr>
        <w:tc>
          <w:tcPr>
            <w:tcW w:w="4876" w:type="dxa"/>
          </w:tcPr>
          <w:p w14:paraId="5D37C547" w14:textId="77777777" w:rsidR="006F5BFE" w:rsidRPr="003B2277" w:rsidRDefault="006F5BFE" w:rsidP="005B4D60">
            <w:pPr>
              <w:spacing w:after="120"/>
            </w:pPr>
          </w:p>
        </w:tc>
        <w:tc>
          <w:tcPr>
            <w:tcW w:w="4876" w:type="dxa"/>
            <w:hideMark/>
          </w:tcPr>
          <w:p w14:paraId="3F9813F4" w14:textId="77777777" w:rsidR="006F5BFE" w:rsidRPr="003B2277" w:rsidRDefault="006F5BFE" w:rsidP="005B4D60">
            <w:pPr>
              <w:spacing w:after="120"/>
              <w:rPr>
                <w:szCs w:val="24"/>
                <w:lang w:eastAsia="en-US"/>
              </w:rPr>
            </w:pPr>
            <w:r w:rsidRPr="003B2277">
              <w:rPr>
                <w:rFonts w:eastAsia="Calibri" w:cs="Mangal"/>
                <w:b/>
                <w:i/>
                <w:lang w:eastAsia="en-US"/>
              </w:rPr>
              <w:t>3a.</w:t>
            </w:r>
            <w:r w:rsidRPr="003B2277">
              <w:rPr>
                <w:rFonts w:eastAsia="Calibri" w:cs="Mangal"/>
                <w:b/>
                <w:i/>
                <w:lang w:eastAsia="en-US"/>
              </w:rPr>
              <w:tab/>
              <w:t>Da se zagotovi enotno izvajanje odstavka 1(g)(a), se energijska vrednost:</w:t>
            </w:r>
          </w:p>
        </w:tc>
      </w:tr>
      <w:tr w:rsidR="006F5BFE" w:rsidRPr="003B2277" w14:paraId="65372A27" w14:textId="77777777" w:rsidTr="005B4D60">
        <w:trPr>
          <w:jc w:val="center"/>
        </w:trPr>
        <w:tc>
          <w:tcPr>
            <w:tcW w:w="4876" w:type="dxa"/>
          </w:tcPr>
          <w:p w14:paraId="316B024F" w14:textId="77777777" w:rsidR="006F5BFE" w:rsidRPr="003B2277" w:rsidRDefault="006F5BFE" w:rsidP="005B4D60">
            <w:pPr>
              <w:spacing w:after="120"/>
            </w:pPr>
          </w:p>
        </w:tc>
        <w:tc>
          <w:tcPr>
            <w:tcW w:w="4876" w:type="dxa"/>
            <w:hideMark/>
          </w:tcPr>
          <w:p w14:paraId="71445328" w14:textId="77777777" w:rsidR="006F5BFE" w:rsidRPr="003B2277" w:rsidRDefault="006F5BFE" w:rsidP="005B4D60">
            <w:pPr>
              <w:spacing w:after="120"/>
              <w:rPr>
                <w:szCs w:val="24"/>
                <w:lang w:eastAsia="en-US"/>
              </w:rPr>
            </w:pPr>
            <w:r w:rsidRPr="003B2277">
              <w:rPr>
                <w:rFonts w:eastAsia="Calibri" w:cs="Mangal"/>
                <w:b/>
                <w:i/>
                <w:lang w:eastAsia="en-US"/>
              </w:rPr>
              <w:t>(a) izrazi s številkami in besedami ali simboli, zlasti s simbolom (E) za energijo;</w:t>
            </w:r>
          </w:p>
        </w:tc>
      </w:tr>
      <w:tr w:rsidR="006F5BFE" w:rsidRPr="003B2277" w14:paraId="6ED32804" w14:textId="77777777" w:rsidTr="005B4D60">
        <w:trPr>
          <w:jc w:val="center"/>
        </w:trPr>
        <w:tc>
          <w:tcPr>
            <w:tcW w:w="4876" w:type="dxa"/>
          </w:tcPr>
          <w:p w14:paraId="1059077E" w14:textId="77777777" w:rsidR="006F5BFE" w:rsidRPr="003B2277" w:rsidRDefault="006F5BFE" w:rsidP="005B4D60">
            <w:pPr>
              <w:spacing w:after="120"/>
            </w:pPr>
          </w:p>
        </w:tc>
        <w:tc>
          <w:tcPr>
            <w:tcW w:w="4876" w:type="dxa"/>
            <w:hideMark/>
          </w:tcPr>
          <w:p w14:paraId="428120C6" w14:textId="77777777" w:rsidR="006F5BFE" w:rsidRPr="003B2277" w:rsidRDefault="006F5BFE" w:rsidP="005B4D60">
            <w:pPr>
              <w:spacing w:after="120"/>
              <w:rPr>
                <w:szCs w:val="24"/>
                <w:lang w:eastAsia="en-US"/>
              </w:rPr>
            </w:pPr>
            <w:r w:rsidRPr="003B2277">
              <w:rPr>
                <w:rFonts w:eastAsia="Calibri" w:cs="Mangal"/>
                <w:b/>
                <w:i/>
                <w:lang w:eastAsia="en-US"/>
              </w:rPr>
              <w:t>(b) izračuna z uporabo pretvorbenega faktorja iz Priloge XIV k Uredbi (EU) št. 1169/2011;</w:t>
            </w:r>
          </w:p>
        </w:tc>
      </w:tr>
      <w:tr w:rsidR="006F5BFE" w:rsidRPr="003B2277" w14:paraId="361F4688" w14:textId="77777777" w:rsidTr="005B4D60">
        <w:trPr>
          <w:jc w:val="center"/>
        </w:trPr>
        <w:tc>
          <w:tcPr>
            <w:tcW w:w="4876" w:type="dxa"/>
          </w:tcPr>
          <w:p w14:paraId="35B3045C" w14:textId="77777777" w:rsidR="006F5BFE" w:rsidRPr="003B2277" w:rsidRDefault="006F5BFE" w:rsidP="005B4D60">
            <w:pPr>
              <w:spacing w:after="120"/>
            </w:pPr>
          </w:p>
        </w:tc>
        <w:tc>
          <w:tcPr>
            <w:tcW w:w="4876" w:type="dxa"/>
            <w:hideMark/>
          </w:tcPr>
          <w:p w14:paraId="2FBB0E45" w14:textId="77777777" w:rsidR="006F5BFE" w:rsidRPr="003B2277" w:rsidRDefault="006F5BFE" w:rsidP="005B4D60">
            <w:pPr>
              <w:spacing w:after="120"/>
              <w:rPr>
                <w:szCs w:val="24"/>
                <w:lang w:eastAsia="en-US"/>
              </w:rPr>
            </w:pPr>
            <w:r w:rsidRPr="003B2277">
              <w:rPr>
                <w:rFonts w:eastAsia="Calibri" w:cs="Mangal"/>
                <w:b/>
                <w:i/>
                <w:lang w:eastAsia="en-US"/>
              </w:rPr>
              <w:t>(c) izrazi kot povprečna vrednost v kcal na podlagi:</w:t>
            </w:r>
          </w:p>
        </w:tc>
      </w:tr>
      <w:tr w:rsidR="006F5BFE" w:rsidRPr="003B2277" w14:paraId="14E94D1F" w14:textId="77777777" w:rsidTr="005B4D60">
        <w:trPr>
          <w:jc w:val="center"/>
        </w:trPr>
        <w:tc>
          <w:tcPr>
            <w:tcW w:w="4876" w:type="dxa"/>
          </w:tcPr>
          <w:p w14:paraId="68E1A499" w14:textId="77777777" w:rsidR="006F5BFE" w:rsidRPr="003B2277" w:rsidRDefault="006F5BFE" w:rsidP="005B4D60">
            <w:pPr>
              <w:spacing w:after="120"/>
            </w:pPr>
          </w:p>
        </w:tc>
        <w:tc>
          <w:tcPr>
            <w:tcW w:w="4876" w:type="dxa"/>
            <w:hideMark/>
          </w:tcPr>
          <w:p w14:paraId="33746F94" w14:textId="77777777" w:rsidR="006F5BFE" w:rsidRPr="003B2277" w:rsidRDefault="006F5BFE" w:rsidP="005B4D60">
            <w:pPr>
              <w:spacing w:after="120"/>
              <w:rPr>
                <w:szCs w:val="24"/>
                <w:lang w:eastAsia="en-US"/>
              </w:rPr>
            </w:pPr>
            <w:r w:rsidRPr="003B2277">
              <w:rPr>
                <w:rFonts w:eastAsia="Calibri" w:cs="Mangal"/>
                <w:b/>
                <w:i/>
                <w:lang w:eastAsia="en-US"/>
              </w:rPr>
              <w:t>(i) analize vina, ki jo opravi proizvajalec, ali</w:t>
            </w:r>
          </w:p>
        </w:tc>
      </w:tr>
      <w:tr w:rsidR="006F5BFE" w:rsidRPr="003B2277" w14:paraId="2D9DB422" w14:textId="77777777" w:rsidTr="005B4D60">
        <w:trPr>
          <w:jc w:val="center"/>
        </w:trPr>
        <w:tc>
          <w:tcPr>
            <w:tcW w:w="4876" w:type="dxa"/>
          </w:tcPr>
          <w:p w14:paraId="55405542" w14:textId="77777777" w:rsidR="006F5BFE" w:rsidRPr="003B2277" w:rsidRDefault="006F5BFE" w:rsidP="005B4D60">
            <w:pPr>
              <w:spacing w:after="120"/>
            </w:pPr>
          </w:p>
        </w:tc>
        <w:tc>
          <w:tcPr>
            <w:tcW w:w="4876" w:type="dxa"/>
            <w:hideMark/>
          </w:tcPr>
          <w:p w14:paraId="2013AB42" w14:textId="77777777" w:rsidR="006F5BFE" w:rsidRPr="003B2277" w:rsidRDefault="006F5BFE" w:rsidP="005B4D60">
            <w:pPr>
              <w:spacing w:after="120"/>
              <w:rPr>
                <w:szCs w:val="24"/>
                <w:lang w:eastAsia="en-US"/>
              </w:rPr>
            </w:pPr>
            <w:r w:rsidRPr="003B2277">
              <w:rPr>
                <w:rFonts w:eastAsia="Calibri" w:cs="Mangal"/>
                <w:b/>
                <w:i/>
                <w:lang w:eastAsia="en-US"/>
              </w:rPr>
              <w:t>(ii) izračuna na podlagi splošno določenih in sprejetih podatkov na podlagi povprečnih vrednosti tipičnih in značilnih vin;</w:t>
            </w:r>
          </w:p>
        </w:tc>
      </w:tr>
      <w:tr w:rsidR="006F5BFE" w:rsidRPr="003B2277" w14:paraId="5C2AB594" w14:textId="77777777" w:rsidTr="005B4D60">
        <w:trPr>
          <w:jc w:val="center"/>
        </w:trPr>
        <w:tc>
          <w:tcPr>
            <w:tcW w:w="4876" w:type="dxa"/>
          </w:tcPr>
          <w:p w14:paraId="161435D3" w14:textId="77777777" w:rsidR="006F5BFE" w:rsidRPr="003B2277" w:rsidRDefault="006F5BFE" w:rsidP="005B4D60">
            <w:pPr>
              <w:spacing w:after="120"/>
            </w:pPr>
          </w:p>
        </w:tc>
        <w:tc>
          <w:tcPr>
            <w:tcW w:w="4876" w:type="dxa"/>
            <w:hideMark/>
          </w:tcPr>
          <w:p w14:paraId="20619F58" w14:textId="77777777" w:rsidR="006F5BFE" w:rsidRPr="003B2277" w:rsidRDefault="006F5BFE" w:rsidP="005B4D60">
            <w:pPr>
              <w:spacing w:after="120"/>
              <w:rPr>
                <w:szCs w:val="24"/>
                <w:lang w:eastAsia="en-US"/>
              </w:rPr>
            </w:pPr>
            <w:r w:rsidRPr="003B2277">
              <w:rPr>
                <w:rFonts w:eastAsia="Calibri" w:cs="Mangal"/>
                <w:b/>
                <w:i/>
                <w:lang w:eastAsia="en-US"/>
              </w:rPr>
              <w:t>(d) izrazi na 100 ml. Poleg tega se lahko izrazi na porabniško enoto, ki jo potrošnik zlahka prepozna, če je uporabljena enota količinsko opredeljena na oznaki in je navedeno število enot v embalaži.</w:t>
            </w:r>
          </w:p>
        </w:tc>
      </w:tr>
      <w:tr w:rsidR="006F5BFE" w:rsidRPr="003B2277" w14:paraId="1738D4DD" w14:textId="77777777" w:rsidTr="005B4D60">
        <w:trPr>
          <w:jc w:val="center"/>
        </w:trPr>
        <w:tc>
          <w:tcPr>
            <w:tcW w:w="4876" w:type="dxa"/>
          </w:tcPr>
          <w:p w14:paraId="6D84DAF6" w14:textId="77777777" w:rsidR="006F5BFE" w:rsidRPr="003B2277" w:rsidRDefault="006F5BFE" w:rsidP="005B4D60">
            <w:pPr>
              <w:spacing w:after="120"/>
            </w:pPr>
          </w:p>
        </w:tc>
        <w:tc>
          <w:tcPr>
            <w:tcW w:w="4876" w:type="dxa"/>
            <w:hideMark/>
          </w:tcPr>
          <w:p w14:paraId="1CD0F44C" w14:textId="77777777" w:rsidR="006F5BFE" w:rsidRPr="003B2277" w:rsidRDefault="006F5BFE" w:rsidP="005B4D60">
            <w:pPr>
              <w:spacing w:after="120"/>
              <w:rPr>
                <w:szCs w:val="24"/>
                <w:lang w:eastAsia="en-US"/>
              </w:rPr>
            </w:pPr>
            <w:r w:rsidRPr="003B2277">
              <w:rPr>
                <w:rFonts w:eastAsia="Calibri" w:cs="Mangal"/>
                <w:b/>
                <w:i/>
                <w:lang w:eastAsia="en-US"/>
              </w:rPr>
              <w:t>3b.</w:t>
            </w:r>
            <w:r w:rsidRPr="003B2277">
              <w:rPr>
                <w:rFonts w:eastAsia="Calibri" w:cs="Mangal"/>
                <w:b/>
                <w:i/>
                <w:lang w:eastAsia="en-US"/>
              </w:rPr>
              <w:tab/>
              <w:t>Z odstopanjem od odstavka 1(g)(b) je mogoče seznam sestavin posredovati tudi drugače kot na oznaki, nalepljeni na steklenico ali drugo vrsto embalaže, če je na oznaki navedena jasna in neposredna povezava. Seznam ne sme biti naveden skupaj z drugimi informacijami, namenjenimi prodaji ali trženju.</w:t>
            </w:r>
          </w:p>
        </w:tc>
      </w:tr>
      <w:tr w:rsidR="006F5BFE" w:rsidRPr="003B2277" w14:paraId="461FD8DB" w14:textId="77777777" w:rsidTr="005B4D60">
        <w:trPr>
          <w:jc w:val="center"/>
        </w:trPr>
        <w:tc>
          <w:tcPr>
            <w:tcW w:w="4876" w:type="dxa"/>
          </w:tcPr>
          <w:p w14:paraId="7A4AE02C" w14:textId="77777777" w:rsidR="006F5BFE" w:rsidRPr="003B2277" w:rsidRDefault="006F5BFE" w:rsidP="005B4D60">
            <w:pPr>
              <w:spacing w:after="120"/>
            </w:pPr>
          </w:p>
        </w:tc>
        <w:tc>
          <w:tcPr>
            <w:tcW w:w="4876" w:type="dxa"/>
            <w:hideMark/>
          </w:tcPr>
          <w:p w14:paraId="2586F98A" w14:textId="77777777" w:rsidR="006F5BFE" w:rsidRPr="003B2277" w:rsidRDefault="006F5BFE" w:rsidP="005B4D60">
            <w:pPr>
              <w:spacing w:after="120"/>
              <w:rPr>
                <w:szCs w:val="24"/>
                <w:lang w:eastAsia="en-US"/>
              </w:rPr>
            </w:pPr>
            <w:r w:rsidRPr="003B2277">
              <w:rPr>
                <w:rFonts w:eastAsia="Calibri" w:cs="Mangal"/>
                <w:b/>
                <w:i/>
                <w:lang w:eastAsia="en-US"/>
              </w:rPr>
              <w:t>3c.</w:t>
            </w:r>
            <w:r w:rsidRPr="003B2277">
              <w:rPr>
                <w:rFonts w:eastAsia="Calibri" w:cs="Mangal"/>
                <w:b/>
                <w:i/>
                <w:lang w:eastAsia="en-US"/>
              </w:rPr>
              <w:tab/>
              <w:t>Države članice sprejmejo ukrepe, s katerimi zagotovijo, da se proizvodi iz odstavka 1, ki niso označeni v skladu z določbami iz te uredbe, ne dajo na trg, če pa so že na trgu, se z njega umaknejo.</w:t>
            </w:r>
          </w:p>
        </w:tc>
      </w:tr>
      <w:tr w:rsidR="006F5BFE" w:rsidRPr="003B2277" w14:paraId="29FBB2BB" w14:textId="77777777" w:rsidTr="005B4D60">
        <w:trPr>
          <w:jc w:val="center"/>
        </w:trPr>
        <w:tc>
          <w:tcPr>
            <w:tcW w:w="4876" w:type="dxa"/>
          </w:tcPr>
          <w:p w14:paraId="4ECF2C77" w14:textId="77777777" w:rsidR="006F5BFE" w:rsidRPr="003B2277" w:rsidRDefault="006F5BFE" w:rsidP="005B4D60">
            <w:pPr>
              <w:spacing w:after="120"/>
            </w:pPr>
          </w:p>
        </w:tc>
        <w:tc>
          <w:tcPr>
            <w:tcW w:w="4876" w:type="dxa"/>
            <w:hideMark/>
          </w:tcPr>
          <w:p w14:paraId="7CE9A213" w14:textId="740E6724" w:rsidR="006F5BFE" w:rsidRPr="003B2277" w:rsidRDefault="006F5BFE" w:rsidP="005B4D60">
            <w:pPr>
              <w:spacing w:after="120"/>
              <w:rPr>
                <w:szCs w:val="24"/>
                <w:lang w:eastAsia="en-US"/>
              </w:rPr>
            </w:pPr>
            <w:r w:rsidRPr="003B2277">
              <w:rPr>
                <w:rFonts w:eastAsia="Calibri" w:cs="Mangal"/>
                <w:b/>
                <w:i/>
                <w:lang w:eastAsia="en-US"/>
              </w:rPr>
              <w:t>3d.</w:t>
            </w:r>
            <w:r w:rsidRPr="003B2277">
              <w:rPr>
                <w:rFonts w:eastAsia="Calibri" w:cs="Mangal"/>
                <w:b/>
                <w:i/>
                <w:lang w:eastAsia="en-US"/>
              </w:rPr>
              <w:tab/>
              <w:t>Izvajalci dejavnosti, ki želijo prostovoljno obvestiti potrošnike o energijski vrednosti vinskih proizvodov od tržnega leta, ki se je začelo pred začetkom veljavnosti te uredbe, člen 119 uporabljajo v celoti.“</w:t>
            </w:r>
          </w:p>
        </w:tc>
      </w:tr>
    </w:tbl>
    <w:p w14:paraId="2079CA5D" w14:textId="77777777" w:rsidR="006F5BFE" w:rsidRPr="003B2277" w:rsidRDefault="006F5BFE" w:rsidP="006F5BFE">
      <w:pPr>
        <w:rPr>
          <w:lang w:eastAsia="en-US"/>
        </w:rPr>
      </w:pPr>
    </w:p>
    <w:p w14:paraId="7B5515E4" w14:textId="0F14CB2C"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103</w:t>
      </w:r>
    </w:p>
    <w:p w14:paraId="0A35D04E" w14:textId="77777777" w:rsidR="006F5BFE" w:rsidRPr="003B2277" w:rsidRDefault="006F5BFE" w:rsidP="006F5BFE"/>
    <w:p w14:paraId="4D84F935" w14:textId="77777777" w:rsidR="006F5BFE" w:rsidRPr="003B2277" w:rsidRDefault="006F5BFE" w:rsidP="006F5BFE">
      <w:pPr>
        <w:keepNext/>
        <w:rPr>
          <w:b/>
          <w:lang w:eastAsia="en-US"/>
        </w:rPr>
      </w:pPr>
      <w:r w:rsidRPr="003B2277">
        <w:rPr>
          <w:rFonts w:eastAsia="Calibri" w:cs="Mangal"/>
          <w:b/>
          <w:lang w:eastAsia="en-US"/>
        </w:rPr>
        <w:t>Predlog uredbe</w:t>
      </w:r>
    </w:p>
    <w:p w14:paraId="01593AED" w14:textId="77777777" w:rsidR="006F5BFE" w:rsidRPr="003B2277" w:rsidRDefault="006F5BFE" w:rsidP="006F5BFE">
      <w:pPr>
        <w:rPr>
          <w:b/>
          <w:lang w:eastAsia="en-US"/>
        </w:rPr>
      </w:pPr>
      <w:r w:rsidRPr="003B2277">
        <w:rPr>
          <w:rFonts w:eastAsia="Calibri" w:cs="Mangal"/>
          <w:b/>
          <w:lang w:eastAsia="en-US"/>
        </w:rPr>
        <w:t>Člen 1 – odstavek 1 – točka 19 a (novo)</w:t>
      </w:r>
    </w:p>
    <w:p w14:paraId="57365350" w14:textId="77777777" w:rsidR="006F5BFE" w:rsidRPr="003B2277" w:rsidRDefault="006F5BFE" w:rsidP="006F5BFE">
      <w:pPr>
        <w:keepNext/>
        <w:rPr>
          <w:lang w:eastAsia="en-US"/>
        </w:rPr>
      </w:pPr>
      <w:r w:rsidRPr="003B2277">
        <w:rPr>
          <w:rFonts w:eastAsia="Calibri" w:cs="Mangal"/>
          <w:lang w:eastAsia="en-US"/>
        </w:rPr>
        <w:t>Uredba (EU) št. 1308/2013</w:t>
      </w:r>
    </w:p>
    <w:p w14:paraId="5A270D43" w14:textId="77777777" w:rsidR="006F5BFE" w:rsidRPr="003B2277" w:rsidRDefault="006F5BFE" w:rsidP="006F5BFE">
      <w:pPr>
        <w:rPr>
          <w:lang w:eastAsia="en-US"/>
        </w:rPr>
      </w:pPr>
      <w:r w:rsidRPr="003B2277">
        <w:rPr>
          <w:rFonts w:eastAsia="Calibri" w:cs="Mangal"/>
          <w:lang w:eastAsia="en-US"/>
        </w:rPr>
        <w:t>Člen 120 – odstavek 1 – točka f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A590A0C" w14:textId="77777777" w:rsidTr="005B4D60">
        <w:trPr>
          <w:jc w:val="center"/>
        </w:trPr>
        <w:tc>
          <w:tcPr>
            <w:tcW w:w="9752" w:type="dxa"/>
            <w:gridSpan w:val="2"/>
          </w:tcPr>
          <w:p w14:paraId="2734A98B" w14:textId="77777777" w:rsidR="006F5BFE" w:rsidRPr="003B2277" w:rsidRDefault="006F5BFE" w:rsidP="005B4D60">
            <w:pPr>
              <w:keepNext/>
            </w:pPr>
          </w:p>
        </w:tc>
      </w:tr>
      <w:tr w:rsidR="006F5BFE" w:rsidRPr="003B2277" w14:paraId="1FF0F324" w14:textId="77777777" w:rsidTr="005B4D60">
        <w:trPr>
          <w:jc w:val="center"/>
        </w:trPr>
        <w:tc>
          <w:tcPr>
            <w:tcW w:w="4876" w:type="dxa"/>
            <w:hideMark/>
          </w:tcPr>
          <w:p w14:paraId="34E32BF4"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A19EEF5" w14:textId="2BC31B3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3DCB8A5" w14:textId="77777777" w:rsidTr="005B4D60">
        <w:trPr>
          <w:jc w:val="center"/>
        </w:trPr>
        <w:tc>
          <w:tcPr>
            <w:tcW w:w="4876" w:type="dxa"/>
          </w:tcPr>
          <w:p w14:paraId="79AC6026" w14:textId="77777777" w:rsidR="006F5BFE" w:rsidRPr="003B2277" w:rsidRDefault="006F5BFE" w:rsidP="005B4D60">
            <w:pPr>
              <w:spacing w:after="120"/>
            </w:pPr>
          </w:p>
        </w:tc>
        <w:tc>
          <w:tcPr>
            <w:tcW w:w="4876" w:type="dxa"/>
            <w:hideMark/>
          </w:tcPr>
          <w:p w14:paraId="64F19B39" w14:textId="77777777" w:rsidR="006F5BFE" w:rsidRPr="003B2277" w:rsidRDefault="006F5BFE" w:rsidP="005B4D60">
            <w:pPr>
              <w:spacing w:after="120"/>
              <w:rPr>
                <w:szCs w:val="24"/>
                <w:lang w:eastAsia="en-US"/>
              </w:rPr>
            </w:pPr>
            <w:r w:rsidRPr="003B2277">
              <w:rPr>
                <w:rFonts w:eastAsia="Calibri" w:cs="Mangal"/>
                <w:b/>
                <w:i/>
                <w:lang w:eastAsia="en-US"/>
              </w:rPr>
              <w:t>(19a)</w:t>
            </w:r>
            <w:r w:rsidRPr="003B2277">
              <w:rPr>
                <w:rFonts w:eastAsia="Calibri" w:cs="Mangal"/>
                <w:b/>
                <w:i/>
                <w:lang w:eastAsia="en-US"/>
              </w:rPr>
              <w:tab/>
              <w:t>vstavi se naslednja točka:</w:t>
            </w:r>
          </w:p>
        </w:tc>
      </w:tr>
      <w:tr w:rsidR="006F5BFE" w:rsidRPr="003B2277" w14:paraId="626B6B1F" w14:textId="77777777" w:rsidTr="005B4D60">
        <w:trPr>
          <w:jc w:val="center"/>
        </w:trPr>
        <w:tc>
          <w:tcPr>
            <w:tcW w:w="4876" w:type="dxa"/>
          </w:tcPr>
          <w:p w14:paraId="65A44ABC" w14:textId="77777777" w:rsidR="006F5BFE" w:rsidRPr="003B2277" w:rsidRDefault="006F5BFE" w:rsidP="005B4D60">
            <w:pPr>
              <w:spacing w:after="120"/>
            </w:pPr>
          </w:p>
        </w:tc>
        <w:tc>
          <w:tcPr>
            <w:tcW w:w="4876" w:type="dxa"/>
            <w:hideMark/>
          </w:tcPr>
          <w:p w14:paraId="6AD4025C" w14:textId="3610125C" w:rsidR="006F5BFE" w:rsidRPr="003B2277" w:rsidRDefault="006F5BFE" w:rsidP="005B4D60">
            <w:pPr>
              <w:spacing w:after="120"/>
              <w:rPr>
                <w:szCs w:val="24"/>
                <w:lang w:eastAsia="en-US"/>
              </w:rPr>
            </w:pPr>
            <w:r w:rsidRPr="003B2277">
              <w:rPr>
                <w:rFonts w:eastAsia="Calibri" w:cs="Mangal"/>
                <w:b/>
                <w:i/>
                <w:lang w:eastAsia="en-US"/>
              </w:rPr>
              <w:t xml:space="preserve">(fa) </w:t>
            </w:r>
            <w:r w:rsidR="006C4927" w:rsidRPr="003B2277">
              <w:rPr>
                <w:rFonts w:eastAsia="Calibri" w:cs="Mangal"/>
                <w:b/>
                <w:i/>
                <w:lang w:eastAsia="en-US"/>
              </w:rPr>
              <w:tab/>
            </w:r>
            <w:r w:rsidRPr="003B2277">
              <w:rPr>
                <w:rFonts w:eastAsia="Calibri" w:cs="Mangal"/>
                <w:b/>
                <w:i/>
                <w:lang w:eastAsia="en-US"/>
              </w:rPr>
              <w:t>„merila glede ohranjanja genskih virov vinske trte;“</w:t>
            </w:r>
          </w:p>
        </w:tc>
      </w:tr>
    </w:tbl>
    <w:p w14:paraId="4DF96D16" w14:textId="77777777" w:rsidR="006F5BFE" w:rsidRPr="003B2277" w:rsidRDefault="006F5BFE" w:rsidP="006F5BFE">
      <w:pPr>
        <w:rPr>
          <w:lang w:eastAsia="en-US"/>
        </w:rPr>
      </w:pPr>
    </w:p>
    <w:p w14:paraId="74DAC340" w14:textId="76F9059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104</w:t>
      </w:r>
    </w:p>
    <w:p w14:paraId="07815B6D" w14:textId="77777777" w:rsidR="006F5BFE" w:rsidRPr="003B2277" w:rsidRDefault="006F5BFE" w:rsidP="006F5BFE"/>
    <w:p w14:paraId="089D0ABD" w14:textId="77777777" w:rsidR="006F5BFE" w:rsidRPr="003B2277" w:rsidRDefault="006F5BFE" w:rsidP="006F5BFE">
      <w:pPr>
        <w:keepNext/>
        <w:rPr>
          <w:b/>
          <w:lang w:eastAsia="en-US"/>
        </w:rPr>
      </w:pPr>
      <w:r w:rsidRPr="003B2277">
        <w:rPr>
          <w:rFonts w:eastAsia="Calibri" w:cs="Mangal"/>
          <w:b/>
          <w:lang w:eastAsia="en-US"/>
        </w:rPr>
        <w:t>Predlog uredbe</w:t>
      </w:r>
    </w:p>
    <w:p w14:paraId="0BB1B999" w14:textId="77777777" w:rsidR="006F5BFE" w:rsidRPr="003B2277" w:rsidRDefault="006F5BFE" w:rsidP="006F5BFE">
      <w:pPr>
        <w:rPr>
          <w:b/>
          <w:lang w:eastAsia="en-US"/>
        </w:rPr>
      </w:pPr>
      <w:r w:rsidRPr="003B2277">
        <w:rPr>
          <w:rFonts w:eastAsia="Calibri" w:cs="Mangal"/>
          <w:b/>
          <w:lang w:eastAsia="en-US"/>
        </w:rPr>
        <w:t>Člen 1 – odstavek 1 – točka 20</w:t>
      </w:r>
    </w:p>
    <w:p w14:paraId="3C29DA41" w14:textId="77777777" w:rsidR="006F5BFE" w:rsidRPr="003B2277" w:rsidRDefault="006F5BFE" w:rsidP="006F5BFE">
      <w:pPr>
        <w:keepNext/>
        <w:rPr>
          <w:lang w:eastAsia="en-US"/>
        </w:rPr>
      </w:pPr>
      <w:r w:rsidRPr="003B2277">
        <w:rPr>
          <w:rFonts w:eastAsia="Calibri" w:cs="Mangal"/>
          <w:lang w:eastAsia="en-US"/>
        </w:rPr>
        <w:t>Uredba (EU) št. 1308/2013</w:t>
      </w:r>
    </w:p>
    <w:p w14:paraId="2CA6C7E1" w14:textId="77777777" w:rsidR="006F5BFE" w:rsidRPr="003B2277" w:rsidRDefault="006F5BFE" w:rsidP="006F5BFE">
      <w:pPr>
        <w:rPr>
          <w:lang w:eastAsia="en-US"/>
        </w:rPr>
      </w:pPr>
      <w:r w:rsidRPr="003B2277">
        <w:rPr>
          <w:rFonts w:eastAsia="Calibri" w:cs="Mangal"/>
          <w:lang w:eastAsia="en-US"/>
        </w:rPr>
        <w:t>Člen 122 – odstavek 1 – točke b, c in d</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D48AD40" w14:textId="77777777" w:rsidTr="005B4D60">
        <w:trPr>
          <w:jc w:val="center"/>
        </w:trPr>
        <w:tc>
          <w:tcPr>
            <w:tcW w:w="9752" w:type="dxa"/>
            <w:gridSpan w:val="2"/>
          </w:tcPr>
          <w:p w14:paraId="154EDB88" w14:textId="77777777" w:rsidR="006F5BFE" w:rsidRPr="003B2277" w:rsidRDefault="006F5BFE" w:rsidP="005B4D60">
            <w:pPr>
              <w:keepNext/>
            </w:pPr>
          </w:p>
        </w:tc>
      </w:tr>
      <w:tr w:rsidR="006F5BFE" w:rsidRPr="003B2277" w14:paraId="202A285D" w14:textId="77777777" w:rsidTr="005B4D60">
        <w:trPr>
          <w:jc w:val="center"/>
        </w:trPr>
        <w:tc>
          <w:tcPr>
            <w:tcW w:w="4876" w:type="dxa"/>
            <w:hideMark/>
          </w:tcPr>
          <w:p w14:paraId="382B369C"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CDAC7A6" w14:textId="4A57890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0E4E684" w14:textId="77777777" w:rsidTr="005B4D60">
        <w:trPr>
          <w:jc w:val="center"/>
        </w:trPr>
        <w:tc>
          <w:tcPr>
            <w:tcW w:w="4876" w:type="dxa"/>
            <w:hideMark/>
          </w:tcPr>
          <w:p w14:paraId="0C5B3169" w14:textId="77777777" w:rsidR="006F5BFE" w:rsidRPr="003B2277" w:rsidRDefault="006F5BFE" w:rsidP="005B4D60">
            <w:pPr>
              <w:spacing w:after="120"/>
              <w:rPr>
                <w:lang w:eastAsia="en-US"/>
              </w:rPr>
            </w:pPr>
            <w:r w:rsidRPr="003B2277">
              <w:rPr>
                <w:rFonts w:eastAsia="Calibri" w:cs="Mangal"/>
                <w:b/>
                <w:i/>
                <w:lang w:eastAsia="en-US"/>
              </w:rPr>
              <w:t>(20)</w:t>
            </w:r>
            <w:r w:rsidRPr="003B2277">
              <w:rPr>
                <w:rFonts w:eastAsia="Calibri" w:cs="Mangal"/>
                <w:b/>
                <w:i/>
                <w:lang w:eastAsia="en-US"/>
              </w:rPr>
              <w:tab/>
              <w:t>v členu 122 se spremeni odstavek 1:</w:t>
            </w:r>
          </w:p>
        </w:tc>
        <w:tc>
          <w:tcPr>
            <w:tcW w:w="4876" w:type="dxa"/>
            <w:hideMark/>
          </w:tcPr>
          <w:p w14:paraId="21833069" w14:textId="77777777" w:rsidR="006F5BFE" w:rsidRPr="003B2277" w:rsidRDefault="006F5BFE" w:rsidP="005B4D60">
            <w:pPr>
              <w:spacing w:after="120"/>
              <w:rPr>
                <w:szCs w:val="24"/>
                <w:lang w:eastAsia="en-US"/>
              </w:rPr>
            </w:pPr>
            <w:r w:rsidRPr="003B2277">
              <w:rPr>
                <w:rFonts w:eastAsia="Calibri" w:cs="Mangal"/>
                <w:b/>
                <w:i/>
                <w:lang w:eastAsia="en-US"/>
              </w:rPr>
              <w:t>črtano</w:t>
            </w:r>
          </w:p>
        </w:tc>
      </w:tr>
      <w:tr w:rsidR="006F5BFE" w:rsidRPr="003B2277" w14:paraId="5CD3A45C" w14:textId="77777777" w:rsidTr="005B4D60">
        <w:trPr>
          <w:jc w:val="center"/>
        </w:trPr>
        <w:tc>
          <w:tcPr>
            <w:tcW w:w="4876" w:type="dxa"/>
            <w:hideMark/>
          </w:tcPr>
          <w:p w14:paraId="286C1C8A" w14:textId="77777777" w:rsidR="006F5BFE" w:rsidRPr="003B2277" w:rsidRDefault="006F5BFE" w:rsidP="005B4D60">
            <w:pPr>
              <w:spacing w:after="120"/>
              <w:rPr>
                <w:lang w:eastAsia="en-US"/>
              </w:rPr>
            </w:pPr>
            <w:r w:rsidRPr="003B2277">
              <w:rPr>
                <w:rFonts w:eastAsia="Calibri" w:cs="Mangal"/>
                <w:b/>
                <w:i/>
                <w:lang w:eastAsia="en-US"/>
              </w:rPr>
              <w:t>(a)</w:t>
            </w:r>
            <w:r w:rsidRPr="003B2277">
              <w:rPr>
                <w:rFonts w:eastAsia="Calibri" w:cs="Mangal"/>
                <w:b/>
                <w:i/>
                <w:lang w:eastAsia="en-US"/>
              </w:rPr>
              <w:tab/>
              <w:t>v točki (b) se črta točka (ii);</w:t>
            </w:r>
          </w:p>
        </w:tc>
        <w:tc>
          <w:tcPr>
            <w:tcW w:w="4876" w:type="dxa"/>
          </w:tcPr>
          <w:p w14:paraId="568F91A7" w14:textId="77777777" w:rsidR="006F5BFE" w:rsidRPr="003B2277" w:rsidRDefault="006F5BFE" w:rsidP="005B4D60">
            <w:pPr>
              <w:spacing w:after="120"/>
              <w:rPr>
                <w:szCs w:val="24"/>
              </w:rPr>
            </w:pPr>
          </w:p>
        </w:tc>
      </w:tr>
      <w:tr w:rsidR="006F5BFE" w:rsidRPr="003B2277" w14:paraId="14EE1CFC" w14:textId="77777777" w:rsidTr="005B4D60">
        <w:trPr>
          <w:jc w:val="center"/>
        </w:trPr>
        <w:tc>
          <w:tcPr>
            <w:tcW w:w="4876" w:type="dxa"/>
            <w:hideMark/>
          </w:tcPr>
          <w:p w14:paraId="3E553E74" w14:textId="77777777" w:rsidR="006F5BFE" w:rsidRPr="003B2277" w:rsidRDefault="006F5BFE" w:rsidP="005B4D60">
            <w:pPr>
              <w:spacing w:after="120"/>
              <w:rPr>
                <w:lang w:eastAsia="en-US"/>
              </w:rPr>
            </w:pPr>
            <w:r w:rsidRPr="003B2277">
              <w:rPr>
                <w:rFonts w:eastAsia="Calibri" w:cs="Mangal"/>
                <w:b/>
                <w:i/>
                <w:lang w:eastAsia="en-US"/>
              </w:rPr>
              <w:t>(b)</w:t>
            </w:r>
            <w:r w:rsidRPr="003B2277">
              <w:rPr>
                <w:rFonts w:eastAsia="Calibri" w:cs="Mangal"/>
                <w:b/>
                <w:i/>
                <w:lang w:eastAsia="en-US"/>
              </w:rPr>
              <w:tab/>
              <w:t>v točki (c) se doda naslednja točka (iii):</w:t>
            </w:r>
          </w:p>
        </w:tc>
        <w:tc>
          <w:tcPr>
            <w:tcW w:w="4876" w:type="dxa"/>
          </w:tcPr>
          <w:p w14:paraId="6749CA98" w14:textId="77777777" w:rsidR="006F5BFE" w:rsidRPr="003B2277" w:rsidRDefault="006F5BFE" w:rsidP="005B4D60">
            <w:pPr>
              <w:spacing w:after="120"/>
              <w:rPr>
                <w:szCs w:val="24"/>
              </w:rPr>
            </w:pPr>
          </w:p>
        </w:tc>
      </w:tr>
      <w:tr w:rsidR="006F5BFE" w:rsidRPr="003B2277" w14:paraId="5FB8690C" w14:textId="77777777" w:rsidTr="005B4D60">
        <w:trPr>
          <w:jc w:val="center"/>
        </w:trPr>
        <w:tc>
          <w:tcPr>
            <w:tcW w:w="4876" w:type="dxa"/>
            <w:hideMark/>
          </w:tcPr>
          <w:p w14:paraId="0DDABB61" w14:textId="43720AAF" w:rsidR="006F5BFE" w:rsidRPr="003B2277" w:rsidRDefault="006F5BFE" w:rsidP="00167BAA">
            <w:pPr>
              <w:spacing w:after="120"/>
              <w:rPr>
                <w:lang w:eastAsia="en-US"/>
              </w:rPr>
            </w:pPr>
            <w:r w:rsidRPr="003B2277">
              <w:rPr>
                <w:rFonts w:eastAsia="Calibri" w:cs="Mangal"/>
                <w:b/>
                <w:i/>
                <w:lang w:eastAsia="en-US"/>
              </w:rPr>
              <w:t>„(iii)</w:t>
            </w:r>
            <w:r w:rsidRPr="003B2277">
              <w:rPr>
                <w:rFonts w:eastAsia="Calibri" w:cs="Mangal"/>
                <w:b/>
                <w:i/>
                <w:lang w:eastAsia="en-US"/>
              </w:rPr>
              <w:tab/>
              <w:t>izrazih, ki se nanašajo na kmetijsko gospodarstvo, in pogojih za njihovo uporabo;“</w:t>
            </w:r>
          </w:p>
        </w:tc>
        <w:tc>
          <w:tcPr>
            <w:tcW w:w="4876" w:type="dxa"/>
          </w:tcPr>
          <w:p w14:paraId="1B5324D3" w14:textId="77777777" w:rsidR="006F5BFE" w:rsidRPr="003B2277" w:rsidRDefault="006F5BFE" w:rsidP="005B4D60">
            <w:pPr>
              <w:spacing w:after="120"/>
              <w:rPr>
                <w:szCs w:val="24"/>
              </w:rPr>
            </w:pPr>
          </w:p>
        </w:tc>
      </w:tr>
      <w:tr w:rsidR="006F5BFE" w:rsidRPr="003B2277" w14:paraId="7E643A26" w14:textId="77777777" w:rsidTr="005B4D60">
        <w:trPr>
          <w:jc w:val="center"/>
        </w:trPr>
        <w:tc>
          <w:tcPr>
            <w:tcW w:w="4876" w:type="dxa"/>
            <w:hideMark/>
          </w:tcPr>
          <w:p w14:paraId="40A2EC9E" w14:textId="77777777" w:rsidR="006F5BFE" w:rsidRPr="003B2277" w:rsidRDefault="006F5BFE" w:rsidP="005B4D60">
            <w:pPr>
              <w:spacing w:after="120"/>
              <w:rPr>
                <w:lang w:eastAsia="en-US"/>
              </w:rPr>
            </w:pPr>
            <w:r w:rsidRPr="003B2277">
              <w:rPr>
                <w:rFonts w:eastAsia="Calibri" w:cs="Mangal"/>
                <w:b/>
                <w:i/>
                <w:lang w:eastAsia="en-US"/>
              </w:rPr>
              <w:t>(c)</w:t>
            </w:r>
            <w:r w:rsidRPr="003B2277">
              <w:rPr>
                <w:rFonts w:eastAsia="Calibri" w:cs="Mangal"/>
                <w:b/>
                <w:i/>
                <w:lang w:eastAsia="en-US"/>
              </w:rPr>
              <w:tab/>
              <w:t>v točki (d) se točka (i) nadomesti z naslednjim:</w:t>
            </w:r>
          </w:p>
        </w:tc>
        <w:tc>
          <w:tcPr>
            <w:tcW w:w="4876" w:type="dxa"/>
          </w:tcPr>
          <w:p w14:paraId="455C3B85" w14:textId="77777777" w:rsidR="006F5BFE" w:rsidRPr="003B2277" w:rsidRDefault="006F5BFE" w:rsidP="005B4D60">
            <w:pPr>
              <w:spacing w:after="120"/>
              <w:rPr>
                <w:szCs w:val="24"/>
              </w:rPr>
            </w:pPr>
          </w:p>
        </w:tc>
      </w:tr>
      <w:tr w:rsidR="006F5BFE" w:rsidRPr="003B2277" w14:paraId="7323D73B" w14:textId="77777777" w:rsidTr="005B4D60">
        <w:trPr>
          <w:jc w:val="center"/>
        </w:trPr>
        <w:tc>
          <w:tcPr>
            <w:tcW w:w="4876" w:type="dxa"/>
            <w:hideMark/>
          </w:tcPr>
          <w:p w14:paraId="6617C607" w14:textId="0910AB4D" w:rsidR="006F5BFE" w:rsidRPr="003B2277" w:rsidRDefault="006F5BFE" w:rsidP="00167BAA">
            <w:pPr>
              <w:spacing w:after="120"/>
              <w:rPr>
                <w:lang w:eastAsia="en-US"/>
              </w:rPr>
            </w:pPr>
            <w:r w:rsidRPr="003B2277">
              <w:rPr>
                <w:rFonts w:eastAsia="Calibri" w:cs="Mangal"/>
                <w:b/>
                <w:i/>
                <w:lang w:eastAsia="en-US"/>
              </w:rPr>
              <w:t>„(i)</w:t>
            </w:r>
            <w:r w:rsidRPr="003B2277">
              <w:rPr>
                <w:rFonts w:eastAsia="Calibri" w:cs="Mangal"/>
                <w:b/>
                <w:i/>
                <w:lang w:eastAsia="en-US"/>
              </w:rPr>
              <w:tab/>
              <w:t>pogoji uporabe nekaterih oblik steklenic in zapiral ter seznamom nekaterih posebnih oblik steklenic;“</w:t>
            </w:r>
          </w:p>
        </w:tc>
        <w:tc>
          <w:tcPr>
            <w:tcW w:w="4876" w:type="dxa"/>
          </w:tcPr>
          <w:p w14:paraId="3914EF0F" w14:textId="77777777" w:rsidR="006F5BFE" w:rsidRPr="003B2277" w:rsidRDefault="006F5BFE" w:rsidP="005B4D60">
            <w:pPr>
              <w:spacing w:after="120"/>
              <w:rPr>
                <w:szCs w:val="24"/>
              </w:rPr>
            </w:pPr>
          </w:p>
        </w:tc>
      </w:tr>
    </w:tbl>
    <w:p w14:paraId="4104E8E5" w14:textId="77777777" w:rsidR="006F5BFE" w:rsidRPr="003B2277" w:rsidRDefault="006F5BFE" w:rsidP="006F5BFE">
      <w:pPr>
        <w:rPr>
          <w:lang w:eastAsia="en-US"/>
        </w:rPr>
      </w:pPr>
    </w:p>
    <w:p w14:paraId="746779C5" w14:textId="1B30CD6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105</w:t>
      </w:r>
    </w:p>
    <w:p w14:paraId="40B77FF0" w14:textId="77777777" w:rsidR="006F5BFE" w:rsidRPr="003B2277" w:rsidRDefault="006F5BFE" w:rsidP="006F5BFE"/>
    <w:p w14:paraId="5AB40050" w14:textId="77777777" w:rsidR="006F5BFE" w:rsidRPr="003B2277" w:rsidRDefault="006F5BFE" w:rsidP="006F5BFE">
      <w:pPr>
        <w:keepNext/>
        <w:rPr>
          <w:b/>
          <w:lang w:eastAsia="en-US"/>
        </w:rPr>
      </w:pPr>
      <w:r w:rsidRPr="003B2277">
        <w:rPr>
          <w:rFonts w:eastAsia="Calibri" w:cs="Mangal"/>
          <w:b/>
          <w:lang w:eastAsia="en-US"/>
        </w:rPr>
        <w:t>Predlog uredbe</w:t>
      </w:r>
    </w:p>
    <w:p w14:paraId="467CED01" w14:textId="77777777" w:rsidR="006F5BFE" w:rsidRPr="003B2277" w:rsidRDefault="006F5BFE" w:rsidP="006F5BFE">
      <w:pPr>
        <w:rPr>
          <w:b/>
          <w:lang w:eastAsia="en-US"/>
        </w:rPr>
      </w:pPr>
      <w:r w:rsidRPr="003B2277">
        <w:rPr>
          <w:rFonts w:eastAsia="Calibri" w:cs="Mangal"/>
          <w:b/>
          <w:lang w:eastAsia="en-US"/>
        </w:rPr>
        <w:t>Člen 1 – odstavek 1 – točka 20 a (novo)</w:t>
      </w:r>
    </w:p>
    <w:p w14:paraId="419D2770" w14:textId="77777777" w:rsidR="006F5BFE" w:rsidRPr="003B2277" w:rsidRDefault="006F5BFE" w:rsidP="006F5BFE">
      <w:pPr>
        <w:keepNext/>
        <w:rPr>
          <w:lang w:eastAsia="en-US"/>
        </w:rPr>
      </w:pPr>
      <w:r w:rsidRPr="003B2277">
        <w:rPr>
          <w:rFonts w:eastAsia="Calibri" w:cs="Mangal"/>
          <w:lang w:eastAsia="en-US"/>
        </w:rPr>
        <w:t>Uredba (EU) št. 1308/2013</w:t>
      </w:r>
    </w:p>
    <w:p w14:paraId="44FED8FE" w14:textId="77777777" w:rsidR="006F5BFE" w:rsidRPr="003B2277" w:rsidRDefault="006F5BFE" w:rsidP="006F5BFE">
      <w:pPr>
        <w:rPr>
          <w:lang w:eastAsia="en-US"/>
        </w:rPr>
      </w:pPr>
      <w:r w:rsidRPr="003B2277">
        <w:rPr>
          <w:rFonts w:eastAsia="Calibri" w:cs="Mangal"/>
          <w:lang w:eastAsia="en-US"/>
        </w:rPr>
        <w:t>Člen 122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26EE025" w14:textId="77777777" w:rsidTr="005B4D60">
        <w:trPr>
          <w:jc w:val="center"/>
        </w:trPr>
        <w:tc>
          <w:tcPr>
            <w:tcW w:w="9752" w:type="dxa"/>
            <w:gridSpan w:val="2"/>
          </w:tcPr>
          <w:p w14:paraId="7FD751ED" w14:textId="77777777" w:rsidR="006F5BFE" w:rsidRPr="003B2277" w:rsidRDefault="006F5BFE" w:rsidP="005B4D60">
            <w:pPr>
              <w:keepNext/>
            </w:pPr>
          </w:p>
        </w:tc>
      </w:tr>
      <w:tr w:rsidR="006F5BFE" w:rsidRPr="003B2277" w14:paraId="769C4687" w14:textId="77777777" w:rsidTr="005B4D60">
        <w:trPr>
          <w:jc w:val="center"/>
        </w:trPr>
        <w:tc>
          <w:tcPr>
            <w:tcW w:w="4876" w:type="dxa"/>
            <w:hideMark/>
          </w:tcPr>
          <w:p w14:paraId="7299A66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B91E21E" w14:textId="3A44A58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4C549A9" w14:textId="77777777" w:rsidTr="005B4D60">
        <w:trPr>
          <w:jc w:val="center"/>
        </w:trPr>
        <w:tc>
          <w:tcPr>
            <w:tcW w:w="4876" w:type="dxa"/>
          </w:tcPr>
          <w:p w14:paraId="644A9AA2" w14:textId="77777777" w:rsidR="006F5BFE" w:rsidRPr="003B2277" w:rsidRDefault="006F5BFE" w:rsidP="005B4D60">
            <w:pPr>
              <w:spacing w:after="120"/>
            </w:pPr>
          </w:p>
        </w:tc>
        <w:tc>
          <w:tcPr>
            <w:tcW w:w="4876" w:type="dxa"/>
            <w:hideMark/>
          </w:tcPr>
          <w:p w14:paraId="1D1B20C8" w14:textId="77777777" w:rsidR="006F5BFE" w:rsidRPr="003B2277" w:rsidRDefault="006F5BFE" w:rsidP="005B4D60">
            <w:pPr>
              <w:spacing w:after="120"/>
              <w:rPr>
                <w:szCs w:val="24"/>
                <w:lang w:eastAsia="en-US"/>
              </w:rPr>
            </w:pPr>
            <w:r w:rsidRPr="003B2277">
              <w:rPr>
                <w:rFonts w:eastAsia="Calibri" w:cs="Mangal"/>
                <w:b/>
                <w:i/>
                <w:lang w:eastAsia="en-US"/>
              </w:rPr>
              <w:t>(20a)</w:t>
            </w:r>
            <w:r w:rsidRPr="003B2277">
              <w:rPr>
                <w:rFonts w:eastAsia="Calibri" w:cs="Mangal"/>
                <w:b/>
                <w:i/>
                <w:lang w:eastAsia="en-US"/>
              </w:rPr>
              <w:tab/>
              <w:t>člen 122 se nadomesti z naslednjim:</w:t>
            </w:r>
          </w:p>
        </w:tc>
      </w:tr>
      <w:tr w:rsidR="006F5BFE" w:rsidRPr="003B2277" w14:paraId="6CB1F192" w14:textId="77777777" w:rsidTr="005B4D60">
        <w:trPr>
          <w:jc w:val="center"/>
        </w:trPr>
        <w:tc>
          <w:tcPr>
            <w:tcW w:w="4876" w:type="dxa"/>
            <w:hideMark/>
          </w:tcPr>
          <w:p w14:paraId="0FA7AA4B" w14:textId="77777777" w:rsidR="006F5BFE" w:rsidRPr="003B2277" w:rsidRDefault="006F5BFE" w:rsidP="005B4D60">
            <w:pPr>
              <w:spacing w:after="120"/>
              <w:rPr>
                <w:lang w:eastAsia="en-US"/>
              </w:rPr>
            </w:pPr>
            <w:r w:rsidRPr="003B2277">
              <w:rPr>
                <w:rFonts w:eastAsia="Calibri" w:cs="Mangal"/>
                <w:lang w:eastAsia="en-US"/>
              </w:rPr>
              <w:t>Člen 122</w:t>
            </w:r>
          </w:p>
        </w:tc>
        <w:tc>
          <w:tcPr>
            <w:tcW w:w="4876" w:type="dxa"/>
            <w:hideMark/>
          </w:tcPr>
          <w:p w14:paraId="2E3CC72E"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122</w:t>
            </w:r>
          </w:p>
        </w:tc>
      </w:tr>
      <w:tr w:rsidR="006F5BFE" w:rsidRPr="003B2277" w14:paraId="68F61236" w14:textId="77777777" w:rsidTr="005B4D60">
        <w:trPr>
          <w:jc w:val="center"/>
        </w:trPr>
        <w:tc>
          <w:tcPr>
            <w:tcW w:w="4876" w:type="dxa"/>
            <w:hideMark/>
          </w:tcPr>
          <w:p w14:paraId="018D6148" w14:textId="77777777" w:rsidR="006F5BFE" w:rsidRPr="003B2277" w:rsidRDefault="006F5BFE" w:rsidP="005B4D60">
            <w:pPr>
              <w:spacing w:after="120"/>
              <w:rPr>
                <w:lang w:eastAsia="en-US"/>
              </w:rPr>
            </w:pPr>
            <w:r w:rsidRPr="003B2277">
              <w:rPr>
                <w:rFonts w:eastAsia="Calibri" w:cs="Mangal"/>
                <w:lang w:eastAsia="en-US"/>
              </w:rPr>
              <w:t>Prenos pooblastila</w:t>
            </w:r>
          </w:p>
        </w:tc>
        <w:tc>
          <w:tcPr>
            <w:tcW w:w="4876" w:type="dxa"/>
            <w:hideMark/>
          </w:tcPr>
          <w:p w14:paraId="27D9C8B8" w14:textId="77777777" w:rsidR="006F5BFE" w:rsidRPr="003B2277" w:rsidRDefault="006F5BFE" w:rsidP="005B4D60">
            <w:pPr>
              <w:spacing w:after="120"/>
              <w:rPr>
                <w:szCs w:val="24"/>
                <w:lang w:eastAsia="en-US"/>
              </w:rPr>
            </w:pPr>
            <w:r w:rsidRPr="003B2277">
              <w:rPr>
                <w:rFonts w:eastAsia="Calibri" w:cs="Mangal"/>
                <w:lang w:eastAsia="en-US"/>
              </w:rPr>
              <w:t>Prenos pooblastila</w:t>
            </w:r>
          </w:p>
        </w:tc>
      </w:tr>
      <w:tr w:rsidR="006F5BFE" w:rsidRPr="003B2277" w14:paraId="15C4F27B" w14:textId="77777777" w:rsidTr="005B4D60">
        <w:trPr>
          <w:jc w:val="center"/>
        </w:trPr>
        <w:tc>
          <w:tcPr>
            <w:tcW w:w="4876" w:type="dxa"/>
            <w:hideMark/>
          </w:tcPr>
          <w:p w14:paraId="43257F04"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Da se upoštevajo posebne lastnosti vinskega sektorja, se na Komisijo prenese pooblastilo za sprejemanje delegiranih aktov v skladu s členom 227 o pravilih in omejitvah glede:</w:t>
            </w:r>
          </w:p>
        </w:tc>
        <w:tc>
          <w:tcPr>
            <w:tcW w:w="4876" w:type="dxa"/>
            <w:hideMark/>
          </w:tcPr>
          <w:p w14:paraId="10869313"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Da se upoštevajo posebne lastnosti vinskega sektorja, se na Komisijo prenese pooblastilo za sprejemanje delegiranih aktov v skladu s členom 227 o pravilih in omejitvah glede:</w:t>
            </w:r>
          </w:p>
        </w:tc>
      </w:tr>
      <w:tr w:rsidR="006F5BFE" w:rsidRPr="003B2277" w14:paraId="1E890210" w14:textId="77777777" w:rsidTr="005B4D60">
        <w:trPr>
          <w:jc w:val="center"/>
        </w:trPr>
        <w:tc>
          <w:tcPr>
            <w:tcW w:w="4876" w:type="dxa"/>
            <w:hideMark/>
          </w:tcPr>
          <w:p w14:paraId="3F972376" w14:textId="77777777" w:rsidR="006F5BFE" w:rsidRPr="003B2277" w:rsidRDefault="006F5BFE" w:rsidP="005B4D60">
            <w:pPr>
              <w:spacing w:after="120"/>
              <w:rPr>
                <w:lang w:eastAsia="en-US"/>
              </w:rPr>
            </w:pPr>
            <w:r w:rsidRPr="003B2277">
              <w:rPr>
                <w:rFonts w:eastAsia="Calibri" w:cs="Mangal"/>
                <w:lang w:eastAsia="en-US"/>
              </w:rPr>
              <w:t>(a) predstavitve in uporabe navedb na oznakah, ki niso določene v tem oddelku;</w:t>
            </w:r>
          </w:p>
        </w:tc>
        <w:tc>
          <w:tcPr>
            <w:tcW w:w="4876" w:type="dxa"/>
            <w:hideMark/>
          </w:tcPr>
          <w:p w14:paraId="24384A59" w14:textId="77777777" w:rsidR="006F5BFE" w:rsidRPr="003B2277" w:rsidRDefault="006F5BFE" w:rsidP="005B4D60">
            <w:pPr>
              <w:spacing w:after="120"/>
              <w:rPr>
                <w:szCs w:val="24"/>
                <w:lang w:eastAsia="en-US"/>
              </w:rPr>
            </w:pPr>
            <w:r w:rsidRPr="003B2277">
              <w:rPr>
                <w:rFonts w:eastAsia="Calibri" w:cs="Mangal"/>
                <w:lang w:eastAsia="en-US"/>
              </w:rPr>
              <w:t>(a) predstavitve in uporabe navedb na oznakah, ki niso določene v tem oddelku;</w:t>
            </w:r>
          </w:p>
        </w:tc>
      </w:tr>
      <w:tr w:rsidR="006F5BFE" w:rsidRPr="003B2277" w14:paraId="4A399ADD" w14:textId="77777777" w:rsidTr="005B4D60">
        <w:trPr>
          <w:jc w:val="center"/>
        </w:trPr>
        <w:tc>
          <w:tcPr>
            <w:tcW w:w="4876" w:type="dxa"/>
            <w:hideMark/>
          </w:tcPr>
          <w:p w14:paraId="0920EF77" w14:textId="77777777" w:rsidR="006F5BFE" w:rsidRPr="003B2277" w:rsidRDefault="006F5BFE" w:rsidP="005B4D60">
            <w:pPr>
              <w:spacing w:after="120"/>
              <w:rPr>
                <w:lang w:eastAsia="en-US"/>
              </w:rPr>
            </w:pPr>
            <w:r w:rsidRPr="003B2277">
              <w:rPr>
                <w:rFonts w:eastAsia="Calibri" w:cs="Mangal"/>
                <w:lang w:eastAsia="en-US"/>
              </w:rPr>
              <w:t>(b) obveznih navedb o:</w:t>
            </w:r>
          </w:p>
        </w:tc>
        <w:tc>
          <w:tcPr>
            <w:tcW w:w="4876" w:type="dxa"/>
            <w:hideMark/>
          </w:tcPr>
          <w:p w14:paraId="4F8F5EED" w14:textId="77777777" w:rsidR="006F5BFE" w:rsidRPr="003B2277" w:rsidRDefault="006F5BFE" w:rsidP="005B4D60">
            <w:pPr>
              <w:spacing w:after="120"/>
              <w:rPr>
                <w:szCs w:val="24"/>
                <w:lang w:eastAsia="en-US"/>
              </w:rPr>
            </w:pPr>
            <w:r w:rsidRPr="003B2277">
              <w:rPr>
                <w:rFonts w:eastAsia="Calibri" w:cs="Mangal"/>
                <w:lang w:eastAsia="en-US"/>
              </w:rPr>
              <w:t>(b) obveznih navedb o:</w:t>
            </w:r>
          </w:p>
        </w:tc>
      </w:tr>
      <w:tr w:rsidR="006F5BFE" w:rsidRPr="003B2277" w14:paraId="28682D56" w14:textId="77777777" w:rsidTr="005B4D60">
        <w:trPr>
          <w:jc w:val="center"/>
        </w:trPr>
        <w:tc>
          <w:tcPr>
            <w:tcW w:w="4876" w:type="dxa"/>
            <w:hideMark/>
          </w:tcPr>
          <w:p w14:paraId="1EF6F84A" w14:textId="77777777" w:rsidR="006F5BFE" w:rsidRPr="003B2277" w:rsidRDefault="006F5BFE" w:rsidP="005B4D60">
            <w:pPr>
              <w:spacing w:after="120"/>
              <w:rPr>
                <w:lang w:eastAsia="en-US"/>
              </w:rPr>
            </w:pPr>
            <w:r w:rsidRPr="003B2277">
              <w:rPr>
                <w:rFonts w:eastAsia="Calibri" w:cs="Mangal"/>
                <w:lang w:eastAsia="en-US"/>
              </w:rPr>
              <w:t>(i) izrazih, ki se uporabljajo za izražanje obveznih navedb, in pogojih za njihovo uporabo;</w:t>
            </w:r>
          </w:p>
        </w:tc>
        <w:tc>
          <w:tcPr>
            <w:tcW w:w="4876" w:type="dxa"/>
            <w:hideMark/>
          </w:tcPr>
          <w:p w14:paraId="039FE6DC" w14:textId="77777777" w:rsidR="006F5BFE" w:rsidRPr="003B2277" w:rsidRDefault="006F5BFE" w:rsidP="005B4D60">
            <w:pPr>
              <w:spacing w:after="120"/>
              <w:rPr>
                <w:szCs w:val="24"/>
                <w:lang w:eastAsia="en-US"/>
              </w:rPr>
            </w:pPr>
            <w:r w:rsidRPr="003B2277">
              <w:rPr>
                <w:rFonts w:eastAsia="Calibri" w:cs="Mangal"/>
                <w:lang w:eastAsia="en-US"/>
              </w:rPr>
              <w:t>(i) izrazih, ki se uporabljajo za izražanje obveznih navedb, in pogojih za njihovo uporabo;</w:t>
            </w:r>
          </w:p>
        </w:tc>
      </w:tr>
      <w:tr w:rsidR="006F5BFE" w:rsidRPr="003B2277" w14:paraId="112199F3" w14:textId="77777777" w:rsidTr="005B4D60">
        <w:trPr>
          <w:jc w:val="center"/>
        </w:trPr>
        <w:tc>
          <w:tcPr>
            <w:tcW w:w="4876" w:type="dxa"/>
          </w:tcPr>
          <w:p w14:paraId="3FA0048C" w14:textId="77777777" w:rsidR="006F5BFE" w:rsidRPr="003B2277" w:rsidRDefault="006F5BFE" w:rsidP="005B4D60">
            <w:pPr>
              <w:spacing w:after="120"/>
              <w:rPr>
                <w:lang w:eastAsia="en-US"/>
              </w:rPr>
            </w:pPr>
            <w:r w:rsidRPr="003B2277">
              <w:rPr>
                <w:rFonts w:eastAsia="Calibri" w:cs="Mangal"/>
                <w:b/>
                <w:i/>
                <w:lang w:eastAsia="en-US"/>
              </w:rPr>
              <w:t>(ii)</w:t>
            </w:r>
            <w:r w:rsidRPr="003B2277">
              <w:rPr>
                <w:rFonts w:eastAsia="Calibri" w:cs="Mangal"/>
                <w:lang w:eastAsia="en-US"/>
              </w:rPr>
              <w:t xml:space="preserve"> </w:t>
            </w:r>
            <w:r w:rsidRPr="003B2277">
              <w:rPr>
                <w:rFonts w:eastAsia="Calibri" w:cs="Mangal"/>
                <w:b/>
                <w:i/>
                <w:lang w:eastAsia="en-US"/>
              </w:rPr>
              <w:t>izrazih, ki se nanašajo na kmetijsko gospodarstvo, in pogojih za njihovo uporabo;</w:t>
            </w:r>
          </w:p>
        </w:tc>
        <w:tc>
          <w:tcPr>
            <w:tcW w:w="4876" w:type="dxa"/>
          </w:tcPr>
          <w:p w14:paraId="78DB538F" w14:textId="77777777" w:rsidR="006F5BFE" w:rsidRPr="003B2277" w:rsidRDefault="006F5BFE" w:rsidP="005B4D60">
            <w:pPr>
              <w:spacing w:after="120"/>
            </w:pPr>
          </w:p>
        </w:tc>
      </w:tr>
      <w:tr w:rsidR="006F5BFE" w:rsidRPr="003B2277" w14:paraId="6CDB143A" w14:textId="77777777" w:rsidTr="005B4D60">
        <w:trPr>
          <w:jc w:val="center"/>
        </w:trPr>
        <w:tc>
          <w:tcPr>
            <w:tcW w:w="4876" w:type="dxa"/>
            <w:hideMark/>
          </w:tcPr>
          <w:p w14:paraId="511BC2A3" w14:textId="5F8866A3" w:rsidR="006F5BFE" w:rsidRPr="003B2277" w:rsidRDefault="006F5BFE" w:rsidP="005B4D60">
            <w:pPr>
              <w:spacing w:after="120"/>
              <w:rPr>
                <w:lang w:eastAsia="en-US"/>
              </w:rPr>
            </w:pPr>
            <w:r w:rsidRPr="003B2277">
              <w:rPr>
                <w:rFonts w:eastAsia="Calibri" w:cs="Mangal"/>
                <w:b/>
                <w:i/>
                <w:lang w:eastAsia="en-US"/>
              </w:rPr>
              <w:t>(iii)</w:t>
            </w:r>
            <w:r w:rsidRPr="003B2277">
              <w:rPr>
                <w:rFonts w:eastAsia="Calibri" w:cs="Mangal"/>
                <w:lang w:eastAsia="en-US"/>
              </w:rPr>
              <w:t xml:space="preserve"> določbah, ki državam članicam proizvajalkam omogočajo uvedbo dodatnih pravil v zvezi z obveznimi navedbami;</w:t>
            </w:r>
          </w:p>
        </w:tc>
        <w:tc>
          <w:tcPr>
            <w:tcW w:w="4876" w:type="dxa"/>
          </w:tcPr>
          <w:p w14:paraId="3106CC5F" w14:textId="77777777" w:rsidR="006F5BFE" w:rsidRPr="003B2277" w:rsidRDefault="006F5BFE" w:rsidP="005B4D60">
            <w:pPr>
              <w:spacing w:after="120"/>
              <w:rPr>
                <w:szCs w:val="24"/>
                <w:lang w:eastAsia="en-US"/>
              </w:rPr>
            </w:pPr>
            <w:r w:rsidRPr="003B2277">
              <w:rPr>
                <w:rFonts w:eastAsia="Calibri" w:cs="Mangal"/>
                <w:lang w:eastAsia="en-US"/>
              </w:rPr>
              <w:t>(iii) določbah, ki državam članicam proizvajalkam omogočajo uvedbo dodatnih pravil v zvezi z obveznimi navedbami;</w:t>
            </w:r>
          </w:p>
        </w:tc>
      </w:tr>
      <w:tr w:rsidR="006F5BFE" w:rsidRPr="003B2277" w14:paraId="402395D9" w14:textId="77777777" w:rsidTr="005B4D60">
        <w:trPr>
          <w:jc w:val="center"/>
        </w:trPr>
        <w:tc>
          <w:tcPr>
            <w:tcW w:w="4876" w:type="dxa"/>
            <w:hideMark/>
          </w:tcPr>
          <w:p w14:paraId="2BA3EC5C" w14:textId="0ED667DD" w:rsidR="006F5BFE" w:rsidRPr="003B2277" w:rsidRDefault="006F5BFE" w:rsidP="005B4D60">
            <w:pPr>
              <w:spacing w:after="120"/>
              <w:rPr>
                <w:lang w:eastAsia="en-US"/>
              </w:rPr>
            </w:pPr>
            <w:r w:rsidRPr="003B2277">
              <w:rPr>
                <w:rFonts w:eastAsia="Calibri" w:cs="Mangal"/>
                <w:b/>
                <w:i/>
                <w:lang w:eastAsia="en-US"/>
              </w:rPr>
              <w:t>(iv)</w:t>
            </w:r>
            <w:r w:rsidRPr="003B2277">
              <w:rPr>
                <w:rFonts w:eastAsia="Calibri" w:cs="Mangal"/>
                <w:lang w:eastAsia="en-US"/>
              </w:rPr>
              <w:t xml:space="preserve"> določbah, ki omogočajo nadaljnja odstopanja poleg odstopanj iz člena 119(2) glede nenavajanja kategorije proizvoda vinske trte </w:t>
            </w:r>
            <w:r w:rsidRPr="003B2277">
              <w:rPr>
                <w:rFonts w:eastAsia="Calibri" w:cs="Mangal"/>
                <w:b/>
                <w:i/>
                <w:lang w:eastAsia="en-US"/>
              </w:rPr>
              <w:t>ter</w:t>
            </w:r>
          </w:p>
        </w:tc>
        <w:tc>
          <w:tcPr>
            <w:tcW w:w="4876" w:type="dxa"/>
            <w:hideMark/>
          </w:tcPr>
          <w:p w14:paraId="4AAF3F7E" w14:textId="77777777" w:rsidR="006F5BFE" w:rsidRPr="003B2277" w:rsidRDefault="006F5BFE" w:rsidP="005B4D60">
            <w:pPr>
              <w:spacing w:after="120"/>
              <w:rPr>
                <w:szCs w:val="24"/>
                <w:lang w:eastAsia="en-US"/>
              </w:rPr>
            </w:pPr>
            <w:r w:rsidRPr="003B2277">
              <w:rPr>
                <w:rFonts w:eastAsia="Calibri" w:cs="Mangal"/>
                <w:lang w:eastAsia="en-US"/>
              </w:rPr>
              <w:t>(iv) določbah, ki omogočajo nadaljnja odstopanja poleg odstopanj iz člena 119(2) glede nenavajanja kategorije proizvoda vinske trte</w:t>
            </w:r>
            <w:r w:rsidRPr="003B2277">
              <w:rPr>
                <w:rFonts w:eastAsia="Calibri" w:cs="Mangal"/>
                <w:b/>
                <w:i/>
                <w:lang w:eastAsia="en-US"/>
              </w:rPr>
              <w:t>,</w:t>
            </w:r>
            <w:r w:rsidRPr="003B2277">
              <w:rPr>
                <w:rFonts w:eastAsia="Calibri" w:cs="Mangal"/>
                <w:lang w:eastAsia="en-US"/>
              </w:rPr>
              <w:t xml:space="preserve"> ter</w:t>
            </w:r>
          </w:p>
        </w:tc>
      </w:tr>
      <w:tr w:rsidR="006F5BFE" w:rsidRPr="003B2277" w14:paraId="005054F2" w14:textId="77777777" w:rsidTr="005B4D60">
        <w:trPr>
          <w:jc w:val="center"/>
        </w:trPr>
        <w:tc>
          <w:tcPr>
            <w:tcW w:w="4876" w:type="dxa"/>
            <w:hideMark/>
          </w:tcPr>
          <w:p w14:paraId="30386DD7" w14:textId="77777777" w:rsidR="006F5BFE" w:rsidRPr="003B2277" w:rsidRDefault="006F5BFE" w:rsidP="005B4D60">
            <w:pPr>
              <w:spacing w:after="120"/>
              <w:rPr>
                <w:lang w:eastAsia="en-US"/>
              </w:rPr>
            </w:pPr>
            <w:r w:rsidRPr="003B2277">
              <w:rPr>
                <w:rFonts w:eastAsia="Calibri" w:cs="Mangal"/>
                <w:lang w:eastAsia="en-US"/>
              </w:rPr>
              <w:t>(v) določbah o uporabi jezikov;</w:t>
            </w:r>
          </w:p>
        </w:tc>
        <w:tc>
          <w:tcPr>
            <w:tcW w:w="4876" w:type="dxa"/>
            <w:hideMark/>
          </w:tcPr>
          <w:p w14:paraId="7FDA99EF" w14:textId="77777777" w:rsidR="006F5BFE" w:rsidRPr="003B2277" w:rsidRDefault="006F5BFE" w:rsidP="005B4D60">
            <w:pPr>
              <w:spacing w:after="120"/>
              <w:rPr>
                <w:szCs w:val="24"/>
                <w:lang w:eastAsia="en-US"/>
              </w:rPr>
            </w:pPr>
            <w:r w:rsidRPr="003B2277">
              <w:rPr>
                <w:rFonts w:eastAsia="Calibri" w:cs="Mangal"/>
                <w:lang w:eastAsia="en-US"/>
              </w:rPr>
              <w:t>(v) določbah o uporabi jezikov;</w:t>
            </w:r>
            <w:r w:rsidRPr="003B2277">
              <w:rPr>
                <w:rFonts w:eastAsia="Calibri" w:cs="Mangal"/>
                <w:b/>
                <w:i/>
                <w:lang w:eastAsia="en-US"/>
              </w:rPr>
              <w:t xml:space="preserve"> in</w:t>
            </w:r>
          </w:p>
        </w:tc>
      </w:tr>
      <w:tr w:rsidR="006F5BFE" w:rsidRPr="003B2277" w14:paraId="1188BBC9" w14:textId="77777777" w:rsidTr="005B4D60">
        <w:trPr>
          <w:jc w:val="center"/>
        </w:trPr>
        <w:tc>
          <w:tcPr>
            <w:tcW w:w="4876" w:type="dxa"/>
          </w:tcPr>
          <w:p w14:paraId="24D789C7" w14:textId="77777777" w:rsidR="006F5BFE" w:rsidRPr="003B2277" w:rsidRDefault="006F5BFE" w:rsidP="005B4D60">
            <w:pPr>
              <w:spacing w:after="120"/>
            </w:pPr>
          </w:p>
        </w:tc>
        <w:tc>
          <w:tcPr>
            <w:tcW w:w="4876" w:type="dxa"/>
          </w:tcPr>
          <w:p w14:paraId="7BCD642B" w14:textId="77777777" w:rsidR="006F5BFE" w:rsidRPr="003B2277" w:rsidRDefault="006F5BFE" w:rsidP="005B4D60">
            <w:pPr>
              <w:spacing w:after="120"/>
              <w:rPr>
                <w:b/>
                <w:i/>
                <w:lang w:eastAsia="en-US"/>
              </w:rPr>
            </w:pPr>
            <w:r w:rsidRPr="003B2277">
              <w:rPr>
                <w:rFonts w:eastAsia="Calibri" w:cs="Mangal"/>
                <w:b/>
                <w:i/>
                <w:lang w:eastAsia="en-US"/>
              </w:rPr>
              <w:t>(va) določbah glede člena 119(1)(g)(b);</w:t>
            </w:r>
          </w:p>
        </w:tc>
      </w:tr>
      <w:tr w:rsidR="006F5BFE" w:rsidRPr="003B2277" w14:paraId="2DA35F71" w14:textId="77777777" w:rsidTr="005B4D60">
        <w:trPr>
          <w:jc w:val="center"/>
        </w:trPr>
        <w:tc>
          <w:tcPr>
            <w:tcW w:w="4876" w:type="dxa"/>
          </w:tcPr>
          <w:p w14:paraId="4598D2BB" w14:textId="77777777" w:rsidR="006F5BFE" w:rsidRPr="003B2277" w:rsidRDefault="006F5BFE" w:rsidP="005B4D60">
            <w:pPr>
              <w:spacing w:after="120"/>
            </w:pPr>
          </w:p>
        </w:tc>
        <w:tc>
          <w:tcPr>
            <w:tcW w:w="4876" w:type="dxa"/>
          </w:tcPr>
          <w:p w14:paraId="12D91911" w14:textId="77777777" w:rsidR="006F5BFE" w:rsidRPr="003B2277" w:rsidRDefault="006F5BFE" w:rsidP="005B4D60">
            <w:pPr>
              <w:spacing w:after="120"/>
              <w:rPr>
                <w:szCs w:val="24"/>
              </w:rPr>
            </w:pPr>
          </w:p>
        </w:tc>
      </w:tr>
      <w:tr w:rsidR="006F5BFE" w:rsidRPr="003B2277" w14:paraId="49127823" w14:textId="77777777" w:rsidTr="005B4D60">
        <w:trPr>
          <w:jc w:val="center"/>
        </w:trPr>
        <w:tc>
          <w:tcPr>
            <w:tcW w:w="4876" w:type="dxa"/>
            <w:hideMark/>
          </w:tcPr>
          <w:p w14:paraId="6F9149B7" w14:textId="77777777" w:rsidR="006F5BFE" w:rsidRPr="003B2277" w:rsidRDefault="006F5BFE" w:rsidP="005B4D60">
            <w:pPr>
              <w:spacing w:after="120"/>
              <w:rPr>
                <w:lang w:eastAsia="en-US"/>
              </w:rPr>
            </w:pPr>
            <w:r w:rsidRPr="003B2277">
              <w:rPr>
                <w:rFonts w:eastAsia="Calibri" w:cs="Mangal"/>
                <w:lang w:eastAsia="en-US"/>
              </w:rPr>
              <w:t>(c) neobveznih navedb o:</w:t>
            </w:r>
          </w:p>
        </w:tc>
        <w:tc>
          <w:tcPr>
            <w:tcW w:w="4876" w:type="dxa"/>
            <w:hideMark/>
          </w:tcPr>
          <w:p w14:paraId="33C5DF40" w14:textId="77777777" w:rsidR="006F5BFE" w:rsidRPr="003B2277" w:rsidRDefault="006F5BFE" w:rsidP="005B4D60">
            <w:pPr>
              <w:spacing w:after="120"/>
              <w:rPr>
                <w:szCs w:val="24"/>
                <w:lang w:eastAsia="en-US"/>
              </w:rPr>
            </w:pPr>
            <w:r w:rsidRPr="003B2277">
              <w:rPr>
                <w:rFonts w:eastAsia="Calibri" w:cs="Mangal"/>
                <w:lang w:eastAsia="en-US"/>
              </w:rPr>
              <w:t>(c) neobveznih navedb o:</w:t>
            </w:r>
          </w:p>
        </w:tc>
      </w:tr>
      <w:tr w:rsidR="006F5BFE" w:rsidRPr="003B2277" w14:paraId="23496300" w14:textId="77777777" w:rsidTr="005B4D60">
        <w:trPr>
          <w:jc w:val="center"/>
        </w:trPr>
        <w:tc>
          <w:tcPr>
            <w:tcW w:w="4876" w:type="dxa"/>
            <w:hideMark/>
          </w:tcPr>
          <w:p w14:paraId="6497A10B" w14:textId="77777777" w:rsidR="006F5BFE" w:rsidRPr="003B2277" w:rsidRDefault="006F5BFE" w:rsidP="005B4D60">
            <w:pPr>
              <w:spacing w:after="120"/>
              <w:rPr>
                <w:lang w:eastAsia="en-US"/>
              </w:rPr>
            </w:pPr>
            <w:r w:rsidRPr="003B2277">
              <w:rPr>
                <w:rFonts w:eastAsia="Calibri" w:cs="Mangal"/>
                <w:lang w:eastAsia="en-US"/>
              </w:rPr>
              <w:t>(i) izrazih, ki se uporabljajo za izražanje neobveznih navedb, in pogojih za njihovo uporabo;</w:t>
            </w:r>
          </w:p>
        </w:tc>
        <w:tc>
          <w:tcPr>
            <w:tcW w:w="4876" w:type="dxa"/>
            <w:hideMark/>
          </w:tcPr>
          <w:p w14:paraId="280A0408" w14:textId="77777777" w:rsidR="006F5BFE" w:rsidRPr="003B2277" w:rsidRDefault="006F5BFE" w:rsidP="005B4D60">
            <w:pPr>
              <w:spacing w:after="120"/>
              <w:rPr>
                <w:szCs w:val="24"/>
                <w:lang w:eastAsia="en-US"/>
              </w:rPr>
            </w:pPr>
            <w:r w:rsidRPr="003B2277">
              <w:rPr>
                <w:rFonts w:eastAsia="Calibri" w:cs="Mangal"/>
                <w:lang w:eastAsia="en-US"/>
              </w:rPr>
              <w:t>(i) izrazih, ki se uporabljajo za izražanje neobveznih navedb, in pogojih za njihovo uporabo;</w:t>
            </w:r>
          </w:p>
        </w:tc>
      </w:tr>
      <w:tr w:rsidR="006F5BFE" w:rsidRPr="003B2277" w14:paraId="674696D5" w14:textId="77777777" w:rsidTr="005B4D60">
        <w:trPr>
          <w:jc w:val="center"/>
        </w:trPr>
        <w:tc>
          <w:tcPr>
            <w:tcW w:w="4876" w:type="dxa"/>
            <w:hideMark/>
          </w:tcPr>
          <w:p w14:paraId="5167C466" w14:textId="77777777" w:rsidR="006F5BFE" w:rsidRPr="003B2277" w:rsidRDefault="006F5BFE" w:rsidP="005B4D60">
            <w:pPr>
              <w:spacing w:after="120"/>
              <w:rPr>
                <w:lang w:eastAsia="en-US"/>
              </w:rPr>
            </w:pPr>
            <w:r w:rsidRPr="003B2277">
              <w:rPr>
                <w:rFonts w:eastAsia="Calibri" w:cs="Mangal"/>
                <w:lang w:eastAsia="en-US"/>
              </w:rPr>
              <w:t>(ii) določbah, ki državam članicam proizvajalkam omogočajo uvedbo dodatnih pravil v zvezi z neobveznimi navedbami;</w:t>
            </w:r>
          </w:p>
        </w:tc>
        <w:tc>
          <w:tcPr>
            <w:tcW w:w="4876" w:type="dxa"/>
            <w:hideMark/>
          </w:tcPr>
          <w:p w14:paraId="14E66F40" w14:textId="77777777" w:rsidR="006F5BFE" w:rsidRPr="003B2277" w:rsidRDefault="006F5BFE" w:rsidP="005B4D60">
            <w:pPr>
              <w:spacing w:after="120"/>
              <w:rPr>
                <w:szCs w:val="24"/>
                <w:lang w:eastAsia="en-US"/>
              </w:rPr>
            </w:pPr>
            <w:r w:rsidRPr="003B2277">
              <w:rPr>
                <w:rFonts w:eastAsia="Calibri" w:cs="Mangal"/>
                <w:lang w:eastAsia="en-US"/>
              </w:rPr>
              <w:t>(ii) določbah, ki državam članicam proizvajalkam omogočajo uvedbo dodatnih pravil v zvezi z neobveznimi navedbami;</w:t>
            </w:r>
          </w:p>
        </w:tc>
      </w:tr>
      <w:tr w:rsidR="006F5BFE" w:rsidRPr="003B2277" w14:paraId="0EA8CD95" w14:textId="77777777" w:rsidTr="005B4D60">
        <w:trPr>
          <w:jc w:val="center"/>
        </w:trPr>
        <w:tc>
          <w:tcPr>
            <w:tcW w:w="4876" w:type="dxa"/>
          </w:tcPr>
          <w:p w14:paraId="1A154625" w14:textId="77777777" w:rsidR="006F5BFE" w:rsidRPr="003B2277" w:rsidRDefault="006F5BFE" w:rsidP="005B4D60">
            <w:pPr>
              <w:spacing w:after="120"/>
            </w:pPr>
          </w:p>
        </w:tc>
        <w:tc>
          <w:tcPr>
            <w:tcW w:w="4876" w:type="dxa"/>
            <w:hideMark/>
          </w:tcPr>
          <w:p w14:paraId="3D30A7F9" w14:textId="77777777" w:rsidR="006F5BFE" w:rsidRPr="003B2277" w:rsidRDefault="006F5BFE" w:rsidP="005B4D60">
            <w:pPr>
              <w:spacing w:after="120"/>
              <w:rPr>
                <w:szCs w:val="24"/>
                <w:lang w:eastAsia="en-US"/>
              </w:rPr>
            </w:pPr>
            <w:r w:rsidRPr="003B2277">
              <w:rPr>
                <w:rFonts w:eastAsia="Calibri" w:cs="Mangal"/>
                <w:b/>
                <w:i/>
                <w:lang w:eastAsia="en-US"/>
              </w:rPr>
              <w:t>(iia) izrazih, ki se nanašajo na kmetijsko gospodarstvo, in pogojih za njihovo uporabo;</w:t>
            </w:r>
          </w:p>
        </w:tc>
      </w:tr>
      <w:tr w:rsidR="006F5BFE" w:rsidRPr="003B2277" w14:paraId="100C815A" w14:textId="77777777" w:rsidTr="005B4D60">
        <w:trPr>
          <w:jc w:val="center"/>
        </w:trPr>
        <w:tc>
          <w:tcPr>
            <w:tcW w:w="4876" w:type="dxa"/>
          </w:tcPr>
          <w:p w14:paraId="7CE38399" w14:textId="77777777" w:rsidR="006F5BFE" w:rsidRPr="003B2277" w:rsidRDefault="006F5BFE" w:rsidP="005B4D60">
            <w:pPr>
              <w:spacing w:after="120"/>
              <w:rPr>
                <w:lang w:eastAsia="en-US"/>
              </w:rPr>
            </w:pPr>
            <w:r w:rsidRPr="003B2277">
              <w:rPr>
                <w:rFonts w:eastAsia="Calibri" w:cs="Mangal"/>
                <w:lang w:eastAsia="en-US"/>
              </w:rPr>
              <w:t>(d) predstavitve v zvezi s:</w:t>
            </w:r>
          </w:p>
        </w:tc>
        <w:tc>
          <w:tcPr>
            <w:tcW w:w="4876" w:type="dxa"/>
          </w:tcPr>
          <w:p w14:paraId="3F3C86CF" w14:textId="77777777" w:rsidR="006F5BFE" w:rsidRPr="003B2277" w:rsidRDefault="006F5BFE" w:rsidP="005B4D60">
            <w:pPr>
              <w:spacing w:after="120"/>
              <w:rPr>
                <w:b/>
                <w:i/>
                <w:lang w:eastAsia="en-US"/>
              </w:rPr>
            </w:pPr>
            <w:r w:rsidRPr="003B2277">
              <w:rPr>
                <w:rFonts w:eastAsia="Calibri" w:cs="Mangal"/>
                <w:lang w:eastAsia="en-US"/>
              </w:rPr>
              <w:t>(d) predstavitve v zvezi s:</w:t>
            </w:r>
          </w:p>
        </w:tc>
      </w:tr>
      <w:tr w:rsidR="006F5BFE" w:rsidRPr="003B2277" w14:paraId="2958ED2A" w14:textId="77777777" w:rsidTr="005B4D60">
        <w:trPr>
          <w:jc w:val="center"/>
        </w:trPr>
        <w:tc>
          <w:tcPr>
            <w:tcW w:w="4876" w:type="dxa"/>
            <w:hideMark/>
          </w:tcPr>
          <w:p w14:paraId="4ACB1E7B" w14:textId="77777777" w:rsidR="006F5BFE" w:rsidRPr="003B2277" w:rsidRDefault="006F5BFE" w:rsidP="005B4D60">
            <w:pPr>
              <w:spacing w:after="120"/>
              <w:rPr>
                <w:lang w:eastAsia="en-US"/>
              </w:rPr>
            </w:pPr>
            <w:r w:rsidRPr="003B2277">
              <w:rPr>
                <w:rFonts w:eastAsia="Calibri" w:cs="Mangal"/>
                <w:lang w:eastAsia="en-US"/>
              </w:rPr>
              <w:t>(i) pogoji uporabe nekaterih oblik steklenic in seznamom nekaterih posebnih oblik steklenic;</w:t>
            </w:r>
          </w:p>
        </w:tc>
        <w:tc>
          <w:tcPr>
            <w:tcW w:w="4876" w:type="dxa"/>
          </w:tcPr>
          <w:p w14:paraId="6D5D24C8" w14:textId="77777777" w:rsidR="006F5BFE" w:rsidRPr="003B2277" w:rsidRDefault="006F5BFE" w:rsidP="005B4D60">
            <w:pPr>
              <w:spacing w:after="120"/>
              <w:rPr>
                <w:szCs w:val="24"/>
                <w:lang w:eastAsia="en-US"/>
              </w:rPr>
            </w:pPr>
            <w:r w:rsidRPr="003B2277">
              <w:rPr>
                <w:rFonts w:eastAsia="Calibri" w:cs="Mangal"/>
                <w:lang w:eastAsia="en-US"/>
              </w:rPr>
              <w:t xml:space="preserve">(i) pogoji uporabe nekaterih oblik steklenic in </w:t>
            </w:r>
            <w:r w:rsidRPr="003B2277">
              <w:rPr>
                <w:rFonts w:eastAsia="Calibri" w:cs="Mangal"/>
                <w:b/>
                <w:i/>
                <w:lang w:eastAsia="en-US"/>
              </w:rPr>
              <w:t xml:space="preserve">zapiral ter </w:t>
            </w:r>
            <w:r w:rsidRPr="003B2277">
              <w:rPr>
                <w:rFonts w:eastAsia="Calibri" w:cs="Mangal"/>
                <w:lang w:eastAsia="en-US"/>
              </w:rPr>
              <w:t>seznamom nekaterih posebnih oblik steklenic;</w:t>
            </w:r>
          </w:p>
        </w:tc>
      </w:tr>
      <w:tr w:rsidR="006F5BFE" w:rsidRPr="003B2277" w14:paraId="2D31D621" w14:textId="77777777" w:rsidTr="005B4D60">
        <w:trPr>
          <w:jc w:val="center"/>
        </w:trPr>
        <w:tc>
          <w:tcPr>
            <w:tcW w:w="4876" w:type="dxa"/>
            <w:hideMark/>
          </w:tcPr>
          <w:p w14:paraId="538F3C4C" w14:textId="77777777" w:rsidR="006F5BFE" w:rsidRPr="003B2277" w:rsidRDefault="006F5BFE" w:rsidP="005B4D60">
            <w:pPr>
              <w:spacing w:after="120"/>
              <w:rPr>
                <w:lang w:eastAsia="en-US"/>
              </w:rPr>
            </w:pPr>
            <w:r w:rsidRPr="003B2277">
              <w:rPr>
                <w:rFonts w:eastAsia="Calibri" w:cs="Mangal"/>
                <w:lang w:eastAsia="en-US"/>
              </w:rPr>
              <w:t>(ii) pogoji uporabe steklenic in zapiral za peneča vina;</w:t>
            </w:r>
          </w:p>
        </w:tc>
        <w:tc>
          <w:tcPr>
            <w:tcW w:w="4876" w:type="dxa"/>
          </w:tcPr>
          <w:p w14:paraId="390919DC" w14:textId="77777777" w:rsidR="006F5BFE" w:rsidRPr="003B2277" w:rsidRDefault="006F5BFE" w:rsidP="005B4D60">
            <w:pPr>
              <w:spacing w:after="120"/>
              <w:rPr>
                <w:szCs w:val="24"/>
                <w:lang w:eastAsia="en-US"/>
              </w:rPr>
            </w:pPr>
            <w:r w:rsidRPr="003B2277">
              <w:rPr>
                <w:rFonts w:eastAsia="Calibri" w:cs="Mangal"/>
                <w:lang w:eastAsia="en-US"/>
              </w:rPr>
              <w:t>(ii) pogoji uporabe steklenic in zapiral za peneča vina;</w:t>
            </w:r>
          </w:p>
        </w:tc>
      </w:tr>
      <w:tr w:rsidR="006F5BFE" w:rsidRPr="003B2277" w14:paraId="2EFA8879" w14:textId="77777777" w:rsidTr="005B4D60">
        <w:trPr>
          <w:jc w:val="center"/>
        </w:trPr>
        <w:tc>
          <w:tcPr>
            <w:tcW w:w="4876" w:type="dxa"/>
            <w:hideMark/>
          </w:tcPr>
          <w:p w14:paraId="6BF07538" w14:textId="77777777" w:rsidR="006F5BFE" w:rsidRPr="003B2277" w:rsidRDefault="006F5BFE" w:rsidP="005B4D60">
            <w:pPr>
              <w:spacing w:after="120"/>
              <w:rPr>
                <w:lang w:eastAsia="en-US"/>
              </w:rPr>
            </w:pPr>
            <w:r w:rsidRPr="003B2277">
              <w:rPr>
                <w:rFonts w:eastAsia="Calibri" w:cs="Mangal"/>
                <w:lang w:eastAsia="en-US"/>
              </w:rPr>
              <w:t>(iii) določbami, ki državam članicam proizvajalkam omogočajo uvedbo dodatnih pravil v zvezi s predstavitvijo;</w:t>
            </w:r>
          </w:p>
        </w:tc>
        <w:tc>
          <w:tcPr>
            <w:tcW w:w="4876" w:type="dxa"/>
          </w:tcPr>
          <w:p w14:paraId="02CDDF42" w14:textId="77777777" w:rsidR="006F5BFE" w:rsidRPr="003B2277" w:rsidRDefault="006F5BFE" w:rsidP="005B4D60">
            <w:pPr>
              <w:spacing w:after="120"/>
              <w:rPr>
                <w:szCs w:val="24"/>
                <w:lang w:eastAsia="en-US"/>
              </w:rPr>
            </w:pPr>
            <w:r w:rsidRPr="003B2277">
              <w:rPr>
                <w:rFonts w:eastAsia="Calibri" w:cs="Mangal"/>
                <w:lang w:eastAsia="en-US"/>
              </w:rPr>
              <w:t>(iii) določbami, ki državam članicam proizvajalkam omogočajo uvedbo dodatnih pravil v zvezi s predstavitvijo;</w:t>
            </w:r>
          </w:p>
        </w:tc>
      </w:tr>
      <w:tr w:rsidR="006F5BFE" w:rsidRPr="003B2277" w14:paraId="33402780" w14:textId="77777777" w:rsidTr="005B4D60">
        <w:trPr>
          <w:jc w:val="center"/>
        </w:trPr>
        <w:tc>
          <w:tcPr>
            <w:tcW w:w="4876" w:type="dxa"/>
            <w:hideMark/>
          </w:tcPr>
          <w:p w14:paraId="5C5244DA" w14:textId="77777777" w:rsidR="006F5BFE" w:rsidRPr="003B2277" w:rsidRDefault="006F5BFE" w:rsidP="005B4D60">
            <w:pPr>
              <w:spacing w:after="120"/>
              <w:rPr>
                <w:lang w:eastAsia="en-US"/>
              </w:rPr>
            </w:pPr>
            <w:r w:rsidRPr="003B2277">
              <w:rPr>
                <w:rFonts w:eastAsia="Calibri" w:cs="Mangal"/>
                <w:lang w:eastAsia="en-US"/>
              </w:rPr>
              <w:t>(iv) določbami o uporabi jezikov.</w:t>
            </w:r>
          </w:p>
        </w:tc>
        <w:tc>
          <w:tcPr>
            <w:tcW w:w="4876" w:type="dxa"/>
          </w:tcPr>
          <w:p w14:paraId="5B284732" w14:textId="77777777" w:rsidR="006F5BFE" w:rsidRPr="003B2277" w:rsidRDefault="006F5BFE" w:rsidP="005B4D60">
            <w:pPr>
              <w:spacing w:after="120"/>
              <w:rPr>
                <w:szCs w:val="24"/>
                <w:lang w:eastAsia="en-US"/>
              </w:rPr>
            </w:pPr>
            <w:r w:rsidRPr="003B2277">
              <w:rPr>
                <w:rFonts w:eastAsia="Calibri" w:cs="Mangal"/>
                <w:lang w:eastAsia="en-US"/>
              </w:rPr>
              <w:t>(iv) določbami o uporabi jezikov.</w:t>
            </w:r>
          </w:p>
        </w:tc>
      </w:tr>
      <w:tr w:rsidR="006F5BFE" w:rsidRPr="003B2277" w14:paraId="1D7C7ECA" w14:textId="77777777" w:rsidTr="005B4D60">
        <w:trPr>
          <w:jc w:val="center"/>
        </w:trPr>
        <w:tc>
          <w:tcPr>
            <w:tcW w:w="4876" w:type="dxa"/>
          </w:tcPr>
          <w:p w14:paraId="3F382747" w14:textId="77777777" w:rsidR="006F5BFE" w:rsidRPr="003B2277" w:rsidRDefault="006F5BFE" w:rsidP="005B4D60">
            <w:pPr>
              <w:spacing w:after="120"/>
            </w:pPr>
          </w:p>
        </w:tc>
        <w:tc>
          <w:tcPr>
            <w:tcW w:w="4876" w:type="dxa"/>
          </w:tcPr>
          <w:p w14:paraId="68479719" w14:textId="77777777" w:rsidR="006F5BFE" w:rsidRPr="003B2277" w:rsidRDefault="006F5BFE" w:rsidP="005B4D60">
            <w:pPr>
              <w:spacing w:after="120"/>
              <w:rPr>
                <w:szCs w:val="24"/>
                <w:lang w:eastAsia="en-US"/>
              </w:rPr>
            </w:pPr>
            <w:r w:rsidRPr="003B2277">
              <w:rPr>
                <w:rFonts w:eastAsia="Calibri" w:cs="Mangal"/>
                <w:b/>
                <w:i/>
                <w:lang w:eastAsia="en-US"/>
              </w:rPr>
              <w:t>Komisija sprejme delegirane akte iz točke (b)(va) najpozneje 18 mesecev po... [datum začetka uporabe te uredbe].</w:t>
            </w:r>
          </w:p>
        </w:tc>
      </w:tr>
      <w:tr w:rsidR="006F5BFE" w:rsidRPr="003B2277" w14:paraId="1DE94C9D" w14:textId="77777777" w:rsidTr="005B4D60">
        <w:trPr>
          <w:jc w:val="center"/>
        </w:trPr>
        <w:tc>
          <w:tcPr>
            <w:tcW w:w="4876" w:type="dxa"/>
          </w:tcPr>
          <w:p w14:paraId="4C18C3A7"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Da se zagotovi varstvo zakonitih interesov izvajalcev, se na Komisijo prenese pooblastilo za sprejemanje delegiranih aktov v sladu s členom 227 o pravilih glede začasnega označevanja in predstavitve vin z označbo porekla ali geografsko označbo, kadar ta označba porekla ali geografska označba izpolnjuje potrebne zahteve.</w:t>
            </w:r>
          </w:p>
        </w:tc>
        <w:tc>
          <w:tcPr>
            <w:tcW w:w="4876" w:type="dxa"/>
          </w:tcPr>
          <w:p w14:paraId="6D16C750" w14:textId="77777777" w:rsidR="006F5BFE" w:rsidRPr="003B2277" w:rsidRDefault="006F5BFE" w:rsidP="005B4D60">
            <w:pPr>
              <w:spacing w:after="120"/>
              <w:rPr>
                <w:b/>
                <w:i/>
                <w:lang w:eastAsia="en-US"/>
              </w:rPr>
            </w:pPr>
            <w:r w:rsidRPr="003B2277">
              <w:rPr>
                <w:rFonts w:eastAsia="Calibri" w:cs="Mangal"/>
                <w:lang w:eastAsia="en-US"/>
              </w:rPr>
              <w:t>2.</w:t>
            </w:r>
            <w:r w:rsidRPr="003B2277">
              <w:rPr>
                <w:rFonts w:eastAsia="Calibri" w:cs="Mangal"/>
                <w:lang w:eastAsia="en-US"/>
              </w:rPr>
              <w:tab/>
              <w:t>Da se zagotovi varstvo zakonitih interesov izvajalcev, se na Komisijo prenese pooblastilo za sprejemanje delegiranih aktov v sladu s členom 227 o pravilih glede začasnega označevanja in predstavitve vin z označbo porekla ali geografsko označbo, kadar ta označba porekla ali geografska označba izpolnjuje potrebne zahteve.</w:t>
            </w:r>
          </w:p>
        </w:tc>
      </w:tr>
      <w:tr w:rsidR="006F5BFE" w:rsidRPr="003B2277" w14:paraId="19CD5A95" w14:textId="77777777" w:rsidTr="005B4D60">
        <w:trPr>
          <w:jc w:val="center"/>
        </w:trPr>
        <w:tc>
          <w:tcPr>
            <w:tcW w:w="4876" w:type="dxa"/>
            <w:hideMark/>
          </w:tcPr>
          <w:p w14:paraId="1A2CE2F4"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Da se zagotovi, da gospodarski subjekti niso oškodovani, se na Komisijo prenese pooblastilo za sprejemanje delegiranih aktov v skladu s členom 227 o prehodnih določbah glede vina, danega na trg in označenega v skladu z zadevnimi pravili, ki so se uporabljala pred 1. avgustom 2009.</w:t>
            </w:r>
          </w:p>
        </w:tc>
        <w:tc>
          <w:tcPr>
            <w:tcW w:w="4876" w:type="dxa"/>
          </w:tcPr>
          <w:p w14:paraId="470B5BCB"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Da se zagotovi, da gospodarski subjekti niso oškodovani, se na Komisijo prenese pooblastilo za sprejemanje delegiranih aktov v skladu s členom 227 o prehodnih določbah glede vina, danega na trg in označenega v skladu z zadevnimi pravili, ki so se uporabljala pred 1. avgustom 2009.</w:t>
            </w:r>
          </w:p>
        </w:tc>
      </w:tr>
      <w:tr w:rsidR="006F5BFE" w:rsidRPr="003B2277" w14:paraId="08C022D4" w14:textId="77777777" w:rsidTr="005B4D60">
        <w:trPr>
          <w:jc w:val="center"/>
        </w:trPr>
        <w:tc>
          <w:tcPr>
            <w:tcW w:w="4876" w:type="dxa"/>
            <w:hideMark/>
          </w:tcPr>
          <w:p w14:paraId="7618C5D1"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Da se upoštevajo posebnosti trgovine med Unijo in določenimi tretjimi državami, se na Komisijo prenese pooblastilo za sprejemanje delegiranih aktov v skladu s členom 227 o odstopanjih od tega oddelka glede proizvodov, ki se izvozijo, če je to potrebno po pravu zadevne tretje države.</w:t>
            </w:r>
          </w:p>
        </w:tc>
        <w:tc>
          <w:tcPr>
            <w:tcW w:w="4876" w:type="dxa"/>
          </w:tcPr>
          <w:p w14:paraId="2F69CBE7" w14:textId="525B4B4C"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Da se upoštevajo posebnosti trgovine med Unijo in določenimi tretjimi državami, se na Komisijo prenese pooblastilo za sprejemanje delegiranih aktov v skladu s členom 227 o odstopanjih od tega oddelka glede proizvodov, ki se izvozijo, če je to potrebno po pravu zadevne tretje države.</w:t>
            </w:r>
            <w:r w:rsidRPr="003B2277">
              <w:rPr>
                <w:rFonts w:eastAsia="Calibri" w:cs="Mangal"/>
                <w:b/>
                <w:i/>
                <w:lang w:eastAsia="en-US"/>
              </w:rPr>
              <w:t>“</w:t>
            </w:r>
          </w:p>
        </w:tc>
      </w:tr>
    </w:tbl>
    <w:p w14:paraId="2CC0BE47" w14:textId="77777777" w:rsidR="006F5BFE" w:rsidRPr="003B2277" w:rsidRDefault="006F5BFE" w:rsidP="006F5BFE">
      <w:pPr>
        <w:rPr>
          <w:lang w:eastAsia="en-US"/>
        </w:rPr>
      </w:pPr>
    </w:p>
    <w:p w14:paraId="79508773" w14:textId="7690412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106</w:t>
      </w:r>
    </w:p>
    <w:p w14:paraId="216948EE" w14:textId="77777777" w:rsidR="006F5BFE" w:rsidRPr="003B2277" w:rsidRDefault="006F5BFE" w:rsidP="006F5BFE">
      <w:pPr>
        <w:spacing w:before="240"/>
        <w:rPr>
          <w:b/>
          <w:lang w:eastAsia="en-US"/>
        </w:rPr>
      </w:pPr>
      <w:r w:rsidRPr="003B2277">
        <w:rPr>
          <w:rFonts w:eastAsia="Calibri" w:cs="Mangal"/>
          <w:b/>
          <w:lang w:eastAsia="en-US"/>
        </w:rPr>
        <w:t>Predlog uredbe</w:t>
      </w:r>
    </w:p>
    <w:p w14:paraId="5F1F9991" w14:textId="77777777" w:rsidR="006F5BFE" w:rsidRPr="003B2277" w:rsidRDefault="006F5BFE" w:rsidP="006F5BFE">
      <w:pPr>
        <w:rPr>
          <w:b/>
          <w:lang w:eastAsia="en-US"/>
        </w:rPr>
      </w:pPr>
      <w:r w:rsidRPr="003B2277">
        <w:rPr>
          <w:rFonts w:eastAsia="Calibri" w:cs="Mangal"/>
          <w:b/>
          <w:lang w:eastAsia="en-US"/>
        </w:rPr>
        <w:t>Člen 1 – odstavek 1 – točka 21 – točka b a (novo)</w:t>
      </w:r>
    </w:p>
    <w:p w14:paraId="5A5337FA" w14:textId="77777777" w:rsidR="006F5BFE" w:rsidRPr="003B2277" w:rsidRDefault="006F5BFE" w:rsidP="006F5BFE">
      <w:pPr>
        <w:keepNext/>
        <w:rPr>
          <w:lang w:eastAsia="en-US"/>
        </w:rPr>
      </w:pPr>
      <w:r w:rsidRPr="003B2277">
        <w:rPr>
          <w:rFonts w:eastAsia="Calibri" w:cs="Mangal"/>
          <w:lang w:eastAsia="en-US"/>
        </w:rPr>
        <w:t>Uredba (EU) št. 1308/2013</w:t>
      </w:r>
    </w:p>
    <w:p w14:paraId="459745AA" w14:textId="77777777" w:rsidR="006F5BFE" w:rsidRPr="003B2277" w:rsidRDefault="006F5BFE" w:rsidP="006F5BFE">
      <w:pPr>
        <w:rPr>
          <w:lang w:eastAsia="en-US"/>
        </w:rPr>
      </w:pPr>
      <w:r w:rsidRPr="003B2277">
        <w:rPr>
          <w:rFonts w:eastAsia="Calibri" w:cs="Mangal"/>
          <w:lang w:eastAsia="en-US"/>
        </w:rPr>
        <w:t>Člen 125 – naslov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690A24F" w14:textId="77777777" w:rsidTr="005B4D60">
        <w:trPr>
          <w:jc w:val="center"/>
        </w:trPr>
        <w:tc>
          <w:tcPr>
            <w:tcW w:w="9752" w:type="dxa"/>
            <w:gridSpan w:val="2"/>
          </w:tcPr>
          <w:p w14:paraId="57586E69" w14:textId="77777777" w:rsidR="006F5BFE" w:rsidRPr="003B2277" w:rsidRDefault="006F5BFE" w:rsidP="005B4D60">
            <w:pPr>
              <w:keepNext/>
            </w:pPr>
          </w:p>
        </w:tc>
      </w:tr>
      <w:tr w:rsidR="006F5BFE" w:rsidRPr="003B2277" w14:paraId="1BE633F3" w14:textId="77777777" w:rsidTr="005B4D60">
        <w:trPr>
          <w:jc w:val="center"/>
        </w:trPr>
        <w:tc>
          <w:tcPr>
            <w:tcW w:w="4876" w:type="dxa"/>
            <w:hideMark/>
          </w:tcPr>
          <w:p w14:paraId="25AFADAE"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FA6C526" w14:textId="1721609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1C121E3" w14:textId="77777777" w:rsidTr="005B4D60">
        <w:trPr>
          <w:jc w:val="center"/>
        </w:trPr>
        <w:tc>
          <w:tcPr>
            <w:tcW w:w="4876" w:type="dxa"/>
          </w:tcPr>
          <w:p w14:paraId="6963AF64" w14:textId="77777777" w:rsidR="006F5BFE" w:rsidRPr="003B2277" w:rsidRDefault="006F5BFE" w:rsidP="005B4D60">
            <w:pPr>
              <w:spacing w:after="120"/>
            </w:pPr>
          </w:p>
        </w:tc>
        <w:tc>
          <w:tcPr>
            <w:tcW w:w="4876" w:type="dxa"/>
            <w:hideMark/>
          </w:tcPr>
          <w:p w14:paraId="304C7F6C" w14:textId="77777777" w:rsidR="006F5BFE" w:rsidRPr="003B2277" w:rsidRDefault="006F5BFE" w:rsidP="005B4D60">
            <w:pPr>
              <w:spacing w:after="120"/>
              <w:rPr>
                <w:szCs w:val="24"/>
                <w:lang w:eastAsia="en-US"/>
              </w:rPr>
            </w:pPr>
            <w:r w:rsidRPr="003B2277">
              <w:rPr>
                <w:rFonts w:eastAsia="Calibri" w:cs="Mangal"/>
                <w:b/>
                <w:i/>
                <w:lang w:eastAsia="en-US"/>
              </w:rPr>
              <w:t>(ba)</w:t>
            </w:r>
            <w:r w:rsidRPr="003B2277">
              <w:rPr>
                <w:rFonts w:eastAsia="Calibri" w:cs="Mangal"/>
                <w:b/>
                <w:i/>
                <w:lang w:eastAsia="en-US"/>
              </w:rPr>
              <w:tab/>
              <w:t>naslov člena 125 se nadomesti z naslednjim:</w:t>
            </w:r>
          </w:p>
        </w:tc>
      </w:tr>
      <w:tr w:rsidR="006F5BFE" w:rsidRPr="003B2277" w14:paraId="40806B66" w14:textId="77777777" w:rsidTr="005B4D60">
        <w:trPr>
          <w:jc w:val="center"/>
        </w:trPr>
        <w:tc>
          <w:tcPr>
            <w:tcW w:w="4876" w:type="dxa"/>
            <w:hideMark/>
          </w:tcPr>
          <w:p w14:paraId="693DB829" w14:textId="77777777" w:rsidR="006F5BFE" w:rsidRPr="003B2277" w:rsidRDefault="006F5BFE" w:rsidP="005B4D60">
            <w:pPr>
              <w:spacing w:after="120"/>
              <w:rPr>
                <w:lang w:eastAsia="en-US"/>
              </w:rPr>
            </w:pPr>
            <w:r w:rsidRPr="003B2277">
              <w:rPr>
                <w:rFonts w:eastAsia="Calibri" w:cs="Mangal"/>
                <w:lang w:eastAsia="en-US"/>
              </w:rPr>
              <w:t xml:space="preserve">Sporazumi v sektorju </w:t>
            </w:r>
            <w:r w:rsidRPr="003B2277">
              <w:rPr>
                <w:rFonts w:eastAsia="Calibri" w:cs="Mangal"/>
                <w:b/>
                <w:i/>
                <w:lang w:eastAsia="en-US"/>
              </w:rPr>
              <w:t>sladkorja</w:t>
            </w:r>
          </w:p>
        </w:tc>
        <w:tc>
          <w:tcPr>
            <w:tcW w:w="4876" w:type="dxa"/>
            <w:hideMark/>
          </w:tcPr>
          <w:p w14:paraId="7FCEEDA9" w14:textId="77777777" w:rsidR="006F5BFE" w:rsidRPr="003B2277" w:rsidRDefault="006F5BFE" w:rsidP="005B4D60">
            <w:pPr>
              <w:spacing w:after="120"/>
              <w:rPr>
                <w:szCs w:val="24"/>
                <w:lang w:eastAsia="en-US"/>
              </w:rPr>
            </w:pPr>
            <w:r w:rsidRPr="003B2277">
              <w:rPr>
                <w:rFonts w:eastAsia="Calibri" w:cs="Mangal"/>
                <w:lang w:eastAsia="en-US"/>
              </w:rPr>
              <w:t xml:space="preserve">Sporazumi v sektorju </w:t>
            </w:r>
            <w:r w:rsidRPr="003B2277">
              <w:rPr>
                <w:rFonts w:eastAsia="Calibri" w:cs="Mangal"/>
                <w:b/>
                <w:i/>
                <w:lang w:eastAsia="en-US"/>
              </w:rPr>
              <w:t>sladkorne pese in sladkornega trsa</w:t>
            </w:r>
          </w:p>
        </w:tc>
      </w:tr>
    </w:tbl>
    <w:p w14:paraId="0D3B8385" w14:textId="7682996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107</w:t>
      </w:r>
    </w:p>
    <w:p w14:paraId="3F31339F" w14:textId="77777777" w:rsidR="006F5BFE" w:rsidRPr="003B2277" w:rsidRDefault="006F5BFE" w:rsidP="006F5BFE">
      <w:pPr>
        <w:spacing w:before="240"/>
        <w:rPr>
          <w:b/>
          <w:lang w:eastAsia="en-US"/>
        </w:rPr>
      </w:pPr>
      <w:r w:rsidRPr="003B2277">
        <w:rPr>
          <w:rFonts w:eastAsia="Calibri" w:cs="Mangal"/>
          <w:b/>
          <w:lang w:eastAsia="en-US"/>
        </w:rPr>
        <w:t>Predlog uredbe</w:t>
      </w:r>
    </w:p>
    <w:p w14:paraId="5D963E57" w14:textId="60BD77B4" w:rsidR="006F5BFE" w:rsidRPr="003B2277" w:rsidRDefault="006F5BFE" w:rsidP="006F5BFE">
      <w:pPr>
        <w:rPr>
          <w:b/>
          <w:lang w:eastAsia="en-US"/>
        </w:rPr>
      </w:pPr>
      <w:r w:rsidRPr="003B2277">
        <w:rPr>
          <w:rFonts w:eastAsia="Calibri" w:cs="Mangal"/>
          <w:b/>
          <w:lang w:eastAsia="en-US"/>
        </w:rPr>
        <w:t>Člen 1 – odstavek 1 – točka 21 – točka b b (novo)</w:t>
      </w:r>
    </w:p>
    <w:p w14:paraId="67E278CD" w14:textId="77777777" w:rsidR="006F5BFE" w:rsidRPr="003B2277" w:rsidRDefault="006F5BFE" w:rsidP="006F5BFE">
      <w:pPr>
        <w:keepNext/>
        <w:rPr>
          <w:lang w:eastAsia="en-US"/>
        </w:rPr>
      </w:pPr>
      <w:r w:rsidRPr="003B2277">
        <w:rPr>
          <w:rFonts w:eastAsia="Calibri" w:cs="Mangal"/>
          <w:lang w:eastAsia="en-US"/>
        </w:rPr>
        <w:t>Uredba (EU) št. 1308/2013</w:t>
      </w:r>
    </w:p>
    <w:p w14:paraId="76415192" w14:textId="77777777" w:rsidR="006F5BFE" w:rsidRPr="003B2277" w:rsidRDefault="006F5BFE" w:rsidP="006F5BFE">
      <w:pPr>
        <w:rPr>
          <w:lang w:eastAsia="en-US"/>
        </w:rPr>
      </w:pPr>
      <w:r w:rsidRPr="003B2277">
        <w:rPr>
          <w:rFonts w:eastAsia="Calibri" w:cs="Mangal"/>
          <w:lang w:eastAsia="en-US"/>
        </w:rPr>
        <w:t>Člen 126 – naslov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50C948C" w14:textId="77777777" w:rsidTr="005B4D60">
        <w:trPr>
          <w:jc w:val="center"/>
        </w:trPr>
        <w:tc>
          <w:tcPr>
            <w:tcW w:w="9752" w:type="dxa"/>
            <w:gridSpan w:val="2"/>
          </w:tcPr>
          <w:p w14:paraId="42E34CF8" w14:textId="77777777" w:rsidR="006F5BFE" w:rsidRPr="003B2277" w:rsidRDefault="006F5BFE" w:rsidP="005B4D60">
            <w:pPr>
              <w:keepNext/>
            </w:pPr>
          </w:p>
        </w:tc>
      </w:tr>
      <w:tr w:rsidR="006F5BFE" w:rsidRPr="003B2277" w14:paraId="7D0C7485" w14:textId="77777777" w:rsidTr="005B4D60">
        <w:trPr>
          <w:jc w:val="center"/>
        </w:trPr>
        <w:tc>
          <w:tcPr>
            <w:tcW w:w="4876" w:type="dxa"/>
            <w:hideMark/>
          </w:tcPr>
          <w:p w14:paraId="6EAB7927"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353B325" w14:textId="0B42FE00"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6260F51" w14:textId="77777777" w:rsidTr="005B4D60">
        <w:trPr>
          <w:jc w:val="center"/>
        </w:trPr>
        <w:tc>
          <w:tcPr>
            <w:tcW w:w="4876" w:type="dxa"/>
          </w:tcPr>
          <w:p w14:paraId="61DF099A" w14:textId="77777777" w:rsidR="006F5BFE" w:rsidRPr="003B2277" w:rsidRDefault="006F5BFE" w:rsidP="005B4D60">
            <w:pPr>
              <w:spacing w:after="120"/>
            </w:pPr>
          </w:p>
        </w:tc>
        <w:tc>
          <w:tcPr>
            <w:tcW w:w="4876" w:type="dxa"/>
            <w:hideMark/>
          </w:tcPr>
          <w:p w14:paraId="44803961" w14:textId="77777777" w:rsidR="006F5BFE" w:rsidRPr="003B2277" w:rsidRDefault="006F5BFE" w:rsidP="005B4D60">
            <w:pPr>
              <w:spacing w:after="120"/>
              <w:rPr>
                <w:szCs w:val="24"/>
                <w:lang w:eastAsia="en-US"/>
              </w:rPr>
            </w:pPr>
            <w:r w:rsidRPr="003B2277">
              <w:rPr>
                <w:rFonts w:eastAsia="Calibri" w:cs="Mangal"/>
                <w:b/>
                <w:i/>
                <w:lang w:eastAsia="en-US"/>
              </w:rPr>
              <w:t>(bb)</w:t>
            </w:r>
            <w:r w:rsidRPr="003B2277">
              <w:rPr>
                <w:rFonts w:eastAsia="Calibri" w:cs="Mangal"/>
                <w:b/>
                <w:i/>
                <w:lang w:eastAsia="en-US"/>
              </w:rPr>
              <w:tab/>
              <w:t>naslov člena 126 se nadomesti z naslednjim:</w:t>
            </w:r>
          </w:p>
        </w:tc>
      </w:tr>
      <w:tr w:rsidR="006F5BFE" w:rsidRPr="003B2277" w14:paraId="7E56AC43" w14:textId="77777777" w:rsidTr="005B4D60">
        <w:trPr>
          <w:jc w:val="center"/>
        </w:trPr>
        <w:tc>
          <w:tcPr>
            <w:tcW w:w="4876" w:type="dxa"/>
            <w:hideMark/>
          </w:tcPr>
          <w:p w14:paraId="7D263811" w14:textId="77777777" w:rsidR="006F5BFE" w:rsidRPr="003B2277" w:rsidRDefault="006F5BFE" w:rsidP="005B4D60">
            <w:pPr>
              <w:spacing w:after="120"/>
              <w:rPr>
                <w:lang w:eastAsia="en-US"/>
              </w:rPr>
            </w:pPr>
            <w:r w:rsidRPr="003B2277">
              <w:rPr>
                <w:rFonts w:eastAsia="Calibri" w:cs="Mangal"/>
                <w:lang w:eastAsia="en-US"/>
              </w:rPr>
              <w:t xml:space="preserve">Poročanje o cenah na </w:t>
            </w:r>
            <w:r w:rsidRPr="003B2277">
              <w:rPr>
                <w:rFonts w:eastAsia="Calibri" w:cs="Mangal"/>
                <w:b/>
                <w:i/>
                <w:lang w:eastAsia="en-US"/>
              </w:rPr>
              <w:t>trgu za sladkor</w:t>
            </w:r>
          </w:p>
        </w:tc>
        <w:tc>
          <w:tcPr>
            <w:tcW w:w="4876" w:type="dxa"/>
            <w:hideMark/>
          </w:tcPr>
          <w:p w14:paraId="3E41D35F" w14:textId="77777777" w:rsidR="006F5BFE" w:rsidRPr="003B2277" w:rsidRDefault="006F5BFE" w:rsidP="005B4D60">
            <w:pPr>
              <w:spacing w:after="120"/>
              <w:rPr>
                <w:szCs w:val="24"/>
                <w:lang w:eastAsia="en-US"/>
              </w:rPr>
            </w:pPr>
            <w:r w:rsidRPr="003B2277">
              <w:rPr>
                <w:rFonts w:eastAsia="Calibri" w:cs="Mangal"/>
                <w:lang w:eastAsia="en-US"/>
              </w:rPr>
              <w:t xml:space="preserve">Poročanje o cenah na </w:t>
            </w:r>
            <w:r w:rsidRPr="003B2277">
              <w:rPr>
                <w:rFonts w:eastAsia="Calibri" w:cs="Mangal"/>
                <w:b/>
                <w:i/>
                <w:lang w:eastAsia="en-US"/>
              </w:rPr>
              <w:t>trgih</w:t>
            </w:r>
          </w:p>
        </w:tc>
      </w:tr>
    </w:tbl>
    <w:p w14:paraId="68E11ED3" w14:textId="77777777" w:rsidR="006F5BFE" w:rsidRPr="003B2277" w:rsidRDefault="006F5BFE" w:rsidP="006F5BFE">
      <w:pPr>
        <w:rPr>
          <w:lang w:eastAsia="en-US"/>
        </w:rPr>
      </w:pPr>
    </w:p>
    <w:p w14:paraId="1F686324" w14:textId="2416FED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108</w:t>
      </w:r>
    </w:p>
    <w:p w14:paraId="02B0116E" w14:textId="77777777" w:rsidR="006F5BFE" w:rsidRPr="003B2277" w:rsidRDefault="006F5BFE" w:rsidP="006F5BFE">
      <w:pPr>
        <w:spacing w:before="240"/>
        <w:rPr>
          <w:b/>
          <w:lang w:eastAsia="en-US"/>
        </w:rPr>
      </w:pPr>
      <w:r w:rsidRPr="003B2277">
        <w:rPr>
          <w:rFonts w:eastAsia="Calibri" w:cs="Mangal"/>
          <w:b/>
          <w:lang w:eastAsia="en-US"/>
        </w:rPr>
        <w:t>Predlog uredbe</w:t>
      </w:r>
    </w:p>
    <w:p w14:paraId="37996907" w14:textId="77777777" w:rsidR="006F5BFE" w:rsidRPr="003B2277" w:rsidRDefault="006F5BFE" w:rsidP="006F5BFE">
      <w:pPr>
        <w:rPr>
          <w:b/>
          <w:lang w:eastAsia="en-US"/>
        </w:rPr>
      </w:pPr>
      <w:r w:rsidRPr="003B2277">
        <w:rPr>
          <w:rFonts w:eastAsia="Calibri" w:cs="Mangal"/>
          <w:b/>
          <w:lang w:eastAsia="en-US"/>
        </w:rPr>
        <w:t>Člen 1 – odstavek 1 – točka 21 – točka b c (novo)</w:t>
      </w:r>
    </w:p>
    <w:p w14:paraId="135EF0A3" w14:textId="77777777" w:rsidR="006F5BFE" w:rsidRPr="003B2277" w:rsidRDefault="006F5BFE" w:rsidP="006F5BFE">
      <w:pPr>
        <w:keepNext/>
        <w:rPr>
          <w:lang w:eastAsia="en-US"/>
        </w:rPr>
      </w:pPr>
      <w:r w:rsidRPr="003B2277">
        <w:rPr>
          <w:rFonts w:eastAsia="Calibri" w:cs="Mangal"/>
          <w:lang w:eastAsia="en-US"/>
        </w:rPr>
        <w:t>Uredba (EU) št. 1308/2013</w:t>
      </w:r>
    </w:p>
    <w:p w14:paraId="3C426572" w14:textId="77777777" w:rsidR="006F5BFE" w:rsidRPr="003B2277" w:rsidRDefault="006F5BFE" w:rsidP="006F5BFE">
      <w:pPr>
        <w:rPr>
          <w:lang w:eastAsia="en-US"/>
        </w:rPr>
      </w:pPr>
      <w:r w:rsidRPr="003B2277">
        <w:rPr>
          <w:rFonts w:eastAsia="Calibri" w:cs="Mangal"/>
          <w:lang w:eastAsia="en-US"/>
        </w:rPr>
        <w:t>Člen 126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6B82890" w14:textId="77777777" w:rsidTr="005B4D60">
        <w:trPr>
          <w:jc w:val="center"/>
        </w:trPr>
        <w:tc>
          <w:tcPr>
            <w:tcW w:w="9752" w:type="dxa"/>
            <w:gridSpan w:val="2"/>
          </w:tcPr>
          <w:p w14:paraId="5A3AA426" w14:textId="77777777" w:rsidR="006F5BFE" w:rsidRPr="003B2277" w:rsidRDefault="006F5BFE" w:rsidP="005B4D60">
            <w:pPr>
              <w:keepNext/>
            </w:pPr>
          </w:p>
        </w:tc>
      </w:tr>
      <w:tr w:rsidR="006F5BFE" w:rsidRPr="003B2277" w14:paraId="79F709F3" w14:textId="77777777" w:rsidTr="005B4D60">
        <w:trPr>
          <w:jc w:val="center"/>
        </w:trPr>
        <w:tc>
          <w:tcPr>
            <w:tcW w:w="4876" w:type="dxa"/>
            <w:hideMark/>
          </w:tcPr>
          <w:p w14:paraId="31F8DF3A"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3986F6A" w14:textId="213C85A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0E8417C" w14:textId="77777777" w:rsidTr="005B4D60">
        <w:trPr>
          <w:jc w:val="center"/>
        </w:trPr>
        <w:tc>
          <w:tcPr>
            <w:tcW w:w="4876" w:type="dxa"/>
          </w:tcPr>
          <w:p w14:paraId="1545A451" w14:textId="77777777" w:rsidR="006F5BFE" w:rsidRPr="003B2277" w:rsidRDefault="006F5BFE" w:rsidP="005B4D60">
            <w:pPr>
              <w:spacing w:after="120"/>
            </w:pPr>
          </w:p>
        </w:tc>
        <w:tc>
          <w:tcPr>
            <w:tcW w:w="4876" w:type="dxa"/>
            <w:hideMark/>
          </w:tcPr>
          <w:p w14:paraId="2BBD86C7" w14:textId="77777777" w:rsidR="006F5BFE" w:rsidRPr="003B2277" w:rsidRDefault="006F5BFE" w:rsidP="005B4D60">
            <w:pPr>
              <w:spacing w:after="120"/>
              <w:rPr>
                <w:szCs w:val="24"/>
                <w:lang w:eastAsia="en-US"/>
              </w:rPr>
            </w:pPr>
            <w:r w:rsidRPr="003B2277">
              <w:rPr>
                <w:rFonts w:eastAsia="Calibri" w:cs="Mangal"/>
                <w:b/>
                <w:i/>
                <w:lang w:eastAsia="en-US"/>
              </w:rPr>
              <w:t>(bc)</w:t>
            </w:r>
            <w:r w:rsidRPr="003B2277">
              <w:rPr>
                <w:rFonts w:eastAsia="Calibri" w:cs="Mangal"/>
                <w:b/>
                <w:i/>
                <w:lang w:eastAsia="en-US"/>
              </w:rPr>
              <w:tab/>
              <w:t>v členu 126 se prvi odstavek nadomesti z naslednjim:</w:t>
            </w:r>
          </w:p>
        </w:tc>
      </w:tr>
      <w:tr w:rsidR="006F5BFE" w:rsidRPr="003B2277" w14:paraId="26147B8E" w14:textId="77777777" w:rsidTr="005B4D60">
        <w:trPr>
          <w:jc w:val="center"/>
        </w:trPr>
        <w:tc>
          <w:tcPr>
            <w:tcW w:w="4876" w:type="dxa"/>
            <w:hideMark/>
          </w:tcPr>
          <w:p w14:paraId="0924E693" w14:textId="77777777" w:rsidR="006F5BFE" w:rsidRPr="003B2277" w:rsidRDefault="006F5BFE" w:rsidP="005B4D60">
            <w:pPr>
              <w:spacing w:after="120"/>
              <w:rPr>
                <w:lang w:eastAsia="en-US"/>
              </w:rPr>
            </w:pPr>
            <w:r w:rsidRPr="003B2277">
              <w:rPr>
                <w:rFonts w:eastAsia="Calibri" w:cs="Mangal"/>
                <w:lang w:eastAsia="en-US"/>
              </w:rPr>
              <w:t xml:space="preserve">Komisija lahko sprejme izvedbene akte, s katerimi vzpostavi sistem za poročanje o cenah na trgu </w:t>
            </w:r>
            <w:r w:rsidRPr="003B2277">
              <w:rPr>
                <w:rFonts w:eastAsia="Calibri" w:cs="Mangal"/>
                <w:b/>
                <w:i/>
                <w:lang w:eastAsia="en-US"/>
              </w:rPr>
              <w:t>za sladkor</w:t>
            </w:r>
            <w:r w:rsidRPr="003B2277">
              <w:rPr>
                <w:rFonts w:eastAsia="Calibri" w:cs="Mangal"/>
                <w:lang w:eastAsia="en-US"/>
              </w:rPr>
              <w:t xml:space="preserve">, tudi ureditev za objavo ravni cen na tem trgu. Ti izvedbeni akti se sprejmejo v skladu s postopkom pregleda iz člena 229(2). Sistem iz prvega pododstavka temelji na informacijah, ki jih predložijo podjetja za proizvodnjo </w:t>
            </w:r>
            <w:r w:rsidRPr="003B2277">
              <w:rPr>
                <w:rFonts w:eastAsia="Calibri" w:cs="Mangal"/>
                <w:b/>
                <w:i/>
                <w:lang w:eastAsia="en-US"/>
              </w:rPr>
              <w:t>belega sladkorja</w:t>
            </w:r>
            <w:r w:rsidRPr="003B2277">
              <w:rPr>
                <w:rFonts w:eastAsia="Calibri" w:cs="Mangal"/>
                <w:lang w:eastAsia="en-US"/>
              </w:rPr>
              <w:t xml:space="preserve"> ali drugi izvajalci, ki se ukvarjajo s trgovino s sladkorjem. Te informacije so tajne.</w:t>
            </w:r>
          </w:p>
        </w:tc>
        <w:tc>
          <w:tcPr>
            <w:tcW w:w="4876" w:type="dxa"/>
            <w:hideMark/>
          </w:tcPr>
          <w:p w14:paraId="67AE558A"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Komisija lahko sprejme izvedbene akte, s katerimi vzpostavi sistem za poročanje o cenah na trgu </w:t>
            </w:r>
            <w:r w:rsidRPr="003B2277">
              <w:rPr>
                <w:rFonts w:eastAsia="Calibri" w:cs="Mangal"/>
                <w:b/>
                <w:i/>
                <w:lang w:eastAsia="en-US"/>
              </w:rPr>
              <w:t>s sladkorno peso in sladkornim trsom na eni strani ter na trgu s sladkorjem in etanolom na drugi strani</w:t>
            </w:r>
            <w:r w:rsidRPr="003B2277">
              <w:rPr>
                <w:rFonts w:eastAsia="Calibri" w:cs="Mangal"/>
                <w:lang w:eastAsia="en-US"/>
              </w:rPr>
              <w:t xml:space="preserve">, tudi ureditev za objavo ravni cen na tem trgu. Ti izvedbeni akti se sprejmejo v skladu s postopkom pregleda iz člena 229(2). Sistem iz prvega pododstavka temelji na informacijah, ki jih predložijo podjetja za proizvodnjo </w:t>
            </w:r>
            <w:r w:rsidRPr="003B2277">
              <w:rPr>
                <w:rFonts w:eastAsia="Calibri" w:cs="Mangal"/>
                <w:b/>
                <w:i/>
                <w:lang w:eastAsia="en-US"/>
              </w:rPr>
              <w:t>sladkorja ali etanola</w:t>
            </w:r>
            <w:r w:rsidRPr="003B2277">
              <w:rPr>
                <w:rFonts w:eastAsia="Calibri" w:cs="Mangal"/>
                <w:lang w:eastAsia="en-US"/>
              </w:rPr>
              <w:t xml:space="preserve"> ali drugi izvajalci, ki se ukvarjajo s trgovino s sladkorjem</w:t>
            </w:r>
            <w:r w:rsidRPr="003B2277">
              <w:rPr>
                <w:rFonts w:eastAsia="Calibri" w:cs="Mangal"/>
                <w:b/>
                <w:i/>
                <w:lang w:eastAsia="en-US"/>
              </w:rPr>
              <w:t xml:space="preserve"> ali etanolom</w:t>
            </w:r>
            <w:r w:rsidRPr="003B2277">
              <w:rPr>
                <w:rFonts w:eastAsia="Calibri" w:cs="Mangal"/>
                <w:lang w:eastAsia="en-US"/>
              </w:rPr>
              <w:t>. Te informacije so tajne.</w:t>
            </w:r>
          </w:p>
        </w:tc>
      </w:tr>
    </w:tbl>
    <w:p w14:paraId="4CADB45D" w14:textId="77777777" w:rsidR="006F5BFE" w:rsidRPr="003B2277" w:rsidRDefault="006F5BFE" w:rsidP="006F5BFE">
      <w:pPr>
        <w:rPr>
          <w:lang w:eastAsia="en-US"/>
        </w:rPr>
      </w:pPr>
    </w:p>
    <w:p w14:paraId="3EED3A36" w14:textId="0A6EF93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r>
      <w:r w:rsidR="00A34C63">
        <w:rPr>
          <w:rFonts w:eastAsia="Calibri" w:cs="Mangal"/>
          <w:b/>
          <w:lang w:eastAsia="en-US"/>
        </w:rPr>
        <w:t>269</w:t>
      </w:r>
    </w:p>
    <w:p w14:paraId="2DDF0F12" w14:textId="10BA08F0" w:rsidR="006F5BFE" w:rsidRPr="003B2277" w:rsidRDefault="006F5BFE" w:rsidP="006F5BFE"/>
    <w:p w14:paraId="6151FD21" w14:textId="278F6F5A" w:rsidR="006F5BFE" w:rsidRPr="003B2277" w:rsidRDefault="006F5BFE" w:rsidP="006F5BFE">
      <w:pPr>
        <w:keepNext/>
        <w:rPr>
          <w:b/>
          <w:lang w:eastAsia="en-US"/>
        </w:rPr>
      </w:pPr>
      <w:r w:rsidRPr="003B2277">
        <w:rPr>
          <w:rFonts w:eastAsia="Calibri" w:cs="Mangal"/>
          <w:b/>
          <w:lang w:eastAsia="en-US"/>
        </w:rPr>
        <w:t>Predlog uredbe</w:t>
      </w:r>
    </w:p>
    <w:p w14:paraId="2168C1CB" w14:textId="21AEA274" w:rsidR="006F5BFE" w:rsidRPr="003B2277" w:rsidRDefault="006F5BFE" w:rsidP="006F5BFE">
      <w:pPr>
        <w:rPr>
          <w:b/>
          <w:lang w:eastAsia="en-US"/>
        </w:rPr>
      </w:pPr>
      <w:r w:rsidRPr="003B2277">
        <w:rPr>
          <w:rFonts w:eastAsia="Calibri" w:cs="Mangal"/>
          <w:b/>
          <w:lang w:eastAsia="en-US"/>
        </w:rPr>
        <w:t>Člen 1 – odstavek 1 – točka 22 a (novo)</w:t>
      </w:r>
    </w:p>
    <w:p w14:paraId="4ADF4450" w14:textId="2BBBDCFE" w:rsidR="006F5BFE" w:rsidRPr="003B2277" w:rsidRDefault="006F5BFE" w:rsidP="006F5BFE">
      <w:pPr>
        <w:keepNext/>
        <w:rPr>
          <w:lang w:eastAsia="en-US"/>
        </w:rPr>
      </w:pPr>
      <w:r w:rsidRPr="003B2277">
        <w:rPr>
          <w:rFonts w:eastAsia="Calibri" w:cs="Mangal"/>
          <w:lang w:eastAsia="en-US"/>
        </w:rPr>
        <w:t>Uredba (EU) št. 1308/2013</w:t>
      </w:r>
    </w:p>
    <w:p w14:paraId="724C9A69" w14:textId="34386ABD" w:rsidR="006F5BFE" w:rsidRPr="003B2277" w:rsidRDefault="006F5BFE" w:rsidP="006F5BFE">
      <w:pPr>
        <w:rPr>
          <w:lang w:eastAsia="en-US"/>
        </w:rPr>
      </w:pPr>
      <w:r w:rsidRPr="003B2277">
        <w:rPr>
          <w:rFonts w:eastAsia="Calibri" w:cs="Mangal"/>
          <w:lang w:eastAsia="en-US"/>
        </w:rPr>
        <w:t>Člen 148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6C2C6AF" w14:textId="50446C07" w:rsidTr="005B4D60">
        <w:trPr>
          <w:jc w:val="center"/>
        </w:trPr>
        <w:tc>
          <w:tcPr>
            <w:tcW w:w="9752" w:type="dxa"/>
            <w:gridSpan w:val="2"/>
          </w:tcPr>
          <w:p w14:paraId="7FCC96D1" w14:textId="7363A1D5" w:rsidR="006F5BFE" w:rsidRPr="003B2277" w:rsidRDefault="006F5BFE" w:rsidP="005B4D60">
            <w:pPr>
              <w:keepNext/>
            </w:pPr>
          </w:p>
        </w:tc>
      </w:tr>
      <w:tr w:rsidR="006F5BFE" w:rsidRPr="003B2277" w14:paraId="707F0496" w14:textId="5CC51003" w:rsidTr="005B4D60">
        <w:trPr>
          <w:jc w:val="center"/>
        </w:trPr>
        <w:tc>
          <w:tcPr>
            <w:tcW w:w="4876" w:type="dxa"/>
            <w:hideMark/>
          </w:tcPr>
          <w:p w14:paraId="594D2407" w14:textId="1D9591B5"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F6C156D" w14:textId="3794A68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D9224AE" w14:textId="22A08119" w:rsidTr="005B4D60">
        <w:trPr>
          <w:jc w:val="center"/>
        </w:trPr>
        <w:tc>
          <w:tcPr>
            <w:tcW w:w="4876" w:type="dxa"/>
          </w:tcPr>
          <w:p w14:paraId="53DFD06C" w14:textId="0F0418D0" w:rsidR="006F5BFE" w:rsidRPr="003B2277" w:rsidRDefault="006F5BFE" w:rsidP="005B4D60">
            <w:pPr>
              <w:spacing w:after="120"/>
            </w:pPr>
          </w:p>
        </w:tc>
        <w:tc>
          <w:tcPr>
            <w:tcW w:w="4876" w:type="dxa"/>
            <w:hideMark/>
          </w:tcPr>
          <w:p w14:paraId="4C4BA8A8" w14:textId="33DC39C1" w:rsidR="006F5BFE" w:rsidRPr="003B2277" w:rsidRDefault="006F5BFE" w:rsidP="005B4D60">
            <w:pPr>
              <w:spacing w:after="120"/>
              <w:rPr>
                <w:szCs w:val="24"/>
                <w:lang w:eastAsia="en-US"/>
              </w:rPr>
            </w:pPr>
            <w:r w:rsidRPr="003B2277">
              <w:rPr>
                <w:rFonts w:eastAsia="Calibri" w:cs="Mangal"/>
                <w:b/>
                <w:i/>
                <w:lang w:eastAsia="en-US"/>
              </w:rPr>
              <w:t>(22a)</w:t>
            </w:r>
            <w:r w:rsidRPr="003B2277">
              <w:rPr>
                <w:rFonts w:eastAsia="Calibri" w:cs="Mangal"/>
                <w:b/>
                <w:i/>
                <w:lang w:eastAsia="en-US"/>
              </w:rPr>
              <w:tab/>
              <w:t>člen 148 se nadomesti z naslednjim:</w:t>
            </w:r>
          </w:p>
        </w:tc>
      </w:tr>
      <w:tr w:rsidR="006F5BFE" w:rsidRPr="003B2277" w14:paraId="2B31E8F6" w14:textId="6D3FD32C" w:rsidTr="005B4D60">
        <w:trPr>
          <w:jc w:val="center"/>
        </w:trPr>
        <w:tc>
          <w:tcPr>
            <w:tcW w:w="4876" w:type="dxa"/>
            <w:hideMark/>
          </w:tcPr>
          <w:p w14:paraId="3A95CD0D" w14:textId="5335257C" w:rsidR="006F5BFE" w:rsidRPr="003B2277" w:rsidRDefault="006F5BFE" w:rsidP="005B4D60">
            <w:pPr>
              <w:spacing w:after="120"/>
              <w:rPr>
                <w:lang w:eastAsia="en-US"/>
              </w:rPr>
            </w:pPr>
            <w:r w:rsidRPr="003B2277">
              <w:rPr>
                <w:rFonts w:eastAsia="Calibri" w:cs="Mangal"/>
                <w:lang w:eastAsia="en-US"/>
              </w:rPr>
              <w:t>Člen 148</w:t>
            </w:r>
          </w:p>
        </w:tc>
        <w:tc>
          <w:tcPr>
            <w:tcW w:w="4876" w:type="dxa"/>
            <w:hideMark/>
          </w:tcPr>
          <w:p w14:paraId="1FE83B26" w14:textId="0044DF86"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148</w:t>
            </w:r>
          </w:p>
        </w:tc>
      </w:tr>
      <w:tr w:rsidR="006F5BFE" w:rsidRPr="003B2277" w14:paraId="019D18F9" w14:textId="5712D728" w:rsidTr="005B4D60">
        <w:trPr>
          <w:jc w:val="center"/>
        </w:trPr>
        <w:tc>
          <w:tcPr>
            <w:tcW w:w="4876" w:type="dxa"/>
            <w:hideMark/>
          </w:tcPr>
          <w:p w14:paraId="34C2FC23" w14:textId="282DE80B" w:rsidR="006F5BFE" w:rsidRPr="003B2277" w:rsidRDefault="006F5BFE" w:rsidP="005B4D60">
            <w:pPr>
              <w:spacing w:after="120"/>
              <w:rPr>
                <w:lang w:eastAsia="en-US"/>
              </w:rPr>
            </w:pPr>
            <w:r w:rsidRPr="003B2277">
              <w:rPr>
                <w:rFonts w:eastAsia="Calibri" w:cs="Mangal"/>
                <w:lang w:eastAsia="en-US"/>
              </w:rPr>
              <w:t>Pogodbena razmerja v sektorju mleka in mlečnih proizvodov</w:t>
            </w:r>
          </w:p>
        </w:tc>
        <w:tc>
          <w:tcPr>
            <w:tcW w:w="4876" w:type="dxa"/>
            <w:hideMark/>
          </w:tcPr>
          <w:p w14:paraId="374F8B3B" w14:textId="1D761BBD" w:rsidR="006F5BFE" w:rsidRPr="003B2277" w:rsidRDefault="006F5BFE" w:rsidP="005B4D60">
            <w:pPr>
              <w:spacing w:after="120"/>
              <w:rPr>
                <w:szCs w:val="24"/>
                <w:lang w:eastAsia="en-US"/>
              </w:rPr>
            </w:pPr>
            <w:r w:rsidRPr="003B2277">
              <w:rPr>
                <w:rFonts w:eastAsia="Calibri" w:cs="Mangal"/>
                <w:lang w:eastAsia="en-US"/>
              </w:rPr>
              <w:t>Pogodbena razmerja v sektorju mleka in mlečnih proizvodov</w:t>
            </w:r>
          </w:p>
        </w:tc>
      </w:tr>
      <w:tr w:rsidR="006F5BFE" w:rsidRPr="003B2277" w14:paraId="3BF27968" w14:textId="5FDD3F21" w:rsidTr="005B4D60">
        <w:trPr>
          <w:jc w:val="center"/>
        </w:trPr>
        <w:tc>
          <w:tcPr>
            <w:tcW w:w="4876" w:type="dxa"/>
            <w:hideMark/>
          </w:tcPr>
          <w:p w14:paraId="02D3C753" w14:textId="7B4C1C4E"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Kadar država članica odloči, da morata za vsako oddajo surovega mleka na njenem ozemlju, ki jo kmet zagotovi predelovalcu surovega mleka, stranki skleniti pisno pogodbo, in/ali določi, da morajo prvi kupci pripraviti pisno ponudbo pogodbe o dobavi surovega mleka, ki jo zagotovi kmet, taka pogodba in/ali taka ponudba pogodbe izpolnjuje pogoje iz odstavka 2.</w:t>
            </w:r>
          </w:p>
        </w:tc>
        <w:tc>
          <w:tcPr>
            <w:tcW w:w="4876" w:type="dxa"/>
            <w:hideMark/>
          </w:tcPr>
          <w:p w14:paraId="11927DD8" w14:textId="68BAC325"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Kadar država članica odloči, da morata za vsako oddajo surovega mleka na njenem ozemlju, ki jo kmet zagotovi predelovalcu surovega mleka, stranki skleniti pisno pogodbo, in/ali določi, da morajo prvi kupci pripraviti pisno ponudbo pogodbe o dobavi surovega mleka, ki jo zagotovi kmet, taka pogodba in/ali taka ponudba pogodbe izpolnjuje pogoje iz odstavka 2.</w:t>
            </w:r>
          </w:p>
        </w:tc>
      </w:tr>
      <w:tr w:rsidR="006F5BFE" w:rsidRPr="003B2277" w14:paraId="5D60B9AC" w14:textId="66E671CE" w:rsidTr="005B4D60">
        <w:trPr>
          <w:jc w:val="center"/>
        </w:trPr>
        <w:tc>
          <w:tcPr>
            <w:tcW w:w="4876" w:type="dxa"/>
            <w:hideMark/>
          </w:tcPr>
          <w:p w14:paraId="6028633C" w14:textId="57B48D25" w:rsidR="006F5BFE" w:rsidRPr="003B2277" w:rsidRDefault="006F5BFE" w:rsidP="005B4D60">
            <w:pPr>
              <w:spacing w:after="120"/>
              <w:rPr>
                <w:lang w:eastAsia="en-US"/>
              </w:rPr>
            </w:pPr>
            <w:r w:rsidRPr="003B2277">
              <w:rPr>
                <w:rFonts w:eastAsia="Calibri" w:cs="Mangal"/>
                <w:lang w:eastAsia="en-US"/>
              </w:rPr>
              <w:t>Kadar država članica odloči, da morata za oddaje surovega mleka, ki jih kmet zagotovi predelovalcu surovega mleka, stranki skleniti pisno pogodbo, določi tudi, katero fazo ali faze oddaje zajema taka pogodba, če oddaja surovega mleka poteka prek enega ali več zbiralcev.</w:t>
            </w:r>
          </w:p>
        </w:tc>
        <w:tc>
          <w:tcPr>
            <w:tcW w:w="4876" w:type="dxa"/>
            <w:hideMark/>
          </w:tcPr>
          <w:p w14:paraId="0873CBDE" w14:textId="12872D6D" w:rsidR="006F5BFE" w:rsidRPr="003B2277" w:rsidRDefault="006F5BFE" w:rsidP="005B4D60">
            <w:pPr>
              <w:spacing w:after="120"/>
              <w:rPr>
                <w:szCs w:val="24"/>
                <w:lang w:eastAsia="en-US"/>
              </w:rPr>
            </w:pPr>
            <w:r w:rsidRPr="003B2277">
              <w:rPr>
                <w:rFonts w:eastAsia="Calibri" w:cs="Mangal"/>
                <w:lang w:eastAsia="en-US"/>
              </w:rPr>
              <w:t>Kadar država članica odloči, da morata za oddaje surovega mleka, ki jih kmet zagotovi predelovalcu surovega mleka, stranki skleniti pisno pogodbo, določi tudi, katero fazo ali faze oddaje zajema taka pogodba, če oddaja surovega mleka poteka prek enega ali več zbiralcev.</w:t>
            </w:r>
          </w:p>
        </w:tc>
      </w:tr>
      <w:tr w:rsidR="006F5BFE" w:rsidRPr="003B2277" w14:paraId="17A4761F" w14:textId="0A75EFD2" w:rsidTr="005B4D60">
        <w:trPr>
          <w:jc w:val="center"/>
        </w:trPr>
        <w:tc>
          <w:tcPr>
            <w:tcW w:w="4876" w:type="dxa"/>
            <w:hideMark/>
          </w:tcPr>
          <w:p w14:paraId="62BFD3E6" w14:textId="438EC88D" w:rsidR="006F5BFE" w:rsidRPr="003B2277" w:rsidRDefault="006F5BFE" w:rsidP="005B4D60">
            <w:pPr>
              <w:spacing w:after="120"/>
              <w:rPr>
                <w:lang w:eastAsia="en-US"/>
              </w:rPr>
            </w:pPr>
            <w:r w:rsidRPr="003B2277">
              <w:rPr>
                <w:rFonts w:eastAsia="Calibri" w:cs="Mangal"/>
                <w:lang w:eastAsia="en-US"/>
              </w:rPr>
              <w:t>V tem členu „zbiralec“ pomeni podjetje, ki izvaja prevoz surovega mleka od kmeta ali drugega zbiralca do predelovalca surovega mleka ali drugega zbiralca, pri čemer se lastništvo nad surovim mlekom vsakič prenese.</w:t>
            </w:r>
          </w:p>
        </w:tc>
        <w:tc>
          <w:tcPr>
            <w:tcW w:w="4876" w:type="dxa"/>
            <w:hideMark/>
          </w:tcPr>
          <w:p w14:paraId="74310547" w14:textId="76E6AC89" w:rsidR="006F5BFE" w:rsidRPr="003B2277" w:rsidRDefault="006F5BFE" w:rsidP="005B4D60">
            <w:pPr>
              <w:spacing w:after="120"/>
              <w:rPr>
                <w:szCs w:val="24"/>
                <w:lang w:eastAsia="en-US"/>
              </w:rPr>
            </w:pPr>
            <w:r w:rsidRPr="003B2277">
              <w:rPr>
                <w:rFonts w:eastAsia="Calibri" w:cs="Mangal"/>
                <w:lang w:eastAsia="en-US"/>
              </w:rPr>
              <w:t>V tem členu „zbiralec“ pomeni podjetje, ki izvaja prevoz surovega mleka od kmeta ali drugega zbiralca do predelovalca surovega mleka ali drugega zbiralca, pri čemer se lastništvo nad surovim mlekom vsakič prenese.</w:t>
            </w:r>
          </w:p>
        </w:tc>
      </w:tr>
      <w:tr w:rsidR="006F5BFE" w:rsidRPr="003B2277" w14:paraId="37FD4367" w14:textId="1AB03E41" w:rsidTr="005B4D60">
        <w:trPr>
          <w:jc w:val="center"/>
        </w:trPr>
        <w:tc>
          <w:tcPr>
            <w:tcW w:w="4876" w:type="dxa"/>
            <w:hideMark/>
          </w:tcPr>
          <w:p w14:paraId="1B544A85" w14:textId="097D0E22" w:rsidR="006F5BFE" w:rsidRPr="003B2277" w:rsidRDefault="006F5BFE" w:rsidP="005B4D60">
            <w:pPr>
              <w:spacing w:after="120"/>
              <w:rPr>
                <w:lang w:eastAsia="en-US"/>
              </w:rPr>
            </w:pPr>
            <w:r w:rsidRPr="003B2277">
              <w:rPr>
                <w:rFonts w:eastAsia="Calibri" w:cs="Mangal"/>
                <w:lang w:eastAsia="en-US"/>
              </w:rPr>
              <w:t>1a.</w:t>
            </w:r>
            <w:r w:rsidRPr="003B2277">
              <w:rPr>
                <w:rFonts w:eastAsia="Calibri" w:cs="Mangal"/>
                <w:lang w:eastAsia="en-US"/>
              </w:rPr>
              <w:tab/>
              <w:t>Kadar države članice ne izkoristijo možnosti, ki jih ponuja odstavek 1 tega člena, lahko proizvajalec, organizacija proizvajalcev ali združenje organizacij proizvajalcev zahtevajo, da morata strani za vsako oddajo surovega mleka predelovalcu surovega mleka skleniti pisno pogodbo in/ali da morajo prvi kupci pripraviti pisno ponudbo pogodbe v skladu s pogoji iz prvega pododstavka odstavka 4 tega člena.</w:t>
            </w:r>
          </w:p>
        </w:tc>
        <w:tc>
          <w:tcPr>
            <w:tcW w:w="4876" w:type="dxa"/>
            <w:hideMark/>
          </w:tcPr>
          <w:p w14:paraId="0BBBA032" w14:textId="150923D4" w:rsidR="006F5BFE" w:rsidRPr="003B2277" w:rsidRDefault="006F5BFE" w:rsidP="005B4D60">
            <w:pPr>
              <w:spacing w:after="120"/>
              <w:rPr>
                <w:szCs w:val="24"/>
                <w:lang w:eastAsia="en-US"/>
              </w:rPr>
            </w:pPr>
            <w:r w:rsidRPr="003B2277">
              <w:rPr>
                <w:rFonts w:eastAsia="Calibri" w:cs="Mangal"/>
                <w:lang w:eastAsia="en-US"/>
              </w:rPr>
              <w:t>1a.</w:t>
            </w:r>
            <w:r w:rsidRPr="003B2277">
              <w:rPr>
                <w:rFonts w:eastAsia="Calibri" w:cs="Mangal"/>
                <w:lang w:eastAsia="en-US"/>
              </w:rPr>
              <w:tab/>
              <w:t>Kadar države članice ne izkoristijo možnosti, ki jih ponuja odstavek 1 tega člena, lahko proizvajalec, organizacija proizvajalcev ali združenje organizacij proizvajalcev zahtevajo, da morata strani za vsako oddajo surovega mleka predelovalcu surovega mleka skleniti pisno pogodbo in/ali da morajo prvi kupci pripraviti pisno ponudbo pogodbe v skladu s pogoji iz prvega pododstavka odstavka 4 tega člena.</w:t>
            </w:r>
          </w:p>
        </w:tc>
      </w:tr>
      <w:tr w:rsidR="006F5BFE" w:rsidRPr="003B2277" w14:paraId="5D706D47" w14:textId="265DB555" w:rsidTr="005B4D60">
        <w:trPr>
          <w:jc w:val="center"/>
        </w:trPr>
        <w:tc>
          <w:tcPr>
            <w:tcW w:w="4876" w:type="dxa"/>
            <w:hideMark/>
          </w:tcPr>
          <w:p w14:paraId="0A0FAAD3" w14:textId="174C5129" w:rsidR="006F5BFE" w:rsidRPr="003B2277" w:rsidRDefault="006F5BFE" w:rsidP="005B4D60">
            <w:pPr>
              <w:spacing w:after="120"/>
              <w:rPr>
                <w:lang w:eastAsia="en-US"/>
              </w:rPr>
            </w:pPr>
            <w:r w:rsidRPr="003B2277">
              <w:rPr>
                <w:rFonts w:eastAsia="Calibri" w:cs="Mangal"/>
                <w:lang w:eastAsia="en-US"/>
              </w:rPr>
              <w:t>Če je prvi kupec mikro-, malo ali srednje podjetje v smislu Priporočila 2003/361/ES, pogodba in/ali ponudba pogodbe nista obvezni, brez poseganja v možnost strani, da uporabita standardno pogodbo, ki jo pripravi medpanožna organizacija.</w:t>
            </w:r>
          </w:p>
        </w:tc>
        <w:tc>
          <w:tcPr>
            <w:tcW w:w="4876" w:type="dxa"/>
            <w:hideMark/>
          </w:tcPr>
          <w:p w14:paraId="1619236B" w14:textId="3FA48A62" w:rsidR="006F5BFE" w:rsidRPr="003B2277" w:rsidRDefault="006F5BFE" w:rsidP="005B4D60">
            <w:pPr>
              <w:spacing w:after="120"/>
              <w:rPr>
                <w:szCs w:val="24"/>
                <w:lang w:eastAsia="en-US"/>
              </w:rPr>
            </w:pPr>
            <w:r w:rsidRPr="003B2277">
              <w:rPr>
                <w:rFonts w:eastAsia="Calibri" w:cs="Mangal"/>
                <w:lang w:eastAsia="en-US"/>
              </w:rPr>
              <w:t>Če je prvi kupec mikro-, malo ali srednje podjetje v smislu Priporočila 2003/361/ES, pogodba in/ali ponudba pogodbe nista obvezni, brez poseganja v možnost strani, da uporabita standardno pogodbo, ki jo pripravi medpanožna organizacija.</w:t>
            </w:r>
          </w:p>
        </w:tc>
      </w:tr>
      <w:tr w:rsidR="006F5BFE" w:rsidRPr="003B2277" w14:paraId="36B2A3EA" w14:textId="26C99229" w:rsidTr="005B4D60">
        <w:trPr>
          <w:jc w:val="center"/>
        </w:trPr>
        <w:tc>
          <w:tcPr>
            <w:tcW w:w="4876" w:type="dxa"/>
            <w:hideMark/>
          </w:tcPr>
          <w:p w14:paraId="3D1D197B" w14:textId="17902F2B"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Pogodba in/ali ponudba pogodbe iz odstavkov 1 in 1a:</w:t>
            </w:r>
          </w:p>
        </w:tc>
        <w:tc>
          <w:tcPr>
            <w:tcW w:w="4876" w:type="dxa"/>
            <w:hideMark/>
          </w:tcPr>
          <w:p w14:paraId="2067519C" w14:textId="4C59A988"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Pogodba in/ali ponudba pogodbe iz odstavkov 1 in 1a:</w:t>
            </w:r>
          </w:p>
        </w:tc>
      </w:tr>
      <w:tr w:rsidR="006F5BFE" w:rsidRPr="003B2277" w14:paraId="1132CF81" w14:textId="5934C15C" w:rsidTr="005B4D60">
        <w:trPr>
          <w:jc w:val="center"/>
        </w:trPr>
        <w:tc>
          <w:tcPr>
            <w:tcW w:w="4876" w:type="dxa"/>
            <w:hideMark/>
          </w:tcPr>
          <w:p w14:paraId="7E472477" w14:textId="3930AEB6" w:rsidR="006F5BFE" w:rsidRPr="003B2277" w:rsidRDefault="006F5BFE" w:rsidP="005B4D60">
            <w:pPr>
              <w:spacing w:after="120"/>
              <w:rPr>
                <w:lang w:eastAsia="en-US"/>
              </w:rPr>
            </w:pPr>
            <w:r w:rsidRPr="003B2277">
              <w:rPr>
                <w:rFonts w:eastAsia="Calibri" w:cs="Mangal"/>
                <w:lang w:eastAsia="en-US"/>
              </w:rPr>
              <w:t>(a) se pripravi pred oddajo;</w:t>
            </w:r>
          </w:p>
        </w:tc>
        <w:tc>
          <w:tcPr>
            <w:tcW w:w="4876" w:type="dxa"/>
            <w:hideMark/>
          </w:tcPr>
          <w:p w14:paraId="0A4EEEFB" w14:textId="166C70EC" w:rsidR="006F5BFE" w:rsidRPr="003B2277" w:rsidRDefault="006F5BFE" w:rsidP="005B4D60">
            <w:pPr>
              <w:spacing w:after="120"/>
              <w:rPr>
                <w:szCs w:val="24"/>
                <w:lang w:eastAsia="en-US"/>
              </w:rPr>
            </w:pPr>
            <w:r w:rsidRPr="003B2277">
              <w:rPr>
                <w:rFonts w:eastAsia="Calibri" w:cs="Mangal"/>
                <w:lang w:eastAsia="en-US"/>
              </w:rPr>
              <w:t>(a) se pripravi pred oddajo;</w:t>
            </w:r>
          </w:p>
        </w:tc>
      </w:tr>
      <w:tr w:rsidR="006F5BFE" w:rsidRPr="003B2277" w14:paraId="05D71CD5" w14:textId="4A9701CF" w:rsidTr="005B4D60">
        <w:trPr>
          <w:jc w:val="center"/>
        </w:trPr>
        <w:tc>
          <w:tcPr>
            <w:tcW w:w="4876" w:type="dxa"/>
            <w:hideMark/>
          </w:tcPr>
          <w:p w14:paraId="654F43CE" w14:textId="64BBF20D" w:rsidR="006F5BFE" w:rsidRPr="003B2277" w:rsidRDefault="006F5BFE" w:rsidP="005B4D60">
            <w:pPr>
              <w:spacing w:after="120"/>
              <w:rPr>
                <w:lang w:eastAsia="en-US"/>
              </w:rPr>
            </w:pPr>
            <w:r w:rsidRPr="003B2277">
              <w:rPr>
                <w:rFonts w:eastAsia="Calibri" w:cs="Mangal"/>
                <w:lang w:eastAsia="en-US"/>
              </w:rPr>
              <w:t>(b) se pripravi v pisni obliki in</w:t>
            </w:r>
          </w:p>
        </w:tc>
        <w:tc>
          <w:tcPr>
            <w:tcW w:w="4876" w:type="dxa"/>
            <w:hideMark/>
          </w:tcPr>
          <w:p w14:paraId="2CE91BAA" w14:textId="0D247486" w:rsidR="006F5BFE" w:rsidRPr="003B2277" w:rsidRDefault="006F5BFE" w:rsidP="005B4D60">
            <w:pPr>
              <w:spacing w:after="120"/>
              <w:rPr>
                <w:szCs w:val="24"/>
                <w:lang w:eastAsia="en-US"/>
              </w:rPr>
            </w:pPr>
            <w:r w:rsidRPr="003B2277">
              <w:rPr>
                <w:rFonts w:eastAsia="Calibri" w:cs="Mangal"/>
                <w:lang w:eastAsia="en-US"/>
              </w:rPr>
              <w:t>(b) se pripravi v pisni obliki in</w:t>
            </w:r>
          </w:p>
        </w:tc>
      </w:tr>
      <w:tr w:rsidR="006F5BFE" w:rsidRPr="003B2277" w14:paraId="388F50FA" w14:textId="27237E00" w:rsidTr="005B4D60">
        <w:trPr>
          <w:jc w:val="center"/>
        </w:trPr>
        <w:tc>
          <w:tcPr>
            <w:tcW w:w="4876" w:type="dxa"/>
            <w:hideMark/>
          </w:tcPr>
          <w:p w14:paraId="2879C337" w14:textId="4A030AAE" w:rsidR="006F5BFE" w:rsidRPr="003B2277" w:rsidRDefault="006F5BFE" w:rsidP="005B4D60">
            <w:pPr>
              <w:spacing w:after="120"/>
              <w:rPr>
                <w:lang w:eastAsia="en-US"/>
              </w:rPr>
            </w:pPr>
            <w:r w:rsidRPr="003B2277">
              <w:rPr>
                <w:rFonts w:eastAsia="Calibri" w:cs="Mangal"/>
                <w:lang w:eastAsia="en-US"/>
              </w:rPr>
              <w:t>(c) vsebuje zlasti naslednje elemente:</w:t>
            </w:r>
          </w:p>
        </w:tc>
        <w:tc>
          <w:tcPr>
            <w:tcW w:w="4876" w:type="dxa"/>
            <w:hideMark/>
          </w:tcPr>
          <w:p w14:paraId="6242D26B" w14:textId="132254FF" w:rsidR="006F5BFE" w:rsidRPr="003B2277" w:rsidRDefault="006F5BFE" w:rsidP="005B4D60">
            <w:pPr>
              <w:spacing w:after="120"/>
              <w:rPr>
                <w:szCs w:val="24"/>
                <w:lang w:eastAsia="en-US"/>
              </w:rPr>
            </w:pPr>
            <w:r w:rsidRPr="003B2277">
              <w:rPr>
                <w:rFonts w:eastAsia="Calibri" w:cs="Mangal"/>
                <w:lang w:eastAsia="en-US"/>
              </w:rPr>
              <w:t>(c) vsebuje zlasti naslednje elemente:</w:t>
            </w:r>
          </w:p>
        </w:tc>
      </w:tr>
      <w:tr w:rsidR="006F5BFE" w:rsidRPr="003B2277" w14:paraId="6A30ED5E" w14:textId="060079D4" w:rsidTr="005B4D60">
        <w:trPr>
          <w:jc w:val="center"/>
        </w:trPr>
        <w:tc>
          <w:tcPr>
            <w:tcW w:w="4876" w:type="dxa"/>
            <w:hideMark/>
          </w:tcPr>
          <w:p w14:paraId="6D225531" w14:textId="43E41B77" w:rsidR="006F5BFE" w:rsidRPr="003B2277" w:rsidRDefault="006F5BFE" w:rsidP="005B4D60">
            <w:pPr>
              <w:spacing w:after="120"/>
              <w:rPr>
                <w:lang w:eastAsia="en-US"/>
              </w:rPr>
            </w:pPr>
            <w:r w:rsidRPr="003B2277">
              <w:rPr>
                <w:rFonts w:eastAsia="Calibri" w:cs="Mangal"/>
                <w:lang w:eastAsia="en-US"/>
              </w:rPr>
              <w:t>(i) ceno, ki se plača za oddajo in je:</w:t>
            </w:r>
          </w:p>
        </w:tc>
        <w:tc>
          <w:tcPr>
            <w:tcW w:w="4876" w:type="dxa"/>
            <w:hideMark/>
          </w:tcPr>
          <w:p w14:paraId="592B38DA" w14:textId="476B9A05" w:rsidR="006F5BFE" w:rsidRPr="003B2277" w:rsidRDefault="006F5BFE" w:rsidP="005B4D60">
            <w:pPr>
              <w:spacing w:after="120"/>
              <w:rPr>
                <w:szCs w:val="24"/>
                <w:lang w:eastAsia="en-US"/>
              </w:rPr>
            </w:pPr>
            <w:r w:rsidRPr="003B2277">
              <w:rPr>
                <w:rFonts w:eastAsia="Calibri" w:cs="Mangal"/>
                <w:lang w:eastAsia="en-US"/>
              </w:rPr>
              <w:t>(i) ceno, ki se plača za oddajo in je:</w:t>
            </w:r>
          </w:p>
        </w:tc>
      </w:tr>
      <w:tr w:rsidR="006F5BFE" w:rsidRPr="003B2277" w14:paraId="7F37E10D" w14:textId="178A6BCE" w:rsidTr="005B4D60">
        <w:trPr>
          <w:jc w:val="center"/>
        </w:trPr>
        <w:tc>
          <w:tcPr>
            <w:tcW w:w="4876" w:type="dxa"/>
            <w:hideMark/>
          </w:tcPr>
          <w:p w14:paraId="720F17BF" w14:textId="0DA2EEA5" w:rsidR="006F5BFE" w:rsidRPr="003B2277" w:rsidRDefault="00CF2644" w:rsidP="005B4D60">
            <w:pPr>
              <w:spacing w:after="120"/>
              <w:rPr>
                <w:lang w:eastAsia="en-US"/>
              </w:rPr>
            </w:pPr>
            <w:r w:rsidRPr="004D1F6F">
              <w:t xml:space="preserve">– </w:t>
            </w:r>
            <w:r w:rsidR="006F5BFE" w:rsidRPr="003B2277">
              <w:rPr>
                <w:rFonts w:eastAsia="Calibri" w:cs="Mangal"/>
                <w:lang w:eastAsia="en-US"/>
              </w:rPr>
              <w:t>nespremenljiva in določena v pogodbi in/ali</w:t>
            </w:r>
          </w:p>
        </w:tc>
        <w:tc>
          <w:tcPr>
            <w:tcW w:w="4876" w:type="dxa"/>
            <w:hideMark/>
          </w:tcPr>
          <w:p w14:paraId="480EEA1B" w14:textId="192CB306" w:rsidR="006F5BFE" w:rsidRPr="003B2277" w:rsidRDefault="00CF2644" w:rsidP="005B4D60">
            <w:pPr>
              <w:spacing w:after="120"/>
              <w:rPr>
                <w:szCs w:val="24"/>
                <w:lang w:eastAsia="en-US"/>
              </w:rPr>
            </w:pPr>
            <w:r w:rsidRPr="004D1F6F">
              <w:t xml:space="preserve">– </w:t>
            </w:r>
            <w:r w:rsidR="006F5BFE" w:rsidRPr="003B2277">
              <w:rPr>
                <w:rFonts w:eastAsia="Calibri" w:cs="Mangal"/>
                <w:lang w:eastAsia="en-US"/>
              </w:rPr>
              <w:t>nespremenljiva in določena v pogodbi in/ali</w:t>
            </w:r>
          </w:p>
        </w:tc>
      </w:tr>
      <w:tr w:rsidR="006F5BFE" w:rsidRPr="003B2277" w14:paraId="12DA9FBE" w14:textId="07DEB932" w:rsidTr="005B4D60">
        <w:trPr>
          <w:jc w:val="center"/>
        </w:trPr>
        <w:tc>
          <w:tcPr>
            <w:tcW w:w="4876" w:type="dxa"/>
            <w:hideMark/>
          </w:tcPr>
          <w:p w14:paraId="1DC1A85C" w14:textId="3EA9F51A" w:rsidR="006F5BFE" w:rsidRPr="003B2277" w:rsidRDefault="00CF2644" w:rsidP="005B4D60">
            <w:pPr>
              <w:spacing w:after="120"/>
              <w:rPr>
                <w:lang w:eastAsia="en-US"/>
              </w:rPr>
            </w:pPr>
            <w:r w:rsidRPr="004D1F6F">
              <w:t xml:space="preserve">– </w:t>
            </w:r>
            <w:r w:rsidR="006F5BFE" w:rsidRPr="003B2277">
              <w:rPr>
                <w:rFonts w:eastAsia="Calibri" w:cs="Mangal"/>
                <w:lang w:eastAsia="en-US"/>
              </w:rPr>
              <w:t xml:space="preserve">računana s kombiniranjem različnih dejavnikov, določenih v pogodbi, ki </w:t>
            </w:r>
            <w:r w:rsidR="006F5BFE" w:rsidRPr="00FD1F1B">
              <w:rPr>
                <w:rFonts w:eastAsia="Calibri" w:cs="Mangal"/>
                <w:b/>
                <w:i/>
                <w:lang w:eastAsia="en-US"/>
              </w:rPr>
              <w:t>lahko</w:t>
            </w:r>
            <w:r w:rsidR="006F5BFE" w:rsidRPr="003B2277">
              <w:rPr>
                <w:rFonts w:eastAsia="Calibri" w:cs="Mangal"/>
                <w:lang w:eastAsia="en-US"/>
              </w:rPr>
              <w:t xml:space="preserve"> vključujejo </w:t>
            </w:r>
            <w:r w:rsidR="006F5BFE" w:rsidRPr="003B2277">
              <w:rPr>
                <w:rFonts w:eastAsia="Calibri" w:cs="Mangal"/>
                <w:b/>
                <w:i/>
                <w:lang w:eastAsia="en-US"/>
              </w:rPr>
              <w:t>tržne</w:t>
            </w:r>
            <w:r w:rsidR="006F5BFE" w:rsidRPr="003B2277">
              <w:rPr>
                <w:rFonts w:eastAsia="Calibri" w:cs="Mangal"/>
                <w:lang w:eastAsia="en-US"/>
              </w:rPr>
              <w:t xml:space="preserve"> kazalnike, ki odražajo spremembe tržnih razmer, oddane količine in kakovost ali sestavo oddanega surovega mleka</w:t>
            </w:r>
            <w:r w:rsidR="006F5BFE" w:rsidRPr="003B2277">
              <w:rPr>
                <w:rFonts w:eastAsia="Calibri" w:cs="Mangal"/>
                <w:b/>
                <w:i/>
                <w:lang w:eastAsia="en-US"/>
              </w:rPr>
              <w:t>;</w:t>
            </w:r>
          </w:p>
        </w:tc>
        <w:tc>
          <w:tcPr>
            <w:tcW w:w="4876" w:type="dxa"/>
            <w:hideMark/>
          </w:tcPr>
          <w:p w14:paraId="296495FC" w14:textId="347B939C" w:rsidR="006F5BFE" w:rsidRPr="003B2277" w:rsidRDefault="00CF2644" w:rsidP="00A34C63">
            <w:pPr>
              <w:spacing w:after="120"/>
              <w:rPr>
                <w:szCs w:val="24"/>
                <w:lang w:eastAsia="en-US"/>
              </w:rPr>
            </w:pPr>
            <w:r w:rsidRPr="004D1F6F">
              <w:t xml:space="preserve">– </w:t>
            </w:r>
            <w:r w:rsidR="006F5BFE" w:rsidRPr="003B2277">
              <w:rPr>
                <w:rFonts w:eastAsia="Calibri" w:cs="Mangal"/>
                <w:lang w:eastAsia="en-US"/>
              </w:rPr>
              <w:t xml:space="preserve">računana s kombiniranjem različnih dejavnikov, določenih v pogodbi, ki vključujejo </w:t>
            </w:r>
            <w:r w:rsidR="00A34C63">
              <w:rPr>
                <w:b/>
                <w:i/>
                <w:lang w:eastAsia="en-US"/>
              </w:rPr>
              <w:t xml:space="preserve">ustrezne in zlahka razumljive </w:t>
            </w:r>
            <w:r w:rsidR="006F5BFE" w:rsidRPr="003B2277">
              <w:rPr>
                <w:rFonts w:eastAsia="Calibri" w:cs="Mangal"/>
                <w:lang w:eastAsia="en-US"/>
              </w:rPr>
              <w:t>kazalnike</w:t>
            </w:r>
            <w:r w:rsidR="006F5BFE" w:rsidRPr="003B2277">
              <w:rPr>
                <w:rFonts w:eastAsia="Calibri" w:cs="Mangal"/>
                <w:b/>
                <w:i/>
                <w:lang w:eastAsia="en-US"/>
              </w:rPr>
              <w:t xml:space="preserve"> </w:t>
            </w:r>
            <w:r w:rsidR="00A34C63">
              <w:rPr>
                <w:b/>
                <w:i/>
                <w:lang w:eastAsia="en-US"/>
              </w:rPr>
              <w:t>in gospodarske indekse ter metodo izračuna končne cene, in sicer na podlagi ter z navedbo ustreznih proizvodnih in tržnih stroškov</w:t>
            </w:r>
            <w:r w:rsidR="006F5BFE" w:rsidRPr="003B2277">
              <w:rPr>
                <w:rFonts w:eastAsia="Calibri" w:cs="Mangal"/>
                <w:lang w:eastAsia="en-US"/>
              </w:rPr>
              <w:t>, ki</w:t>
            </w:r>
            <w:r w:rsidR="006F5BFE" w:rsidRPr="003B2277">
              <w:rPr>
                <w:rFonts w:eastAsia="Calibri" w:cs="Mangal"/>
                <w:b/>
                <w:i/>
                <w:lang w:eastAsia="en-US"/>
              </w:rPr>
              <w:t xml:space="preserve"> so </w:t>
            </w:r>
            <w:r w:rsidR="00A34C63">
              <w:rPr>
                <w:b/>
                <w:i/>
                <w:lang w:eastAsia="en-US"/>
              </w:rPr>
              <w:t xml:space="preserve">enostavno </w:t>
            </w:r>
            <w:r w:rsidR="006F5BFE" w:rsidRPr="003B2277">
              <w:rPr>
                <w:rFonts w:eastAsia="Calibri" w:cs="Mangal"/>
                <w:b/>
                <w:i/>
                <w:lang w:eastAsia="en-US"/>
              </w:rPr>
              <w:t>dostopni in razumljivi ter</w:t>
            </w:r>
            <w:r w:rsidR="006F5BFE" w:rsidRPr="003B2277">
              <w:rPr>
                <w:rFonts w:eastAsia="Calibri" w:cs="Mangal"/>
                <w:lang w:eastAsia="en-US"/>
              </w:rPr>
              <w:t xml:space="preserve"> odražajo spremembe tržnih razmer, oddane količine in kakovost ali sestavo oddanega surovega mleka</w:t>
            </w:r>
            <w:r w:rsidR="006F5BFE" w:rsidRPr="003B2277">
              <w:rPr>
                <w:rFonts w:eastAsia="Calibri" w:cs="Mangal"/>
                <w:b/>
                <w:i/>
                <w:lang w:eastAsia="en-US"/>
              </w:rPr>
              <w:t>.</w:t>
            </w:r>
          </w:p>
        </w:tc>
      </w:tr>
      <w:tr w:rsidR="006F5BFE" w:rsidRPr="003B2277" w14:paraId="63DD289A" w14:textId="41548894" w:rsidTr="005B4D60">
        <w:trPr>
          <w:jc w:val="center"/>
        </w:trPr>
        <w:tc>
          <w:tcPr>
            <w:tcW w:w="4876" w:type="dxa"/>
          </w:tcPr>
          <w:p w14:paraId="682F0287" w14:textId="06736944" w:rsidR="006F5BFE" w:rsidRPr="003B2277" w:rsidRDefault="006F5BFE" w:rsidP="005B4D60">
            <w:pPr>
              <w:spacing w:after="120"/>
            </w:pPr>
          </w:p>
        </w:tc>
        <w:tc>
          <w:tcPr>
            <w:tcW w:w="4876" w:type="dxa"/>
            <w:hideMark/>
          </w:tcPr>
          <w:p w14:paraId="6E80F252" w14:textId="50C9947F" w:rsidR="006F5BFE" w:rsidRPr="003B2277" w:rsidRDefault="00A34C63" w:rsidP="005B4D60">
            <w:pPr>
              <w:spacing w:after="120"/>
              <w:rPr>
                <w:szCs w:val="24"/>
                <w:lang w:eastAsia="en-US"/>
              </w:rPr>
            </w:pPr>
            <w:r>
              <w:rPr>
                <w:b/>
                <w:i/>
                <w:lang w:eastAsia="en-US"/>
              </w:rPr>
              <w:t>V ta namen lahko države članice, ki so se odločile za uporabo odstavka 1, določijo kazalnike v skladu z objektivnimi merili ter na podlagi študij o proizvodnji in prehranski verigi, da jih lahko kadar koli določijo;</w:t>
            </w:r>
          </w:p>
        </w:tc>
      </w:tr>
      <w:tr w:rsidR="006F5BFE" w:rsidRPr="003B2277" w14:paraId="556E7AA1" w14:textId="1C27F4DE" w:rsidTr="005B4D60">
        <w:trPr>
          <w:jc w:val="center"/>
        </w:trPr>
        <w:tc>
          <w:tcPr>
            <w:tcW w:w="4876" w:type="dxa"/>
          </w:tcPr>
          <w:p w14:paraId="366B7CAE" w14:textId="4190F3DC" w:rsidR="006F5BFE" w:rsidRPr="003B2277" w:rsidRDefault="006F5BFE" w:rsidP="005B4D60">
            <w:pPr>
              <w:spacing w:after="120"/>
              <w:rPr>
                <w:lang w:eastAsia="en-US"/>
              </w:rPr>
            </w:pPr>
            <w:r w:rsidRPr="003B2277">
              <w:rPr>
                <w:rFonts w:eastAsia="Calibri" w:cs="Mangal"/>
                <w:lang w:eastAsia="en-US"/>
              </w:rPr>
              <w:t xml:space="preserve">(ii) količino surovega mleka, ki se lahko odda </w:t>
            </w:r>
            <w:r w:rsidRPr="003B2277">
              <w:rPr>
                <w:rFonts w:eastAsia="Calibri" w:cs="Mangal"/>
                <w:b/>
                <w:i/>
                <w:lang w:eastAsia="en-US"/>
              </w:rPr>
              <w:t>in/</w:t>
            </w:r>
            <w:r w:rsidRPr="003B2277">
              <w:rPr>
                <w:rFonts w:eastAsia="Calibri" w:cs="Mangal"/>
                <w:lang w:eastAsia="en-US"/>
              </w:rPr>
              <w:t>ali se mora oddati, in časovni razpored takih oddaj;</w:t>
            </w:r>
          </w:p>
        </w:tc>
        <w:tc>
          <w:tcPr>
            <w:tcW w:w="4876" w:type="dxa"/>
            <w:hideMark/>
          </w:tcPr>
          <w:p w14:paraId="549AE5CB" w14:textId="494E9D7C" w:rsidR="006F5BFE" w:rsidRPr="003B2277" w:rsidRDefault="006F5BFE" w:rsidP="005B4D60">
            <w:pPr>
              <w:spacing w:after="120"/>
              <w:rPr>
                <w:szCs w:val="24"/>
                <w:lang w:eastAsia="en-US"/>
              </w:rPr>
            </w:pPr>
            <w:r w:rsidRPr="003B2277">
              <w:rPr>
                <w:rFonts w:eastAsia="Calibri" w:cs="Mangal"/>
                <w:lang w:eastAsia="en-US"/>
              </w:rPr>
              <w:t>(ii) količino surovega mleka, ki se lahko odda ali se mora oddati, in časovni razpored takih oddaj</w:t>
            </w:r>
            <w:r w:rsidRPr="003B2277">
              <w:rPr>
                <w:rFonts w:eastAsia="Calibri" w:cs="Mangal"/>
                <w:b/>
                <w:i/>
                <w:lang w:eastAsia="en-US"/>
              </w:rPr>
              <w:t>. Klavzul o kaznih za mesečne kršitve ni mogoče določiti</w:t>
            </w:r>
            <w:r w:rsidRPr="003B2277">
              <w:rPr>
                <w:rFonts w:eastAsia="Calibri" w:cs="Mangal"/>
                <w:lang w:eastAsia="en-US"/>
              </w:rPr>
              <w:t>;</w:t>
            </w:r>
          </w:p>
        </w:tc>
      </w:tr>
      <w:tr w:rsidR="006F5BFE" w:rsidRPr="003B2277" w14:paraId="45B5A77B" w14:textId="672B9A55" w:rsidTr="005B4D60">
        <w:trPr>
          <w:jc w:val="center"/>
        </w:trPr>
        <w:tc>
          <w:tcPr>
            <w:tcW w:w="4876" w:type="dxa"/>
          </w:tcPr>
          <w:p w14:paraId="0A63632F" w14:textId="78F9B109" w:rsidR="006F5BFE" w:rsidRPr="003B2277" w:rsidRDefault="006F5BFE" w:rsidP="005B4D60">
            <w:pPr>
              <w:spacing w:after="120"/>
              <w:rPr>
                <w:lang w:eastAsia="en-US"/>
              </w:rPr>
            </w:pPr>
            <w:r w:rsidRPr="003B2277">
              <w:rPr>
                <w:rFonts w:eastAsia="Calibri" w:cs="Mangal"/>
                <w:lang w:eastAsia="en-US"/>
              </w:rPr>
              <w:t>(iii) trajanje pogodbe, ki se lahko sklene bodisi za določen ali nedoločen čas z določbami o odpovedi;</w:t>
            </w:r>
          </w:p>
        </w:tc>
        <w:tc>
          <w:tcPr>
            <w:tcW w:w="4876" w:type="dxa"/>
            <w:hideMark/>
          </w:tcPr>
          <w:p w14:paraId="21E0BCBF" w14:textId="74C2906D" w:rsidR="006F5BFE" w:rsidRPr="003B2277" w:rsidRDefault="006F5BFE" w:rsidP="005B4D60">
            <w:pPr>
              <w:spacing w:after="120"/>
              <w:rPr>
                <w:szCs w:val="24"/>
                <w:lang w:eastAsia="en-US"/>
              </w:rPr>
            </w:pPr>
            <w:r w:rsidRPr="003B2277">
              <w:rPr>
                <w:rFonts w:eastAsia="Calibri" w:cs="Mangal"/>
                <w:lang w:eastAsia="en-US"/>
              </w:rPr>
              <w:t>(iii) trajanje pogodbe, ki se lahko sklene bodisi za določen ali nedoločen čas z določbami o odpovedi;</w:t>
            </w:r>
          </w:p>
        </w:tc>
      </w:tr>
      <w:tr w:rsidR="006F5BFE" w:rsidRPr="003B2277" w14:paraId="5E45053C" w14:textId="36B37772" w:rsidTr="005B4D60">
        <w:trPr>
          <w:jc w:val="center"/>
        </w:trPr>
        <w:tc>
          <w:tcPr>
            <w:tcW w:w="4876" w:type="dxa"/>
          </w:tcPr>
          <w:p w14:paraId="64E6E715" w14:textId="1B77855D" w:rsidR="006F5BFE" w:rsidRPr="003B2277" w:rsidRDefault="006F5BFE" w:rsidP="005B4D60">
            <w:pPr>
              <w:spacing w:after="120"/>
              <w:rPr>
                <w:lang w:eastAsia="en-US"/>
              </w:rPr>
            </w:pPr>
            <w:r w:rsidRPr="003B2277">
              <w:rPr>
                <w:rFonts w:eastAsia="Calibri" w:cs="Mangal"/>
                <w:lang w:eastAsia="en-US"/>
              </w:rPr>
              <w:t>(iv) podrobnosti o plačilnih rokih in postopkih;</w:t>
            </w:r>
          </w:p>
        </w:tc>
        <w:tc>
          <w:tcPr>
            <w:tcW w:w="4876" w:type="dxa"/>
            <w:hideMark/>
          </w:tcPr>
          <w:p w14:paraId="093C02D3" w14:textId="7500B1D7" w:rsidR="006F5BFE" w:rsidRPr="003B2277" w:rsidRDefault="006F5BFE" w:rsidP="005B4D60">
            <w:pPr>
              <w:spacing w:after="120"/>
              <w:rPr>
                <w:szCs w:val="24"/>
                <w:lang w:eastAsia="en-US"/>
              </w:rPr>
            </w:pPr>
            <w:r w:rsidRPr="003B2277">
              <w:rPr>
                <w:rFonts w:eastAsia="Calibri" w:cs="Mangal"/>
                <w:lang w:eastAsia="en-US"/>
              </w:rPr>
              <w:t>(iv) podrobnosti o plačilnih rokih in postopkih;</w:t>
            </w:r>
          </w:p>
        </w:tc>
      </w:tr>
      <w:tr w:rsidR="006F5BFE" w:rsidRPr="003B2277" w14:paraId="7AC66D96" w14:textId="3D81B830" w:rsidTr="005B4D60">
        <w:trPr>
          <w:jc w:val="center"/>
        </w:trPr>
        <w:tc>
          <w:tcPr>
            <w:tcW w:w="4876" w:type="dxa"/>
          </w:tcPr>
          <w:p w14:paraId="18E6AB90" w14:textId="2247C4DF" w:rsidR="006F5BFE" w:rsidRPr="003B2277" w:rsidRDefault="006F5BFE" w:rsidP="005B4D60">
            <w:pPr>
              <w:spacing w:after="120"/>
              <w:rPr>
                <w:lang w:eastAsia="en-US"/>
              </w:rPr>
            </w:pPr>
            <w:r w:rsidRPr="003B2277">
              <w:rPr>
                <w:rFonts w:eastAsia="Calibri" w:cs="Mangal"/>
                <w:lang w:eastAsia="en-US"/>
              </w:rPr>
              <w:t>(v) načine zbiranja ali oddaje surovega mleka ter</w:t>
            </w:r>
          </w:p>
        </w:tc>
        <w:tc>
          <w:tcPr>
            <w:tcW w:w="4876" w:type="dxa"/>
            <w:hideMark/>
          </w:tcPr>
          <w:p w14:paraId="645061D7" w14:textId="7943EA55" w:rsidR="006F5BFE" w:rsidRPr="003B2277" w:rsidRDefault="006F5BFE" w:rsidP="005B4D60">
            <w:pPr>
              <w:spacing w:after="120"/>
              <w:rPr>
                <w:szCs w:val="24"/>
                <w:lang w:eastAsia="en-US"/>
              </w:rPr>
            </w:pPr>
            <w:r w:rsidRPr="003B2277">
              <w:rPr>
                <w:rFonts w:eastAsia="Calibri" w:cs="Mangal"/>
                <w:lang w:eastAsia="en-US"/>
              </w:rPr>
              <w:t>(v) načine zbiranja ali oddaje surovega mleka ter</w:t>
            </w:r>
          </w:p>
        </w:tc>
      </w:tr>
      <w:tr w:rsidR="006F5BFE" w:rsidRPr="003B2277" w14:paraId="581ED921" w14:textId="2799F5FF" w:rsidTr="005B4D60">
        <w:trPr>
          <w:jc w:val="center"/>
        </w:trPr>
        <w:tc>
          <w:tcPr>
            <w:tcW w:w="4876" w:type="dxa"/>
          </w:tcPr>
          <w:p w14:paraId="296716B1" w14:textId="4325E74B" w:rsidR="006F5BFE" w:rsidRPr="003B2277" w:rsidRDefault="006F5BFE" w:rsidP="005B4D60">
            <w:pPr>
              <w:spacing w:after="120"/>
              <w:rPr>
                <w:lang w:eastAsia="en-US"/>
              </w:rPr>
            </w:pPr>
            <w:r w:rsidRPr="003B2277">
              <w:rPr>
                <w:rFonts w:eastAsia="Calibri" w:cs="Mangal"/>
                <w:lang w:eastAsia="en-US"/>
              </w:rPr>
              <w:t>(vi) pravila, ki se uporabljajo v primeru višje sile.</w:t>
            </w:r>
          </w:p>
        </w:tc>
        <w:tc>
          <w:tcPr>
            <w:tcW w:w="4876" w:type="dxa"/>
            <w:hideMark/>
          </w:tcPr>
          <w:p w14:paraId="72DE603C" w14:textId="4DF4136C" w:rsidR="006F5BFE" w:rsidRPr="003B2277" w:rsidRDefault="006F5BFE" w:rsidP="005B4D60">
            <w:pPr>
              <w:spacing w:after="120"/>
              <w:rPr>
                <w:szCs w:val="24"/>
                <w:lang w:eastAsia="en-US"/>
              </w:rPr>
            </w:pPr>
            <w:r w:rsidRPr="003B2277">
              <w:rPr>
                <w:rFonts w:eastAsia="Calibri" w:cs="Mangal"/>
                <w:lang w:eastAsia="en-US"/>
              </w:rPr>
              <w:t>(vi) pravila, ki se uporabljajo v primeru višje sile.</w:t>
            </w:r>
          </w:p>
        </w:tc>
      </w:tr>
      <w:tr w:rsidR="006F5BFE" w:rsidRPr="003B2277" w14:paraId="2C640834" w14:textId="58FD18E3" w:rsidTr="005B4D60">
        <w:trPr>
          <w:jc w:val="center"/>
        </w:trPr>
        <w:tc>
          <w:tcPr>
            <w:tcW w:w="4876" w:type="dxa"/>
          </w:tcPr>
          <w:p w14:paraId="327CA03B" w14:textId="27F383FE"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Z odstopanjem od odstavkov 1 in 1a se pogodba in/ali ponudba pogodbe ne zahteva, kadar član zadruge odda surovo mleko zadrugi, katere član je, če statut te zadruge ali pravila in odločitve, ki so v njem določeni ali iz njega izhajajo, vsebujejo določbe s podobnimi učinki, kot jih imajo določbe iz točk (a), (b) in (c) odstavka 2.</w:t>
            </w:r>
          </w:p>
        </w:tc>
        <w:tc>
          <w:tcPr>
            <w:tcW w:w="4876" w:type="dxa"/>
            <w:hideMark/>
          </w:tcPr>
          <w:p w14:paraId="721BB7B8" w14:textId="7631364D"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Z odstopanjem od odstavkov 1 in 1a se pogodba in/ali ponudba pogodbe ne zahteva, kadar član zadruge odda surovo mleko zadrugi, katere član je, če statut te zadruge ali pravila in odločitve, ki so v njem določeni ali iz njega izhajajo, vsebujejo določbe s podobnimi učinki, kot jih imajo določbe iz točk (a), (b) in (c) odstavka 2.</w:t>
            </w:r>
          </w:p>
        </w:tc>
      </w:tr>
      <w:tr w:rsidR="006F5BFE" w:rsidRPr="003B2277" w14:paraId="7004DBE8" w14:textId="3F50321E" w:rsidTr="005B4D60">
        <w:trPr>
          <w:jc w:val="center"/>
        </w:trPr>
        <w:tc>
          <w:tcPr>
            <w:tcW w:w="4876" w:type="dxa"/>
          </w:tcPr>
          <w:p w14:paraId="149B7E32" w14:textId="610FAD01"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Stranki se prosto pogajata o vseh elementih pogodb za oddajo surovega mleka, ki jih sklenejo kmetje, zbiralci ali predelovalci surovega mleka, vključno z elementi iz točke (c) odstavka 2.</w:t>
            </w:r>
          </w:p>
        </w:tc>
        <w:tc>
          <w:tcPr>
            <w:tcW w:w="4876" w:type="dxa"/>
            <w:hideMark/>
          </w:tcPr>
          <w:p w14:paraId="2C450CB2" w14:textId="1BA5B652"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Stranki se prosto pogajata o vseh elementih pogodb za oddajo surovega mleka, ki jih sklenejo kmetje, zbiralci ali predelovalci surovega mleka, vključno z elementi iz točke (c) odstavka 2.</w:t>
            </w:r>
          </w:p>
        </w:tc>
      </w:tr>
      <w:tr w:rsidR="006F5BFE" w:rsidRPr="003B2277" w14:paraId="71579E04" w14:textId="600B51B8" w:rsidTr="005B4D60">
        <w:trPr>
          <w:jc w:val="center"/>
        </w:trPr>
        <w:tc>
          <w:tcPr>
            <w:tcW w:w="4876" w:type="dxa"/>
          </w:tcPr>
          <w:p w14:paraId="05754BEB" w14:textId="3D7B51EB" w:rsidR="006F5BFE" w:rsidRPr="003B2277" w:rsidRDefault="006F5BFE" w:rsidP="005B4D60">
            <w:pPr>
              <w:spacing w:after="120"/>
              <w:rPr>
                <w:lang w:eastAsia="en-US"/>
              </w:rPr>
            </w:pPr>
            <w:r w:rsidRPr="003B2277">
              <w:rPr>
                <w:rFonts w:eastAsia="Calibri" w:cs="Mangal"/>
                <w:lang w:eastAsia="en-US"/>
              </w:rPr>
              <w:t>Ne glede na prvi pododstavek se uporablja ena ali več od naslednjih točk:</w:t>
            </w:r>
          </w:p>
        </w:tc>
        <w:tc>
          <w:tcPr>
            <w:tcW w:w="4876" w:type="dxa"/>
            <w:hideMark/>
          </w:tcPr>
          <w:p w14:paraId="7FEE3AED" w14:textId="5BD39BC2" w:rsidR="006F5BFE" w:rsidRPr="003B2277" w:rsidRDefault="006F5BFE" w:rsidP="005B4D60">
            <w:pPr>
              <w:spacing w:after="120"/>
              <w:rPr>
                <w:szCs w:val="24"/>
                <w:lang w:eastAsia="en-US"/>
              </w:rPr>
            </w:pPr>
            <w:r w:rsidRPr="003B2277">
              <w:rPr>
                <w:rFonts w:eastAsia="Calibri" w:cs="Mangal"/>
                <w:lang w:eastAsia="en-US"/>
              </w:rPr>
              <w:t>Ne glede na prvi pododstavek se uporablja ena ali več od naslednjih točk:</w:t>
            </w:r>
          </w:p>
        </w:tc>
      </w:tr>
      <w:tr w:rsidR="006F5BFE" w:rsidRPr="003B2277" w14:paraId="280A4BA5" w14:textId="4B6F116A" w:rsidTr="005B4D60">
        <w:trPr>
          <w:jc w:val="center"/>
        </w:trPr>
        <w:tc>
          <w:tcPr>
            <w:tcW w:w="4876" w:type="dxa"/>
          </w:tcPr>
          <w:p w14:paraId="4955EC79" w14:textId="06A158D0" w:rsidR="006F5BFE" w:rsidRPr="003B2277" w:rsidRDefault="006F5BFE" w:rsidP="005B4D60">
            <w:pPr>
              <w:spacing w:after="120"/>
              <w:rPr>
                <w:lang w:eastAsia="en-US"/>
              </w:rPr>
            </w:pPr>
            <w:r w:rsidRPr="003B2277">
              <w:rPr>
                <w:rFonts w:eastAsia="Calibri" w:cs="Mangal"/>
                <w:lang w:eastAsia="en-US"/>
              </w:rPr>
              <w:t>(a) kadar se država članica odloči, da je v skladu z odstavkom 1 pisna pogodba za oddajo surovega mleka obvezna, lahko določi:</w:t>
            </w:r>
          </w:p>
        </w:tc>
        <w:tc>
          <w:tcPr>
            <w:tcW w:w="4876" w:type="dxa"/>
            <w:hideMark/>
          </w:tcPr>
          <w:p w14:paraId="005DC2E4" w14:textId="78CF8004" w:rsidR="006F5BFE" w:rsidRPr="003B2277" w:rsidRDefault="006F5BFE" w:rsidP="005B4D60">
            <w:pPr>
              <w:spacing w:after="120"/>
              <w:rPr>
                <w:szCs w:val="24"/>
                <w:lang w:eastAsia="en-US"/>
              </w:rPr>
            </w:pPr>
            <w:r w:rsidRPr="003B2277">
              <w:rPr>
                <w:rFonts w:eastAsia="Calibri" w:cs="Mangal"/>
                <w:lang w:eastAsia="en-US"/>
              </w:rPr>
              <w:t>(a) kadar se država članica odloči, da je v skladu z odstavkom 1 pisna pogodba za oddajo surovega mleka obvezna, lahko določi:</w:t>
            </w:r>
          </w:p>
        </w:tc>
      </w:tr>
      <w:tr w:rsidR="006F5BFE" w:rsidRPr="003B2277" w14:paraId="786EDA06" w14:textId="6848BB91" w:rsidTr="005B4D60">
        <w:trPr>
          <w:jc w:val="center"/>
        </w:trPr>
        <w:tc>
          <w:tcPr>
            <w:tcW w:w="4876" w:type="dxa"/>
          </w:tcPr>
          <w:p w14:paraId="2E04AFDE" w14:textId="2457EF78" w:rsidR="006F5BFE" w:rsidRPr="003B2277" w:rsidRDefault="006F5BFE" w:rsidP="005B4D60">
            <w:pPr>
              <w:spacing w:after="120"/>
              <w:rPr>
                <w:lang w:eastAsia="en-US"/>
              </w:rPr>
            </w:pPr>
            <w:r w:rsidRPr="003B2277">
              <w:rPr>
                <w:rFonts w:eastAsia="Calibri" w:cs="Mangal"/>
                <w:lang w:eastAsia="en-US"/>
              </w:rPr>
              <w:t>(i) obveznost strank, da se morajo dogovoriti o razmerju med določeno dobavljeno količino in ceno, ki se plača za to dobavo;</w:t>
            </w:r>
          </w:p>
        </w:tc>
        <w:tc>
          <w:tcPr>
            <w:tcW w:w="4876" w:type="dxa"/>
            <w:hideMark/>
          </w:tcPr>
          <w:p w14:paraId="04DB9EFC" w14:textId="4CEE2D32" w:rsidR="006F5BFE" w:rsidRPr="003B2277" w:rsidRDefault="006F5BFE" w:rsidP="005B4D60">
            <w:pPr>
              <w:spacing w:after="120"/>
              <w:rPr>
                <w:szCs w:val="24"/>
                <w:lang w:eastAsia="en-US"/>
              </w:rPr>
            </w:pPr>
            <w:r w:rsidRPr="003B2277">
              <w:rPr>
                <w:rFonts w:eastAsia="Calibri" w:cs="Mangal"/>
                <w:lang w:eastAsia="en-US"/>
              </w:rPr>
              <w:t>(i) obveznost strank, da se morajo dogovoriti o razmerju med določeno dobavljeno količino in ceno, ki se plača za to dobavo;</w:t>
            </w:r>
          </w:p>
        </w:tc>
      </w:tr>
      <w:tr w:rsidR="006F5BFE" w:rsidRPr="003B2277" w14:paraId="3D0F7459" w14:textId="57A83FA5" w:rsidTr="005B4D60">
        <w:trPr>
          <w:jc w:val="center"/>
        </w:trPr>
        <w:tc>
          <w:tcPr>
            <w:tcW w:w="4876" w:type="dxa"/>
          </w:tcPr>
          <w:p w14:paraId="4FAF0606" w14:textId="6ABCA535" w:rsidR="006F5BFE" w:rsidRPr="003B2277" w:rsidRDefault="006F5BFE" w:rsidP="005B4D60">
            <w:pPr>
              <w:spacing w:after="120"/>
              <w:rPr>
                <w:lang w:eastAsia="en-US"/>
              </w:rPr>
            </w:pPr>
            <w:r w:rsidRPr="003B2277">
              <w:rPr>
                <w:rFonts w:eastAsia="Calibri" w:cs="Mangal"/>
                <w:lang w:eastAsia="en-US"/>
              </w:rPr>
              <w:t>(ii) minimalno trajanje, ki se uporablja samo za pisne pogodbe med kmetom in prvim kupcem surovega mleka; tako minimalno trajanje pogodbe je vsaj šest mesecev in ne škoduje pravilnemu delovanju notranjega trga;</w:t>
            </w:r>
          </w:p>
        </w:tc>
        <w:tc>
          <w:tcPr>
            <w:tcW w:w="4876" w:type="dxa"/>
            <w:hideMark/>
          </w:tcPr>
          <w:p w14:paraId="0886F91D" w14:textId="76AFF71E" w:rsidR="006F5BFE" w:rsidRPr="003B2277" w:rsidRDefault="006F5BFE" w:rsidP="005B4D60">
            <w:pPr>
              <w:spacing w:after="120"/>
              <w:rPr>
                <w:szCs w:val="24"/>
                <w:lang w:eastAsia="en-US"/>
              </w:rPr>
            </w:pPr>
            <w:r w:rsidRPr="003B2277">
              <w:rPr>
                <w:rFonts w:eastAsia="Calibri" w:cs="Mangal"/>
                <w:lang w:eastAsia="en-US"/>
              </w:rPr>
              <w:t>(ii) minimalno trajanje, ki se uporablja samo za pisne pogodbe med kmetom in prvim kupcem surovega mleka; tako minimalno trajanje pogodbe je vsaj šest mesecev in ne škoduje pravilnemu delovanju notranjega trga;</w:t>
            </w:r>
          </w:p>
        </w:tc>
      </w:tr>
      <w:tr w:rsidR="006F5BFE" w:rsidRPr="003B2277" w14:paraId="705D2663" w14:textId="35D487C9" w:rsidTr="005B4D60">
        <w:trPr>
          <w:jc w:val="center"/>
        </w:trPr>
        <w:tc>
          <w:tcPr>
            <w:tcW w:w="4876" w:type="dxa"/>
          </w:tcPr>
          <w:p w14:paraId="14EF579F" w14:textId="779E4700" w:rsidR="006F5BFE" w:rsidRPr="003B2277" w:rsidRDefault="006F5BFE" w:rsidP="005B4D60">
            <w:pPr>
              <w:spacing w:after="120"/>
              <w:rPr>
                <w:lang w:eastAsia="en-US"/>
              </w:rPr>
            </w:pPr>
            <w:r w:rsidRPr="003B2277">
              <w:rPr>
                <w:rFonts w:eastAsia="Calibri" w:cs="Mangal"/>
                <w:lang w:eastAsia="en-US"/>
              </w:rPr>
              <w:t>(b) kadar država članica odloči, da mora prvi kupec surovega mleka pripraviti pisno ponudbo pogodbe za kmeta v skladu z odstavkom 1, lahko določi, da mora ponudba vsebovati minimalno trajanje pogodbe, ki je določeno v nacionalni zakonodaji za ta namen; tako minimalno trajanje pogodbe je vsaj šest mesecev in ne škoduje pravilnemu delovanju notranjega trga;</w:t>
            </w:r>
          </w:p>
        </w:tc>
        <w:tc>
          <w:tcPr>
            <w:tcW w:w="4876" w:type="dxa"/>
            <w:hideMark/>
          </w:tcPr>
          <w:p w14:paraId="3D0127B5" w14:textId="2E6362DD" w:rsidR="006F5BFE" w:rsidRPr="003B2277" w:rsidRDefault="006F5BFE" w:rsidP="005B4D60">
            <w:pPr>
              <w:spacing w:after="120"/>
              <w:rPr>
                <w:szCs w:val="24"/>
                <w:lang w:eastAsia="en-US"/>
              </w:rPr>
            </w:pPr>
            <w:r w:rsidRPr="003B2277">
              <w:rPr>
                <w:rFonts w:eastAsia="Calibri" w:cs="Mangal"/>
                <w:lang w:eastAsia="en-US"/>
              </w:rPr>
              <w:t>(b) kadar država članica odloči, da mora prvi kupec surovega mleka pripraviti pisno ponudbo pogodbe za kmeta v skladu z odstavkom 1, lahko določi, da mora ponudba vsebovati minimalno trajanje pogodbe, ki je določeno v nacionalni zakonodaji za ta namen; tako minimalno trajanje pogodbe je vsaj šest mesecev in ne škoduje pravilnemu delovanju notranjega trga;</w:t>
            </w:r>
          </w:p>
        </w:tc>
      </w:tr>
      <w:tr w:rsidR="006F5BFE" w:rsidRPr="003B2277" w14:paraId="650AF72D" w14:textId="1704D2A5" w:rsidTr="005B4D60">
        <w:trPr>
          <w:jc w:val="center"/>
        </w:trPr>
        <w:tc>
          <w:tcPr>
            <w:tcW w:w="4876" w:type="dxa"/>
          </w:tcPr>
          <w:p w14:paraId="4096A9C9" w14:textId="1EB9DA3F" w:rsidR="006F5BFE" w:rsidRPr="003B2277" w:rsidRDefault="006F5BFE" w:rsidP="005B4D60">
            <w:pPr>
              <w:spacing w:after="120"/>
              <w:rPr>
                <w:lang w:eastAsia="en-US"/>
              </w:rPr>
            </w:pPr>
            <w:r w:rsidRPr="003B2277">
              <w:rPr>
                <w:rFonts w:eastAsia="Calibri" w:cs="Mangal"/>
                <w:lang w:eastAsia="en-US"/>
              </w:rPr>
              <w:t>Drugi pododstavek ne posega v pravico kmeta, da zavrne tako minimalno trajanje, pod pogojem, da to stori pisno. V takem primeru se stranki prosto pogajata o vseh elementih pogodbe, tudi o elementih iz točke (c) odstavka 2.</w:t>
            </w:r>
          </w:p>
        </w:tc>
        <w:tc>
          <w:tcPr>
            <w:tcW w:w="4876" w:type="dxa"/>
            <w:hideMark/>
          </w:tcPr>
          <w:p w14:paraId="6EFC6DBE" w14:textId="35BFB80E" w:rsidR="006F5BFE" w:rsidRPr="003B2277" w:rsidRDefault="006F5BFE" w:rsidP="005B4D60">
            <w:pPr>
              <w:spacing w:after="120"/>
              <w:rPr>
                <w:szCs w:val="24"/>
                <w:lang w:eastAsia="en-US"/>
              </w:rPr>
            </w:pPr>
            <w:r w:rsidRPr="003B2277">
              <w:rPr>
                <w:rFonts w:eastAsia="Calibri" w:cs="Mangal"/>
                <w:lang w:eastAsia="en-US"/>
              </w:rPr>
              <w:t>Drugi pododstavek ne posega v pravico kmeta, da zavrne tako minimalno trajanje, pod pogojem, da to stori pisno. V takem primeru se stranki prosto pogajata o vseh elementih pogodbe, tudi o elementih iz točke (c) odstavka 2.</w:t>
            </w:r>
          </w:p>
        </w:tc>
      </w:tr>
      <w:tr w:rsidR="006F5BFE" w:rsidRPr="003B2277" w14:paraId="695FA177" w14:textId="1EA5B94D" w:rsidTr="005B4D60">
        <w:trPr>
          <w:jc w:val="center"/>
        </w:trPr>
        <w:tc>
          <w:tcPr>
            <w:tcW w:w="4876" w:type="dxa"/>
          </w:tcPr>
          <w:p w14:paraId="70B95B93" w14:textId="589074B1"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Države članice, ki uporabljajo možnosti iz tega člena, o načinu njihove uporabe uradno obvestijo Komisijo.</w:t>
            </w:r>
          </w:p>
        </w:tc>
        <w:tc>
          <w:tcPr>
            <w:tcW w:w="4876" w:type="dxa"/>
            <w:hideMark/>
          </w:tcPr>
          <w:p w14:paraId="11FB1BA1" w14:textId="6D0CC9C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Države članice, ki uporabljajo možnosti iz tega člena, o načinu njihove uporabe uradno obvestijo Komisijo.</w:t>
            </w:r>
          </w:p>
        </w:tc>
      </w:tr>
      <w:tr w:rsidR="006F5BFE" w:rsidRPr="003B2277" w14:paraId="3FFB1E5F" w14:textId="6C54B7AC" w:rsidTr="005B4D60">
        <w:trPr>
          <w:jc w:val="center"/>
        </w:trPr>
        <w:tc>
          <w:tcPr>
            <w:tcW w:w="4876" w:type="dxa"/>
          </w:tcPr>
          <w:p w14:paraId="14C231FE" w14:textId="6050675D"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Komisija lahko sprejme izvedbene akte, s katerimi določi ukrepe, potrebne za enotno uporabo točk (a) in (b) odstavka 2 in odstavka 3 tega člena, in ukrepe za uradna obvestila držav članic v skladu s tem členom. Ti izvedbeni akti se sprejmejo v skladu s postopkom pregleda iz člena 229(2).</w:t>
            </w:r>
          </w:p>
        </w:tc>
        <w:tc>
          <w:tcPr>
            <w:tcW w:w="4876" w:type="dxa"/>
            <w:hideMark/>
          </w:tcPr>
          <w:p w14:paraId="790495FE" w14:textId="5DED1BEA"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Komisija lahko sprejme izvedbene akte, s katerimi določi ukrepe, potrebne za enotno uporabo točk (a) in (b) odstavka 2 in odstavka 3 tega člena, in ukrepe za uradna obvestila držav članic v skladu s tem členom. Ti izvedbeni akti se sprejmejo v skladu s postopkom pregleda iz člena 229(2).</w:t>
            </w:r>
            <w:r w:rsidRPr="003B2277">
              <w:rPr>
                <w:rFonts w:eastAsia="Calibri" w:cs="Mangal"/>
                <w:b/>
                <w:i/>
                <w:lang w:eastAsia="en-US"/>
              </w:rPr>
              <w:t>“</w:t>
            </w:r>
          </w:p>
        </w:tc>
      </w:tr>
    </w:tbl>
    <w:p w14:paraId="0B469F48" w14:textId="0EF2A3D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110</w:t>
      </w:r>
    </w:p>
    <w:p w14:paraId="2F594248" w14:textId="77777777" w:rsidR="006F5BFE" w:rsidRPr="003B2277" w:rsidRDefault="006F5BFE" w:rsidP="006F5BFE"/>
    <w:p w14:paraId="0E5095AE" w14:textId="77777777" w:rsidR="006F5BFE" w:rsidRPr="003B2277" w:rsidRDefault="006F5BFE" w:rsidP="006F5BFE">
      <w:pPr>
        <w:keepNext/>
        <w:rPr>
          <w:b/>
          <w:lang w:eastAsia="en-US"/>
        </w:rPr>
      </w:pPr>
      <w:r w:rsidRPr="003B2277">
        <w:rPr>
          <w:rFonts w:eastAsia="Calibri" w:cs="Mangal"/>
          <w:b/>
          <w:lang w:eastAsia="en-US"/>
        </w:rPr>
        <w:t>Predlog uredbe</w:t>
      </w:r>
    </w:p>
    <w:p w14:paraId="448AFFAA" w14:textId="77777777" w:rsidR="006F5BFE" w:rsidRPr="003B2277" w:rsidRDefault="006F5BFE" w:rsidP="006F5BFE">
      <w:pPr>
        <w:rPr>
          <w:b/>
          <w:lang w:eastAsia="en-US"/>
        </w:rPr>
      </w:pPr>
      <w:r w:rsidRPr="003B2277">
        <w:rPr>
          <w:rFonts w:eastAsia="Calibri" w:cs="Mangal"/>
          <w:b/>
          <w:lang w:eastAsia="en-US"/>
        </w:rPr>
        <w:t>Člen 1 – odstavek 1 – točka 22 b (novo)</w:t>
      </w:r>
    </w:p>
    <w:p w14:paraId="237EF33A" w14:textId="77777777" w:rsidR="006F5BFE" w:rsidRPr="003B2277" w:rsidRDefault="006F5BFE" w:rsidP="006F5BFE">
      <w:pPr>
        <w:keepNext/>
        <w:rPr>
          <w:lang w:eastAsia="en-US"/>
        </w:rPr>
      </w:pPr>
      <w:r w:rsidRPr="003B2277">
        <w:rPr>
          <w:rFonts w:eastAsia="Calibri" w:cs="Mangal"/>
          <w:lang w:eastAsia="en-US"/>
        </w:rPr>
        <w:t>Uredba (EU) št. 1308/2013</w:t>
      </w:r>
    </w:p>
    <w:p w14:paraId="5845C313" w14:textId="77777777" w:rsidR="006F5BFE" w:rsidRPr="003B2277" w:rsidRDefault="006F5BFE" w:rsidP="006F5BFE">
      <w:pPr>
        <w:rPr>
          <w:lang w:eastAsia="en-US"/>
        </w:rPr>
      </w:pPr>
      <w:r w:rsidRPr="003B2277">
        <w:rPr>
          <w:rFonts w:eastAsia="Calibri" w:cs="Mangal"/>
          <w:lang w:eastAsia="en-US"/>
        </w:rPr>
        <w:t>Člen 149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0007B78" w14:textId="77777777" w:rsidTr="005B4D60">
        <w:trPr>
          <w:jc w:val="center"/>
        </w:trPr>
        <w:tc>
          <w:tcPr>
            <w:tcW w:w="9752" w:type="dxa"/>
            <w:gridSpan w:val="2"/>
          </w:tcPr>
          <w:p w14:paraId="075982ED" w14:textId="77777777" w:rsidR="006F5BFE" w:rsidRPr="003B2277" w:rsidRDefault="006F5BFE" w:rsidP="005B4D60">
            <w:pPr>
              <w:keepNext/>
            </w:pPr>
          </w:p>
        </w:tc>
      </w:tr>
      <w:tr w:rsidR="006F5BFE" w:rsidRPr="003B2277" w14:paraId="326CA650" w14:textId="77777777" w:rsidTr="005B4D60">
        <w:trPr>
          <w:jc w:val="center"/>
        </w:trPr>
        <w:tc>
          <w:tcPr>
            <w:tcW w:w="4876" w:type="dxa"/>
            <w:hideMark/>
          </w:tcPr>
          <w:p w14:paraId="7D8D5500"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202D9DC" w14:textId="0D85543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783F431" w14:textId="77777777" w:rsidTr="005B4D60">
        <w:trPr>
          <w:jc w:val="center"/>
        </w:trPr>
        <w:tc>
          <w:tcPr>
            <w:tcW w:w="4876" w:type="dxa"/>
          </w:tcPr>
          <w:p w14:paraId="0D35194B" w14:textId="77777777" w:rsidR="006F5BFE" w:rsidRPr="003B2277" w:rsidRDefault="006F5BFE" w:rsidP="005B4D60">
            <w:pPr>
              <w:spacing w:after="120"/>
            </w:pPr>
          </w:p>
        </w:tc>
        <w:tc>
          <w:tcPr>
            <w:tcW w:w="4876" w:type="dxa"/>
            <w:hideMark/>
          </w:tcPr>
          <w:p w14:paraId="4917F7A3" w14:textId="77777777" w:rsidR="006F5BFE" w:rsidRPr="003B2277" w:rsidRDefault="006F5BFE" w:rsidP="005B4D60">
            <w:pPr>
              <w:spacing w:after="120"/>
              <w:rPr>
                <w:szCs w:val="24"/>
                <w:lang w:eastAsia="en-US"/>
              </w:rPr>
            </w:pPr>
            <w:r w:rsidRPr="003B2277">
              <w:rPr>
                <w:rFonts w:eastAsia="Calibri" w:cs="Mangal"/>
                <w:b/>
                <w:i/>
                <w:lang w:eastAsia="en-US"/>
              </w:rPr>
              <w:t>(22b)</w:t>
            </w:r>
            <w:r w:rsidRPr="003B2277">
              <w:rPr>
                <w:rFonts w:eastAsia="Calibri" w:cs="Mangal"/>
                <w:b/>
                <w:i/>
                <w:lang w:eastAsia="en-US"/>
              </w:rPr>
              <w:tab/>
              <w:t>člen 149 se nadomesti z naslednjim:</w:t>
            </w:r>
          </w:p>
        </w:tc>
      </w:tr>
      <w:tr w:rsidR="006F5BFE" w:rsidRPr="003B2277" w14:paraId="04C0405E" w14:textId="77777777" w:rsidTr="005B4D60">
        <w:trPr>
          <w:jc w:val="center"/>
        </w:trPr>
        <w:tc>
          <w:tcPr>
            <w:tcW w:w="4876" w:type="dxa"/>
            <w:hideMark/>
          </w:tcPr>
          <w:p w14:paraId="5C3BDCAF" w14:textId="77777777" w:rsidR="006F5BFE" w:rsidRPr="003B2277" w:rsidRDefault="006F5BFE" w:rsidP="005B4D60">
            <w:pPr>
              <w:spacing w:after="120"/>
              <w:rPr>
                <w:lang w:eastAsia="en-US"/>
              </w:rPr>
            </w:pPr>
            <w:r w:rsidRPr="003B2277">
              <w:rPr>
                <w:rFonts w:eastAsia="Calibri" w:cs="Mangal"/>
                <w:lang w:eastAsia="en-US"/>
              </w:rPr>
              <w:t>Člen 149</w:t>
            </w:r>
          </w:p>
        </w:tc>
        <w:tc>
          <w:tcPr>
            <w:tcW w:w="4876" w:type="dxa"/>
            <w:hideMark/>
          </w:tcPr>
          <w:p w14:paraId="7F8DFA17"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149</w:t>
            </w:r>
          </w:p>
        </w:tc>
      </w:tr>
      <w:tr w:rsidR="006F5BFE" w:rsidRPr="003B2277" w14:paraId="0EF028EF" w14:textId="77777777" w:rsidTr="005B4D60">
        <w:trPr>
          <w:jc w:val="center"/>
        </w:trPr>
        <w:tc>
          <w:tcPr>
            <w:tcW w:w="4876" w:type="dxa"/>
            <w:hideMark/>
          </w:tcPr>
          <w:p w14:paraId="5E71FAF0" w14:textId="77777777" w:rsidR="006F5BFE" w:rsidRPr="003B2277" w:rsidRDefault="006F5BFE" w:rsidP="005B4D60">
            <w:pPr>
              <w:spacing w:after="120"/>
              <w:rPr>
                <w:lang w:eastAsia="en-US"/>
              </w:rPr>
            </w:pPr>
            <w:r w:rsidRPr="003B2277">
              <w:rPr>
                <w:rFonts w:eastAsia="Calibri" w:cs="Mangal"/>
                <w:lang w:eastAsia="en-US"/>
              </w:rPr>
              <w:t>Pogodbena pogajanja v sektorju mleka in mlečnih proizvodov</w:t>
            </w:r>
          </w:p>
        </w:tc>
        <w:tc>
          <w:tcPr>
            <w:tcW w:w="4876" w:type="dxa"/>
            <w:hideMark/>
          </w:tcPr>
          <w:p w14:paraId="55B4AA25" w14:textId="77777777" w:rsidR="006F5BFE" w:rsidRPr="003B2277" w:rsidRDefault="006F5BFE" w:rsidP="005B4D60">
            <w:pPr>
              <w:spacing w:after="120"/>
              <w:rPr>
                <w:szCs w:val="24"/>
                <w:lang w:eastAsia="en-US"/>
              </w:rPr>
            </w:pPr>
            <w:r w:rsidRPr="003B2277">
              <w:rPr>
                <w:rFonts w:eastAsia="Calibri" w:cs="Mangal"/>
                <w:lang w:eastAsia="en-US"/>
              </w:rPr>
              <w:t>Pogodbena pogajanja v sektorju mleka in mlečnih proizvodov</w:t>
            </w:r>
          </w:p>
        </w:tc>
      </w:tr>
      <w:tr w:rsidR="006F5BFE" w:rsidRPr="003B2277" w14:paraId="48752478" w14:textId="77777777" w:rsidTr="005B4D60">
        <w:trPr>
          <w:jc w:val="center"/>
        </w:trPr>
        <w:tc>
          <w:tcPr>
            <w:tcW w:w="4876" w:type="dxa"/>
            <w:hideMark/>
          </w:tcPr>
          <w:p w14:paraId="2E5F03FC"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Organizacija proizvajalcev v sektorju mleka in mlečnih izdelkov, ki je priznana v skladu s členom 161(1), se lahko pogaja v imenu kmetov, ki so njeni člani, v zvezi z njihovo celotno skupno proizvodnjo ali njenim delom, o pogodbah za oddajo surovega mleka, ki jo kmet zagotovi predelovalcu surovega mleka ali zbiralcu v smislu drugega pododstavka člena 148(1).</w:t>
            </w:r>
          </w:p>
        </w:tc>
        <w:tc>
          <w:tcPr>
            <w:tcW w:w="4876" w:type="dxa"/>
            <w:hideMark/>
          </w:tcPr>
          <w:p w14:paraId="0E28A601"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Organizacija proizvajalcev v sektorju mleka in mlečnih izdelkov, ki je priznana v skladu s členom 161(1), se lahko pogaja v imenu kmetov, ki so njeni člani, v zvezi z njihovo celotno skupno proizvodnjo ali njenim delom, o pogodbah za oddajo surovega mleka, ki jo kmet zagotovi predelovalcu surovega mleka ali zbiralcu v smislu drugega pododstavka člena 148(1).</w:t>
            </w:r>
          </w:p>
        </w:tc>
      </w:tr>
      <w:tr w:rsidR="006F5BFE" w:rsidRPr="003B2277" w14:paraId="1D61E1AD" w14:textId="77777777" w:rsidTr="005B4D60">
        <w:trPr>
          <w:jc w:val="center"/>
        </w:trPr>
        <w:tc>
          <w:tcPr>
            <w:tcW w:w="4876" w:type="dxa"/>
            <w:hideMark/>
          </w:tcPr>
          <w:p w14:paraId="5104DA99"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Organizacije proizvajalcev se lahko pogajajo:</w:t>
            </w:r>
          </w:p>
        </w:tc>
        <w:tc>
          <w:tcPr>
            <w:tcW w:w="4876" w:type="dxa"/>
            <w:hideMark/>
          </w:tcPr>
          <w:p w14:paraId="4242F29A"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Organizacije proizvajalcev se lahko pogajajo:</w:t>
            </w:r>
          </w:p>
        </w:tc>
      </w:tr>
      <w:tr w:rsidR="006F5BFE" w:rsidRPr="003B2277" w14:paraId="53AFD54A" w14:textId="77777777" w:rsidTr="005B4D60">
        <w:trPr>
          <w:jc w:val="center"/>
        </w:trPr>
        <w:tc>
          <w:tcPr>
            <w:tcW w:w="4876" w:type="dxa"/>
            <w:hideMark/>
          </w:tcPr>
          <w:p w14:paraId="4F1B7A9F" w14:textId="77777777" w:rsidR="006F5BFE" w:rsidRPr="003B2277" w:rsidRDefault="006F5BFE" w:rsidP="005B4D60">
            <w:pPr>
              <w:spacing w:after="120"/>
              <w:rPr>
                <w:lang w:eastAsia="en-US"/>
              </w:rPr>
            </w:pPr>
            <w:r w:rsidRPr="003B2277">
              <w:rPr>
                <w:rFonts w:eastAsia="Calibri" w:cs="Mangal"/>
                <w:lang w:eastAsia="en-US"/>
              </w:rPr>
              <w:t>(a) ne glede na to, ali so kmetje nanjo prenesli lastništvo nad surovim mlekom ali ne;</w:t>
            </w:r>
          </w:p>
        </w:tc>
        <w:tc>
          <w:tcPr>
            <w:tcW w:w="4876" w:type="dxa"/>
            <w:hideMark/>
          </w:tcPr>
          <w:p w14:paraId="6C3BF841" w14:textId="77777777" w:rsidR="006F5BFE" w:rsidRPr="003B2277" w:rsidRDefault="006F5BFE" w:rsidP="005B4D60">
            <w:pPr>
              <w:spacing w:after="120"/>
              <w:rPr>
                <w:szCs w:val="24"/>
                <w:lang w:eastAsia="en-US"/>
              </w:rPr>
            </w:pPr>
            <w:r w:rsidRPr="003B2277">
              <w:rPr>
                <w:rFonts w:eastAsia="Calibri" w:cs="Mangal"/>
                <w:lang w:eastAsia="en-US"/>
              </w:rPr>
              <w:t>(a) ne glede na to, ali so kmetje nanjo prenesli lastništvo nad surovim mlekom ali ne;</w:t>
            </w:r>
          </w:p>
        </w:tc>
      </w:tr>
      <w:tr w:rsidR="006F5BFE" w:rsidRPr="003B2277" w14:paraId="47D47F43" w14:textId="77777777" w:rsidTr="005B4D60">
        <w:trPr>
          <w:jc w:val="center"/>
        </w:trPr>
        <w:tc>
          <w:tcPr>
            <w:tcW w:w="4876" w:type="dxa"/>
            <w:hideMark/>
          </w:tcPr>
          <w:p w14:paraId="1B966581" w14:textId="77777777" w:rsidR="006F5BFE" w:rsidRPr="003B2277" w:rsidRDefault="006F5BFE" w:rsidP="005B4D60">
            <w:pPr>
              <w:spacing w:after="120"/>
              <w:rPr>
                <w:lang w:eastAsia="en-US"/>
              </w:rPr>
            </w:pPr>
            <w:r w:rsidRPr="003B2277">
              <w:rPr>
                <w:rFonts w:eastAsia="Calibri" w:cs="Mangal"/>
                <w:lang w:eastAsia="en-US"/>
              </w:rPr>
              <w:t>(b) ne glede na to, ali je dogovorjena cena enaka, kar zadeva skupno proizvodnjo nekaterih ali vseh kmetov, ki so njeni člani, ali ne;</w:t>
            </w:r>
          </w:p>
        </w:tc>
        <w:tc>
          <w:tcPr>
            <w:tcW w:w="4876" w:type="dxa"/>
            <w:hideMark/>
          </w:tcPr>
          <w:p w14:paraId="73C0D5BC" w14:textId="77777777" w:rsidR="006F5BFE" w:rsidRPr="003B2277" w:rsidRDefault="006F5BFE" w:rsidP="005B4D60">
            <w:pPr>
              <w:spacing w:after="120"/>
              <w:rPr>
                <w:szCs w:val="24"/>
                <w:lang w:eastAsia="en-US"/>
              </w:rPr>
            </w:pPr>
            <w:r w:rsidRPr="003B2277">
              <w:rPr>
                <w:rFonts w:eastAsia="Calibri" w:cs="Mangal"/>
                <w:lang w:eastAsia="en-US"/>
              </w:rPr>
              <w:t>(b) ne glede na to, ali je dogovorjena cena enaka, kar zadeva skupno proizvodnjo nekaterih ali vseh kmetov, ki so njeni člani, ali ne;</w:t>
            </w:r>
          </w:p>
        </w:tc>
      </w:tr>
      <w:tr w:rsidR="006F5BFE" w:rsidRPr="003B2277" w14:paraId="6802E277" w14:textId="77777777" w:rsidTr="005B4D60">
        <w:trPr>
          <w:jc w:val="center"/>
        </w:trPr>
        <w:tc>
          <w:tcPr>
            <w:tcW w:w="4876" w:type="dxa"/>
            <w:hideMark/>
          </w:tcPr>
          <w:p w14:paraId="3E2311D2" w14:textId="77777777" w:rsidR="006F5BFE" w:rsidRPr="003B2277" w:rsidRDefault="006F5BFE" w:rsidP="005B4D60">
            <w:pPr>
              <w:spacing w:after="120"/>
              <w:rPr>
                <w:lang w:eastAsia="en-US"/>
              </w:rPr>
            </w:pPr>
            <w:r w:rsidRPr="003B2277">
              <w:rPr>
                <w:rFonts w:eastAsia="Calibri" w:cs="Mangal"/>
                <w:lang w:eastAsia="en-US"/>
              </w:rPr>
              <w:t>(c) pod pogojem, da za to posamezno organizacijo proizvajalcev izpolnjeni vsi od naslednjih pogojev:</w:t>
            </w:r>
          </w:p>
        </w:tc>
        <w:tc>
          <w:tcPr>
            <w:tcW w:w="4876" w:type="dxa"/>
            <w:hideMark/>
          </w:tcPr>
          <w:p w14:paraId="626F6F04" w14:textId="77777777" w:rsidR="006F5BFE" w:rsidRPr="003B2277" w:rsidRDefault="006F5BFE" w:rsidP="005B4D60">
            <w:pPr>
              <w:spacing w:after="120"/>
              <w:rPr>
                <w:szCs w:val="24"/>
                <w:lang w:eastAsia="en-US"/>
              </w:rPr>
            </w:pPr>
            <w:r w:rsidRPr="003B2277">
              <w:rPr>
                <w:rFonts w:eastAsia="Calibri" w:cs="Mangal"/>
                <w:lang w:eastAsia="en-US"/>
              </w:rPr>
              <w:t>(c) pod pogojem, da za to posamezno organizacijo proizvajalcev izpolnjeni vsi od naslednjih pogojev:</w:t>
            </w:r>
          </w:p>
        </w:tc>
      </w:tr>
      <w:tr w:rsidR="006F5BFE" w:rsidRPr="003B2277" w14:paraId="550C7F4E" w14:textId="77777777" w:rsidTr="005B4D60">
        <w:trPr>
          <w:jc w:val="center"/>
        </w:trPr>
        <w:tc>
          <w:tcPr>
            <w:tcW w:w="4876" w:type="dxa"/>
            <w:hideMark/>
          </w:tcPr>
          <w:p w14:paraId="51B6CC4A" w14:textId="77777777" w:rsidR="006F5BFE" w:rsidRPr="003B2277" w:rsidRDefault="006F5BFE" w:rsidP="005B4D60">
            <w:pPr>
              <w:spacing w:after="120"/>
              <w:rPr>
                <w:lang w:eastAsia="en-US"/>
              </w:rPr>
            </w:pPr>
            <w:r w:rsidRPr="003B2277">
              <w:rPr>
                <w:rFonts w:eastAsia="Calibri" w:cs="Mangal"/>
                <w:lang w:eastAsia="en-US"/>
              </w:rPr>
              <w:t xml:space="preserve">(i) količina surovega mleka, o kateri se tako pogaja, ne presega </w:t>
            </w:r>
            <w:r w:rsidRPr="003B2277">
              <w:rPr>
                <w:rFonts w:eastAsia="Calibri" w:cs="Mangal"/>
                <w:b/>
                <w:i/>
                <w:lang w:eastAsia="en-US"/>
              </w:rPr>
              <w:t xml:space="preserve">3,5 % </w:t>
            </w:r>
            <w:r w:rsidRPr="003B2277">
              <w:rPr>
                <w:rFonts w:eastAsia="Calibri" w:cs="Mangal"/>
                <w:lang w:eastAsia="en-US"/>
              </w:rPr>
              <w:t>celotne proizvodnje Unije;</w:t>
            </w:r>
          </w:p>
        </w:tc>
        <w:tc>
          <w:tcPr>
            <w:tcW w:w="4876" w:type="dxa"/>
            <w:hideMark/>
          </w:tcPr>
          <w:p w14:paraId="6CC823A6" w14:textId="77777777" w:rsidR="006F5BFE" w:rsidRPr="003B2277" w:rsidRDefault="006F5BFE" w:rsidP="005B4D60">
            <w:pPr>
              <w:spacing w:after="120"/>
              <w:rPr>
                <w:szCs w:val="24"/>
                <w:lang w:eastAsia="en-US"/>
              </w:rPr>
            </w:pPr>
            <w:r w:rsidRPr="003B2277">
              <w:rPr>
                <w:rFonts w:eastAsia="Calibri" w:cs="Mangal"/>
                <w:lang w:eastAsia="en-US"/>
              </w:rPr>
              <w:t xml:space="preserve">(i) količina surovega mleka, o kateri se tako pogaja, ne presega </w:t>
            </w:r>
            <w:r w:rsidRPr="003B2277">
              <w:rPr>
                <w:rFonts w:eastAsia="Calibri" w:cs="Mangal"/>
                <w:b/>
                <w:i/>
                <w:lang w:eastAsia="en-US"/>
              </w:rPr>
              <w:t>4,5%</w:t>
            </w:r>
            <w:r w:rsidRPr="003B2277">
              <w:rPr>
                <w:rFonts w:eastAsia="Calibri" w:cs="Mangal"/>
                <w:lang w:eastAsia="en-US"/>
              </w:rPr>
              <w:t xml:space="preserve"> celotne proizvodnje Unije;</w:t>
            </w:r>
          </w:p>
        </w:tc>
      </w:tr>
      <w:tr w:rsidR="006F5BFE" w:rsidRPr="003B2277" w14:paraId="24A68FA6" w14:textId="77777777" w:rsidTr="005B4D60">
        <w:trPr>
          <w:jc w:val="center"/>
        </w:trPr>
        <w:tc>
          <w:tcPr>
            <w:tcW w:w="4876" w:type="dxa"/>
            <w:hideMark/>
          </w:tcPr>
          <w:p w14:paraId="5B7CB1AB" w14:textId="77777777" w:rsidR="006F5BFE" w:rsidRPr="003B2277" w:rsidRDefault="006F5BFE" w:rsidP="005B4D60">
            <w:pPr>
              <w:spacing w:after="120"/>
              <w:rPr>
                <w:lang w:eastAsia="en-US"/>
              </w:rPr>
            </w:pPr>
            <w:r w:rsidRPr="003B2277">
              <w:rPr>
                <w:rFonts w:eastAsia="Calibri" w:cs="Mangal"/>
                <w:lang w:eastAsia="en-US"/>
              </w:rPr>
              <w:t>(ii) količina surovega mleka, o kateri se tako pogaja in ki je proizvedena v kateri koli posamezni državi članici, ne presega 33 % celotne nacionalne proizvodnje te države članice ter</w:t>
            </w:r>
          </w:p>
        </w:tc>
        <w:tc>
          <w:tcPr>
            <w:tcW w:w="4876" w:type="dxa"/>
            <w:hideMark/>
          </w:tcPr>
          <w:p w14:paraId="59B8E142" w14:textId="77777777" w:rsidR="006F5BFE" w:rsidRPr="003B2277" w:rsidRDefault="006F5BFE" w:rsidP="005B4D60">
            <w:pPr>
              <w:spacing w:after="120"/>
              <w:rPr>
                <w:szCs w:val="24"/>
                <w:lang w:eastAsia="en-US"/>
              </w:rPr>
            </w:pPr>
            <w:r w:rsidRPr="003B2277">
              <w:rPr>
                <w:rFonts w:eastAsia="Calibri" w:cs="Mangal"/>
                <w:lang w:eastAsia="en-US"/>
              </w:rPr>
              <w:t>(ii) količina surovega mleka, o kateri se tako pogaja in ki je proizvedena v kateri koli posamezni državi članici, ne presega 33 % celotne nacionalne proizvodnje te države članice ter</w:t>
            </w:r>
          </w:p>
        </w:tc>
      </w:tr>
      <w:tr w:rsidR="006F5BFE" w:rsidRPr="003B2277" w14:paraId="3883020D" w14:textId="77777777" w:rsidTr="005B4D60">
        <w:trPr>
          <w:jc w:val="center"/>
        </w:trPr>
        <w:tc>
          <w:tcPr>
            <w:tcW w:w="4876" w:type="dxa"/>
            <w:hideMark/>
          </w:tcPr>
          <w:p w14:paraId="24E191A6" w14:textId="77777777" w:rsidR="006F5BFE" w:rsidRPr="003B2277" w:rsidRDefault="006F5BFE" w:rsidP="005B4D60">
            <w:pPr>
              <w:spacing w:after="120"/>
              <w:rPr>
                <w:lang w:eastAsia="en-US"/>
              </w:rPr>
            </w:pPr>
            <w:r w:rsidRPr="003B2277">
              <w:rPr>
                <w:rFonts w:eastAsia="Calibri" w:cs="Mangal"/>
                <w:lang w:eastAsia="en-US"/>
              </w:rPr>
              <w:t>(iii) količina surovega mleka, o kateri se tako pogaja in ki je oddana v kateri koli posamezni državi članici, ne presega 33 % celotne nacionalne proizvodnje te države članice;</w:t>
            </w:r>
          </w:p>
        </w:tc>
        <w:tc>
          <w:tcPr>
            <w:tcW w:w="4876" w:type="dxa"/>
            <w:hideMark/>
          </w:tcPr>
          <w:p w14:paraId="7C9D4593" w14:textId="77777777" w:rsidR="006F5BFE" w:rsidRPr="003B2277" w:rsidRDefault="006F5BFE" w:rsidP="005B4D60">
            <w:pPr>
              <w:spacing w:after="120"/>
              <w:rPr>
                <w:szCs w:val="24"/>
                <w:lang w:eastAsia="en-US"/>
              </w:rPr>
            </w:pPr>
            <w:r w:rsidRPr="003B2277">
              <w:rPr>
                <w:rFonts w:eastAsia="Calibri" w:cs="Mangal"/>
                <w:lang w:eastAsia="en-US"/>
              </w:rPr>
              <w:t>(iii) količina surovega mleka, o kateri se tako pogaja in ki je oddana v kateri koli posamezni državi članici, ne presega 33 % celotne nacionalne proizvodnje te države članice;</w:t>
            </w:r>
          </w:p>
        </w:tc>
      </w:tr>
      <w:tr w:rsidR="006F5BFE" w:rsidRPr="003B2277" w14:paraId="63895560" w14:textId="77777777" w:rsidTr="005B4D60">
        <w:trPr>
          <w:jc w:val="center"/>
        </w:trPr>
        <w:tc>
          <w:tcPr>
            <w:tcW w:w="4876" w:type="dxa"/>
            <w:hideMark/>
          </w:tcPr>
          <w:p w14:paraId="14F28B0F" w14:textId="77777777" w:rsidR="006F5BFE" w:rsidRPr="003B2277" w:rsidRDefault="006F5BFE" w:rsidP="005B4D60">
            <w:pPr>
              <w:spacing w:after="120"/>
              <w:rPr>
                <w:lang w:eastAsia="en-US"/>
              </w:rPr>
            </w:pPr>
            <w:r w:rsidRPr="003B2277">
              <w:rPr>
                <w:rFonts w:eastAsia="Calibri" w:cs="Mangal"/>
                <w:lang w:eastAsia="en-US"/>
              </w:rPr>
              <w:t>(d) če zadevni kmetje niso člani nobene druge organizacije proizvajalcev, ki se tudi pogaja o takih pogodbah v njihovem imenu; vendar lahko države članice v ustrezno utemeljenih primerih odstopajo od tega pogoja, kadar imajo kmetje ločena proizvodna obrata na različnih geografskih območjih;</w:t>
            </w:r>
          </w:p>
        </w:tc>
        <w:tc>
          <w:tcPr>
            <w:tcW w:w="4876" w:type="dxa"/>
            <w:hideMark/>
          </w:tcPr>
          <w:p w14:paraId="37CD8C3A" w14:textId="77777777" w:rsidR="006F5BFE" w:rsidRPr="003B2277" w:rsidRDefault="006F5BFE" w:rsidP="005B4D60">
            <w:pPr>
              <w:spacing w:after="120"/>
              <w:rPr>
                <w:szCs w:val="24"/>
                <w:lang w:eastAsia="en-US"/>
              </w:rPr>
            </w:pPr>
            <w:r w:rsidRPr="003B2277">
              <w:rPr>
                <w:rFonts w:eastAsia="Calibri" w:cs="Mangal"/>
                <w:lang w:eastAsia="en-US"/>
              </w:rPr>
              <w:t>(d) če zadevni kmetje niso člani nobene druge organizacije proizvajalcev, ki se tudi pogaja o takih pogodbah v njihovem imenu; vendar lahko države članice v ustrezno utemeljenih primerih odstopajo od tega pogoja, kadar imajo kmetje ločena proizvodna obrata na različnih geografskih območjih;</w:t>
            </w:r>
          </w:p>
        </w:tc>
      </w:tr>
      <w:tr w:rsidR="006F5BFE" w:rsidRPr="003B2277" w14:paraId="5A8BF6B4" w14:textId="77777777" w:rsidTr="005B4D60">
        <w:trPr>
          <w:jc w:val="center"/>
        </w:trPr>
        <w:tc>
          <w:tcPr>
            <w:tcW w:w="4876" w:type="dxa"/>
            <w:hideMark/>
          </w:tcPr>
          <w:p w14:paraId="269D2895" w14:textId="13647D6D" w:rsidR="006F5BFE" w:rsidRPr="003B2277" w:rsidRDefault="006F5BFE" w:rsidP="005B4D60">
            <w:pPr>
              <w:spacing w:after="120"/>
              <w:rPr>
                <w:lang w:eastAsia="en-US"/>
              </w:rPr>
            </w:pPr>
            <w:r w:rsidRPr="003B2277">
              <w:rPr>
                <w:rFonts w:eastAsia="Calibri" w:cs="Mangal"/>
                <w:lang w:eastAsia="en-US"/>
              </w:rPr>
              <w:t>(e) če zaradi članstva kmeta v zadrugi za surovo mleko ne velja obveznost oddaje v skladu s pogoji, določenimi v statutu te zadruge ali v pravilih in odločitvah, ki so v njem predvideni ali iz njega izhajajo, ter</w:t>
            </w:r>
          </w:p>
        </w:tc>
        <w:tc>
          <w:tcPr>
            <w:tcW w:w="4876" w:type="dxa"/>
            <w:hideMark/>
          </w:tcPr>
          <w:p w14:paraId="762A9466" w14:textId="77777777" w:rsidR="006F5BFE" w:rsidRPr="003B2277" w:rsidRDefault="006F5BFE" w:rsidP="005B4D60">
            <w:pPr>
              <w:spacing w:after="120"/>
              <w:rPr>
                <w:szCs w:val="24"/>
                <w:lang w:eastAsia="en-US"/>
              </w:rPr>
            </w:pPr>
            <w:r w:rsidRPr="003B2277">
              <w:rPr>
                <w:rFonts w:eastAsia="Calibri" w:cs="Mangal"/>
                <w:lang w:eastAsia="en-US"/>
              </w:rPr>
              <w:t>(e) če zaradi članstva kmeta v zadrugi za surovo mleko ne velja obveznost oddaje v skladu s pogoji, določenimi v statutu te zadruge ali v pravilih in odločitvah, ki so v njem predvideni ali iz njega izhajajo, ter</w:t>
            </w:r>
          </w:p>
        </w:tc>
      </w:tr>
      <w:tr w:rsidR="006F5BFE" w:rsidRPr="003B2277" w14:paraId="067D94A4" w14:textId="77777777" w:rsidTr="005B4D60">
        <w:trPr>
          <w:jc w:val="center"/>
        </w:trPr>
        <w:tc>
          <w:tcPr>
            <w:tcW w:w="4876" w:type="dxa"/>
            <w:hideMark/>
          </w:tcPr>
          <w:p w14:paraId="468435BA" w14:textId="77777777" w:rsidR="006F5BFE" w:rsidRPr="003B2277" w:rsidRDefault="006F5BFE" w:rsidP="005B4D60">
            <w:pPr>
              <w:spacing w:after="120"/>
              <w:rPr>
                <w:lang w:eastAsia="en-US"/>
              </w:rPr>
            </w:pPr>
            <w:r w:rsidRPr="003B2277">
              <w:rPr>
                <w:rFonts w:eastAsia="Calibri" w:cs="Mangal"/>
                <w:lang w:eastAsia="en-US"/>
              </w:rPr>
              <w:t>(f) če organizacija proizvajalcev pristojne organe države članice ali držav članic, v katerih deluje, uradno obvesti o količini surovega mleka, o kateri se tako pogaja.</w:t>
            </w:r>
          </w:p>
        </w:tc>
        <w:tc>
          <w:tcPr>
            <w:tcW w:w="4876" w:type="dxa"/>
            <w:hideMark/>
          </w:tcPr>
          <w:p w14:paraId="590DEE58" w14:textId="77777777" w:rsidR="006F5BFE" w:rsidRPr="003B2277" w:rsidRDefault="006F5BFE" w:rsidP="005B4D60">
            <w:pPr>
              <w:spacing w:after="120"/>
              <w:rPr>
                <w:szCs w:val="24"/>
                <w:lang w:eastAsia="en-US"/>
              </w:rPr>
            </w:pPr>
            <w:r w:rsidRPr="003B2277">
              <w:rPr>
                <w:rFonts w:eastAsia="Calibri" w:cs="Mangal"/>
                <w:lang w:eastAsia="en-US"/>
              </w:rPr>
              <w:t>(f) če organizacija proizvajalcev pristojne organe države članice ali držav članic, v katerih deluje, uradno obvesti o količini surovega mleka, o kateri se tako pogaja.</w:t>
            </w:r>
          </w:p>
        </w:tc>
      </w:tr>
      <w:tr w:rsidR="006F5BFE" w:rsidRPr="003B2277" w14:paraId="22F68B04" w14:textId="77777777" w:rsidTr="005B4D60">
        <w:trPr>
          <w:jc w:val="center"/>
        </w:trPr>
        <w:tc>
          <w:tcPr>
            <w:tcW w:w="4876" w:type="dxa"/>
            <w:hideMark/>
          </w:tcPr>
          <w:p w14:paraId="1ABC15EC"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Ne glede na pogoje, določene v točki (c)(ii) in (iii) odstavka 2, se lahko organizacija proizvajalcev pogaja v skladu z odstavkom 1, pod pogojem, da za to organizacijo proizvajalcev količina surovega mleka, o kateri se pogaja, ki se proizvede ali odda v državi članici, v kateri znaša celotna letna proizvodnja surovega mleka manj kot 500 000 ton, ne presega 45 % celotne nacionalne proizvodnje te države članice.</w:t>
            </w:r>
          </w:p>
        </w:tc>
        <w:tc>
          <w:tcPr>
            <w:tcW w:w="4876" w:type="dxa"/>
            <w:hideMark/>
          </w:tcPr>
          <w:p w14:paraId="3CA1B702"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Ne glede na pogoje, določene v točki (c)(ii) in (iii) odstavka 2, se lahko organizacija proizvajalcev pogaja v skladu z odstavkom 1, pod pogojem, da za to organizacijo proizvajalcev količina surovega mleka, o kateri se pogaja, ki se proizvede ali odda v državi članici, v kateri znaša celotna letna proizvodnja surovega mleka manj kot 500 000 ton, ne presega 45 % celotne nacionalne proizvodnje te države članice.</w:t>
            </w:r>
          </w:p>
        </w:tc>
      </w:tr>
      <w:tr w:rsidR="006F5BFE" w:rsidRPr="003B2277" w14:paraId="49005E66" w14:textId="77777777" w:rsidTr="005B4D60">
        <w:trPr>
          <w:jc w:val="center"/>
        </w:trPr>
        <w:tc>
          <w:tcPr>
            <w:tcW w:w="4876" w:type="dxa"/>
            <w:hideMark/>
          </w:tcPr>
          <w:p w14:paraId="673FD046"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Za namene tega člena navajanje organizacij proizvajalcev vključuje združenja takih organizacij proizvajalcev.</w:t>
            </w:r>
          </w:p>
        </w:tc>
        <w:tc>
          <w:tcPr>
            <w:tcW w:w="4876" w:type="dxa"/>
            <w:hideMark/>
          </w:tcPr>
          <w:p w14:paraId="1625F3A2"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Za namene tega člena navajanje organizacij proizvajalcev vključuje združenja takih organizacij proizvajalcev.</w:t>
            </w:r>
          </w:p>
        </w:tc>
      </w:tr>
      <w:tr w:rsidR="006F5BFE" w:rsidRPr="003B2277" w14:paraId="3E1DB0EA" w14:textId="77777777" w:rsidTr="005B4D60">
        <w:trPr>
          <w:jc w:val="center"/>
        </w:trPr>
        <w:tc>
          <w:tcPr>
            <w:tcW w:w="4876" w:type="dxa"/>
            <w:hideMark/>
          </w:tcPr>
          <w:p w14:paraId="2E325303"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Komisija za namene uporabe točke (c) odstavka 2 in odstavka 3 objavi količine surovega mleka, ki se proizvedejo v Uniji in državah članicah, na način, ki se ji zdi ustrezen, pri čemer uporabi najnovejše razpoložljive podatke.</w:t>
            </w:r>
          </w:p>
        </w:tc>
        <w:tc>
          <w:tcPr>
            <w:tcW w:w="4876" w:type="dxa"/>
            <w:hideMark/>
          </w:tcPr>
          <w:p w14:paraId="5BA75967"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Komisija za namene uporabe točke (c) odstavka 2 in odstavka 3 objavi količine surovega mleka, ki se proizvedejo v Uniji in državah članicah, na način, ki se ji zdi ustrezen, pri čemer uporabi najnovejše razpoložljive podatke.</w:t>
            </w:r>
          </w:p>
        </w:tc>
      </w:tr>
      <w:tr w:rsidR="006F5BFE" w:rsidRPr="003B2277" w14:paraId="6E04E560" w14:textId="77777777" w:rsidTr="005B4D60">
        <w:trPr>
          <w:jc w:val="center"/>
        </w:trPr>
        <w:tc>
          <w:tcPr>
            <w:tcW w:w="4876" w:type="dxa"/>
            <w:hideMark/>
          </w:tcPr>
          <w:p w14:paraId="1418DB73" w14:textId="77777777"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Z odstopanjem od točke (c) odstavka 2 in odstavka 3, tudi če tam določeni pragi niso bili preseženi, lahko organ za konkurenco iz drugega pododstavka tega odstavka v posameznem primeru odloči, da bi morala organizacija proizvajalcev bodisi ponoviti posamezna pogajanja ali jih sploh ne bi smelo biti, če meni, da je to potrebno, da se prepreči izključevanje konkurence ali resna škoda za mala in srednje velika podjetja, ki na ozemlju, za katerega je navedeni organ pristojen, predelujejo mleko.</w:t>
            </w:r>
          </w:p>
        </w:tc>
        <w:tc>
          <w:tcPr>
            <w:tcW w:w="4876" w:type="dxa"/>
            <w:hideMark/>
          </w:tcPr>
          <w:p w14:paraId="18A78779" w14:textId="77777777"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Z odstopanjem od točke (c) odstavka 2 in odstavka 3, tudi če tam določeni pragi niso bili preseženi, lahko organ za konkurenco iz drugega pododstavka tega odstavka v posameznem primeru odloči, da bi morala organizacija proizvajalcev bodisi ponoviti posamezna pogajanja ali jih sploh ne bi smelo biti, če meni, da je to potrebno, da se prepreči izključevanje konkurence ali resna škoda za mala in srednje velika podjetja, ki na ozemlju, za katerega je navedeni organ pristojen, predelujejo mleko.</w:t>
            </w:r>
          </w:p>
        </w:tc>
      </w:tr>
      <w:tr w:rsidR="006F5BFE" w:rsidRPr="003B2277" w14:paraId="54C60326" w14:textId="77777777" w:rsidTr="005B4D60">
        <w:trPr>
          <w:jc w:val="center"/>
        </w:trPr>
        <w:tc>
          <w:tcPr>
            <w:tcW w:w="4876" w:type="dxa"/>
            <w:hideMark/>
          </w:tcPr>
          <w:p w14:paraId="4CE08B76" w14:textId="77777777" w:rsidR="006F5BFE" w:rsidRPr="003B2277" w:rsidRDefault="006F5BFE" w:rsidP="005B4D60">
            <w:pPr>
              <w:spacing w:after="120"/>
              <w:rPr>
                <w:lang w:eastAsia="en-US"/>
              </w:rPr>
            </w:pPr>
            <w:r w:rsidRPr="003B2277">
              <w:rPr>
                <w:rFonts w:eastAsia="Calibri" w:cs="Mangal"/>
                <w:lang w:eastAsia="en-US"/>
              </w:rPr>
              <w:t>V primeru pogajanj, ki se nanašajo na več kot eno državo članico, Komisija brez uporabe postopka iz člena 229(2) ali (3) sprejme odločitev iz prvega pododstavka. V drugih primerih to odločitev sprejme nacionalni organ za konkurenco iz države članice, na katero se nanašajo pogajanja.</w:t>
            </w:r>
          </w:p>
        </w:tc>
        <w:tc>
          <w:tcPr>
            <w:tcW w:w="4876" w:type="dxa"/>
            <w:hideMark/>
          </w:tcPr>
          <w:p w14:paraId="5D5303CF" w14:textId="77777777" w:rsidR="006F5BFE" w:rsidRPr="003B2277" w:rsidRDefault="006F5BFE" w:rsidP="005B4D60">
            <w:pPr>
              <w:spacing w:after="120"/>
              <w:rPr>
                <w:szCs w:val="24"/>
                <w:lang w:eastAsia="en-US"/>
              </w:rPr>
            </w:pPr>
            <w:r w:rsidRPr="003B2277">
              <w:rPr>
                <w:rFonts w:eastAsia="Calibri" w:cs="Mangal"/>
                <w:lang w:eastAsia="en-US"/>
              </w:rPr>
              <w:t>V primeru pogajanj, ki se nanašajo na več kot eno državo članico, Komisija brez uporabe postopka iz člena 229(2) ali (3) sprejme odločitev iz prvega pododstavka. V drugih primerih to odločitev sprejme nacionalni organ za konkurenco iz države članice, na katero se nanašajo pogajanja.</w:t>
            </w:r>
          </w:p>
        </w:tc>
      </w:tr>
      <w:tr w:rsidR="006F5BFE" w:rsidRPr="003B2277" w14:paraId="29ABAD48" w14:textId="77777777" w:rsidTr="005B4D60">
        <w:trPr>
          <w:jc w:val="center"/>
        </w:trPr>
        <w:tc>
          <w:tcPr>
            <w:tcW w:w="4876" w:type="dxa"/>
            <w:hideMark/>
          </w:tcPr>
          <w:p w14:paraId="4B73B8AC" w14:textId="77777777" w:rsidR="006F5BFE" w:rsidRPr="003B2277" w:rsidRDefault="006F5BFE" w:rsidP="005B4D60">
            <w:pPr>
              <w:spacing w:after="120"/>
              <w:rPr>
                <w:lang w:eastAsia="en-US"/>
              </w:rPr>
            </w:pPr>
            <w:r w:rsidRPr="003B2277">
              <w:rPr>
                <w:rFonts w:eastAsia="Calibri" w:cs="Mangal"/>
                <w:lang w:eastAsia="en-US"/>
              </w:rPr>
              <w:t>Odločitve iz tega odstavka se ne začnejo uporabljati pred datumom, ko so zadevna podjetja o njih uradno obveščena.</w:t>
            </w:r>
          </w:p>
        </w:tc>
        <w:tc>
          <w:tcPr>
            <w:tcW w:w="4876" w:type="dxa"/>
            <w:hideMark/>
          </w:tcPr>
          <w:p w14:paraId="31807F98" w14:textId="77777777" w:rsidR="006F5BFE" w:rsidRPr="003B2277" w:rsidRDefault="006F5BFE" w:rsidP="005B4D60">
            <w:pPr>
              <w:spacing w:after="120"/>
              <w:rPr>
                <w:szCs w:val="24"/>
                <w:lang w:eastAsia="en-US"/>
              </w:rPr>
            </w:pPr>
            <w:r w:rsidRPr="003B2277">
              <w:rPr>
                <w:rFonts w:eastAsia="Calibri" w:cs="Mangal"/>
                <w:lang w:eastAsia="en-US"/>
              </w:rPr>
              <w:t>Odločitve iz tega odstavka se ne začnejo uporabljati pred datumom, ko so zadevna podjetja o njih uradno obveščena.</w:t>
            </w:r>
          </w:p>
        </w:tc>
      </w:tr>
      <w:tr w:rsidR="006F5BFE" w:rsidRPr="003B2277" w14:paraId="39718A41" w14:textId="77777777" w:rsidTr="005B4D60">
        <w:trPr>
          <w:jc w:val="center"/>
        </w:trPr>
        <w:tc>
          <w:tcPr>
            <w:tcW w:w="4876" w:type="dxa"/>
            <w:hideMark/>
          </w:tcPr>
          <w:p w14:paraId="3A236C70" w14:textId="77777777" w:rsidR="006F5BFE" w:rsidRPr="003B2277" w:rsidRDefault="006F5BFE" w:rsidP="005B4D60">
            <w:pPr>
              <w:spacing w:after="120"/>
              <w:rPr>
                <w:lang w:eastAsia="en-US"/>
              </w:rPr>
            </w:pPr>
            <w:r w:rsidRPr="003B2277">
              <w:rPr>
                <w:rFonts w:eastAsia="Calibri" w:cs="Mangal"/>
                <w:lang w:eastAsia="en-US"/>
              </w:rPr>
              <w:t>7.</w:t>
            </w:r>
            <w:r w:rsidRPr="003B2277">
              <w:rPr>
                <w:rFonts w:eastAsia="Calibri" w:cs="Mangal"/>
                <w:lang w:eastAsia="en-US"/>
              </w:rPr>
              <w:tab/>
              <w:t>V tem členu:</w:t>
            </w:r>
          </w:p>
        </w:tc>
        <w:tc>
          <w:tcPr>
            <w:tcW w:w="4876" w:type="dxa"/>
            <w:hideMark/>
          </w:tcPr>
          <w:p w14:paraId="7C03D0E3" w14:textId="77777777" w:rsidR="006F5BFE" w:rsidRPr="003B2277" w:rsidRDefault="006F5BFE" w:rsidP="005B4D60">
            <w:pPr>
              <w:spacing w:after="120"/>
              <w:rPr>
                <w:szCs w:val="24"/>
                <w:lang w:eastAsia="en-US"/>
              </w:rPr>
            </w:pPr>
            <w:r w:rsidRPr="003B2277">
              <w:rPr>
                <w:rFonts w:eastAsia="Calibri" w:cs="Mangal"/>
                <w:lang w:eastAsia="en-US"/>
              </w:rPr>
              <w:t>7.</w:t>
            </w:r>
            <w:r w:rsidRPr="003B2277">
              <w:rPr>
                <w:rFonts w:eastAsia="Calibri" w:cs="Mangal"/>
                <w:lang w:eastAsia="en-US"/>
              </w:rPr>
              <w:tab/>
              <w:t>V tem členu:</w:t>
            </w:r>
          </w:p>
        </w:tc>
      </w:tr>
      <w:tr w:rsidR="006F5BFE" w:rsidRPr="003B2277" w14:paraId="740C2EC1" w14:textId="77777777" w:rsidTr="005B4D60">
        <w:trPr>
          <w:jc w:val="center"/>
        </w:trPr>
        <w:tc>
          <w:tcPr>
            <w:tcW w:w="4876" w:type="dxa"/>
            <w:hideMark/>
          </w:tcPr>
          <w:p w14:paraId="53D1A7C5" w14:textId="77777777" w:rsidR="006F5BFE" w:rsidRPr="003B2277" w:rsidRDefault="006F5BFE" w:rsidP="005B4D60">
            <w:pPr>
              <w:spacing w:after="120"/>
              <w:rPr>
                <w:lang w:eastAsia="en-US"/>
              </w:rPr>
            </w:pPr>
            <w:r w:rsidRPr="003B2277">
              <w:rPr>
                <w:rFonts w:eastAsia="Calibri" w:cs="Mangal"/>
                <w:lang w:eastAsia="en-US"/>
              </w:rPr>
              <w:t>(a) „nacionalni organ za konkurenco“ pomeni organ iz člena 5 Uredbe Sveta (ES) št. 1/2003</w:t>
            </w:r>
            <w:r w:rsidRPr="003B2277">
              <w:rPr>
                <w:rFonts w:eastAsia="Calibri" w:cs="Mangal"/>
                <w:vertAlign w:val="superscript"/>
                <w:lang w:eastAsia="en-US"/>
              </w:rPr>
              <w:t>22</w:t>
            </w:r>
            <w:r w:rsidRPr="003B2277">
              <w:rPr>
                <w:rFonts w:eastAsia="Calibri" w:cs="Mangal"/>
                <w:lang w:eastAsia="en-US"/>
              </w:rPr>
              <w:t xml:space="preserve">; </w:t>
            </w:r>
          </w:p>
        </w:tc>
        <w:tc>
          <w:tcPr>
            <w:tcW w:w="4876" w:type="dxa"/>
            <w:hideMark/>
          </w:tcPr>
          <w:p w14:paraId="2D1E0756" w14:textId="77777777" w:rsidR="006F5BFE" w:rsidRPr="003B2277" w:rsidRDefault="006F5BFE" w:rsidP="005B4D60">
            <w:pPr>
              <w:spacing w:after="120"/>
              <w:rPr>
                <w:szCs w:val="24"/>
                <w:lang w:eastAsia="en-US"/>
              </w:rPr>
            </w:pPr>
            <w:r w:rsidRPr="003B2277">
              <w:rPr>
                <w:rFonts w:eastAsia="Calibri" w:cs="Mangal"/>
                <w:lang w:eastAsia="en-US"/>
              </w:rPr>
              <w:t>(a) „nacionalni organ za konkurenco“ pomeni organ iz člena 5 Uredbe Sveta (ES) št. 1/2003</w:t>
            </w:r>
            <w:r w:rsidRPr="003B2277">
              <w:rPr>
                <w:rFonts w:eastAsia="Calibri" w:cs="Mangal"/>
                <w:vertAlign w:val="superscript"/>
                <w:lang w:eastAsia="en-US"/>
              </w:rPr>
              <w:t>22</w:t>
            </w:r>
            <w:r w:rsidRPr="003B2277">
              <w:rPr>
                <w:rFonts w:eastAsia="Calibri" w:cs="Mangal"/>
                <w:lang w:eastAsia="en-US"/>
              </w:rPr>
              <w:t xml:space="preserve">; </w:t>
            </w:r>
          </w:p>
        </w:tc>
      </w:tr>
      <w:tr w:rsidR="006F5BFE" w:rsidRPr="003B2277" w14:paraId="3D48277A" w14:textId="77777777" w:rsidTr="005B4D60">
        <w:trPr>
          <w:jc w:val="center"/>
        </w:trPr>
        <w:tc>
          <w:tcPr>
            <w:tcW w:w="4876" w:type="dxa"/>
            <w:hideMark/>
          </w:tcPr>
          <w:p w14:paraId="126A8B04" w14:textId="77777777" w:rsidR="006F5BFE" w:rsidRPr="003B2277" w:rsidRDefault="006F5BFE" w:rsidP="005B4D60">
            <w:pPr>
              <w:spacing w:after="120"/>
              <w:rPr>
                <w:lang w:eastAsia="en-US"/>
              </w:rPr>
            </w:pPr>
            <w:r w:rsidRPr="003B2277">
              <w:rPr>
                <w:rFonts w:eastAsia="Calibri" w:cs="Mangal"/>
                <w:lang w:eastAsia="en-US"/>
              </w:rPr>
              <w:t>(b) „MSP“ pomeni mikro, malo ali srednje podjetje v smislu Priporočila Komisije 2003/361/ES.</w:t>
            </w:r>
          </w:p>
        </w:tc>
        <w:tc>
          <w:tcPr>
            <w:tcW w:w="4876" w:type="dxa"/>
            <w:hideMark/>
          </w:tcPr>
          <w:p w14:paraId="1C63D752" w14:textId="77777777" w:rsidR="006F5BFE" w:rsidRPr="003B2277" w:rsidRDefault="006F5BFE" w:rsidP="005B4D60">
            <w:pPr>
              <w:spacing w:after="120"/>
              <w:rPr>
                <w:szCs w:val="24"/>
                <w:lang w:eastAsia="en-US"/>
              </w:rPr>
            </w:pPr>
            <w:r w:rsidRPr="003B2277">
              <w:rPr>
                <w:rFonts w:eastAsia="Calibri" w:cs="Mangal"/>
                <w:lang w:eastAsia="en-US"/>
              </w:rPr>
              <w:t>(b) „MSP“ pomeni mikro, malo ali srednje podjetje v smislu Priporočila Komisije 2003/361/ES.</w:t>
            </w:r>
          </w:p>
        </w:tc>
      </w:tr>
      <w:tr w:rsidR="006F5BFE" w:rsidRPr="003B2277" w14:paraId="291A6E17" w14:textId="77777777" w:rsidTr="005B4D60">
        <w:trPr>
          <w:jc w:val="center"/>
        </w:trPr>
        <w:tc>
          <w:tcPr>
            <w:tcW w:w="4876" w:type="dxa"/>
            <w:hideMark/>
          </w:tcPr>
          <w:p w14:paraId="141F4020" w14:textId="77777777" w:rsidR="006F5BFE" w:rsidRPr="003B2277" w:rsidRDefault="006F5BFE" w:rsidP="005B4D60">
            <w:pPr>
              <w:spacing w:after="120"/>
              <w:rPr>
                <w:lang w:eastAsia="en-US"/>
              </w:rPr>
            </w:pPr>
            <w:r w:rsidRPr="003B2277">
              <w:rPr>
                <w:rFonts w:eastAsia="Calibri" w:cs="Mangal"/>
                <w:lang w:eastAsia="en-US"/>
              </w:rPr>
              <w:t>8.</w:t>
            </w:r>
            <w:r w:rsidRPr="003B2277">
              <w:rPr>
                <w:rFonts w:eastAsia="Calibri" w:cs="Mangal"/>
                <w:lang w:eastAsia="en-US"/>
              </w:rPr>
              <w:tab/>
              <w:t>Države članice, v katerih potekajo pogajanja v skladu s tem členom, Komisijo uradno obvestijo o uporabi točke (f) odstavka 2 in odstavka 6.</w:t>
            </w:r>
          </w:p>
        </w:tc>
        <w:tc>
          <w:tcPr>
            <w:tcW w:w="4876" w:type="dxa"/>
            <w:hideMark/>
          </w:tcPr>
          <w:p w14:paraId="0DEBC613" w14:textId="77777777" w:rsidR="006F5BFE" w:rsidRPr="003B2277" w:rsidRDefault="006F5BFE" w:rsidP="005B4D60">
            <w:pPr>
              <w:spacing w:after="120"/>
              <w:rPr>
                <w:szCs w:val="24"/>
                <w:lang w:eastAsia="en-US"/>
              </w:rPr>
            </w:pPr>
            <w:r w:rsidRPr="003B2277">
              <w:rPr>
                <w:rFonts w:eastAsia="Calibri" w:cs="Mangal"/>
                <w:lang w:eastAsia="en-US"/>
              </w:rPr>
              <w:t>8.</w:t>
            </w:r>
            <w:r w:rsidRPr="003B2277">
              <w:rPr>
                <w:rFonts w:eastAsia="Calibri" w:cs="Mangal"/>
                <w:lang w:eastAsia="en-US"/>
              </w:rPr>
              <w:tab/>
              <w:t>Države članice, v katerih potekajo pogajanja v skladu s tem členom, Komisijo uradno obvestijo o uporabi točke (f) odstavka 2 in odstavka 6.</w:t>
            </w:r>
          </w:p>
        </w:tc>
      </w:tr>
      <w:tr w:rsidR="006F5BFE" w:rsidRPr="003B2277" w14:paraId="205D0651" w14:textId="77777777" w:rsidTr="005B4D60">
        <w:trPr>
          <w:jc w:val="center"/>
        </w:trPr>
        <w:tc>
          <w:tcPr>
            <w:tcW w:w="4876" w:type="dxa"/>
          </w:tcPr>
          <w:p w14:paraId="75FE421E" w14:textId="77777777" w:rsidR="006F5BFE" w:rsidRPr="003B2277" w:rsidRDefault="006F5BFE" w:rsidP="005B4D60">
            <w:pPr>
              <w:spacing w:after="120"/>
              <w:rPr>
                <w:lang w:eastAsia="en-US"/>
              </w:rPr>
            </w:pPr>
            <w:r w:rsidRPr="003B2277">
              <w:rPr>
                <w:rFonts w:eastAsia="Calibri" w:cs="Mangal"/>
                <w:lang w:eastAsia="en-US"/>
              </w:rPr>
              <w:t>__________________</w:t>
            </w:r>
          </w:p>
        </w:tc>
        <w:tc>
          <w:tcPr>
            <w:tcW w:w="4876" w:type="dxa"/>
          </w:tcPr>
          <w:p w14:paraId="363B69F7" w14:textId="77777777" w:rsidR="006F5BFE" w:rsidRPr="003B2277" w:rsidRDefault="006F5BFE" w:rsidP="005B4D60">
            <w:pPr>
              <w:spacing w:after="120"/>
              <w:rPr>
                <w:lang w:eastAsia="en-US"/>
              </w:rPr>
            </w:pPr>
            <w:r w:rsidRPr="003B2277">
              <w:rPr>
                <w:rFonts w:eastAsia="Calibri" w:cs="Mangal"/>
                <w:lang w:eastAsia="en-US"/>
              </w:rPr>
              <w:t>__________________</w:t>
            </w:r>
          </w:p>
        </w:tc>
      </w:tr>
      <w:tr w:rsidR="006F5BFE" w:rsidRPr="003B2277" w14:paraId="3D3E0297" w14:textId="77777777" w:rsidTr="005B4D60">
        <w:trPr>
          <w:jc w:val="center"/>
        </w:trPr>
        <w:tc>
          <w:tcPr>
            <w:tcW w:w="4876" w:type="dxa"/>
          </w:tcPr>
          <w:p w14:paraId="2BC8263F" w14:textId="1C60DB7E" w:rsidR="006F5BFE" w:rsidRPr="003B2277" w:rsidRDefault="005F2E57" w:rsidP="005B4D60">
            <w:pPr>
              <w:spacing w:after="120"/>
              <w:rPr>
                <w:szCs w:val="24"/>
                <w:lang w:eastAsia="en-US"/>
              </w:rPr>
            </w:pPr>
            <w:hyperlink r:id="rId8" w:anchor="src.E0022" w:history="1">
              <w:r w:rsidR="006F5BFE" w:rsidRPr="003B2277">
                <w:rPr>
                  <w:rFonts w:eastAsia="Calibri" w:cs="Mangal"/>
                  <w:szCs w:val="24"/>
                  <w:vertAlign w:val="superscript"/>
                  <w:lang w:eastAsia="en-US"/>
                </w:rPr>
                <w:t>22</w:t>
              </w:r>
            </w:hyperlink>
            <w:r w:rsidR="000450C5" w:rsidRPr="003B2277">
              <w:rPr>
                <w:rFonts w:eastAsia="Calibri" w:cs="Mangal"/>
                <w:szCs w:val="24"/>
                <w:vertAlign w:val="superscript"/>
                <w:lang w:eastAsia="en-US"/>
              </w:rPr>
              <w:t xml:space="preserve"> </w:t>
            </w:r>
            <w:r w:rsidR="006F5BFE" w:rsidRPr="003B2277">
              <w:rPr>
                <w:rFonts w:eastAsia="Calibri" w:cs="Mangal"/>
                <w:lang w:eastAsia="en-US"/>
              </w:rPr>
              <w:t>Uredba Sveta (ES) št. 1/2003 z dne 16. decembra 2002 o izvajanju pravil konkurence iz členov 81 in 82 Pogodbe (UL L 1, 4.1.2003, str. 1).</w:t>
            </w:r>
          </w:p>
        </w:tc>
        <w:tc>
          <w:tcPr>
            <w:tcW w:w="4876" w:type="dxa"/>
          </w:tcPr>
          <w:p w14:paraId="38700A0A" w14:textId="112C77C5" w:rsidR="006F5BFE" w:rsidRPr="003B2277" w:rsidRDefault="005F2E57" w:rsidP="005B4D60">
            <w:pPr>
              <w:spacing w:after="120"/>
              <w:rPr>
                <w:lang w:eastAsia="en-US"/>
              </w:rPr>
            </w:pPr>
            <w:hyperlink r:id="rId9" w:anchor="src.E0022" w:history="1">
              <w:r w:rsidR="006F5BFE" w:rsidRPr="003B2277">
                <w:rPr>
                  <w:rFonts w:eastAsia="Calibri" w:cs="Mangal"/>
                  <w:szCs w:val="24"/>
                  <w:vertAlign w:val="superscript"/>
                  <w:lang w:eastAsia="en-US"/>
                </w:rPr>
                <w:t>22</w:t>
              </w:r>
            </w:hyperlink>
            <w:r w:rsidR="000450C5" w:rsidRPr="003B2277">
              <w:rPr>
                <w:rFonts w:eastAsia="Calibri" w:cs="Mangal"/>
                <w:szCs w:val="24"/>
                <w:vertAlign w:val="superscript"/>
                <w:lang w:eastAsia="en-US"/>
              </w:rPr>
              <w:t xml:space="preserve"> </w:t>
            </w:r>
            <w:r w:rsidR="006F5BFE" w:rsidRPr="003B2277">
              <w:rPr>
                <w:rFonts w:eastAsia="Calibri" w:cs="Mangal"/>
                <w:lang w:eastAsia="en-US"/>
              </w:rPr>
              <w:t>Uredba Sveta (ES) št. 1/2003 z dne 16. decembra 2002 o izvajanju pravil konkurence iz členov 81 in 82 Pogodbe (UL L 1, 4.1.2003, str. 1).</w:t>
            </w:r>
            <w:r w:rsidR="006F5BFE" w:rsidRPr="003B2277">
              <w:rPr>
                <w:rFonts w:eastAsia="Calibri" w:cs="Mangal"/>
                <w:b/>
                <w:i/>
                <w:lang w:eastAsia="en-US"/>
              </w:rPr>
              <w:t>“</w:t>
            </w:r>
          </w:p>
        </w:tc>
      </w:tr>
    </w:tbl>
    <w:p w14:paraId="168F9F7E" w14:textId="77777777" w:rsidR="006F5BFE" w:rsidRPr="003B2277" w:rsidRDefault="006F5BFE" w:rsidP="006F5BFE">
      <w:pPr>
        <w:rPr>
          <w:lang w:eastAsia="en-US"/>
        </w:rPr>
      </w:pPr>
    </w:p>
    <w:p w14:paraId="1EE6703B" w14:textId="4A37ECE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111</w:t>
      </w:r>
    </w:p>
    <w:p w14:paraId="096C378B" w14:textId="77777777" w:rsidR="006F5BFE" w:rsidRPr="003B2277" w:rsidRDefault="006F5BFE" w:rsidP="006F5BFE"/>
    <w:p w14:paraId="179B7424" w14:textId="77777777" w:rsidR="006F5BFE" w:rsidRPr="003B2277" w:rsidRDefault="006F5BFE" w:rsidP="006F5BFE">
      <w:pPr>
        <w:keepNext/>
        <w:rPr>
          <w:b/>
          <w:lang w:eastAsia="en-US"/>
        </w:rPr>
      </w:pPr>
      <w:r w:rsidRPr="003B2277">
        <w:rPr>
          <w:rFonts w:eastAsia="Calibri" w:cs="Mangal"/>
          <w:b/>
          <w:lang w:eastAsia="en-US"/>
        </w:rPr>
        <w:t>Predlog uredbe</w:t>
      </w:r>
    </w:p>
    <w:p w14:paraId="41C335BC" w14:textId="77777777" w:rsidR="006F5BFE" w:rsidRPr="003B2277" w:rsidRDefault="006F5BFE" w:rsidP="006F5BFE">
      <w:pPr>
        <w:rPr>
          <w:b/>
          <w:lang w:eastAsia="en-US"/>
        </w:rPr>
      </w:pPr>
      <w:r w:rsidRPr="003B2277">
        <w:rPr>
          <w:rFonts w:eastAsia="Calibri" w:cs="Mangal"/>
          <w:b/>
          <w:lang w:eastAsia="en-US"/>
        </w:rPr>
        <w:t>Člen 1 – odstavek 1 – točka 22 c (novo)</w:t>
      </w:r>
    </w:p>
    <w:p w14:paraId="78F15106" w14:textId="77777777" w:rsidR="006F5BFE" w:rsidRPr="003B2277" w:rsidRDefault="006F5BFE" w:rsidP="006F5BFE">
      <w:pPr>
        <w:keepNext/>
        <w:rPr>
          <w:lang w:eastAsia="en-US"/>
        </w:rPr>
      </w:pPr>
      <w:r w:rsidRPr="003B2277">
        <w:rPr>
          <w:rFonts w:eastAsia="Calibri" w:cs="Mangal"/>
          <w:lang w:eastAsia="en-US"/>
        </w:rPr>
        <w:t>Uredba (EU) št. 1308/2013</w:t>
      </w:r>
    </w:p>
    <w:p w14:paraId="5CBE4A50" w14:textId="77777777" w:rsidR="006F5BFE" w:rsidRPr="003B2277" w:rsidRDefault="006F5BFE" w:rsidP="006F5BFE">
      <w:pPr>
        <w:rPr>
          <w:lang w:eastAsia="en-US"/>
        </w:rPr>
      </w:pPr>
      <w:r w:rsidRPr="003B2277">
        <w:rPr>
          <w:rFonts w:eastAsia="Calibri" w:cs="Mangal"/>
          <w:lang w:eastAsia="en-US"/>
        </w:rPr>
        <w:t>Člen 150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BAF11CB" w14:textId="77777777" w:rsidTr="005B4D60">
        <w:trPr>
          <w:jc w:val="center"/>
        </w:trPr>
        <w:tc>
          <w:tcPr>
            <w:tcW w:w="9752" w:type="dxa"/>
            <w:gridSpan w:val="2"/>
          </w:tcPr>
          <w:p w14:paraId="0B35D813" w14:textId="77777777" w:rsidR="006F5BFE" w:rsidRPr="003B2277" w:rsidRDefault="006F5BFE" w:rsidP="005B4D60">
            <w:pPr>
              <w:keepNext/>
            </w:pPr>
          </w:p>
        </w:tc>
      </w:tr>
      <w:tr w:rsidR="006F5BFE" w:rsidRPr="003B2277" w14:paraId="62532DCA" w14:textId="77777777" w:rsidTr="005B4D60">
        <w:trPr>
          <w:jc w:val="center"/>
        </w:trPr>
        <w:tc>
          <w:tcPr>
            <w:tcW w:w="4876" w:type="dxa"/>
            <w:hideMark/>
          </w:tcPr>
          <w:p w14:paraId="764A57C2"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D15A477" w14:textId="5E873B9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560A15E" w14:textId="77777777" w:rsidTr="005B4D60">
        <w:trPr>
          <w:jc w:val="center"/>
        </w:trPr>
        <w:tc>
          <w:tcPr>
            <w:tcW w:w="4876" w:type="dxa"/>
          </w:tcPr>
          <w:p w14:paraId="2C107FF1" w14:textId="77777777" w:rsidR="006F5BFE" w:rsidRPr="003B2277" w:rsidRDefault="006F5BFE" w:rsidP="005B4D60">
            <w:pPr>
              <w:spacing w:after="120"/>
            </w:pPr>
          </w:p>
        </w:tc>
        <w:tc>
          <w:tcPr>
            <w:tcW w:w="4876" w:type="dxa"/>
          </w:tcPr>
          <w:p w14:paraId="10090710" w14:textId="77777777" w:rsidR="006F5BFE" w:rsidRPr="003B2277" w:rsidRDefault="006F5BFE" w:rsidP="005B4D60">
            <w:pPr>
              <w:spacing w:after="120"/>
              <w:rPr>
                <w:b/>
                <w:i/>
                <w:lang w:eastAsia="en-US"/>
              </w:rPr>
            </w:pPr>
            <w:r w:rsidRPr="003B2277">
              <w:rPr>
                <w:rFonts w:eastAsia="Calibri" w:cs="Mangal"/>
                <w:b/>
                <w:i/>
                <w:lang w:eastAsia="en-US"/>
              </w:rPr>
              <w:t>(22c)</w:t>
            </w:r>
            <w:r w:rsidRPr="003B2277">
              <w:rPr>
                <w:rFonts w:eastAsia="Calibri" w:cs="Mangal"/>
                <w:b/>
                <w:i/>
                <w:lang w:eastAsia="en-US"/>
              </w:rPr>
              <w:tab/>
              <w:t>člen 150 se nadomesti z naslednjim:</w:t>
            </w:r>
          </w:p>
        </w:tc>
      </w:tr>
      <w:tr w:rsidR="006F5BFE" w:rsidRPr="003B2277" w14:paraId="11C80924" w14:textId="77777777" w:rsidTr="005B4D60">
        <w:trPr>
          <w:jc w:val="center"/>
        </w:trPr>
        <w:tc>
          <w:tcPr>
            <w:tcW w:w="4876" w:type="dxa"/>
            <w:hideMark/>
          </w:tcPr>
          <w:p w14:paraId="271B619A" w14:textId="77777777" w:rsidR="006F5BFE" w:rsidRPr="003B2277" w:rsidRDefault="006F5BFE" w:rsidP="005B4D60">
            <w:pPr>
              <w:spacing w:after="120"/>
              <w:rPr>
                <w:lang w:eastAsia="en-US"/>
              </w:rPr>
            </w:pPr>
            <w:r w:rsidRPr="003B2277">
              <w:rPr>
                <w:rFonts w:eastAsia="Calibri" w:cs="Mangal"/>
                <w:lang w:eastAsia="en-US"/>
              </w:rPr>
              <w:t>Člen 150</w:t>
            </w:r>
          </w:p>
        </w:tc>
        <w:tc>
          <w:tcPr>
            <w:tcW w:w="4876" w:type="dxa"/>
            <w:hideMark/>
          </w:tcPr>
          <w:p w14:paraId="607C0B3D"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150</w:t>
            </w:r>
          </w:p>
        </w:tc>
      </w:tr>
      <w:tr w:rsidR="006F5BFE" w:rsidRPr="003B2277" w14:paraId="0A07ED74" w14:textId="77777777" w:rsidTr="005B4D60">
        <w:trPr>
          <w:jc w:val="center"/>
        </w:trPr>
        <w:tc>
          <w:tcPr>
            <w:tcW w:w="4876" w:type="dxa"/>
            <w:hideMark/>
          </w:tcPr>
          <w:p w14:paraId="421365B9" w14:textId="77777777" w:rsidR="006F5BFE" w:rsidRPr="003B2277" w:rsidRDefault="006F5BFE" w:rsidP="005B4D60">
            <w:pPr>
              <w:spacing w:after="120"/>
              <w:rPr>
                <w:lang w:eastAsia="en-US"/>
              </w:rPr>
            </w:pPr>
            <w:r w:rsidRPr="003B2277">
              <w:rPr>
                <w:rFonts w:eastAsia="Calibri" w:cs="Mangal"/>
                <w:lang w:eastAsia="en-US"/>
              </w:rPr>
              <w:t>Uravnavanje ponudbe sira z zaščiteno označbo porekla ali zaščiteno geografsko označbo</w:t>
            </w:r>
          </w:p>
        </w:tc>
        <w:tc>
          <w:tcPr>
            <w:tcW w:w="4876" w:type="dxa"/>
            <w:hideMark/>
          </w:tcPr>
          <w:p w14:paraId="7D323428" w14:textId="77777777" w:rsidR="006F5BFE" w:rsidRPr="003B2277" w:rsidRDefault="006F5BFE" w:rsidP="005B4D60">
            <w:pPr>
              <w:spacing w:after="120"/>
              <w:rPr>
                <w:szCs w:val="24"/>
                <w:lang w:eastAsia="en-US"/>
              </w:rPr>
            </w:pPr>
            <w:r w:rsidRPr="003B2277">
              <w:rPr>
                <w:rFonts w:eastAsia="Calibri" w:cs="Mangal"/>
                <w:lang w:eastAsia="en-US"/>
              </w:rPr>
              <w:t>Uravnavanje ponudbe sira z zaščiteno označbo porekla ali zaščiteno geografsko označbo</w:t>
            </w:r>
          </w:p>
        </w:tc>
      </w:tr>
      <w:tr w:rsidR="006F5BFE" w:rsidRPr="003B2277" w14:paraId="16992A34" w14:textId="77777777" w:rsidTr="005B4D60">
        <w:trPr>
          <w:jc w:val="center"/>
        </w:trPr>
        <w:tc>
          <w:tcPr>
            <w:tcW w:w="4876" w:type="dxa"/>
            <w:hideMark/>
          </w:tcPr>
          <w:p w14:paraId="6D2D259F"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 xml:space="preserve">Države članice lahko na zahtevo organizacije proizvajalcev, priznane v skladu s členom </w:t>
            </w:r>
            <w:r w:rsidRPr="003B2277">
              <w:rPr>
                <w:rFonts w:eastAsia="Calibri" w:cs="Mangal"/>
                <w:b/>
                <w:i/>
                <w:lang w:eastAsia="en-US"/>
              </w:rPr>
              <w:t>152(3)</w:t>
            </w:r>
            <w:r w:rsidRPr="003B2277">
              <w:rPr>
                <w:rFonts w:eastAsia="Calibri" w:cs="Mangal"/>
                <w:lang w:eastAsia="en-US"/>
              </w:rPr>
              <w:t xml:space="preserve">, medpanožne organizacije, priznane v skladu s členom </w:t>
            </w:r>
            <w:r w:rsidRPr="003B2277">
              <w:rPr>
                <w:rFonts w:eastAsia="Calibri" w:cs="Mangal"/>
                <w:b/>
                <w:i/>
                <w:lang w:eastAsia="en-US"/>
              </w:rPr>
              <w:t>157(3)</w:t>
            </w:r>
            <w:r w:rsidRPr="003B2277">
              <w:rPr>
                <w:rFonts w:eastAsia="Calibri" w:cs="Mangal"/>
                <w:lang w:eastAsia="en-US"/>
              </w:rPr>
              <w:t>, ali skupine proizvajalcev ali predelovalcev iz člena 3(2) Uredbe (EU) št.</w:t>
            </w:r>
            <w:r w:rsidRPr="003B2277">
              <w:rPr>
                <w:rFonts w:eastAsia="Calibri" w:cs="Mangal"/>
                <w:b/>
                <w:i/>
                <w:lang w:eastAsia="en-US"/>
              </w:rPr>
              <w:t xml:space="preserve"> </w:t>
            </w:r>
            <w:r w:rsidRPr="003B2277">
              <w:rPr>
                <w:rFonts w:eastAsia="Calibri" w:cs="Mangal"/>
                <w:lang w:eastAsia="en-US"/>
              </w:rPr>
              <w:t>1151/2012 za omejeno časovno obdobje določijo zavezujoča pravila za uravnavanje ponudbe sira z zaščiteno označbo porekla ali zaščiteno geografsko označbo iz člena 5(1) in (2) Uredbe (EU) št.</w:t>
            </w:r>
            <w:r w:rsidRPr="003B2277">
              <w:rPr>
                <w:rFonts w:eastAsia="Calibri" w:cs="Mangal"/>
                <w:b/>
                <w:i/>
                <w:lang w:eastAsia="en-US"/>
              </w:rPr>
              <w:t xml:space="preserve"> </w:t>
            </w:r>
            <w:r w:rsidRPr="003B2277">
              <w:rPr>
                <w:rFonts w:eastAsia="Calibri" w:cs="Mangal"/>
                <w:lang w:eastAsia="en-US"/>
              </w:rPr>
              <w:t>1151/2012.</w:t>
            </w:r>
          </w:p>
        </w:tc>
        <w:tc>
          <w:tcPr>
            <w:tcW w:w="4876" w:type="dxa"/>
            <w:hideMark/>
          </w:tcPr>
          <w:p w14:paraId="78094496"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 xml:space="preserve">Države članice lahko na zahtevo organizacije proizvajalcev, priznane v skladu s členom </w:t>
            </w:r>
            <w:r w:rsidRPr="003B2277">
              <w:rPr>
                <w:rFonts w:eastAsia="Calibri" w:cs="Mangal"/>
                <w:b/>
                <w:i/>
                <w:lang w:eastAsia="en-US"/>
              </w:rPr>
              <w:t>152(1) ali členom 161(1</w:t>
            </w:r>
            <w:r w:rsidRPr="003B2277">
              <w:rPr>
                <w:rFonts w:eastAsia="Calibri" w:cs="Mangal"/>
                <w:lang w:eastAsia="en-US"/>
              </w:rPr>
              <w:t xml:space="preserve">), medpanožne organizacije, priznane v skladu s členom </w:t>
            </w:r>
            <w:r w:rsidRPr="003B2277">
              <w:rPr>
                <w:rFonts w:eastAsia="Calibri" w:cs="Mangal"/>
                <w:b/>
                <w:i/>
                <w:lang w:eastAsia="en-US"/>
              </w:rPr>
              <w:t>157(1)</w:t>
            </w:r>
            <w:r w:rsidRPr="003B2277">
              <w:rPr>
                <w:rFonts w:eastAsia="Calibri" w:cs="Mangal"/>
                <w:lang w:eastAsia="en-US"/>
              </w:rPr>
              <w:t>, ali skupine proizvajalcev ali predelovalcev iz člena 3(2) Uredbe (EU) št.</w:t>
            </w:r>
            <w:r w:rsidRPr="003B2277">
              <w:rPr>
                <w:rFonts w:eastAsia="Calibri" w:cs="Mangal"/>
                <w:b/>
                <w:i/>
                <w:lang w:eastAsia="en-US"/>
              </w:rPr>
              <w:t> </w:t>
            </w:r>
            <w:r w:rsidRPr="003B2277">
              <w:rPr>
                <w:rFonts w:eastAsia="Calibri" w:cs="Mangal"/>
                <w:lang w:eastAsia="en-US"/>
              </w:rPr>
              <w:t>1151/2012 za omejeno časovno obdobje določijo zavezujoča pravila za uravnavanje ponudbe sira z zaščiteno označbo porekla ali zaščiteno geografsko označbo iz člena 5(1) in (2) Uredbe (EU) št.</w:t>
            </w:r>
            <w:r w:rsidRPr="003B2277">
              <w:rPr>
                <w:rFonts w:eastAsia="Calibri" w:cs="Mangal"/>
                <w:b/>
                <w:i/>
                <w:lang w:eastAsia="en-US"/>
              </w:rPr>
              <w:t> </w:t>
            </w:r>
            <w:r w:rsidRPr="003B2277">
              <w:rPr>
                <w:rFonts w:eastAsia="Calibri" w:cs="Mangal"/>
                <w:lang w:eastAsia="en-US"/>
              </w:rPr>
              <w:t>1151/2012.</w:t>
            </w:r>
          </w:p>
        </w:tc>
      </w:tr>
      <w:tr w:rsidR="006F5BFE" w:rsidRPr="003B2277" w14:paraId="70BFD2CC" w14:textId="77777777" w:rsidTr="005B4D60">
        <w:trPr>
          <w:jc w:val="center"/>
        </w:trPr>
        <w:tc>
          <w:tcPr>
            <w:tcW w:w="4876" w:type="dxa"/>
            <w:hideMark/>
          </w:tcPr>
          <w:p w14:paraId="0CF4BC2C"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Pravila iz odstavka 1 tega člena so pogojena z obstojem predhodnega sporazuma med strankami na geografskem območju iz točke (c) člena 7(1) Uredbe (EU) št. 1151/2012. Takšen sporazum skleneta vsaj dve tretjini proizvajalcev mleka ali njihovih predstavnikov, ki proizvedejo vsaj dve tretjini surovega mleka, uporabljenega za proizvodnjo sira iz odstavka 1 tega člena, in, kadar je ustrezno, vsaj dve tretjini proizvajalcev tega sira, ki predstavljajo vsaj dve tretjini proizvodnje tega sira na geografskem območju iz točke (c) člena 7(1) Uredbe (EU) št.</w:t>
            </w:r>
            <w:r w:rsidRPr="003B2277">
              <w:rPr>
                <w:rFonts w:eastAsia="Calibri" w:cs="Mangal"/>
                <w:b/>
                <w:i/>
                <w:lang w:eastAsia="en-US"/>
              </w:rPr>
              <w:t xml:space="preserve"> </w:t>
            </w:r>
            <w:r w:rsidRPr="003B2277">
              <w:rPr>
                <w:rFonts w:eastAsia="Calibri" w:cs="Mangal"/>
                <w:lang w:eastAsia="en-US"/>
              </w:rPr>
              <w:t>1151/2012.</w:t>
            </w:r>
          </w:p>
        </w:tc>
        <w:tc>
          <w:tcPr>
            <w:tcW w:w="4876" w:type="dxa"/>
            <w:hideMark/>
          </w:tcPr>
          <w:p w14:paraId="23E3AF11"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Pravila iz odstavka 1 tega člena so pogojena z obstojem predhodnega sporazuma med strankami na geografskem območju iz točke (c) člena 7(1) Uredbe (EU) št. 1151/2012. Takšen sporazum skleneta vsaj dve tretjini proizvajalcev mleka ali njihovih predstavnikov, ki proizvedejo vsaj dve tretjini surovega mleka, uporabljenega za proizvodnjo sira iz odstavka 1 tega člena, in, kadar je ustrezno, vsaj dve tretjini proizvajalcev tega sira</w:t>
            </w:r>
            <w:r w:rsidRPr="003B2277">
              <w:rPr>
                <w:rFonts w:eastAsia="Calibri" w:cs="Mangal"/>
                <w:b/>
                <w:i/>
                <w:lang w:eastAsia="en-US"/>
              </w:rPr>
              <w:t xml:space="preserve"> ali njihovih predstavnikov</w:t>
            </w:r>
            <w:r w:rsidRPr="003B2277">
              <w:rPr>
                <w:rFonts w:eastAsia="Calibri" w:cs="Mangal"/>
                <w:lang w:eastAsia="en-US"/>
              </w:rPr>
              <w:t>, ki predstavljajo vsaj dve tretjini proizvodnje tega sira na geografskem območju iz točke (c) člena 7(1) Uredbe (EU) št.</w:t>
            </w:r>
            <w:r w:rsidRPr="003B2277">
              <w:rPr>
                <w:rFonts w:eastAsia="Calibri" w:cs="Mangal"/>
                <w:b/>
                <w:i/>
                <w:lang w:eastAsia="en-US"/>
              </w:rPr>
              <w:t> </w:t>
            </w:r>
            <w:r w:rsidRPr="003B2277">
              <w:rPr>
                <w:rFonts w:eastAsia="Calibri" w:cs="Mangal"/>
                <w:lang w:eastAsia="en-US"/>
              </w:rPr>
              <w:t>1151/2012.</w:t>
            </w:r>
          </w:p>
        </w:tc>
      </w:tr>
      <w:tr w:rsidR="006F5BFE" w:rsidRPr="003B2277" w14:paraId="60BC7144" w14:textId="77777777" w:rsidTr="005B4D60">
        <w:trPr>
          <w:jc w:val="center"/>
        </w:trPr>
        <w:tc>
          <w:tcPr>
            <w:tcW w:w="4876" w:type="dxa"/>
            <w:hideMark/>
          </w:tcPr>
          <w:p w14:paraId="0A06E216"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Za namene odstavka 1 je za sir z zaščiteno geografsko označbo geografsko območje porekla surovega mleka, kot je določeno v specifikaciji proizvoda za sir, isto kot geografsko območje iz točke (c) člena 7(1) Uredbe (ES) št. 1151/2012 v zvezi s tem sirom.</w:t>
            </w:r>
          </w:p>
        </w:tc>
        <w:tc>
          <w:tcPr>
            <w:tcW w:w="4876" w:type="dxa"/>
            <w:hideMark/>
          </w:tcPr>
          <w:p w14:paraId="451C10C7"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Za namene odstavka 1 je za sir z zaščiteno geografsko označbo geografsko območje porekla surovega mleka, kot je določeno v specifikaciji proizvoda za sir, isto kot geografsko območje iz točke (c) člena 7(1) Uredbe (ES) št. 1151/2012 v zvezi s tem sirom.</w:t>
            </w:r>
          </w:p>
        </w:tc>
      </w:tr>
      <w:tr w:rsidR="006F5BFE" w:rsidRPr="003B2277" w14:paraId="04A2CADE" w14:textId="77777777" w:rsidTr="005B4D60">
        <w:trPr>
          <w:jc w:val="center"/>
        </w:trPr>
        <w:tc>
          <w:tcPr>
            <w:tcW w:w="4876" w:type="dxa"/>
            <w:hideMark/>
          </w:tcPr>
          <w:p w14:paraId="385228C7"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Pravila iz odstavka 1:</w:t>
            </w:r>
          </w:p>
        </w:tc>
        <w:tc>
          <w:tcPr>
            <w:tcW w:w="4876" w:type="dxa"/>
            <w:hideMark/>
          </w:tcPr>
          <w:p w14:paraId="42F3236C"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Pravila iz odstavka 1:</w:t>
            </w:r>
          </w:p>
        </w:tc>
      </w:tr>
      <w:tr w:rsidR="006F5BFE" w:rsidRPr="003B2277" w14:paraId="21FFF13F" w14:textId="77777777" w:rsidTr="005B4D60">
        <w:trPr>
          <w:jc w:val="center"/>
        </w:trPr>
        <w:tc>
          <w:tcPr>
            <w:tcW w:w="4876" w:type="dxa"/>
            <w:hideMark/>
          </w:tcPr>
          <w:p w14:paraId="744D57F3" w14:textId="77777777" w:rsidR="006F5BFE" w:rsidRPr="003B2277" w:rsidRDefault="006F5BFE" w:rsidP="005B4D60">
            <w:pPr>
              <w:spacing w:after="120"/>
              <w:rPr>
                <w:lang w:eastAsia="en-US"/>
              </w:rPr>
            </w:pPr>
            <w:r w:rsidRPr="003B2277">
              <w:rPr>
                <w:rFonts w:eastAsia="Calibri" w:cs="Mangal"/>
                <w:lang w:eastAsia="en-US"/>
              </w:rPr>
              <w:t>(a) se nanašajo le na uravnavanje ponudbe zadevnega proizvoda ter prilagajajo ponudbo tega sira povpraševanju po njem;</w:t>
            </w:r>
          </w:p>
        </w:tc>
        <w:tc>
          <w:tcPr>
            <w:tcW w:w="4876" w:type="dxa"/>
            <w:hideMark/>
          </w:tcPr>
          <w:p w14:paraId="5633F30C" w14:textId="77777777" w:rsidR="006F5BFE" w:rsidRPr="003B2277" w:rsidRDefault="006F5BFE" w:rsidP="005B4D60">
            <w:pPr>
              <w:spacing w:after="120"/>
              <w:rPr>
                <w:szCs w:val="24"/>
                <w:lang w:eastAsia="en-US"/>
              </w:rPr>
            </w:pPr>
            <w:r w:rsidRPr="003B2277">
              <w:rPr>
                <w:rFonts w:eastAsia="Calibri" w:cs="Mangal"/>
                <w:lang w:eastAsia="en-US"/>
              </w:rPr>
              <w:t>(a) se nanašajo le na uravnavanje ponudbe zadevnega proizvoda ter prilagajajo ponudbo tega sira povpraševanju po njem;</w:t>
            </w:r>
          </w:p>
        </w:tc>
      </w:tr>
      <w:tr w:rsidR="006F5BFE" w:rsidRPr="003B2277" w14:paraId="089EA0A0" w14:textId="77777777" w:rsidTr="005B4D60">
        <w:trPr>
          <w:jc w:val="center"/>
        </w:trPr>
        <w:tc>
          <w:tcPr>
            <w:tcW w:w="4876" w:type="dxa"/>
            <w:hideMark/>
          </w:tcPr>
          <w:p w14:paraId="72D6C836" w14:textId="77777777" w:rsidR="006F5BFE" w:rsidRPr="003B2277" w:rsidRDefault="006F5BFE" w:rsidP="005B4D60">
            <w:pPr>
              <w:spacing w:after="120"/>
              <w:rPr>
                <w:lang w:eastAsia="en-US"/>
              </w:rPr>
            </w:pPr>
            <w:r w:rsidRPr="003B2277">
              <w:rPr>
                <w:rFonts w:eastAsia="Calibri" w:cs="Mangal"/>
                <w:lang w:eastAsia="en-US"/>
              </w:rPr>
              <w:t>(b) lahko učinkujejo le na zadevni proizvod;</w:t>
            </w:r>
          </w:p>
        </w:tc>
        <w:tc>
          <w:tcPr>
            <w:tcW w:w="4876" w:type="dxa"/>
            <w:hideMark/>
          </w:tcPr>
          <w:p w14:paraId="34CBC703" w14:textId="77777777" w:rsidR="006F5BFE" w:rsidRPr="003B2277" w:rsidRDefault="006F5BFE" w:rsidP="005B4D60">
            <w:pPr>
              <w:spacing w:after="120"/>
              <w:rPr>
                <w:szCs w:val="24"/>
                <w:lang w:eastAsia="en-US"/>
              </w:rPr>
            </w:pPr>
            <w:r w:rsidRPr="003B2277">
              <w:rPr>
                <w:rFonts w:eastAsia="Calibri" w:cs="Mangal"/>
                <w:lang w:eastAsia="en-US"/>
              </w:rPr>
              <w:t>(b) lahko učinkujejo le na zadevni proizvod;</w:t>
            </w:r>
          </w:p>
        </w:tc>
      </w:tr>
      <w:tr w:rsidR="006F5BFE" w:rsidRPr="003B2277" w14:paraId="47B67AC5" w14:textId="77777777" w:rsidTr="005B4D60">
        <w:trPr>
          <w:jc w:val="center"/>
        </w:trPr>
        <w:tc>
          <w:tcPr>
            <w:tcW w:w="4876" w:type="dxa"/>
            <w:hideMark/>
          </w:tcPr>
          <w:p w14:paraId="4884C821" w14:textId="77777777" w:rsidR="006F5BFE" w:rsidRPr="003B2277" w:rsidRDefault="006F5BFE" w:rsidP="005B4D60">
            <w:pPr>
              <w:spacing w:after="120"/>
              <w:rPr>
                <w:lang w:eastAsia="en-US"/>
              </w:rPr>
            </w:pPr>
            <w:r w:rsidRPr="003B2277">
              <w:rPr>
                <w:rFonts w:eastAsia="Calibri" w:cs="Mangal"/>
                <w:lang w:eastAsia="en-US"/>
              </w:rPr>
              <w:t xml:space="preserve">(c) so lahko zavezujoča največ </w:t>
            </w:r>
            <w:r w:rsidRPr="003B2277">
              <w:rPr>
                <w:rFonts w:eastAsia="Calibri" w:cs="Mangal"/>
                <w:b/>
                <w:i/>
                <w:lang w:eastAsia="en-US"/>
              </w:rPr>
              <w:t>tri leta</w:t>
            </w:r>
            <w:r w:rsidRPr="003B2277">
              <w:rPr>
                <w:rFonts w:eastAsia="Calibri" w:cs="Mangal"/>
                <w:lang w:eastAsia="en-US"/>
              </w:rPr>
              <w:t xml:space="preserve"> in se lahko po tem obdobju obnovijo na podlagi nove zahteve iz odstavka 1;</w:t>
            </w:r>
          </w:p>
        </w:tc>
        <w:tc>
          <w:tcPr>
            <w:tcW w:w="4876" w:type="dxa"/>
            <w:hideMark/>
          </w:tcPr>
          <w:p w14:paraId="28FE880F" w14:textId="77777777" w:rsidR="006F5BFE" w:rsidRPr="003B2277" w:rsidRDefault="006F5BFE" w:rsidP="005B4D60">
            <w:pPr>
              <w:spacing w:after="120"/>
              <w:rPr>
                <w:szCs w:val="24"/>
                <w:lang w:eastAsia="en-US"/>
              </w:rPr>
            </w:pPr>
            <w:r w:rsidRPr="003B2277">
              <w:rPr>
                <w:rFonts w:eastAsia="Calibri" w:cs="Mangal"/>
                <w:lang w:eastAsia="en-US"/>
              </w:rPr>
              <w:t xml:space="preserve">(c) so lahko zavezujoča največ </w:t>
            </w:r>
            <w:r w:rsidRPr="003B2277">
              <w:rPr>
                <w:rFonts w:eastAsia="Calibri" w:cs="Mangal"/>
                <w:b/>
                <w:i/>
                <w:lang w:eastAsia="en-US"/>
              </w:rPr>
              <w:t>pet let</w:t>
            </w:r>
            <w:r w:rsidRPr="003B2277">
              <w:rPr>
                <w:rFonts w:eastAsia="Calibri" w:cs="Mangal"/>
                <w:lang w:eastAsia="en-US"/>
              </w:rPr>
              <w:t xml:space="preserve"> in se lahko po tem obdobju obnovijo na podlagi nove zahteve iz odstavka 1;</w:t>
            </w:r>
          </w:p>
        </w:tc>
      </w:tr>
      <w:tr w:rsidR="006F5BFE" w:rsidRPr="003B2277" w14:paraId="3ACE5068" w14:textId="77777777" w:rsidTr="005B4D60">
        <w:trPr>
          <w:jc w:val="center"/>
        </w:trPr>
        <w:tc>
          <w:tcPr>
            <w:tcW w:w="4876" w:type="dxa"/>
            <w:hideMark/>
          </w:tcPr>
          <w:p w14:paraId="3E90B0CE" w14:textId="77777777" w:rsidR="006F5BFE" w:rsidRPr="003B2277" w:rsidRDefault="006F5BFE" w:rsidP="005B4D60">
            <w:pPr>
              <w:spacing w:after="120"/>
              <w:rPr>
                <w:lang w:eastAsia="en-US"/>
              </w:rPr>
            </w:pPr>
            <w:r w:rsidRPr="003B2277">
              <w:rPr>
                <w:rFonts w:eastAsia="Calibri" w:cs="Mangal"/>
                <w:lang w:eastAsia="en-US"/>
              </w:rPr>
              <w:t>(d) ne škodujejo trgovini z drugimi proizvodi, na katere se ta pravila ne nanašajo;</w:t>
            </w:r>
          </w:p>
        </w:tc>
        <w:tc>
          <w:tcPr>
            <w:tcW w:w="4876" w:type="dxa"/>
            <w:hideMark/>
          </w:tcPr>
          <w:p w14:paraId="4FDBB57D" w14:textId="77777777" w:rsidR="006F5BFE" w:rsidRPr="003B2277" w:rsidRDefault="006F5BFE" w:rsidP="005B4D60">
            <w:pPr>
              <w:spacing w:after="120"/>
              <w:rPr>
                <w:szCs w:val="24"/>
                <w:lang w:eastAsia="en-US"/>
              </w:rPr>
            </w:pPr>
            <w:r w:rsidRPr="003B2277">
              <w:rPr>
                <w:rFonts w:eastAsia="Calibri" w:cs="Mangal"/>
                <w:lang w:eastAsia="en-US"/>
              </w:rPr>
              <w:t>(d) ne škodujejo trgovini z drugimi proizvodi, na katere se ta pravila ne nanašajo;</w:t>
            </w:r>
          </w:p>
        </w:tc>
      </w:tr>
      <w:tr w:rsidR="006F5BFE" w:rsidRPr="003B2277" w14:paraId="45167B09" w14:textId="77777777" w:rsidTr="005B4D60">
        <w:trPr>
          <w:jc w:val="center"/>
        </w:trPr>
        <w:tc>
          <w:tcPr>
            <w:tcW w:w="4876" w:type="dxa"/>
            <w:hideMark/>
          </w:tcPr>
          <w:p w14:paraId="17EF7103" w14:textId="77777777" w:rsidR="006F5BFE" w:rsidRPr="003B2277" w:rsidRDefault="006F5BFE" w:rsidP="005B4D60">
            <w:pPr>
              <w:spacing w:after="120"/>
              <w:rPr>
                <w:lang w:eastAsia="en-US"/>
              </w:rPr>
            </w:pPr>
            <w:r w:rsidRPr="003B2277">
              <w:rPr>
                <w:rFonts w:eastAsia="Calibri" w:cs="Mangal"/>
                <w:lang w:eastAsia="en-US"/>
              </w:rPr>
              <w:t>(e) ne zadevajo poslov po prvem trženju zadevnega sira;</w:t>
            </w:r>
          </w:p>
        </w:tc>
        <w:tc>
          <w:tcPr>
            <w:tcW w:w="4876" w:type="dxa"/>
            <w:hideMark/>
          </w:tcPr>
          <w:p w14:paraId="57CF41A7" w14:textId="77777777" w:rsidR="006F5BFE" w:rsidRPr="003B2277" w:rsidRDefault="006F5BFE" w:rsidP="005B4D60">
            <w:pPr>
              <w:spacing w:after="120"/>
              <w:rPr>
                <w:szCs w:val="24"/>
                <w:lang w:eastAsia="en-US"/>
              </w:rPr>
            </w:pPr>
            <w:r w:rsidRPr="003B2277">
              <w:rPr>
                <w:rFonts w:eastAsia="Calibri" w:cs="Mangal"/>
                <w:lang w:eastAsia="en-US"/>
              </w:rPr>
              <w:t>(e) ne zadevajo poslov po prvem trženju zadevnega sira;</w:t>
            </w:r>
          </w:p>
        </w:tc>
      </w:tr>
      <w:tr w:rsidR="006F5BFE" w:rsidRPr="003B2277" w14:paraId="5EFAE872" w14:textId="77777777" w:rsidTr="005B4D60">
        <w:trPr>
          <w:jc w:val="center"/>
        </w:trPr>
        <w:tc>
          <w:tcPr>
            <w:tcW w:w="4876" w:type="dxa"/>
            <w:hideMark/>
          </w:tcPr>
          <w:p w14:paraId="0A7ADA2B" w14:textId="77777777" w:rsidR="006F5BFE" w:rsidRPr="003B2277" w:rsidRDefault="006F5BFE" w:rsidP="005B4D60">
            <w:pPr>
              <w:spacing w:after="120"/>
              <w:rPr>
                <w:lang w:eastAsia="en-US"/>
              </w:rPr>
            </w:pPr>
            <w:r w:rsidRPr="003B2277">
              <w:rPr>
                <w:rFonts w:eastAsia="Calibri" w:cs="Mangal"/>
                <w:lang w:eastAsia="en-US"/>
              </w:rPr>
              <w:t>(f) ne omogočajo določanja cen, niti okvirnih ali priporočenih;</w:t>
            </w:r>
          </w:p>
        </w:tc>
        <w:tc>
          <w:tcPr>
            <w:tcW w:w="4876" w:type="dxa"/>
            <w:hideMark/>
          </w:tcPr>
          <w:p w14:paraId="26106B8E" w14:textId="77777777" w:rsidR="006F5BFE" w:rsidRPr="003B2277" w:rsidRDefault="006F5BFE" w:rsidP="005B4D60">
            <w:pPr>
              <w:spacing w:after="120"/>
              <w:rPr>
                <w:szCs w:val="24"/>
                <w:lang w:eastAsia="en-US"/>
              </w:rPr>
            </w:pPr>
            <w:r w:rsidRPr="003B2277">
              <w:rPr>
                <w:rFonts w:eastAsia="Calibri" w:cs="Mangal"/>
                <w:lang w:eastAsia="en-US"/>
              </w:rPr>
              <w:t>(f) ne omogočajo določanja cen, niti okvirnih ali priporočenih;</w:t>
            </w:r>
          </w:p>
        </w:tc>
      </w:tr>
      <w:tr w:rsidR="006F5BFE" w:rsidRPr="003B2277" w14:paraId="1FDC24D9" w14:textId="77777777" w:rsidTr="005B4D60">
        <w:trPr>
          <w:jc w:val="center"/>
        </w:trPr>
        <w:tc>
          <w:tcPr>
            <w:tcW w:w="4876" w:type="dxa"/>
            <w:hideMark/>
          </w:tcPr>
          <w:p w14:paraId="5AB450A7" w14:textId="77777777" w:rsidR="006F5BFE" w:rsidRPr="003B2277" w:rsidRDefault="006F5BFE" w:rsidP="005B4D60">
            <w:pPr>
              <w:spacing w:after="120"/>
              <w:rPr>
                <w:lang w:eastAsia="en-US"/>
              </w:rPr>
            </w:pPr>
            <w:r w:rsidRPr="003B2277">
              <w:rPr>
                <w:rFonts w:eastAsia="Calibri" w:cs="Mangal"/>
                <w:lang w:eastAsia="en-US"/>
              </w:rPr>
              <w:t>(g) ne smejo povzročiti, da prekomeren delež zadevnega proizvoda, ki bi sicer bil na voljo, ne bi bil več na voljo;</w:t>
            </w:r>
          </w:p>
        </w:tc>
        <w:tc>
          <w:tcPr>
            <w:tcW w:w="4876" w:type="dxa"/>
            <w:hideMark/>
          </w:tcPr>
          <w:p w14:paraId="5286FE71" w14:textId="77777777" w:rsidR="006F5BFE" w:rsidRPr="003B2277" w:rsidRDefault="006F5BFE" w:rsidP="005B4D60">
            <w:pPr>
              <w:spacing w:after="120"/>
              <w:rPr>
                <w:szCs w:val="24"/>
                <w:lang w:eastAsia="en-US"/>
              </w:rPr>
            </w:pPr>
            <w:r w:rsidRPr="003B2277">
              <w:rPr>
                <w:rFonts w:eastAsia="Calibri" w:cs="Mangal"/>
                <w:lang w:eastAsia="en-US"/>
              </w:rPr>
              <w:t>(g) ne smejo povzročiti, da prekomeren delež zadevnega proizvoda, ki bi sicer bil na voljo, ne bi bil več na voljo;</w:t>
            </w:r>
          </w:p>
        </w:tc>
      </w:tr>
      <w:tr w:rsidR="006F5BFE" w:rsidRPr="003B2277" w14:paraId="1D5F7177" w14:textId="77777777" w:rsidTr="005B4D60">
        <w:trPr>
          <w:jc w:val="center"/>
        </w:trPr>
        <w:tc>
          <w:tcPr>
            <w:tcW w:w="4876" w:type="dxa"/>
            <w:hideMark/>
          </w:tcPr>
          <w:p w14:paraId="5B7E4C9B" w14:textId="77777777" w:rsidR="006F5BFE" w:rsidRPr="003B2277" w:rsidRDefault="006F5BFE" w:rsidP="005B4D60">
            <w:pPr>
              <w:spacing w:after="120"/>
              <w:rPr>
                <w:lang w:eastAsia="en-US"/>
              </w:rPr>
            </w:pPr>
            <w:r w:rsidRPr="003B2277">
              <w:rPr>
                <w:rFonts w:eastAsia="Calibri" w:cs="Mangal"/>
                <w:lang w:eastAsia="en-US"/>
              </w:rPr>
              <w:t>(h) ne povzročajo diskriminacije, ovirajo dostopa novih udeležencev do trga ali škodujejo malim proizvajalcem;</w:t>
            </w:r>
          </w:p>
        </w:tc>
        <w:tc>
          <w:tcPr>
            <w:tcW w:w="4876" w:type="dxa"/>
            <w:hideMark/>
          </w:tcPr>
          <w:p w14:paraId="174DC3DB" w14:textId="77777777" w:rsidR="006F5BFE" w:rsidRPr="003B2277" w:rsidRDefault="006F5BFE" w:rsidP="005B4D60">
            <w:pPr>
              <w:spacing w:after="120"/>
              <w:rPr>
                <w:szCs w:val="24"/>
                <w:lang w:eastAsia="en-US"/>
              </w:rPr>
            </w:pPr>
            <w:r w:rsidRPr="003B2277">
              <w:rPr>
                <w:rFonts w:eastAsia="Calibri" w:cs="Mangal"/>
                <w:lang w:eastAsia="en-US"/>
              </w:rPr>
              <w:t>(h) ne povzročajo diskriminacije, ovirajo dostopa novih udeležencev do trga ali škodujejo malim proizvajalcem;</w:t>
            </w:r>
          </w:p>
        </w:tc>
      </w:tr>
      <w:tr w:rsidR="006F5BFE" w:rsidRPr="003B2277" w14:paraId="5F9DA9D7" w14:textId="77777777" w:rsidTr="005B4D60">
        <w:trPr>
          <w:jc w:val="center"/>
        </w:trPr>
        <w:tc>
          <w:tcPr>
            <w:tcW w:w="4876" w:type="dxa"/>
            <w:hideMark/>
          </w:tcPr>
          <w:p w14:paraId="7190B1F4" w14:textId="77777777" w:rsidR="006F5BFE" w:rsidRPr="003B2277" w:rsidRDefault="006F5BFE" w:rsidP="005B4D60">
            <w:pPr>
              <w:spacing w:after="120"/>
              <w:rPr>
                <w:lang w:eastAsia="en-US"/>
              </w:rPr>
            </w:pPr>
            <w:r w:rsidRPr="003B2277">
              <w:rPr>
                <w:rFonts w:eastAsia="Calibri" w:cs="Mangal"/>
                <w:lang w:eastAsia="en-US"/>
              </w:rPr>
              <w:t>(i) prispevajo k ohranjanju kakovosti in/ali razvoju zadevnega proizvoda;</w:t>
            </w:r>
          </w:p>
        </w:tc>
        <w:tc>
          <w:tcPr>
            <w:tcW w:w="4876" w:type="dxa"/>
            <w:hideMark/>
          </w:tcPr>
          <w:p w14:paraId="5707C1AB" w14:textId="77777777" w:rsidR="006F5BFE" w:rsidRPr="003B2277" w:rsidRDefault="006F5BFE" w:rsidP="005B4D60">
            <w:pPr>
              <w:spacing w:after="120"/>
              <w:rPr>
                <w:szCs w:val="24"/>
                <w:lang w:eastAsia="en-US"/>
              </w:rPr>
            </w:pPr>
            <w:r w:rsidRPr="003B2277">
              <w:rPr>
                <w:rFonts w:eastAsia="Calibri" w:cs="Mangal"/>
                <w:lang w:eastAsia="en-US"/>
              </w:rPr>
              <w:t>(i) prispevajo k ohranjanju kakovosti in/ali razvoju zadevnega proizvoda;</w:t>
            </w:r>
          </w:p>
        </w:tc>
      </w:tr>
      <w:tr w:rsidR="006F5BFE" w:rsidRPr="003B2277" w14:paraId="06125181" w14:textId="77777777" w:rsidTr="005B4D60">
        <w:trPr>
          <w:jc w:val="center"/>
        </w:trPr>
        <w:tc>
          <w:tcPr>
            <w:tcW w:w="4876" w:type="dxa"/>
            <w:hideMark/>
          </w:tcPr>
          <w:p w14:paraId="3E898C73" w14:textId="77777777" w:rsidR="006F5BFE" w:rsidRPr="003B2277" w:rsidRDefault="006F5BFE" w:rsidP="005B4D60">
            <w:pPr>
              <w:spacing w:after="120"/>
              <w:rPr>
                <w:lang w:eastAsia="en-US"/>
              </w:rPr>
            </w:pPr>
            <w:r w:rsidRPr="003B2277">
              <w:rPr>
                <w:rFonts w:eastAsia="Calibri" w:cs="Mangal"/>
                <w:lang w:eastAsia="en-US"/>
              </w:rPr>
              <w:t>(j) ne posegajo v člen 149.</w:t>
            </w:r>
          </w:p>
        </w:tc>
        <w:tc>
          <w:tcPr>
            <w:tcW w:w="4876" w:type="dxa"/>
            <w:hideMark/>
          </w:tcPr>
          <w:p w14:paraId="3DDDEE78" w14:textId="77777777" w:rsidR="006F5BFE" w:rsidRPr="003B2277" w:rsidRDefault="006F5BFE" w:rsidP="005B4D60">
            <w:pPr>
              <w:spacing w:after="120"/>
              <w:rPr>
                <w:szCs w:val="24"/>
                <w:lang w:eastAsia="en-US"/>
              </w:rPr>
            </w:pPr>
            <w:r w:rsidRPr="003B2277">
              <w:rPr>
                <w:rFonts w:eastAsia="Calibri" w:cs="Mangal"/>
                <w:lang w:eastAsia="en-US"/>
              </w:rPr>
              <w:t>(j) ne posegajo v člen 149.</w:t>
            </w:r>
          </w:p>
        </w:tc>
      </w:tr>
      <w:tr w:rsidR="006F5BFE" w:rsidRPr="003B2277" w14:paraId="2B19CD32" w14:textId="77777777" w:rsidTr="005B4D60">
        <w:trPr>
          <w:jc w:val="center"/>
        </w:trPr>
        <w:tc>
          <w:tcPr>
            <w:tcW w:w="4876" w:type="dxa"/>
            <w:hideMark/>
          </w:tcPr>
          <w:p w14:paraId="07CD8886"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Pravila iz odstavka 1 se objavijo v uradnem glasilu zadevne države članice.</w:t>
            </w:r>
          </w:p>
        </w:tc>
        <w:tc>
          <w:tcPr>
            <w:tcW w:w="4876" w:type="dxa"/>
            <w:hideMark/>
          </w:tcPr>
          <w:p w14:paraId="72FB3B2B"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Pravila iz odstavka 1 se objavijo v uradnem glasilu zadevne države članice.</w:t>
            </w:r>
          </w:p>
        </w:tc>
      </w:tr>
      <w:tr w:rsidR="006F5BFE" w:rsidRPr="003B2277" w14:paraId="2568CC7D" w14:textId="77777777" w:rsidTr="005B4D60">
        <w:trPr>
          <w:jc w:val="center"/>
        </w:trPr>
        <w:tc>
          <w:tcPr>
            <w:tcW w:w="4876" w:type="dxa"/>
            <w:hideMark/>
          </w:tcPr>
          <w:p w14:paraId="17E1B249" w14:textId="77777777"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Države članice izvajajo preglede, da zagotovijo izpolnjevanje pogojev iz odstavka 4, in razveljavijo pravila iz odstavka 1, če pristojni nacionalni organi ugotovijo neizpolnjevanje teh pogojev.</w:t>
            </w:r>
          </w:p>
        </w:tc>
        <w:tc>
          <w:tcPr>
            <w:tcW w:w="4876" w:type="dxa"/>
            <w:hideMark/>
          </w:tcPr>
          <w:p w14:paraId="48815A0F" w14:textId="77777777"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Države članice izvajajo preglede, da zagotovijo izpolnjevanje pogojev iz odstavka 4, in razveljavijo pravila iz odstavka 1, če pristojni nacionalni organi ugotovijo neizpolnjevanje teh pogojev.</w:t>
            </w:r>
          </w:p>
        </w:tc>
      </w:tr>
      <w:tr w:rsidR="006F5BFE" w:rsidRPr="003B2277" w14:paraId="2ACE074B" w14:textId="77777777" w:rsidTr="005B4D60">
        <w:trPr>
          <w:jc w:val="center"/>
        </w:trPr>
        <w:tc>
          <w:tcPr>
            <w:tcW w:w="4876" w:type="dxa"/>
            <w:hideMark/>
          </w:tcPr>
          <w:p w14:paraId="4079A57C" w14:textId="77777777" w:rsidR="006F5BFE" w:rsidRPr="003B2277" w:rsidRDefault="006F5BFE" w:rsidP="005B4D60">
            <w:pPr>
              <w:spacing w:after="120"/>
              <w:rPr>
                <w:lang w:eastAsia="en-US"/>
              </w:rPr>
            </w:pPr>
            <w:r w:rsidRPr="003B2277">
              <w:rPr>
                <w:rFonts w:eastAsia="Calibri" w:cs="Mangal"/>
                <w:lang w:eastAsia="en-US"/>
              </w:rPr>
              <w:t>7.</w:t>
            </w:r>
            <w:r w:rsidRPr="003B2277">
              <w:rPr>
                <w:rFonts w:eastAsia="Calibri" w:cs="Mangal"/>
                <w:lang w:eastAsia="en-US"/>
              </w:rPr>
              <w:tab/>
              <w:t>Države članice nemudoma uradno obvestijo Komisijo o pravilih iz odstavka 1, ki so jih sprejele. Komisija druge države članice obvesti o uradnih obvestilih o takih pravilih.</w:t>
            </w:r>
          </w:p>
        </w:tc>
        <w:tc>
          <w:tcPr>
            <w:tcW w:w="4876" w:type="dxa"/>
            <w:hideMark/>
          </w:tcPr>
          <w:p w14:paraId="15CE6A3B" w14:textId="77777777" w:rsidR="006F5BFE" w:rsidRPr="003B2277" w:rsidRDefault="006F5BFE" w:rsidP="005B4D60">
            <w:pPr>
              <w:spacing w:after="120"/>
              <w:rPr>
                <w:szCs w:val="24"/>
                <w:lang w:eastAsia="en-US"/>
              </w:rPr>
            </w:pPr>
            <w:r w:rsidRPr="003B2277">
              <w:rPr>
                <w:rFonts w:eastAsia="Calibri" w:cs="Mangal"/>
                <w:lang w:eastAsia="en-US"/>
              </w:rPr>
              <w:t>7.</w:t>
            </w:r>
            <w:r w:rsidRPr="003B2277">
              <w:rPr>
                <w:rFonts w:eastAsia="Calibri" w:cs="Mangal"/>
                <w:lang w:eastAsia="en-US"/>
              </w:rPr>
              <w:tab/>
              <w:t>Države članice nemudoma uradno obvestijo Komisijo o pravilih iz odstavka 1, ki so jih sprejele. Komisija druge države članice obvesti o uradnih obvestilih o takih pravilih.</w:t>
            </w:r>
          </w:p>
        </w:tc>
      </w:tr>
      <w:tr w:rsidR="006F5BFE" w:rsidRPr="003B2277" w14:paraId="3EF904F2" w14:textId="77777777" w:rsidTr="005B4D60">
        <w:trPr>
          <w:jc w:val="center"/>
        </w:trPr>
        <w:tc>
          <w:tcPr>
            <w:tcW w:w="4876" w:type="dxa"/>
            <w:hideMark/>
          </w:tcPr>
          <w:p w14:paraId="3CFA8204" w14:textId="77777777" w:rsidR="006F5BFE" w:rsidRPr="003B2277" w:rsidRDefault="006F5BFE" w:rsidP="005B4D60">
            <w:pPr>
              <w:spacing w:after="120"/>
              <w:rPr>
                <w:lang w:eastAsia="en-US"/>
              </w:rPr>
            </w:pPr>
            <w:r w:rsidRPr="003B2277">
              <w:rPr>
                <w:rFonts w:eastAsia="Calibri" w:cs="Mangal"/>
                <w:lang w:eastAsia="en-US"/>
              </w:rPr>
              <w:t>8.</w:t>
            </w:r>
            <w:r w:rsidRPr="003B2277">
              <w:rPr>
                <w:rFonts w:eastAsia="Calibri" w:cs="Mangal"/>
                <w:lang w:eastAsia="en-US"/>
              </w:rPr>
              <w:tab/>
              <w:t>Komisija lahko kadar koli sprejme izvedbene akte, s katerimi se zahteva, naj država članica razveljavi pravila, ki jih je ta država članica določila v skladu z odstavkom 1, če Komisija ugotovi, da ta pravila niso v skladu s pogoji iz odstavka 4, da preprečujejo ali izkrivljajo konkurenco na precejšnjem delu notranjega trga ali da ogrožajo prosto trgovino ali doseganje ciljev iz člena 39 PDEU. Ti izvedbeni akti se sprejmejo brez uporabe člena 229(2) ali (3) te uredbe.</w:t>
            </w:r>
          </w:p>
        </w:tc>
        <w:tc>
          <w:tcPr>
            <w:tcW w:w="4876" w:type="dxa"/>
            <w:hideMark/>
          </w:tcPr>
          <w:p w14:paraId="715AAF03" w14:textId="71FB8ABE" w:rsidR="006F5BFE" w:rsidRPr="003B2277" w:rsidRDefault="006F5BFE" w:rsidP="00167BAA">
            <w:pPr>
              <w:spacing w:after="120"/>
              <w:rPr>
                <w:szCs w:val="24"/>
                <w:lang w:eastAsia="en-US"/>
              </w:rPr>
            </w:pPr>
            <w:r w:rsidRPr="003B2277">
              <w:rPr>
                <w:rFonts w:eastAsia="Calibri" w:cs="Mangal"/>
                <w:lang w:eastAsia="en-US"/>
              </w:rPr>
              <w:t>8.</w:t>
            </w:r>
            <w:r w:rsidRPr="003B2277">
              <w:rPr>
                <w:rFonts w:eastAsia="Calibri" w:cs="Mangal"/>
                <w:lang w:eastAsia="en-US"/>
              </w:rPr>
              <w:tab/>
              <w:t>Komisija lahko kadar koli sprejme izvedbene akte, s katerimi se zahteva, naj država članica razveljavi pravila, ki jih je ta država članica določila v skladu z odstavkom 1, če Komisija ugotovi, da ta pravila niso v skladu s pogoji iz odstavka 4, da preprečujejo ali izkrivljajo konkurenco na precejšnjem delu notranjega trga ali da ogrožajo prosto trgovino ali doseganje ciljev iz člena 39 PDEU. Ti izvedbeni akti se sprejmejo brez uporabe člena 229(2) ali (3) te uredbe.</w:t>
            </w:r>
            <w:r w:rsidRPr="003B2277">
              <w:rPr>
                <w:rFonts w:eastAsia="Calibri" w:cs="Mangal"/>
                <w:b/>
                <w:i/>
                <w:lang w:eastAsia="en-US"/>
              </w:rPr>
              <w:t>“</w:t>
            </w:r>
          </w:p>
        </w:tc>
      </w:tr>
    </w:tbl>
    <w:p w14:paraId="09044A9A" w14:textId="77777777" w:rsidR="006F5BFE" w:rsidRPr="003B2277" w:rsidRDefault="006F5BFE" w:rsidP="006F5BFE">
      <w:pPr>
        <w:rPr>
          <w:lang w:eastAsia="en-US"/>
        </w:rPr>
      </w:pPr>
    </w:p>
    <w:p w14:paraId="04AEB94F" w14:textId="0506177B"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112</w:t>
      </w:r>
    </w:p>
    <w:p w14:paraId="3E07CA7D" w14:textId="77777777" w:rsidR="006F5BFE" w:rsidRPr="003B2277" w:rsidRDefault="006F5BFE" w:rsidP="006F5BFE"/>
    <w:p w14:paraId="4BEFFF7E" w14:textId="77777777" w:rsidR="006F5BFE" w:rsidRPr="003B2277" w:rsidRDefault="006F5BFE" w:rsidP="006F5BFE">
      <w:pPr>
        <w:keepNext/>
        <w:rPr>
          <w:b/>
          <w:lang w:eastAsia="en-US"/>
        </w:rPr>
      </w:pPr>
      <w:r w:rsidRPr="003B2277">
        <w:rPr>
          <w:rFonts w:eastAsia="Calibri" w:cs="Mangal"/>
          <w:b/>
          <w:lang w:eastAsia="en-US"/>
        </w:rPr>
        <w:t>Predlog uredbe</w:t>
      </w:r>
    </w:p>
    <w:p w14:paraId="512955B2" w14:textId="77777777" w:rsidR="006F5BFE" w:rsidRPr="003B2277" w:rsidRDefault="006F5BFE" w:rsidP="006F5BFE">
      <w:pPr>
        <w:rPr>
          <w:b/>
          <w:lang w:eastAsia="en-US"/>
        </w:rPr>
      </w:pPr>
      <w:r w:rsidRPr="003B2277">
        <w:rPr>
          <w:rFonts w:eastAsia="Calibri" w:cs="Mangal"/>
          <w:b/>
          <w:lang w:eastAsia="en-US"/>
        </w:rPr>
        <w:t>Člen 1 – odstavek 1 – točka 22 d (novo)</w:t>
      </w:r>
    </w:p>
    <w:p w14:paraId="39C96E19" w14:textId="77777777" w:rsidR="006F5BFE" w:rsidRPr="003B2277" w:rsidRDefault="006F5BFE" w:rsidP="006F5BFE">
      <w:pPr>
        <w:keepNext/>
        <w:rPr>
          <w:lang w:eastAsia="en-US"/>
        </w:rPr>
      </w:pPr>
      <w:r w:rsidRPr="003B2277">
        <w:rPr>
          <w:rFonts w:eastAsia="Calibri" w:cs="Mangal"/>
          <w:lang w:eastAsia="en-US"/>
        </w:rPr>
        <w:t>Uredba (EU) št. 1308/2013</w:t>
      </w:r>
    </w:p>
    <w:p w14:paraId="7F918627" w14:textId="77777777" w:rsidR="006F5BFE" w:rsidRPr="003B2277" w:rsidRDefault="006F5BFE" w:rsidP="006F5BFE">
      <w:pPr>
        <w:rPr>
          <w:lang w:eastAsia="en-US"/>
        </w:rPr>
      </w:pPr>
      <w:r w:rsidRPr="003B2277">
        <w:rPr>
          <w:rFonts w:eastAsia="Calibri" w:cs="Mangal"/>
          <w:lang w:eastAsia="en-US"/>
        </w:rPr>
        <w:t>Člen 151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D879B0A" w14:textId="77777777" w:rsidTr="005B4D60">
        <w:trPr>
          <w:jc w:val="center"/>
        </w:trPr>
        <w:tc>
          <w:tcPr>
            <w:tcW w:w="9752" w:type="dxa"/>
            <w:gridSpan w:val="2"/>
          </w:tcPr>
          <w:p w14:paraId="0CD4748A" w14:textId="77777777" w:rsidR="006F5BFE" w:rsidRPr="003B2277" w:rsidRDefault="006F5BFE" w:rsidP="005B4D60">
            <w:pPr>
              <w:keepNext/>
            </w:pPr>
          </w:p>
        </w:tc>
      </w:tr>
      <w:tr w:rsidR="006F5BFE" w:rsidRPr="003B2277" w14:paraId="590A51A3" w14:textId="77777777" w:rsidTr="005B4D60">
        <w:trPr>
          <w:jc w:val="center"/>
        </w:trPr>
        <w:tc>
          <w:tcPr>
            <w:tcW w:w="4876" w:type="dxa"/>
            <w:hideMark/>
          </w:tcPr>
          <w:p w14:paraId="66539E5B"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0EEED17" w14:textId="55BF745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5D880A8" w14:textId="77777777" w:rsidTr="005B4D60">
        <w:trPr>
          <w:jc w:val="center"/>
        </w:trPr>
        <w:tc>
          <w:tcPr>
            <w:tcW w:w="4876" w:type="dxa"/>
          </w:tcPr>
          <w:p w14:paraId="7BEAC296" w14:textId="77777777" w:rsidR="006F5BFE" w:rsidRPr="003B2277" w:rsidRDefault="006F5BFE" w:rsidP="005B4D60">
            <w:pPr>
              <w:spacing w:after="120"/>
            </w:pPr>
          </w:p>
        </w:tc>
        <w:tc>
          <w:tcPr>
            <w:tcW w:w="4876" w:type="dxa"/>
            <w:hideMark/>
          </w:tcPr>
          <w:p w14:paraId="7837F5AA" w14:textId="77777777" w:rsidR="006F5BFE" w:rsidRPr="003B2277" w:rsidRDefault="006F5BFE" w:rsidP="005B4D60">
            <w:pPr>
              <w:spacing w:after="120"/>
              <w:rPr>
                <w:szCs w:val="24"/>
                <w:lang w:eastAsia="en-US"/>
              </w:rPr>
            </w:pPr>
            <w:r w:rsidRPr="003B2277">
              <w:rPr>
                <w:rFonts w:eastAsia="Calibri" w:cs="Mangal"/>
                <w:b/>
                <w:i/>
                <w:lang w:eastAsia="en-US"/>
              </w:rPr>
              <w:t>(22d)</w:t>
            </w:r>
            <w:r w:rsidRPr="003B2277">
              <w:rPr>
                <w:rFonts w:eastAsia="Calibri" w:cs="Mangal"/>
                <w:b/>
                <w:i/>
                <w:lang w:eastAsia="en-US"/>
              </w:rPr>
              <w:tab/>
              <w:t>člen 151 se nadomesti z naslednjim:</w:t>
            </w:r>
          </w:p>
        </w:tc>
      </w:tr>
      <w:tr w:rsidR="006F5BFE" w:rsidRPr="003B2277" w14:paraId="2D280BB5" w14:textId="77777777" w:rsidTr="005B4D60">
        <w:trPr>
          <w:jc w:val="center"/>
        </w:trPr>
        <w:tc>
          <w:tcPr>
            <w:tcW w:w="4876" w:type="dxa"/>
            <w:hideMark/>
          </w:tcPr>
          <w:p w14:paraId="2DCC7749" w14:textId="77777777" w:rsidR="006F5BFE" w:rsidRPr="003B2277" w:rsidRDefault="006F5BFE" w:rsidP="005B4D60">
            <w:pPr>
              <w:spacing w:after="120"/>
              <w:rPr>
                <w:lang w:eastAsia="en-US"/>
              </w:rPr>
            </w:pPr>
            <w:r w:rsidRPr="003B2277">
              <w:rPr>
                <w:rFonts w:eastAsia="Calibri" w:cs="Mangal"/>
                <w:lang w:eastAsia="en-US"/>
              </w:rPr>
              <w:t>Člen 151</w:t>
            </w:r>
          </w:p>
        </w:tc>
        <w:tc>
          <w:tcPr>
            <w:tcW w:w="4876" w:type="dxa"/>
            <w:hideMark/>
          </w:tcPr>
          <w:p w14:paraId="18090596"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151</w:t>
            </w:r>
          </w:p>
        </w:tc>
      </w:tr>
      <w:tr w:rsidR="006F5BFE" w:rsidRPr="003B2277" w14:paraId="6E3C38FD" w14:textId="77777777" w:rsidTr="005B4D60">
        <w:trPr>
          <w:jc w:val="center"/>
        </w:trPr>
        <w:tc>
          <w:tcPr>
            <w:tcW w:w="4876" w:type="dxa"/>
            <w:hideMark/>
          </w:tcPr>
          <w:p w14:paraId="7455EBC7" w14:textId="77777777" w:rsidR="006F5BFE" w:rsidRPr="003B2277" w:rsidRDefault="006F5BFE" w:rsidP="005B4D60">
            <w:pPr>
              <w:spacing w:after="120"/>
              <w:rPr>
                <w:lang w:eastAsia="en-US"/>
              </w:rPr>
            </w:pPr>
            <w:r w:rsidRPr="003B2277">
              <w:rPr>
                <w:rFonts w:eastAsia="Calibri" w:cs="Mangal"/>
                <w:lang w:eastAsia="en-US"/>
              </w:rPr>
              <w:t>Obvezno prijavljanje v sektorju mleka in mlečnih proizvodov</w:t>
            </w:r>
          </w:p>
        </w:tc>
        <w:tc>
          <w:tcPr>
            <w:tcW w:w="4876" w:type="dxa"/>
            <w:hideMark/>
          </w:tcPr>
          <w:p w14:paraId="1F432702" w14:textId="77777777" w:rsidR="006F5BFE" w:rsidRPr="003B2277" w:rsidRDefault="006F5BFE" w:rsidP="005B4D60">
            <w:pPr>
              <w:spacing w:after="120"/>
              <w:rPr>
                <w:szCs w:val="24"/>
                <w:lang w:eastAsia="en-US"/>
              </w:rPr>
            </w:pPr>
            <w:r w:rsidRPr="003B2277">
              <w:rPr>
                <w:rFonts w:eastAsia="Calibri" w:cs="Mangal"/>
                <w:lang w:eastAsia="en-US"/>
              </w:rPr>
              <w:t>Obvezno prijavljanje v sektorju mleka in mlečnih proizvodov</w:t>
            </w:r>
          </w:p>
        </w:tc>
      </w:tr>
      <w:tr w:rsidR="006F5BFE" w:rsidRPr="003B2277" w14:paraId="69D618AA" w14:textId="77777777" w:rsidTr="005B4D60">
        <w:trPr>
          <w:jc w:val="center"/>
        </w:trPr>
        <w:tc>
          <w:tcPr>
            <w:tcW w:w="4876" w:type="dxa"/>
            <w:hideMark/>
          </w:tcPr>
          <w:p w14:paraId="176323C5" w14:textId="77777777" w:rsidR="006F5BFE" w:rsidRPr="003B2277" w:rsidRDefault="006F5BFE" w:rsidP="005B4D60">
            <w:pPr>
              <w:spacing w:after="120"/>
              <w:rPr>
                <w:lang w:eastAsia="en-US"/>
              </w:rPr>
            </w:pPr>
            <w:r w:rsidRPr="003B2277">
              <w:rPr>
                <w:rFonts w:eastAsia="Calibri" w:cs="Mangal"/>
                <w:lang w:eastAsia="en-US"/>
              </w:rPr>
              <w:t>Prvi kupci surovega mleka od aprila 2015 pristojnemu nacionalnemu organu prijavijo količine surovega mleka, ki so jim bile oddane vsak mesec.</w:t>
            </w:r>
          </w:p>
        </w:tc>
        <w:tc>
          <w:tcPr>
            <w:tcW w:w="4876" w:type="dxa"/>
            <w:hideMark/>
          </w:tcPr>
          <w:p w14:paraId="515FF8BC" w14:textId="77777777" w:rsidR="006F5BFE" w:rsidRPr="003B2277" w:rsidRDefault="006F5BFE" w:rsidP="005B4D60">
            <w:pPr>
              <w:spacing w:after="120"/>
              <w:rPr>
                <w:szCs w:val="24"/>
                <w:lang w:eastAsia="en-US"/>
              </w:rPr>
            </w:pPr>
            <w:r w:rsidRPr="003B2277">
              <w:rPr>
                <w:rFonts w:eastAsia="Calibri" w:cs="Mangal"/>
                <w:lang w:eastAsia="en-US"/>
              </w:rPr>
              <w:t xml:space="preserve">Prvi kupci surovega mleka od </w:t>
            </w:r>
            <w:r w:rsidRPr="003B2277">
              <w:rPr>
                <w:rFonts w:eastAsia="Calibri" w:cs="Mangal"/>
                <w:b/>
                <w:i/>
                <w:lang w:eastAsia="en-US"/>
              </w:rPr>
              <w:t xml:space="preserve">1. </w:t>
            </w:r>
            <w:r w:rsidRPr="003B2277">
              <w:rPr>
                <w:rFonts w:eastAsia="Calibri" w:cs="Mangal"/>
                <w:lang w:eastAsia="en-US"/>
              </w:rPr>
              <w:t>aprila 2015 pristojnemu nacionalnemu organu prijavijo količine surovega mleka, ki so jim bile oddane vsak mesec</w:t>
            </w:r>
            <w:r w:rsidRPr="003B2277">
              <w:rPr>
                <w:rFonts w:eastAsia="Calibri" w:cs="Mangal"/>
                <w:b/>
                <w:i/>
                <w:lang w:eastAsia="en-US"/>
              </w:rPr>
              <w:t>, in povprečno plačano ceno. Pri tem se razlikuje glede na to, ali proizvodnja izvira iz ekološkega kmetijstva. Če je prvi kupec zadruga, se povprečna cena sporoči ob koncu tržnega leta iz člena 6(c)(v).</w:t>
            </w:r>
          </w:p>
        </w:tc>
      </w:tr>
      <w:tr w:rsidR="006F5BFE" w:rsidRPr="003B2277" w14:paraId="38FD4B7C" w14:textId="77777777" w:rsidTr="005B4D60">
        <w:trPr>
          <w:jc w:val="center"/>
        </w:trPr>
        <w:tc>
          <w:tcPr>
            <w:tcW w:w="4876" w:type="dxa"/>
          </w:tcPr>
          <w:p w14:paraId="557D1FD4" w14:textId="77777777" w:rsidR="006F5BFE" w:rsidRPr="003B2277" w:rsidRDefault="006F5BFE" w:rsidP="005B4D60">
            <w:pPr>
              <w:spacing w:after="120"/>
            </w:pPr>
          </w:p>
        </w:tc>
        <w:tc>
          <w:tcPr>
            <w:tcW w:w="4876" w:type="dxa"/>
            <w:hideMark/>
          </w:tcPr>
          <w:p w14:paraId="3C3ADB56" w14:textId="77777777" w:rsidR="006F5BFE" w:rsidRPr="003B2277" w:rsidRDefault="006F5BFE" w:rsidP="005B4D60">
            <w:pPr>
              <w:spacing w:after="120"/>
              <w:rPr>
                <w:szCs w:val="24"/>
                <w:lang w:eastAsia="en-US"/>
              </w:rPr>
            </w:pPr>
            <w:r w:rsidRPr="003B2277">
              <w:rPr>
                <w:rFonts w:eastAsia="Calibri" w:cs="Mangal"/>
                <w:b/>
                <w:i/>
                <w:lang w:eastAsia="en-US"/>
              </w:rPr>
              <w:t>Informacije o povprečni ceni so zaupne in pristojni organ zagotovi, da posebne povprečne cene ali imena posameznih gospodarskih izvajalcev niso objavljena.</w:t>
            </w:r>
          </w:p>
        </w:tc>
      </w:tr>
      <w:tr w:rsidR="006F5BFE" w:rsidRPr="003B2277" w14:paraId="6D7C9E63" w14:textId="77777777" w:rsidTr="005B4D60">
        <w:trPr>
          <w:jc w:val="center"/>
        </w:trPr>
        <w:tc>
          <w:tcPr>
            <w:tcW w:w="4876" w:type="dxa"/>
          </w:tcPr>
          <w:p w14:paraId="68459455" w14:textId="77777777" w:rsidR="006F5BFE" w:rsidRPr="003B2277" w:rsidRDefault="006F5BFE" w:rsidP="005B4D60">
            <w:pPr>
              <w:spacing w:after="120"/>
              <w:rPr>
                <w:lang w:eastAsia="en-US"/>
              </w:rPr>
            </w:pPr>
            <w:r w:rsidRPr="003B2277">
              <w:rPr>
                <w:rFonts w:eastAsia="Calibri" w:cs="Mangal"/>
                <w:lang w:eastAsia="en-US"/>
              </w:rPr>
              <w:t>Za namene tega člena in člena 148„prvi kupec“ pomeni podjetje ali skupino, ki od proizvajalcev kupuje mleko, z namenom da ga:</w:t>
            </w:r>
          </w:p>
        </w:tc>
        <w:tc>
          <w:tcPr>
            <w:tcW w:w="4876" w:type="dxa"/>
            <w:hideMark/>
          </w:tcPr>
          <w:p w14:paraId="50587B3C" w14:textId="77777777" w:rsidR="006F5BFE" w:rsidRPr="003B2277" w:rsidRDefault="006F5BFE" w:rsidP="005B4D60">
            <w:pPr>
              <w:spacing w:after="120"/>
              <w:rPr>
                <w:szCs w:val="24"/>
                <w:lang w:eastAsia="en-US"/>
              </w:rPr>
            </w:pPr>
            <w:r w:rsidRPr="003B2277">
              <w:rPr>
                <w:rFonts w:eastAsia="Calibri" w:cs="Mangal"/>
                <w:lang w:eastAsia="en-US"/>
              </w:rPr>
              <w:t>Za namene tega člena in člena 148„prvi kupec“ pomeni podjetje ali skupino, ki od proizvajalcev kupuje mleko, z namenom da ga:</w:t>
            </w:r>
          </w:p>
        </w:tc>
      </w:tr>
      <w:tr w:rsidR="006F5BFE" w:rsidRPr="003B2277" w14:paraId="74A664EE" w14:textId="77777777" w:rsidTr="005B4D60">
        <w:trPr>
          <w:jc w:val="center"/>
        </w:trPr>
        <w:tc>
          <w:tcPr>
            <w:tcW w:w="4876" w:type="dxa"/>
          </w:tcPr>
          <w:p w14:paraId="60D523E4" w14:textId="77777777" w:rsidR="006F5BFE" w:rsidRPr="003B2277" w:rsidRDefault="006F5BFE" w:rsidP="005B4D60">
            <w:pPr>
              <w:spacing w:after="120"/>
              <w:rPr>
                <w:lang w:eastAsia="en-US"/>
              </w:rPr>
            </w:pPr>
            <w:r w:rsidRPr="003B2277">
              <w:rPr>
                <w:rFonts w:eastAsia="Calibri" w:cs="Mangal"/>
                <w:lang w:eastAsia="en-US"/>
              </w:rPr>
              <w:t>(a) zbira, pakira, skladišči, hladi ali predela, vključno na podlagi pogodbe;</w:t>
            </w:r>
          </w:p>
        </w:tc>
        <w:tc>
          <w:tcPr>
            <w:tcW w:w="4876" w:type="dxa"/>
            <w:hideMark/>
          </w:tcPr>
          <w:p w14:paraId="6BCEB944" w14:textId="77777777" w:rsidR="006F5BFE" w:rsidRPr="003B2277" w:rsidRDefault="006F5BFE" w:rsidP="005B4D60">
            <w:pPr>
              <w:spacing w:after="120"/>
              <w:rPr>
                <w:szCs w:val="24"/>
                <w:lang w:eastAsia="en-US"/>
              </w:rPr>
            </w:pPr>
            <w:r w:rsidRPr="003B2277">
              <w:rPr>
                <w:rFonts w:eastAsia="Calibri" w:cs="Mangal"/>
                <w:lang w:eastAsia="en-US"/>
              </w:rPr>
              <w:t>(a) zbira, pakira, skladišči, hladi ali predela, vključno na podlagi pogodbe;</w:t>
            </w:r>
          </w:p>
        </w:tc>
      </w:tr>
      <w:tr w:rsidR="006F5BFE" w:rsidRPr="003B2277" w14:paraId="2CF21A26" w14:textId="77777777" w:rsidTr="005B4D60">
        <w:trPr>
          <w:jc w:val="center"/>
        </w:trPr>
        <w:tc>
          <w:tcPr>
            <w:tcW w:w="4876" w:type="dxa"/>
          </w:tcPr>
          <w:p w14:paraId="2E7AE8C9" w14:textId="77777777" w:rsidR="006F5BFE" w:rsidRPr="003B2277" w:rsidRDefault="006F5BFE" w:rsidP="005B4D60">
            <w:pPr>
              <w:spacing w:after="120"/>
              <w:rPr>
                <w:lang w:eastAsia="en-US"/>
              </w:rPr>
            </w:pPr>
            <w:r w:rsidRPr="003B2277">
              <w:rPr>
                <w:rFonts w:eastAsia="Calibri" w:cs="Mangal"/>
                <w:lang w:eastAsia="en-US"/>
              </w:rPr>
              <w:t>(b) proda enemu ali več podjetjem, ki obdelujejo ali predelujejo mleko ali druge mlečne proizvode.</w:t>
            </w:r>
          </w:p>
        </w:tc>
        <w:tc>
          <w:tcPr>
            <w:tcW w:w="4876" w:type="dxa"/>
            <w:hideMark/>
          </w:tcPr>
          <w:p w14:paraId="3C413745" w14:textId="77777777" w:rsidR="006F5BFE" w:rsidRPr="003B2277" w:rsidRDefault="006F5BFE" w:rsidP="005B4D60">
            <w:pPr>
              <w:spacing w:after="120"/>
              <w:rPr>
                <w:szCs w:val="24"/>
                <w:lang w:eastAsia="en-US"/>
              </w:rPr>
            </w:pPr>
            <w:r w:rsidRPr="003B2277">
              <w:rPr>
                <w:rFonts w:eastAsia="Calibri" w:cs="Mangal"/>
                <w:lang w:eastAsia="en-US"/>
              </w:rPr>
              <w:t xml:space="preserve">(b) proda enemu ali več podjetjem, ki obdelujejo ali predelujejo mleko ali druge mlečne proizvode. </w:t>
            </w:r>
          </w:p>
        </w:tc>
      </w:tr>
      <w:tr w:rsidR="006F5BFE" w:rsidRPr="003B2277" w14:paraId="6BC71713" w14:textId="77777777" w:rsidTr="005B4D60">
        <w:trPr>
          <w:jc w:val="center"/>
        </w:trPr>
        <w:tc>
          <w:tcPr>
            <w:tcW w:w="4876" w:type="dxa"/>
          </w:tcPr>
          <w:p w14:paraId="5EE1F39A" w14:textId="77777777" w:rsidR="006F5BFE" w:rsidRPr="003B2277" w:rsidRDefault="006F5BFE" w:rsidP="005B4D60">
            <w:pPr>
              <w:spacing w:after="120"/>
              <w:rPr>
                <w:lang w:eastAsia="en-US"/>
              </w:rPr>
            </w:pPr>
            <w:r w:rsidRPr="003B2277">
              <w:rPr>
                <w:rFonts w:eastAsia="Calibri" w:cs="Mangal"/>
                <w:lang w:eastAsia="en-US"/>
              </w:rPr>
              <w:t>Države članice Komisijo uradno obvestijo o količini surovega mleka iz prvega pododstavka.</w:t>
            </w:r>
          </w:p>
        </w:tc>
        <w:tc>
          <w:tcPr>
            <w:tcW w:w="4876" w:type="dxa"/>
          </w:tcPr>
          <w:p w14:paraId="1D4B45F2" w14:textId="77777777" w:rsidR="006F5BFE" w:rsidRPr="003B2277" w:rsidRDefault="006F5BFE" w:rsidP="005B4D60">
            <w:pPr>
              <w:spacing w:after="120"/>
              <w:rPr>
                <w:lang w:eastAsia="en-US"/>
              </w:rPr>
            </w:pPr>
            <w:r w:rsidRPr="003B2277">
              <w:rPr>
                <w:rFonts w:eastAsia="Calibri" w:cs="Mangal"/>
                <w:lang w:eastAsia="en-US"/>
              </w:rPr>
              <w:t xml:space="preserve">Države članice Komisijo uradno obvestijo o količini surovega mleka </w:t>
            </w:r>
            <w:r w:rsidRPr="003B2277">
              <w:rPr>
                <w:rFonts w:eastAsia="Calibri" w:cs="Mangal"/>
                <w:b/>
                <w:i/>
                <w:lang w:eastAsia="en-US"/>
              </w:rPr>
              <w:t xml:space="preserve">in povprečni ceni </w:t>
            </w:r>
            <w:r w:rsidRPr="003B2277">
              <w:rPr>
                <w:rFonts w:eastAsia="Calibri" w:cs="Mangal"/>
                <w:lang w:eastAsia="en-US"/>
              </w:rPr>
              <w:t>iz prvega pododstavka.</w:t>
            </w:r>
          </w:p>
        </w:tc>
      </w:tr>
      <w:tr w:rsidR="006F5BFE" w:rsidRPr="003B2277" w14:paraId="107DAD0A" w14:textId="77777777" w:rsidTr="005B4D60">
        <w:trPr>
          <w:jc w:val="center"/>
        </w:trPr>
        <w:tc>
          <w:tcPr>
            <w:tcW w:w="4876" w:type="dxa"/>
            <w:hideMark/>
          </w:tcPr>
          <w:p w14:paraId="4FCD1CA7" w14:textId="77777777" w:rsidR="006F5BFE" w:rsidRPr="003B2277" w:rsidRDefault="006F5BFE" w:rsidP="005B4D60">
            <w:pPr>
              <w:spacing w:after="120"/>
              <w:rPr>
                <w:lang w:eastAsia="en-US"/>
              </w:rPr>
            </w:pPr>
            <w:r w:rsidRPr="003B2277">
              <w:rPr>
                <w:rFonts w:eastAsia="Calibri" w:cs="Mangal"/>
                <w:lang w:eastAsia="en-US"/>
              </w:rPr>
              <w:t>Komisija lahko sprejme izvedbene akte, s katerimi določi pravila o vsebini, obliki in časovnem razporedu takih prijav ter ukrepe glede uradnih obvestil držav članic v skladu s tem členom. Ti izvedbeni akti se sprejmejo v skladu s postopkom pregleda iz člena 229(2).</w:t>
            </w:r>
          </w:p>
        </w:tc>
        <w:tc>
          <w:tcPr>
            <w:tcW w:w="4876" w:type="dxa"/>
            <w:hideMark/>
          </w:tcPr>
          <w:p w14:paraId="0AD10A1D" w14:textId="77777777" w:rsidR="006F5BFE" w:rsidRPr="003B2277" w:rsidRDefault="006F5BFE" w:rsidP="005B4D60">
            <w:pPr>
              <w:spacing w:after="120"/>
              <w:rPr>
                <w:szCs w:val="24"/>
                <w:lang w:eastAsia="en-US"/>
              </w:rPr>
            </w:pPr>
            <w:r w:rsidRPr="003B2277">
              <w:rPr>
                <w:rFonts w:eastAsia="Calibri" w:cs="Mangal"/>
                <w:lang w:eastAsia="en-US"/>
              </w:rPr>
              <w:t>Komisija lahko sprejme izvedbene akte, s katerimi določi pravila o vsebini, obliki in časovnem razporedu takih prijav ter ukrepe glede uradnih obvestil držav članic v skladu s tem členom. Ti izvedbeni akti se sprejmejo v skladu s postopkom pregleda iz člena 229(2).</w:t>
            </w:r>
            <w:r w:rsidRPr="003B2277">
              <w:rPr>
                <w:rFonts w:eastAsia="Calibri" w:cs="Mangal"/>
                <w:b/>
                <w:i/>
                <w:lang w:eastAsia="en-US"/>
              </w:rPr>
              <w:t>“</w:t>
            </w:r>
          </w:p>
        </w:tc>
      </w:tr>
    </w:tbl>
    <w:p w14:paraId="5BA403A6" w14:textId="77777777" w:rsidR="006F5BFE" w:rsidRPr="003B2277" w:rsidRDefault="006F5BFE" w:rsidP="006F5BFE">
      <w:pPr>
        <w:rPr>
          <w:lang w:eastAsia="en-US"/>
        </w:rPr>
      </w:pPr>
    </w:p>
    <w:p w14:paraId="3E2CE706" w14:textId="2CDE2ED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113</w:t>
      </w:r>
    </w:p>
    <w:p w14:paraId="5BA7A459" w14:textId="77777777" w:rsidR="006F5BFE" w:rsidRPr="003B2277" w:rsidRDefault="006F5BFE" w:rsidP="006F5BFE">
      <w:pPr>
        <w:keepNext/>
        <w:rPr>
          <w:b/>
          <w:lang w:eastAsia="en-US"/>
        </w:rPr>
      </w:pPr>
      <w:r w:rsidRPr="003B2277">
        <w:rPr>
          <w:rFonts w:eastAsia="Calibri" w:cs="Mangal"/>
          <w:b/>
          <w:lang w:eastAsia="en-US"/>
        </w:rPr>
        <w:t>Predlog uredbe</w:t>
      </w:r>
    </w:p>
    <w:p w14:paraId="4958DBFF" w14:textId="77777777" w:rsidR="006F5BFE" w:rsidRPr="003B2277" w:rsidRDefault="006F5BFE" w:rsidP="006F5BFE">
      <w:pPr>
        <w:rPr>
          <w:b/>
          <w:lang w:eastAsia="en-US"/>
        </w:rPr>
      </w:pPr>
      <w:r w:rsidRPr="003B2277">
        <w:rPr>
          <w:rFonts w:eastAsia="Calibri" w:cs="Mangal"/>
          <w:b/>
          <w:lang w:eastAsia="en-US"/>
        </w:rPr>
        <w:t>Člen 1 – odstavek 1 – točka 22 e (novo)</w:t>
      </w:r>
    </w:p>
    <w:p w14:paraId="70FCB487" w14:textId="77777777" w:rsidR="006F5BFE" w:rsidRPr="003B2277" w:rsidRDefault="006F5BFE" w:rsidP="006F5BFE">
      <w:pPr>
        <w:keepNext/>
        <w:rPr>
          <w:lang w:eastAsia="en-US"/>
        </w:rPr>
      </w:pPr>
      <w:r w:rsidRPr="003B2277">
        <w:rPr>
          <w:rFonts w:eastAsia="Calibri" w:cs="Mangal"/>
          <w:lang w:eastAsia="en-US"/>
        </w:rPr>
        <w:t>Uredba (EU) št. 1308/2013</w:t>
      </w:r>
    </w:p>
    <w:p w14:paraId="29A698A7" w14:textId="77777777" w:rsidR="006F5BFE" w:rsidRPr="003B2277" w:rsidRDefault="006F5BFE" w:rsidP="006F5BFE">
      <w:pPr>
        <w:rPr>
          <w:lang w:eastAsia="en-US"/>
        </w:rPr>
      </w:pPr>
      <w:r w:rsidRPr="003B2277">
        <w:rPr>
          <w:rFonts w:eastAsia="Calibri" w:cs="Mangal"/>
          <w:lang w:eastAsia="en-US"/>
        </w:rPr>
        <w:t>Člen 152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00891D5" w14:textId="77777777" w:rsidTr="005B4D60">
        <w:trPr>
          <w:jc w:val="center"/>
        </w:trPr>
        <w:tc>
          <w:tcPr>
            <w:tcW w:w="9752" w:type="dxa"/>
            <w:gridSpan w:val="2"/>
          </w:tcPr>
          <w:p w14:paraId="773B1103" w14:textId="77777777" w:rsidR="006F5BFE" w:rsidRPr="003B2277" w:rsidRDefault="006F5BFE" w:rsidP="005B4D60">
            <w:pPr>
              <w:keepNext/>
            </w:pPr>
          </w:p>
        </w:tc>
      </w:tr>
      <w:tr w:rsidR="006F5BFE" w:rsidRPr="003B2277" w14:paraId="056851B7" w14:textId="77777777" w:rsidTr="005B4D60">
        <w:trPr>
          <w:jc w:val="center"/>
        </w:trPr>
        <w:tc>
          <w:tcPr>
            <w:tcW w:w="4876" w:type="dxa"/>
            <w:hideMark/>
          </w:tcPr>
          <w:p w14:paraId="53CF6807"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6D6B19A" w14:textId="62B747F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0064793" w14:textId="77777777" w:rsidTr="005B4D60">
        <w:trPr>
          <w:jc w:val="center"/>
        </w:trPr>
        <w:tc>
          <w:tcPr>
            <w:tcW w:w="4876" w:type="dxa"/>
          </w:tcPr>
          <w:p w14:paraId="0E139B1F" w14:textId="77777777" w:rsidR="006F5BFE" w:rsidRPr="003B2277" w:rsidRDefault="006F5BFE" w:rsidP="005B4D60">
            <w:pPr>
              <w:spacing w:after="120"/>
            </w:pPr>
          </w:p>
        </w:tc>
        <w:tc>
          <w:tcPr>
            <w:tcW w:w="4876" w:type="dxa"/>
            <w:hideMark/>
          </w:tcPr>
          <w:p w14:paraId="2132AC3C" w14:textId="77777777" w:rsidR="006F5BFE" w:rsidRPr="003B2277" w:rsidRDefault="006F5BFE" w:rsidP="005B4D60">
            <w:pPr>
              <w:spacing w:after="120"/>
              <w:rPr>
                <w:szCs w:val="24"/>
                <w:lang w:eastAsia="en-US"/>
              </w:rPr>
            </w:pPr>
            <w:r w:rsidRPr="003B2277">
              <w:rPr>
                <w:rFonts w:eastAsia="Calibri" w:cs="Mangal"/>
                <w:b/>
                <w:i/>
                <w:lang w:eastAsia="en-US"/>
              </w:rPr>
              <w:t>(22e)</w:t>
            </w:r>
            <w:r w:rsidRPr="003B2277">
              <w:rPr>
                <w:rFonts w:eastAsia="Calibri" w:cs="Mangal"/>
                <w:b/>
                <w:i/>
                <w:lang w:eastAsia="en-US"/>
              </w:rPr>
              <w:tab/>
              <w:t>člen 152 se nadomesti z naslednjim:</w:t>
            </w:r>
          </w:p>
        </w:tc>
      </w:tr>
      <w:tr w:rsidR="006F5BFE" w:rsidRPr="003B2277" w14:paraId="37FEC524" w14:textId="77777777" w:rsidTr="005B4D60">
        <w:trPr>
          <w:jc w:val="center"/>
        </w:trPr>
        <w:tc>
          <w:tcPr>
            <w:tcW w:w="4876" w:type="dxa"/>
            <w:hideMark/>
          </w:tcPr>
          <w:p w14:paraId="7BF49AB4" w14:textId="77777777" w:rsidR="006F5BFE" w:rsidRPr="003B2277" w:rsidRDefault="006F5BFE" w:rsidP="005B4D60">
            <w:pPr>
              <w:spacing w:after="120"/>
              <w:rPr>
                <w:lang w:eastAsia="en-US"/>
              </w:rPr>
            </w:pPr>
            <w:r w:rsidRPr="003B2277">
              <w:rPr>
                <w:rFonts w:eastAsia="Calibri" w:cs="Mangal"/>
                <w:lang w:eastAsia="en-US"/>
              </w:rPr>
              <w:t>Člen 152</w:t>
            </w:r>
          </w:p>
        </w:tc>
        <w:tc>
          <w:tcPr>
            <w:tcW w:w="4876" w:type="dxa"/>
            <w:hideMark/>
          </w:tcPr>
          <w:p w14:paraId="71DFF674"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152</w:t>
            </w:r>
          </w:p>
        </w:tc>
      </w:tr>
      <w:tr w:rsidR="006F5BFE" w:rsidRPr="003B2277" w14:paraId="5E4E342F" w14:textId="77777777" w:rsidTr="005B4D60">
        <w:trPr>
          <w:jc w:val="center"/>
        </w:trPr>
        <w:tc>
          <w:tcPr>
            <w:tcW w:w="4876" w:type="dxa"/>
            <w:hideMark/>
          </w:tcPr>
          <w:p w14:paraId="43DDB970" w14:textId="77777777" w:rsidR="006F5BFE" w:rsidRPr="003B2277" w:rsidRDefault="006F5BFE" w:rsidP="005B4D60">
            <w:pPr>
              <w:spacing w:after="120"/>
              <w:rPr>
                <w:lang w:eastAsia="en-US"/>
              </w:rPr>
            </w:pPr>
            <w:r w:rsidRPr="003B2277">
              <w:rPr>
                <w:rFonts w:eastAsia="Calibri" w:cs="Mangal"/>
                <w:lang w:eastAsia="en-US"/>
              </w:rPr>
              <w:t>Organizacije proizvajalcev</w:t>
            </w:r>
          </w:p>
        </w:tc>
        <w:tc>
          <w:tcPr>
            <w:tcW w:w="4876" w:type="dxa"/>
            <w:hideMark/>
          </w:tcPr>
          <w:p w14:paraId="2C1FE2D8" w14:textId="77777777" w:rsidR="006F5BFE" w:rsidRPr="003B2277" w:rsidRDefault="006F5BFE" w:rsidP="005B4D60">
            <w:pPr>
              <w:spacing w:after="120"/>
              <w:rPr>
                <w:szCs w:val="24"/>
                <w:lang w:eastAsia="en-US"/>
              </w:rPr>
            </w:pPr>
            <w:r w:rsidRPr="003B2277">
              <w:rPr>
                <w:rFonts w:eastAsia="Calibri" w:cs="Mangal"/>
                <w:lang w:eastAsia="en-US"/>
              </w:rPr>
              <w:t>Organizacije proizvajalcev</w:t>
            </w:r>
          </w:p>
        </w:tc>
      </w:tr>
      <w:tr w:rsidR="006F5BFE" w:rsidRPr="003B2277" w14:paraId="3B499DB5" w14:textId="77777777" w:rsidTr="005B4D60">
        <w:trPr>
          <w:jc w:val="center"/>
        </w:trPr>
        <w:tc>
          <w:tcPr>
            <w:tcW w:w="4876" w:type="dxa"/>
            <w:hideMark/>
          </w:tcPr>
          <w:p w14:paraId="7934E65B"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Države članice lahko na zahtevo priznajo organizacije proizvajalcev, ki:</w:t>
            </w:r>
          </w:p>
        </w:tc>
        <w:tc>
          <w:tcPr>
            <w:tcW w:w="4876" w:type="dxa"/>
            <w:hideMark/>
          </w:tcPr>
          <w:p w14:paraId="7D7637DA"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Države članice lahko na zahtevo priznajo organizacije proizvajalcev, ki:</w:t>
            </w:r>
          </w:p>
        </w:tc>
      </w:tr>
      <w:tr w:rsidR="006F5BFE" w:rsidRPr="003B2277" w14:paraId="66613DF6" w14:textId="77777777" w:rsidTr="005B4D60">
        <w:trPr>
          <w:jc w:val="center"/>
        </w:trPr>
        <w:tc>
          <w:tcPr>
            <w:tcW w:w="4876" w:type="dxa"/>
            <w:hideMark/>
          </w:tcPr>
          <w:p w14:paraId="1233F7CE" w14:textId="77777777" w:rsidR="006F5BFE" w:rsidRPr="003B2277" w:rsidRDefault="006F5BFE" w:rsidP="005B4D60">
            <w:pPr>
              <w:spacing w:after="120"/>
              <w:rPr>
                <w:lang w:eastAsia="en-US"/>
              </w:rPr>
            </w:pPr>
            <w:r w:rsidRPr="003B2277">
              <w:rPr>
                <w:rFonts w:eastAsia="Calibri" w:cs="Mangal"/>
                <w:lang w:eastAsia="en-US"/>
              </w:rPr>
              <w:t>(a) jih sestavljajo in v skladu s točko (c) člena 153(2) nadzorujejo proizvajalci v določenem sektorju iz člena 1(2);</w:t>
            </w:r>
          </w:p>
        </w:tc>
        <w:tc>
          <w:tcPr>
            <w:tcW w:w="4876" w:type="dxa"/>
            <w:hideMark/>
          </w:tcPr>
          <w:p w14:paraId="6EB66583" w14:textId="77777777" w:rsidR="006F5BFE" w:rsidRPr="003B2277" w:rsidRDefault="006F5BFE" w:rsidP="005B4D60">
            <w:pPr>
              <w:spacing w:after="120"/>
              <w:rPr>
                <w:szCs w:val="24"/>
                <w:lang w:eastAsia="en-US"/>
              </w:rPr>
            </w:pPr>
            <w:r w:rsidRPr="003B2277">
              <w:rPr>
                <w:rFonts w:eastAsia="Calibri" w:cs="Mangal"/>
                <w:lang w:eastAsia="en-US"/>
              </w:rPr>
              <w:t>(a) jih sestavljajo in v skladu s točko (c) člena 153(2) nadzorujejo proizvajalci v določenem sektorju iz člena 1(2);</w:t>
            </w:r>
          </w:p>
        </w:tc>
      </w:tr>
      <w:tr w:rsidR="006F5BFE" w:rsidRPr="003B2277" w14:paraId="797AC315" w14:textId="77777777" w:rsidTr="005B4D60">
        <w:trPr>
          <w:jc w:val="center"/>
        </w:trPr>
        <w:tc>
          <w:tcPr>
            <w:tcW w:w="4876" w:type="dxa"/>
            <w:hideMark/>
          </w:tcPr>
          <w:p w14:paraId="3B92EB72" w14:textId="77777777" w:rsidR="006F5BFE" w:rsidRPr="003B2277" w:rsidRDefault="006F5BFE" w:rsidP="005B4D60">
            <w:pPr>
              <w:spacing w:after="120"/>
              <w:rPr>
                <w:lang w:eastAsia="en-US"/>
              </w:rPr>
            </w:pPr>
            <w:r w:rsidRPr="003B2277">
              <w:rPr>
                <w:rFonts w:eastAsia="Calibri" w:cs="Mangal"/>
                <w:lang w:eastAsia="en-US"/>
              </w:rPr>
              <w:t>(b) so ustanovljene na pobudo proizvajalcev in opravljajo vsaj eno od naslednjih dejavnosti:</w:t>
            </w:r>
          </w:p>
        </w:tc>
        <w:tc>
          <w:tcPr>
            <w:tcW w:w="4876" w:type="dxa"/>
            <w:hideMark/>
          </w:tcPr>
          <w:p w14:paraId="0E5F4F88" w14:textId="77777777" w:rsidR="006F5BFE" w:rsidRPr="003B2277" w:rsidRDefault="006F5BFE" w:rsidP="005B4D60">
            <w:pPr>
              <w:spacing w:after="120"/>
              <w:rPr>
                <w:szCs w:val="24"/>
                <w:lang w:eastAsia="en-US"/>
              </w:rPr>
            </w:pPr>
            <w:r w:rsidRPr="003B2277">
              <w:rPr>
                <w:rFonts w:eastAsia="Calibri" w:cs="Mangal"/>
                <w:lang w:eastAsia="en-US"/>
              </w:rPr>
              <w:t>(b) so ustanovljene na pobudo proizvajalcev in opravljajo vsaj eno od naslednjih dejavnosti:</w:t>
            </w:r>
          </w:p>
        </w:tc>
      </w:tr>
      <w:tr w:rsidR="006F5BFE" w:rsidRPr="003B2277" w14:paraId="25F365DB" w14:textId="77777777" w:rsidTr="005B4D60">
        <w:trPr>
          <w:jc w:val="center"/>
        </w:trPr>
        <w:tc>
          <w:tcPr>
            <w:tcW w:w="4876" w:type="dxa"/>
            <w:hideMark/>
          </w:tcPr>
          <w:p w14:paraId="759B030C" w14:textId="77777777" w:rsidR="006F5BFE" w:rsidRPr="003B2277" w:rsidRDefault="006F5BFE" w:rsidP="005B4D60">
            <w:pPr>
              <w:spacing w:after="120"/>
              <w:rPr>
                <w:lang w:eastAsia="en-US"/>
              </w:rPr>
            </w:pPr>
            <w:r w:rsidRPr="003B2277">
              <w:rPr>
                <w:rFonts w:eastAsia="Calibri" w:cs="Mangal"/>
                <w:lang w:eastAsia="en-US"/>
              </w:rPr>
              <w:t>(i) skupna predelava;</w:t>
            </w:r>
          </w:p>
        </w:tc>
        <w:tc>
          <w:tcPr>
            <w:tcW w:w="4876" w:type="dxa"/>
            <w:hideMark/>
          </w:tcPr>
          <w:p w14:paraId="56D0DE77" w14:textId="77777777" w:rsidR="006F5BFE" w:rsidRPr="003B2277" w:rsidRDefault="006F5BFE" w:rsidP="005B4D60">
            <w:pPr>
              <w:spacing w:after="120"/>
              <w:rPr>
                <w:szCs w:val="24"/>
                <w:lang w:eastAsia="en-US"/>
              </w:rPr>
            </w:pPr>
            <w:r w:rsidRPr="003B2277">
              <w:rPr>
                <w:rFonts w:eastAsia="Calibri" w:cs="Mangal"/>
                <w:lang w:eastAsia="en-US"/>
              </w:rPr>
              <w:t>(i) skupna predelava;</w:t>
            </w:r>
          </w:p>
        </w:tc>
      </w:tr>
      <w:tr w:rsidR="006F5BFE" w:rsidRPr="003B2277" w14:paraId="07002260" w14:textId="77777777" w:rsidTr="005B4D60">
        <w:trPr>
          <w:jc w:val="center"/>
        </w:trPr>
        <w:tc>
          <w:tcPr>
            <w:tcW w:w="4876" w:type="dxa"/>
            <w:hideMark/>
          </w:tcPr>
          <w:p w14:paraId="0597483F" w14:textId="77777777" w:rsidR="006F5BFE" w:rsidRPr="003B2277" w:rsidRDefault="006F5BFE" w:rsidP="005B4D60">
            <w:pPr>
              <w:spacing w:after="120"/>
              <w:rPr>
                <w:lang w:eastAsia="en-US"/>
              </w:rPr>
            </w:pPr>
            <w:r w:rsidRPr="003B2277">
              <w:rPr>
                <w:rFonts w:eastAsia="Calibri" w:cs="Mangal"/>
                <w:lang w:eastAsia="en-US"/>
              </w:rPr>
              <w:t>(ii) skupna distribucija, vključno s skupno prodajno mrežo ali skupnim prevozom;</w:t>
            </w:r>
          </w:p>
        </w:tc>
        <w:tc>
          <w:tcPr>
            <w:tcW w:w="4876" w:type="dxa"/>
            <w:hideMark/>
          </w:tcPr>
          <w:p w14:paraId="17BB4985" w14:textId="77777777" w:rsidR="006F5BFE" w:rsidRPr="003B2277" w:rsidRDefault="006F5BFE" w:rsidP="005B4D60">
            <w:pPr>
              <w:spacing w:after="120"/>
              <w:rPr>
                <w:szCs w:val="24"/>
                <w:lang w:eastAsia="en-US"/>
              </w:rPr>
            </w:pPr>
            <w:r w:rsidRPr="003B2277">
              <w:rPr>
                <w:rFonts w:eastAsia="Calibri" w:cs="Mangal"/>
                <w:lang w:eastAsia="en-US"/>
              </w:rPr>
              <w:t>(ii) skupna distribucija, vključno s skupno prodajno mrežo ali skupnim prevozom;</w:t>
            </w:r>
          </w:p>
        </w:tc>
      </w:tr>
      <w:tr w:rsidR="006F5BFE" w:rsidRPr="003B2277" w14:paraId="5237199A" w14:textId="77777777" w:rsidTr="005B4D60">
        <w:trPr>
          <w:jc w:val="center"/>
        </w:trPr>
        <w:tc>
          <w:tcPr>
            <w:tcW w:w="4876" w:type="dxa"/>
            <w:hideMark/>
          </w:tcPr>
          <w:p w14:paraId="2B33730D" w14:textId="77777777" w:rsidR="006F5BFE" w:rsidRPr="003B2277" w:rsidRDefault="006F5BFE" w:rsidP="005B4D60">
            <w:pPr>
              <w:spacing w:after="120"/>
              <w:rPr>
                <w:lang w:eastAsia="en-US"/>
              </w:rPr>
            </w:pPr>
            <w:r w:rsidRPr="003B2277">
              <w:rPr>
                <w:rFonts w:eastAsia="Calibri" w:cs="Mangal"/>
                <w:lang w:eastAsia="en-US"/>
              </w:rPr>
              <w:t>(iii) skupno pakiranje, označevanje ali promocija;</w:t>
            </w:r>
          </w:p>
        </w:tc>
        <w:tc>
          <w:tcPr>
            <w:tcW w:w="4876" w:type="dxa"/>
            <w:hideMark/>
          </w:tcPr>
          <w:p w14:paraId="6FD179B5" w14:textId="77777777" w:rsidR="006F5BFE" w:rsidRPr="003B2277" w:rsidRDefault="006F5BFE" w:rsidP="005B4D60">
            <w:pPr>
              <w:spacing w:after="120"/>
              <w:rPr>
                <w:szCs w:val="24"/>
                <w:lang w:eastAsia="en-US"/>
              </w:rPr>
            </w:pPr>
            <w:r w:rsidRPr="003B2277">
              <w:rPr>
                <w:rFonts w:eastAsia="Calibri" w:cs="Mangal"/>
                <w:lang w:eastAsia="en-US"/>
              </w:rPr>
              <w:t>(iii) skupno pakiranje, označevanje ali promocija;</w:t>
            </w:r>
          </w:p>
        </w:tc>
      </w:tr>
      <w:tr w:rsidR="006F5BFE" w:rsidRPr="003B2277" w14:paraId="7650E2D8" w14:textId="77777777" w:rsidTr="005B4D60">
        <w:trPr>
          <w:jc w:val="center"/>
        </w:trPr>
        <w:tc>
          <w:tcPr>
            <w:tcW w:w="4876" w:type="dxa"/>
            <w:hideMark/>
          </w:tcPr>
          <w:p w14:paraId="26DE04BC" w14:textId="77777777" w:rsidR="006F5BFE" w:rsidRPr="003B2277" w:rsidRDefault="006F5BFE" w:rsidP="005B4D60">
            <w:pPr>
              <w:spacing w:after="120"/>
              <w:rPr>
                <w:lang w:eastAsia="en-US"/>
              </w:rPr>
            </w:pPr>
            <w:r w:rsidRPr="003B2277">
              <w:rPr>
                <w:rFonts w:eastAsia="Calibri" w:cs="Mangal"/>
                <w:lang w:eastAsia="en-US"/>
              </w:rPr>
              <w:t>(iv) skupna organizacija nadzora kakovosti;</w:t>
            </w:r>
          </w:p>
        </w:tc>
        <w:tc>
          <w:tcPr>
            <w:tcW w:w="4876" w:type="dxa"/>
            <w:hideMark/>
          </w:tcPr>
          <w:p w14:paraId="2E686755" w14:textId="77777777" w:rsidR="006F5BFE" w:rsidRPr="003B2277" w:rsidRDefault="006F5BFE" w:rsidP="005B4D60">
            <w:pPr>
              <w:spacing w:after="120"/>
              <w:rPr>
                <w:szCs w:val="24"/>
                <w:lang w:eastAsia="en-US"/>
              </w:rPr>
            </w:pPr>
            <w:r w:rsidRPr="003B2277">
              <w:rPr>
                <w:rFonts w:eastAsia="Calibri" w:cs="Mangal"/>
                <w:lang w:eastAsia="en-US"/>
              </w:rPr>
              <w:t>(iv) skupna organizacija nadzora kakovosti;</w:t>
            </w:r>
          </w:p>
        </w:tc>
      </w:tr>
      <w:tr w:rsidR="006F5BFE" w:rsidRPr="003B2277" w14:paraId="2AF6B066" w14:textId="77777777" w:rsidTr="005B4D60">
        <w:trPr>
          <w:jc w:val="center"/>
        </w:trPr>
        <w:tc>
          <w:tcPr>
            <w:tcW w:w="4876" w:type="dxa"/>
            <w:hideMark/>
          </w:tcPr>
          <w:p w14:paraId="181B76CD" w14:textId="77777777" w:rsidR="006F5BFE" w:rsidRPr="003B2277" w:rsidRDefault="006F5BFE" w:rsidP="005B4D60">
            <w:pPr>
              <w:spacing w:after="120"/>
              <w:rPr>
                <w:lang w:eastAsia="en-US"/>
              </w:rPr>
            </w:pPr>
            <w:r w:rsidRPr="003B2277">
              <w:rPr>
                <w:rFonts w:eastAsia="Calibri" w:cs="Mangal"/>
                <w:lang w:eastAsia="en-US"/>
              </w:rPr>
              <w:t>(v) skupna uporaba opreme ali skladiščnih prostorov;</w:t>
            </w:r>
          </w:p>
        </w:tc>
        <w:tc>
          <w:tcPr>
            <w:tcW w:w="4876" w:type="dxa"/>
            <w:hideMark/>
          </w:tcPr>
          <w:p w14:paraId="70A95389" w14:textId="77777777" w:rsidR="006F5BFE" w:rsidRPr="003B2277" w:rsidRDefault="006F5BFE" w:rsidP="005B4D60">
            <w:pPr>
              <w:spacing w:after="120"/>
              <w:rPr>
                <w:szCs w:val="24"/>
                <w:lang w:eastAsia="en-US"/>
              </w:rPr>
            </w:pPr>
            <w:r w:rsidRPr="003B2277">
              <w:rPr>
                <w:rFonts w:eastAsia="Calibri" w:cs="Mangal"/>
                <w:lang w:eastAsia="en-US"/>
              </w:rPr>
              <w:t>(v) skupna uporaba opreme ali skladiščnih prostorov;</w:t>
            </w:r>
          </w:p>
        </w:tc>
      </w:tr>
      <w:tr w:rsidR="006F5BFE" w:rsidRPr="003B2277" w14:paraId="6422F618" w14:textId="77777777" w:rsidTr="005B4D60">
        <w:trPr>
          <w:jc w:val="center"/>
        </w:trPr>
        <w:tc>
          <w:tcPr>
            <w:tcW w:w="4876" w:type="dxa"/>
            <w:hideMark/>
          </w:tcPr>
          <w:p w14:paraId="54D9F5D2" w14:textId="77777777" w:rsidR="006F5BFE" w:rsidRPr="003B2277" w:rsidRDefault="006F5BFE" w:rsidP="005B4D60">
            <w:pPr>
              <w:spacing w:after="120"/>
              <w:rPr>
                <w:lang w:eastAsia="en-US"/>
              </w:rPr>
            </w:pPr>
            <w:r w:rsidRPr="003B2277">
              <w:rPr>
                <w:rFonts w:eastAsia="Calibri" w:cs="Mangal"/>
                <w:lang w:eastAsia="en-US"/>
              </w:rPr>
              <w:t>(vi) skupno ravnanje z odpadki, ki neposredno nastajajo pri proizvodnji;</w:t>
            </w:r>
          </w:p>
        </w:tc>
        <w:tc>
          <w:tcPr>
            <w:tcW w:w="4876" w:type="dxa"/>
            <w:hideMark/>
          </w:tcPr>
          <w:p w14:paraId="48B85F0B" w14:textId="77777777" w:rsidR="006F5BFE" w:rsidRPr="003B2277" w:rsidRDefault="006F5BFE" w:rsidP="005B4D60">
            <w:pPr>
              <w:spacing w:after="120"/>
              <w:rPr>
                <w:szCs w:val="24"/>
                <w:lang w:eastAsia="en-US"/>
              </w:rPr>
            </w:pPr>
            <w:r w:rsidRPr="003B2277">
              <w:rPr>
                <w:rFonts w:eastAsia="Calibri" w:cs="Mangal"/>
                <w:lang w:eastAsia="en-US"/>
              </w:rPr>
              <w:t>(vi) skupno ravnanje z odpadki, ki neposredno nastajajo pri proizvodnji;</w:t>
            </w:r>
          </w:p>
        </w:tc>
      </w:tr>
      <w:tr w:rsidR="006F5BFE" w:rsidRPr="003B2277" w14:paraId="52C8374F" w14:textId="77777777" w:rsidTr="005B4D60">
        <w:trPr>
          <w:jc w:val="center"/>
        </w:trPr>
        <w:tc>
          <w:tcPr>
            <w:tcW w:w="4876" w:type="dxa"/>
            <w:hideMark/>
          </w:tcPr>
          <w:p w14:paraId="2C47F367" w14:textId="77777777" w:rsidR="006F5BFE" w:rsidRPr="003B2277" w:rsidRDefault="006F5BFE" w:rsidP="005B4D60">
            <w:pPr>
              <w:spacing w:after="120"/>
              <w:rPr>
                <w:lang w:eastAsia="en-US"/>
              </w:rPr>
            </w:pPr>
            <w:r w:rsidRPr="003B2277">
              <w:rPr>
                <w:rFonts w:eastAsia="Calibri" w:cs="Mangal"/>
                <w:lang w:eastAsia="en-US"/>
              </w:rPr>
              <w:t>(vii) skupno javno naročanje vložkov;</w:t>
            </w:r>
          </w:p>
        </w:tc>
        <w:tc>
          <w:tcPr>
            <w:tcW w:w="4876" w:type="dxa"/>
            <w:hideMark/>
          </w:tcPr>
          <w:p w14:paraId="5F51737C" w14:textId="77777777" w:rsidR="006F5BFE" w:rsidRPr="003B2277" w:rsidRDefault="006F5BFE" w:rsidP="005B4D60">
            <w:pPr>
              <w:spacing w:after="120"/>
              <w:rPr>
                <w:szCs w:val="24"/>
                <w:lang w:eastAsia="en-US"/>
              </w:rPr>
            </w:pPr>
            <w:r w:rsidRPr="003B2277">
              <w:rPr>
                <w:rFonts w:eastAsia="Calibri" w:cs="Mangal"/>
                <w:lang w:eastAsia="en-US"/>
              </w:rPr>
              <w:t>(vii) skupno javno naročanje vložkov;</w:t>
            </w:r>
          </w:p>
        </w:tc>
      </w:tr>
      <w:tr w:rsidR="006F5BFE" w:rsidRPr="003B2277" w14:paraId="2AF294E3" w14:textId="77777777" w:rsidTr="005B4D60">
        <w:trPr>
          <w:jc w:val="center"/>
        </w:trPr>
        <w:tc>
          <w:tcPr>
            <w:tcW w:w="4876" w:type="dxa"/>
            <w:hideMark/>
          </w:tcPr>
          <w:p w14:paraId="65FEB4AD" w14:textId="77777777" w:rsidR="006F5BFE" w:rsidRPr="003B2277" w:rsidRDefault="006F5BFE" w:rsidP="005B4D60">
            <w:pPr>
              <w:spacing w:after="120"/>
              <w:rPr>
                <w:lang w:eastAsia="en-US"/>
              </w:rPr>
            </w:pPr>
            <w:r w:rsidRPr="003B2277">
              <w:rPr>
                <w:rFonts w:eastAsia="Calibri" w:cs="Mangal"/>
                <w:lang w:eastAsia="en-US"/>
              </w:rPr>
              <w:t>(viii) vse druge skupne dejavnosti storitev, ki si prizadevajo za enega od ciljev iz točke (c) tega odstavka;</w:t>
            </w:r>
          </w:p>
        </w:tc>
        <w:tc>
          <w:tcPr>
            <w:tcW w:w="4876" w:type="dxa"/>
            <w:hideMark/>
          </w:tcPr>
          <w:p w14:paraId="77664F06" w14:textId="77777777" w:rsidR="006F5BFE" w:rsidRPr="003B2277" w:rsidRDefault="006F5BFE" w:rsidP="005B4D60">
            <w:pPr>
              <w:spacing w:after="120"/>
              <w:rPr>
                <w:szCs w:val="24"/>
                <w:lang w:eastAsia="en-US"/>
              </w:rPr>
            </w:pPr>
            <w:r w:rsidRPr="003B2277">
              <w:rPr>
                <w:rFonts w:eastAsia="Calibri" w:cs="Mangal"/>
                <w:lang w:eastAsia="en-US"/>
              </w:rPr>
              <w:t>(viii) vse druge skupne dejavnosti storitev, ki si prizadevajo za enega od ciljev iz točke (c) tega odstavka;</w:t>
            </w:r>
          </w:p>
        </w:tc>
      </w:tr>
      <w:tr w:rsidR="006F5BFE" w:rsidRPr="003B2277" w14:paraId="60E8683D" w14:textId="77777777" w:rsidTr="005B4D60">
        <w:trPr>
          <w:jc w:val="center"/>
        </w:trPr>
        <w:tc>
          <w:tcPr>
            <w:tcW w:w="4876" w:type="dxa"/>
            <w:hideMark/>
          </w:tcPr>
          <w:p w14:paraId="37469E1C" w14:textId="77777777" w:rsidR="006F5BFE" w:rsidRPr="003B2277" w:rsidRDefault="006F5BFE" w:rsidP="005B4D60">
            <w:pPr>
              <w:spacing w:after="120"/>
              <w:rPr>
                <w:lang w:eastAsia="en-US"/>
              </w:rPr>
            </w:pPr>
            <w:r w:rsidRPr="003B2277">
              <w:rPr>
                <w:rFonts w:eastAsia="Calibri" w:cs="Mangal"/>
                <w:lang w:eastAsia="en-US"/>
              </w:rPr>
              <w:t>(c) si prizadevajo za specifični cilj, ki lahko vključuje vsaj enega od naslednjih ciljev:</w:t>
            </w:r>
          </w:p>
        </w:tc>
        <w:tc>
          <w:tcPr>
            <w:tcW w:w="4876" w:type="dxa"/>
            <w:hideMark/>
          </w:tcPr>
          <w:p w14:paraId="2B2C6340" w14:textId="77777777" w:rsidR="006F5BFE" w:rsidRPr="003B2277" w:rsidRDefault="006F5BFE" w:rsidP="005B4D60">
            <w:pPr>
              <w:spacing w:after="120"/>
              <w:rPr>
                <w:szCs w:val="24"/>
                <w:lang w:eastAsia="en-US"/>
              </w:rPr>
            </w:pPr>
            <w:r w:rsidRPr="003B2277">
              <w:rPr>
                <w:rFonts w:eastAsia="Calibri" w:cs="Mangal"/>
                <w:lang w:eastAsia="en-US"/>
              </w:rPr>
              <w:t>(c) si prizadevajo za specifični cilj, ki lahko vključuje vsaj enega od naslednjih ciljev:</w:t>
            </w:r>
          </w:p>
        </w:tc>
      </w:tr>
      <w:tr w:rsidR="006F5BFE" w:rsidRPr="003B2277" w14:paraId="3196DC75" w14:textId="77777777" w:rsidTr="005B4D60">
        <w:trPr>
          <w:jc w:val="center"/>
        </w:trPr>
        <w:tc>
          <w:tcPr>
            <w:tcW w:w="4876" w:type="dxa"/>
            <w:hideMark/>
          </w:tcPr>
          <w:p w14:paraId="4EF3CBC5" w14:textId="77777777" w:rsidR="006F5BFE" w:rsidRPr="003B2277" w:rsidRDefault="006F5BFE" w:rsidP="005B4D60">
            <w:pPr>
              <w:spacing w:after="120"/>
              <w:rPr>
                <w:lang w:eastAsia="en-US"/>
              </w:rPr>
            </w:pPr>
            <w:r w:rsidRPr="003B2277">
              <w:rPr>
                <w:rFonts w:eastAsia="Calibri" w:cs="Mangal"/>
                <w:lang w:eastAsia="en-US"/>
              </w:rPr>
              <w:t>(i) zagotovitev, da se proizvodnja načrtuje in prilagaja povpraševanju, zlasti glede kakovosti in količine;</w:t>
            </w:r>
          </w:p>
        </w:tc>
        <w:tc>
          <w:tcPr>
            <w:tcW w:w="4876" w:type="dxa"/>
            <w:hideMark/>
          </w:tcPr>
          <w:p w14:paraId="79DD15B6" w14:textId="77777777" w:rsidR="006F5BFE" w:rsidRPr="003B2277" w:rsidRDefault="006F5BFE" w:rsidP="005B4D60">
            <w:pPr>
              <w:spacing w:after="120"/>
              <w:rPr>
                <w:szCs w:val="24"/>
                <w:lang w:eastAsia="en-US"/>
              </w:rPr>
            </w:pPr>
            <w:r w:rsidRPr="003B2277">
              <w:rPr>
                <w:rFonts w:eastAsia="Calibri" w:cs="Mangal"/>
                <w:lang w:eastAsia="en-US"/>
              </w:rPr>
              <w:t>(i) zagotovitev, da se proizvodnja načrtuje in prilagaja povpraševanju, zlasti glede kakovosti in količine;</w:t>
            </w:r>
          </w:p>
        </w:tc>
      </w:tr>
      <w:tr w:rsidR="006F5BFE" w:rsidRPr="003B2277" w14:paraId="31C13695" w14:textId="77777777" w:rsidTr="005B4D60">
        <w:trPr>
          <w:jc w:val="center"/>
        </w:trPr>
        <w:tc>
          <w:tcPr>
            <w:tcW w:w="4876" w:type="dxa"/>
            <w:hideMark/>
          </w:tcPr>
          <w:p w14:paraId="0394395E" w14:textId="77777777" w:rsidR="006F5BFE" w:rsidRPr="003B2277" w:rsidRDefault="006F5BFE" w:rsidP="005B4D60">
            <w:pPr>
              <w:spacing w:after="120"/>
              <w:rPr>
                <w:lang w:eastAsia="en-US"/>
              </w:rPr>
            </w:pPr>
            <w:r w:rsidRPr="003B2277">
              <w:rPr>
                <w:rFonts w:eastAsia="Calibri" w:cs="Mangal"/>
                <w:lang w:eastAsia="en-US"/>
              </w:rPr>
              <w:t>(ii) koncentracija ponudbe in dajanje na trg proizvodov, ki jih pridelajo njeni člani, vključno z neposrednim trženjem;</w:t>
            </w:r>
          </w:p>
        </w:tc>
        <w:tc>
          <w:tcPr>
            <w:tcW w:w="4876" w:type="dxa"/>
            <w:hideMark/>
          </w:tcPr>
          <w:p w14:paraId="68697BDA" w14:textId="77777777" w:rsidR="006F5BFE" w:rsidRPr="003B2277" w:rsidRDefault="006F5BFE" w:rsidP="005B4D60">
            <w:pPr>
              <w:spacing w:after="120"/>
              <w:rPr>
                <w:szCs w:val="24"/>
                <w:lang w:eastAsia="en-US"/>
              </w:rPr>
            </w:pPr>
            <w:r w:rsidRPr="003B2277">
              <w:rPr>
                <w:rFonts w:eastAsia="Calibri" w:cs="Mangal"/>
                <w:lang w:eastAsia="en-US"/>
              </w:rPr>
              <w:t>(ii) koncentracija ponudbe in dajanje na trg proizvodov, ki jih pridelajo njeni člani, vključno z neposrednim trženjem;</w:t>
            </w:r>
          </w:p>
        </w:tc>
      </w:tr>
      <w:tr w:rsidR="006F5BFE" w:rsidRPr="003B2277" w14:paraId="7F27EEAB" w14:textId="77777777" w:rsidTr="005B4D60">
        <w:trPr>
          <w:jc w:val="center"/>
        </w:trPr>
        <w:tc>
          <w:tcPr>
            <w:tcW w:w="4876" w:type="dxa"/>
            <w:hideMark/>
          </w:tcPr>
          <w:p w14:paraId="5C57CA8B" w14:textId="77777777" w:rsidR="006F5BFE" w:rsidRPr="003B2277" w:rsidRDefault="006F5BFE" w:rsidP="005B4D60">
            <w:pPr>
              <w:spacing w:after="120"/>
              <w:rPr>
                <w:lang w:eastAsia="en-US"/>
              </w:rPr>
            </w:pPr>
            <w:r w:rsidRPr="003B2277">
              <w:rPr>
                <w:rFonts w:eastAsia="Calibri" w:cs="Mangal"/>
                <w:lang w:eastAsia="en-US"/>
              </w:rPr>
              <w:t>(iii) optimizacija proizvodnih stroškov in donosnosti naložb zaradi uporabe okoljskih standardov in standardov glede dobrobiti živali ter stabilizacija cen proizvajalcev;</w:t>
            </w:r>
          </w:p>
        </w:tc>
        <w:tc>
          <w:tcPr>
            <w:tcW w:w="4876" w:type="dxa"/>
            <w:hideMark/>
          </w:tcPr>
          <w:p w14:paraId="2F021D39" w14:textId="77777777" w:rsidR="006F5BFE" w:rsidRPr="003B2277" w:rsidRDefault="006F5BFE" w:rsidP="005B4D60">
            <w:pPr>
              <w:spacing w:after="120"/>
              <w:rPr>
                <w:szCs w:val="24"/>
                <w:lang w:eastAsia="en-US"/>
              </w:rPr>
            </w:pPr>
            <w:r w:rsidRPr="003B2277">
              <w:rPr>
                <w:rFonts w:eastAsia="Calibri" w:cs="Mangal"/>
                <w:lang w:eastAsia="en-US"/>
              </w:rPr>
              <w:t>(iii) optimizacija proizvodnih stroškov in donosnosti naložb zaradi uporabe okoljskih standardov in standardov glede dobrobiti živali ter stabilizacija cen proizvajalcev;</w:t>
            </w:r>
          </w:p>
        </w:tc>
      </w:tr>
      <w:tr w:rsidR="006F5BFE" w:rsidRPr="003B2277" w14:paraId="0F69D240" w14:textId="77777777" w:rsidTr="005B4D60">
        <w:trPr>
          <w:jc w:val="center"/>
        </w:trPr>
        <w:tc>
          <w:tcPr>
            <w:tcW w:w="4876" w:type="dxa"/>
            <w:hideMark/>
          </w:tcPr>
          <w:p w14:paraId="39FC0398" w14:textId="77777777" w:rsidR="006F5BFE" w:rsidRPr="003B2277" w:rsidRDefault="006F5BFE" w:rsidP="005B4D60">
            <w:pPr>
              <w:spacing w:after="120"/>
              <w:rPr>
                <w:lang w:eastAsia="en-US"/>
              </w:rPr>
            </w:pPr>
            <w:r w:rsidRPr="003B2277">
              <w:rPr>
                <w:rFonts w:eastAsia="Calibri" w:cs="Mangal"/>
                <w:lang w:eastAsia="en-US"/>
              </w:rPr>
              <w:t>(iv) raziskovanje in oblikovanje pobud na področju trajnostnih načinov pridelave, inovativnih praks, gospodarske konkurenčnosti in tržnih trendov;</w:t>
            </w:r>
          </w:p>
        </w:tc>
        <w:tc>
          <w:tcPr>
            <w:tcW w:w="4876" w:type="dxa"/>
            <w:hideMark/>
          </w:tcPr>
          <w:p w14:paraId="1422A03C" w14:textId="77777777" w:rsidR="006F5BFE" w:rsidRPr="003B2277" w:rsidRDefault="006F5BFE" w:rsidP="005B4D60">
            <w:pPr>
              <w:spacing w:after="120"/>
              <w:rPr>
                <w:szCs w:val="24"/>
                <w:lang w:eastAsia="en-US"/>
              </w:rPr>
            </w:pPr>
            <w:r w:rsidRPr="003B2277">
              <w:rPr>
                <w:rFonts w:eastAsia="Calibri" w:cs="Mangal"/>
                <w:lang w:eastAsia="en-US"/>
              </w:rPr>
              <w:t>(iv) raziskovanje in oblikovanje pobud na področju trajnostnih načinov pridelave, inovativnih praks, gospodarske konkurenčnosti in tržnih trendov;</w:t>
            </w:r>
          </w:p>
        </w:tc>
      </w:tr>
      <w:tr w:rsidR="006F5BFE" w:rsidRPr="003B2277" w14:paraId="3E4F149B" w14:textId="77777777" w:rsidTr="005B4D60">
        <w:trPr>
          <w:jc w:val="center"/>
        </w:trPr>
        <w:tc>
          <w:tcPr>
            <w:tcW w:w="4876" w:type="dxa"/>
            <w:hideMark/>
          </w:tcPr>
          <w:p w14:paraId="69B39A6B" w14:textId="77777777" w:rsidR="006F5BFE" w:rsidRPr="003B2277" w:rsidRDefault="006F5BFE" w:rsidP="005B4D60">
            <w:pPr>
              <w:spacing w:after="120"/>
              <w:rPr>
                <w:lang w:eastAsia="en-US"/>
              </w:rPr>
            </w:pPr>
            <w:r w:rsidRPr="003B2277">
              <w:rPr>
                <w:rFonts w:eastAsia="Calibri" w:cs="Mangal"/>
                <w:lang w:eastAsia="en-US"/>
              </w:rPr>
              <w:t>(v) spodbujanje uporabe okolju prijaznih postopkov gojenja in pridelave ter postopkov in tehnik, ki zagotavljajo dobre razmere za živali, in nudenje tehnične pomoči zanje;</w:t>
            </w:r>
          </w:p>
        </w:tc>
        <w:tc>
          <w:tcPr>
            <w:tcW w:w="4876" w:type="dxa"/>
            <w:hideMark/>
          </w:tcPr>
          <w:p w14:paraId="2A37EB6A" w14:textId="77777777" w:rsidR="006F5BFE" w:rsidRPr="003B2277" w:rsidRDefault="006F5BFE" w:rsidP="005B4D60">
            <w:pPr>
              <w:spacing w:after="120"/>
              <w:rPr>
                <w:szCs w:val="24"/>
                <w:lang w:eastAsia="en-US"/>
              </w:rPr>
            </w:pPr>
            <w:r w:rsidRPr="003B2277">
              <w:rPr>
                <w:rFonts w:eastAsia="Calibri" w:cs="Mangal"/>
                <w:lang w:eastAsia="en-US"/>
              </w:rPr>
              <w:t>(v) spodbujanje uporabe okolju prijaznih postopkov gojenja in pridelave ter postopkov in tehnik, ki zagotavljajo dobre razmere za živali, in nudenje tehnične pomoči zanje;</w:t>
            </w:r>
          </w:p>
        </w:tc>
      </w:tr>
      <w:tr w:rsidR="006F5BFE" w:rsidRPr="003B2277" w14:paraId="689D1A2A" w14:textId="77777777" w:rsidTr="005B4D60">
        <w:trPr>
          <w:jc w:val="center"/>
        </w:trPr>
        <w:tc>
          <w:tcPr>
            <w:tcW w:w="4876" w:type="dxa"/>
            <w:hideMark/>
          </w:tcPr>
          <w:p w14:paraId="7AD642A4" w14:textId="77777777" w:rsidR="006F5BFE" w:rsidRPr="003B2277" w:rsidRDefault="006F5BFE" w:rsidP="005B4D60">
            <w:pPr>
              <w:spacing w:after="120"/>
              <w:rPr>
                <w:lang w:eastAsia="en-US"/>
              </w:rPr>
            </w:pPr>
            <w:r w:rsidRPr="003B2277">
              <w:rPr>
                <w:rFonts w:eastAsia="Calibri" w:cs="Mangal"/>
                <w:lang w:eastAsia="en-US"/>
              </w:rPr>
              <w:t>(vi) spodbujanje uporabe proizvodnih standardov, izboljšanja kakovosti proizvodov in razvijanja proizvodov z zaščiteno označbo porekla ali zaščiteno geografsko označbo ali proizvodov z nacionalnim znakom kakovosti ter zagotavljanje ustrezne tehnične pomoči;</w:t>
            </w:r>
          </w:p>
        </w:tc>
        <w:tc>
          <w:tcPr>
            <w:tcW w:w="4876" w:type="dxa"/>
            <w:hideMark/>
          </w:tcPr>
          <w:p w14:paraId="08C78099" w14:textId="77777777" w:rsidR="006F5BFE" w:rsidRPr="003B2277" w:rsidRDefault="006F5BFE" w:rsidP="005B4D60">
            <w:pPr>
              <w:spacing w:after="120"/>
              <w:rPr>
                <w:szCs w:val="24"/>
                <w:lang w:eastAsia="en-US"/>
              </w:rPr>
            </w:pPr>
            <w:r w:rsidRPr="003B2277">
              <w:rPr>
                <w:rFonts w:eastAsia="Calibri" w:cs="Mangal"/>
                <w:lang w:eastAsia="en-US"/>
              </w:rPr>
              <w:t>(vi) spodbujanje uporabe proizvodnih standardov, izboljšanja kakovosti proizvodov in razvijanja proizvodov z zaščiteno označbo porekla ali zaščiteno geografsko označbo ali proizvodov z nacionalnim znakom kakovosti ter zagotavljanje ustrezne tehnične pomoči;</w:t>
            </w:r>
          </w:p>
        </w:tc>
      </w:tr>
      <w:tr w:rsidR="006F5BFE" w:rsidRPr="003B2277" w14:paraId="6702C650" w14:textId="77777777" w:rsidTr="005B4D60">
        <w:trPr>
          <w:jc w:val="center"/>
        </w:trPr>
        <w:tc>
          <w:tcPr>
            <w:tcW w:w="4876" w:type="dxa"/>
            <w:hideMark/>
          </w:tcPr>
          <w:p w14:paraId="6E019A04" w14:textId="77777777" w:rsidR="006F5BFE" w:rsidRPr="003B2277" w:rsidRDefault="006F5BFE" w:rsidP="005B4D60">
            <w:pPr>
              <w:spacing w:after="120"/>
              <w:rPr>
                <w:lang w:eastAsia="en-US"/>
              </w:rPr>
            </w:pPr>
            <w:r w:rsidRPr="003B2277">
              <w:rPr>
                <w:rFonts w:eastAsia="Calibri" w:cs="Mangal"/>
                <w:lang w:eastAsia="en-US"/>
              </w:rPr>
              <w:t>(vii) ravnanje s stranskimi proizvodi in odpadki, zlasti za varovanje kakovosti vode, tal in krajine, ter ohranjanje ali spodbujanje biotske raznovrstnosti;</w:t>
            </w:r>
          </w:p>
        </w:tc>
        <w:tc>
          <w:tcPr>
            <w:tcW w:w="4876" w:type="dxa"/>
            <w:hideMark/>
          </w:tcPr>
          <w:p w14:paraId="4E7E86B6" w14:textId="77777777" w:rsidR="006F5BFE" w:rsidRPr="003B2277" w:rsidRDefault="006F5BFE" w:rsidP="005B4D60">
            <w:pPr>
              <w:spacing w:after="120"/>
              <w:rPr>
                <w:szCs w:val="24"/>
                <w:lang w:eastAsia="en-US"/>
              </w:rPr>
            </w:pPr>
            <w:r w:rsidRPr="003B2277">
              <w:rPr>
                <w:rFonts w:eastAsia="Calibri" w:cs="Mangal"/>
                <w:lang w:eastAsia="en-US"/>
              </w:rPr>
              <w:t>(vii) ravnanje s stranskimi proizvodi</w:t>
            </w:r>
            <w:r w:rsidRPr="003B2277">
              <w:rPr>
                <w:rFonts w:eastAsia="Calibri" w:cs="Mangal"/>
                <w:b/>
                <w:i/>
                <w:lang w:eastAsia="en-US"/>
              </w:rPr>
              <w:t>, tokovi ostankov</w:t>
            </w:r>
            <w:r w:rsidRPr="003B2277">
              <w:rPr>
                <w:rFonts w:eastAsia="Calibri" w:cs="Mangal"/>
                <w:lang w:eastAsia="en-US"/>
              </w:rPr>
              <w:t xml:space="preserve"> in odpadki</w:t>
            </w:r>
            <w:r w:rsidRPr="003B2277">
              <w:rPr>
                <w:rFonts w:eastAsia="Calibri" w:cs="Mangal"/>
                <w:b/>
                <w:i/>
                <w:lang w:eastAsia="en-US"/>
              </w:rPr>
              <w:t xml:space="preserve"> ter njihova valorizacija</w:t>
            </w:r>
            <w:r w:rsidRPr="003B2277">
              <w:rPr>
                <w:rFonts w:eastAsia="Calibri" w:cs="Mangal"/>
                <w:lang w:eastAsia="en-US"/>
              </w:rPr>
              <w:t>, zlasti za varovanje kakovosti vode, tal in krajine, ter ohranjanje ali spodbujanje biotske raznovrstnosti</w:t>
            </w:r>
            <w:r w:rsidRPr="003B2277">
              <w:rPr>
                <w:rFonts w:eastAsia="Calibri" w:cs="Mangal"/>
                <w:b/>
                <w:i/>
                <w:lang w:eastAsia="en-US"/>
              </w:rPr>
              <w:t xml:space="preserve"> in krepitev krožnega gospodarstva</w:t>
            </w:r>
            <w:r w:rsidRPr="003B2277">
              <w:rPr>
                <w:rFonts w:eastAsia="Calibri" w:cs="Mangal"/>
                <w:lang w:eastAsia="en-US"/>
              </w:rPr>
              <w:t>;</w:t>
            </w:r>
          </w:p>
        </w:tc>
      </w:tr>
      <w:tr w:rsidR="006F5BFE" w:rsidRPr="003B2277" w14:paraId="76A9B4C6" w14:textId="77777777" w:rsidTr="005B4D60">
        <w:trPr>
          <w:jc w:val="center"/>
        </w:trPr>
        <w:tc>
          <w:tcPr>
            <w:tcW w:w="4876" w:type="dxa"/>
            <w:hideMark/>
          </w:tcPr>
          <w:p w14:paraId="707ECEDD" w14:textId="77777777" w:rsidR="006F5BFE" w:rsidRPr="003B2277" w:rsidRDefault="006F5BFE" w:rsidP="005B4D60">
            <w:pPr>
              <w:spacing w:after="120"/>
              <w:rPr>
                <w:lang w:eastAsia="en-US"/>
              </w:rPr>
            </w:pPr>
            <w:r w:rsidRPr="003B2277">
              <w:rPr>
                <w:rFonts w:eastAsia="Calibri" w:cs="Mangal"/>
                <w:lang w:eastAsia="en-US"/>
              </w:rPr>
              <w:t>(viii) prispevanje k trajnostni rabi naravnih virov in blaženju podnebnih sprememb;</w:t>
            </w:r>
          </w:p>
        </w:tc>
        <w:tc>
          <w:tcPr>
            <w:tcW w:w="4876" w:type="dxa"/>
            <w:hideMark/>
          </w:tcPr>
          <w:p w14:paraId="4BD2F264" w14:textId="77777777" w:rsidR="006F5BFE" w:rsidRPr="003B2277" w:rsidRDefault="006F5BFE" w:rsidP="005B4D60">
            <w:pPr>
              <w:spacing w:after="120"/>
              <w:rPr>
                <w:szCs w:val="24"/>
                <w:lang w:eastAsia="en-US"/>
              </w:rPr>
            </w:pPr>
            <w:r w:rsidRPr="003B2277">
              <w:rPr>
                <w:rFonts w:eastAsia="Calibri" w:cs="Mangal"/>
                <w:lang w:eastAsia="en-US"/>
              </w:rPr>
              <w:t>(viii) prispevanje k trajnostni rabi naravnih virov in blaženju podnebnih sprememb;</w:t>
            </w:r>
          </w:p>
        </w:tc>
      </w:tr>
      <w:tr w:rsidR="006F5BFE" w:rsidRPr="003B2277" w14:paraId="37C6B55D" w14:textId="77777777" w:rsidTr="005B4D60">
        <w:trPr>
          <w:jc w:val="center"/>
        </w:trPr>
        <w:tc>
          <w:tcPr>
            <w:tcW w:w="4876" w:type="dxa"/>
            <w:hideMark/>
          </w:tcPr>
          <w:p w14:paraId="678916F3" w14:textId="77777777" w:rsidR="006F5BFE" w:rsidRPr="003B2277" w:rsidRDefault="006F5BFE" w:rsidP="005B4D60">
            <w:pPr>
              <w:spacing w:after="120"/>
              <w:rPr>
                <w:lang w:eastAsia="en-US"/>
              </w:rPr>
            </w:pPr>
            <w:r w:rsidRPr="003B2277">
              <w:rPr>
                <w:rFonts w:eastAsia="Calibri" w:cs="Mangal"/>
                <w:lang w:eastAsia="en-US"/>
              </w:rPr>
              <w:t>(ix) oblikovanje pobud na področju promocije in trženja;</w:t>
            </w:r>
          </w:p>
        </w:tc>
        <w:tc>
          <w:tcPr>
            <w:tcW w:w="4876" w:type="dxa"/>
            <w:hideMark/>
          </w:tcPr>
          <w:p w14:paraId="11424E68" w14:textId="77777777" w:rsidR="006F5BFE" w:rsidRPr="003B2277" w:rsidRDefault="006F5BFE" w:rsidP="005B4D60">
            <w:pPr>
              <w:spacing w:after="120"/>
              <w:rPr>
                <w:szCs w:val="24"/>
                <w:lang w:eastAsia="en-US"/>
              </w:rPr>
            </w:pPr>
            <w:r w:rsidRPr="003B2277">
              <w:rPr>
                <w:rFonts w:eastAsia="Calibri" w:cs="Mangal"/>
                <w:lang w:eastAsia="en-US"/>
              </w:rPr>
              <w:t>(ix) oblikovanje pobud na področju promocije in trženja;</w:t>
            </w:r>
          </w:p>
        </w:tc>
      </w:tr>
      <w:tr w:rsidR="006F5BFE" w:rsidRPr="003B2277" w14:paraId="41D053B5" w14:textId="77777777" w:rsidTr="005B4D60">
        <w:trPr>
          <w:jc w:val="center"/>
        </w:trPr>
        <w:tc>
          <w:tcPr>
            <w:tcW w:w="4876" w:type="dxa"/>
            <w:hideMark/>
          </w:tcPr>
          <w:p w14:paraId="5D28727F" w14:textId="77777777" w:rsidR="006F5BFE" w:rsidRPr="003B2277" w:rsidRDefault="006F5BFE" w:rsidP="005B4D60">
            <w:pPr>
              <w:spacing w:after="120"/>
              <w:rPr>
                <w:lang w:eastAsia="en-US"/>
              </w:rPr>
            </w:pPr>
            <w:r w:rsidRPr="003B2277">
              <w:rPr>
                <w:rFonts w:eastAsia="Calibri" w:cs="Mangal"/>
                <w:lang w:eastAsia="en-US"/>
              </w:rPr>
              <w:t>(x) upravljanje vzajemnih skladov</w:t>
            </w:r>
            <w:r w:rsidRPr="003B2277">
              <w:rPr>
                <w:rFonts w:eastAsia="Calibri" w:cs="Mangal"/>
                <w:b/>
                <w:i/>
                <w:lang w:eastAsia="en-US"/>
              </w:rPr>
              <w:t>, navedenih v operativnih programih v sektorju sadja in zelenjave iz točke (d) člena 33(3) te uredbe in v členu 36 Uredbe (EU) št. 1305/2013</w:t>
            </w:r>
            <w:r w:rsidRPr="003B2277">
              <w:rPr>
                <w:rFonts w:eastAsia="Calibri" w:cs="Mangal"/>
                <w:lang w:eastAsia="en-US"/>
              </w:rPr>
              <w:t>;</w:t>
            </w:r>
          </w:p>
        </w:tc>
        <w:tc>
          <w:tcPr>
            <w:tcW w:w="4876" w:type="dxa"/>
            <w:hideMark/>
          </w:tcPr>
          <w:p w14:paraId="73BD5770" w14:textId="77777777" w:rsidR="006F5BFE" w:rsidRPr="003B2277" w:rsidRDefault="006F5BFE" w:rsidP="005B4D60">
            <w:pPr>
              <w:spacing w:after="120"/>
              <w:rPr>
                <w:szCs w:val="24"/>
                <w:lang w:eastAsia="en-US"/>
              </w:rPr>
            </w:pPr>
            <w:r w:rsidRPr="003B2277">
              <w:rPr>
                <w:rFonts w:eastAsia="Calibri" w:cs="Mangal"/>
                <w:lang w:eastAsia="en-US"/>
              </w:rPr>
              <w:t>(x) upravljanje vzajemnih skladov;</w:t>
            </w:r>
          </w:p>
        </w:tc>
      </w:tr>
      <w:tr w:rsidR="006F5BFE" w:rsidRPr="003B2277" w14:paraId="18180D4D" w14:textId="77777777" w:rsidTr="005B4D60">
        <w:trPr>
          <w:jc w:val="center"/>
        </w:trPr>
        <w:tc>
          <w:tcPr>
            <w:tcW w:w="4876" w:type="dxa"/>
            <w:hideMark/>
          </w:tcPr>
          <w:p w14:paraId="70280F82" w14:textId="77777777" w:rsidR="006F5BFE" w:rsidRPr="003B2277" w:rsidRDefault="006F5BFE" w:rsidP="005B4D60">
            <w:pPr>
              <w:spacing w:after="120"/>
              <w:rPr>
                <w:lang w:eastAsia="en-US"/>
              </w:rPr>
            </w:pPr>
            <w:r w:rsidRPr="003B2277">
              <w:rPr>
                <w:rFonts w:eastAsia="Calibri" w:cs="Mangal"/>
                <w:lang w:eastAsia="en-US"/>
              </w:rPr>
              <w:t>(xi) zagotavljanje potrebne tehnične pomoči za uporabo terminskih trgov in zavarovalnih shem;</w:t>
            </w:r>
          </w:p>
        </w:tc>
        <w:tc>
          <w:tcPr>
            <w:tcW w:w="4876" w:type="dxa"/>
            <w:hideMark/>
          </w:tcPr>
          <w:p w14:paraId="4BE7D660" w14:textId="77777777" w:rsidR="006F5BFE" w:rsidRPr="003B2277" w:rsidRDefault="006F5BFE" w:rsidP="005B4D60">
            <w:pPr>
              <w:spacing w:after="120"/>
              <w:rPr>
                <w:szCs w:val="24"/>
                <w:lang w:eastAsia="en-US"/>
              </w:rPr>
            </w:pPr>
            <w:r w:rsidRPr="003B2277">
              <w:rPr>
                <w:rFonts w:eastAsia="Calibri" w:cs="Mangal"/>
                <w:lang w:eastAsia="en-US"/>
              </w:rPr>
              <w:t>(xi) zagotavljanje potrebne tehnične pomoči za uporabo terminskih trgov in zavarovalnih shem;</w:t>
            </w:r>
          </w:p>
        </w:tc>
      </w:tr>
      <w:tr w:rsidR="006F5BFE" w:rsidRPr="003B2277" w14:paraId="7546CB88" w14:textId="77777777" w:rsidTr="005B4D60">
        <w:trPr>
          <w:jc w:val="center"/>
        </w:trPr>
        <w:tc>
          <w:tcPr>
            <w:tcW w:w="4876" w:type="dxa"/>
            <w:hideMark/>
          </w:tcPr>
          <w:p w14:paraId="6DC2F014" w14:textId="77777777" w:rsidR="006F5BFE" w:rsidRPr="003B2277" w:rsidRDefault="006F5BFE" w:rsidP="005B4D60">
            <w:pPr>
              <w:spacing w:after="120"/>
              <w:rPr>
                <w:lang w:eastAsia="en-US"/>
              </w:rPr>
            </w:pPr>
            <w:r w:rsidRPr="003B2277">
              <w:rPr>
                <w:rFonts w:eastAsia="Calibri" w:cs="Mangal"/>
                <w:lang w:eastAsia="en-US"/>
              </w:rPr>
              <w:t>1a.</w:t>
            </w:r>
            <w:r w:rsidRPr="003B2277">
              <w:rPr>
                <w:rFonts w:eastAsia="Calibri" w:cs="Mangal"/>
                <w:lang w:eastAsia="en-US"/>
              </w:rPr>
              <w:tab/>
              <w:t>Z odstopanjem od člena 101(1) PDEU lahko organizacija proizvajalcev, ki je priznana v skladu z odstavkom 1 tega člena, načrtuje proizvodnjo, optimizira proizvodne stroške, daje na trg in se v imenu svojih članov pogaja za sklenitev pogodb o dobavi celotne ali dela skupne proizvodnje kmetijskih proizvodov svojih članov.</w:t>
            </w:r>
          </w:p>
        </w:tc>
        <w:tc>
          <w:tcPr>
            <w:tcW w:w="4876" w:type="dxa"/>
            <w:hideMark/>
          </w:tcPr>
          <w:p w14:paraId="6A811671" w14:textId="77777777" w:rsidR="006F5BFE" w:rsidRPr="003B2277" w:rsidRDefault="006F5BFE" w:rsidP="005B4D60">
            <w:pPr>
              <w:spacing w:after="120"/>
              <w:rPr>
                <w:szCs w:val="24"/>
                <w:lang w:eastAsia="en-US"/>
              </w:rPr>
            </w:pPr>
            <w:r w:rsidRPr="003B2277">
              <w:rPr>
                <w:rFonts w:eastAsia="Calibri" w:cs="Mangal"/>
                <w:lang w:eastAsia="en-US"/>
              </w:rPr>
              <w:t>1a.</w:t>
            </w:r>
            <w:r w:rsidRPr="003B2277">
              <w:rPr>
                <w:rFonts w:eastAsia="Calibri" w:cs="Mangal"/>
                <w:lang w:eastAsia="en-US"/>
              </w:rPr>
              <w:tab/>
              <w:t xml:space="preserve">Z odstopanjem od člena 101(1) PDEU lahko organizacija proizvajalcev, ki je priznana v skladu z odstavkom 1 tega člena, načrtuje proizvodnjo, optimizira proizvodne stroške, daje na trg in se v imenu svojih članov pogaja za sklenitev pogodb o dobavi celotne ali dela skupne proizvodnje kmetijskih proizvodov svojih članov. </w:t>
            </w:r>
          </w:p>
        </w:tc>
      </w:tr>
      <w:tr w:rsidR="006F5BFE" w:rsidRPr="003B2277" w14:paraId="5658AAA0" w14:textId="77777777" w:rsidTr="005B4D60">
        <w:trPr>
          <w:jc w:val="center"/>
        </w:trPr>
        <w:tc>
          <w:tcPr>
            <w:tcW w:w="4876" w:type="dxa"/>
            <w:hideMark/>
          </w:tcPr>
          <w:p w14:paraId="37FB227C" w14:textId="77777777" w:rsidR="006F5BFE" w:rsidRPr="003B2277" w:rsidRDefault="006F5BFE" w:rsidP="005B4D60">
            <w:pPr>
              <w:spacing w:after="120"/>
              <w:rPr>
                <w:lang w:eastAsia="en-US"/>
              </w:rPr>
            </w:pPr>
            <w:r w:rsidRPr="003B2277">
              <w:rPr>
                <w:rFonts w:eastAsia="Calibri" w:cs="Mangal"/>
                <w:lang w:eastAsia="en-US"/>
              </w:rPr>
              <w:t>Dejavnosti iz prvega pododstavka se lahko izvajajo:</w:t>
            </w:r>
          </w:p>
        </w:tc>
        <w:tc>
          <w:tcPr>
            <w:tcW w:w="4876" w:type="dxa"/>
          </w:tcPr>
          <w:p w14:paraId="3866AF1D" w14:textId="77777777" w:rsidR="006F5BFE" w:rsidRPr="003B2277" w:rsidRDefault="006F5BFE" w:rsidP="005B4D60">
            <w:pPr>
              <w:spacing w:after="120"/>
              <w:rPr>
                <w:szCs w:val="24"/>
                <w:lang w:eastAsia="en-US"/>
              </w:rPr>
            </w:pPr>
            <w:r w:rsidRPr="003B2277">
              <w:rPr>
                <w:rFonts w:eastAsia="Calibri" w:cs="Mangal"/>
                <w:lang w:eastAsia="en-US"/>
              </w:rPr>
              <w:t>Dejavnosti iz prvega pododstavka se lahko izvajajo:</w:t>
            </w:r>
          </w:p>
        </w:tc>
      </w:tr>
      <w:tr w:rsidR="006F5BFE" w:rsidRPr="003B2277" w14:paraId="74D03E16" w14:textId="77777777" w:rsidTr="005B4D60">
        <w:trPr>
          <w:jc w:val="center"/>
        </w:trPr>
        <w:tc>
          <w:tcPr>
            <w:tcW w:w="4876" w:type="dxa"/>
            <w:hideMark/>
          </w:tcPr>
          <w:p w14:paraId="229693B8" w14:textId="77777777" w:rsidR="006F5BFE" w:rsidRPr="003B2277" w:rsidRDefault="006F5BFE" w:rsidP="005B4D60">
            <w:pPr>
              <w:spacing w:after="120"/>
              <w:rPr>
                <w:lang w:eastAsia="en-US"/>
              </w:rPr>
            </w:pPr>
            <w:r w:rsidRPr="003B2277">
              <w:rPr>
                <w:rFonts w:eastAsia="Calibri" w:cs="Mangal"/>
                <w:lang w:eastAsia="en-US"/>
              </w:rPr>
              <w:t>(a) če se ena ali več dejavnosti iz točk (b)(i) do (vii) odstavka 1 dejansko izvaja, s čimer se prispeva k izpolnitvi ciljev iz člena 39 PDEU;</w:t>
            </w:r>
          </w:p>
        </w:tc>
        <w:tc>
          <w:tcPr>
            <w:tcW w:w="4876" w:type="dxa"/>
          </w:tcPr>
          <w:p w14:paraId="05ADBA49" w14:textId="77777777" w:rsidR="006F5BFE" w:rsidRPr="003B2277" w:rsidRDefault="006F5BFE" w:rsidP="005B4D60">
            <w:pPr>
              <w:spacing w:after="120"/>
              <w:rPr>
                <w:szCs w:val="24"/>
                <w:lang w:eastAsia="en-US"/>
              </w:rPr>
            </w:pPr>
            <w:r w:rsidRPr="003B2277">
              <w:rPr>
                <w:rFonts w:eastAsia="Calibri" w:cs="Mangal"/>
                <w:lang w:eastAsia="en-US"/>
              </w:rPr>
              <w:t>(a) če se ena ali več dejavnosti iz točk (b)(i) do (vii) odstavka 1 dejansko izvaja, s čimer se prispeva k izpolnitvi ciljev iz člena 39 PDEU;</w:t>
            </w:r>
          </w:p>
        </w:tc>
      </w:tr>
      <w:tr w:rsidR="006F5BFE" w:rsidRPr="003B2277" w14:paraId="21D2174C" w14:textId="77777777" w:rsidTr="005B4D60">
        <w:trPr>
          <w:jc w:val="center"/>
        </w:trPr>
        <w:tc>
          <w:tcPr>
            <w:tcW w:w="4876" w:type="dxa"/>
            <w:hideMark/>
          </w:tcPr>
          <w:p w14:paraId="73EABB57" w14:textId="77777777" w:rsidR="006F5BFE" w:rsidRPr="003B2277" w:rsidRDefault="006F5BFE" w:rsidP="005B4D60">
            <w:pPr>
              <w:spacing w:after="120"/>
              <w:rPr>
                <w:lang w:eastAsia="en-US"/>
              </w:rPr>
            </w:pPr>
            <w:r w:rsidRPr="003B2277">
              <w:rPr>
                <w:rFonts w:eastAsia="Calibri" w:cs="Mangal"/>
                <w:lang w:eastAsia="en-US"/>
              </w:rPr>
              <w:t>(b) če organizacija proizvajalcev koncentrira ponudbo in daje proizvode svojih članov na trg, ne glede na to, ali so proizvajalci na organizacijo proizvajalcev prenesli lastništvo nad kmetijskimi proizvodi ali ne;</w:t>
            </w:r>
          </w:p>
        </w:tc>
        <w:tc>
          <w:tcPr>
            <w:tcW w:w="4876" w:type="dxa"/>
          </w:tcPr>
          <w:p w14:paraId="0F21E16F" w14:textId="77777777" w:rsidR="006F5BFE" w:rsidRPr="003B2277" w:rsidRDefault="006F5BFE" w:rsidP="005B4D60">
            <w:pPr>
              <w:spacing w:after="120"/>
              <w:rPr>
                <w:szCs w:val="24"/>
                <w:lang w:eastAsia="en-US"/>
              </w:rPr>
            </w:pPr>
            <w:r w:rsidRPr="003B2277">
              <w:rPr>
                <w:rFonts w:eastAsia="Calibri" w:cs="Mangal"/>
                <w:lang w:eastAsia="en-US"/>
              </w:rPr>
              <w:t>(b) če organizacija proizvajalcev koncentrira ponudbo in daje proizvode svojih članov na trg, ne glede na to, ali so proizvajalci na organizacijo proizvajalcev prenesli lastništvo nad kmetijskimi proizvodi ali ne;</w:t>
            </w:r>
          </w:p>
        </w:tc>
      </w:tr>
      <w:tr w:rsidR="006F5BFE" w:rsidRPr="003B2277" w14:paraId="7ED18DC4" w14:textId="77777777" w:rsidTr="005B4D60">
        <w:trPr>
          <w:jc w:val="center"/>
        </w:trPr>
        <w:tc>
          <w:tcPr>
            <w:tcW w:w="4876" w:type="dxa"/>
            <w:hideMark/>
          </w:tcPr>
          <w:p w14:paraId="13D48C63" w14:textId="77777777" w:rsidR="006F5BFE" w:rsidRPr="003B2277" w:rsidRDefault="006F5BFE" w:rsidP="005B4D60">
            <w:pPr>
              <w:spacing w:after="120"/>
              <w:rPr>
                <w:lang w:eastAsia="en-US"/>
              </w:rPr>
            </w:pPr>
            <w:r w:rsidRPr="003B2277">
              <w:rPr>
                <w:rFonts w:eastAsia="Calibri" w:cs="Mangal"/>
                <w:lang w:eastAsia="en-US"/>
              </w:rPr>
              <w:t>(c) ne glede na to, ali je dogovorjena cena enaka za skupno proizvodnjo nekaterih ali vseh članov;</w:t>
            </w:r>
          </w:p>
        </w:tc>
        <w:tc>
          <w:tcPr>
            <w:tcW w:w="4876" w:type="dxa"/>
          </w:tcPr>
          <w:p w14:paraId="5C1A7A45" w14:textId="77777777" w:rsidR="006F5BFE" w:rsidRPr="003B2277" w:rsidRDefault="006F5BFE" w:rsidP="005B4D60">
            <w:pPr>
              <w:spacing w:after="120"/>
              <w:rPr>
                <w:szCs w:val="24"/>
                <w:lang w:eastAsia="en-US"/>
              </w:rPr>
            </w:pPr>
            <w:r w:rsidRPr="003B2277">
              <w:rPr>
                <w:rFonts w:eastAsia="Calibri" w:cs="Mangal"/>
                <w:lang w:eastAsia="en-US"/>
              </w:rPr>
              <w:t>(c) ne glede na to, ali je dogovorjena cena enaka za skupno proizvodnjo nekaterih ali vseh članov;</w:t>
            </w:r>
          </w:p>
        </w:tc>
      </w:tr>
      <w:tr w:rsidR="006F5BFE" w:rsidRPr="003B2277" w14:paraId="21FE5768" w14:textId="77777777" w:rsidTr="005B4D60">
        <w:trPr>
          <w:jc w:val="center"/>
        </w:trPr>
        <w:tc>
          <w:tcPr>
            <w:tcW w:w="4876" w:type="dxa"/>
            <w:hideMark/>
          </w:tcPr>
          <w:p w14:paraId="48389D33" w14:textId="77777777" w:rsidR="006F5BFE" w:rsidRPr="003B2277" w:rsidRDefault="006F5BFE" w:rsidP="005B4D60">
            <w:pPr>
              <w:spacing w:after="120"/>
              <w:rPr>
                <w:lang w:eastAsia="en-US"/>
              </w:rPr>
            </w:pPr>
            <w:r w:rsidRPr="003B2277">
              <w:rPr>
                <w:rFonts w:eastAsia="Calibri" w:cs="Mangal"/>
                <w:lang w:eastAsia="en-US"/>
              </w:rPr>
              <w:t>(d) če zadevni proizvajalci niso člani nobene druge organizacije proizvajalcev, kar zadeva proizvode, zajete v dejavnostih iz prvega pododstavka;</w:t>
            </w:r>
          </w:p>
        </w:tc>
        <w:tc>
          <w:tcPr>
            <w:tcW w:w="4876" w:type="dxa"/>
          </w:tcPr>
          <w:p w14:paraId="3EF39740" w14:textId="77777777" w:rsidR="006F5BFE" w:rsidRPr="003B2277" w:rsidRDefault="006F5BFE" w:rsidP="005B4D60">
            <w:pPr>
              <w:spacing w:after="120"/>
              <w:rPr>
                <w:szCs w:val="24"/>
                <w:lang w:eastAsia="en-US"/>
              </w:rPr>
            </w:pPr>
            <w:r w:rsidRPr="003B2277">
              <w:rPr>
                <w:rFonts w:eastAsia="Calibri" w:cs="Mangal"/>
                <w:lang w:eastAsia="en-US"/>
              </w:rPr>
              <w:t>(d) če zadevni proizvajalci niso člani nobene druge organizacije proizvajalcev, kar zadeva proizvode, zajete v dejavnostih iz prvega pododstavka;</w:t>
            </w:r>
          </w:p>
        </w:tc>
      </w:tr>
      <w:tr w:rsidR="006F5BFE" w:rsidRPr="003B2277" w14:paraId="688EFEAA" w14:textId="77777777" w:rsidTr="005B4D60">
        <w:trPr>
          <w:jc w:val="center"/>
        </w:trPr>
        <w:tc>
          <w:tcPr>
            <w:tcW w:w="4876" w:type="dxa"/>
            <w:hideMark/>
          </w:tcPr>
          <w:p w14:paraId="356BEC80" w14:textId="77777777" w:rsidR="006F5BFE" w:rsidRPr="003B2277" w:rsidRDefault="006F5BFE" w:rsidP="005B4D60">
            <w:pPr>
              <w:spacing w:after="120"/>
              <w:rPr>
                <w:lang w:eastAsia="en-US"/>
              </w:rPr>
            </w:pPr>
            <w:r w:rsidRPr="003B2277">
              <w:rPr>
                <w:rFonts w:eastAsia="Calibri" w:cs="Mangal"/>
                <w:lang w:eastAsia="en-US"/>
              </w:rPr>
              <w:t>(e) če za kmetijski proizvod v skladu s pogoji, določenimi v statutu zadruge ali pravilih in odločitvah, ki so v njem predvideni ali iz njega izhajajo, ne velja obveznost dobave na podlagi članstva kmeta v zadrugi, ki sama ni članica zadevnih organizacij proizvajalcev.</w:t>
            </w:r>
          </w:p>
        </w:tc>
        <w:tc>
          <w:tcPr>
            <w:tcW w:w="4876" w:type="dxa"/>
          </w:tcPr>
          <w:p w14:paraId="085CBB6D" w14:textId="77777777" w:rsidR="006F5BFE" w:rsidRPr="003B2277" w:rsidRDefault="006F5BFE" w:rsidP="005B4D60">
            <w:pPr>
              <w:spacing w:after="120"/>
              <w:rPr>
                <w:lang w:eastAsia="en-US"/>
              </w:rPr>
            </w:pPr>
            <w:r w:rsidRPr="003B2277">
              <w:rPr>
                <w:rFonts w:eastAsia="Calibri" w:cs="Mangal"/>
                <w:lang w:eastAsia="en-US"/>
              </w:rPr>
              <w:t>(e) če za kmetijski proizvod v skladu s pogoji, določenimi v statutu zadruge ali pravilih in odločitvah, ki so v njem predvideni ali iz njega izhajajo, ne velja obveznost dobave na podlagi članstva kmeta v zadrugi, ki sama ni članica zadevnih organizacij proizvajalcev.</w:t>
            </w:r>
          </w:p>
        </w:tc>
      </w:tr>
      <w:tr w:rsidR="006F5BFE" w:rsidRPr="003B2277" w14:paraId="10AB7DD1" w14:textId="77777777" w:rsidTr="005B4D60">
        <w:trPr>
          <w:jc w:val="center"/>
        </w:trPr>
        <w:tc>
          <w:tcPr>
            <w:tcW w:w="4876" w:type="dxa"/>
            <w:hideMark/>
          </w:tcPr>
          <w:p w14:paraId="50CCB731" w14:textId="77777777" w:rsidR="006F5BFE" w:rsidRPr="003B2277" w:rsidRDefault="006F5BFE" w:rsidP="005B4D60">
            <w:pPr>
              <w:spacing w:after="120"/>
              <w:rPr>
                <w:lang w:eastAsia="en-US"/>
              </w:rPr>
            </w:pPr>
            <w:r w:rsidRPr="003B2277">
              <w:rPr>
                <w:rFonts w:eastAsia="Calibri" w:cs="Mangal"/>
                <w:lang w:eastAsia="en-US"/>
              </w:rPr>
              <w:t>Vendar pa lahko države članice odstopijo od pogoja iz točke (d) drugega pododstavka v ustrezno utemeljenih primerih, ko imajo člani proizvajalci ločena proizvodna obrata, ki sta na različnih geografskih območjih;</w:t>
            </w:r>
          </w:p>
        </w:tc>
        <w:tc>
          <w:tcPr>
            <w:tcW w:w="4876" w:type="dxa"/>
          </w:tcPr>
          <w:p w14:paraId="589CC12B" w14:textId="77777777" w:rsidR="006F5BFE" w:rsidRPr="003B2277" w:rsidRDefault="006F5BFE" w:rsidP="005B4D60">
            <w:pPr>
              <w:spacing w:after="120"/>
              <w:rPr>
                <w:lang w:eastAsia="en-US"/>
              </w:rPr>
            </w:pPr>
            <w:r w:rsidRPr="003B2277">
              <w:rPr>
                <w:rFonts w:eastAsia="Calibri" w:cs="Mangal"/>
                <w:lang w:eastAsia="en-US"/>
              </w:rPr>
              <w:t>Vendar pa lahko države članice odstopijo od pogoja iz točke (d) drugega pododstavka v ustrezno utemeljenih primerih, ko imajo člani proizvajalci ločena proizvodna obrata, ki sta na različnih geografskih območjih;</w:t>
            </w:r>
          </w:p>
        </w:tc>
      </w:tr>
      <w:tr w:rsidR="006F5BFE" w:rsidRPr="003B2277" w14:paraId="6059BFB1" w14:textId="77777777" w:rsidTr="005B4D60">
        <w:trPr>
          <w:jc w:val="center"/>
        </w:trPr>
        <w:tc>
          <w:tcPr>
            <w:tcW w:w="4876" w:type="dxa"/>
            <w:hideMark/>
          </w:tcPr>
          <w:p w14:paraId="1E0683AF" w14:textId="77777777" w:rsidR="006F5BFE" w:rsidRPr="003B2277" w:rsidRDefault="006F5BFE" w:rsidP="005B4D60">
            <w:pPr>
              <w:spacing w:after="120"/>
              <w:rPr>
                <w:lang w:eastAsia="en-US"/>
              </w:rPr>
            </w:pPr>
            <w:r w:rsidRPr="003B2277">
              <w:rPr>
                <w:rFonts w:eastAsia="Calibri" w:cs="Mangal"/>
                <w:lang w:eastAsia="en-US"/>
              </w:rPr>
              <w:t>1b.</w:t>
            </w:r>
            <w:r w:rsidRPr="003B2277">
              <w:rPr>
                <w:rFonts w:eastAsia="Calibri" w:cs="Mangal"/>
                <w:lang w:eastAsia="en-US"/>
              </w:rPr>
              <w:tab/>
              <w:t>Za namene tega člena sklicevanje na organizacije proizvajalcev vključuje tudi združenja organizacij proizvajalcev, ki so priznana v skladu s členom 156(1), če ta združenja izpolnjujejo zahteve iz odstavka 1 tega člena.</w:t>
            </w:r>
          </w:p>
        </w:tc>
        <w:tc>
          <w:tcPr>
            <w:tcW w:w="4876" w:type="dxa"/>
          </w:tcPr>
          <w:p w14:paraId="7AF6925C" w14:textId="5A06947B" w:rsidR="006F5BFE" w:rsidRPr="003B2277" w:rsidRDefault="006F5BFE" w:rsidP="006100CC">
            <w:pPr>
              <w:spacing w:after="120"/>
              <w:rPr>
                <w:lang w:eastAsia="en-US"/>
              </w:rPr>
            </w:pPr>
            <w:r w:rsidRPr="003B2277">
              <w:rPr>
                <w:rFonts w:eastAsia="Calibri" w:cs="Mangal"/>
                <w:lang w:eastAsia="en-US"/>
              </w:rPr>
              <w:t>1b.</w:t>
            </w:r>
            <w:r w:rsidR="006100CC" w:rsidRPr="003B2277">
              <w:rPr>
                <w:rFonts w:eastAsia="Calibri" w:cs="Mangal"/>
                <w:lang w:eastAsia="en-US"/>
              </w:rPr>
              <w:tab/>
            </w:r>
            <w:r w:rsidRPr="003B2277">
              <w:rPr>
                <w:rFonts w:eastAsia="Calibri" w:cs="Mangal"/>
                <w:lang w:eastAsia="en-US"/>
              </w:rPr>
              <w:t>Za namene tega člena sklicevanje na organizacije proizvajalcev vključuje tudi združenja organizacij proizvajalcev, ki so priznana v skladu s členom 156(1), če ta združenja izpolnjujejo zahteve iz odstavka 1 tega člena.</w:t>
            </w:r>
          </w:p>
        </w:tc>
      </w:tr>
      <w:tr w:rsidR="006F5BFE" w:rsidRPr="003B2277" w14:paraId="531E71AE" w14:textId="77777777" w:rsidTr="005B4D60">
        <w:trPr>
          <w:jc w:val="center"/>
        </w:trPr>
        <w:tc>
          <w:tcPr>
            <w:tcW w:w="4876" w:type="dxa"/>
            <w:hideMark/>
          </w:tcPr>
          <w:p w14:paraId="6E1BD545" w14:textId="77777777" w:rsidR="006F5BFE" w:rsidRPr="003B2277" w:rsidRDefault="006F5BFE" w:rsidP="005B4D60">
            <w:pPr>
              <w:spacing w:after="120"/>
              <w:rPr>
                <w:lang w:eastAsia="en-US"/>
              </w:rPr>
            </w:pPr>
            <w:r w:rsidRPr="003B2277">
              <w:rPr>
                <w:rFonts w:eastAsia="Calibri" w:cs="Mangal"/>
                <w:lang w:eastAsia="en-US"/>
              </w:rPr>
              <w:t>1c.</w:t>
            </w:r>
            <w:r w:rsidRPr="003B2277">
              <w:rPr>
                <w:rFonts w:eastAsia="Calibri" w:cs="Mangal"/>
                <w:lang w:eastAsia="en-US"/>
              </w:rPr>
              <w:tab/>
              <w:t>Nacionalni organ za konkurenco iz člena 5 Uredbe (ES) št. 1/2003 lahko v posameznem primeru odloči, da se v prihodnje ena ali več dejavnosti iz prvega pododstavka odstavka 1a spremeni, preneha izvajati ali sploh ne začne izvajati, če meni, da je to potrebno, da se prepreči izključevanje konkurence, ali če meni, da so ogroženi cilji iz člena 39 PDEU.</w:t>
            </w:r>
          </w:p>
        </w:tc>
        <w:tc>
          <w:tcPr>
            <w:tcW w:w="4876" w:type="dxa"/>
          </w:tcPr>
          <w:p w14:paraId="3CD1AE74" w14:textId="77777777" w:rsidR="006F5BFE" w:rsidRPr="003B2277" w:rsidRDefault="006F5BFE" w:rsidP="005B4D60">
            <w:pPr>
              <w:spacing w:after="120"/>
              <w:rPr>
                <w:lang w:eastAsia="en-US"/>
              </w:rPr>
            </w:pPr>
            <w:r w:rsidRPr="003B2277">
              <w:rPr>
                <w:rFonts w:eastAsia="Calibri" w:cs="Mangal"/>
                <w:lang w:eastAsia="en-US"/>
              </w:rPr>
              <w:t>1c.</w:t>
            </w:r>
            <w:r w:rsidRPr="003B2277">
              <w:rPr>
                <w:rFonts w:eastAsia="Calibri" w:cs="Mangal"/>
                <w:lang w:eastAsia="en-US"/>
              </w:rPr>
              <w:tab/>
              <w:t>Nacionalni organ za konkurenco iz člena 5 Uredbe (ES) št. 1/2003 lahko v posameznem primeru odloči, da se v prihodnje ena ali več dejavnosti iz prvega pododstavka odstavka 1a spremeni, preneha izvajati ali sploh ne začne izvajati, če meni, da je to potrebno, da se prepreči izključevanje konkurence, ali če meni, da so ogroženi cilji iz člena 39 PDEU.</w:t>
            </w:r>
          </w:p>
        </w:tc>
      </w:tr>
      <w:tr w:rsidR="006F5BFE" w:rsidRPr="003B2277" w14:paraId="67814CB0" w14:textId="77777777" w:rsidTr="005B4D60">
        <w:trPr>
          <w:jc w:val="center"/>
        </w:trPr>
        <w:tc>
          <w:tcPr>
            <w:tcW w:w="4876" w:type="dxa"/>
            <w:hideMark/>
          </w:tcPr>
          <w:p w14:paraId="51FBFC5F" w14:textId="77777777" w:rsidR="006F5BFE" w:rsidRPr="003B2277" w:rsidRDefault="006F5BFE" w:rsidP="005B4D60">
            <w:pPr>
              <w:spacing w:after="120"/>
              <w:rPr>
                <w:lang w:eastAsia="en-US"/>
              </w:rPr>
            </w:pPr>
            <w:r w:rsidRPr="003B2277">
              <w:rPr>
                <w:rFonts w:eastAsia="Calibri" w:cs="Mangal"/>
                <w:lang w:eastAsia="en-US"/>
              </w:rPr>
              <w:t>V primeru pogajanj, ki se nanašajo na več kot eno državo članico, Komisija brez uporabe postopka iz člena 229(2) ali (3) sprejme odločitev iz prvega pododstavka tega odstavka.</w:t>
            </w:r>
          </w:p>
        </w:tc>
        <w:tc>
          <w:tcPr>
            <w:tcW w:w="4876" w:type="dxa"/>
          </w:tcPr>
          <w:p w14:paraId="4B0DB263" w14:textId="77777777" w:rsidR="006F5BFE" w:rsidRPr="003B2277" w:rsidRDefault="006F5BFE" w:rsidP="005B4D60">
            <w:pPr>
              <w:spacing w:after="120"/>
              <w:rPr>
                <w:lang w:eastAsia="en-US"/>
              </w:rPr>
            </w:pPr>
            <w:r w:rsidRPr="003B2277">
              <w:rPr>
                <w:rFonts w:eastAsia="Calibri" w:cs="Mangal"/>
                <w:lang w:eastAsia="en-US"/>
              </w:rPr>
              <w:t>V primeru pogajanj, ki se nanašajo na več kot eno državo članico, Komisija brez uporabe postopka iz člena 229(2) ali (3) sprejme odločitev iz prvega pododstavka tega odstavka.</w:t>
            </w:r>
          </w:p>
        </w:tc>
      </w:tr>
      <w:tr w:rsidR="006F5BFE" w:rsidRPr="003B2277" w14:paraId="557C1923" w14:textId="77777777" w:rsidTr="005B4D60">
        <w:trPr>
          <w:jc w:val="center"/>
        </w:trPr>
        <w:tc>
          <w:tcPr>
            <w:tcW w:w="4876" w:type="dxa"/>
            <w:hideMark/>
          </w:tcPr>
          <w:p w14:paraId="6667FC23" w14:textId="77777777" w:rsidR="006F5BFE" w:rsidRPr="003B2277" w:rsidRDefault="006F5BFE" w:rsidP="005B4D60">
            <w:pPr>
              <w:spacing w:after="120"/>
              <w:rPr>
                <w:lang w:eastAsia="en-US"/>
              </w:rPr>
            </w:pPr>
            <w:r w:rsidRPr="003B2277">
              <w:rPr>
                <w:rFonts w:eastAsia="Calibri" w:cs="Mangal"/>
                <w:lang w:eastAsia="en-US"/>
              </w:rPr>
              <w:t>Kadar nacionalni organ za konkurenco deluje v skladu s prvim pododstavkom tega odstavka, pred prvim uradnim preiskovalnim ukrepom ali takoj po njegovem začetku pisno obvesti Komisijo in jo tudi brez odlašanja uradno obvesti o odločitvah.</w:t>
            </w:r>
          </w:p>
        </w:tc>
        <w:tc>
          <w:tcPr>
            <w:tcW w:w="4876" w:type="dxa"/>
          </w:tcPr>
          <w:p w14:paraId="3E40C2C0" w14:textId="77777777" w:rsidR="006F5BFE" w:rsidRPr="003B2277" w:rsidRDefault="006F5BFE" w:rsidP="005B4D60">
            <w:pPr>
              <w:spacing w:after="120"/>
              <w:rPr>
                <w:lang w:eastAsia="en-US"/>
              </w:rPr>
            </w:pPr>
            <w:r w:rsidRPr="003B2277">
              <w:rPr>
                <w:rFonts w:eastAsia="Calibri" w:cs="Mangal"/>
                <w:lang w:eastAsia="en-US"/>
              </w:rPr>
              <w:t>Kadar nacionalni organ za konkurenco deluje v skladu s prvim pododstavkom tega odstavka, pred prvim uradnim preiskovalnim ukrepom ali takoj po njegovem začetku pisno obvesti Komisijo in jo tudi brez odlašanja uradno obvesti o odločitvah.</w:t>
            </w:r>
          </w:p>
        </w:tc>
      </w:tr>
      <w:tr w:rsidR="006F5BFE" w:rsidRPr="003B2277" w14:paraId="0D42D256" w14:textId="77777777" w:rsidTr="005B4D60">
        <w:trPr>
          <w:jc w:val="center"/>
        </w:trPr>
        <w:tc>
          <w:tcPr>
            <w:tcW w:w="4876" w:type="dxa"/>
            <w:hideMark/>
          </w:tcPr>
          <w:p w14:paraId="14DD484E" w14:textId="77777777" w:rsidR="006F5BFE" w:rsidRPr="003B2277" w:rsidRDefault="006F5BFE" w:rsidP="005B4D60">
            <w:pPr>
              <w:spacing w:after="120"/>
              <w:rPr>
                <w:lang w:eastAsia="en-US"/>
              </w:rPr>
            </w:pPr>
            <w:r w:rsidRPr="003B2277">
              <w:rPr>
                <w:rFonts w:eastAsia="Calibri" w:cs="Mangal"/>
                <w:lang w:eastAsia="en-US"/>
              </w:rPr>
              <w:t>Odločitve iz tega odstavka se začnejo izvajati šele z datumom, ko so zadevna podjetja o njih uradno obveščena.</w:t>
            </w:r>
          </w:p>
        </w:tc>
        <w:tc>
          <w:tcPr>
            <w:tcW w:w="4876" w:type="dxa"/>
          </w:tcPr>
          <w:p w14:paraId="082BA418" w14:textId="77777777" w:rsidR="006F5BFE" w:rsidRPr="003B2277" w:rsidRDefault="006F5BFE" w:rsidP="005B4D60">
            <w:pPr>
              <w:spacing w:after="120"/>
              <w:rPr>
                <w:lang w:eastAsia="en-US"/>
              </w:rPr>
            </w:pPr>
            <w:r w:rsidRPr="003B2277">
              <w:rPr>
                <w:rFonts w:eastAsia="Calibri" w:cs="Mangal"/>
                <w:lang w:eastAsia="en-US"/>
              </w:rPr>
              <w:t>Odločitve iz tega odstavka se začnejo izvajati šele z datumom, ko so zadevna podjetja o njih uradno obveščena.</w:t>
            </w:r>
          </w:p>
        </w:tc>
      </w:tr>
      <w:tr w:rsidR="006F5BFE" w:rsidRPr="003B2277" w14:paraId="16B2B711" w14:textId="77777777" w:rsidTr="005B4D60">
        <w:trPr>
          <w:jc w:val="center"/>
        </w:trPr>
        <w:tc>
          <w:tcPr>
            <w:tcW w:w="4876" w:type="dxa"/>
            <w:hideMark/>
          </w:tcPr>
          <w:p w14:paraId="578BE7C3"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 xml:space="preserve">Organizacija proizvajalcev, priznana v skladu z odstavkom 1, lahko ostane priznana, če trži proizvode pod oznako KN ex2208, razen proizvodov iz Priloge I k Pogodbama, pod pogojem, da delež teh proizvodov ne presega 49 % skupne vrednosti tržne proizvodnje organizacije proizvajalcev in da za te proizvode ne prejema </w:t>
            </w:r>
            <w:r w:rsidRPr="003B2277">
              <w:rPr>
                <w:rFonts w:eastAsia="Calibri" w:cs="Mangal"/>
                <w:b/>
                <w:i/>
                <w:lang w:eastAsia="en-US"/>
              </w:rPr>
              <w:t>podpora</w:t>
            </w:r>
            <w:r w:rsidRPr="003B2277">
              <w:rPr>
                <w:rFonts w:eastAsia="Calibri" w:cs="Mangal"/>
                <w:lang w:eastAsia="en-US"/>
              </w:rPr>
              <w:t xml:space="preserve"> Unije. Ti proizvodi se v primeru organizacij proizvajalcev v sektorju sadja in zelenjave ne upoštevajo pri izračunu vrednosti tržne proizvodnje za namene člena 34(2).</w:t>
            </w:r>
          </w:p>
        </w:tc>
        <w:tc>
          <w:tcPr>
            <w:tcW w:w="4876" w:type="dxa"/>
          </w:tcPr>
          <w:p w14:paraId="2D46F85C"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Organizacija proizvajalcev, priznana v skladu z odstavkom 1, lahko ostane priznana, če trži proizvode pod oznako KN ex</w:t>
            </w:r>
            <w:r w:rsidRPr="003B2277">
              <w:rPr>
                <w:rFonts w:eastAsia="Calibri" w:cs="Mangal"/>
                <w:b/>
                <w:i/>
                <w:lang w:eastAsia="en-US"/>
              </w:rPr>
              <w:t xml:space="preserve"> </w:t>
            </w:r>
            <w:r w:rsidRPr="003B2277">
              <w:rPr>
                <w:rFonts w:eastAsia="Calibri" w:cs="Mangal"/>
                <w:lang w:eastAsia="en-US"/>
              </w:rPr>
              <w:t xml:space="preserve">2208, razen proizvodov iz Priloge I k Pogodbama, pod pogojem, da delež teh proizvodov ne presega 49 % skupne vrednosti tržne proizvodnje organizacije proizvajalcev in da za te proizvode ne prejema </w:t>
            </w:r>
            <w:r w:rsidRPr="003B2277">
              <w:rPr>
                <w:rFonts w:eastAsia="Calibri" w:cs="Mangal"/>
                <w:b/>
                <w:i/>
                <w:lang w:eastAsia="en-US"/>
              </w:rPr>
              <w:t>podpore</w:t>
            </w:r>
            <w:r w:rsidRPr="003B2277">
              <w:rPr>
                <w:rFonts w:eastAsia="Calibri" w:cs="Mangal"/>
                <w:lang w:eastAsia="en-US"/>
              </w:rPr>
              <w:t xml:space="preserve"> Unije. Ti proizvodi se v primeru organizacij proizvajalcev v sektorju sadja in zelenjave ne upoštevajo pri izračunu vrednosti tržne proizvodnje za namene člena 34(2).</w:t>
            </w:r>
            <w:r w:rsidRPr="003B2277">
              <w:rPr>
                <w:rFonts w:eastAsia="Calibri" w:cs="Mangal"/>
                <w:b/>
                <w:i/>
                <w:lang w:eastAsia="en-US"/>
              </w:rPr>
              <w:t>“</w:t>
            </w:r>
          </w:p>
        </w:tc>
      </w:tr>
    </w:tbl>
    <w:p w14:paraId="02FFE19B" w14:textId="77777777" w:rsidR="006F5BFE" w:rsidRPr="003B2277" w:rsidRDefault="006F5BFE" w:rsidP="006F5BFE">
      <w:pPr>
        <w:rPr>
          <w:lang w:eastAsia="en-US"/>
        </w:rPr>
      </w:pPr>
    </w:p>
    <w:p w14:paraId="74BA13AF" w14:textId="77777777" w:rsidR="007E5F3B" w:rsidRDefault="007E5F3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219224C0" w14:textId="4A6E232A" w:rsidR="007E5F3B" w:rsidRPr="00733B3E" w:rsidRDefault="008C7773" w:rsidP="007E5F3B">
      <w:pPr>
        <w:pStyle w:val="AmNumberTabs0"/>
      </w:pPr>
      <w:r>
        <w:t>Sprememba</w:t>
      </w:r>
      <w:r w:rsidR="007E5F3B" w:rsidRPr="00733B3E">
        <w:tab/>
      </w:r>
      <w:r w:rsidR="007E5F3B" w:rsidRPr="00733B3E">
        <w:tab/>
        <w:t>238</w:t>
      </w:r>
    </w:p>
    <w:p w14:paraId="7E989D1B" w14:textId="77777777" w:rsidR="007E5F3B" w:rsidRPr="00733B3E" w:rsidRDefault="007E5F3B" w:rsidP="007E5F3B">
      <w:pPr>
        <w:pStyle w:val="NormalBold12b"/>
      </w:pPr>
      <w:r w:rsidRPr="00733B3E">
        <w:t>Predlog uredbe</w:t>
      </w:r>
    </w:p>
    <w:p w14:paraId="3FD02053" w14:textId="19B954A3" w:rsidR="007E5F3B" w:rsidRPr="00733B3E" w:rsidRDefault="00871C85" w:rsidP="007E5F3B">
      <w:pPr>
        <w:pStyle w:val="NormalBold"/>
      </w:pPr>
      <w:r>
        <w:t>Člen 1 – odstavek 1 – točka 22 f</w:t>
      </w:r>
      <w:r w:rsidR="007E5F3B" w:rsidRPr="00733B3E">
        <w:t xml:space="preserve"> (novo)</w:t>
      </w:r>
    </w:p>
    <w:p w14:paraId="2E74F262" w14:textId="77777777" w:rsidR="007E5F3B" w:rsidRPr="00733B3E" w:rsidRDefault="007E5F3B" w:rsidP="007E5F3B">
      <w:r w:rsidRPr="00733B3E">
        <w:t>Uredba (EU) št. 1308/2013</w:t>
      </w:r>
    </w:p>
    <w:p w14:paraId="57837876" w14:textId="77777777" w:rsidR="007E5F3B" w:rsidRPr="00733B3E" w:rsidRDefault="007E5F3B" w:rsidP="007E5F3B">
      <w:r w:rsidRPr="00733B3E">
        <w:t>Člen 153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733B3E" w14:paraId="4B015445" w14:textId="77777777" w:rsidTr="007E5F3B">
        <w:trPr>
          <w:jc w:val="center"/>
        </w:trPr>
        <w:tc>
          <w:tcPr>
            <w:tcW w:w="9752" w:type="dxa"/>
            <w:gridSpan w:val="2"/>
          </w:tcPr>
          <w:p w14:paraId="69B11F0E" w14:textId="77777777" w:rsidR="007E5F3B" w:rsidRPr="00733B3E" w:rsidRDefault="007E5F3B" w:rsidP="007E5F3B">
            <w:pPr>
              <w:keepNext/>
            </w:pPr>
          </w:p>
        </w:tc>
      </w:tr>
      <w:tr w:rsidR="007E5F3B" w:rsidRPr="00733B3E" w14:paraId="0566535A" w14:textId="77777777" w:rsidTr="007E5F3B">
        <w:trPr>
          <w:jc w:val="center"/>
        </w:trPr>
        <w:tc>
          <w:tcPr>
            <w:tcW w:w="4876" w:type="dxa"/>
          </w:tcPr>
          <w:p w14:paraId="0D0AC265" w14:textId="77777777" w:rsidR="007E5F3B" w:rsidRPr="00733B3E" w:rsidRDefault="007E5F3B" w:rsidP="007E5F3B">
            <w:pPr>
              <w:pStyle w:val="AmColumnHeading"/>
              <w:keepNext/>
            </w:pPr>
            <w:r w:rsidRPr="00733B3E">
              <w:t>Veljavno besedilo</w:t>
            </w:r>
          </w:p>
        </w:tc>
        <w:tc>
          <w:tcPr>
            <w:tcW w:w="4876" w:type="dxa"/>
          </w:tcPr>
          <w:p w14:paraId="70D062AC" w14:textId="261B5986" w:rsidR="007E5F3B" w:rsidRPr="00733B3E" w:rsidRDefault="008C7773" w:rsidP="007E5F3B">
            <w:pPr>
              <w:pStyle w:val="AmColumnHeading"/>
              <w:keepNext/>
            </w:pPr>
            <w:r>
              <w:t>Sprememba</w:t>
            </w:r>
          </w:p>
        </w:tc>
      </w:tr>
      <w:tr w:rsidR="007E5F3B" w:rsidRPr="00733B3E" w14:paraId="00FD44D7" w14:textId="77777777" w:rsidTr="007E5F3B">
        <w:trPr>
          <w:jc w:val="center"/>
        </w:trPr>
        <w:tc>
          <w:tcPr>
            <w:tcW w:w="4876" w:type="dxa"/>
          </w:tcPr>
          <w:p w14:paraId="419868B4" w14:textId="77777777" w:rsidR="007E5F3B" w:rsidRPr="00733B3E" w:rsidRDefault="007E5F3B" w:rsidP="007E5F3B">
            <w:pPr>
              <w:pStyle w:val="Normal6"/>
            </w:pPr>
          </w:p>
        </w:tc>
        <w:tc>
          <w:tcPr>
            <w:tcW w:w="4876" w:type="dxa"/>
          </w:tcPr>
          <w:p w14:paraId="0EF5A666" w14:textId="0F1E0555" w:rsidR="007E5F3B" w:rsidRPr="00733B3E" w:rsidRDefault="00871C85" w:rsidP="007E5F3B">
            <w:pPr>
              <w:pStyle w:val="Normal6"/>
              <w:rPr>
                <w:szCs w:val="24"/>
              </w:rPr>
            </w:pPr>
            <w:r>
              <w:rPr>
                <w:b/>
                <w:i/>
              </w:rPr>
              <w:t>(22f</w:t>
            </w:r>
            <w:r w:rsidR="007E5F3B" w:rsidRPr="00733B3E">
              <w:rPr>
                <w:b/>
                <w:i/>
              </w:rPr>
              <w:t>)</w:t>
            </w:r>
            <w:r w:rsidR="007E5F3B" w:rsidRPr="00733B3E">
              <w:rPr>
                <w:b/>
                <w:i/>
              </w:rPr>
              <w:tab/>
              <w:t>člen 153 se nadomesti z naslednjim:</w:t>
            </w:r>
          </w:p>
        </w:tc>
      </w:tr>
      <w:tr w:rsidR="007E5F3B" w:rsidRPr="00733B3E" w14:paraId="10CA2C5A" w14:textId="77777777" w:rsidTr="007E5F3B">
        <w:trPr>
          <w:jc w:val="center"/>
        </w:trPr>
        <w:tc>
          <w:tcPr>
            <w:tcW w:w="4876" w:type="dxa"/>
          </w:tcPr>
          <w:p w14:paraId="0F469EE9" w14:textId="77777777" w:rsidR="007E5F3B" w:rsidRPr="00733B3E" w:rsidRDefault="007E5F3B" w:rsidP="007E5F3B">
            <w:pPr>
              <w:pStyle w:val="Normal6"/>
              <w:jc w:val="center"/>
            </w:pPr>
            <w:r w:rsidRPr="00733B3E">
              <w:t>Člen 153</w:t>
            </w:r>
          </w:p>
        </w:tc>
        <w:tc>
          <w:tcPr>
            <w:tcW w:w="4876" w:type="dxa"/>
          </w:tcPr>
          <w:p w14:paraId="234B09F8" w14:textId="77777777" w:rsidR="007E5F3B" w:rsidRPr="00733B3E" w:rsidRDefault="007E5F3B" w:rsidP="007E5F3B">
            <w:pPr>
              <w:pStyle w:val="Normal6"/>
              <w:rPr>
                <w:szCs w:val="24"/>
              </w:rPr>
            </w:pPr>
            <w:r w:rsidRPr="00733B3E">
              <w:t>„Člen 153</w:t>
            </w:r>
          </w:p>
        </w:tc>
      </w:tr>
      <w:tr w:rsidR="007E5F3B" w:rsidRPr="00733B3E" w14:paraId="59DEDAE0" w14:textId="77777777" w:rsidTr="007E5F3B">
        <w:trPr>
          <w:jc w:val="center"/>
        </w:trPr>
        <w:tc>
          <w:tcPr>
            <w:tcW w:w="4876" w:type="dxa"/>
          </w:tcPr>
          <w:p w14:paraId="37142BD6" w14:textId="77777777" w:rsidR="007E5F3B" w:rsidRPr="00733B3E" w:rsidRDefault="007E5F3B" w:rsidP="007E5F3B">
            <w:pPr>
              <w:pStyle w:val="Normal6"/>
            </w:pPr>
            <w:r w:rsidRPr="00733B3E">
              <w:t>Statut organizacij proizvajalcev</w:t>
            </w:r>
          </w:p>
        </w:tc>
        <w:tc>
          <w:tcPr>
            <w:tcW w:w="4876" w:type="dxa"/>
          </w:tcPr>
          <w:p w14:paraId="1BE2763E" w14:textId="77777777" w:rsidR="007E5F3B" w:rsidRPr="00733B3E" w:rsidRDefault="007E5F3B" w:rsidP="007E5F3B">
            <w:pPr>
              <w:pStyle w:val="Normal6"/>
              <w:rPr>
                <w:szCs w:val="24"/>
              </w:rPr>
            </w:pPr>
            <w:r w:rsidRPr="00733B3E">
              <w:t>Statut organizacij proizvajalcev</w:t>
            </w:r>
          </w:p>
        </w:tc>
      </w:tr>
      <w:tr w:rsidR="007E5F3B" w:rsidRPr="00733B3E" w14:paraId="55EED48F" w14:textId="77777777" w:rsidTr="007E5F3B">
        <w:trPr>
          <w:jc w:val="center"/>
        </w:trPr>
        <w:tc>
          <w:tcPr>
            <w:tcW w:w="4876" w:type="dxa"/>
          </w:tcPr>
          <w:p w14:paraId="557F9F9C" w14:textId="77777777" w:rsidR="007E5F3B" w:rsidRPr="00733B3E" w:rsidRDefault="007E5F3B" w:rsidP="007E5F3B">
            <w:pPr>
              <w:pStyle w:val="Normal6"/>
            </w:pPr>
            <w:r w:rsidRPr="00733B3E">
              <w:t>1.</w:t>
            </w:r>
            <w:r w:rsidRPr="00733B3E">
              <w:tab/>
              <w:t>V statutu organizacije proizvajalcev se od članov proizvajalcev zlasti zahteva, da:</w:t>
            </w:r>
          </w:p>
        </w:tc>
        <w:tc>
          <w:tcPr>
            <w:tcW w:w="4876" w:type="dxa"/>
          </w:tcPr>
          <w:p w14:paraId="1C1B1484" w14:textId="77777777" w:rsidR="007E5F3B" w:rsidRPr="00733B3E" w:rsidRDefault="007E5F3B" w:rsidP="007E5F3B">
            <w:pPr>
              <w:pStyle w:val="Normal6"/>
              <w:rPr>
                <w:szCs w:val="24"/>
              </w:rPr>
            </w:pPr>
            <w:r w:rsidRPr="00733B3E">
              <w:t>1.</w:t>
            </w:r>
            <w:r w:rsidRPr="00733B3E">
              <w:tab/>
              <w:t>V statutu organizacije proizvajalcev se od članov proizvajalcev zlasti zahteva, da:</w:t>
            </w:r>
          </w:p>
        </w:tc>
      </w:tr>
      <w:tr w:rsidR="007E5F3B" w:rsidRPr="00733B3E" w14:paraId="1B1F41EE" w14:textId="77777777" w:rsidTr="007E5F3B">
        <w:trPr>
          <w:jc w:val="center"/>
        </w:trPr>
        <w:tc>
          <w:tcPr>
            <w:tcW w:w="4876" w:type="dxa"/>
          </w:tcPr>
          <w:p w14:paraId="465D4C2A" w14:textId="77777777" w:rsidR="007E5F3B" w:rsidRPr="00733B3E" w:rsidRDefault="007E5F3B" w:rsidP="007E5F3B">
            <w:pPr>
              <w:pStyle w:val="Normal6"/>
            </w:pPr>
            <w:r w:rsidRPr="00733B3E">
              <w:t>(a)</w:t>
            </w:r>
            <w:r w:rsidRPr="00733B3E">
              <w:tab/>
              <w:t>uporabljajo pravila, ki jih je organizacija proizvajalcev sprejela v zvezi s poročanjem o proizvodnji, proizvodnjo, trženjem in varstvom okolja;</w:t>
            </w:r>
          </w:p>
        </w:tc>
        <w:tc>
          <w:tcPr>
            <w:tcW w:w="4876" w:type="dxa"/>
          </w:tcPr>
          <w:p w14:paraId="043FB569" w14:textId="77777777" w:rsidR="007E5F3B" w:rsidRPr="00733B3E" w:rsidRDefault="007E5F3B" w:rsidP="007E5F3B">
            <w:pPr>
              <w:pStyle w:val="Normal6"/>
              <w:rPr>
                <w:szCs w:val="24"/>
              </w:rPr>
            </w:pPr>
            <w:r w:rsidRPr="00733B3E">
              <w:t>(a)</w:t>
            </w:r>
            <w:r w:rsidRPr="00733B3E">
              <w:tab/>
              <w:t>uporabljajo pravila, ki jih je organizacija proizvajalcev sprejela v zvezi s poročanjem o proizvodnji, proizvodnjo, trženjem in varstvom okolja;</w:t>
            </w:r>
          </w:p>
        </w:tc>
      </w:tr>
      <w:tr w:rsidR="007E5F3B" w:rsidRPr="00733B3E" w14:paraId="3CAEC58C" w14:textId="77777777" w:rsidTr="007E5F3B">
        <w:trPr>
          <w:jc w:val="center"/>
        </w:trPr>
        <w:tc>
          <w:tcPr>
            <w:tcW w:w="4876" w:type="dxa"/>
          </w:tcPr>
          <w:p w14:paraId="19311790" w14:textId="77777777" w:rsidR="007E5F3B" w:rsidRPr="00733B3E" w:rsidRDefault="007E5F3B" w:rsidP="007E5F3B">
            <w:pPr>
              <w:pStyle w:val="Normal6"/>
            </w:pPr>
            <w:r w:rsidRPr="00733B3E">
              <w:t>(b)</w:t>
            </w:r>
            <w:r w:rsidRPr="00733B3E">
              <w:tab/>
              <w:t xml:space="preserve">so člani le ene organizacije proizvajalcev za kateri koli proizvod podjetja; </w:t>
            </w:r>
            <w:r w:rsidRPr="00733B3E">
              <w:rPr>
                <w:b/>
                <w:i/>
              </w:rPr>
              <w:t>vendar lahko države članice odstopajo od tega pogoja v ustrezno utemeljenih primerih, ko imajo člani proizvajalcev dva ločena proizvodna obrata, ki se nahajata na različnih geografskih območjih;</w:t>
            </w:r>
          </w:p>
        </w:tc>
        <w:tc>
          <w:tcPr>
            <w:tcW w:w="4876" w:type="dxa"/>
          </w:tcPr>
          <w:p w14:paraId="0B61A976" w14:textId="77777777" w:rsidR="007E5F3B" w:rsidRPr="00733B3E" w:rsidRDefault="007E5F3B" w:rsidP="007E5F3B">
            <w:pPr>
              <w:pStyle w:val="Normal6"/>
              <w:rPr>
                <w:szCs w:val="24"/>
              </w:rPr>
            </w:pPr>
            <w:r w:rsidRPr="00733B3E">
              <w:t>(b)</w:t>
            </w:r>
            <w:r w:rsidRPr="00733B3E">
              <w:tab/>
              <w:t>so člani le ene organizacije proizvajalcev za kateri koli proizvod podjetja;</w:t>
            </w:r>
          </w:p>
        </w:tc>
      </w:tr>
      <w:tr w:rsidR="007E5F3B" w:rsidRPr="00733B3E" w14:paraId="2FB45B74" w14:textId="77777777" w:rsidTr="007E5F3B">
        <w:trPr>
          <w:jc w:val="center"/>
        </w:trPr>
        <w:tc>
          <w:tcPr>
            <w:tcW w:w="4876" w:type="dxa"/>
          </w:tcPr>
          <w:p w14:paraId="17DD4FBF" w14:textId="77777777" w:rsidR="007E5F3B" w:rsidRPr="00733B3E" w:rsidRDefault="007E5F3B" w:rsidP="007E5F3B">
            <w:pPr>
              <w:pStyle w:val="Normal6"/>
            </w:pPr>
            <w:r w:rsidRPr="00733B3E">
              <w:t>(c)</w:t>
            </w:r>
            <w:r w:rsidRPr="00733B3E">
              <w:tab/>
              <w:t>zagotavljajo informacije, ki jih v statistične namene zahteva organizacija proizvajalcev.</w:t>
            </w:r>
          </w:p>
        </w:tc>
        <w:tc>
          <w:tcPr>
            <w:tcW w:w="4876" w:type="dxa"/>
          </w:tcPr>
          <w:p w14:paraId="20491B98" w14:textId="77777777" w:rsidR="007E5F3B" w:rsidRPr="00733B3E" w:rsidRDefault="007E5F3B" w:rsidP="007E5F3B">
            <w:pPr>
              <w:pStyle w:val="Normal6"/>
              <w:rPr>
                <w:szCs w:val="24"/>
              </w:rPr>
            </w:pPr>
            <w:r w:rsidRPr="00733B3E">
              <w:t>(c)</w:t>
            </w:r>
            <w:r w:rsidRPr="00733B3E">
              <w:tab/>
              <w:t>zagotavljajo informacije, ki jih v statistične namene zahteva organizacija proizvajalcev.</w:t>
            </w:r>
          </w:p>
        </w:tc>
      </w:tr>
      <w:tr w:rsidR="007E5F3B" w:rsidRPr="00733B3E" w14:paraId="41A1FC22" w14:textId="77777777" w:rsidTr="007E5F3B">
        <w:trPr>
          <w:jc w:val="center"/>
        </w:trPr>
        <w:tc>
          <w:tcPr>
            <w:tcW w:w="4876" w:type="dxa"/>
          </w:tcPr>
          <w:p w14:paraId="352544B0" w14:textId="77777777" w:rsidR="007E5F3B" w:rsidRPr="00733B3E" w:rsidRDefault="007E5F3B" w:rsidP="007E5F3B">
            <w:pPr>
              <w:pStyle w:val="Normal6"/>
            </w:pPr>
          </w:p>
        </w:tc>
        <w:tc>
          <w:tcPr>
            <w:tcW w:w="4876" w:type="dxa"/>
          </w:tcPr>
          <w:p w14:paraId="71C8DBB7" w14:textId="77777777" w:rsidR="007E5F3B" w:rsidRPr="00733B3E" w:rsidRDefault="007E5F3B" w:rsidP="007E5F3B">
            <w:pPr>
              <w:pStyle w:val="Normal6"/>
              <w:rPr>
                <w:b/>
                <w:i/>
              </w:rPr>
            </w:pPr>
            <w:r w:rsidRPr="00733B3E">
              <w:rPr>
                <w:b/>
                <w:i/>
              </w:rPr>
              <w:t>Vendar lahko države članice odstopajo od točke (b) prvega pododstavka v ustrezno utemeljenih primerih:</w:t>
            </w:r>
          </w:p>
        </w:tc>
      </w:tr>
      <w:tr w:rsidR="007E5F3B" w:rsidRPr="00733B3E" w14:paraId="52452920" w14:textId="77777777" w:rsidTr="007E5F3B">
        <w:trPr>
          <w:jc w:val="center"/>
        </w:trPr>
        <w:tc>
          <w:tcPr>
            <w:tcW w:w="4876" w:type="dxa"/>
          </w:tcPr>
          <w:p w14:paraId="7E52798B" w14:textId="77777777" w:rsidR="007E5F3B" w:rsidRPr="00733B3E" w:rsidRDefault="007E5F3B" w:rsidP="007E5F3B">
            <w:pPr>
              <w:pStyle w:val="Normal6"/>
            </w:pPr>
          </w:p>
        </w:tc>
        <w:tc>
          <w:tcPr>
            <w:tcW w:w="4876" w:type="dxa"/>
          </w:tcPr>
          <w:p w14:paraId="3D0DB77E" w14:textId="77777777" w:rsidR="007E5F3B" w:rsidRPr="00733B3E" w:rsidRDefault="007E5F3B" w:rsidP="007E5F3B">
            <w:pPr>
              <w:pStyle w:val="Normal6"/>
              <w:rPr>
                <w:b/>
                <w:i/>
              </w:rPr>
            </w:pPr>
            <w:r w:rsidRPr="00733B3E">
              <w:rPr>
                <w:b/>
                <w:i/>
              </w:rPr>
              <w:t>(i)</w:t>
            </w:r>
            <w:r w:rsidRPr="00733B3E">
              <w:rPr>
                <w:b/>
                <w:i/>
              </w:rPr>
              <w:tab/>
              <w:t>kadar imajo člani proizvajalci dva ločena proizvodna obrata, ki se nahajata na različnih geografskih območjih, ali</w:t>
            </w:r>
          </w:p>
        </w:tc>
      </w:tr>
      <w:tr w:rsidR="007E5F3B" w:rsidRPr="00733B3E" w14:paraId="11F0902C" w14:textId="77777777" w:rsidTr="007E5F3B">
        <w:trPr>
          <w:jc w:val="center"/>
        </w:trPr>
        <w:tc>
          <w:tcPr>
            <w:tcW w:w="4876" w:type="dxa"/>
          </w:tcPr>
          <w:p w14:paraId="42478DFC" w14:textId="77777777" w:rsidR="007E5F3B" w:rsidRPr="00733B3E" w:rsidRDefault="007E5F3B" w:rsidP="007E5F3B">
            <w:pPr>
              <w:pStyle w:val="Normal6"/>
            </w:pPr>
          </w:p>
        </w:tc>
        <w:tc>
          <w:tcPr>
            <w:tcW w:w="4876" w:type="dxa"/>
          </w:tcPr>
          <w:p w14:paraId="4E1EE2D3" w14:textId="77777777" w:rsidR="007E5F3B" w:rsidRPr="00733B3E" w:rsidRDefault="007E5F3B" w:rsidP="007E5F3B">
            <w:pPr>
              <w:pStyle w:val="Normal6"/>
            </w:pPr>
            <w:r w:rsidRPr="00733B3E">
              <w:rPr>
                <w:b/>
                <w:i/>
              </w:rPr>
              <w:t>(ii)</w:t>
            </w:r>
            <w:r w:rsidRPr="00733B3E">
              <w:rPr>
                <w:b/>
                <w:i/>
              </w:rPr>
              <w:tab/>
              <w:t>če organizacija proizvajalcev, ki je priznana v skladu s členom 152 in kateri že pripadajo proizvajalci, demokratično odloči v skladu s točko (c) odstavka 2, da svojim članom proizvajalcem dovoli, da so člani druge priznane organizacije proizvajalcev pod naslednjimi pogoji:</w:t>
            </w:r>
          </w:p>
        </w:tc>
      </w:tr>
      <w:tr w:rsidR="007E5F3B" w:rsidRPr="00733B3E" w14:paraId="61EED1C6" w14:textId="77777777" w:rsidTr="007E5F3B">
        <w:trPr>
          <w:jc w:val="center"/>
        </w:trPr>
        <w:tc>
          <w:tcPr>
            <w:tcW w:w="4876" w:type="dxa"/>
          </w:tcPr>
          <w:p w14:paraId="54D7A174" w14:textId="77777777" w:rsidR="007E5F3B" w:rsidRPr="00733B3E" w:rsidRDefault="007E5F3B" w:rsidP="007E5F3B">
            <w:pPr>
              <w:pStyle w:val="Normal6"/>
            </w:pPr>
          </w:p>
        </w:tc>
        <w:tc>
          <w:tcPr>
            <w:tcW w:w="4876" w:type="dxa"/>
          </w:tcPr>
          <w:p w14:paraId="6F59C531" w14:textId="77777777" w:rsidR="007E5F3B" w:rsidRPr="00733B3E" w:rsidRDefault="007E5F3B" w:rsidP="007E5F3B">
            <w:pPr>
              <w:pStyle w:val="Normal6"/>
              <w:rPr>
                <w:b/>
                <w:i/>
              </w:rPr>
            </w:pPr>
            <w:r w:rsidRPr="00733B3E">
              <w:rPr>
                <w:b/>
                <w:i/>
              </w:rPr>
              <w:t>–</w:t>
            </w:r>
            <w:r w:rsidRPr="00733B3E">
              <w:rPr>
                <w:b/>
                <w:i/>
              </w:rPr>
              <w:tab/>
              <w:t>člani proizvajalci imajo določen proizvod, ki je namenjen za različne uporabe, primarna organizacija proizvajalcev, ki ji proizvajalci že pripadajo, pa ne zagotavlja možnosti prodaje za drugo uporabo, za katero so proizvajalci namenili svoj proizvod, ali</w:t>
            </w:r>
          </w:p>
        </w:tc>
      </w:tr>
      <w:tr w:rsidR="007E5F3B" w:rsidRPr="00733B3E" w14:paraId="6D90DBA6" w14:textId="77777777" w:rsidTr="007E5F3B">
        <w:trPr>
          <w:jc w:val="center"/>
        </w:trPr>
        <w:tc>
          <w:tcPr>
            <w:tcW w:w="4876" w:type="dxa"/>
          </w:tcPr>
          <w:p w14:paraId="21F28534" w14:textId="77777777" w:rsidR="007E5F3B" w:rsidRPr="00733B3E" w:rsidRDefault="007E5F3B" w:rsidP="007E5F3B">
            <w:pPr>
              <w:pStyle w:val="Normal6"/>
            </w:pPr>
          </w:p>
        </w:tc>
        <w:tc>
          <w:tcPr>
            <w:tcW w:w="4876" w:type="dxa"/>
          </w:tcPr>
          <w:p w14:paraId="6FECE16C" w14:textId="77777777" w:rsidR="007E5F3B" w:rsidRPr="00733B3E" w:rsidRDefault="007E5F3B" w:rsidP="007E5F3B">
            <w:pPr>
              <w:pStyle w:val="Normal6"/>
              <w:rPr>
                <w:b/>
                <w:i/>
              </w:rPr>
            </w:pPr>
            <w:r w:rsidRPr="00733B3E">
              <w:rPr>
                <w:b/>
                <w:i/>
              </w:rPr>
              <w:t>–</w:t>
            </w:r>
            <w:r w:rsidRPr="00733B3E">
              <w:rPr>
                <w:b/>
                <w:i/>
              </w:rPr>
              <w:tab/>
              <w:t>člani proizvajalci organizacije proizvajalcev so se v preteklosti s pogodbami ali članstvom v zadrugi zavezali del svojih proizvodov dobaviti več drugim kupcem, vsaj eden od teh kupcev pa postane priznana organizacija proizvajalcev</w:t>
            </w:r>
            <w:r w:rsidRPr="00733B3E">
              <w:t>.</w:t>
            </w:r>
          </w:p>
        </w:tc>
      </w:tr>
      <w:tr w:rsidR="007E5F3B" w:rsidRPr="00733B3E" w14:paraId="5E8C7621" w14:textId="77777777" w:rsidTr="007E5F3B">
        <w:trPr>
          <w:jc w:val="center"/>
        </w:trPr>
        <w:tc>
          <w:tcPr>
            <w:tcW w:w="4876" w:type="dxa"/>
          </w:tcPr>
          <w:p w14:paraId="69477367" w14:textId="77777777" w:rsidR="007E5F3B" w:rsidRPr="00733B3E" w:rsidRDefault="007E5F3B" w:rsidP="007E5F3B">
            <w:pPr>
              <w:pStyle w:val="Normal6"/>
            </w:pPr>
            <w:r w:rsidRPr="00733B3E">
              <w:t>2.</w:t>
            </w:r>
            <w:r w:rsidRPr="00733B3E">
              <w:tab/>
              <w:t>V statutu organizacij proizvajalcev so določeni tudi:</w:t>
            </w:r>
          </w:p>
        </w:tc>
        <w:tc>
          <w:tcPr>
            <w:tcW w:w="4876" w:type="dxa"/>
          </w:tcPr>
          <w:p w14:paraId="7523193F" w14:textId="77777777" w:rsidR="007E5F3B" w:rsidRPr="00733B3E" w:rsidRDefault="007E5F3B" w:rsidP="007E5F3B">
            <w:pPr>
              <w:pStyle w:val="Normal6"/>
              <w:rPr>
                <w:szCs w:val="24"/>
              </w:rPr>
            </w:pPr>
            <w:r w:rsidRPr="00733B3E">
              <w:t>2.</w:t>
            </w:r>
            <w:r w:rsidRPr="00733B3E">
              <w:tab/>
              <w:t>V statutu organizacij proizvajalcev so določeni tudi:</w:t>
            </w:r>
          </w:p>
        </w:tc>
      </w:tr>
      <w:tr w:rsidR="007E5F3B" w:rsidRPr="00733B3E" w14:paraId="2EB0EAA5" w14:textId="77777777" w:rsidTr="007E5F3B">
        <w:trPr>
          <w:jc w:val="center"/>
        </w:trPr>
        <w:tc>
          <w:tcPr>
            <w:tcW w:w="4876" w:type="dxa"/>
          </w:tcPr>
          <w:p w14:paraId="4D9CADB9" w14:textId="77777777" w:rsidR="007E5F3B" w:rsidRPr="00733B3E" w:rsidRDefault="007E5F3B" w:rsidP="007E5F3B">
            <w:pPr>
              <w:pStyle w:val="Normal6"/>
            </w:pPr>
            <w:r w:rsidRPr="00733B3E">
              <w:t>(a)</w:t>
            </w:r>
            <w:r w:rsidRPr="00733B3E">
              <w:tab/>
              <w:t>postopki za določanje, sprejemanje in spreminjanje pravil iz točke (a) odstavka 1;</w:t>
            </w:r>
          </w:p>
        </w:tc>
        <w:tc>
          <w:tcPr>
            <w:tcW w:w="4876" w:type="dxa"/>
          </w:tcPr>
          <w:p w14:paraId="0EC174F7" w14:textId="77777777" w:rsidR="007E5F3B" w:rsidRPr="00733B3E" w:rsidRDefault="007E5F3B" w:rsidP="007E5F3B">
            <w:pPr>
              <w:pStyle w:val="Normal6"/>
              <w:rPr>
                <w:szCs w:val="24"/>
              </w:rPr>
            </w:pPr>
            <w:r w:rsidRPr="00733B3E">
              <w:t>(a)</w:t>
            </w:r>
            <w:r w:rsidRPr="00733B3E">
              <w:tab/>
              <w:t>postopki za določanje, sprejemanje in spreminjanje pravil iz točke (a) odstavka 1;</w:t>
            </w:r>
          </w:p>
        </w:tc>
      </w:tr>
      <w:tr w:rsidR="007E5F3B" w:rsidRPr="00733B3E" w14:paraId="3AFA7568" w14:textId="77777777" w:rsidTr="007E5F3B">
        <w:trPr>
          <w:jc w:val="center"/>
        </w:trPr>
        <w:tc>
          <w:tcPr>
            <w:tcW w:w="4876" w:type="dxa"/>
          </w:tcPr>
          <w:p w14:paraId="54267749" w14:textId="77777777" w:rsidR="007E5F3B" w:rsidRPr="00733B3E" w:rsidRDefault="007E5F3B" w:rsidP="007E5F3B">
            <w:pPr>
              <w:pStyle w:val="Normal6"/>
            </w:pPr>
            <w:r w:rsidRPr="00733B3E">
              <w:t>(b)</w:t>
            </w:r>
            <w:r w:rsidRPr="00733B3E">
              <w:tab/>
              <w:t>finančni prispevki članov za financiranje organizacije proizvajalcev;</w:t>
            </w:r>
          </w:p>
        </w:tc>
        <w:tc>
          <w:tcPr>
            <w:tcW w:w="4876" w:type="dxa"/>
          </w:tcPr>
          <w:p w14:paraId="62BAFFF6" w14:textId="77777777" w:rsidR="007E5F3B" w:rsidRPr="00733B3E" w:rsidRDefault="007E5F3B" w:rsidP="007E5F3B">
            <w:pPr>
              <w:pStyle w:val="Normal6"/>
              <w:rPr>
                <w:szCs w:val="24"/>
              </w:rPr>
            </w:pPr>
            <w:r w:rsidRPr="00733B3E">
              <w:t>(b)</w:t>
            </w:r>
            <w:r w:rsidRPr="00733B3E">
              <w:tab/>
              <w:t>finančni prispevki članov za financiranje organizacije proizvajalcev;</w:t>
            </w:r>
          </w:p>
        </w:tc>
      </w:tr>
      <w:tr w:rsidR="007E5F3B" w:rsidRPr="00733B3E" w14:paraId="166F203E" w14:textId="77777777" w:rsidTr="007E5F3B">
        <w:trPr>
          <w:jc w:val="center"/>
        </w:trPr>
        <w:tc>
          <w:tcPr>
            <w:tcW w:w="4876" w:type="dxa"/>
          </w:tcPr>
          <w:p w14:paraId="3576E5FB" w14:textId="77777777" w:rsidR="007E5F3B" w:rsidRPr="00733B3E" w:rsidRDefault="007E5F3B" w:rsidP="007E5F3B">
            <w:pPr>
              <w:pStyle w:val="Normal6"/>
            </w:pPr>
            <w:r w:rsidRPr="00733B3E">
              <w:t>(c)</w:t>
            </w:r>
            <w:r w:rsidRPr="00733B3E">
              <w:tab/>
              <w:t>pravila, ki članom proizvajalcem omogočajo, da demokratično preverjajo svojo organizacijo in njene odločitve;</w:t>
            </w:r>
          </w:p>
        </w:tc>
        <w:tc>
          <w:tcPr>
            <w:tcW w:w="4876" w:type="dxa"/>
          </w:tcPr>
          <w:p w14:paraId="2D61A7CD" w14:textId="77777777" w:rsidR="007E5F3B" w:rsidRPr="00733B3E" w:rsidRDefault="007E5F3B" w:rsidP="007E5F3B">
            <w:pPr>
              <w:pStyle w:val="Normal6"/>
              <w:rPr>
                <w:szCs w:val="24"/>
              </w:rPr>
            </w:pPr>
            <w:r w:rsidRPr="00733B3E">
              <w:t>(c)</w:t>
            </w:r>
            <w:r w:rsidRPr="00733B3E">
              <w:tab/>
              <w:t xml:space="preserve">pravila, ki članom proizvajalcem omogočajo, da demokratično preverjajo svojo organizacijo in njene odločitve </w:t>
            </w:r>
            <w:r w:rsidRPr="00733B3E">
              <w:rPr>
                <w:b/>
                <w:i/>
              </w:rPr>
              <w:t>ter račune in proračune</w:t>
            </w:r>
            <w:r w:rsidRPr="00733B3E">
              <w:t>;</w:t>
            </w:r>
          </w:p>
        </w:tc>
      </w:tr>
      <w:tr w:rsidR="007E5F3B" w:rsidRPr="00733B3E" w14:paraId="77865F7C" w14:textId="77777777" w:rsidTr="007E5F3B">
        <w:trPr>
          <w:jc w:val="center"/>
        </w:trPr>
        <w:tc>
          <w:tcPr>
            <w:tcW w:w="4876" w:type="dxa"/>
          </w:tcPr>
          <w:p w14:paraId="4034A9EA" w14:textId="77777777" w:rsidR="007E5F3B" w:rsidRPr="00733B3E" w:rsidRDefault="007E5F3B" w:rsidP="007E5F3B">
            <w:pPr>
              <w:pStyle w:val="Normal6"/>
            </w:pPr>
            <w:r w:rsidRPr="00733B3E">
              <w:t>(d)</w:t>
            </w:r>
            <w:r w:rsidRPr="00733B3E">
              <w:tab/>
              <w:t>kazni za kršitev obveznosti iz statuta, zlasti za neplačilo finančnih prispevkov, ali pravil, ki jih je določila organizacija proizvajalcev;</w:t>
            </w:r>
          </w:p>
        </w:tc>
        <w:tc>
          <w:tcPr>
            <w:tcW w:w="4876" w:type="dxa"/>
          </w:tcPr>
          <w:p w14:paraId="3F67431C" w14:textId="77777777" w:rsidR="007E5F3B" w:rsidRPr="00733B3E" w:rsidRDefault="007E5F3B" w:rsidP="007E5F3B">
            <w:pPr>
              <w:pStyle w:val="Normal6"/>
              <w:rPr>
                <w:szCs w:val="24"/>
              </w:rPr>
            </w:pPr>
            <w:r w:rsidRPr="00733B3E">
              <w:t>(d)</w:t>
            </w:r>
            <w:r w:rsidRPr="00733B3E">
              <w:tab/>
              <w:t>kazni za kršitev obveznosti iz statuta, zlasti za neplačilo finančnih prispevkov, ali pravil, ki jih je določila organizacija proizvajalcev;</w:t>
            </w:r>
          </w:p>
        </w:tc>
      </w:tr>
      <w:tr w:rsidR="007E5F3B" w:rsidRPr="00733B3E" w14:paraId="4DA0A913" w14:textId="77777777" w:rsidTr="007E5F3B">
        <w:trPr>
          <w:jc w:val="center"/>
        </w:trPr>
        <w:tc>
          <w:tcPr>
            <w:tcW w:w="4876" w:type="dxa"/>
          </w:tcPr>
          <w:p w14:paraId="790A21D6" w14:textId="77777777" w:rsidR="007E5F3B" w:rsidRPr="00733B3E" w:rsidRDefault="007E5F3B" w:rsidP="007E5F3B">
            <w:pPr>
              <w:pStyle w:val="Normal6"/>
            </w:pPr>
            <w:r w:rsidRPr="00733B3E">
              <w:t>(e)</w:t>
            </w:r>
            <w:r w:rsidRPr="00733B3E">
              <w:tab/>
              <w:t>pravila o sprejemanju novih članov in zlasti minimalno trajanje članstva, ki ne more biti krajše od enega leta;</w:t>
            </w:r>
          </w:p>
        </w:tc>
        <w:tc>
          <w:tcPr>
            <w:tcW w:w="4876" w:type="dxa"/>
          </w:tcPr>
          <w:p w14:paraId="14C11072" w14:textId="77777777" w:rsidR="007E5F3B" w:rsidRPr="00733B3E" w:rsidRDefault="007E5F3B" w:rsidP="007E5F3B">
            <w:pPr>
              <w:pStyle w:val="Normal6"/>
              <w:rPr>
                <w:szCs w:val="24"/>
              </w:rPr>
            </w:pPr>
            <w:r w:rsidRPr="00733B3E">
              <w:t>(e)</w:t>
            </w:r>
            <w:r w:rsidRPr="00733B3E">
              <w:tab/>
              <w:t>pravila o sprejemanju novih članov in zlasti minimalno trajanje članstva, ki ne more biti krajše od enega leta;</w:t>
            </w:r>
          </w:p>
        </w:tc>
      </w:tr>
      <w:tr w:rsidR="007E5F3B" w:rsidRPr="00733B3E" w14:paraId="4E1203DA" w14:textId="77777777" w:rsidTr="007E5F3B">
        <w:trPr>
          <w:jc w:val="center"/>
        </w:trPr>
        <w:tc>
          <w:tcPr>
            <w:tcW w:w="4876" w:type="dxa"/>
          </w:tcPr>
          <w:p w14:paraId="27831891" w14:textId="77777777" w:rsidR="007E5F3B" w:rsidRPr="00733B3E" w:rsidRDefault="007E5F3B" w:rsidP="007E5F3B">
            <w:pPr>
              <w:pStyle w:val="Normal6"/>
            </w:pPr>
            <w:r w:rsidRPr="00733B3E">
              <w:t>(f)</w:t>
            </w:r>
            <w:r w:rsidRPr="00733B3E">
              <w:tab/>
              <w:t>računovodska in proračunska pravila, nujna za delovanje organizacije.</w:t>
            </w:r>
          </w:p>
        </w:tc>
        <w:tc>
          <w:tcPr>
            <w:tcW w:w="4876" w:type="dxa"/>
          </w:tcPr>
          <w:p w14:paraId="6B524445" w14:textId="77777777" w:rsidR="007E5F3B" w:rsidRPr="00733B3E" w:rsidRDefault="007E5F3B" w:rsidP="007E5F3B">
            <w:pPr>
              <w:pStyle w:val="Normal6"/>
              <w:rPr>
                <w:szCs w:val="24"/>
              </w:rPr>
            </w:pPr>
            <w:r w:rsidRPr="00733B3E">
              <w:t>(f)</w:t>
            </w:r>
            <w:r w:rsidRPr="00733B3E">
              <w:tab/>
              <w:t>računovodska in proračunska pravila, nujna za delovanje organizacije.</w:t>
            </w:r>
          </w:p>
        </w:tc>
      </w:tr>
      <w:tr w:rsidR="007E5F3B" w:rsidRPr="00733B3E" w14:paraId="34B157E0" w14:textId="77777777" w:rsidTr="007E5F3B">
        <w:trPr>
          <w:jc w:val="center"/>
        </w:trPr>
        <w:tc>
          <w:tcPr>
            <w:tcW w:w="4876" w:type="dxa"/>
          </w:tcPr>
          <w:p w14:paraId="242A948B" w14:textId="77777777" w:rsidR="007E5F3B" w:rsidRPr="00733B3E" w:rsidRDefault="007E5F3B" w:rsidP="007E5F3B">
            <w:pPr>
              <w:pStyle w:val="Normal6"/>
            </w:pPr>
          </w:p>
        </w:tc>
        <w:tc>
          <w:tcPr>
            <w:tcW w:w="4876" w:type="dxa"/>
          </w:tcPr>
          <w:p w14:paraId="109163E1" w14:textId="77777777" w:rsidR="007E5F3B" w:rsidRPr="00733B3E" w:rsidRDefault="007E5F3B" w:rsidP="007E5F3B">
            <w:pPr>
              <w:pStyle w:val="Normal6"/>
            </w:pPr>
            <w:r w:rsidRPr="00733B3E">
              <w:rPr>
                <w:b/>
                <w:i/>
              </w:rPr>
              <w:t>2a.</w:t>
            </w:r>
            <w:r w:rsidRPr="00733B3E">
              <w:rPr>
                <w:b/>
                <w:i/>
              </w:rPr>
              <w:tab/>
              <w:t>Statut organizacije proizvajalcev lahko v primeru, da je organizacija proizvajalcev odgovorna za prodajo dela ali vseh proizvodov svojih članov proizvajalcev in člani proizvajalci lastništva proizvodov ne prenesejo na organizacijo proizvajalcev, za te člane proizvajalce določa tudi, da sodelujejo v stikih s kupci, razen glede zadev v zvezi s ceno ali obsegom prodaje teh proizvodov.</w:t>
            </w:r>
          </w:p>
        </w:tc>
      </w:tr>
      <w:tr w:rsidR="007E5F3B" w:rsidRPr="00733B3E" w14:paraId="3290E2B2" w14:textId="77777777" w:rsidTr="007E5F3B">
        <w:trPr>
          <w:jc w:val="center"/>
        </w:trPr>
        <w:tc>
          <w:tcPr>
            <w:tcW w:w="4876" w:type="dxa"/>
          </w:tcPr>
          <w:p w14:paraId="1284FB81" w14:textId="77777777" w:rsidR="007E5F3B" w:rsidRPr="00733B3E" w:rsidRDefault="007E5F3B" w:rsidP="007E5F3B">
            <w:pPr>
              <w:pStyle w:val="Normal6"/>
            </w:pPr>
            <w:r w:rsidRPr="00733B3E">
              <w:t>3.</w:t>
            </w:r>
            <w:r w:rsidRPr="00733B3E">
              <w:tab/>
            </w:r>
            <w:r w:rsidRPr="00733B3E">
              <w:rPr>
                <w:b/>
                <w:i/>
              </w:rPr>
              <w:t>Odstavka</w:t>
            </w:r>
            <w:r w:rsidRPr="00733B3E">
              <w:t xml:space="preserve"> 1 </w:t>
            </w:r>
            <w:r w:rsidRPr="00733B3E">
              <w:rPr>
                <w:b/>
                <w:i/>
              </w:rPr>
              <w:t>in</w:t>
            </w:r>
            <w:r w:rsidRPr="00733B3E">
              <w:t xml:space="preserve"> 2 se ne </w:t>
            </w:r>
            <w:r w:rsidRPr="00733B3E">
              <w:rPr>
                <w:b/>
                <w:i/>
              </w:rPr>
              <w:t>uporabljata</w:t>
            </w:r>
            <w:r w:rsidRPr="00733B3E">
              <w:t xml:space="preserve"> za organizacije proizvajalcev v sektorju mleka in mlečnih proizvodov.</w:t>
            </w:r>
          </w:p>
        </w:tc>
        <w:tc>
          <w:tcPr>
            <w:tcW w:w="4876" w:type="dxa"/>
          </w:tcPr>
          <w:p w14:paraId="12B13026" w14:textId="77777777" w:rsidR="007E5F3B" w:rsidRPr="00733B3E" w:rsidRDefault="007E5F3B" w:rsidP="007E5F3B">
            <w:pPr>
              <w:pStyle w:val="Normal6"/>
              <w:rPr>
                <w:szCs w:val="24"/>
              </w:rPr>
            </w:pPr>
            <w:r w:rsidRPr="00733B3E">
              <w:rPr>
                <w:i/>
              </w:rPr>
              <w:t>3.</w:t>
            </w:r>
            <w:r w:rsidRPr="00733B3E">
              <w:rPr>
                <w:b/>
                <w:i/>
              </w:rPr>
              <w:tab/>
              <w:t>Odstavki</w:t>
            </w:r>
            <w:r w:rsidRPr="00733B3E">
              <w:t> 1</w:t>
            </w:r>
            <w:r w:rsidRPr="00733B3E">
              <w:rPr>
                <w:b/>
                <w:i/>
              </w:rPr>
              <w:t>,</w:t>
            </w:r>
            <w:r w:rsidRPr="00733B3E">
              <w:t xml:space="preserve"> 2 </w:t>
            </w:r>
            <w:r w:rsidRPr="00733B3E">
              <w:rPr>
                <w:b/>
                <w:i/>
              </w:rPr>
              <w:t>in 2a</w:t>
            </w:r>
            <w:r w:rsidRPr="00733B3E">
              <w:t xml:space="preserve"> se ne </w:t>
            </w:r>
            <w:r w:rsidRPr="00733B3E">
              <w:rPr>
                <w:b/>
                <w:i/>
              </w:rPr>
              <w:t>uporabljajo</w:t>
            </w:r>
            <w:r w:rsidRPr="00733B3E">
              <w:t xml:space="preserve"> za organizacije proizvajalcev v sektorju mleka in mlečnih proizvodov.</w:t>
            </w:r>
            <w:r w:rsidRPr="00733B3E">
              <w:rPr>
                <w:b/>
                <w:i/>
              </w:rPr>
              <w:t>“</w:t>
            </w:r>
          </w:p>
        </w:tc>
      </w:tr>
    </w:tbl>
    <w:p w14:paraId="0F035C0C" w14:textId="77777777" w:rsidR="006F5BFE" w:rsidRPr="003B2277" w:rsidRDefault="006F5BFE" w:rsidP="006F5BFE">
      <w:pPr>
        <w:rPr>
          <w:lang w:eastAsia="en-US"/>
        </w:rPr>
      </w:pPr>
    </w:p>
    <w:p w14:paraId="0EEEE4B9" w14:textId="7B48190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115</w:t>
      </w:r>
    </w:p>
    <w:p w14:paraId="7DC93A33" w14:textId="77777777" w:rsidR="006F5BFE" w:rsidRPr="003B2277" w:rsidRDefault="006F5BFE" w:rsidP="006F5BFE"/>
    <w:p w14:paraId="2BCAA66F" w14:textId="77777777" w:rsidR="006F5BFE" w:rsidRPr="003B2277" w:rsidRDefault="006F5BFE" w:rsidP="006F5BFE">
      <w:pPr>
        <w:keepNext/>
        <w:rPr>
          <w:b/>
          <w:lang w:eastAsia="en-US"/>
        </w:rPr>
      </w:pPr>
      <w:r w:rsidRPr="003B2277">
        <w:rPr>
          <w:rFonts w:eastAsia="Calibri" w:cs="Mangal"/>
          <w:b/>
          <w:lang w:eastAsia="en-US"/>
        </w:rPr>
        <w:t>Predlog uredbe</w:t>
      </w:r>
    </w:p>
    <w:p w14:paraId="185FC1C6" w14:textId="77777777" w:rsidR="006F5BFE" w:rsidRPr="003B2277" w:rsidRDefault="006F5BFE" w:rsidP="006F5BFE">
      <w:pPr>
        <w:rPr>
          <w:b/>
          <w:lang w:eastAsia="en-US"/>
        </w:rPr>
      </w:pPr>
      <w:r w:rsidRPr="003B2277">
        <w:rPr>
          <w:rFonts w:eastAsia="Calibri" w:cs="Mangal"/>
          <w:b/>
          <w:lang w:eastAsia="en-US"/>
        </w:rPr>
        <w:t>Člen 1 – odstavek 1 – točka 22 g (novo)</w:t>
      </w:r>
    </w:p>
    <w:p w14:paraId="2C998D6A" w14:textId="77777777" w:rsidR="006F5BFE" w:rsidRPr="003B2277" w:rsidRDefault="006F5BFE" w:rsidP="006F5BFE">
      <w:pPr>
        <w:keepNext/>
        <w:rPr>
          <w:lang w:eastAsia="en-US"/>
        </w:rPr>
      </w:pPr>
      <w:r w:rsidRPr="003B2277">
        <w:rPr>
          <w:rFonts w:eastAsia="Calibri" w:cs="Mangal"/>
          <w:lang w:eastAsia="en-US"/>
        </w:rPr>
        <w:t>Uredba (EU) št. 1308/2013</w:t>
      </w:r>
    </w:p>
    <w:p w14:paraId="19D2F619" w14:textId="77777777" w:rsidR="006F5BFE" w:rsidRPr="003B2277" w:rsidRDefault="006F5BFE" w:rsidP="006F5BFE">
      <w:pPr>
        <w:rPr>
          <w:lang w:eastAsia="en-US"/>
        </w:rPr>
      </w:pPr>
      <w:r w:rsidRPr="003B2277">
        <w:rPr>
          <w:rFonts w:eastAsia="Calibri" w:cs="Mangal"/>
          <w:lang w:eastAsia="en-US"/>
        </w:rPr>
        <w:t>Člen 154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4C107A8" w14:textId="77777777" w:rsidTr="005B4D60">
        <w:trPr>
          <w:jc w:val="center"/>
        </w:trPr>
        <w:tc>
          <w:tcPr>
            <w:tcW w:w="9752" w:type="dxa"/>
            <w:gridSpan w:val="2"/>
          </w:tcPr>
          <w:p w14:paraId="4D37E7B6" w14:textId="77777777" w:rsidR="006F5BFE" w:rsidRPr="003B2277" w:rsidRDefault="006F5BFE" w:rsidP="005B4D60">
            <w:pPr>
              <w:keepNext/>
            </w:pPr>
          </w:p>
        </w:tc>
      </w:tr>
      <w:tr w:rsidR="006F5BFE" w:rsidRPr="003B2277" w14:paraId="6158D134" w14:textId="77777777" w:rsidTr="005B4D60">
        <w:trPr>
          <w:jc w:val="center"/>
        </w:trPr>
        <w:tc>
          <w:tcPr>
            <w:tcW w:w="4876" w:type="dxa"/>
            <w:hideMark/>
          </w:tcPr>
          <w:p w14:paraId="2C4FB05E"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82DD534" w14:textId="17F3FF0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E8DD21D" w14:textId="77777777" w:rsidTr="005B4D60">
        <w:trPr>
          <w:jc w:val="center"/>
        </w:trPr>
        <w:tc>
          <w:tcPr>
            <w:tcW w:w="4876" w:type="dxa"/>
          </w:tcPr>
          <w:p w14:paraId="275EA344" w14:textId="77777777" w:rsidR="006F5BFE" w:rsidRPr="003B2277" w:rsidRDefault="006F5BFE" w:rsidP="005B4D60">
            <w:pPr>
              <w:spacing w:after="120"/>
            </w:pPr>
          </w:p>
        </w:tc>
        <w:tc>
          <w:tcPr>
            <w:tcW w:w="4876" w:type="dxa"/>
            <w:hideMark/>
          </w:tcPr>
          <w:p w14:paraId="74AA2657" w14:textId="77777777" w:rsidR="006F5BFE" w:rsidRPr="003B2277" w:rsidRDefault="006F5BFE" w:rsidP="005B4D60">
            <w:pPr>
              <w:spacing w:after="120"/>
              <w:rPr>
                <w:szCs w:val="24"/>
                <w:lang w:eastAsia="en-US"/>
              </w:rPr>
            </w:pPr>
            <w:r w:rsidRPr="003B2277">
              <w:rPr>
                <w:rFonts w:eastAsia="Calibri" w:cs="Mangal"/>
                <w:b/>
                <w:i/>
                <w:lang w:eastAsia="en-US"/>
              </w:rPr>
              <w:t>(22g)</w:t>
            </w:r>
            <w:r w:rsidRPr="003B2277">
              <w:rPr>
                <w:rFonts w:eastAsia="Calibri" w:cs="Mangal"/>
                <w:b/>
                <w:i/>
                <w:lang w:eastAsia="en-US"/>
              </w:rPr>
              <w:tab/>
              <w:t>člen 154 se nadomesti z naslednjim:</w:t>
            </w:r>
          </w:p>
        </w:tc>
      </w:tr>
      <w:tr w:rsidR="006F5BFE" w:rsidRPr="003B2277" w14:paraId="66C7C51F" w14:textId="77777777" w:rsidTr="005B4D60">
        <w:trPr>
          <w:jc w:val="center"/>
        </w:trPr>
        <w:tc>
          <w:tcPr>
            <w:tcW w:w="4876" w:type="dxa"/>
            <w:hideMark/>
          </w:tcPr>
          <w:p w14:paraId="61C27BC6" w14:textId="77777777" w:rsidR="006F5BFE" w:rsidRPr="003B2277" w:rsidRDefault="006F5BFE" w:rsidP="005B4D60">
            <w:pPr>
              <w:spacing w:after="120"/>
              <w:rPr>
                <w:lang w:eastAsia="en-US"/>
              </w:rPr>
            </w:pPr>
            <w:r w:rsidRPr="003B2277">
              <w:rPr>
                <w:rFonts w:eastAsia="Calibri" w:cs="Mangal"/>
                <w:lang w:eastAsia="en-US"/>
              </w:rPr>
              <w:t>Člen 154</w:t>
            </w:r>
          </w:p>
        </w:tc>
        <w:tc>
          <w:tcPr>
            <w:tcW w:w="4876" w:type="dxa"/>
            <w:hideMark/>
          </w:tcPr>
          <w:p w14:paraId="7D134194"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154</w:t>
            </w:r>
          </w:p>
        </w:tc>
      </w:tr>
      <w:tr w:rsidR="006F5BFE" w:rsidRPr="003B2277" w14:paraId="4613EC85" w14:textId="77777777" w:rsidTr="005B4D60">
        <w:trPr>
          <w:jc w:val="center"/>
        </w:trPr>
        <w:tc>
          <w:tcPr>
            <w:tcW w:w="4876" w:type="dxa"/>
            <w:hideMark/>
          </w:tcPr>
          <w:p w14:paraId="18E227EE" w14:textId="77777777" w:rsidR="006F5BFE" w:rsidRPr="003B2277" w:rsidRDefault="006F5BFE" w:rsidP="005B4D60">
            <w:pPr>
              <w:spacing w:after="120"/>
              <w:rPr>
                <w:lang w:eastAsia="en-US"/>
              </w:rPr>
            </w:pPr>
            <w:r w:rsidRPr="003B2277">
              <w:rPr>
                <w:rFonts w:eastAsia="Calibri" w:cs="Mangal"/>
                <w:lang w:eastAsia="en-US"/>
              </w:rPr>
              <w:t>Priznanje organizacij proizvajalcev</w:t>
            </w:r>
          </w:p>
        </w:tc>
        <w:tc>
          <w:tcPr>
            <w:tcW w:w="4876" w:type="dxa"/>
            <w:hideMark/>
          </w:tcPr>
          <w:p w14:paraId="37229DFE" w14:textId="77777777" w:rsidR="006F5BFE" w:rsidRPr="003B2277" w:rsidRDefault="006F5BFE" w:rsidP="005B4D60">
            <w:pPr>
              <w:spacing w:after="120"/>
              <w:rPr>
                <w:szCs w:val="24"/>
                <w:lang w:eastAsia="en-US"/>
              </w:rPr>
            </w:pPr>
            <w:r w:rsidRPr="003B2277">
              <w:rPr>
                <w:rFonts w:eastAsia="Calibri" w:cs="Mangal"/>
                <w:lang w:eastAsia="en-US"/>
              </w:rPr>
              <w:t>Priznanje organizacij proizvajalcev</w:t>
            </w:r>
          </w:p>
        </w:tc>
      </w:tr>
      <w:tr w:rsidR="006F5BFE" w:rsidRPr="003B2277" w14:paraId="652B1152" w14:textId="77777777" w:rsidTr="005B4D60">
        <w:trPr>
          <w:jc w:val="center"/>
        </w:trPr>
        <w:tc>
          <w:tcPr>
            <w:tcW w:w="4876" w:type="dxa"/>
            <w:hideMark/>
          </w:tcPr>
          <w:p w14:paraId="05657C97"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Da država članica prizna organizacijo proizvajalcev, mora biti organizacija proizvajalcev, ki zaprosi za tako priznanje, pravna oseba ali jasno opredeljen del pravne osebe, ki:</w:t>
            </w:r>
          </w:p>
        </w:tc>
        <w:tc>
          <w:tcPr>
            <w:tcW w:w="4876" w:type="dxa"/>
            <w:hideMark/>
          </w:tcPr>
          <w:p w14:paraId="21697144"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Da država članica prizna organizacijo proizvajalcev, mora biti organizacija proizvajalcev, ki zaprosi za tako priznanje, pravna oseba ali jasno opredeljen del pravne osebe, ki:</w:t>
            </w:r>
          </w:p>
        </w:tc>
      </w:tr>
      <w:tr w:rsidR="006F5BFE" w:rsidRPr="003B2277" w14:paraId="543C487C" w14:textId="77777777" w:rsidTr="005B4D60">
        <w:trPr>
          <w:jc w:val="center"/>
        </w:trPr>
        <w:tc>
          <w:tcPr>
            <w:tcW w:w="4876" w:type="dxa"/>
            <w:hideMark/>
          </w:tcPr>
          <w:p w14:paraId="40446BE7" w14:textId="77777777" w:rsidR="006F5BFE" w:rsidRPr="003B2277" w:rsidRDefault="006F5BFE" w:rsidP="005B4D60">
            <w:pPr>
              <w:spacing w:after="120"/>
              <w:rPr>
                <w:lang w:eastAsia="en-US"/>
              </w:rPr>
            </w:pPr>
            <w:r w:rsidRPr="003B2277">
              <w:rPr>
                <w:rFonts w:eastAsia="Calibri" w:cs="Mangal"/>
                <w:lang w:eastAsia="en-US"/>
              </w:rPr>
              <w:t>(a) izpolnjuje zahteve iz točk (a), (b) in (c) člena 152(1);</w:t>
            </w:r>
          </w:p>
        </w:tc>
        <w:tc>
          <w:tcPr>
            <w:tcW w:w="4876" w:type="dxa"/>
            <w:hideMark/>
          </w:tcPr>
          <w:p w14:paraId="1BEC5317" w14:textId="77777777" w:rsidR="006F5BFE" w:rsidRPr="003B2277" w:rsidRDefault="006F5BFE" w:rsidP="005B4D60">
            <w:pPr>
              <w:spacing w:after="120"/>
              <w:rPr>
                <w:szCs w:val="24"/>
                <w:lang w:eastAsia="en-US"/>
              </w:rPr>
            </w:pPr>
            <w:r w:rsidRPr="003B2277">
              <w:rPr>
                <w:rFonts w:eastAsia="Calibri" w:cs="Mangal"/>
                <w:lang w:eastAsia="en-US"/>
              </w:rPr>
              <w:t>(a) izpolnjuje zahteve iz točk (a), (b) in (c) člena 152(1);</w:t>
            </w:r>
          </w:p>
        </w:tc>
      </w:tr>
      <w:tr w:rsidR="006F5BFE" w:rsidRPr="003B2277" w14:paraId="27A5F800" w14:textId="77777777" w:rsidTr="005B4D60">
        <w:trPr>
          <w:jc w:val="center"/>
        </w:trPr>
        <w:tc>
          <w:tcPr>
            <w:tcW w:w="4876" w:type="dxa"/>
            <w:hideMark/>
          </w:tcPr>
          <w:p w14:paraId="27B5A08E" w14:textId="77777777" w:rsidR="006F5BFE" w:rsidRPr="003B2277" w:rsidRDefault="006F5BFE" w:rsidP="005B4D60">
            <w:pPr>
              <w:spacing w:after="120"/>
              <w:rPr>
                <w:lang w:eastAsia="en-US"/>
              </w:rPr>
            </w:pPr>
            <w:r w:rsidRPr="003B2277">
              <w:rPr>
                <w:rFonts w:eastAsia="Calibri" w:cs="Mangal"/>
                <w:lang w:eastAsia="en-US"/>
              </w:rPr>
              <w:t>(b) ima na območju, na katerem deluje, minimalno število članov in/ali minimalni obseg ali vrednost tržne proizvodnje, ki ju določi zadevna država članica;</w:t>
            </w:r>
          </w:p>
        </w:tc>
        <w:tc>
          <w:tcPr>
            <w:tcW w:w="4876" w:type="dxa"/>
            <w:hideMark/>
          </w:tcPr>
          <w:p w14:paraId="7DDD2373" w14:textId="77777777" w:rsidR="006F5BFE" w:rsidRPr="003B2277" w:rsidRDefault="006F5BFE" w:rsidP="005B4D60">
            <w:pPr>
              <w:spacing w:after="120"/>
              <w:rPr>
                <w:szCs w:val="24"/>
                <w:lang w:eastAsia="en-US"/>
              </w:rPr>
            </w:pPr>
            <w:r w:rsidRPr="003B2277">
              <w:rPr>
                <w:rFonts w:eastAsia="Calibri" w:cs="Mangal"/>
                <w:lang w:eastAsia="en-US"/>
              </w:rPr>
              <w:t>(b) ima na območju, na katerem deluje, minimalno število članov in/ali minimalni obseg ali vrednost tržne proizvodnje, ki ju določi zadevna država članica</w:t>
            </w:r>
            <w:r w:rsidRPr="003B2277">
              <w:rPr>
                <w:rFonts w:eastAsia="Calibri" w:cs="Mangal"/>
                <w:b/>
                <w:i/>
                <w:lang w:eastAsia="en-US"/>
              </w:rPr>
              <w:t>, pri čemer te določbe ne preprečujejo priznavanja organizacij proizvajalcev, ki se ukvarjajo z obrobno proizvodnjo</w:t>
            </w:r>
            <w:r w:rsidRPr="003B2277">
              <w:rPr>
                <w:rFonts w:eastAsia="Calibri" w:cs="Mangal"/>
                <w:lang w:eastAsia="en-US"/>
              </w:rPr>
              <w:t>;</w:t>
            </w:r>
          </w:p>
        </w:tc>
      </w:tr>
      <w:tr w:rsidR="006F5BFE" w:rsidRPr="003B2277" w14:paraId="04A5E3E0" w14:textId="77777777" w:rsidTr="005B4D60">
        <w:trPr>
          <w:jc w:val="center"/>
        </w:trPr>
        <w:tc>
          <w:tcPr>
            <w:tcW w:w="4876" w:type="dxa"/>
            <w:hideMark/>
          </w:tcPr>
          <w:p w14:paraId="2527F058" w14:textId="77777777" w:rsidR="006F5BFE" w:rsidRPr="003B2277" w:rsidRDefault="006F5BFE" w:rsidP="005B4D60">
            <w:pPr>
              <w:spacing w:after="120"/>
              <w:rPr>
                <w:lang w:eastAsia="en-US"/>
              </w:rPr>
            </w:pPr>
            <w:r w:rsidRPr="003B2277">
              <w:rPr>
                <w:rFonts w:eastAsia="Calibri" w:cs="Mangal"/>
                <w:lang w:eastAsia="en-US"/>
              </w:rPr>
              <w:t>(c) zadostno dokaže, da lahko svoje dejavnosti izvaja pravilno z vidika trajanja, učinkovitosti, zagotavljanja človeške, tehnične in materialne pomoči članom oziroma koncentracije ponudbe;</w:t>
            </w:r>
          </w:p>
        </w:tc>
        <w:tc>
          <w:tcPr>
            <w:tcW w:w="4876" w:type="dxa"/>
            <w:hideMark/>
          </w:tcPr>
          <w:p w14:paraId="083C195E" w14:textId="77777777" w:rsidR="006F5BFE" w:rsidRPr="003B2277" w:rsidRDefault="006F5BFE" w:rsidP="005B4D60">
            <w:pPr>
              <w:spacing w:after="120"/>
              <w:rPr>
                <w:szCs w:val="24"/>
                <w:lang w:eastAsia="en-US"/>
              </w:rPr>
            </w:pPr>
            <w:r w:rsidRPr="003B2277">
              <w:rPr>
                <w:rFonts w:eastAsia="Calibri" w:cs="Mangal"/>
                <w:lang w:eastAsia="en-US"/>
              </w:rPr>
              <w:t>(c) zadostno dokaže, da lahko svoje dejavnosti izvaja pravilno z vidika trajanja, učinkovitosti, zagotavljanja človeške, tehnične in materialne pomoči članom oziroma koncentracije ponudbe;</w:t>
            </w:r>
          </w:p>
        </w:tc>
      </w:tr>
      <w:tr w:rsidR="006F5BFE" w:rsidRPr="003B2277" w14:paraId="681582FE" w14:textId="77777777" w:rsidTr="005B4D60">
        <w:trPr>
          <w:jc w:val="center"/>
        </w:trPr>
        <w:tc>
          <w:tcPr>
            <w:tcW w:w="4876" w:type="dxa"/>
            <w:hideMark/>
          </w:tcPr>
          <w:p w14:paraId="6B23A8BE" w14:textId="77777777" w:rsidR="006F5BFE" w:rsidRPr="003B2277" w:rsidRDefault="006F5BFE" w:rsidP="005B4D60">
            <w:pPr>
              <w:spacing w:after="120"/>
              <w:rPr>
                <w:lang w:eastAsia="en-US"/>
              </w:rPr>
            </w:pPr>
            <w:r w:rsidRPr="003B2277">
              <w:rPr>
                <w:rFonts w:eastAsia="Calibri" w:cs="Mangal"/>
                <w:lang w:eastAsia="en-US"/>
              </w:rPr>
              <w:t>(d) ima statut, ki je skladen s točkami (a), (b) in (c) tega odstavka.</w:t>
            </w:r>
          </w:p>
        </w:tc>
        <w:tc>
          <w:tcPr>
            <w:tcW w:w="4876" w:type="dxa"/>
            <w:hideMark/>
          </w:tcPr>
          <w:p w14:paraId="520D6CD8" w14:textId="77777777" w:rsidR="006F5BFE" w:rsidRPr="003B2277" w:rsidRDefault="006F5BFE" w:rsidP="005B4D60">
            <w:pPr>
              <w:spacing w:after="120"/>
              <w:rPr>
                <w:szCs w:val="24"/>
                <w:lang w:eastAsia="en-US"/>
              </w:rPr>
            </w:pPr>
            <w:r w:rsidRPr="003B2277">
              <w:rPr>
                <w:rFonts w:eastAsia="Calibri" w:cs="Mangal"/>
                <w:lang w:eastAsia="en-US"/>
              </w:rPr>
              <w:t>(d) ima statut, ki je skladen s točkami (a), (b) in (c) tega odstavka.</w:t>
            </w:r>
          </w:p>
        </w:tc>
      </w:tr>
      <w:tr w:rsidR="006F5BFE" w:rsidRPr="003B2277" w14:paraId="3900A0E3" w14:textId="77777777" w:rsidTr="005B4D60">
        <w:trPr>
          <w:jc w:val="center"/>
        </w:trPr>
        <w:tc>
          <w:tcPr>
            <w:tcW w:w="4876" w:type="dxa"/>
            <w:hideMark/>
          </w:tcPr>
          <w:p w14:paraId="1C4F3307" w14:textId="77777777" w:rsidR="006F5BFE" w:rsidRPr="003B2277" w:rsidRDefault="006F5BFE" w:rsidP="005B4D60">
            <w:pPr>
              <w:spacing w:after="120"/>
              <w:rPr>
                <w:lang w:eastAsia="en-US"/>
              </w:rPr>
            </w:pPr>
            <w:r w:rsidRPr="003B2277">
              <w:rPr>
                <w:rFonts w:eastAsia="Calibri" w:cs="Mangal"/>
                <w:lang w:eastAsia="en-US"/>
              </w:rPr>
              <w:t>1a.</w:t>
            </w:r>
            <w:r w:rsidRPr="003B2277">
              <w:rPr>
                <w:rFonts w:eastAsia="Calibri" w:cs="Mangal"/>
                <w:lang w:eastAsia="en-US"/>
              </w:rPr>
              <w:tab/>
              <w:t>Države članice lahko na zahtevo odločijo, da organizaciji proizvajalcev, ki deluje v več sektorjih iz člena 1(2), odobrijo več kot eno priznanje, pod pogojem, da ta organizacija proizvajalcev izpolnjuje pogoje iz odstavka 1 tega člena za vsak sektor, za katerega želi biti priznana.</w:t>
            </w:r>
          </w:p>
        </w:tc>
        <w:tc>
          <w:tcPr>
            <w:tcW w:w="4876" w:type="dxa"/>
            <w:hideMark/>
          </w:tcPr>
          <w:p w14:paraId="25654479" w14:textId="77777777" w:rsidR="006F5BFE" w:rsidRPr="003B2277" w:rsidRDefault="006F5BFE" w:rsidP="005B4D60">
            <w:pPr>
              <w:spacing w:after="120"/>
              <w:rPr>
                <w:szCs w:val="24"/>
                <w:lang w:eastAsia="en-US"/>
              </w:rPr>
            </w:pPr>
            <w:r w:rsidRPr="003B2277">
              <w:rPr>
                <w:rFonts w:eastAsia="Calibri" w:cs="Mangal"/>
                <w:lang w:eastAsia="en-US"/>
              </w:rPr>
              <w:t>1a.</w:t>
            </w:r>
            <w:r w:rsidRPr="003B2277">
              <w:rPr>
                <w:rFonts w:eastAsia="Calibri" w:cs="Mangal"/>
                <w:lang w:eastAsia="en-US"/>
              </w:rPr>
              <w:tab/>
              <w:t>Države članice lahko na zahtevo odločijo, da organizaciji proizvajalcev, ki deluje v več sektorjih iz člena 1(2), odobrijo več kot eno priznanje, pod pogojem, da ta organizacija proizvajalcev izpolnjuje pogoje iz odstavka 1 tega člena za vsak sektor, za katerega želi biti priznana.</w:t>
            </w:r>
          </w:p>
        </w:tc>
      </w:tr>
      <w:tr w:rsidR="006F5BFE" w:rsidRPr="003B2277" w14:paraId="6159B23B" w14:textId="77777777" w:rsidTr="005B4D60">
        <w:trPr>
          <w:jc w:val="center"/>
        </w:trPr>
        <w:tc>
          <w:tcPr>
            <w:tcW w:w="4876" w:type="dxa"/>
            <w:hideMark/>
          </w:tcPr>
          <w:p w14:paraId="6828F084"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Države članice lahko odločijo, da se za organizacije proizvajalcev, ki so bile priznane pred 1. januarjem 2018 in izpolnjujejo pogoje iz odstavka 1 tega člena, šteje, da so priznane kot organizacije proizvajalcev v skladu s členom 152.</w:t>
            </w:r>
          </w:p>
        </w:tc>
        <w:tc>
          <w:tcPr>
            <w:tcW w:w="4876" w:type="dxa"/>
            <w:hideMark/>
          </w:tcPr>
          <w:p w14:paraId="059FDFCF"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Države članice lahko odločijo, da se za organizacije proizvajalcev, ki so bile priznane pred 1. januarjem 2018 in izpolnjujejo pogoje iz odstavka 1 tega člena, šteje, da so priznane kot organizacije proizvajalcev v skladu s členom 152.</w:t>
            </w:r>
          </w:p>
        </w:tc>
      </w:tr>
      <w:tr w:rsidR="006F5BFE" w:rsidRPr="003B2277" w14:paraId="0394946F" w14:textId="77777777" w:rsidTr="005B4D60">
        <w:trPr>
          <w:jc w:val="center"/>
        </w:trPr>
        <w:tc>
          <w:tcPr>
            <w:tcW w:w="4876" w:type="dxa"/>
            <w:hideMark/>
          </w:tcPr>
          <w:p w14:paraId="49177DD0"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Za organizacije proizvajalcev, ki so bile priznane pred 1. januarjem 2018, vendar ne izpolnjujejo pogojev iz odstavka 1 tega člena, države članice prekličejo priznanje najpozneje do 31. decembra 2020.</w:t>
            </w:r>
          </w:p>
        </w:tc>
        <w:tc>
          <w:tcPr>
            <w:tcW w:w="4876" w:type="dxa"/>
            <w:hideMark/>
          </w:tcPr>
          <w:p w14:paraId="2542827C"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Za organizacije proizvajalcev, ki so bile priznane pred 1. januarjem 2018, vendar ne izpolnjujejo pogojev iz odstavka 1 tega člena, države članice prekličejo priznanje najpozneje do 31. decembra 2020.</w:t>
            </w:r>
          </w:p>
        </w:tc>
      </w:tr>
      <w:tr w:rsidR="006F5BFE" w:rsidRPr="003B2277" w14:paraId="5EBD58AD" w14:textId="77777777" w:rsidTr="005B4D60">
        <w:trPr>
          <w:jc w:val="center"/>
        </w:trPr>
        <w:tc>
          <w:tcPr>
            <w:tcW w:w="4876" w:type="dxa"/>
            <w:hideMark/>
          </w:tcPr>
          <w:p w14:paraId="760F2171"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Države članice:</w:t>
            </w:r>
          </w:p>
        </w:tc>
        <w:tc>
          <w:tcPr>
            <w:tcW w:w="4876" w:type="dxa"/>
            <w:hideMark/>
          </w:tcPr>
          <w:p w14:paraId="3D82D1F4"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Države članice:</w:t>
            </w:r>
          </w:p>
        </w:tc>
      </w:tr>
      <w:tr w:rsidR="006F5BFE" w:rsidRPr="003B2277" w14:paraId="2F5E0C40" w14:textId="77777777" w:rsidTr="005B4D60">
        <w:trPr>
          <w:jc w:val="center"/>
        </w:trPr>
        <w:tc>
          <w:tcPr>
            <w:tcW w:w="4876" w:type="dxa"/>
            <w:hideMark/>
          </w:tcPr>
          <w:p w14:paraId="20FFD94A" w14:textId="77777777" w:rsidR="006F5BFE" w:rsidRPr="003B2277" w:rsidRDefault="006F5BFE" w:rsidP="005B4D60">
            <w:pPr>
              <w:spacing w:after="120"/>
              <w:rPr>
                <w:lang w:eastAsia="en-US"/>
              </w:rPr>
            </w:pPr>
            <w:r w:rsidRPr="003B2277">
              <w:rPr>
                <w:rFonts w:eastAsia="Calibri" w:cs="Mangal"/>
                <w:lang w:eastAsia="en-US"/>
              </w:rPr>
              <w:t>(a) v štirih mesecih po vložitvi zahtevka, ki so mu priložena vsa ustrezna dokazila, odločijo, ali bodo priznale organizacijo proizvajalcev; zahtevek se vloži pri državi članici, v kateri ima organizacija svoj sedež;</w:t>
            </w:r>
          </w:p>
        </w:tc>
        <w:tc>
          <w:tcPr>
            <w:tcW w:w="4876" w:type="dxa"/>
            <w:hideMark/>
          </w:tcPr>
          <w:p w14:paraId="123FA9B4" w14:textId="77777777" w:rsidR="006F5BFE" w:rsidRPr="003B2277" w:rsidRDefault="006F5BFE" w:rsidP="005B4D60">
            <w:pPr>
              <w:spacing w:after="120"/>
              <w:rPr>
                <w:szCs w:val="24"/>
                <w:lang w:eastAsia="en-US"/>
              </w:rPr>
            </w:pPr>
            <w:r w:rsidRPr="003B2277">
              <w:rPr>
                <w:rFonts w:eastAsia="Calibri" w:cs="Mangal"/>
                <w:lang w:eastAsia="en-US"/>
              </w:rPr>
              <w:t>(a) v štirih mesecih po vložitvi zahtevka, ki so mu priložena vsa ustrezna dokazila, odločijo, ali bodo priznale organizacijo proizvajalcev; zahtevek se vloži pri državi članici, v kateri ima organizacija svoj sedež;</w:t>
            </w:r>
          </w:p>
        </w:tc>
      </w:tr>
      <w:tr w:rsidR="006F5BFE" w:rsidRPr="003B2277" w14:paraId="6B9785BA" w14:textId="77777777" w:rsidTr="005B4D60">
        <w:trPr>
          <w:jc w:val="center"/>
        </w:trPr>
        <w:tc>
          <w:tcPr>
            <w:tcW w:w="4876" w:type="dxa"/>
            <w:hideMark/>
          </w:tcPr>
          <w:p w14:paraId="4608AD05" w14:textId="77777777" w:rsidR="006F5BFE" w:rsidRPr="003B2277" w:rsidRDefault="006F5BFE" w:rsidP="005B4D60">
            <w:pPr>
              <w:spacing w:after="120"/>
              <w:rPr>
                <w:lang w:eastAsia="en-US"/>
              </w:rPr>
            </w:pPr>
            <w:r w:rsidRPr="003B2277">
              <w:rPr>
                <w:rFonts w:eastAsia="Calibri" w:cs="Mangal"/>
                <w:lang w:eastAsia="en-US"/>
              </w:rPr>
              <w:t>(b) v časovnih obdobjih, ki jih določijo same, opravljajo preglede, s katerimi preverijo, ali priznane organizacije proizvajalcev spoštujejo določbe tega poglavja;</w:t>
            </w:r>
          </w:p>
        </w:tc>
        <w:tc>
          <w:tcPr>
            <w:tcW w:w="4876" w:type="dxa"/>
            <w:hideMark/>
          </w:tcPr>
          <w:p w14:paraId="55E27461" w14:textId="77777777" w:rsidR="006F5BFE" w:rsidRPr="003B2277" w:rsidRDefault="006F5BFE" w:rsidP="005B4D60">
            <w:pPr>
              <w:spacing w:after="120"/>
              <w:rPr>
                <w:szCs w:val="24"/>
                <w:lang w:eastAsia="en-US"/>
              </w:rPr>
            </w:pPr>
            <w:r w:rsidRPr="003B2277">
              <w:rPr>
                <w:rFonts w:eastAsia="Calibri" w:cs="Mangal"/>
                <w:lang w:eastAsia="en-US"/>
              </w:rPr>
              <w:t>(b) v časovnih obdobjih, ki jih določijo same, opravljajo preglede, s katerimi preverijo, ali priznane organizacije proizvajalcev spoštujejo določbe tega poglavja;</w:t>
            </w:r>
          </w:p>
        </w:tc>
      </w:tr>
      <w:tr w:rsidR="006F5BFE" w:rsidRPr="003B2277" w14:paraId="5BC8DB57" w14:textId="77777777" w:rsidTr="005B4D60">
        <w:trPr>
          <w:jc w:val="center"/>
        </w:trPr>
        <w:tc>
          <w:tcPr>
            <w:tcW w:w="4876" w:type="dxa"/>
            <w:hideMark/>
          </w:tcPr>
          <w:p w14:paraId="2EF21E44" w14:textId="77777777" w:rsidR="006F5BFE" w:rsidRPr="003B2277" w:rsidRDefault="006F5BFE" w:rsidP="005B4D60">
            <w:pPr>
              <w:spacing w:after="120"/>
              <w:rPr>
                <w:lang w:eastAsia="en-US"/>
              </w:rPr>
            </w:pPr>
            <w:r w:rsidRPr="003B2277">
              <w:rPr>
                <w:rFonts w:eastAsia="Calibri" w:cs="Mangal"/>
                <w:lang w:eastAsia="en-US"/>
              </w:rPr>
              <w:t>(c) v primeru nespoštovanja ali nepravilnosti pri uporabi ukrepov iz tega poglavja naložijo tem organizacijam in združenjem veljavne kazni, ki so jih določile, ter po potrebi odločijo, ali je treba priznanje preklicati;</w:t>
            </w:r>
          </w:p>
        </w:tc>
        <w:tc>
          <w:tcPr>
            <w:tcW w:w="4876" w:type="dxa"/>
            <w:hideMark/>
          </w:tcPr>
          <w:p w14:paraId="197FED8C" w14:textId="77777777" w:rsidR="006F5BFE" w:rsidRPr="003B2277" w:rsidRDefault="006F5BFE" w:rsidP="005B4D60">
            <w:pPr>
              <w:spacing w:after="120"/>
              <w:rPr>
                <w:szCs w:val="24"/>
                <w:lang w:eastAsia="en-US"/>
              </w:rPr>
            </w:pPr>
            <w:r w:rsidRPr="003B2277">
              <w:rPr>
                <w:rFonts w:eastAsia="Calibri" w:cs="Mangal"/>
                <w:lang w:eastAsia="en-US"/>
              </w:rPr>
              <w:t>(c) v primeru nespoštovanja ali nepravilnosti pri uporabi ukrepov iz tega poglavja naložijo tem organizacijam in združenjem veljavne kazni, ki so jih določile, ter po potrebi odločijo, ali je treba priznanje preklicati;</w:t>
            </w:r>
          </w:p>
        </w:tc>
      </w:tr>
      <w:tr w:rsidR="006F5BFE" w:rsidRPr="003B2277" w14:paraId="414DF66B" w14:textId="77777777" w:rsidTr="005B4D60">
        <w:trPr>
          <w:jc w:val="center"/>
        </w:trPr>
        <w:tc>
          <w:tcPr>
            <w:tcW w:w="4876" w:type="dxa"/>
            <w:hideMark/>
          </w:tcPr>
          <w:p w14:paraId="43937D62" w14:textId="77777777" w:rsidR="006F5BFE" w:rsidRPr="003B2277" w:rsidRDefault="006F5BFE" w:rsidP="005B4D60">
            <w:pPr>
              <w:spacing w:after="120"/>
              <w:rPr>
                <w:lang w:eastAsia="en-US"/>
              </w:rPr>
            </w:pPr>
            <w:r w:rsidRPr="003B2277">
              <w:rPr>
                <w:rFonts w:eastAsia="Calibri" w:cs="Mangal"/>
                <w:lang w:eastAsia="en-US"/>
              </w:rPr>
              <w:t>(d) Komisijo do 31. marca vsako leto, obvestijo o vsaki odločitvi o odobritvi, zavrnitvi ali preklicu priznanja, sprejeti v predhodnem koledarskem letu.</w:t>
            </w:r>
          </w:p>
        </w:tc>
        <w:tc>
          <w:tcPr>
            <w:tcW w:w="4876" w:type="dxa"/>
            <w:hideMark/>
          </w:tcPr>
          <w:p w14:paraId="0C3DFE35" w14:textId="77777777" w:rsidR="006F5BFE" w:rsidRPr="003B2277" w:rsidRDefault="006F5BFE" w:rsidP="005B4D60">
            <w:pPr>
              <w:spacing w:after="120"/>
              <w:rPr>
                <w:szCs w:val="24"/>
                <w:lang w:eastAsia="en-US"/>
              </w:rPr>
            </w:pPr>
            <w:r w:rsidRPr="003B2277">
              <w:rPr>
                <w:rFonts w:eastAsia="Calibri" w:cs="Mangal"/>
                <w:lang w:eastAsia="en-US"/>
              </w:rPr>
              <w:t>(d) Komisijo do 31. marca vsako leto, obvestijo o vsaki odločitvi o odobritvi, zavrnitvi ali preklicu priznanja, sprejeti v predhodnem koledarskem letu.</w:t>
            </w:r>
            <w:r w:rsidRPr="003B2277">
              <w:rPr>
                <w:rFonts w:eastAsia="Calibri" w:cs="Mangal"/>
                <w:b/>
                <w:i/>
                <w:lang w:eastAsia="en-US"/>
              </w:rPr>
              <w:t>“</w:t>
            </w:r>
          </w:p>
        </w:tc>
      </w:tr>
    </w:tbl>
    <w:p w14:paraId="1DBB6FA5" w14:textId="77777777" w:rsidR="006F5BFE" w:rsidRPr="003B2277" w:rsidRDefault="006F5BFE" w:rsidP="006F5BFE">
      <w:pPr>
        <w:rPr>
          <w:lang w:eastAsia="en-US"/>
        </w:rPr>
      </w:pPr>
    </w:p>
    <w:p w14:paraId="3AB6C8E2" w14:textId="2C8506F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116</w:t>
      </w:r>
    </w:p>
    <w:p w14:paraId="11456BEF" w14:textId="77777777" w:rsidR="006F5BFE" w:rsidRPr="003B2277" w:rsidRDefault="006F5BFE" w:rsidP="006F5BFE"/>
    <w:p w14:paraId="2F4A5D88" w14:textId="77777777" w:rsidR="006F5BFE" w:rsidRPr="003B2277" w:rsidRDefault="006F5BFE" w:rsidP="006F5BFE">
      <w:pPr>
        <w:keepNext/>
        <w:rPr>
          <w:b/>
          <w:lang w:eastAsia="en-US"/>
        </w:rPr>
      </w:pPr>
      <w:r w:rsidRPr="003B2277">
        <w:rPr>
          <w:rFonts w:eastAsia="Calibri" w:cs="Mangal"/>
          <w:b/>
          <w:lang w:eastAsia="en-US"/>
        </w:rPr>
        <w:t>Predlog uredbe</w:t>
      </w:r>
    </w:p>
    <w:p w14:paraId="52F2FC9A" w14:textId="77777777" w:rsidR="006F5BFE" w:rsidRPr="003B2277" w:rsidRDefault="006F5BFE" w:rsidP="006F5BFE">
      <w:pPr>
        <w:rPr>
          <w:b/>
          <w:lang w:eastAsia="en-US"/>
        </w:rPr>
      </w:pPr>
      <w:r w:rsidRPr="003B2277">
        <w:rPr>
          <w:rFonts w:eastAsia="Calibri" w:cs="Mangal"/>
          <w:b/>
          <w:lang w:eastAsia="en-US"/>
        </w:rPr>
        <w:t>Člen 1 – odstavek 1 – točka 22 h (novo)</w:t>
      </w:r>
    </w:p>
    <w:p w14:paraId="4ED183C0" w14:textId="77777777" w:rsidR="006F5BFE" w:rsidRPr="003B2277" w:rsidRDefault="006F5BFE" w:rsidP="006F5BFE">
      <w:pPr>
        <w:keepNext/>
        <w:rPr>
          <w:lang w:eastAsia="en-US"/>
        </w:rPr>
      </w:pPr>
      <w:r w:rsidRPr="003B2277">
        <w:rPr>
          <w:rFonts w:eastAsia="Calibri" w:cs="Mangal"/>
          <w:lang w:eastAsia="en-US"/>
        </w:rPr>
        <w:t>Uredba (EU) št. 1308/2013</w:t>
      </w:r>
    </w:p>
    <w:p w14:paraId="56B8347D" w14:textId="77777777" w:rsidR="006F5BFE" w:rsidRPr="003B2277" w:rsidRDefault="006F5BFE" w:rsidP="006F5BFE">
      <w:pPr>
        <w:rPr>
          <w:lang w:eastAsia="en-US"/>
        </w:rPr>
      </w:pPr>
      <w:r w:rsidRPr="003B2277">
        <w:rPr>
          <w:rFonts w:eastAsia="Calibri" w:cs="Mangal"/>
          <w:lang w:eastAsia="en-US"/>
        </w:rPr>
        <w:t>Člen 156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ABA4F7F" w14:textId="77777777" w:rsidTr="005B4D60">
        <w:trPr>
          <w:jc w:val="center"/>
        </w:trPr>
        <w:tc>
          <w:tcPr>
            <w:tcW w:w="9752" w:type="dxa"/>
            <w:gridSpan w:val="2"/>
          </w:tcPr>
          <w:p w14:paraId="73C29425" w14:textId="77777777" w:rsidR="006F5BFE" w:rsidRPr="003B2277" w:rsidRDefault="006F5BFE" w:rsidP="005B4D60">
            <w:pPr>
              <w:keepNext/>
            </w:pPr>
          </w:p>
        </w:tc>
      </w:tr>
      <w:tr w:rsidR="006F5BFE" w:rsidRPr="003B2277" w14:paraId="62B67B4E" w14:textId="77777777" w:rsidTr="005B4D60">
        <w:trPr>
          <w:jc w:val="center"/>
        </w:trPr>
        <w:tc>
          <w:tcPr>
            <w:tcW w:w="4876" w:type="dxa"/>
            <w:hideMark/>
          </w:tcPr>
          <w:p w14:paraId="28887EF3"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77AF284" w14:textId="0667F37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7B0A1F5" w14:textId="77777777" w:rsidTr="005B4D60">
        <w:trPr>
          <w:jc w:val="center"/>
        </w:trPr>
        <w:tc>
          <w:tcPr>
            <w:tcW w:w="4876" w:type="dxa"/>
          </w:tcPr>
          <w:p w14:paraId="0DA558DF" w14:textId="77777777" w:rsidR="006F5BFE" w:rsidRPr="003B2277" w:rsidRDefault="006F5BFE" w:rsidP="005B4D60">
            <w:pPr>
              <w:spacing w:after="120"/>
            </w:pPr>
          </w:p>
        </w:tc>
        <w:tc>
          <w:tcPr>
            <w:tcW w:w="4876" w:type="dxa"/>
            <w:hideMark/>
          </w:tcPr>
          <w:p w14:paraId="1B4F2E51" w14:textId="77777777" w:rsidR="006F5BFE" w:rsidRPr="003B2277" w:rsidRDefault="006F5BFE" w:rsidP="005B4D60">
            <w:pPr>
              <w:spacing w:after="120"/>
              <w:rPr>
                <w:szCs w:val="24"/>
                <w:lang w:eastAsia="en-US"/>
              </w:rPr>
            </w:pPr>
            <w:r w:rsidRPr="003B2277">
              <w:rPr>
                <w:rFonts w:eastAsia="Calibri" w:cs="Mangal"/>
                <w:b/>
                <w:i/>
                <w:lang w:eastAsia="en-US"/>
              </w:rPr>
              <w:t>(22h)</w:t>
            </w:r>
            <w:r w:rsidRPr="003B2277">
              <w:rPr>
                <w:rFonts w:eastAsia="Calibri" w:cs="Mangal"/>
                <w:b/>
                <w:i/>
                <w:lang w:eastAsia="en-US"/>
              </w:rPr>
              <w:tab/>
              <w:t>člen 156 se nadomesti z naslednjim:</w:t>
            </w:r>
          </w:p>
        </w:tc>
      </w:tr>
      <w:tr w:rsidR="006F5BFE" w:rsidRPr="003B2277" w14:paraId="3FDD7D17" w14:textId="77777777" w:rsidTr="005B4D60">
        <w:trPr>
          <w:jc w:val="center"/>
        </w:trPr>
        <w:tc>
          <w:tcPr>
            <w:tcW w:w="4876" w:type="dxa"/>
            <w:hideMark/>
          </w:tcPr>
          <w:p w14:paraId="5E42073F" w14:textId="77777777" w:rsidR="006F5BFE" w:rsidRPr="003B2277" w:rsidRDefault="006F5BFE" w:rsidP="005B4D60">
            <w:pPr>
              <w:spacing w:after="120"/>
              <w:rPr>
                <w:lang w:eastAsia="en-US"/>
              </w:rPr>
            </w:pPr>
            <w:r w:rsidRPr="003B2277">
              <w:rPr>
                <w:rFonts w:eastAsia="Calibri" w:cs="Mangal"/>
                <w:lang w:eastAsia="en-US"/>
              </w:rPr>
              <w:t>Člen 156</w:t>
            </w:r>
          </w:p>
        </w:tc>
        <w:tc>
          <w:tcPr>
            <w:tcW w:w="4876" w:type="dxa"/>
            <w:hideMark/>
          </w:tcPr>
          <w:p w14:paraId="261CF486"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156</w:t>
            </w:r>
          </w:p>
        </w:tc>
      </w:tr>
      <w:tr w:rsidR="006F5BFE" w:rsidRPr="003B2277" w14:paraId="00566636" w14:textId="77777777" w:rsidTr="005B4D60">
        <w:trPr>
          <w:jc w:val="center"/>
        </w:trPr>
        <w:tc>
          <w:tcPr>
            <w:tcW w:w="4876" w:type="dxa"/>
            <w:hideMark/>
          </w:tcPr>
          <w:p w14:paraId="2F14AEFA" w14:textId="77777777" w:rsidR="006F5BFE" w:rsidRPr="003B2277" w:rsidRDefault="006F5BFE" w:rsidP="005B4D60">
            <w:pPr>
              <w:spacing w:after="120"/>
              <w:rPr>
                <w:lang w:eastAsia="en-US"/>
              </w:rPr>
            </w:pPr>
            <w:r w:rsidRPr="003B2277">
              <w:rPr>
                <w:rFonts w:eastAsia="Calibri" w:cs="Mangal"/>
                <w:lang w:eastAsia="en-US"/>
              </w:rPr>
              <w:t>Združenja organizacij proizvajalcev</w:t>
            </w:r>
          </w:p>
        </w:tc>
        <w:tc>
          <w:tcPr>
            <w:tcW w:w="4876" w:type="dxa"/>
            <w:hideMark/>
          </w:tcPr>
          <w:p w14:paraId="47897B92" w14:textId="77777777" w:rsidR="006F5BFE" w:rsidRPr="003B2277" w:rsidRDefault="006F5BFE" w:rsidP="005B4D60">
            <w:pPr>
              <w:spacing w:after="120"/>
              <w:rPr>
                <w:szCs w:val="24"/>
                <w:lang w:eastAsia="en-US"/>
              </w:rPr>
            </w:pPr>
            <w:r w:rsidRPr="003B2277">
              <w:rPr>
                <w:rFonts w:eastAsia="Calibri" w:cs="Mangal"/>
                <w:lang w:eastAsia="en-US"/>
              </w:rPr>
              <w:t>Združenja organizacij proizvajalcev</w:t>
            </w:r>
          </w:p>
        </w:tc>
      </w:tr>
      <w:tr w:rsidR="006F5BFE" w:rsidRPr="003B2277" w14:paraId="096CC96E" w14:textId="77777777" w:rsidTr="005B4D60">
        <w:trPr>
          <w:jc w:val="center"/>
        </w:trPr>
        <w:tc>
          <w:tcPr>
            <w:tcW w:w="4876" w:type="dxa"/>
            <w:hideMark/>
          </w:tcPr>
          <w:p w14:paraId="0D9BD4C0"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Države članice lahko na zahtevo priznajo združenja organizacij proizvajalcev v določenem sektorju iz člena 1(2), ki so ustanovljena na pobudo priznanih organizacij proizvajalcev. Ob upoštevanju pravil, sprejetih v skladu s členom 173, lahko združenja organizacij proizvajalcev izvajajo katere koli dejavnosti ali naloge organizacij proizvajalcev.</w:t>
            </w:r>
          </w:p>
        </w:tc>
        <w:tc>
          <w:tcPr>
            <w:tcW w:w="4876" w:type="dxa"/>
            <w:hideMark/>
          </w:tcPr>
          <w:p w14:paraId="2E3D86E5"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Države članice lahko na zahtevo priznajo združenja organizacij proizvajalcev v določenem sektorju iz člena 1(2), ki so ustanovljena na pobudo priznanih organizacij proizvajalcev</w:t>
            </w:r>
            <w:r w:rsidRPr="003B2277">
              <w:rPr>
                <w:rFonts w:eastAsia="Calibri" w:cs="Mangal"/>
                <w:b/>
                <w:i/>
                <w:lang w:eastAsia="en-US"/>
              </w:rPr>
              <w:t xml:space="preserve"> in/ali združenj organizacij proizvajalcev</w:t>
            </w:r>
            <w:r w:rsidRPr="003B2277">
              <w:rPr>
                <w:rFonts w:eastAsia="Calibri" w:cs="Mangal"/>
                <w:lang w:eastAsia="en-US"/>
              </w:rPr>
              <w:t>. Ob upoštevanju pravil, sprejetih v skladu s členom 173, lahko združenja organizacij proizvajalcev izvajajo katere koli dejavnosti ali naloge organizacij proizvajalcev.</w:t>
            </w:r>
          </w:p>
        </w:tc>
      </w:tr>
      <w:tr w:rsidR="006F5BFE" w:rsidRPr="003B2277" w14:paraId="1D311501" w14:textId="77777777" w:rsidTr="005B4D60">
        <w:trPr>
          <w:jc w:val="center"/>
        </w:trPr>
        <w:tc>
          <w:tcPr>
            <w:tcW w:w="4876" w:type="dxa"/>
            <w:hideMark/>
          </w:tcPr>
          <w:p w14:paraId="2D783C88"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Država članica lahko z odstopanjem od odstavka 1 na podlagi zahtevka prizna združenje priznanih organizacij proizvajalcev v sektorju mleka in mlečnih proizvodov, če meni, da je združenje sposobno učinkovito opravljati vse dejavnosti priznane organizacije proizvajalcev in da izpolnjuje pogoje iz člena 161(1).</w:t>
            </w:r>
          </w:p>
        </w:tc>
        <w:tc>
          <w:tcPr>
            <w:tcW w:w="4876" w:type="dxa"/>
            <w:hideMark/>
          </w:tcPr>
          <w:p w14:paraId="78B6F064"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Država članica lahko z odstopanjem od odstavka 1 na podlagi zahtevka prizna združenje priznanih organizacij proizvajalcev v sektorju mleka in mlečnih proizvodov, če meni, da je združenje sposobno učinkovito opravljati vse dejavnosti priznane organizacije proizvajalcev in da izpolnjuje pogoje iz člena 161(1).</w:t>
            </w:r>
            <w:r w:rsidRPr="003B2277">
              <w:rPr>
                <w:rFonts w:eastAsia="Calibri" w:cs="Mangal"/>
                <w:b/>
                <w:i/>
                <w:lang w:eastAsia="en-US"/>
              </w:rPr>
              <w:t>“</w:t>
            </w:r>
          </w:p>
        </w:tc>
      </w:tr>
    </w:tbl>
    <w:p w14:paraId="2E6DE9DC" w14:textId="77777777" w:rsidR="006F5BFE" w:rsidRPr="003B2277" w:rsidRDefault="006F5BFE" w:rsidP="006F5BFE">
      <w:pPr>
        <w:rPr>
          <w:lang w:eastAsia="en-US"/>
        </w:rPr>
      </w:pPr>
    </w:p>
    <w:p w14:paraId="692AF6F1" w14:textId="77777777" w:rsidR="007E5F3B" w:rsidRDefault="007E5F3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30505C82" w14:textId="1E28803A" w:rsidR="007E5F3B" w:rsidRPr="009833EE" w:rsidRDefault="008C7773" w:rsidP="007E5F3B">
      <w:pPr>
        <w:pStyle w:val="AmNumberTabs0"/>
      </w:pPr>
      <w:r>
        <w:t>Sprememba</w:t>
      </w:r>
      <w:r w:rsidR="007E5F3B" w:rsidRPr="009833EE">
        <w:tab/>
      </w:r>
      <w:r w:rsidR="007E5F3B" w:rsidRPr="009833EE">
        <w:tab/>
        <w:t>239</w:t>
      </w:r>
    </w:p>
    <w:p w14:paraId="15F9C2B8" w14:textId="77777777" w:rsidR="007E5F3B" w:rsidRPr="009833EE" w:rsidRDefault="007E5F3B" w:rsidP="007E5F3B">
      <w:pPr>
        <w:pStyle w:val="NormalBold12b"/>
      </w:pPr>
      <w:r w:rsidRPr="009833EE">
        <w:t>Predlog uredbe</w:t>
      </w:r>
    </w:p>
    <w:p w14:paraId="29AFB801" w14:textId="6BC3BBCB" w:rsidR="007E5F3B" w:rsidRPr="009833EE" w:rsidRDefault="00871C85" w:rsidP="007E5F3B">
      <w:pPr>
        <w:pStyle w:val="NormalBold"/>
      </w:pPr>
      <w:r>
        <w:t>Člen 1 – odstavek 1 – točka 22 i</w:t>
      </w:r>
      <w:r w:rsidR="007E5F3B" w:rsidRPr="009833EE">
        <w:t xml:space="preserve"> (novo)</w:t>
      </w:r>
    </w:p>
    <w:p w14:paraId="5532C9D1" w14:textId="77777777" w:rsidR="007E5F3B" w:rsidRPr="009833EE" w:rsidRDefault="007E5F3B" w:rsidP="007E5F3B">
      <w:r w:rsidRPr="009833EE">
        <w:t>Uredba (EU) št. 1308/2013</w:t>
      </w:r>
    </w:p>
    <w:p w14:paraId="18752D65" w14:textId="77777777" w:rsidR="007E5F3B" w:rsidRPr="009833EE" w:rsidRDefault="007E5F3B" w:rsidP="007E5F3B">
      <w:r w:rsidRPr="009833EE">
        <w:t>Člen 157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9833EE" w14:paraId="62B3EDAF" w14:textId="77777777" w:rsidTr="007E5F3B">
        <w:trPr>
          <w:jc w:val="center"/>
        </w:trPr>
        <w:tc>
          <w:tcPr>
            <w:tcW w:w="9752" w:type="dxa"/>
            <w:gridSpan w:val="2"/>
          </w:tcPr>
          <w:p w14:paraId="625B46B1" w14:textId="77777777" w:rsidR="007E5F3B" w:rsidRPr="009833EE" w:rsidRDefault="007E5F3B" w:rsidP="007E5F3B">
            <w:pPr>
              <w:keepNext/>
            </w:pPr>
          </w:p>
        </w:tc>
      </w:tr>
      <w:tr w:rsidR="007E5F3B" w:rsidRPr="009833EE" w14:paraId="40E847AB" w14:textId="77777777" w:rsidTr="007E5F3B">
        <w:trPr>
          <w:jc w:val="center"/>
        </w:trPr>
        <w:tc>
          <w:tcPr>
            <w:tcW w:w="4876" w:type="dxa"/>
          </w:tcPr>
          <w:p w14:paraId="2BB2364E" w14:textId="77777777" w:rsidR="007E5F3B" w:rsidRPr="009833EE" w:rsidRDefault="007E5F3B" w:rsidP="007E5F3B">
            <w:pPr>
              <w:pStyle w:val="AmColumnHeading"/>
              <w:keepNext/>
            </w:pPr>
            <w:r w:rsidRPr="009833EE">
              <w:t>Veljavno besedilo</w:t>
            </w:r>
          </w:p>
        </w:tc>
        <w:tc>
          <w:tcPr>
            <w:tcW w:w="4876" w:type="dxa"/>
          </w:tcPr>
          <w:p w14:paraId="6EDA1F1B" w14:textId="37C2EA37" w:rsidR="007E5F3B" w:rsidRPr="009833EE" w:rsidRDefault="008C7773" w:rsidP="007E5F3B">
            <w:pPr>
              <w:pStyle w:val="AmColumnHeading"/>
              <w:keepNext/>
            </w:pPr>
            <w:r>
              <w:t>Sprememba</w:t>
            </w:r>
          </w:p>
        </w:tc>
      </w:tr>
      <w:tr w:rsidR="007E5F3B" w:rsidRPr="009833EE" w14:paraId="06F9D4AF" w14:textId="77777777" w:rsidTr="007E5F3B">
        <w:trPr>
          <w:jc w:val="center"/>
        </w:trPr>
        <w:tc>
          <w:tcPr>
            <w:tcW w:w="4876" w:type="dxa"/>
          </w:tcPr>
          <w:p w14:paraId="2A124483" w14:textId="77777777" w:rsidR="007E5F3B" w:rsidRPr="009833EE" w:rsidRDefault="007E5F3B" w:rsidP="007E5F3B">
            <w:pPr>
              <w:pStyle w:val="Normal6"/>
            </w:pPr>
          </w:p>
        </w:tc>
        <w:tc>
          <w:tcPr>
            <w:tcW w:w="4876" w:type="dxa"/>
          </w:tcPr>
          <w:p w14:paraId="19DB23D1" w14:textId="46F7F3C1" w:rsidR="007E5F3B" w:rsidRPr="009833EE" w:rsidRDefault="00871C85" w:rsidP="007E5F3B">
            <w:pPr>
              <w:pStyle w:val="Normal6"/>
              <w:rPr>
                <w:szCs w:val="24"/>
              </w:rPr>
            </w:pPr>
            <w:r>
              <w:rPr>
                <w:b/>
                <w:i/>
              </w:rPr>
              <w:t>(22i</w:t>
            </w:r>
            <w:r w:rsidR="007E5F3B" w:rsidRPr="009833EE">
              <w:rPr>
                <w:b/>
                <w:i/>
              </w:rPr>
              <w:t>)</w:t>
            </w:r>
            <w:r w:rsidR="007E5F3B" w:rsidRPr="009833EE">
              <w:rPr>
                <w:b/>
                <w:i/>
              </w:rPr>
              <w:tab/>
              <w:t>člen 157 se nadomesti z naslednjim:</w:t>
            </w:r>
          </w:p>
        </w:tc>
      </w:tr>
      <w:tr w:rsidR="007E5F3B" w:rsidRPr="009833EE" w14:paraId="5DB8E34F" w14:textId="77777777" w:rsidTr="007E5F3B">
        <w:trPr>
          <w:jc w:val="center"/>
        </w:trPr>
        <w:tc>
          <w:tcPr>
            <w:tcW w:w="4876" w:type="dxa"/>
          </w:tcPr>
          <w:p w14:paraId="3960E330" w14:textId="77777777" w:rsidR="007E5F3B" w:rsidRPr="009833EE" w:rsidRDefault="007E5F3B" w:rsidP="007E5F3B">
            <w:pPr>
              <w:pStyle w:val="Normal6"/>
              <w:jc w:val="center"/>
            </w:pPr>
            <w:r w:rsidRPr="009833EE">
              <w:t>Člen 157</w:t>
            </w:r>
          </w:p>
        </w:tc>
        <w:tc>
          <w:tcPr>
            <w:tcW w:w="4876" w:type="dxa"/>
          </w:tcPr>
          <w:p w14:paraId="54F88952" w14:textId="77777777" w:rsidR="007E5F3B" w:rsidRPr="009833EE" w:rsidRDefault="007E5F3B" w:rsidP="007E5F3B">
            <w:pPr>
              <w:pStyle w:val="Normal6"/>
              <w:rPr>
                <w:szCs w:val="24"/>
              </w:rPr>
            </w:pPr>
            <w:r w:rsidRPr="009833EE">
              <w:t>„Člen 157</w:t>
            </w:r>
          </w:p>
        </w:tc>
      </w:tr>
      <w:tr w:rsidR="007E5F3B" w:rsidRPr="009833EE" w14:paraId="7F105058" w14:textId="77777777" w:rsidTr="007E5F3B">
        <w:trPr>
          <w:jc w:val="center"/>
        </w:trPr>
        <w:tc>
          <w:tcPr>
            <w:tcW w:w="4876" w:type="dxa"/>
          </w:tcPr>
          <w:p w14:paraId="18F52358" w14:textId="77777777" w:rsidR="007E5F3B" w:rsidRPr="009833EE" w:rsidRDefault="007E5F3B" w:rsidP="007E5F3B">
            <w:pPr>
              <w:pStyle w:val="Normal6"/>
            </w:pPr>
            <w:r w:rsidRPr="009833EE">
              <w:t>Medpanožne organizacije</w:t>
            </w:r>
          </w:p>
        </w:tc>
        <w:tc>
          <w:tcPr>
            <w:tcW w:w="4876" w:type="dxa"/>
          </w:tcPr>
          <w:p w14:paraId="0F59B20D" w14:textId="77777777" w:rsidR="007E5F3B" w:rsidRPr="009833EE" w:rsidRDefault="007E5F3B" w:rsidP="007E5F3B">
            <w:pPr>
              <w:pStyle w:val="Normal6"/>
              <w:rPr>
                <w:szCs w:val="24"/>
              </w:rPr>
            </w:pPr>
            <w:r w:rsidRPr="009833EE">
              <w:t>Medpanožne organizacije</w:t>
            </w:r>
          </w:p>
        </w:tc>
      </w:tr>
      <w:tr w:rsidR="007E5F3B" w:rsidRPr="009833EE" w14:paraId="14C84501" w14:textId="77777777" w:rsidTr="007E5F3B">
        <w:trPr>
          <w:jc w:val="center"/>
        </w:trPr>
        <w:tc>
          <w:tcPr>
            <w:tcW w:w="4876" w:type="dxa"/>
          </w:tcPr>
          <w:p w14:paraId="2FE745F1" w14:textId="77777777" w:rsidR="007E5F3B" w:rsidRPr="009833EE" w:rsidRDefault="007E5F3B" w:rsidP="007E5F3B">
            <w:pPr>
              <w:pStyle w:val="Normal6"/>
            </w:pPr>
            <w:r w:rsidRPr="009833EE">
              <w:t>1.</w:t>
            </w:r>
            <w:r w:rsidRPr="009833EE">
              <w:tab/>
              <w:t>Države članice lahko na zahtevo priznajo medpanožne organizacije v specifičnem sektorju iz člena 1(2), ki:</w:t>
            </w:r>
          </w:p>
        </w:tc>
        <w:tc>
          <w:tcPr>
            <w:tcW w:w="4876" w:type="dxa"/>
          </w:tcPr>
          <w:p w14:paraId="5672FFB2" w14:textId="77777777" w:rsidR="007E5F3B" w:rsidRPr="009833EE" w:rsidRDefault="007E5F3B" w:rsidP="007E5F3B">
            <w:pPr>
              <w:pStyle w:val="Normal6"/>
              <w:rPr>
                <w:szCs w:val="24"/>
              </w:rPr>
            </w:pPr>
            <w:r w:rsidRPr="009833EE">
              <w:t>1.</w:t>
            </w:r>
            <w:r w:rsidRPr="009833EE">
              <w:tab/>
              <w:t>Države članice lahko na zahtevo priznajo medpanožne organizacije v specifičnem sektorju iz člena 1(2), ki:</w:t>
            </w:r>
          </w:p>
        </w:tc>
      </w:tr>
      <w:tr w:rsidR="007E5F3B" w:rsidRPr="009833EE" w14:paraId="1A3CCD8A" w14:textId="77777777" w:rsidTr="007E5F3B">
        <w:trPr>
          <w:jc w:val="center"/>
        </w:trPr>
        <w:tc>
          <w:tcPr>
            <w:tcW w:w="4876" w:type="dxa"/>
          </w:tcPr>
          <w:p w14:paraId="620BFC12" w14:textId="77777777" w:rsidR="007E5F3B" w:rsidRPr="009833EE" w:rsidRDefault="007E5F3B" w:rsidP="007E5F3B">
            <w:pPr>
              <w:pStyle w:val="Normal6"/>
            </w:pPr>
            <w:r w:rsidRPr="009833EE">
              <w:t>(a)</w:t>
            </w:r>
            <w:r w:rsidRPr="009833EE">
              <w:tab/>
              <w:t>jih sestavljajo predstavniki gospodarskih dejavnosti, povezanih s proizvodnjo in vsaj eno od naslednjih faz dobavne verige: predelavo proizvodov iz enega ali več sektorjev ali trgovino z njimi, vključno z njihovo distribucijo;</w:t>
            </w:r>
          </w:p>
        </w:tc>
        <w:tc>
          <w:tcPr>
            <w:tcW w:w="4876" w:type="dxa"/>
          </w:tcPr>
          <w:p w14:paraId="00D22E09" w14:textId="77777777" w:rsidR="007E5F3B" w:rsidRPr="009833EE" w:rsidRDefault="007E5F3B" w:rsidP="007E5F3B">
            <w:pPr>
              <w:pStyle w:val="Normal6"/>
              <w:rPr>
                <w:szCs w:val="24"/>
              </w:rPr>
            </w:pPr>
            <w:r w:rsidRPr="009833EE">
              <w:t>(a)</w:t>
            </w:r>
            <w:r w:rsidRPr="009833EE">
              <w:tab/>
              <w:t>jih sestavljajo predstavniki gospodarskih dejavnosti, povezanih s proizvodnjo in vsaj eno od naslednjih faz dobavne verige: predelavo proizvodov iz enega ali več sektorjev ali trgovino z njimi, vključno z njihovo distribucijo;</w:t>
            </w:r>
          </w:p>
        </w:tc>
      </w:tr>
      <w:tr w:rsidR="007E5F3B" w:rsidRPr="009833EE" w14:paraId="25959AAE" w14:textId="77777777" w:rsidTr="007E5F3B">
        <w:trPr>
          <w:jc w:val="center"/>
        </w:trPr>
        <w:tc>
          <w:tcPr>
            <w:tcW w:w="4876" w:type="dxa"/>
          </w:tcPr>
          <w:p w14:paraId="29A5D870" w14:textId="77777777" w:rsidR="007E5F3B" w:rsidRPr="009833EE" w:rsidRDefault="007E5F3B" w:rsidP="007E5F3B">
            <w:pPr>
              <w:pStyle w:val="Normal6"/>
            </w:pPr>
            <w:r w:rsidRPr="009833EE">
              <w:t>(b)</w:t>
            </w:r>
            <w:r w:rsidRPr="009833EE">
              <w:tab/>
              <w:t>se ustanovijo na pobudo vseh ali nekaterih organizacij ali združenj, ki jih sestavljajo;</w:t>
            </w:r>
          </w:p>
        </w:tc>
        <w:tc>
          <w:tcPr>
            <w:tcW w:w="4876" w:type="dxa"/>
          </w:tcPr>
          <w:p w14:paraId="5A6D1398" w14:textId="77777777" w:rsidR="007E5F3B" w:rsidRPr="009833EE" w:rsidRDefault="007E5F3B" w:rsidP="007E5F3B">
            <w:pPr>
              <w:pStyle w:val="Normal6"/>
              <w:rPr>
                <w:szCs w:val="24"/>
              </w:rPr>
            </w:pPr>
            <w:r w:rsidRPr="009833EE">
              <w:t>(b)</w:t>
            </w:r>
            <w:r w:rsidRPr="009833EE">
              <w:tab/>
              <w:t>se ustanovijo na pobudo vseh ali nekaterih organizacij ali združenj, ki jih sestavljajo;</w:t>
            </w:r>
          </w:p>
        </w:tc>
      </w:tr>
      <w:tr w:rsidR="007E5F3B" w:rsidRPr="009833EE" w14:paraId="79324168" w14:textId="77777777" w:rsidTr="007E5F3B">
        <w:trPr>
          <w:jc w:val="center"/>
        </w:trPr>
        <w:tc>
          <w:tcPr>
            <w:tcW w:w="4876" w:type="dxa"/>
          </w:tcPr>
          <w:p w14:paraId="775BC8F1" w14:textId="77777777" w:rsidR="007E5F3B" w:rsidRPr="009833EE" w:rsidRDefault="007E5F3B" w:rsidP="007E5F3B">
            <w:pPr>
              <w:pStyle w:val="Normal6"/>
            </w:pPr>
            <w:r w:rsidRPr="009833EE">
              <w:t>(c)</w:t>
            </w:r>
            <w:r w:rsidRPr="009833EE">
              <w:tab/>
              <w:t>imajo poseben namen glede na interese članov in potrošnikov, ki lahko vključuje zlasti enega od naslednjih ciljev:</w:t>
            </w:r>
          </w:p>
        </w:tc>
        <w:tc>
          <w:tcPr>
            <w:tcW w:w="4876" w:type="dxa"/>
          </w:tcPr>
          <w:p w14:paraId="1738CD8C" w14:textId="77777777" w:rsidR="007E5F3B" w:rsidRPr="009833EE" w:rsidRDefault="007E5F3B" w:rsidP="007E5F3B">
            <w:pPr>
              <w:pStyle w:val="Normal6"/>
              <w:rPr>
                <w:szCs w:val="24"/>
              </w:rPr>
            </w:pPr>
            <w:r w:rsidRPr="009833EE">
              <w:t>(c)</w:t>
            </w:r>
            <w:r w:rsidRPr="009833EE">
              <w:tab/>
              <w:t xml:space="preserve">imajo poseben namen glede na interese </w:t>
            </w:r>
            <w:r w:rsidRPr="009833EE">
              <w:rPr>
                <w:b/>
                <w:i/>
              </w:rPr>
              <w:t>vseh</w:t>
            </w:r>
            <w:r w:rsidRPr="009833EE">
              <w:t xml:space="preserve"> članov in potrošnikov, ki lahko vključuje zlasti enega od naslednjih ciljev:</w:t>
            </w:r>
          </w:p>
        </w:tc>
      </w:tr>
      <w:tr w:rsidR="007E5F3B" w:rsidRPr="009833EE" w14:paraId="5287F695" w14:textId="77777777" w:rsidTr="007E5F3B">
        <w:trPr>
          <w:jc w:val="center"/>
        </w:trPr>
        <w:tc>
          <w:tcPr>
            <w:tcW w:w="4876" w:type="dxa"/>
          </w:tcPr>
          <w:p w14:paraId="180432E9" w14:textId="77777777" w:rsidR="007E5F3B" w:rsidRPr="009833EE" w:rsidRDefault="007E5F3B" w:rsidP="007E5F3B">
            <w:pPr>
              <w:pStyle w:val="Normal6"/>
            </w:pPr>
            <w:r w:rsidRPr="009833EE">
              <w:t>(i)</w:t>
            </w:r>
            <w:r w:rsidRPr="009833EE">
              <w:tab/>
              <w:t>izboljšanje znanja in preglednosti proizvodnje in trga</w:t>
            </w:r>
            <w:r w:rsidRPr="009833EE">
              <w:rPr>
                <w:b/>
                <w:i/>
              </w:rPr>
              <w:t>, vključno</w:t>
            </w:r>
            <w:r w:rsidRPr="009833EE">
              <w:t xml:space="preserve"> z objavo združenih statističnih podatkov o proizvodnih stroških, cenah, po potrebi vključno z indeksi cen, količinah in trajanju predhodno sklenjenih pogodb, pa tudi </w:t>
            </w:r>
            <w:r w:rsidRPr="009833EE">
              <w:rPr>
                <w:b/>
                <w:i/>
              </w:rPr>
              <w:t>z</w:t>
            </w:r>
            <w:r w:rsidRPr="009833EE">
              <w:t xml:space="preserve"> zagotavljanjem analiz o </w:t>
            </w:r>
            <w:r w:rsidRPr="009833EE">
              <w:rPr>
                <w:b/>
                <w:i/>
              </w:rPr>
              <w:t>možnem</w:t>
            </w:r>
            <w:r w:rsidRPr="009833EE">
              <w:t xml:space="preserve"> prihodnjih tržnih trendih na regionalni, nacionalni ali mednarodni ravni;</w:t>
            </w:r>
          </w:p>
        </w:tc>
        <w:tc>
          <w:tcPr>
            <w:tcW w:w="4876" w:type="dxa"/>
          </w:tcPr>
          <w:p w14:paraId="7421DF7F" w14:textId="77777777" w:rsidR="007E5F3B" w:rsidRPr="009833EE" w:rsidRDefault="007E5F3B" w:rsidP="007E5F3B">
            <w:pPr>
              <w:pStyle w:val="Normal6"/>
              <w:rPr>
                <w:szCs w:val="24"/>
              </w:rPr>
            </w:pPr>
            <w:r w:rsidRPr="009833EE">
              <w:t>(i)</w:t>
            </w:r>
            <w:r w:rsidRPr="009833EE">
              <w:tab/>
              <w:t xml:space="preserve">izboljšanje znanja in preglednosti proizvodnje in trga </w:t>
            </w:r>
            <w:r w:rsidRPr="00FD1F1B">
              <w:rPr>
                <w:b/>
                <w:i/>
              </w:rPr>
              <w:t>z</w:t>
            </w:r>
            <w:r w:rsidRPr="009833EE">
              <w:rPr>
                <w:b/>
                <w:i/>
              </w:rPr>
              <w:t>:</w:t>
            </w:r>
          </w:p>
        </w:tc>
      </w:tr>
      <w:tr w:rsidR="007E5F3B" w:rsidRPr="009833EE" w14:paraId="736077E9" w14:textId="77777777" w:rsidTr="007E5F3B">
        <w:trPr>
          <w:jc w:val="center"/>
        </w:trPr>
        <w:tc>
          <w:tcPr>
            <w:tcW w:w="4876" w:type="dxa"/>
          </w:tcPr>
          <w:p w14:paraId="450B9E40" w14:textId="77777777" w:rsidR="007E5F3B" w:rsidRPr="009833EE" w:rsidRDefault="007E5F3B" w:rsidP="007E5F3B">
            <w:pPr>
              <w:pStyle w:val="Normal6"/>
            </w:pPr>
          </w:p>
        </w:tc>
        <w:tc>
          <w:tcPr>
            <w:tcW w:w="4876" w:type="dxa"/>
          </w:tcPr>
          <w:p w14:paraId="69C2DB35" w14:textId="77777777" w:rsidR="007E5F3B" w:rsidRPr="009833EE" w:rsidRDefault="007E5F3B" w:rsidP="007E5F3B">
            <w:pPr>
              <w:pStyle w:val="Normal6"/>
            </w:pPr>
            <w:r w:rsidRPr="009833EE">
              <w:rPr>
                <w:b/>
                <w:i/>
              </w:rPr>
              <w:t>–</w:t>
            </w:r>
            <w:r w:rsidRPr="009833EE">
              <w:t xml:space="preserve"> objavo </w:t>
            </w:r>
            <w:r w:rsidRPr="009833EE">
              <w:rPr>
                <w:b/>
                <w:i/>
              </w:rPr>
              <w:t>in/ali izmenjavo</w:t>
            </w:r>
            <w:r w:rsidRPr="009833EE">
              <w:t xml:space="preserve"> združenih statističnih podatkov o proizvodnih stroških, cenah, po potrebi vključno z indeksi cen, količinah in trajanju predhodno sklenjenih pogodb, pa tudi</w:t>
            </w:r>
            <w:r w:rsidRPr="009833EE">
              <w:rPr>
                <w:b/>
                <w:i/>
              </w:rPr>
              <w:t xml:space="preserve"> podatkov o razlikah, dodeljenih v različnih fazah dobavne verige;</w:t>
            </w:r>
          </w:p>
        </w:tc>
      </w:tr>
      <w:tr w:rsidR="007E5F3B" w:rsidRPr="009833EE" w14:paraId="5FDE6EC5" w14:textId="77777777" w:rsidTr="007E5F3B">
        <w:trPr>
          <w:jc w:val="center"/>
        </w:trPr>
        <w:tc>
          <w:tcPr>
            <w:tcW w:w="4876" w:type="dxa"/>
          </w:tcPr>
          <w:p w14:paraId="56E528EB" w14:textId="77777777" w:rsidR="007E5F3B" w:rsidRPr="009833EE" w:rsidRDefault="007E5F3B" w:rsidP="007E5F3B">
            <w:pPr>
              <w:pStyle w:val="Normal6"/>
            </w:pPr>
          </w:p>
        </w:tc>
        <w:tc>
          <w:tcPr>
            <w:tcW w:w="4876" w:type="dxa"/>
          </w:tcPr>
          <w:p w14:paraId="305FA234" w14:textId="77777777" w:rsidR="007E5F3B" w:rsidRPr="009833EE" w:rsidRDefault="007E5F3B" w:rsidP="007E5F3B">
            <w:pPr>
              <w:pStyle w:val="Normal6"/>
            </w:pPr>
            <w:r w:rsidRPr="009833EE">
              <w:rPr>
                <w:b/>
                <w:i/>
              </w:rPr>
              <w:t>–</w:t>
            </w:r>
            <w:r w:rsidRPr="009833EE">
              <w:tab/>
              <w:t xml:space="preserve">zagotavljanjem analiz o </w:t>
            </w:r>
            <w:r w:rsidRPr="009833EE">
              <w:rPr>
                <w:b/>
                <w:i/>
              </w:rPr>
              <w:t>možnih</w:t>
            </w:r>
            <w:r w:rsidRPr="009833EE">
              <w:t xml:space="preserve"> prihodnjih tržnih trendih na regionalni, nacionalni ali mednarodni ravni;</w:t>
            </w:r>
          </w:p>
        </w:tc>
      </w:tr>
      <w:tr w:rsidR="007E5F3B" w:rsidRPr="009833EE" w14:paraId="022A1211" w14:textId="77777777" w:rsidTr="007E5F3B">
        <w:trPr>
          <w:jc w:val="center"/>
        </w:trPr>
        <w:tc>
          <w:tcPr>
            <w:tcW w:w="4876" w:type="dxa"/>
          </w:tcPr>
          <w:p w14:paraId="734C5926" w14:textId="77777777" w:rsidR="007E5F3B" w:rsidRPr="009833EE" w:rsidRDefault="007E5F3B" w:rsidP="007E5F3B">
            <w:pPr>
              <w:pStyle w:val="Normal6"/>
            </w:pPr>
            <w:r w:rsidRPr="009833EE">
              <w:t>(ii)</w:t>
            </w:r>
            <w:r w:rsidRPr="009833EE">
              <w:tab/>
              <w:t>napovedovanje proizvodnih zmogljivosti in beleženje cen na javnih trgih;</w:t>
            </w:r>
          </w:p>
        </w:tc>
        <w:tc>
          <w:tcPr>
            <w:tcW w:w="4876" w:type="dxa"/>
          </w:tcPr>
          <w:p w14:paraId="530501FC" w14:textId="77777777" w:rsidR="007E5F3B" w:rsidRPr="009833EE" w:rsidRDefault="007E5F3B" w:rsidP="007E5F3B">
            <w:pPr>
              <w:pStyle w:val="Normal6"/>
              <w:rPr>
                <w:szCs w:val="24"/>
              </w:rPr>
            </w:pPr>
            <w:r w:rsidRPr="009833EE">
              <w:t>(ii)</w:t>
            </w:r>
            <w:r w:rsidRPr="009833EE">
              <w:tab/>
              <w:t>napovedovanje proizvodnih zmogljivosti in beleženje cen na javnih trgih;</w:t>
            </w:r>
          </w:p>
        </w:tc>
      </w:tr>
      <w:tr w:rsidR="007E5F3B" w:rsidRPr="009833EE" w14:paraId="42688E9C" w14:textId="77777777" w:rsidTr="007E5F3B">
        <w:trPr>
          <w:jc w:val="center"/>
        </w:trPr>
        <w:tc>
          <w:tcPr>
            <w:tcW w:w="4876" w:type="dxa"/>
          </w:tcPr>
          <w:p w14:paraId="2303D0C6" w14:textId="77777777" w:rsidR="007E5F3B" w:rsidRPr="009833EE" w:rsidRDefault="007E5F3B" w:rsidP="007E5F3B">
            <w:pPr>
              <w:pStyle w:val="Normal6"/>
            </w:pPr>
            <w:r w:rsidRPr="009833EE">
              <w:t>(iii)</w:t>
            </w:r>
            <w:r w:rsidRPr="009833EE">
              <w:tab/>
              <w:t>pomoč za boljše usklajevanje načina dajanja proizvodov na trg, zlasti z raziskavami in analizami trga;</w:t>
            </w:r>
          </w:p>
        </w:tc>
        <w:tc>
          <w:tcPr>
            <w:tcW w:w="4876" w:type="dxa"/>
          </w:tcPr>
          <w:p w14:paraId="646CF10E" w14:textId="77777777" w:rsidR="007E5F3B" w:rsidRPr="009833EE" w:rsidRDefault="007E5F3B" w:rsidP="007E5F3B">
            <w:pPr>
              <w:pStyle w:val="Normal6"/>
              <w:rPr>
                <w:szCs w:val="24"/>
              </w:rPr>
            </w:pPr>
            <w:r w:rsidRPr="009833EE">
              <w:t>(iii)</w:t>
            </w:r>
            <w:r w:rsidRPr="009833EE">
              <w:tab/>
              <w:t>pomoč za boljše usklajevanje načina dajanja proizvodov na trg, zlasti z raziskavami in analizami trga;</w:t>
            </w:r>
          </w:p>
        </w:tc>
      </w:tr>
      <w:tr w:rsidR="007E5F3B" w:rsidRPr="009833EE" w14:paraId="58ED4AF8" w14:textId="77777777" w:rsidTr="007E5F3B">
        <w:trPr>
          <w:jc w:val="center"/>
        </w:trPr>
        <w:tc>
          <w:tcPr>
            <w:tcW w:w="4876" w:type="dxa"/>
          </w:tcPr>
          <w:p w14:paraId="4033DF6C" w14:textId="77777777" w:rsidR="007E5F3B" w:rsidRPr="009833EE" w:rsidRDefault="007E5F3B" w:rsidP="007E5F3B">
            <w:pPr>
              <w:pStyle w:val="Normal6"/>
            </w:pPr>
            <w:r w:rsidRPr="009833EE">
              <w:t>(iv)</w:t>
            </w:r>
            <w:r w:rsidRPr="009833EE">
              <w:tab/>
              <w:t>raziskovanje potencialnih izvoznih trgov;</w:t>
            </w:r>
          </w:p>
        </w:tc>
        <w:tc>
          <w:tcPr>
            <w:tcW w:w="4876" w:type="dxa"/>
          </w:tcPr>
          <w:p w14:paraId="210F0987" w14:textId="77777777" w:rsidR="007E5F3B" w:rsidRPr="009833EE" w:rsidRDefault="007E5F3B" w:rsidP="007E5F3B">
            <w:pPr>
              <w:pStyle w:val="Normal6"/>
              <w:rPr>
                <w:szCs w:val="24"/>
              </w:rPr>
            </w:pPr>
            <w:r w:rsidRPr="009833EE">
              <w:t>(iv)</w:t>
            </w:r>
            <w:r w:rsidRPr="009833EE">
              <w:tab/>
              <w:t>raziskovanje potencialnih izvoznih trgov;</w:t>
            </w:r>
          </w:p>
        </w:tc>
      </w:tr>
      <w:tr w:rsidR="007E5F3B" w:rsidRPr="009833EE" w14:paraId="1DFC34AB" w14:textId="77777777" w:rsidTr="007E5F3B">
        <w:trPr>
          <w:jc w:val="center"/>
        </w:trPr>
        <w:tc>
          <w:tcPr>
            <w:tcW w:w="4876" w:type="dxa"/>
          </w:tcPr>
          <w:p w14:paraId="2261FE83" w14:textId="77777777" w:rsidR="007E5F3B" w:rsidRPr="009833EE" w:rsidRDefault="007E5F3B" w:rsidP="007E5F3B">
            <w:pPr>
              <w:pStyle w:val="Normal6"/>
            </w:pPr>
            <w:r w:rsidRPr="009833EE">
              <w:t>(v)</w:t>
            </w:r>
            <w:r w:rsidRPr="009833EE">
              <w:tab/>
              <w:t>brez poseganja v člena 148 in 168 priprava standardnih oblik pogodb, usklajenih s predpisi Unije, za prodajo kmetijskih proizvodov kupcem in/ali dobavo predelanih proizvodov distributerjem in prodajalcem na drobno, ob upoštevanju potrebe po doseganju pravičnih konkurenčnih pogojev in preprečevanju izkrivljanja trga;</w:t>
            </w:r>
          </w:p>
        </w:tc>
        <w:tc>
          <w:tcPr>
            <w:tcW w:w="4876" w:type="dxa"/>
          </w:tcPr>
          <w:p w14:paraId="246DA914" w14:textId="77777777" w:rsidR="007E5F3B" w:rsidRPr="009833EE" w:rsidRDefault="007E5F3B" w:rsidP="007E5F3B">
            <w:pPr>
              <w:pStyle w:val="Normal6"/>
              <w:rPr>
                <w:szCs w:val="24"/>
              </w:rPr>
            </w:pPr>
            <w:r w:rsidRPr="009833EE">
              <w:t>(v)</w:t>
            </w:r>
            <w:r w:rsidRPr="009833EE">
              <w:tab/>
              <w:t>brez poseganja v člena 148 in 168 priprava standardnih oblik pogodb, usklajenih s predpisi Unije, za prodajo kmetijskih proizvodov kupcem in/ali dobavo predelanih proizvodov distributerjem in prodajalcem na drobno, ob upoštevanju potrebe po doseganju pravičnih konkurenčnih pogojev in preprečevanju izkrivljanja trga</w:t>
            </w:r>
            <w:r w:rsidRPr="009833EE">
              <w:rPr>
                <w:b/>
                <w:i/>
              </w:rPr>
              <w:t>. Te standardne oblike pogodb lahko vključujejo dve ali več podjetij, ki delujejo na različnih ravneh proizvodne, predelovalne ali distribucijske verige, ter vsebujejo ustrezne in zlahka razumljive kazalnike in gospodarske indekse ter metodo izračuna končne cene, določeno na podlagi ter ob upoštevanju ustreznih proizvodnih stroškov in njihovega razvoja, pri čemer se upoštevajo kategorije proizvodov in njihove različne tržne možnosti, kazalniki za vrednotenje proizvodov, cene kmetijskih proizvodov in živil na trgih in njihovo gibanje ter merila v zvezi s sestavo, kakovostjo, sledljivostjo in vsebino specifikacij proizvodov</w:t>
            </w:r>
            <w:r w:rsidRPr="009833EE">
              <w:t>;</w:t>
            </w:r>
          </w:p>
        </w:tc>
      </w:tr>
      <w:tr w:rsidR="007E5F3B" w:rsidRPr="009833EE" w14:paraId="515110A7" w14:textId="77777777" w:rsidTr="007E5F3B">
        <w:trPr>
          <w:jc w:val="center"/>
        </w:trPr>
        <w:tc>
          <w:tcPr>
            <w:tcW w:w="4876" w:type="dxa"/>
          </w:tcPr>
          <w:p w14:paraId="6F7D33C6" w14:textId="77777777" w:rsidR="007E5F3B" w:rsidRPr="009833EE" w:rsidRDefault="007E5F3B" w:rsidP="007E5F3B">
            <w:pPr>
              <w:pStyle w:val="Normal6"/>
            </w:pPr>
            <w:r w:rsidRPr="009833EE">
              <w:t>(vi)</w:t>
            </w:r>
            <w:r w:rsidRPr="009833EE">
              <w:tab/>
              <w:t>boljša izraba potenciala proizvodov, tudi na ravni prodajnih možnosti, in oblikovanje pobud za krepitev gospodarske konkurenčnosti in inovativnosti;</w:t>
            </w:r>
          </w:p>
        </w:tc>
        <w:tc>
          <w:tcPr>
            <w:tcW w:w="4876" w:type="dxa"/>
          </w:tcPr>
          <w:p w14:paraId="313820DA" w14:textId="77777777" w:rsidR="007E5F3B" w:rsidRPr="009833EE" w:rsidRDefault="007E5F3B" w:rsidP="007E5F3B">
            <w:pPr>
              <w:pStyle w:val="Normal6"/>
              <w:rPr>
                <w:szCs w:val="24"/>
              </w:rPr>
            </w:pPr>
            <w:r w:rsidRPr="009833EE">
              <w:t>(vi)</w:t>
            </w:r>
            <w:r w:rsidRPr="009833EE">
              <w:tab/>
              <w:t>boljša izraba potenciala proizvodov, tudi na ravni prodajnih možnosti, in oblikovanje pobud za krepitev gospodarske konkurenčnosti in inovativnosti;</w:t>
            </w:r>
          </w:p>
        </w:tc>
      </w:tr>
      <w:tr w:rsidR="007E5F3B" w:rsidRPr="009833EE" w14:paraId="4307C5A0" w14:textId="77777777" w:rsidTr="007E5F3B">
        <w:trPr>
          <w:jc w:val="center"/>
        </w:trPr>
        <w:tc>
          <w:tcPr>
            <w:tcW w:w="4876" w:type="dxa"/>
          </w:tcPr>
          <w:p w14:paraId="2DF8BF1F" w14:textId="77777777" w:rsidR="007E5F3B" w:rsidRPr="009833EE" w:rsidRDefault="007E5F3B" w:rsidP="007E5F3B">
            <w:pPr>
              <w:pStyle w:val="Normal6"/>
            </w:pPr>
            <w:r w:rsidRPr="009833EE">
              <w:t>(vii)</w:t>
            </w:r>
            <w:r w:rsidRPr="009833EE">
              <w:tab/>
              <w:t>zagotavljanje informacij in izvajanje raziskav, potrebnih za inovativnost, racionalizacijo, izboljšanje in prilagajanje proizvodnje ter, kjer je ustrezno, predelave in trženja, tako da bodo proizvodi bolj ustrezali zahtevam trga ter okusu in pričakovanju potrošnikov, zlasti glede kakovosti proizvodov, vključno s posebnimi lastnostmi proizvodov z zaščiteno označbo porekla ali zaščiteno geografsko označbo, in varstva okolja;</w:t>
            </w:r>
          </w:p>
        </w:tc>
        <w:tc>
          <w:tcPr>
            <w:tcW w:w="4876" w:type="dxa"/>
          </w:tcPr>
          <w:p w14:paraId="3AC8C3AE" w14:textId="77777777" w:rsidR="007E5F3B" w:rsidRPr="009833EE" w:rsidRDefault="007E5F3B" w:rsidP="007E5F3B">
            <w:pPr>
              <w:pStyle w:val="Normal6"/>
              <w:rPr>
                <w:szCs w:val="24"/>
              </w:rPr>
            </w:pPr>
            <w:r w:rsidRPr="009833EE">
              <w:t>(vii)</w:t>
            </w:r>
            <w:r w:rsidRPr="009833EE">
              <w:tab/>
              <w:t>zagotavljanje informacij in izvajanje raziskav, potrebnih za inovativnost, racionalizacijo, izboljšanje in prilagajanje proizvodnje ter, kjer je ustrezno, predelave in trženja, tako da bodo proizvodi bolj ustrezali zahtevam trga ter okusu in pričakovanju potrošnikov, zlasti glede kakovosti proizvodov, vključno s posebnimi lastnostmi proizvodov z zaščiteno označbo porekla ali zaščiteno geografsko označbo, in varstva okolja</w:t>
            </w:r>
            <w:r w:rsidRPr="009833EE">
              <w:rPr>
                <w:b/>
                <w:i/>
              </w:rPr>
              <w:t>, podnebnih ukrepov ter zdravja in dobrobiti živali</w:t>
            </w:r>
            <w:r w:rsidRPr="009833EE">
              <w:t>;</w:t>
            </w:r>
          </w:p>
        </w:tc>
      </w:tr>
      <w:tr w:rsidR="007E5F3B" w:rsidRPr="009833EE" w14:paraId="2E77CC1D" w14:textId="77777777" w:rsidTr="007E5F3B">
        <w:trPr>
          <w:jc w:val="center"/>
        </w:trPr>
        <w:tc>
          <w:tcPr>
            <w:tcW w:w="4876" w:type="dxa"/>
          </w:tcPr>
          <w:p w14:paraId="1C3555AE" w14:textId="77777777" w:rsidR="007E5F3B" w:rsidRPr="009833EE" w:rsidRDefault="007E5F3B" w:rsidP="007E5F3B">
            <w:pPr>
              <w:pStyle w:val="Normal6"/>
            </w:pPr>
            <w:r w:rsidRPr="009833EE">
              <w:t>(viii)</w:t>
            </w:r>
            <w:r w:rsidRPr="009833EE">
              <w:tab/>
              <w:t>iskanje načinov za omejitev uporabe sredstev za zaščito zdravja živali in fitofarmacevtskih sredstev, boljše upravljanje drugih vložkov v proizvodnjo, zagotavljanje kakovosti proizvodov in varstva tal in vode, spodbujanje varnosti hrane, predvsem s sledljivostjo proizvodov, ter izboljšanje zdravja in dobrobiti živali;</w:t>
            </w:r>
          </w:p>
        </w:tc>
        <w:tc>
          <w:tcPr>
            <w:tcW w:w="4876" w:type="dxa"/>
          </w:tcPr>
          <w:p w14:paraId="4524C3C9" w14:textId="77777777" w:rsidR="007E5F3B" w:rsidRPr="009833EE" w:rsidRDefault="007E5F3B" w:rsidP="007E5F3B">
            <w:pPr>
              <w:pStyle w:val="Normal6"/>
              <w:rPr>
                <w:szCs w:val="24"/>
              </w:rPr>
            </w:pPr>
            <w:r w:rsidRPr="009833EE">
              <w:t>(viii)</w:t>
            </w:r>
            <w:r w:rsidRPr="009833EE">
              <w:tab/>
              <w:t>iskanje načinov za omejitev uporabe sredstev za zaščito zdravja živali in fitofarmacevtskih sredstev, boljše upravljanje drugih vložkov v proizvodnjo, zagotavljanje kakovosti proizvodov in varstva tal in vode, spodbujanje varnosti hrane, predvsem s sledljivostjo proizvodov, ter izboljšanje zdravja in dobrobiti živali;</w:t>
            </w:r>
          </w:p>
        </w:tc>
      </w:tr>
      <w:tr w:rsidR="007E5F3B" w:rsidRPr="009833EE" w14:paraId="565480C2" w14:textId="77777777" w:rsidTr="007E5F3B">
        <w:trPr>
          <w:jc w:val="center"/>
        </w:trPr>
        <w:tc>
          <w:tcPr>
            <w:tcW w:w="4876" w:type="dxa"/>
          </w:tcPr>
          <w:p w14:paraId="44DE430F" w14:textId="77777777" w:rsidR="007E5F3B" w:rsidRPr="009833EE" w:rsidRDefault="007E5F3B" w:rsidP="007E5F3B">
            <w:pPr>
              <w:pStyle w:val="Normal6"/>
            </w:pPr>
            <w:r w:rsidRPr="009833EE">
              <w:t>(ix)</w:t>
            </w:r>
            <w:r w:rsidRPr="009833EE">
              <w:tab/>
              <w:t>razvoj metod in instrumentov za izboljšanje kakovosti proizvodov v vseh fazah proizvodnje ter predelave in trženja, kadar je to ustrezno;</w:t>
            </w:r>
          </w:p>
        </w:tc>
        <w:tc>
          <w:tcPr>
            <w:tcW w:w="4876" w:type="dxa"/>
          </w:tcPr>
          <w:p w14:paraId="1DBF7E14" w14:textId="77777777" w:rsidR="007E5F3B" w:rsidRPr="009833EE" w:rsidRDefault="007E5F3B" w:rsidP="007E5F3B">
            <w:pPr>
              <w:pStyle w:val="Normal6"/>
              <w:rPr>
                <w:szCs w:val="24"/>
              </w:rPr>
            </w:pPr>
            <w:r w:rsidRPr="009833EE">
              <w:t>(ix)</w:t>
            </w:r>
            <w:r w:rsidRPr="009833EE">
              <w:tab/>
              <w:t>razvoj metod in instrumentov za izboljšanje kakovosti proizvodov v vseh fazah proizvodnje ter predelave in trženja, kadar je to ustrezno;</w:t>
            </w:r>
          </w:p>
        </w:tc>
      </w:tr>
      <w:tr w:rsidR="007E5F3B" w:rsidRPr="009833EE" w14:paraId="51A78D02" w14:textId="77777777" w:rsidTr="007E5F3B">
        <w:trPr>
          <w:jc w:val="center"/>
        </w:trPr>
        <w:tc>
          <w:tcPr>
            <w:tcW w:w="4876" w:type="dxa"/>
          </w:tcPr>
          <w:p w14:paraId="02DC74DD" w14:textId="77777777" w:rsidR="007E5F3B" w:rsidRPr="009833EE" w:rsidRDefault="007E5F3B" w:rsidP="007E5F3B">
            <w:pPr>
              <w:pStyle w:val="Normal6"/>
            </w:pPr>
            <w:r w:rsidRPr="009833EE">
              <w:t>(x)</w:t>
            </w:r>
            <w:r w:rsidRPr="009833EE">
              <w:tab/>
              <w:t>kakršno koli ukrepanje za zaščito, varstvo in spodbujanje ekološkega kmetovanja ter označb porekla, oznak kakovosti in geografskih označb;</w:t>
            </w:r>
          </w:p>
        </w:tc>
        <w:tc>
          <w:tcPr>
            <w:tcW w:w="4876" w:type="dxa"/>
          </w:tcPr>
          <w:p w14:paraId="5E7BE25A" w14:textId="77777777" w:rsidR="007E5F3B" w:rsidRPr="009833EE" w:rsidRDefault="007E5F3B" w:rsidP="007E5F3B">
            <w:pPr>
              <w:pStyle w:val="Normal6"/>
              <w:rPr>
                <w:szCs w:val="24"/>
              </w:rPr>
            </w:pPr>
            <w:r w:rsidRPr="009833EE">
              <w:t>(x)</w:t>
            </w:r>
            <w:r w:rsidRPr="009833EE">
              <w:tab/>
              <w:t>kakršno koli ukrepanje za zaščito, varstvo in spodbujanje ekološkega kmetovanja ter označb porekla, oznak kakovosti in geografskih označb;</w:t>
            </w:r>
          </w:p>
        </w:tc>
      </w:tr>
      <w:tr w:rsidR="007E5F3B" w:rsidRPr="009833EE" w14:paraId="0F007FC4" w14:textId="77777777" w:rsidTr="007E5F3B">
        <w:trPr>
          <w:jc w:val="center"/>
        </w:trPr>
        <w:tc>
          <w:tcPr>
            <w:tcW w:w="4876" w:type="dxa"/>
          </w:tcPr>
          <w:p w14:paraId="23D96F4D" w14:textId="77777777" w:rsidR="007E5F3B" w:rsidRPr="009833EE" w:rsidRDefault="007E5F3B" w:rsidP="007E5F3B">
            <w:pPr>
              <w:pStyle w:val="Normal6"/>
            </w:pPr>
            <w:r w:rsidRPr="009833EE">
              <w:t>(xi)</w:t>
            </w:r>
            <w:r w:rsidRPr="009833EE">
              <w:tab/>
              <w:t>spodbujanje in raziskovanje integrirane, trajnostne pridelave ali drugih okolju prijaznih načinov pridelave;</w:t>
            </w:r>
          </w:p>
        </w:tc>
        <w:tc>
          <w:tcPr>
            <w:tcW w:w="4876" w:type="dxa"/>
          </w:tcPr>
          <w:p w14:paraId="678FB430" w14:textId="77777777" w:rsidR="007E5F3B" w:rsidRPr="009833EE" w:rsidRDefault="007E5F3B" w:rsidP="007E5F3B">
            <w:pPr>
              <w:pStyle w:val="Normal6"/>
              <w:rPr>
                <w:szCs w:val="24"/>
              </w:rPr>
            </w:pPr>
            <w:r w:rsidRPr="009833EE">
              <w:t>(xi)</w:t>
            </w:r>
            <w:r w:rsidRPr="009833EE">
              <w:tab/>
              <w:t>spodbujanje in raziskovanje integrirane, trajnostne pridelave ali drugih okolju prijaznih načinov pridelave;</w:t>
            </w:r>
          </w:p>
        </w:tc>
      </w:tr>
      <w:tr w:rsidR="007E5F3B" w:rsidRPr="009833EE" w14:paraId="5938CC98" w14:textId="77777777" w:rsidTr="007E5F3B">
        <w:trPr>
          <w:jc w:val="center"/>
        </w:trPr>
        <w:tc>
          <w:tcPr>
            <w:tcW w:w="4876" w:type="dxa"/>
          </w:tcPr>
          <w:p w14:paraId="21322C04" w14:textId="77777777" w:rsidR="007E5F3B" w:rsidRPr="009833EE" w:rsidRDefault="007E5F3B" w:rsidP="007E5F3B">
            <w:pPr>
              <w:pStyle w:val="Normal6"/>
            </w:pPr>
            <w:r w:rsidRPr="009833EE">
              <w:t>(xii)</w:t>
            </w:r>
            <w:r w:rsidRPr="009833EE">
              <w:tab/>
              <w:t>spodbujanje zdrave in odgovorne potrošnje proizvodov na notranjem trgu in/ali obveščanje o škodljivosti nezdravih vzorcev uživanja;</w:t>
            </w:r>
          </w:p>
        </w:tc>
        <w:tc>
          <w:tcPr>
            <w:tcW w:w="4876" w:type="dxa"/>
          </w:tcPr>
          <w:p w14:paraId="1CCF5691" w14:textId="77777777" w:rsidR="007E5F3B" w:rsidRPr="009833EE" w:rsidRDefault="007E5F3B" w:rsidP="007E5F3B">
            <w:pPr>
              <w:pStyle w:val="Normal6"/>
              <w:rPr>
                <w:szCs w:val="24"/>
              </w:rPr>
            </w:pPr>
            <w:r w:rsidRPr="009833EE">
              <w:t>(xii)</w:t>
            </w:r>
            <w:r w:rsidRPr="009833EE">
              <w:tab/>
              <w:t>spodbujanje zdrave in odgovorne potrošnje proizvodov na notranjem trgu in/ali obveščanje o škodljivosti nezdravih vzorcev uživanja;</w:t>
            </w:r>
          </w:p>
        </w:tc>
      </w:tr>
      <w:tr w:rsidR="007E5F3B" w:rsidRPr="009833EE" w14:paraId="26FFB850" w14:textId="77777777" w:rsidTr="007E5F3B">
        <w:trPr>
          <w:jc w:val="center"/>
        </w:trPr>
        <w:tc>
          <w:tcPr>
            <w:tcW w:w="4876" w:type="dxa"/>
          </w:tcPr>
          <w:p w14:paraId="730DCDD7" w14:textId="77777777" w:rsidR="007E5F3B" w:rsidRPr="009833EE" w:rsidRDefault="007E5F3B" w:rsidP="007E5F3B">
            <w:pPr>
              <w:pStyle w:val="Normal6"/>
            </w:pPr>
            <w:r w:rsidRPr="009833EE">
              <w:t>(xiii)</w:t>
            </w:r>
            <w:r w:rsidRPr="009833EE">
              <w:tab/>
              <w:t>spodbujanje potrošnje proizvodov na notranjem in na zunanjem trgu in/ali zagotavljanje informacij o njih;</w:t>
            </w:r>
          </w:p>
        </w:tc>
        <w:tc>
          <w:tcPr>
            <w:tcW w:w="4876" w:type="dxa"/>
          </w:tcPr>
          <w:p w14:paraId="739E9D26" w14:textId="77777777" w:rsidR="007E5F3B" w:rsidRPr="009833EE" w:rsidRDefault="007E5F3B" w:rsidP="007E5F3B">
            <w:pPr>
              <w:pStyle w:val="Normal6"/>
              <w:rPr>
                <w:szCs w:val="24"/>
              </w:rPr>
            </w:pPr>
            <w:r w:rsidRPr="009833EE">
              <w:t>(xiii)</w:t>
            </w:r>
            <w:r w:rsidRPr="009833EE">
              <w:tab/>
              <w:t>spodbujanje potrošnje proizvodov na notranjem in na zunanjem trgu in/ali zagotavljanje informacij o njih;</w:t>
            </w:r>
          </w:p>
        </w:tc>
      </w:tr>
      <w:tr w:rsidR="007E5F3B" w:rsidRPr="009833EE" w14:paraId="1576953C" w14:textId="77777777" w:rsidTr="007E5F3B">
        <w:trPr>
          <w:jc w:val="center"/>
        </w:trPr>
        <w:tc>
          <w:tcPr>
            <w:tcW w:w="4876" w:type="dxa"/>
          </w:tcPr>
          <w:p w14:paraId="3B4E9221" w14:textId="77777777" w:rsidR="007E5F3B" w:rsidRPr="009833EE" w:rsidRDefault="007E5F3B" w:rsidP="007E5F3B">
            <w:pPr>
              <w:pStyle w:val="Normal6"/>
            </w:pPr>
            <w:r w:rsidRPr="009833EE">
              <w:t>(xiv)</w:t>
            </w:r>
            <w:r w:rsidRPr="009833EE">
              <w:tab/>
              <w:t>prispevanje k ravnanju s stranskimi proizvodi ter zmanjševanju odpadkov in ravnanju z njimi.</w:t>
            </w:r>
          </w:p>
        </w:tc>
        <w:tc>
          <w:tcPr>
            <w:tcW w:w="4876" w:type="dxa"/>
          </w:tcPr>
          <w:p w14:paraId="5048D740" w14:textId="77777777" w:rsidR="007E5F3B" w:rsidRPr="009833EE" w:rsidRDefault="007E5F3B" w:rsidP="007E5F3B">
            <w:pPr>
              <w:pStyle w:val="Normal6"/>
              <w:rPr>
                <w:szCs w:val="24"/>
              </w:rPr>
            </w:pPr>
            <w:r w:rsidRPr="009833EE">
              <w:t>(xiv)</w:t>
            </w:r>
            <w:r w:rsidRPr="009833EE">
              <w:tab/>
              <w:t xml:space="preserve">prispevanje k ravnanju s stranskimi proizvodi </w:t>
            </w:r>
            <w:r w:rsidRPr="009833EE">
              <w:rPr>
                <w:b/>
                <w:i/>
              </w:rPr>
              <w:t>in oblikovanje pobud za njihovo valorizacijo</w:t>
            </w:r>
            <w:r w:rsidRPr="009833EE">
              <w:t xml:space="preserve"> ter k zmanjševanju odpadkov in ravnanju z njimi;</w:t>
            </w:r>
          </w:p>
        </w:tc>
      </w:tr>
      <w:tr w:rsidR="007E5F3B" w:rsidRPr="009833EE" w14:paraId="7C4328C9" w14:textId="77777777" w:rsidTr="007E5F3B">
        <w:trPr>
          <w:jc w:val="center"/>
        </w:trPr>
        <w:tc>
          <w:tcPr>
            <w:tcW w:w="4876" w:type="dxa"/>
          </w:tcPr>
          <w:p w14:paraId="0147D041" w14:textId="77777777" w:rsidR="007E5F3B" w:rsidRPr="009833EE" w:rsidRDefault="007E5F3B" w:rsidP="007E5F3B">
            <w:pPr>
              <w:pStyle w:val="Normal6"/>
            </w:pPr>
            <w:r w:rsidRPr="009833EE">
              <w:t>(xv)</w:t>
            </w:r>
            <w:r w:rsidRPr="009833EE">
              <w:tab/>
              <w:t xml:space="preserve">uvedbo </w:t>
            </w:r>
            <w:r w:rsidRPr="009833EE">
              <w:rPr>
                <w:b/>
                <w:i/>
              </w:rPr>
              <w:t xml:space="preserve">standardnih klavzul </w:t>
            </w:r>
            <w:r w:rsidRPr="009833EE">
              <w:t>o porazdelitvi vrednosti</w:t>
            </w:r>
            <w:r w:rsidRPr="009833EE">
              <w:rPr>
                <w:b/>
                <w:i/>
              </w:rPr>
              <w:t xml:space="preserve"> v smislu člena 172a</w:t>
            </w:r>
            <w:r w:rsidRPr="009833EE">
              <w:t>, vključno s tržnimi bonusi in izgubami, ki določajo, kako se razvoj relevantnih tržnih cen za zadevne proizvode ali drugih trgov primarnih proizvodov porazdeli</w:t>
            </w:r>
            <w:r w:rsidRPr="009833EE">
              <w:rPr>
                <w:b/>
                <w:i/>
              </w:rPr>
              <w:t xml:space="preserve"> med njimi</w:t>
            </w:r>
            <w:r w:rsidRPr="009833EE">
              <w:t>;</w:t>
            </w:r>
          </w:p>
        </w:tc>
        <w:tc>
          <w:tcPr>
            <w:tcW w:w="4876" w:type="dxa"/>
          </w:tcPr>
          <w:p w14:paraId="3B0CFC98" w14:textId="77777777" w:rsidR="007E5F3B" w:rsidRPr="009833EE" w:rsidRDefault="007E5F3B" w:rsidP="007E5F3B">
            <w:pPr>
              <w:pStyle w:val="Normal6"/>
              <w:rPr>
                <w:szCs w:val="24"/>
              </w:rPr>
            </w:pPr>
            <w:r w:rsidRPr="009833EE">
              <w:t>(xv)</w:t>
            </w:r>
            <w:r w:rsidRPr="009833EE">
              <w:tab/>
              <w:t xml:space="preserve">uvedbo </w:t>
            </w:r>
            <w:r w:rsidRPr="009833EE">
              <w:rPr>
                <w:b/>
                <w:i/>
              </w:rPr>
              <w:t>pravil</w:t>
            </w:r>
            <w:r w:rsidRPr="009833EE">
              <w:t xml:space="preserve"> o porazdelitvi vrednosti </w:t>
            </w:r>
            <w:r w:rsidRPr="009833EE">
              <w:rPr>
                <w:b/>
                <w:i/>
              </w:rPr>
              <w:t>med izvajalci v dobavni verigi</w:t>
            </w:r>
            <w:r w:rsidRPr="009833EE">
              <w:t>, vključno s tržnimi bonusi in izgubami, ki določajo, kako se razvoj relevantnih tržnih cen za zadevne proizvode ali drugih trgov primarnih proizvodov porazdeli</w:t>
            </w:r>
            <w:r w:rsidRPr="009833EE">
              <w:rPr>
                <w:b/>
                <w:i/>
              </w:rPr>
              <w:t>. Ta pravila so lahko standardne klavzule o porazdelitvi vrednosti v smislu člena 172a ali pa vključujejo ekonomske kazalnike ali se nanašajo nanje, na primer zadevne stroške proizvodnje in trženja ter njihov razvoj, cene kmetijskih in živilskih proizvodov, zabeležene na zadevnem trgu oziroma zadevnih trgih, ter njihov razvoj in količine, sestavo, kakovost, sledljivost ali ugled zadevnih proizvodov, ter upoštevajo stroške proizvodnje;</w:t>
            </w:r>
          </w:p>
        </w:tc>
      </w:tr>
      <w:tr w:rsidR="007E5F3B" w:rsidRPr="009833EE" w14:paraId="422B0259" w14:textId="77777777" w:rsidTr="007E5F3B">
        <w:trPr>
          <w:jc w:val="center"/>
        </w:trPr>
        <w:tc>
          <w:tcPr>
            <w:tcW w:w="4876" w:type="dxa"/>
          </w:tcPr>
          <w:p w14:paraId="37809CF5" w14:textId="77777777" w:rsidR="007E5F3B" w:rsidRPr="009833EE" w:rsidRDefault="007E5F3B" w:rsidP="007E5F3B">
            <w:pPr>
              <w:pStyle w:val="Normal6"/>
            </w:pPr>
          </w:p>
        </w:tc>
        <w:tc>
          <w:tcPr>
            <w:tcW w:w="4876" w:type="dxa"/>
          </w:tcPr>
          <w:p w14:paraId="5C12393F" w14:textId="77777777" w:rsidR="007E5F3B" w:rsidRPr="009833EE" w:rsidRDefault="007E5F3B" w:rsidP="007E5F3B">
            <w:pPr>
              <w:pStyle w:val="Normal6"/>
              <w:rPr>
                <w:szCs w:val="24"/>
              </w:rPr>
            </w:pPr>
            <w:r w:rsidRPr="009833EE">
              <w:rPr>
                <w:b/>
                <w:i/>
              </w:rPr>
              <w:t>(xva)</w:t>
            </w:r>
            <w:r w:rsidRPr="009833EE">
              <w:rPr>
                <w:b/>
                <w:i/>
              </w:rPr>
              <w:tab/>
              <w:t>določitev standardnih klavzul o poštenem nadomestilu za stroške, ki jih imajo kmetje zaradi izpolnjevanja zahtev v zvezi z okoljem, podnebjem, zdravjem in dobrobitjo živali, ki niso zakonsko določene, vključno z metodami za izračun teh stroškov;</w:t>
            </w:r>
          </w:p>
        </w:tc>
      </w:tr>
      <w:tr w:rsidR="007E5F3B" w:rsidRPr="009833EE" w14:paraId="2A8A8155" w14:textId="77777777" w:rsidTr="007E5F3B">
        <w:trPr>
          <w:jc w:val="center"/>
        </w:trPr>
        <w:tc>
          <w:tcPr>
            <w:tcW w:w="4876" w:type="dxa"/>
          </w:tcPr>
          <w:p w14:paraId="0705EFB8" w14:textId="77777777" w:rsidR="007E5F3B" w:rsidRPr="009833EE" w:rsidRDefault="007E5F3B" w:rsidP="007E5F3B">
            <w:pPr>
              <w:pStyle w:val="Normal6"/>
            </w:pPr>
            <w:r w:rsidRPr="009833EE">
              <w:t xml:space="preserve">(xvi) </w:t>
            </w:r>
            <w:r w:rsidRPr="009833EE">
              <w:tab/>
              <w:t>izvajanje ukrepov za preprečevanje in obvladovanje tveganj v zvezi z zdravjem živali ter fitosanitarnih in okoljskih tveganj.</w:t>
            </w:r>
          </w:p>
        </w:tc>
        <w:tc>
          <w:tcPr>
            <w:tcW w:w="4876" w:type="dxa"/>
          </w:tcPr>
          <w:p w14:paraId="09CA2217" w14:textId="77777777" w:rsidR="007E5F3B" w:rsidRPr="009833EE" w:rsidRDefault="007E5F3B" w:rsidP="007E5F3B">
            <w:pPr>
              <w:pStyle w:val="Normal6"/>
              <w:rPr>
                <w:szCs w:val="24"/>
              </w:rPr>
            </w:pPr>
            <w:r w:rsidRPr="009833EE">
              <w:rPr>
                <w:b/>
                <w:i/>
              </w:rPr>
              <w:t>(xvi)</w:t>
            </w:r>
            <w:r w:rsidRPr="009833EE">
              <w:rPr>
                <w:b/>
                <w:i/>
              </w:rPr>
              <w:tab/>
              <w:t xml:space="preserve">spodbujanje in </w:t>
            </w:r>
            <w:r w:rsidRPr="009833EE">
              <w:t>izvajanje ukrepov za preprečevanje</w:t>
            </w:r>
            <w:r w:rsidRPr="009833EE">
              <w:rPr>
                <w:b/>
                <w:i/>
              </w:rPr>
              <w:t xml:space="preserve">, nadzor </w:t>
            </w:r>
            <w:r w:rsidRPr="009833EE">
              <w:t>in obvladovanje tveganj v zvezi z zdravjem živali ter fitosanitarnih in okoljskih tveganj</w:t>
            </w:r>
            <w:r w:rsidRPr="009833EE">
              <w:rPr>
                <w:b/>
                <w:i/>
              </w:rPr>
              <w:t>, vključno z ustanovitvijo in upravljanjem vzajemnih skladov ali prispevanjem k tem skladom z namenom plačila finančnega nadomestila kmetom za stroške in ekonomske izgube, nastale zaradi spodbujanja in izvajanja teh ukrepov;</w:t>
            </w:r>
          </w:p>
        </w:tc>
      </w:tr>
      <w:tr w:rsidR="007E5F3B" w:rsidRPr="009833EE" w14:paraId="794566D0" w14:textId="77777777" w:rsidTr="007E5F3B">
        <w:trPr>
          <w:jc w:val="center"/>
        </w:trPr>
        <w:tc>
          <w:tcPr>
            <w:tcW w:w="4876" w:type="dxa"/>
          </w:tcPr>
          <w:p w14:paraId="1E905D77" w14:textId="77777777" w:rsidR="007E5F3B" w:rsidRPr="009833EE" w:rsidRDefault="007E5F3B" w:rsidP="007E5F3B">
            <w:pPr>
              <w:pStyle w:val="Normal6"/>
            </w:pPr>
          </w:p>
        </w:tc>
        <w:tc>
          <w:tcPr>
            <w:tcW w:w="4876" w:type="dxa"/>
          </w:tcPr>
          <w:p w14:paraId="235E71ED" w14:textId="77777777" w:rsidR="007E5F3B" w:rsidRPr="009833EE" w:rsidRDefault="007E5F3B" w:rsidP="007E5F3B">
            <w:pPr>
              <w:pStyle w:val="Normal6"/>
              <w:rPr>
                <w:szCs w:val="24"/>
              </w:rPr>
            </w:pPr>
            <w:r w:rsidRPr="009833EE">
              <w:rPr>
                <w:b/>
                <w:i/>
              </w:rPr>
              <w:t>(xvia)</w:t>
            </w:r>
            <w:r w:rsidRPr="009833EE">
              <w:rPr>
                <w:b/>
                <w:i/>
              </w:rPr>
              <w:tab/>
              <w:t>prispevanje k preglednim trgovinskim odnosom na različnih stopnjah verige, predvsem s pripravo, izvajanjem in nadzorom tehničnih standardov s strani izvajalcev v sektorju.</w:t>
            </w:r>
          </w:p>
        </w:tc>
      </w:tr>
      <w:tr w:rsidR="007E5F3B" w:rsidRPr="009833EE" w14:paraId="1E817715" w14:textId="77777777" w:rsidTr="007E5F3B">
        <w:trPr>
          <w:jc w:val="center"/>
        </w:trPr>
        <w:tc>
          <w:tcPr>
            <w:tcW w:w="4876" w:type="dxa"/>
          </w:tcPr>
          <w:p w14:paraId="768631F8" w14:textId="77777777" w:rsidR="007E5F3B" w:rsidRPr="009833EE" w:rsidRDefault="007E5F3B" w:rsidP="007E5F3B">
            <w:pPr>
              <w:pStyle w:val="Normal6"/>
            </w:pPr>
            <w:r w:rsidRPr="009833EE">
              <w:t xml:space="preserve">1a. </w:t>
            </w:r>
            <w:r w:rsidRPr="009833EE">
              <w:tab/>
              <w:t>Države članice lahko na zahtevo odločijo, da medpanožni organizaciji, ki deluje v več sektorjih iz člena 1(2), odobrijo več kot eno priznanje, pod pogojem, da ta organizacija izpolnjuje pogoje iz odstavka 1 in po potrebi tudi iz odstavka 3 za vsak sektor, za katerega želi biti priznana.</w:t>
            </w:r>
          </w:p>
        </w:tc>
        <w:tc>
          <w:tcPr>
            <w:tcW w:w="4876" w:type="dxa"/>
          </w:tcPr>
          <w:p w14:paraId="1537F367" w14:textId="77777777" w:rsidR="007E5F3B" w:rsidRPr="009833EE" w:rsidRDefault="007E5F3B" w:rsidP="007E5F3B">
            <w:pPr>
              <w:pStyle w:val="Normal6"/>
              <w:rPr>
                <w:szCs w:val="24"/>
              </w:rPr>
            </w:pPr>
            <w:r w:rsidRPr="009833EE">
              <w:t>1a.</w:t>
            </w:r>
            <w:r w:rsidRPr="009833EE">
              <w:tab/>
              <w:t>Države članice lahko na zahtevo odločijo, da medpanožni organizaciji, ki deluje v več sektorjih iz člena 1(2), odobrijo več kot eno priznanje, pod pogojem, da ta organizacija izpolnjuje pogoje iz odstavka 1 in po potrebi tudi iz odstavka 3 za vsak sektor, za katerega želi biti priznana.</w:t>
            </w:r>
          </w:p>
        </w:tc>
      </w:tr>
      <w:tr w:rsidR="007E5F3B" w:rsidRPr="009833EE" w14:paraId="51A558C2" w14:textId="77777777" w:rsidTr="007E5F3B">
        <w:trPr>
          <w:jc w:val="center"/>
        </w:trPr>
        <w:tc>
          <w:tcPr>
            <w:tcW w:w="4876" w:type="dxa"/>
          </w:tcPr>
          <w:p w14:paraId="67C2311A" w14:textId="77777777" w:rsidR="007E5F3B" w:rsidRPr="009833EE" w:rsidRDefault="007E5F3B" w:rsidP="007E5F3B">
            <w:pPr>
              <w:pStyle w:val="Normal6"/>
            </w:pPr>
            <w:r w:rsidRPr="009833EE">
              <w:t>2.</w:t>
            </w:r>
            <w:r w:rsidRPr="009833EE">
              <w:tab/>
              <w:t>Države članice lahko v ustrezno utemeljenih primerih ter na podlagi objektivnih in nediskriminatornih meril odločijo, da je pogoj iz točke (c) člena 158(1) izpolnjen z omejitvijo števila medpanožnih organizacij na regionalni ali nacionalni ravni, če je tako določeno z nacionalnimi predpisi, veljavnimi pred 1. januarjem 2014, in to ne škoduje pravilnemu delovanju notranjega trga.</w:t>
            </w:r>
          </w:p>
        </w:tc>
        <w:tc>
          <w:tcPr>
            <w:tcW w:w="4876" w:type="dxa"/>
          </w:tcPr>
          <w:p w14:paraId="1FE28F6F" w14:textId="77777777" w:rsidR="007E5F3B" w:rsidRPr="009833EE" w:rsidRDefault="007E5F3B" w:rsidP="007E5F3B">
            <w:pPr>
              <w:pStyle w:val="Normal6"/>
              <w:rPr>
                <w:szCs w:val="24"/>
              </w:rPr>
            </w:pPr>
            <w:r w:rsidRPr="009833EE">
              <w:t>2.</w:t>
            </w:r>
            <w:r w:rsidRPr="009833EE">
              <w:tab/>
              <w:t>Države članice lahko v ustrezno utemeljenih primerih ter na podlagi objektivnih in nediskriminatornih meril odločijo, da je pogoj iz točke (c) člena 158(1) izpolnjen z omejitvijo števila medpanožnih organizacij na regionalni ali nacionalni ravni, če je tako določeno z nacionalnimi predpisi, veljavnimi pred 1. januarjem 2014, in to ne škoduje pravilnemu delovanju notranjega trga.</w:t>
            </w:r>
            <w:r w:rsidRPr="009833EE">
              <w:rPr>
                <w:b/>
                <w:i/>
              </w:rPr>
              <w:t>“</w:t>
            </w:r>
          </w:p>
        </w:tc>
      </w:tr>
      <w:tr w:rsidR="007E5F3B" w:rsidRPr="009833EE" w14:paraId="6ABD8ACA" w14:textId="77777777" w:rsidTr="007E5F3B">
        <w:trPr>
          <w:jc w:val="center"/>
        </w:trPr>
        <w:tc>
          <w:tcPr>
            <w:tcW w:w="4876" w:type="dxa"/>
          </w:tcPr>
          <w:p w14:paraId="4F4AF699" w14:textId="77777777" w:rsidR="007E5F3B" w:rsidRPr="00517420" w:rsidRDefault="007E5F3B" w:rsidP="007E5F3B">
            <w:pPr>
              <w:pStyle w:val="Normal6"/>
            </w:pPr>
            <w:r w:rsidRPr="00517420">
              <w:rPr>
                <w:b/>
                <w:i/>
              </w:rPr>
              <w:t>3.</w:t>
            </w:r>
            <w:r w:rsidRPr="00517420">
              <w:rPr>
                <w:b/>
                <w:i/>
              </w:rPr>
              <w:tab/>
              <w:t>Kar zadeva sektor mleka in mlečnih proizvodov, lahko države članice z odstopanjem od odstavka 1 priznajo medpanožne organizacije, ki:</w:t>
            </w:r>
          </w:p>
        </w:tc>
        <w:tc>
          <w:tcPr>
            <w:tcW w:w="4876" w:type="dxa"/>
          </w:tcPr>
          <w:p w14:paraId="09E3298C" w14:textId="77777777" w:rsidR="007E5F3B" w:rsidRPr="009833EE" w:rsidRDefault="007E5F3B" w:rsidP="007E5F3B">
            <w:pPr>
              <w:pStyle w:val="Normal6"/>
              <w:rPr>
                <w:szCs w:val="24"/>
              </w:rPr>
            </w:pPr>
          </w:p>
        </w:tc>
      </w:tr>
      <w:tr w:rsidR="007E5F3B" w:rsidRPr="009833EE" w14:paraId="06E2952B" w14:textId="77777777" w:rsidTr="007E5F3B">
        <w:trPr>
          <w:jc w:val="center"/>
        </w:trPr>
        <w:tc>
          <w:tcPr>
            <w:tcW w:w="4876" w:type="dxa"/>
          </w:tcPr>
          <w:p w14:paraId="04826AA9" w14:textId="77777777" w:rsidR="007E5F3B" w:rsidRPr="00517420" w:rsidRDefault="007E5F3B" w:rsidP="007E5F3B">
            <w:pPr>
              <w:pStyle w:val="Normal6"/>
            </w:pPr>
            <w:r w:rsidRPr="00517420">
              <w:rPr>
                <w:b/>
                <w:i/>
              </w:rPr>
              <w:t>(a)</w:t>
            </w:r>
            <w:r w:rsidRPr="00517420">
              <w:rPr>
                <w:b/>
                <w:i/>
              </w:rPr>
              <w:tab/>
              <w:t>so uradno zahtevale priznanje in jih sestavljajo predstavniki gospodarskih dejavnosti, povezanih s proizvodnjo surovega mleka in najmanj eno od naslednjih faz v dobavni verigi: predelavo proizvodov iz sektorja mleka in mlečnih proizvodov, trgovino z njimi, vključno z njihovo distribucijo;</w:t>
            </w:r>
          </w:p>
        </w:tc>
        <w:tc>
          <w:tcPr>
            <w:tcW w:w="4876" w:type="dxa"/>
          </w:tcPr>
          <w:p w14:paraId="1A4291DD" w14:textId="77777777" w:rsidR="007E5F3B" w:rsidRPr="009833EE" w:rsidRDefault="007E5F3B" w:rsidP="007E5F3B">
            <w:pPr>
              <w:pStyle w:val="Normal6"/>
              <w:rPr>
                <w:szCs w:val="24"/>
              </w:rPr>
            </w:pPr>
          </w:p>
        </w:tc>
      </w:tr>
      <w:tr w:rsidR="007E5F3B" w:rsidRPr="009833EE" w14:paraId="647CBA09" w14:textId="77777777" w:rsidTr="007E5F3B">
        <w:trPr>
          <w:jc w:val="center"/>
        </w:trPr>
        <w:tc>
          <w:tcPr>
            <w:tcW w:w="4876" w:type="dxa"/>
          </w:tcPr>
          <w:p w14:paraId="3D8149D8" w14:textId="77777777" w:rsidR="007E5F3B" w:rsidRPr="009833EE" w:rsidRDefault="007E5F3B" w:rsidP="007E5F3B">
            <w:pPr>
              <w:pStyle w:val="Normal6"/>
            </w:pPr>
            <w:r w:rsidRPr="009833EE">
              <w:rPr>
                <w:b/>
                <w:i/>
              </w:rPr>
              <w:t>(b)</w:t>
            </w:r>
            <w:r w:rsidRPr="009833EE">
              <w:rPr>
                <w:b/>
                <w:i/>
              </w:rPr>
              <w:tab/>
              <w:t>so ustanovljene na pobudo vseh ali nekaterih predstavnikov iz točke (a);</w:t>
            </w:r>
          </w:p>
        </w:tc>
        <w:tc>
          <w:tcPr>
            <w:tcW w:w="4876" w:type="dxa"/>
          </w:tcPr>
          <w:p w14:paraId="23FAB84A" w14:textId="77777777" w:rsidR="007E5F3B" w:rsidRPr="009833EE" w:rsidRDefault="007E5F3B" w:rsidP="007E5F3B">
            <w:pPr>
              <w:pStyle w:val="Normal6"/>
              <w:rPr>
                <w:szCs w:val="24"/>
              </w:rPr>
            </w:pPr>
          </w:p>
        </w:tc>
      </w:tr>
      <w:tr w:rsidR="007E5F3B" w:rsidRPr="009833EE" w14:paraId="5F7B4778" w14:textId="77777777" w:rsidTr="007E5F3B">
        <w:trPr>
          <w:jc w:val="center"/>
        </w:trPr>
        <w:tc>
          <w:tcPr>
            <w:tcW w:w="4876" w:type="dxa"/>
          </w:tcPr>
          <w:p w14:paraId="1FF9CC3B" w14:textId="77777777" w:rsidR="007E5F3B" w:rsidRPr="009833EE" w:rsidRDefault="007E5F3B" w:rsidP="007E5F3B">
            <w:pPr>
              <w:pStyle w:val="Normal6"/>
            </w:pPr>
            <w:r w:rsidRPr="009833EE">
              <w:rPr>
                <w:b/>
                <w:i/>
              </w:rPr>
              <w:t>(c)</w:t>
            </w:r>
            <w:r w:rsidRPr="009833EE">
              <w:rPr>
                <w:b/>
                <w:i/>
              </w:rPr>
              <w:tab/>
              <w:t>v eni ali več regijah Unije ob upoštevanju interesov članov teh medpanožnih organizacij in potrošnikov izvajajo eno ali več naslednjih dejavnosti:</w:t>
            </w:r>
          </w:p>
        </w:tc>
        <w:tc>
          <w:tcPr>
            <w:tcW w:w="4876" w:type="dxa"/>
          </w:tcPr>
          <w:p w14:paraId="4D1CA88F" w14:textId="77777777" w:rsidR="007E5F3B" w:rsidRPr="009833EE" w:rsidRDefault="007E5F3B" w:rsidP="007E5F3B">
            <w:pPr>
              <w:pStyle w:val="Normal6"/>
              <w:rPr>
                <w:szCs w:val="24"/>
              </w:rPr>
            </w:pPr>
          </w:p>
        </w:tc>
      </w:tr>
      <w:tr w:rsidR="007E5F3B" w:rsidRPr="009833EE" w14:paraId="5752D40A" w14:textId="77777777" w:rsidTr="007E5F3B">
        <w:trPr>
          <w:jc w:val="center"/>
        </w:trPr>
        <w:tc>
          <w:tcPr>
            <w:tcW w:w="4876" w:type="dxa"/>
          </w:tcPr>
          <w:p w14:paraId="1771B86A" w14:textId="77777777" w:rsidR="007E5F3B" w:rsidRPr="009833EE" w:rsidRDefault="007E5F3B" w:rsidP="007E5F3B">
            <w:pPr>
              <w:pStyle w:val="Normal6"/>
            </w:pPr>
            <w:r w:rsidRPr="009833EE">
              <w:rPr>
                <w:b/>
                <w:i/>
              </w:rPr>
              <w:t>(i)</w:t>
            </w:r>
            <w:r w:rsidRPr="009833EE">
              <w:rPr>
                <w:b/>
                <w:i/>
              </w:rPr>
              <w:tab/>
              <w:t>izboljšanje znanja in preglednosti proizvodnje in trga, vključno z objavo statističnih podatkov o cenah, količinah in trajanju predhodno sklenjenih pogodb za oddajo surovega mleka ter z zagotavljanjem analiz o možnem prihodnjem razvoju trga na regionalni, nacionalni in mednarodni ravni;</w:t>
            </w:r>
          </w:p>
        </w:tc>
        <w:tc>
          <w:tcPr>
            <w:tcW w:w="4876" w:type="dxa"/>
          </w:tcPr>
          <w:p w14:paraId="00BC6A9E" w14:textId="77777777" w:rsidR="007E5F3B" w:rsidRPr="009833EE" w:rsidRDefault="007E5F3B" w:rsidP="007E5F3B">
            <w:pPr>
              <w:pStyle w:val="Normal6"/>
              <w:rPr>
                <w:szCs w:val="24"/>
              </w:rPr>
            </w:pPr>
          </w:p>
        </w:tc>
      </w:tr>
      <w:tr w:rsidR="007E5F3B" w:rsidRPr="009833EE" w14:paraId="3F5C6E0A" w14:textId="77777777" w:rsidTr="007E5F3B">
        <w:trPr>
          <w:jc w:val="center"/>
        </w:trPr>
        <w:tc>
          <w:tcPr>
            <w:tcW w:w="4876" w:type="dxa"/>
          </w:tcPr>
          <w:p w14:paraId="1F9D56A8" w14:textId="77777777" w:rsidR="007E5F3B" w:rsidRPr="009833EE" w:rsidRDefault="007E5F3B" w:rsidP="007E5F3B">
            <w:pPr>
              <w:pStyle w:val="Normal6"/>
            </w:pPr>
            <w:r w:rsidRPr="009833EE">
              <w:rPr>
                <w:b/>
                <w:i/>
              </w:rPr>
              <w:t>(ii)</w:t>
            </w:r>
            <w:r w:rsidRPr="009833EE">
              <w:rPr>
                <w:b/>
                <w:i/>
              </w:rPr>
              <w:tab/>
              <w:t>pomoč pri boljši uskladitvi načina dajanja proizvodov iz sektorja mleka in mlečnih proizvodov na trg, zlasti z raziskavami in analizami trga;</w:t>
            </w:r>
          </w:p>
        </w:tc>
        <w:tc>
          <w:tcPr>
            <w:tcW w:w="4876" w:type="dxa"/>
          </w:tcPr>
          <w:p w14:paraId="721233DC" w14:textId="77777777" w:rsidR="007E5F3B" w:rsidRPr="009833EE" w:rsidRDefault="007E5F3B" w:rsidP="007E5F3B">
            <w:pPr>
              <w:pStyle w:val="Normal6"/>
              <w:rPr>
                <w:szCs w:val="24"/>
              </w:rPr>
            </w:pPr>
          </w:p>
        </w:tc>
      </w:tr>
      <w:tr w:rsidR="007E5F3B" w:rsidRPr="009833EE" w14:paraId="1BFBB2E3" w14:textId="77777777" w:rsidTr="007E5F3B">
        <w:trPr>
          <w:jc w:val="center"/>
        </w:trPr>
        <w:tc>
          <w:tcPr>
            <w:tcW w:w="4876" w:type="dxa"/>
          </w:tcPr>
          <w:p w14:paraId="57F65DDB" w14:textId="77777777" w:rsidR="007E5F3B" w:rsidRPr="009833EE" w:rsidRDefault="007E5F3B" w:rsidP="007E5F3B">
            <w:pPr>
              <w:pStyle w:val="Normal6"/>
            </w:pPr>
            <w:r w:rsidRPr="009833EE">
              <w:rPr>
                <w:b/>
                <w:i/>
              </w:rPr>
              <w:t>(iii)</w:t>
            </w:r>
            <w:r w:rsidRPr="009833EE">
              <w:rPr>
                <w:b/>
                <w:i/>
              </w:rPr>
              <w:tab/>
              <w:t>spodbujanje uživanja mleka in mlečnih proizvodih ter zagotavljanje informacij o mleku in mlečnih proizvodih na notranjih in zunanjih trgih;</w:t>
            </w:r>
          </w:p>
        </w:tc>
        <w:tc>
          <w:tcPr>
            <w:tcW w:w="4876" w:type="dxa"/>
          </w:tcPr>
          <w:p w14:paraId="217B8DCD" w14:textId="77777777" w:rsidR="007E5F3B" w:rsidRPr="009833EE" w:rsidRDefault="007E5F3B" w:rsidP="007E5F3B">
            <w:pPr>
              <w:pStyle w:val="Normal6"/>
              <w:rPr>
                <w:szCs w:val="24"/>
              </w:rPr>
            </w:pPr>
          </w:p>
        </w:tc>
      </w:tr>
      <w:tr w:rsidR="007E5F3B" w:rsidRPr="009833EE" w14:paraId="38B09210" w14:textId="77777777" w:rsidTr="007E5F3B">
        <w:trPr>
          <w:jc w:val="center"/>
        </w:trPr>
        <w:tc>
          <w:tcPr>
            <w:tcW w:w="4876" w:type="dxa"/>
          </w:tcPr>
          <w:p w14:paraId="220A77E6" w14:textId="77777777" w:rsidR="007E5F3B" w:rsidRPr="009833EE" w:rsidRDefault="007E5F3B" w:rsidP="007E5F3B">
            <w:pPr>
              <w:pStyle w:val="Normal6"/>
            </w:pPr>
            <w:r w:rsidRPr="009833EE">
              <w:rPr>
                <w:b/>
                <w:i/>
              </w:rPr>
              <w:t>(iv)</w:t>
            </w:r>
            <w:r w:rsidRPr="009833EE">
              <w:rPr>
                <w:b/>
                <w:i/>
              </w:rPr>
              <w:tab/>
              <w:t>raziskovanje potencialnih izvoznih trgov;</w:t>
            </w:r>
          </w:p>
        </w:tc>
        <w:tc>
          <w:tcPr>
            <w:tcW w:w="4876" w:type="dxa"/>
          </w:tcPr>
          <w:p w14:paraId="06A66655" w14:textId="77777777" w:rsidR="007E5F3B" w:rsidRPr="009833EE" w:rsidRDefault="007E5F3B" w:rsidP="007E5F3B">
            <w:pPr>
              <w:pStyle w:val="Normal6"/>
              <w:rPr>
                <w:szCs w:val="24"/>
              </w:rPr>
            </w:pPr>
          </w:p>
        </w:tc>
      </w:tr>
      <w:tr w:rsidR="007E5F3B" w:rsidRPr="009833EE" w14:paraId="20BE30B5" w14:textId="77777777" w:rsidTr="007E5F3B">
        <w:trPr>
          <w:jc w:val="center"/>
        </w:trPr>
        <w:tc>
          <w:tcPr>
            <w:tcW w:w="4876" w:type="dxa"/>
          </w:tcPr>
          <w:p w14:paraId="68E038B7" w14:textId="77777777" w:rsidR="007E5F3B" w:rsidRPr="009833EE" w:rsidRDefault="007E5F3B" w:rsidP="007E5F3B">
            <w:pPr>
              <w:pStyle w:val="Normal6"/>
            </w:pPr>
            <w:r w:rsidRPr="009833EE">
              <w:rPr>
                <w:b/>
                <w:i/>
              </w:rPr>
              <w:t>(v)</w:t>
            </w:r>
            <w:r w:rsidRPr="009833EE">
              <w:rPr>
                <w:b/>
                <w:i/>
              </w:rPr>
              <w:tab/>
              <w:t>priprava standardnih oblik pogodb, usklajenih s pravili Unije za prodajo surovega mleka kupcem ali dobavo predelanih proizvodov distributerjem in trgovcem na drobno, pri čemer se upošteva potreba po doseganju poštenih konkurenčnih pogojev in preprečevanju izkrivljanja trga;</w:t>
            </w:r>
          </w:p>
        </w:tc>
        <w:tc>
          <w:tcPr>
            <w:tcW w:w="4876" w:type="dxa"/>
          </w:tcPr>
          <w:p w14:paraId="7CECBA90" w14:textId="77777777" w:rsidR="007E5F3B" w:rsidRPr="009833EE" w:rsidRDefault="007E5F3B" w:rsidP="007E5F3B">
            <w:pPr>
              <w:pStyle w:val="Normal6"/>
              <w:rPr>
                <w:szCs w:val="24"/>
              </w:rPr>
            </w:pPr>
          </w:p>
        </w:tc>
      </w:tr>
      <w:tr w:rsidR="007E5F3B" w:rsidRPr="009833EE" w14:paraId="259821A6" w14:textId="77777777" w:rsidTr="007E5F3B">
        <w:trPr>
          <w:jc w:val="center"/>
        </w:trPr>
        <w:tc>
          <w:tcPr>
            <w:tcW w:w="4876" w:type="dxa"/>
          </w:tcPr>
          <w:p w14:paraId="3B5F561D" w14:textId="77777777" w:rsidR="007E5F3B" w:rsidRPr="009833EE" w:rsidRDefault="007E5F3B" w:rsidP="007E5F3B">
            <w:pPr>
              <w:pStyle w:val="Normal6"/>
            </w:pPr>
            <w:r w:rsidRPr="009833EE">
              <w:rPr>
                <w:b/>
                <w:i/>
              </w:rPr>
              <w:t>(vi)</w:t>
            </w:r>
            <w:r w:rsidRPr="009833EE">
              <w:rPr>
                <w:b/>
                <w:i/>
              </w:rPr>
              <w:tab/>
              <w:t>zagotavljanje informacij in izvajanje raziskav, potrebnih za usmerjanje proizvodnje k proizvodom, ki bolj ustrezajo zahtevam trga ter okusu in pričakovanju potrošnikov, zlasti glede kakovosti proizvodov in varstva okolja;</w:t>
            </w:r>
          </w:p>
        </w:tc>
        <w:tc>
          <w:tcPr>
            <w:tcW w:w="4876" w:type="dxa"/>
          </w:tcPr>
          <w:p w14:paraId="53775F84" w14:textId="77777777" w:rsidR="007E5F3B" w:rsidRPr="009833EE" w:rsidRDefault="007E5F3B" w:rsidP="007E5F3B">
            <w:pPr>
              <w:pStyle w:val="Normal6"/>
              <w:rPr>
                <w:szCs w:val="24"/>
              </w:rPr>
            </w:pPr>
          </w:p>
        </w:tc>
      </w:tr>
      <w:tr w:rsidR="007E5F3B" w:rsidRPr="009833EE" w14:paraId="3BB0630D" w14:textId="77777777" w:rsidTr="007E5F3B">
        <w:trPr>
          <w:jc w:val="center"/>
        </w:trPr>
        <w:tc>
          <w:tcPr>
            <w:tcW w:w="4876" w:type="dxa"/>
          </w:tcPr>
          <w:p w14:paraId="584F96D9" w14:textId="77777777" w:rsidR="007E5F3B" w:rsidRPr="009833EE" w:rsidRDefault="007E5F3B" w:rsidP="007E5F3B">
            <w:pPr>
              <w:pStyle w:val="Normal6"/>
            </w:pPr>
            <w:r w:rsidRPr="009833EE">
              <w:rPr>
                <w:b/>
                <w:i/>
              </w:rPr>
              <w:t>(vii)</w:t>
            </w:r>
            <w:r w:rsidRPr="009833EE">
              <w:rPr>
                <w:b/>
                <w:i/>
              </w:rPr>
              <w:tab/>
              <w:t>ohranjanje in razvoj pridelovalnih zmogljivosti v sektorju mleka, med drugim s spodbujanjem programov za inovativnost in podpornih programov za uporabne raziskave in razvoj, da bi v celoti izkoristili potencial mleka in mlečnih proizvodov, predvsem zato, da se ustvarijo proizvodi z dodano vrednostjo, ki so privlačnejši za potrošnika;</w:t>
            </w:r>
          </w:p>
        </w:tc>
        <w:tc>
          <w:tcPr>
            <w:tcW w:w="4876" w:type="dxa"/>
          </w:tcPr>
          <w:p w14:paraId="005AEFDB" w14:textId="77777777" w:rsidR="007E5F3B" w:rsidRPr="009833EE" w:rsidRDefault="007E5F3B" w:rsidP="007E5F3B">
            <w:pPr>
              <w:pStyle w:val="Normal6"/>
              <w:rPr>
                <w:szCs w:val="24"/>
              </w:rPr>
            </w:pPr>
          </w:p>
        </w:tc>
      </w:tr>
      <w:tr w:rsidR="007E5F3B" w:rsidRPr="009833EE" w14:paraId="27CAF0C1" w14:textId="77777777" w:rsidTr="007E5F3B">
        <w:trPr>
          <w:jc w:val="center"/>
        </w:trPr>
        <w:tc>
          <w:tcPr>
            <w:tcW w:w="4876" w:type="dxa"/>
          </w:tcPr>
          <w:p w14:paraId="78D4AFEE" w14:textId="77777777" w:rsidR="007E5F3B" w:rsidRPr="009833EE" w:rsidRDefault="007E5F3B" w:rsidP="007E5F3B">
            <w:pPr>
              <w:pStyle w:val="Normal6"/>
            </w:pPr>
            <w:r w:rsidRPr="009833EE">
              <w:rPr>
                <w:b/>
                <w:i/>
              </w:rPr>
              <w:t>(viii)</w:t>
            </w:r>
            <w:r w:rsidRPr="009833EE">
              <w:rPr>
                <w:b/>
                <w:i/>
              </w:rPr>
              <w:tab/>
              <w:t>iskanje načinov za omejevanje uporabe sredstev za zaščito zdravja živali, boljše upravljanja drugih vložkov ter izboljšanje varnosti hrane in zdravja živali;</w:t>
            </w:r>
          </w:p>
        </w:tc>
        <w:tc>
          <w:tcPr>
            <w:tcW w:w="4876" w:type="dxa"/>
          </w:tcPr>
          <w:p w14:paraId="126E2D42" w14:textId="77777777" w:rsidR="007E5F3B" w:rsidRPr="009833EE" w:rsidRDefault="007E5F3B" w:rsidP="007E5F3B">
            <w:pPr>
              <w:pStyle w:val="Normal6"/>
              <w:rPr>
                <w:szCs w:val="24"/>
              </w:rPr>
            </w:pPr>
          </w:p>
        </w:tc>
      </w:tr>
      <w:tr w:rsidR="007E5F3B" w:rsidRPr="009833EE" w14:paraId="55CBCEAD" w14:textId="77777777" w:rsidTr="007E5F3B">
        <w:trPr>
          <w:jc w:val="center"/>
        </w:trPr>
        <w:tc>
          <w:tcPr>
            <w:tcW w:w="4876" w:type="dxa"/>
          </w:tcPr>
          <w:p w14:paraId="2F82E34C" w14:textId="77777777" w:rsidR="007E5F3B" w:rsidRPr="009833EE" w:rsidRDefault="007E5F3B" w:rsidP="007E5F3B">
            <w:pPr>
              <w:pStyle w:val="Normal6"/>
            </w:pPr>
            <w:r w:rsidRPr="009833EE">
              <w:rPr>
                <w:b/>
                <w:i/>
              </w:rPr>
              <w:t>(ix)</w:t>
            </w:r>
            <w:r w:rsidRPr="009833EE">
              <w:rPr>
                <w:b/>
                <w:i/>
              </w:rPr>
              <w:tab/>
              <w:t>razvoj metod in instrumentov za izboljšanje kakovosti proizvodov v vseh fazah proizvodnje in trženja;</w:t>
            </w:r>
          </w:p>
        </w:tc>
        <w:tc>
          <w:tcPr>
            <w:tcW w:w="4876" w:type="dxa"/>
          </w:tcPr>
          <w:p w14:paraId="4B56A384" w14:textId="77777777" w:rsidR="007E5F3B" w:rsidRPr="009833EE" w:rsidRDefault="007E5F3B" w:rsidP="007E5F3B">
            <w:pPr>
              <w:pStyle w:val="Normal6"/>
              <w:rPr>
                <w:szCs w:val="24"/>
              </w:rPr>
            </w:pPr>
          </w:p>
        </w:tc>
      </w:tr>
      <w:tr w:rsidR="007E5F3B" w:rsidRPr="009833EE" w14:paraId="3A99C431" w14:textId="77777777" w:rsidTr="007E5F3B">
        <w:trPr>
          <w:jc w:val="center"/>
        </w:trPr>
        <w:tc>
          <w:tcPr>
            <w:tcW w:w="4876" w:type="dxa"/>
          </w:tcPr>
          <w:p w14:paraId="06C4A6E1" w14:textId="77777777" w:rsidR="007E5F3B" w:rsidRPr="009833EE" w:rsidRDefault="007E5F3B" w:rsidP="007E5F3B">
            <w:pPr>
              <w:pStyle w:val="Normal6"/>
            </w:pPr>
            <w:r w:rsidRPr="009833EE">
              <w:rPr>
                <w:b/>
                <w:i/>
              </w:rPr>
              <w:t>(x)</w:t>
            </w:r>
            <w:r w:rsidRPr="009833EE">
              <w:rPr>
                <w:b/>
                <w:i/>
              </w:rPr>
              <w:tab/>
              <w:t>izkoriščanje potenciala ekološkega kmetovanja ter varstvo in spodbujanje takega kmetovanja, kakor tudi proizvodnje proizvodov z označbami porekla, oznakami kakovosti in geografskimi označbami; ter</w:t>
            </w:r>
          </w:p>
        </w:tc>
        <w:tc>
          <w:tcPr>
            <w:tcW w:w="4876" w:type="dxa"/>
          </w:tcPr>
          <w:p w14:paraId="4142CC05" w14:textId="77777777" w:rsidR="007E5F3B" w:rsidRPr="009833EE" w:rsidRDefault="007E5F3B" w:rsidP="007E5F3B">
            <w:pPr>
              <w:pStyle w:val="Normal6"/>
              <w:rPr>
                <w:szCs w:val="24"/>
              </w:rPr>
            </w:pPr>
          </w:p>
        </w:tc>
      </w:tr>
      <w:tr w:rsidR="007E5F3B" w:rsidRPr="009833EE" w14:paraId="2A65CF38" w14:textId="77777777" w:rsidTr="007E5F3B">
        <w:trPr>
          <w:jc w:val="center"/>
        </w:trPr>
        <w:tc>
          <w:tcPr>
            <w:tcW w:w="4876" w:type="dxa"/>
          </w:tcPr>
          <w:p w14:paraId="3808669D" w14:textId="77777777" w:rsidR="007E5F3B" w:rsidRPr="009833EE" w:rsidRDefault="007E5F3B" w:rsidP="007E5F3B">
            <w:pPr>
              <w:pStyle w:val="Normal6"/>
            </w:pPr>
            <w:r w:rsidRPr="009833EE">
              <w:rPr>
                <w:b/>
                <w:i/>
              </w:rPr>
              <w:t>(xi)</w:t>
            </w:r>
            <w:r w:rsidRPr="009833EE">
              <w:rPr>
                <w:b/>
                <w:i/>
              </w:rPr>
              <w:tab/>
              <w:t>spodbujanje integrirane pridelave ali drugih okolju prijaznih načinov pridelave.</w:t>
            </w:r>
          </w:p>
        </w:tc>
        <w:tc>
          <w:tcPr>
            <w:tcW w:w="4876" w:type="dxa"/>
          </w:tcPr>
          <w:p w14:paraId="35557492" w14:textId="77777777" w:rsidR="007E5F3B" w:rsidRPr="009833EE" w:rsidRDefault="007E5F3B" w:rsidP="007E5F3B">
            <w:pPr>
              <w:pStyle w:val="Normal6"/>
              <w:rPr>
                <w:szCs w:val="24"/>
              </w:rPr>
            </w:pPr>
          </w:p>
        </w:tc>
      </w:tr>
      <w:tr w:rsidR="007E5F3B" w:rsidRPr="009833EE" w14:paraId="4E6FE39E" w14:textId="77777777" w:rsidTr="007E5F3B">
        <w:trPr>
          <w:jc w:val="center"/>
        </w:trPr>
        <w:tc>
          <w:tcPr>
            <w:tcW w:w="4876" w:type="dxa"/>
          </w:tcPr>
          <w:p w14:paraId="1ECB6A71" w14:textId="77777777" w:rsidR="007E5F3B" w:rsidRPr="009833EE" w:rsidRDefault="007E5F3B" w:rsidP="007E5F3B">
            <w:pPr>
              <w:pStyle w:val="Normal6"/>
            </w:pPr>
          </w:p>
        </w:tc>
        <w:tc>
          <w:tcPr>
            <w:tcW w:w="4876" w:type="dxa"/>
          </w:tcPr>
          <w:p w14:paraId="7CBF3562" w14:textId="77777777" w:rsidR="007E5F3B" w:rsidRPr="009833EE" w:rsidRDefault="007E5F3B" w:rsidP="007E5F3B">
            <w:pPr>
              <w:pStyle w:val="Normal6"/>
              <w:rPr>
                <w:szCs w:val="24"/>
              </w:rPr>
            </w:pPr>
            <w:r w:rsidRPr="009833EE">
              <w:rPr>
                <w:i/>
              </w:rPr>
              <w:t>(S tem predlogom spremembe se črtajo odstavek 3 in vsi njegovi pododstavki.)</w:t>
            </w:r>
          </w:p>
        </w:tc>
      </w:tr>
    </w:tbl>
    <w:p w14:paraId="531EC7CB" w14:textId="77777777" w:rsidR="006F5BFE" w:rsidRPr="003B2277" w:rsidRDefault="006F5BFE" w:rsidP="006F5BFE">
      <w:pPr>
        <w:rPr>
          <w:lang w:eastAsia="en-US"/>
        </w:rPr>
      </w:pPr>
    </w:p>
    <w:p w14:paraId="01F16E13" w14:textId="1BF91478" w:rsidR="007E5F3B" w:rsidRDefault="007E5F3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4D43E004" w14:textId="574DA77F" w:rsidR="007E5F3B" w:rsidRPr="00F43F5F" w:rsidRDefault="008C7773" w:rsidP="007E5F3B">
      <w:pPr>
        <w:pStyle w:val="AmNumberTabs0"/>
      </w:pPr>
      <w:r>
        <w:t>Sprememba</w:t>
      </w:r>
      <w:r w:rsidR="007E5F3B" w:rsidRPr="00F43F5F">
        <w:tab/>
      </w:r>
      <w:r w:rsidR="007E5F3B" w:rsidRPr="00F43F5F">
        <w:tab/>
        <w:t>240</w:t>
      </w:r>
    </w:p>
    <w:p w14:paraId="3FF5D77D" w14:textId="77777777" w:rsidR="007E5F3B" w:rsidRPr="00F43F5F" w:rsidRDefault="007E5F3B" w:rsidP="007E5F3B">
      <w:pPr>
        <w:pStyle w:val="NormalBold12b"/>
      </w:pPr>
      <w:r w:rsidRPr="00F43F5F">
        <w:t>Predlog uredbe</w:t>
      </w:r>
    </w:p>
    <w:p w14:paraId="5558AEAD" w14:textId="7A78943D" w:rsidR="007E5F3B" w:rsidRPr="00F43F5F" w:rsidRDefault="00871C85" w:rsidP="007E5F3B">
      <w:pPr>
        <w:pStyle w:val="NormalBold"/>
      </w:pPr>
      <w:r>
        <w:t>Člen 1 – odstavek 1 – točka 22 j</w:t>
      </w:r>
      <w:r w:rsidR="007E5F3B" w:rsidRPr="00F43F5F">
        <w:t xml:space="preserve"> (novo)</w:t>
      </w:r>
    </w:p>
    <w:p w14:paraId="4631FBA3" w14:textId="77777777" w:rsidR="007E5F3B" w:rsidRPr="00F43F5F" w:rsidRDefault="007E5F3B" w:rsidP="007E5F3B">
      <w:r w:rsidRPr="00F43F5F">
        <w:t>Uredba (EU) št. 1308/2013</w:t>
      </w:r>
    </w:p>
    <w:p w14:paraId="068F7F6C" w14:textId="77777777" w:rsidR="007E5F3B" w:rsidRPr="00F43F5F" w:rsidRDefault="007E5F3B" w:rsidP="007E5F3B">
      <w:r w:rsidRPr="00F43F5F">
        <w:t>Člen 158</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7E5F3B" w:rsidRPr="00F43F5F" w14:paraId="19744834" w14:textId="77777777" w:rsidTr="007E5F3B">
        <w:trPr>
          <w:jc w:val="center"/>
        </w:trPr>
        <w:tc>
          <w:tcPr>
            <w:tcW w:w="9752" w:type="dxa"/>
            <w:gridSpan w:val="2"/>
          </w:tcPr>
          <w:p w14:paraId="4A181897" w14:textId="77777777" w:rsidR="007E5F3B" w:rsidRPr="00F43F5F" w:rsidRDefault="007E5F3B" w:rsidP="007E5F3B">
            <w:pPr>
              <w:keepNext/>
            </w:pPr>
          </w:p>
        </w:tc>
      </w:tr>
      <w:tr w:rsidR="007E5F3B" w:rsidRPr="00F43F5F" w14:paraId="70513345" w14:textId="77777777" w:rsidTr="007E5F3B">
        <w:trPr>
          <w:jc w:val="center"/>
        </w:trPr>
        <w:tc>
          <w:tcPr>
            <w:tcW w:w="4876" w:type="dxa"/>
          </w:tcPr>
          <w:p w14:paraId="1D02A339" w14:textId="77777777" w:rsidR="007E5F3B" w:rsidRPr="00F43F5F" w:rsidRDefault="007E5F3B" w:rsidP="007E5F3B">
            <w:pPr>
              <w:pStyle w:val="AmColumnHeading"/>
              <w:keepNext/>
            </w:pPr>
            <w:r w:rsidRPr="00F43F5F">
              <w:t>Veljavno besedilo</w:t>
            </w:r>
          </w:p>
        </w:tc>
        <w:tc>
          <w:tcPr>
            <w:tcW w:w="4876" w:type="dxa"/>
          </w:tcPr>
          <w:p w14:paraId="093C7B41" w14:textId="2AE31F52" w:rsidR="007E5F3B" w:rsidRPr="00F43F5F" w:rsidRDefault="008C7773" w:rsidP="007E5F3B">
            <w:pPr>
              <w:pStyle w:val="AmColumnHeading"/>
              <w:keepNext/>
            </w:pPr>
            <w:r>
              <w:t>Sprememba</w:t>
            </w:r>
          </w:p>
        </w:tc>
      </w:tr>
      <w:tr w:rsidR="007E5F3B" w:rsidRPr="00F43F5F" w14:paraId="3C1FC7C6" w14:textId="77777777" w:rsidTr="007E5F3B">
        <w:trPr>
          <w:jc w:val="center"/>
        </w:trPr>
        <w:tc>
          <w:tcPr>
            <w:tcW w:w="4876" w:type="dxa"/>
          </w:tcPr>
          <w:p w14:paraId="7628C2EB" w14:textId="77777777" w:rsidR="007E5F3B" w:rsidRPr="00F43F5F" w:rsidRDefault="007E5F3B" w:rsidP="007E5F3B">
            <w:pPr>
              <w:pStyle w:val="Normal6"/>
            </w:pPr>
          </w:p>
        </w:tc>
        <w:tc>
          <w:tcPr>
            <w:tcW w:w="4876" w:type="dxa"/>
          </w:tcPr>
          <w:p w14:paraId="14CA9E18" w14:textId="49FB5093" w:rsidR="007E5F3B" w:rsidRPr="00F43F5F" w:rsidRDefault="00871C85" w:rsidP="007E5F3B">
            <w:pPr>
              <w:pStyle w:val="Normal6"/>
              <w:rPr>
                <w:szCs w:val="24"/>
              </w:rPr>
            </w:pPr>
            <w:r>
              <w:rPr>
                <w:b/>
                <w:i/>
              </w:rPr>
              <w:t>(22j</w:t>
            </w:r>
            <w:r w:rsidR="007E5F3B" w:rsidRPr="00F43F5F">
              <w:rPr>
                <w:b/>
                <w:i/>
              </w:rPr>
              <w:t>)</w:t>
            </w:r>
            <w:r w:rsidR="007E5F3B" w:rsidRPr="00F43F5F">
              <w:rPr>
                <w:b/>
                <w:i/>
              </w:rPr>
              <w:tab/>
              <w:t>člen 158 se nadomesti z naslednjim:</w:t>
            </w:r>
          </w:p>
        </w:tc>
      </w:tr>
      <w:tr w:rsidR="007E5F3B" w:rsidRPr="00F43F5F" w14:paraId="331300F9" w14:textId="77777777" w:rsidTr="007E5F3B">
        <w:trPr>
          <w:jc w:val="center"/>
        </w:trPr>
        <w:tc>
          <w:tcPr>
            <w:tcW w:w="4876" w:type="dxa"/>
          </w:tcPr>
          <w:p w14:paraId="2A3FD497" w14:textId="77777777" w:rsidR="007E5F3B" w:rsidRPr="00F43F5F" w:rsidRDefault="007E5F3B" w:rsidP="007E5F3B">
            <w:pPr>
              <w:pStyle w:val="Normal6"/>
              <w:jc w:val="center"/>
            </w:pPr>
            <w:r w:rsidRPr="00F43F5F">
              <w:t>Člen 158</w:t>
            </w:r>
          </w:p>
        </w:tc>
        <w:tc>
          <w:tcPr>
            <w:tcW w:w="4876" w:type="dxa"/>
          </w:tcPr>
          <w:p w14:paraId="6DCB80A4" w14:textId="77777777" w:rsidR="007E5F3B" w:rsidRPr="00F43F5F" w:rsidRDefault="007E5F3B" w:rsidP="007E5F3B">
            <w:pPr>
              <w:pStyle w:val="Normal6"/>
              <w:rPr>
                <w:szCs w:val="24"/>
              </w:rPr>
            </w:pPr>
            <w:r w:rsidRPr="00F43F5F">
              <w:rPr>
                <w:b/>
                <w:i/>
              </w:rPr>
              <w:t>"</w:t>
            </w:r>
            <w:r w:rsidRPr="00F43F5F">
              <w:t>Člen 158</w:t>
            </w:r>
          </w:p>
        </w:tc>
      </w:tr>
      <w:tr w:rsidR="007E5F3B" w:rsidRPr="00F43F5F" w14:paraId="2F063BC3" w14:textId="77777777" w:rsidTr="007E5F3B">
        <w:trPr>
          <w:jc w:val="center"/>
        </w:trPr>
        <w:tc>
          <w:tcPr>
            <w:tcW w:w="4876" w:type="dxa"/>
          </w:tcPr>
          <w:p w14:paraId="7B1931C9" w14:textId="77777777" w:rsidR="007E5F3B" w:rsidRPr="00F43F5F" w:rsidRDefault="007E5F3B" w:rsidP="007E5F3B">
            <w:pPr>
              <w:pStyle w:val="Normal6"/>
            </w:pPr>
            <w:r w:rsidRPr="00F43F5F">
              <w:t>Priznavanje medpanožnih organizacij</w:t>
            </w:r>
          </w:p>
        </w:tc>
        <w:tc>
          <w:tcPr>
            <w:tcW w:w="4876" w:type="dxa"/>
          </w:tcPr>
          <w:p w14:paraId="1097EA5A" w14:textId="77777777" w:rsidR="007E5F3B" w:rsidRPr="00F43F5F" w:rsidRDefault="007E5F3B" w:rsidP="007E5F3B">
            <w:pPr>
              <w:pStyle w:val="Normal6"/>
              <w:rPr>
                <w:szCs w:val="24"/>
              </w:rPr>
            </w:pPr>
            <w:r w:rsidRPr="00F43F5F">
              <w:t>Priznavanje medpanožnih organizacij</w:t>
            </w:r>
          </w:p>
        </w:tc>
      </w:tr>
      <w:tr w:rsidR="007E5F3B" w:rsidRPr="00F43F5F" w14:paraId="28EAB06A" w14:textId="77777777" w:rsidTr="007E5F3B">
        <w:trPr>
          <w:jc w:val="center"/>
        </w:trPr>
        <w:tc>
          <w:tcPr>
            <w:tcW w:w="4876" w:type="dxa"/>
          </w:tcPr>
          <w:p w14:paraId="1D2F831B" w14:textId="77777777" w:rsidR="007E5F3B" w:rsidRPr="00F43F5F" w:rsidRDefault="007E5F3B" w:rsidP="007E5F3B">
            <w:pPr>
              <w:pStyle w:val="Normal6"/>
            </w:pPr>
            <w:r w:rsidRPr="00F43F5F">
              <w:t>1.</w:t>
            </w:r>
            <w:r w:rsidRPr="00F43F5F">
              <w:tab/>
              <w:t>Države članice lahko priznajo medpanožne organizacije, ki to zahtevajo, pod pogojem, da:</w:t>
            </w:r>
          </w:p>
        </w:tc>
        <w:tc>
          <w:tcPr>
            <w:tcW w:w="4876" w:type="dxa"/>
          </w:tcPr>
          <w:p w14:paraId="42C55F6D" w14:textId="77777777" w:rsidR="007E5F3B" w:rsidRPr="00F43F5F" w:rsidRDefault="007E5F3B" w:rsidP="007E5F3B">
            <w:pPr>
              <w:pStyle w:val="Normal6"/>
              <w:rPr>
                <w:szCs w:val="24"/>
              </w:rPr>
            </w:pPr>
            <w:r w:rsidRPr="00F43F5F">
              <w:t>1.</w:t>
            </w:r>
            <w:r w:rsidRPr="00F43F5F">
              <w:tab/>
              <w:t>Države članice lahko priznajo medpanožne organizacije, ki to zahtevajo, pod pogojem, da:</w:t>
            </w:r>
          </w:p>
        </w:tc>
      </w:tr>
      <w:tr w:rsidR="007E5F3B" w:rsidRPr="00F43F5F" w14:paraId="776DC24F" w14:textId="77777777" w:rsidTr="007E5F3B">
        <w:trPr>
          <w:jc w:val="center"/>
        </w:trPr>
        <w:tc>
          <w:tcPr>
            <w:tcW w:w="4876" w:type="dxa"/>
          </w:tcPr>
          <w:p w14:paraId="4E7EA7DA" w14:textId="77777777" w:rsidR="007E5F3B" w:rsidRPr="00F43F5F" w:rsidRDefault="007E5F3B" w:rsidP="007E5F3B">
            <w:pPr>
              <w:pStyle w:val="Normal6"/>
            </w:pPr>
            <w:r w:rsidRPr="00F43F5F">
              <w:t>(a)</w:t>
            </w:r>
            <w:r w:rsidRPr="00F43F5F">
              <w:tab/>
              <w:t>izpolnjujejo zahteve iz člena 157;</w:t>
            </w:r>
          </w:p>
        </w:tc>
        <w:tc>
          <w:tcPr>
            <w:tcW w:w="4876" w:type="dxa"/>
          </w:tcPr>
          <w:p w14:paraId="6BFA2BC3" w14:textId="77777777" w:rsidR="007E5F3B" w:rsidRPr="00F43F5F" w:rsidRDefault="007E5F3B" w:rsidP="007E5F3B">
            <w:pPr>
              <w:pStyle w:val="Normal6"/>
              <w:rPr>
                <w:szCs w:val="24"/>
              </w:rPr>
            </w:pPr>
            <w:r w:rsidRPr="00F43F5F">
              <w:t>(a)</w:t>
            </w:r>
            <w:r w:rsidRPr="00F43F5F">
              <w:tab/>
              <w:t>izpolnjujejo zahteve iz člena 157;</w:t>
            </w:r>
          </w:p>
        </w:tc>
      </w:tr>
      <w:tr w:rsidR="007E5F3B" w:rsidRPr="00F43F5F" w14:paraId="43027AC6" w14:textId="77777777" w:rsidTr="007E5F3B">
        <w:trPr>
          <w:jc w:val="center"/>
        </w:trPr>
        <w:tc>
          <w:tcPr>
            <w:tcW w:w="4876" w:type="dxa"/>
          </w:tcPr>
          <w:p w14:paraId="48C4553F" w14:textId="77777777" w:rsidR="007E5F3B" w:rsidRPr="00F43F5F" w:rsidRDefault="007E5F3B" w:rsidP="007E5F3B">
            <w:pPr>
              <w:pStyle w:val="Normal6"/>
            </w:pPr>
            <w:r w:rsidRPr="00F43F5F">
              <w:t>(b)</w:t>
            </w:r>
            <w:r w:rsidRPr="00F43F5F">
              <w:tab/>
              <w:t>izvajajo svoje dejavnosti v eni ali več regijah na zadevnem ozemlju;</w:t>
            </w:r>
          </w:p>
        </w:tc>
        <w:tc>
          <w:tcPr>
            <w:tcW w:w="4876" w:type="dxa"/>
          </w:tcPr>
          <w:p w14:paraId="2F07382A" w14:textId="77777777" w:rsidR="007E5F3B" w:rsidRPr="00F43F5F" w:rsidRDefault="007E5F3B" w:rsidP="007E5F3B">
            <w:pPr>
              <w:pStyle w:val="Normal6"/>
              <w:rPr>
                <w:szCs w:val="24"/>
              </w:rPr>
            </w:pPr>
            <w:r w:rsidRPr="00F43F5F">
              <w:t>(b)</w:t>
            </w:r>
            <w:r w:rsidRPr="00F43F5F">
              <w:tab/>
              <w:t>izvajajo svoje dejavnosti v eni ali več regijah na zadevnem ozemlju;</w:t>
            </w:r>
          </w:p>
        </w:tc>
      </w:tr>
      <w:tr w:rsidR="007E5F3B" w:rsidRPr="00F43F5F" w14:paraId="78527ECD" w14:textId="77777777" w:rsidTr="007E5F3B">
        <w:trPr>
          <w:jc w:val="center"/>
        </w:trPr>
        <w:tc>
          <w:tcPr>
            <w:tcW w:w="4876" w:type="dxa"/>
          </w:tcPr>
          <w:p w14:paraId="512CDDC3" w14:textId="77777777" w:rsidR="007E5F3B" w:rsidRPr="00F43F5F" w:rsidRDefault="007E5F3B" w:rsidP="007E5F3B">
            <w:pPr>
              <w:pStyle w:val="Normal6"/>
            </w:pPr>
            <w:r w:rsidRPr="00F43F5F">
              <w:t>(c)</w:t>
            </w:r>
            <w:r w:rsidRPr="00F43F5F">
              <w:tab/>
              <w:t>predstavljajo pomemben delež gospodarskih dejavnosti iz točke (a) člena 157(1);</w:t>
            </w:r>
          </w:p>
        </w:tc>
        <w:tc>
          <w:tcPr>
            <w:tcW w:w="4876" w:type="dxa"/>
          </w:tcPr>
          <w:p w14:paraId="414467E4" w14:textId="77777777" w:rsidR="007E5F3B" w:rsidRPr="00F43F5F" w:rsidRDefault="007E5F3B" w:rsidP="007E5F3B">
            <w:pPr>
              <w:pStyle w:val="Normal6"/>
              <w:rPr>
                <w:szCs w:val="24"/>
              </w:rPr>
            </w:pPr>
            <w:r w:rsidRPr="00F43F5F">
              <w:t>(c)</w:t>
            </w:r>
            <w:r w:rsidRPr="00F43F5F">
              <w:tab/>
              <w:t>predstavljajo pomemben delež gospodarskih dejavnosti iz točke (a) člena 157(1);</w:t>
            </w:r>
          </w:p>
        </w:tc>
      </w:tr>
      <w:tr w:rsidR="007E5F3B" w:rsidRPr="00F43F5F" w14:paraId="3F2F4AE6" w14:textId="77777777" w:rsidTr="007E5F3B">
        <w:trPr>
          <w:jc w:val="center"/>
        </w:trPr>
        <w:tc>
          <w:tcPr>
            <w:tcW w:w="4876" w:type="dxa"/>
          </w:tcPr>
          <w:p w14:paraId="0FD76AAC" w14:textId="77777777" w:rsidR="007E5F3B" w:rsidRPr="00F43F5F" w:rsidRDefault="007E5F3B" w:rsidP="007E5F3B">
            <w:pPr>
              <w:pStyle w:val="Normal6"/>
            </w:pPr>
          </w:p>
        </w:tc>
        <w:tc>
          <w:tcPr>
            <w:tcW w:w="4876" w:type="dxa"/>
          </w:tcPr>
          <w:p w14:paraId="5624070C" w14:textId="77777777" w:rsidR="007E5F3B" w:rsidRPr="00F43F5F" w:rsidRDefault="007E5F3B" w:rsidP="007E5F3B">
            <w:pPr>
              <w:pStyle w:val="Normal6"/>
              <w:rPr>
                <w:szCs w:val="24"/>
              </w:rPr>
            </w:pPr>
            <w:r w:rsidRPr="00F43F5F">
              <w:rPr>
                <w:b/>
                <w:i/>
              </w:rPr>
              <w:t>(ca)</w:t>
            </w:r>
            <w:r w:rsidRPr="00F43F5F">
              <w:rPr>
                <w:b/>
                <w:i/>
              </w:rPr>
              <w:tab/>
              <w:t>zagotavljajo uravnoteženo zastopanost faz dobavne verige iz točke (a) člena 157(1);</w:t>
            </w:r>
          </w:p>
        </w:tc>
      </w:tr>
      <w:tr w:rsidR="007E5F3B" w:rsidRPr="00F43F5F" w14:paraId="4CD17F25" w14:textId="77777777" w:rsidTr="007E5F3B">
        <w:trPr>
          <w:jc w:val="center"/>
        </w:trPr>
        <w:tc>
          <w:tcPr>
            <w:tcW w:w="4876" w:type="dxa"/>
          </w:tcPr>
          <w:p w14:paraId="145936D8" w14:textId="77777777" w:rsidR="007E5F3B" w:rsidRPr="00F43F5F" w:rsidRDefault="007E5F3B" w:rsidP="007E5F3B">
            <w:pPr>
              <w:pStyle w:val="Normal6"/>
            </w:pPr>
            <w:r w:rsidRPr="00F43F5F">
              <w:t>(d)</w:t>
            </w:r>
            <w:r w:rsidRPr="00F43F5F">
              <w:tab/>
              <w:t>se z izjemo primerov iz člena 162 same ne ukvarjajo s proizvodnjo, predelavo ali trgovino.</w:t>
            </w:r>
          </w:p>
        </w:tc>
        <w:tc>
          <w:tcPr>
            <w:tcW w:w="4876" w:type="dxa"/>
          </w:tcPr>
          <w:p w14:paraId="3D99B56A" w14:textId="77777777" w:rsidR="007E5F3B" w:rsidRPr="00F43F5F" w:rsidRDefault="007E5F3B" w:rsidP="007E5F3B">
            <w:pPr>
              <w:pStyle w:val="Normal6"/>
              <w:rPr>
                <w:szCs w:val="24"/>
              </w:rPr>
            </w:pPr>
            <w:r w:rsidRPr="00F43F5F">
              <w:t>(d)</w:t>
            </w:r>
            <w:r w:rsidRPr="00F43F5F">
              <w:tab/>
              <w:t>se z izjemo primerov iz člena 162 same ne ukvarjajo s proizvodnjo, predelavo ali trgovino.</w:t>
            </w:r>
          </w:p>
        </w:tc>
      </w:tr>
      <w:tr w:rsidR="007E5F3B" w:rsidRPr="00F43F5F" w14:paraId="4BB4BB34" w14:textId="77777777" w:rsidTr="007E5F3B">
        <w:trPr>
          <w:jc w:val="center"/>
        </w:trPr>
        <w:tc>
          <w:tcPr>
            <w:tcW w:w="4876" w:type="dxa"/>
          </w:tcPr>
          <w:p w14:paraId="1C078DE7" w14:textId="77777777" w:rsidR="007E5F3B" w:rsidRPr="00F43F5F" w:rsidRDefault="007E5F3B" w:rsidP="007E5F3B">
            <w:pPr>
              <w:pStyle w:val="Normal6"/>
            </w:pPr>
            <w:r w:rsidRPr="00F43F5F">
              <w:t>2.</w:t>
            </w:r>
            <w:r w:rsidRPr="00F43F5F">
              <w:tab/>
              <w:t>Države članice lahko odločijo, da se za medpanožne organizacije, ki so bile priznane pred 1. januarjem 2014 na podlagi nacionalne zakonodaje in izpolnjujejo pogoje iz odstavka 1 tega člena, šteje, da so priznane kot medpanožne organizacije v skladu s členom 157.</w:t>
            </w:r>
          </w:p>
        </w:tc>
        <w:tc>
          <w:tcPr>
            <w:tcW w:w="4876" w:type="dxa"/>
          </w:tcPr>
          <w:p w14:paraId="68DB9A20" w14:textId="77777777" w:rsidR="007E5F3B" w:rsidRPr="00F43F5F" w:rsidRDefault="007E5F3B" w:rsidP="007E5F3B">
            <w:pPr>
              <w:pStyle w:val="Normal6"/>
              <w:rPr>
                <w:szCs w:val="24"/>
              </w:rPr>
            </w:pPr>
            <w:r w:rsidRPr="00F43F5F">
              <w:t>2.</w:t>
            </w:r>
            <w:r w:rsidRPr="00F43F5F">
              <w:tab/>
              <w:t>Države članice lahko odločijo, da se za medpanožne organizacije, ki so bile priznane pred 1. januarjem 2014 na podlagi nacionalne zakonodaje in izpolnjujejo pogoje iz odstavka 1 tega člena, šteje, da so priznane kot medpanožne organizacije v skladu s členom 157.</w:t>
            </w:r>
          </w:p>
        </w:tc>
      </w:tr>
      <w:tr w:rsidR="007E5F3B" w:rsidRPr="00F43F5F" w14:paraId="774F99CA" w14:textId="77777777" w:rsidTr="007E5F3B">
        <w:trPr>
          <w:jc w:val="center"/>
        </w:trPr>
        <w:tc>
          <w:tcPr>
            <w:tcW w:w="4876" w:type="dxa"/>
          </w:tcPr>
          <w:p w14:paraId="6F7EA436" w14:textId="77777777" w:rsidR="007E5F3B" w:rsidRPr="00F43F5F" w:rsidRDefault="007E5F3B" w:rsidP="007E5F3B">
            <w:pPr>
              <w:pStyle w:val="Normal6"/>
            </w:pPr>
            <w:r w:rsidRPr="00F43F5F">
              <w:t>3.</w:t>
            </w:r>
            <w:r w:rsidRPr="00F43F5F">
              <w:tab/>
              <w:t>Medpanožne organizacije, ki so bile priznane pred 1. januarjem 2014 na podlagi nacionalne zakonodaje in ki ne izpolnjujejo pogojev iz odstavka 1 tega člena, lahko svoje dejavnosti izvajajo v skladu z nacionalno zakonodajo še do 1. januarja 2015.</w:t>
            </w:r>
          </w:p>
        </w:tc>
        <w:tc>
          <w:tcPr>
            <w:tcW w:w="4876" w:type="dxa"/>
          </w:tcPr>
          <w:p w14:paraId="686EA227" w14:textId="77777777" w:rsidR="007E5F3B" w:rsidRPr="00F43F5F" w:rsidRDefault="007E5F3B" w:rsidP="007E5F3B">
            <w:pPr>
              <w:pStyle w:val="Normal6"/>
              <w:rPr>
                <w:szCs w:val="24"/>
              </w:rPr>
            </w:pPr>
            <w:r w:rsidRPr="00F43F5F">
              <w:t>3.</w:t>
            </w:r>
            <w:r w:rsidRPr="00F43F5F">
              <w:tab/>
              <w:t>Medpanožne organizacije, ki so bile priznane pred 1. januarjem 2014 na podlagi nacionalne zakonodaje in ki ne izpolnjujejo pogojev iz odstavka 1 tega člena, lahko svoje dejavnosti izvajajo v skladu z nacionalno zakonodajo še do 1. januarja 2015.</w:t>
            </w:r>
          </w:p>
        </w:tc>
      </w:tr>
      <w:tr w:rsidR="007E5F3B" w:rsidRPr="00F43F5F" w14:paraId="2CA1ECB1" w14:textId="77777777" w:rsidTr="007E5F3B">
        <w:trPr>
          <w:jc w:val="center"/>
        </w:trPr>
        <w:tc>
          <w:tcPr>
            <w:tcW w:w="4876" w:type="dxa"/>
          </w:tcPr>
          <w:p w14:paraId="43CBE29A" w14:textId="77777777" w:rsidR="007E5F3B" w:rsidRPr="00F43F5F" w:rsidRDefault="007E5F3B" w:rsidP="007E5F3B">
            <w:pPr>
              <w:pStyle w:val="Normal6"/>
            </w:pPr>
            <w:r w:rsidRPr="00F43F5F">
              <w:t>4.</w:t>
            </w:r>
            <w:r w:rsidRPr="00F43F5F">
              <w:tab/>
              <w:t>Države članice lahko priznajo medpanožne organizacije v vseh sektorjih, ki so obstajale pred 1. januarjem 2014 in so bile priznane na zahtevo ali ustanovljene z zakonom, četudi ne izpolnjujejo pogoja iz točke (b) člena 157(1) ali točke (b) člena 157(3).</w:t>
            </w:r>
          </w:p>
        </w:tc>
        <w:tc>
          <w:tcPr>
            <w:tcW w:w="4876" w:type="dxa"/>
          </w:tcPr>
          <w:p w14:paraId="7FC11079" w14:textId="77777777" w:rsidR="007E5F3B" w:rsidRPr="00F43F5F" w:rsidRDefault="007E5F3B" w:rsidP="007E5F3B">
            <w:pPr>
              <w:pStyle w:val="Normal6"/>
              <w:rPr>
                <w:szCs w:val="24"/>
              </w:rPr>
            </w:pPr>
            <w:r w:rsidRPr="00F43F5F">
              <w:t>4.</w:t>
            </w:r>
            <w:r w:rsidRPr="00F43F5F">
              <w:tab/>
              <w:t>Države članice lahko priznajo medpanožne organizacije v vseh sektorjih, ki so obstajale pred 1. januarjem 2014 in so bile priznane na zahtevo ali ustanovljene z zakonom, četudi ne izpolnjujejo pogoja iz točke (b) člena 157(1) ali točke (b) člena 157(3).</w:t>
            </w:r>
          </w:p>
        </w:tc>
      </w:tr>
      <w:tr w:rsidR="007E5F3B" w:rsidRPr="00F43F5F" w14:paraId="2A1BF362" w14:textId="77777777" w:rsidTr="007E5F3B">
        <w:trPr>
          <w:jc w:val="center"/>
        </w:trPr>
        <w:tc>
          <w:tcPr>
            <w:tcW w:w="4876" w:type="dxa"/>
          </w:tcPr>
          <w:p w14:paraId="5B020A28" w14:textId="77777777" w:rsidR="007E5F3B" w:rsidRPr="00F43F5F" w:rsidRDefault="007E5F3B" w:rsidP="007E5F3B">
            <w:pPr>
              <w:pStyle w:val="Normal6"/>
            </w:pPr>
            <w:r w:rsidRPr="00F43F5F">
              <w:t>5.</w:t>
            </w:r>
            <w:r w:rsidRPr="00F43F5F">
              <w:tab/>
              <w:t>Kadar države članice priznajo medpanožno organizacijo v skladu z odstavkom 1 ali 2:</w:t>
            </w:r>
          </w:p>
        </w:tc>
        <w:tc>
          <w:tcPr>
            <w:tcW w:w="4876" w:type="dxa"/>
          </w:tcPr>
          <w:p w14:paraId="784C81C9" w14:textId="77777777" w:rsidR="007E5F3B" w:rsidRPr="00F43F5F" w:rsidRDefault="007E5F3B" w:rsidP="007E5F3B">
            <w:pPr>
              <w:pStyle w:val="Normal6"/>
              <w:rPr>
                <w:szCs w:val="24"/>
              </w:rPr>
            </w:pPr>
            <w:r w:rsidRPr="00F43F5F">
              <w:t>5.</w:t>
            </w:r>
            <w:r w:rsidRPr="00F43F5F">
              <w:tab/>
              <w:t>Kadar države članice priznajo medpanožno organizacijo v skladu z odstavkom 1 ali 2:</w:t>
            </w:r>
          </w:p>
        </w:tc>
      </w:tr>
      <w:tr w:rsidR="007E5F3B" w:rsidRPr="00F43F5F" w14:paraId="7DDA22AD" w14:textId="77777777" w:rsidTr="007E5F3B">
        <w:trPr>
          <w:jc w:val="center"/>
        </w:trPr>
        <w:tc>
          <w:tcPr>
            <w:tcW w:w="4876" w:type="dxa"/>
          </w:tcPr>
          <w:p w14:paraId="0D54B7B8" w14:textId="77777777" w:rsidR="007E5F3B" w:rsidRPr="00F43F5F" w:rsidRDefault="007E5F3B" w:rsidP="007E5F3B">
            <w:pPr>
              <w:pStyle w:val="Normal6"/>
            </w:pPr>
            <w:r w:rsidRPr="00F43F5F">
              <w:t>(a)</w:t>
            </w:r>
            <w:r w:rsidRPr="00F43F5F">
              <w:tab/>
              <w:t>v štirih mesecih po vložitvi zahtevka, ki so mu priložena vsa ustrezna dokazila, odločijo, ali bodo priznale medpanožno organizacijo; ta zahtevek se vloži pri državi članici, v kateri ima organizacija sedež;</w:t>
            </w:r>
          </w:p>
        </w:tc>
        <w:tc>
          <w:tcPr>
            <w:tcW w:w="4876" w:type="dxa"/>
          </w:tcPr>
          <w:p w14:paraId="0618BB67" w14:textId="77777777" w:rsidR="007E5F3B" w:rsidRPr="00F43F5F" w:rsidRDefault="007E5F3B" w:rsidP="007E5F3B">
            <w:pPr>
              <w:pStyle w:val="Normal6"/>
              <w:rPr>
                <w:szCs w:val="24"/>
              </w:rPr>
            </w:pPr>
            <w:r w:rsidRPr="00F43F5F">
              <w:t>(a)</w:t>
            </w:r>
            <w:r w:rsidRPr="00F43F5F">
              <w:tab/>
              <w:t>v štirih mesecih po vložitvi zahtevka, ki so mu priložena vsa ustrezna dokazila, odločijo, ali bodo priznale medpanožno organizacijo; ta zahtevek se vloži pri državi članici, v kateri ima organizacija sedež;</w:t>
            </w:r>
          </w:p>
        </w:tc>
      </w:tr>
      <w:tr w:rsidR="007E5F3B" w:rsidRPr="00F43F5F" w14:paraId="07F56A3D" w14:textId="77777777" w:rsidTr="007E5F3B">
        <w:trPr>
          <w:jc w:val="center"/>
        </w:trPr>
        <w:tc>
          <w:tcPr>
            <w:tcW w:w="4876" w:type="dxa"/>
          </w:tcPr>
          <w:p w14:paraId="347132E5" w14:textId="77777777" w:rsidR="007E5F3B" w:rsidRPr="00F43F5F" w:rsidRDefault="007E5F3B" w:rsidP="007E5F3B">
            <w:pPr>
              <w:pStyle w:val="Normal6"/>
            </w:pPr>
            <w:r w:rsidRPr="00F43F5F">
              <w:t>(b)</w:t>
            </w:r>
            <w:r w:rsidRPr="00F43F5F">
              <w:tab/>
              <w:t>v časovnih obdobjih, ki jih določijo same, opravljajo preglede, s katerimi preverijo, ali medpanožne organizacije spoštujejo pogoje, povezane z njihovim priznanjem;</w:t>
            </w:r>
          </w:p>
        </w:tc>
        <w:tc>
          <w:tcPr>
            <w:tcW w:w="4876" w:type="dxa"/>
          </w:tcPr>
          <w:p w14:paraId="75BA5254" w14:textId="77777777" w:rsidR="007E5F3B" w:rsidRPr="00F43F5F" w:rsidRDefault="007E5F3B" w:rsidP="007E5F3B">
            <w:pPr>
              <w:pStyle w:val="Normal6"/>
              <w:rPr>
                <w:szCs w:val="24"/>
              </w:rPr>
            </w:pPr>
            <w:r w:rsidRPr="00F43F5F">
              <w:t>(b)</w:t>
            </w:r>
            <w:r w:rsidRPr="00F43F5F">
              <w:tab/>
              <w:t>v časovnih obdobjih, ki jih določijo same, opravljajo preglede, s katerimi preverijo, ali medpanožne organizacije spoštujejo pogoje, povezane z njihovim priznanjem;</w:t>
            </w:r>
          </w:p>
        </w:tc>
      </w:tr>
      <w:tr w:rsidR="007E5F3B" w:rsidRPr="00F43F5F" w14:paraId="08987CE1" w14:textId="77777777" w:rsidTr="007E5F3B">
        <w:trPr>
          <w:jc w:val="center"/>
        </w:trPr>
        <w:tc>
          <w:tcPr>
            <w:tcW w:w="4876" w:type="dxa"/>
          </w:tcPr>
          <w:p w14:paraId="6CF9543D" w14:textId="77777777" w:rsidR="007E5F3B" w:rsidRPr="00F43F5F" w:rsidRDefault="007E5F3B" w:rsidP="007E5F3B">
            <w:pPr>
              <w:pStyle w:val="Normal6"/>
            </w:pPr>
            <w:r w:rsidRPr="00F43F5F">
              <w:t>(c)</w:t>
            </w:r>
            <w:r w:rsidRPr="00F43F5F">
              <w:tab/>
              <w:t>v primeru nespoštovanja ali nepravilnosti pri izvajanju ukrepov iz te uredbe naložijo tem organizacijam veljavne kazni, ki so jih določile, ter po potrebi odločijo, ali je treba priznanje preklicati;</w:t>
            </w:r>
          </w:p>
        </w:tc>
        <w:tc>
          <w:tcPr>
            <w:tcW w:w="4876" w:type="dxa"/>
          </w:tcPr>
          <w:p w14:paraId="34219D33" w14:textId="77777777" w:rsidR="007E5F3B" w:rsidRPr="00F43F5F" w:rsidRDefault="007E5F3B" w:rsidP="007E5F3B">
            <w:pPr>
              <w:pStyle w:val="Normal6"/>
              <w:rPr>
                <w:szCs w:val="24"/>
              </w:rPr>
            </w:pPr>
            <w:r w:rsidRPr="00F43F5F">
              <w:t>(c)</w:t>
            </w:r>
            <w:r w:rsidRPr="00F43F5F">
              <w:tab/>
              <w:t>v primeru nespoštovanja ali nepravilnosti pri izvajanju ukrepov iz te uredbe naložijo tem organizacijam veljavne kazni, ki so jih določile, ter po potrebi odločijo, ali je treba priznanje preklicati;</w:t>
            </w:r>
          </w:p>
        </w:tc>
      </w:tr>
      <w:tr w:rsidR="007E5F3B" w:rsidRPr="00F43F5F" w14:paraId="57A7740C" w14:textId="77777777" w:rsidTr="007E5F3B">
        <w:trPr>
          <w:jc w:val="center"/>
        </w:trPr>
        <w:tc>
          <w:tcPr>
            <w:tcW w:w="4876" w:type="dxa"/>
          </w:tcPr>
          <w:p w14:paraId="5CFB84ED" w14:textId="77777777" w:rsidR="007E5F3B" w:rsidRPr="00F43F5F" w:rsidRDefault="007E5F3B" w:rsidP="007E5F3B">
            <w:pPr>
              <w:pStyle w:val="Normal6"/>
            </w:pPr>
            <w:r w:rsidRPr="00F43F5F">
              <w:t>(d)</w:t>
            </w:r>
            <w:r w:rsidRPr="00F43F5F">
              <w:tab/>
              <w:t>prekličejo priznanje, če zahteve in pogoji za priznanje, določeni v tem členu, niso več izpolnjeni;</w:t>
            </w:r>
          </w:p>
        </w:tc>
        <w:tc>
          <w:tcPr>
            <w:tcW w:w="4876" w:type="dxa"/>
          </w:tcPr>
          <w:p w14:paraId="382752FD" w14:textId="77777777" w:rsidR="007E5F3B" w:rsidRPr="00F43F5F" w:rsidRDefault="007E5F3B" w:rsidP="007E5F3B">
            <w:pPr>
              <w:pStyle w:val="Normal6"/>
              <w:rPr>
                <w:szCs w:val="24"/>
              </w:rPr>
            </w:pPr>
            <w:r w:rsidRPr="00F43F5F">
              <w:t>(d)</w:t>
            </w:r>
            <w:r w:rsidRPr="00F43F5F">
              <w:tab/>
              <w:t>prekličejo priznanje, če zahteve in pogoji za priznanje, določeni v tem členu, niso več izpolnjeni;</w:t>
            </w:r>
          </w:p>
        </w:tc>
      </w:tr>
      <w:tr w:rsidR="007E5F3B" w:rsidRPr="00F43F5F" w14:paraId="5D318ACD" w14:textId="77777777" w:rsidTr="007E5F3B">
        <w:trPr>
          <w:jc w:val="center"/>
        </w:trPr>
        <w:tc>
          <w:tcPr>
            <w:tcW w:w="4876" w:type="dxa"/>
          </w:tcPr>
          <w:p w14:paraId="4E1BDCC8" w14:textId="77777777" w:rsidR="007E5F3B" w:rsidRPr="00F43F5F" w:rsidRDefault="007E5F3B" w:rsidP="007E5F3B">
            <w:pPr>
              <w:pStyle w:val="Normal6"/>
            </w:pPr>
            <w:r w:rsidRPr="00F43F5F">
              <w:t>(e)</w:t>
            </w:r>
            <w:r w:rsidRPr="00F43F5F">
              <w:tab/>
              <w:t>Komisijo vsako leto do 31. marca obvestijo o vsaki odločitvi o odobritvi, zavrnitvi ali preklicu priznanja, sprejeti v predhodnem koledarskem letu.</w:t>
            </w:r>
          </w:p>
        </w:tc>
        <w:tc>
          <w:tcPr>
            <w:tcW w:w="4876" w:type="dxa"/>
          </w:tcPr>
          <w:p w14:paraId="1DF1B821" w14:textId="77777777" w:rsidR="007E5F3B" w:rsidRPr="00F43F5F" w:rsidRDefault="007E5F3B" w:rsidP="007E5F3B">
            <w:pPr>
              <w:pStyle w:val="Normal6"/>
              <w:rPr>
                <w:szCs w:val="24"/>
              </w:rPr>
            </w:pPr>
            <w:r w:rsidRPr="00F43F5F">
              <w:t>(e)</w:t>
            </w:r>
            <w:r w:rsidRPr="00F43F5F">
              <w:tab/>
              <w:t>Komisijo vsako leto do 31. marca obvestijo o vsaki odločitvi o odobritvi, zavrnitvi ali preklicu priznanja, sprejeti v predhodnem koledarskem letu.</w:t>
            </w:r>
            <w:r w:rsidRPr="00F43F5F">
              <w:rPr>
                <w:b/>
                <w:i/>
              </w:rPr>
              <w:t>“</w:t>
            </w:r>
          </w:p>
        </w:tc>
      </w:tr>
    </w:tbl>
    <w:p w14:paraId="3D930C19" w14:textId="77777777" w:rsidR="007E5F3B" w:rsidRDefault="007E5F3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5EE39AD9" w14:textId="198E44C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118</w:t>
      </w:r>
    </w:p>
    <w:p w14:paraId="5CB86A72" w14:textId="77777777" w:rsidR="006F5BFE" w:rsidRPr="003B2277" w:rsidRDefault="006F5BFE" w:rsidP="006F5BFE">
      <w:pPr>
        <w:spacing w:before="240"/>
        <w:rPr>
          <w:b/>
          <w:lang w:eastAsia="en-US"/>
        </w:rPr>
      </w:pPr>
      <w:r w:rsidRPr="003B2277">
        <w:rPr>
          <w:rFonts w:eastAsia="Calibri" w:cs="Mangal"/>
          <w:b/>
          <w:lang w:eastAsia="en-US"/>
        </w:rPr>
        <w:t>Predlog uredbe</w:t>
      </w:r>
    </w:p>
    <w:p w14:paraId="29D87BAB" w14:textId="7DEBC9E7" w:rsidR="006F5BFE" w:rsidRPr="003B2277" w:rsidRDefault="006F5BFE" w:rsidP="006F5BFE">
      <w:pPr>
        <w:rPr>
          <w:b/>
          <w:lang w:eastAsia="en-US"/>
        </w:rPr>
      </w:pPr>
      <w:r w:rsidRPr="003B2277">
        <w:rPr>
          <w:rFonts w:eastAsia="Calibri" w:cs="Mangal"/>
          <w:b/>
          <w:lang w:eastAsia="en-US"/>
        </w:rPr>
        <w:t xml:space="preserve">Člen 1 – odstavek 1 – točka 22 </w:t>
      </w:r>
      <w:r w:rsidR="00871C85">
        <w:rPr>
          <w:rFonts w:eastAsia="Calibri" w:cs="Mangal"/>
          <w:b/>
          <w:lang w:eastAsia="en-US"/>
        </w:rPr>
        <w:t xml:space="preserve">k </w:t>
      </w:r>
      <w:r w:rsidRPr="003B2277">
        <w:rPr>
          <w:rFonts w:eastAsia="Calibri" w:cs="Mangal"/>
          <w:b/>
          <w:lang w:eastAsia="en-US"/>
        </w:rPr>
        <w:t>(novo)</w:t>
      </w:r>
    </w:p>
    <w:p w14:paraId="710D2A4E" w14:textId="77777777" w:rsidR="006F5BFE" w:rsidRPr="003B2277" w:rsidRDefault="006F5BFE" w:rsidP="006F5BFE">
      <w:pPr>
        <w:keepNext/>
        <w:rPr>
          <w:lang w:eastAsia="en-US"/>
        </w:rPr>
      </w:pPr>
      <w:r w:rsidRPr="003B2277">
        <w:rPr>
          <w:rFonts w:eastAsia="Calibri" w:cs="Mangal"/>
          <w:lang w:eastAsia="en-US"/>
        </w:rPr>
        <w:t>Uredba (EU) št. 1308/2013</w:t>
      </w:r>
    </w:p>
    <w:p w14:paraId="211CF4B7" w14:textId="77777777" w:rsidR="006F5BFE" w:rsidRPr="003B2277" w:rsidRDefault="006F5BFE" w:rsidP="006F5BFE">
      <w:pPr>
        <w:rPr>
          <w:lang w:eastAsia="en-US"/>
        </w:rPr>
      </w:pPr>
      <w:r w:rsidRPr="003B2277">
        <w:rPr>
          <w:rFonts w:eastAsia="Calibri" w:cs="Mangal"/>
          <w:lang w:eastAsia="en-US"/>
        </w:rPr>
        <w:t>Člen 158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98EDC0E" w14:textId="77777777" w:rsidTr="005B4D60">
        <w:trPr>
          <w:jc w:val="center"/>
        </w:trPr>
        <w:tc>
          <w:tcPr>
            <w:tcW w:w="9752" w:type="dxa"/>
            <w:gridSpan w:val="2"/>
          </w:tcPr>
          <w:p w14:paraId="6EE4C60D" w14:textId="77777777" w:rsidR="006F5BFE" w:rsidRPr="003B2277" w:rsidRDefault="006F5BFE" w:rsidP="005B4D60">
            <w:pPr>
              <w:keepNext/>
            </w:pPr>
          </w:p>
        </w:tc>
      </w:tr>
      <w:tr w:rsidR="006F5BFE" w:rsidRPr="003B2277" w14:paraId="3B343ED5" w14:textId="77777777" w:rsidTr="005B4D60">
        <w:trPr>
          <w:jc w:val="center"/>
        </w:trPr>
        <w:tc>
          <w:tcPr>
            <w:tcW w:w="4876" w:type="dxa"/>
            <w:hideMark/>
          </w:tcPr>
          <w:p w14:paraId="589CDE5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509FCCF" w14:textId="4275C596"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9304B2B" w14:textId="77777777" w:rsidTr="005B4D60">
        <w:trPr>
          <w:jc w:val="center"/>
        </w:trPr>
        <w:tc>
          <w:tcPr>
            <w:tcW w:w="4876" w:type="dxa"/>
          </w:tcPr>
          <w:p w14:paraId="5E5B3C9B" w14:textId="77777777" w:rsidR="006F5BFE" w:rsidRPr="003B2277" w:rsidRDefault="006F5BFE" w:rsidP="005B4D60">
            <w:pPr>
              <w:spacing w:after="120"/>
            </w:pPr>
          </w:p>
        </w:tc>
        <w:tc>
          <w:tcPr>
            <w:tcW w:w="4876" w:type="dxa"/>
            <w:hideMark/>
          </w:tcPr>
          <w:p w14:paraId="6D30EE3B" w14:textId="59ADA3B8" w:rsidR="006F5BFE" w:rsidRPr="003B2277" w:rsidRDefault="006F5BFE" w:rsidP="005B4D60">
            <w:pPr>
              <w:spacing w:after="120"/>
              <w:rPr>
                <w:szCs w:val="24"/>
                <w:lang w:eastAsia="en-US"/>
              </w:rPr>
            </w:pPr>
            <w:r w:rsidRPr="003B2277">
              <w:rPr>
                <w:rFonts w:eastAsia="Calibri" w:cs="Mangal"/>
                <w:b/>
                <w:i/>
                <w:lang w:eastAsia="en-US"/>
              </w:rPr>
              <w:t>(22</w:t>
            </w:r>
            <w:r w:rsidR="00871C85">
              <w:rPr>
                <w:rFonts w:eastAsia="Calibri" w:cs="Mangal"/>
                <w:b/>
                <w:i/>
                <w:lang w:eastAsia="en-US"/>
              </w:rPr>
              <w:t>k</w:t>
            </w:r>
            <w:r w:rsidRPr="003B2277">
              <w:rPr>
                <w:rFonts w:eastAsia="Calibri" w:cs="Mangal"/>
                <w:b/>
                <w:i/>
                <w:lang w:eastAsia="en-US"/>
              </w:rPr>
              <w:t>)</w:t>
            </w:r>
            <w:r w:rsidRPr="003B2277">
              <w:rPr>
                <w:rFonts w:eastAsia="Calibri" w:cs="Mangal"/>
                <w:b/>
                <w:i/>
                <w:lang w:eastAsia="en-US"/>
              </w:rPr>
              <w:tab/>
              <w:t>v oddelku I poglavja III se vstavi naslednji člen:</w:t>
            </w:r>
          </w:p>
        </w:tc>
      </w:tr>
      <w:tr w:rsidR="006F5BFE" w:rsidRPr="003B2277" w14:paraId="51D594DF" w14:textId="77777777" w:rsidTr="005B4D60">
        <w:trPr>
          <w:jc w:val="center"/>
        </w:trPr>
        <w:tc>
          <w:tcPr>
            <w:tcW w:w="4876" w:type="dxa"/>
          </w:tcPr>
          <w:p w14:paraId="1CC05C4F" w14:textId="77777777" w:rsidR="006F5BFE" w:rsidRPr="003B2277" w:rsidRDefault="006F5BFE" w:rsidP="005B4D60">
            <w:pPr>
              <w:spacing w:after="120"/>
            </w:pPr>
          </w:p>
        </w:tc>
        <w:tc>
          <w:tcPr>
            <w:tcW w:w="4876" w:type="dxa"/>
            <w:hideMark/>
          </w:tcPr>
          <w:p w14:paraId="1AA1F235" w14:textId="77777777" w:rsidR="006F5BFE" w:rsidRPr="003B2277" w:rsidRDefault="006F5BFE" w:rsidP="005B4D60">
            <w:pPr>
              <w:spacing w:after="120"/>
              <w:rPr>
                <w:szCs w:val="24"/>
                <w:lang w:eastAsia="en-US"/>
              </w:rPr>
            </w:pPr>
            <w:r w:rsidRPr="003B2277">
              <w:rPr>
                <w:rFonts w:eastAsia="Calibri" w:cs="Mangal"/>
                <w:b/>
                <w:i/>
                <w:lang w:eastAsia="en-US"/>
              </w:rPr>
              <w:t>„Člen 158a</w:t>
            </w:r>
          </w:p>
        </w:tc>
      </w:tr>
      <w:tr w:rsidR="006F5BFE" w:rsidRPr="003B2277" w14:paraId="3D6DCDE1" w14:textId="77777777" w:rsidTr="005B4D60">
        <w:trPr>
          <w:jc w:val="center"/>
        </w:trPr>
        <w:tc>
          <w:tcPr>
            <w:tcW w:w="4876" w:type="dxa"/>
          </w:tcPr>
          <w:p w14:paraId="09BD2301" w14:textId="77777777" w:rsidR="006F5BFE" w:rsidRPr="003B2277" w:rsidRDefault="006F5BFE" w:rsidP="005B4D60">
            <w:pPr>
              <w:spacing w:after="120"/>
            </w:pPr>
          </w:p>
        </w:tc>
        <w:tc>
          <w:tcPr>
            <w:tcW w:w="4876" w:type="dxa"/>
            <w:hideMark/>
          </w:tcPr>
          <w:p w14:paraId="37F497BC" w14:textId="77777777" w:rsidR="006F5BFE" w:rsidRPr="003B2277" w:rsidRDefault="006F5BFE" w:rsidP="005B4D60">
            <w:pPr>
              <w:spacing w:after="120"/>
              <w:rPr>
                <w:szCs w:val="24"/>
                <w:lang w:eastAsia="en-US"/>
              </w:rPr>
            </w:pPr>
            <w:r w:rsidRPr="003B2277">
              <w:rPr>
                <w:rFonts w:eastAsia="Calibri" w:cs="Mangal"/>
                <w:b/>
                <w:i/>
                <w:lang w:eastAsia="en-US"/>
              </w:rPr>
              <w:t>Združenja medpanožnih organizacij</w:t>
            </w:r>
          </w:p>
        </w:tc>
      </w:tr>
      <w:tr w:rsidR="006F5BFE" w:rsidRPr="003B2277" w14:paraId="4572752C" w14:textId="77777777" w:rsidTr="005B4D60">
        <w:trPr>
          <w:jc w:val="center"/>
        </w:trPr>
        <w:tc>
          <w:tcPr>
            <w:tcW w:w="4876" w:type="dxa"/>
          </w:tcPr>
          <w:p w14:paraId="38800EA0" w14:textId="77777777" w:rsidR="006F5BFE" w:rsidRPr="003B2277" w:rsidRDefault="006F5BFE" w:rsidP="005B4D60">
            <w:pPr>
              <w:spacing w:after="120"/>
            </w:pPr>
          </w:p>
        </w:tc>
        <w:tc>
          <w:tcPr>
            <w:tcW w:w="4876" w:type="dxa"/>
            <w:hideMark/>
          </w:tcPr>
          <w:p w14:paraId="23BDDA75" w14:textId="77777777" w:rsidR="006F5BFE" w:rsidRPr="003B2277" w:rsidRDefault="006F5BFE" w:rsidP="005B4D60">
            <w:pPr>
              <w:spacing w:after="120"/>
              <w:rPr>
                <w:szCs w:val="24"/>
                <w:lang w:eastAsia="en-US"/>
              </w:rPr>
            </w:pPr>
            <w:r w:rsidRPr="003B2277">
              <w:rPr>
                <w:rFonts w:eastAsia="Calibri" w:cs="Mangal"/>
                <w:b/>
                <w:i/>
                <w:lang w:eastAsia="en-US"/>
              </w:rPr>
              <w:t>Države članice lahko na zahtevo priznajo združenja medpanožnih organizacij v določenem sektorju iz člena 1(2), ki so ustanovljena na pobudo priznanih medpanožnih organizacij.</w:t>
            </w:r>
          </w:p>
        </w:tc>
      </w:tr>
      <w:tr w:rsidR="006F5BFE" w:rsidRPr="003B2277" w14:paraId="3DD48CF8" w14:textId="77777777" w:rsidTr="005B4D60">
        <w:trPr>
          <w:jc w:val="center"/>
        </w:trPr>
        <w:tc>
          <w:tcPr>
            <w:tcW w:w="4876" w:type="dxa"/>
          </w:tcPr>
          <w:p w14:paraId="5305FB70" w14:textId="77777777" w:rsidR="006F5BFE" w:rsidRPr="003B2277" w:rsidRDefault="006F5BFE" w:rsidP="005B4D60">
            <w:pPr>
              <w:spacing w:after="120"/>
            </w:pPr>
          </w:p>
        </w:tc>
        <w:tc>
          <w:tcPr>
            <w:tcW w:w="4876" w:type="dxa"/>
            <w:hideMark/>
          </w:tcPr>
          <w:p w14:paraId="278BEB74" w14:textId="77777777" w:rsidR="006F5BFE" w:rsidRPr="003B2277" w:rsidRDefault="006F5BFE" w:rsidP="005B4D60">
            <w:pPr>
              <w:spacing w:after="120"/>
              <w:rPr>
                <w:szCs w:val="24"/>
                <w:lang w:eastAsia="en-US"/>
              </w:rPr>
            </w:pPr>
            <w:r w:rsidRPr="003B2277">
              <w:rPr>
                <w:rFonts w:eastAsia="Calibri" w:cs="Mangal"/>
                <w:b/>
                <w:i/>
                <w:lang w:eastAsia="en-US"/>
              </w:rPr>
              <w:t>Ob upoštevanju pravil, sprejetih v skladu s členom 173, lahko združenja organizacij proizvajalcev izvajajo katere koli dejavnosti ali naloge medpanožnih organizacij.“;</w:t>
            </w:r>
          </w:p>
        </w:tc>
      </w:tr>
    </w:tbl>
    <w:p w14:paraId="32A4809D" w14:textId="3B29F2E5"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119</w:t>
      </w:r>
    </w:p>
    <w:p w14:paraId="6BE6E3DE" w14:textId="77777777" w:rsidR="006F5BFE" w:rsidRPr="003B2277" w:rsidRDefault="006F5BFE" w:rsidP="006F5BFE">
      <w:pPr>
        <w:spacing w:before="240"/>
        <w:rPr>
          <w:b/>
          <w:lang w:eastAsia="en-US"/>
        </w:rPr>
      </w:pPr>
      <w:r w:rsidRPr="003B2277">
        <w:rPr>
          <w:rFonts w:eastAsia="Calibri" w:cs="Mangal"/>
          <w:b/>
          <w:lang w:eastAsia="en-US"/>
        </w:rPr>
        <w:t>Predlog uredbe</w:t>
      </w:r>
    </w:p>
    <w:p w14:paraId="13C0BDE0" w14:textId="756EACF9" w:rsidR="006F5BFE" w:rsidRPr="003B2277" w:rsidRDefault="006F5BFE" w:rsidP="006F5BFE">
      <w:pPr>
        <w:rPr>
          <w:b/>
          <w:lang w:eastAsia="en-US"/>
        </w:rPr>
      </w:pPr>
      <w:r w:rsidRPr="003B2277">
        <w:rPr>
          <w:rFonts w:eastAsia="Calibri" w:cs="Mangal"/>
          <w:b/>
          <w:lang w:eastAsia="en-US"/>
        </w:rPr>
        <w:t xml:space="preserve">Člen 1 – odstavek 1 – točka 22 </w:t>
      </w:r>
      <w:r w:rsidR="00871C85">
        <w:rPr>
          <w:rFonts w:eastAsia="Calibri" w:cs="Mangal"/>
          <w:b/>
          <w:lang w:eastAsia="en-US"/>
        </w:rPr>
        <w:t>l</w:t>
      </w:r>
      <w:r w:rsidRPr="003B2277">
        <w:rPr>
          <w:rFonts w:eastAsia="Calibri" w:cs="Mangal"/>
          <w:b/>
          <w:lang w:eastAsia="en-US"/>
        </w:rPr>
        <w:t xml:space="preserve"> (novo)</w:t>
      </w:r>
    </w:p>
    <w:p w14:paraId="64410886" w14:textId="77777777" w:rsidR="006F5BFE" w:rsidRPr="003B2277" w:rsidRDefault="006F5BFE" w:rsidP="006F5BFE">
      <w:pPr>
        <w:keepNext/>
        <w:rPr>
          <w:lang w:eastAsia="en-US"/>
        </w:rPr>
      </w:pPr>
      <w:r w:rsidRPr="003B2277">
        <w:rPr>
          <w:rFonts w:eastAsia="Calibri" w:cs="Mangal"/>
          <w:lang w:eastAsia="en-US"/>
        </w:rPr>
        <w:t>Uredba (EU) št. 1308/2013</w:t>
      </w:r>
    </w:p>
    <w:p w14:paraId="2DF0E7D4" w14:textId="77777777" w:rsidR="006F5BFE" w:rsidRPr="003B2277" w:rsidRDefault="006F5BFE" w:rsidP="006F5BFE">
      <w:pPr>
        <w:rPr>
          <w:lang w:eastAsia="en-US"/>
        </w:rPr>
      </w:pPr>
      <w:r w:rsidRPr="003B2277">
        <w:rPr>
          <w:rFonts w:eastAsia="Calibri" w:cs="Mangal"/>
          <w:lang w:eastAsia="en-US"/>
        </w:rPr>
        <w:t>Člen 158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11B90B" w14:textId="77777777" w:rsidTr="005B4D60">
        <w:trPr>
          <w:jc w:val="center"/>
        </w:trPr>
        <w:tc>
          <w:tcPr>
            <w:tcW w:w="9752" w:type="dxa"/>
            <w:gridSpan w:val="2"/>
          </w:tcPr>
          <w:p w14:paraId="0DFA801E" w14:textId="77777777" w:rsidR="006F5BFE" w:rsidRPr="003B2277" w:rsidRDefault="006F5BFE" w:rsidP="005B4D60">
            <w:pPr>
              <w:keepNext/>
            </w:pPr>
          </w:p>
        </w:tc>
      </w:tr>
      <w:tr w:rsidR="006F5BFE" w:rsidRPr="003B2277" w14:paraId="2A889986" w14:textId="77777777" w:rsidTr="005B4D60">
        <w:trPr>
          <w:jc w:val="center"/>
        </w:trPr>
        <w:tc>
          <w:tcPr>
            <w:tcW w:w="4876" w:type="dxa"/>
            <w:hideMark/>
          </w:tcPr>
          <w:p w14:paraId="68F4B30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E854A85" w14:textId="5358082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292415E" w14:textId="77777777" w:rsidTr="005B4D60">
        <w:trPr>
          <w:jc w:val="center"/>
        </w:trPr>
        <w:tc>
          <w:tcPr>
            <w:tcW w:w="4876" w:type="dxa"/>
          </w:tcPr>
          <w:p w14:paraId="55766EEA" w14:textId="77777777" w:rsidR="006F5BFE" w:rsidRPr="003B2277" w:rsidRDefault="006F5BFE" w:rsidP="005B4D60">
            <w:pPr>
              <w:spacing w:after="120"/>
            </w:pPr>
          </w:p>
        </w:tc>
        <w:tc>
          <w:tcPr>
            <w:tcW w:w="4876" w:type="dxa"/>
            <w:hideMark/>
          </w:tcPr>
          <w:p w14:paraId="3B89DA8E" w14:textId="31EEB236" w:rsidR="006F5BFE" w:rsidRPr="003B2277" w:rsidRDefault="006F5BFE" w:rsidP="005B4D60">
            <w:pPr>
              <w:spacing w:after="120"/>
              <w:rPr>
                <w:szCs w:val="24"/>
                <w:lang w:eastAsia="en-US"/>
              </w:rPr>
            </w:pPr>
            <w:r w:rsidRPr="003B2277">
              <w:rPr>
                <w:rFonts w:eastAsia="Calibri" w:cs="Mangal"/>
                <w:b/>
                <w:i/>
                <w:lang w:eastAsia="en-US"/>
              </w:rPr>
              <w:t>(22</w:t>
            </w:r>
            <w:r w:rsidR="00871C85">
              <w:rPr>
                <w:rFonts w:eastAsia="Calibri" w:cs="Mangal"/>
                <w:b/>
                <w:i/>
                <w:lang w:eastAsia="en-US"/>
              </w:rPr>
              <w:t>l</w:t>
            </w:r>
            <w:r w:rsidRPr="003B2277">
              <w:rPr>
                <w:rFonts w:eastAsia="Calibri" w:cs="Mangal"/>
                <w:b/>
                <w:i/>
                <w:lang w:eastAsia="en-US"/>
              </w:rPr>
              <w:t>)</w:t>
            </w:r>
            <w:r w:rsidRPr="003B2277">
              <w:rPr>
                <w:rFonts w:eastAsia="Calibri" w:cs="Mangal"/>
                <w:b/>
                <w:i/>
                <w:lang w:eastAsia="en-US"/>
              </w:rPr>
              <w:tab/>
              <w:t>v oddelku I poglavja III se vstavi naslednji člen:</w:t>
            </w:r>
          </w:p>
        </w:tc>
      </w:tr>
      <w:tr w:rsidR="006F5BFE" w:rsidRPr="003B2277" w14:paraId="683583DC" w14:textId="77777777" w:rsidTr="005B4D60">
        <w:trPr>
          <w:jc w:val="center"/>
        </w:trPr>
        <w:tc>
          <w:tcPr>
            <w:tcW w:w="4876" w:type="dxa"/>
          </w:tcPr>
          <w:p w14:paraId="2FE28D70" w14:textId="77777777" w:rsidR="006F5BFE" w:rsidRPr="003B2277" w:rsidRDefault="006F5BFE" w:rsidP="005B4D60">
            <w:pPr>
              <w:spacing w:after="120"/>
            </w:pPr>
          </w:p>
        </w:tc>
        <w:tc>
          <w:tcPr>
            <w:tcW w:w="4876" w:type="dxa"/>
            <w:hideMark/>
          </w:tcPr>
          <w:p w14:paraId="2158D6CF" w14:textId="77777777" w:rsidR="006F5BFE" w:rsidRPr="003B2277" w:rsidRDefault="006F5BFE" w:rsidP="005B4D60">
            <w:pPr>
              <w:spacing w:after="120"/>
              <w:rPr>
                <w:szCs w:val="24"/>
                <w:lang w:eastAsia="en-US"/>
              </w:rPr>
            </w:pPr>
            <w:r w:rsidRPr="003B2277">
              <w:rPr>
                <w:rFonts w:eastAsia="Calibri" w:cs="Mangal"/>
                <w:b/>
                <w:i/>
                <w:lang w:eastAsia="en-US"/>
              </w:rPr>
              <w:t>Člen 158b</w:t>
            </w:r>
          </w:p>
        </w:tc>
      </w:tr>
      <w:tr w:rsidR="006F5BFE" w:rsidRPr="003B2277" w14:paraId="54FDD8AA" w14:textId="77777777" w:rsidTr="005B4D60">
        <w:trPr>
          <w:jc w:val="center"/>
        </w:trPr>
        <w:tc>
          <w:tcPr>
            <w:tcW w:w="4876" w:type="dxa"/>
          </w:tcPr>
          <w:p w14:paraId="681085C2" w14:textId="77777777" w:rsidR="006F5BFE" w:rsidRPr="003B2277" w:rsidRDefault="006F5BFE" w:rsidP="005B4D60">
            <w:pPr>
              <w:spacing w:after="120"/>
            </w:pPr>
          </w:p>
        </w:tc>
        <w:tc>
          <w:tcPr>
            <w:tcW w:w="4876" w:type="dxa"/>
            <w:hideMark/>
          </w:tcPr>
          <w:p w14:paraId="5CE84076" w14:textId="77777777" w:rsidR="006F5BFE" w:rsidRPr="003B2277" w:rsidRDefault="006F5BFE" w:rsidP="005B4D60">
            <w:pPr>
              <w:spacing w:after="120"/>
              <w:rPr>
                <w:szCs w:val="24"/>
                <w:lang w:eastAsia="en-US"/>
              </w:rPr>
            </w:pPr>
            <w:r w:rsidRPr="003B2277">
              <w:rPr>
                <w:rFonts w:eastAsia="Calibri" w:cs="Mangal"/>
                <w:b/>
                <w:i/>
                <w:lang w:eastAsia="en-US"/>
              </w:rPr>
              <w:t>Nadnacionalne organizacije proizvajalcev in nadnacionalna združenja ter nadnacionalne medpanožne organizacije</w:t>
            </w:r>
          </w:p>
        </w:tc>
      </w:tr>
      <w:tr w:rsidR="006F5BFE" w:rsidRPr="003B2277" w14:paraId="6B9D4A52" w14:textId="77777777" w:rsidTr="005B4D60">
        <w:trPr>
          <w:jc w:val="center"/>
        </w:trPr>
        <w:tc>
          <w:tcPr>
            <w:tcW w:w="4876" w:type="dxa"/>
          </w:tcPr>
          <w:p w14:paraId="296DDDE2" w14:textId="77777777" w:rsidR="006F5BFE" w:rsidRPr="003B2277" w:rsidRDefault="006F5BFE" w:rsidP="005B4D60">
            <w:pPr>
              <w:spacing w:after="120"/>
            </w:pPr>
          </w:p>
        </w:tc>
        <w:tc>
          <w:tcPr>
            <w:tcW w:w="4876" w:type="dxa"/>
            <w:hideMark/>
          </w:tcPr>
          <w:p w14:paraId="76E5DEB2"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Za namene te uredbe navajanje organizacij proizvajalcev, združenj organizacij proizvajalcev in medpanožnih organizacij vključuje tudi nadnacionalne organizacije proizvajalcev, nadnacionalna združenja organizacij proizvajalcev in nadnacionalne medpanožne organizacije, priznane v skladu s tem členom.</w:t>
            </w:r>
          </w:p>
        </w:tc>
      </w:tr>
      <w:tr w:rsidR="006F5BFE" w:rsidRPr="003B2277" w14:paraId="0444DC96" w14:textId="77777777" w:rsidTr="005B4D60">
        <w:trPr>
          <w:jc w:val="center"/>
        </w:trPr>
        <w:tc>
          <w:tcPr>
            <w:tcW w:w="4876" w:type="dxa"/>
          </w:tcPr>
          <w:p w14:paraId="0C392F24" w14:textId="77777777" w:rsidR="006F5BFE" w:rsidRPr="003B2277" w:rsidRDefault="006F5BFE" w:rsidP="005B4D60">
            <w:pPr>
              <w:spacing w:after="120"/>
            </w:pPr>
          </w:p>
        </w:tc>
        <w:tc>
          <w:tcPr>
            <w:tcW w:w="4876" w:type="dxa"/>
            <w:hideMark/>
          </w:tcPr>
          <w:p w14:paraId="08D23B98"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Za namene te uredbe se uporabljajo naslednje opredelitve pojmov:</w:t>
            </w:r>
          </w:p>
        </w:tc>
      </w:tr>
      <w:tr w:rsidR="006F5BFE" w:rsidRPr="003B2277" w14:paraId="76A40897" w14:textId="77777777" w:rsidTr="005B4D60">
        <w:trPr>
          <w:jc w:val="center"/>
        </w:trPr>
        <w:tc>
          <w:tcPr>
            <w:tcW w:w="4876" w:type="dxa"/>
          </w:tcPr>
          <w:p w14:paraId="60CF19F7" w14:textId="77777777" w:rsidR="006F5BFE" w:rsidRPr="003B2277" w:rsidRDefault="006F5BFE" w:rsidP="005B4D60">
            <w:pPr>
              <w:spacing w:after="120"/>
            </w:pPr>
          </w:p>
        </w:tc>
        <w:tc>
          <w:tcPr>
            <w:tcW w:w="4876" w:type="dxa"/>
            <w:hideMark/>
          </w:tcPr>
          <w:p w14:paraId="042410C5" w14:textId="77777777" w:rsidR="006F5BFE" w:rsidRPr="003B2277" w:rsidRDefault="006F5BFE" w:rsidP="005B4D60">
            <w:pPr>
              <w:spacing w:after="120"/>
              <w:rPr>
                <w:szCs w:val="24"/>
                <w:lang w:eastAsia="en-US"/>
              </w:rPr>
            </w:pPr>
            <w:r w:rsidRPr="003B2277">
              <w:rPr>
                <w:rFonts w:eastAsia="Calibri" w:cs="Mangal"/>
                <w:b/>
                <w:i/>
                <w:lang w:eastAsia="en-US"/>
              </w:rPr>
              <w:t>(a) „nadnacionalna organizacija proizvajalcev“ pomeni vsako organizacijo proizvajalcev, v okviru katere se kmetijska gospodarstva članov proizvajalcev nahajajo v več kot eni državi članici;</w:t>
            </w:r>
          </w:p>
        </w:tc>
      </w:tr>
      <w:tr w:rsidR="006F5BFE" w:rsidRPr="003B2277" w14:paraId="32B91F99" w14:textId="77777777" w:rsidTr="005B4D60">
        <w:trPr>
          <w:jc w:val="center"/>
        </w:trPr>
        <w:tc>
          <w:tcPr>
            <w:tcW w:w="4876" w:type="dxa"/>
          </w:tcPr>
          <w:p w14:paraId="0DEA7D73" w14:textId="77777777" w:rsidR="006F5BFE" w:rsidRPr="003B2277" w:rsidRDefault="006F5BFE" w:rsidP="005B4D60">
            <w:pPr>
              <w:spacing w:after="120"/>
            </w:pPr>
          </w:p>
        </w:tc>
        <w:tc>
          <w:tcPr>
            <w:tcW w:w="4876" w:type="dxa"/>
            <w:hideMark/>
          </w:tcPr>
          <w:p w14:paraId="77DB4A2A" w14:textId="77777777" w:rsidR="006F5BFE" w:rsidRPr="003B2277" w:rsidRDefault="006F5BFE" w:rsidP="005B4D60">
            <w:pPr>
              <w:spacing w:after="120"/>
              <w:rPr>
                <w:szCs w:val="24"/>
                <w:lang w:eastAsia="en-US"/>
              </w:rPr>
            </w:pPr>
            <w:r w:rsidRPr="003B2277">
              <w:rPr>
                <w:rFonts w:eastAsia="Calibri" w:cs="Mangal"/>
                <w:b/>
                <w:i/>
                <w:lang w:eastAsia="en-US"/>
              </w:rPr>
              <w:t>(b) „nadnacionalno združenje organizacij proizvajalcev“ pomeni vsako združenje organizacij proizvajalcev, katerega organizacije članice se nahajajo v več kot eni državi članici;</w:t>
            </w:r>
          </w:p>
        </w:tc>
      </w:tr>
      <w:tr w:rsidR="006F5BFE" w:rsidRPr="003B2277" w14:paraId="79F82D2C" w14:textId="77777777" w:rsidTr="005B4D60">
        <w:trPr>
          <w:jc w:val="center"/>
        </w:trPr>
        <w:tc>
          <w:tcPr>
            <w:tcW w:w="4876" w:type="dxa"/>
          </w:tcPr>
          <w:p w14:paraId="02FE119E" w14:textId="77777777" w:rsidR="006F5BFE" w:rsidRPr="003B2277" w:rsidRDefault="006F5BFE" w:rsidP="005B4D60">
            <w:pPr>
              <w:spacing w:after="120"/>
            </w:pPr>
          </w:p>
        </w:tc>
        <w:tc>
          <w:tcPr>
            <w:tcW w:w="4876" w:type="dxa"/>
            <w:hideMark/>
          </w:tcPr>
          <w:p w14:paraId="67F6967D" w14:textId="77777777" w:rsidR="006F5BFE" w:rsidRPr="003B2277" w:rsidRDefault="006F5BFE" w:rsidP="005B4D60">
            <w:pPr>
              <w:spacing w:after="120"/>
              <w:rPr>
                <w:szCs w:val="24"/>
                <w:lang w:eastAsia="en-US"/>
              </w:rPr>
            </w:pPr>
            <w:r w:rsidRPr="003B2277">
              <w:rPr>
                <w:rFonts w:eastAsia="Calibri" w:cs="Mangal"/>
                <w:b/>
                <w:i/>
                <w:lang w:eastAsia="en-US"/>
              </w:rPr>
              <w:t>(c) „nadnacionalna medpanožna organizacija“ pomeni vsako medpanožno organizacijo, katere člani izvajajo dejavnosti proizvajanja, predelovanja ali trženja proizvodov, zajetih v dejavnosti organizacije, v več državah članicah.</w:t>
            </w:r>
          </w:p>
        </w:tc>
      </w:tr>
      <w:tr w:rsidR="006F5BFE" w:rsidRPr="003B2277" w14:paraId="1867DE50" w14:textId="77777777" w:rsidTr="005B4D60">
        <w:trPr>
          <w:jc w:val="center"/>
        </w:trPr>
        <w:tc>
          <w:tcPr>
            <w:tcW w:w="4876" w:type="dxa"/>
          </w:tcPr>
          <w:p w14:paraId="40E9FA2E" w14:textId="77777777" w:rsidR="006F5BFE" w:rsidRPr="003B2277" w:rsidRDefault="006F5BFE" w:rsidP="005B4D60">
            <w:pPr>
              <w:spacing w:after="120"/>
            </w:pPr>
          </w:p>
        </w:tc>
        <w:tc>
          <w:tcPr>
            <w:tcW w:w="4876" w:type="dxa"/>
            <w:hideMark/>
          </w:tcPr>
          <w:p w14:paraId="6B2F80AA"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Komisija odloča o priznavanju nadnacionalnih organizacij proizvajalcev, nadnacionalnih združenj organizacij proizvajalcev in nadnacionalnih medpanožnih organizacij.</w:t>
            </w:r>
          </w:p>
        </w:tc>
      </w:tr>
      <w:tr w:rsidR="006F5BFE" w:rsidRPr="003B2277" w14:paraId="34CC865E" w14:textId="77777777" w:rsidTr="005B4D60">
        <w:trPr>
          <w:jc w:val="center"/>
        </w:trPr>
        <w:tc>
          <w:tcPr>
            <w:tcW w:w="4876" w:type="dxa"/>
          </w:tcPr>
          <w:p w14:paraId="63C873E9" w14:textId="77777777" w:rsidR="006F5BFE" w:rsidRPr="003B2277" w:rsidRDefault="006F5BFE" w:rsidP="005B4D60">
            <w:pPr>
              <w:spacing w:after="120"/>
            </w:pPr>
          </w:p>
        </w:tc>
        <w:tc>
          <w:tcPr>
            <w:tcW w:w="4876" w:type="dxa"/>
            <w:hideMark/>
          </w:tcPr>
          <w:p w14:paraId="1C138B1D" w14:textId="77777777" w:rsidR="006F5BFE" w:rsidRPr="003B2277" w:rsidRDefault="006F5BFE" w:rsidP="005B4D60">
            <w:pPr>
              <w:spacing w:after="120"/>
              <w:rPr>
                <w:szCs w:val="24"/>
                <w:lang w:eastAsia="en-US"/>
              </w:rPr>
            </w:pPr>
            <w:r w:rsidRPr="003B2277">
              <w:rPr>
                <w:rFonts w:eastAsia="Calibri" w:cs="Mangal"/>
                <w:b/>
                <w:i/>
                <w:lang w:eastAsia="en-US"/>
              </w:rPr>
              <w:t>Smiselno se uporabljajo splošna pravila za priznanje iz členov 154, 156 in 158 ter posebna pravila za priznanje v sektorju mleka in mlečnih proizvodov iz členov 161 in 163.</w:t>
            </w:r>
          </w:p>
        </w:tc>
      </w:tr>
      <w:tr w:rsidR="006F5BFE" w:rsidRPr="003B2277" w14:paraId="15C3DE17" w14:textId="77777777" w:rsidTr="005B4D60">
        <w:trPr>
          <w:jc w:val="center"/>
        </w:trPr>
        <w:tc>
          <w:tcPr>
            <w:tcW w:w="4876" w:type="dxa"/>
          </w:tcPr>
          <w:p w14:paraId="254B8BC8" w14:textId="77777777" w:rsidR="006F5BFE" w:rsidRPr="003B2277" w:rsidRDefault="006F5BFE" w:rsidP="005B4D60">
            <w:pPr>
              <w:spacing w:after="120"/>
            </w:pPr>
          </w:p>
        </w:tc>
        <w:tc>
          <w:tcPr>
            <w:tcW w:w="4876" w:type="dxa"/>
            <w:hideMark/>
          </w:tcPr>
          <w:p w14:paraId="5E3E4402" w14:textId="77777777"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Država članica, v kateri ima nadnacionalna organizacija proizvajalcev ali nadnacionalno združenje organizacij proizvajalcev veliko število članov ali organizacij članic ali v kateri ima velik obseg ali veliko vrednost tržne proizvodnje, ali država članica, v kateri ima sedež nadnacionalna medpanožna organizacija, ter druge države članice, v katerih se nahajajo člani take organizacije ali združenja, Komisiji predložijo potrebne informacije, s pomočjo katerih lahko preveri izpolnjevanje pogojev za priznanje, in ji zagotovijo vso potrebno upravno pomoč.</w:t>
            </w:r>
          </w:p>
        </w:tc>
      </w:tr>
      <w:tr w:rsidR="006F5BFE" w:rsidRPr="003B2277" w14:paraId="524781F6" w14:textId="77777777" w:rsidTr="005B4D60">
        <w:trPr>
          <w:jc w:val="center"/>
        </w:trPr>
        <w:tc>
          <w:tcPr>
            <w:tcW w:w="4876" w:type="dxa"/>
          </w:tcPr>
          <w:p w14:paraId="162BD846" w14:textId="77777777" w:rsidR="006F5BFE" w:rsidRPr="003B2277" w:rsidRDefault="006F5BFE" w:rsidP="005B4D60">
            <w:pPr>
              <w:spacing w:after="120"/>
            </w:pPr>
          </w:p>
        </w:tc>
        <w:tc>
          <w:tcPr>
            <w:tcW w:w="4876" w:type="dxa"/>
            <w:hideMark/>
          </w:tcPr>
          <w:p w14:paraId="2B14A696" w14:textId="77777777" w:rsidR="006F5BFE" w:rsidRPr="003B2277" w:rsidRDefault="006F5BFE" w:rsidP="005B4D60">
            <w:pPr>
              <w:spacing w:after="120"/>
              <w:rPr>
                <w:szCs w:val="24"/>
                <w:lang w:eastAsia="en-US"/>
              </w:rPr>
            </w:pPr>
            <w:r w:rsidRPr="003B2277">
              <w:rPr>
                <w:rFonts w:eastAsia="Calibri" w:cs="Mangal"/>
                <w:b/>
                <w:i/>
                <w:lang w:eastAsia="en-US"/>
              </w:rPr>
              <w:t>5.</w:t>
            </w:r>
            <w:r w:rsidRPr="003B2277">
              <w:rPr>
                <w:rFonts w:eastAsia="Calibri" w:cs="Mangal"/>
                <w:b/>
                <w:i/>
                <w:lang w:eastAsia="en-US"/>
              </w:rPr>
              <w:tab/>
              <w:t>Komisija in država članica iz odstavka 4 na zahtevo druge države članice, v kateri se nahajajo člani take organizacije ali združenja, zagotovita vse ustrezne informacije.</w:t>
            </w:r>
          </w:p>
        </w:tc>
      </w:tr>
    </w:tbl>
    <w:p w14:paraId="5CD499B0" w14:textId="733D3BD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120</w:t>
      </w:r>
    </w:p>
    <w:p w14:paraId="6318D91D" w14:textId="77777777" w:rsidR="006F5BFE" w:rsidRPr="003B2277" w:rsidRDefault="006F5BFE" w:rsidP="006F5BFE"/>
    <w:p w14:paraId="4B4E281E" w14:textId="77777777" w:rsidR="006F5BFE" w:rsidRPr="003B2277" w:rsidRDefault="006F5BFE" w:rsidP="006F5BFE">
      <w:pPr>
        <w:keepNext/>
        <w:rPr>
          <w:b/>
          <w:lang w:eastAsia="en-US"/>
        </w:rPr>
      </w:pPr>
      <w:r w:rsidRPr="003B2277">
        <w:rPr>
          <w:rFonts w:eastAsia="Calibri" w:cs="Mangal"/>
          <w:b/>
          <w:lang w:eastAsia="en-US"/>
        </w:rPr>
        <w:t>Predlog uredbe</w:t>
      </w:r>
    </w:p>
    <w:p w14:paraId="1065E709" w14:textId="2D378EDF" w:rsidR="006F5BFE" w:rsidRPr="003B2277" w:rsidRDefault="006F5BFE" w:rsidP="006F5BFE">
      <w:pPr>
        <w:rPr>
          <w:b/>
          <w:lang w:eastAsia="en-US"/>
        </w:rPr>
      </w:pPr>
      <w:r w:rsidRPr="003B2277">
        <w:rPr>
          <w:rFonts w:eastAsia="Calibri" w:cs="Mangal"/>
          <w:b/>
          <w:lang w:eastAsia="en-US"/>
        </w:rPr>
        <w:t xml:space="preserve">Člen 1 – odstavek 1 – točka 22 </w:t>
      </w:r>
      <w:r w:rsidR="00871C85">
        <w:rPr>
          <w:rFonts w:eastAsia="Calibri" w:cs="Mangal"/>
          <w:b/>
          <w:lang w:eastAsia="en-US"/>
        </w:rPr>
        <w:t>m</w:t>
      </w:r>
      <w:r w:rsidRPr="003B2277">
        <w:rPr>
          <w:rFonts w:eastAsia="Calibri" w:cs="Mangal"/>
          <w:b/>
          <w:lang w:eastAsia="en-US"/>
        </w:rPr>
        <w:t xml:space="preserve"> (novo)</w:t>
      </w:r>
    </w:p>
    <w:p w14:paraId="305CF978" w14:textId="77777777" w:rsidR="006F5BFE" w:rsidRPr="003B2277" w:rsidRDefault="006F5BFE" w:rsidP="006F5BFE">
      <w:pPr>
        <w:keepNext/>
        <w:rPr>
          <w:lang w:eastAsia="en-US"/>
        </w:rPr>
      </w:pPr>
      <w:r w:rsidRPr="003B2277">
        <w:rPr>
          <w:rFonts w:eastAsia="Calibri" w:cs="Mangal"/>
          <w:lang w:eastAsia="en-US"/>
        </w:rPr>
        <w:t>Uredba (EU) št. 1308/2013</w:t>
      </w:r>
    </w:p>
    <w:p w14:paraId="79DB4915" w14:textId="77777777" w:rsidR="006F5BFE" w:rsidRPr="003B2277" w:rsidRDefault="006F5BFE" w:rsidP="006F5BFE">
      <w:pPr>
        <w:rPr>
          <w:lang w:eastAsia="en-US"/>
        </w:rPr>
      </w:pPr>
      <w:r w:rsidRPr="003B2277">
        <w:rPr>
          <w:rFonts w:eastAsia="Calibri" w:cs="Mangal"/>
          <w:lang w:eastAsia="en-US"/>
        </w:rPr>
        <w:t>Člen 160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BD37EFE" w14:textId="77777777" w:rsidTr="005B4D60">
        <w:trPr>
          <w:jc w:val="center"/>
        </w:trPr>
        <w:tc>
          <w:tcPr>
            <w:tcW w:w="9752" w:type="dxa"/>
            <w:gridSpan w:val="2"/>
          </w:tcPr>
          <w:p w14:paraId="6C8F9852" w14:textId="77777777" w:rsidR="006F5BFE" w:rsidRPr="003B2277" w:rsidRDefault="006F5BFE" w:rsidP="005B4D60">
            <w:pPr>
              <w:keepNext/>
            </w:pPr>
          </w:p>
        </w:tc>
      </w:tr>
      <w:tr w:rsidR="006F5BFE" w:rsidRPr="003B2277" w14:paraId="55911757" w14:textId="77777777" w:rsidTr="005B4D60">
        <w:trPr>
          <w:jc w:val="center"/>
        </w:trPr>
        <w:tc>
          <w:tcPr>
            <w:tcW w:w="4876" w:type="dxa"/>
            <w:hideMark/>
          </w:tcPr>
          <w:p w14:paraId="5BBBC431"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D62778C" w14:textId="0F2CD2F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B3756C6" w14:textId="77777777" w:rsidTr="005B4D60">
        <w:trPr>
          <w:jc w:val="center"/>
        </w:trPr>
        <w:tc>
          <w:tcPr>
            <w:tcW w:w="4876" w:type="dxa"/>
          </w:tcPr>
          <w:p w14:paraId="3A394A82" w14:textId="77777777" w:rsidR="006F5BFE" w:rsidRPr="003B2277" w:rsidRDefault="006F5BFE" w:rsidP="005B4D60">
            <w:pPr>
              <w:spacing w:after="120"/>
            </w:pPr>
          </w:p>
        </w:tc>
        <w:tc>
          <w:tcPr>
            <w:tcW w:w="4876" w:type="dxa"/>
            <w:hideMark/>
          </w:tcPr>
          <w:p w14:paraId="42EC3844" w14:textId="4770BEE7" w:rsidR="006F5BFE" w:rsidRPr="003B2277" w:rsidRDefault="006F5BFE" w:rsidP="005B4D60">
            <w:pPr>
              <w:spacing w:after="120"/>
              <w:rPr>
                <w:szCs w:val="24"/>
                <w:lang w:eastAsia="en-US"/>
              </w:rPr>
            </w:pPr>
            <w:r w:rsidRPr="003B2277">
              <w:rPr>
                <w:rFonts w:eastAsia="Calibri" w:cs="Mangal"/>
                <w:b/>
                <w:i/>
                <w:lang w:eastAsia="en-US"/>
              </w:rPr>
              <w:t>(22</w:t>
            </w:r>
            <w:r w:rsidR="00871C85">
              <w:rPr>
                <w:rFonts w:eastAsia="Calibri" w:cs="Mangal"/>
                <w:b/>
                <w:i/>
                <w:lang w:eastAsia="en-US"/>
              </w:rPr>
              <w:t>m</w:t>
            </w:r>
            <w:r w:rsidRPr="003B2277">
              <w:rPr>
                <w:rFonts w:eastAsia="Calibri" w:cs="Mangal"/>
                <w:b/>
                <w:i/>
                <w:lang w:eastAsia="en-US"/>
              </w:rPr>
              <w:t>)</w:t>
            </w:r>
            <w:r w:rsidRPr="003B2277">
              <w:rPr>
                <w:rFonts w:eastAsia="Calibri" w:cs="Mangal"/>
                <w:b/>
                <w:i/>
                <w:lang w:eastAsia="en-US"/>
              </w:rPr>
              <w:tab/>
              <w:t>člen 160 se nadomesti z naslednjim:</w:t>
            </w:r>
          </w:p>
        </w:tc>
      </w:tr>
      <w:tr w:rsidR="006F5BFE" w:rsidRPr="003B2277" w14:paraId="3A05705A" w14:textId="77777777" w:rsidTr="005B4D60">
        <w:trPr>
          <w:jc w:val="center"/>
        </w:trPr>
        <w:tc>
          <w:tcPr>
            <w:tcW w:w="4876" w:type="dxa"/>
            <w:hideMark/>
          </w:tcPr>
          <w:p w14:paraId="1508F47A" w14:textId="77777777" w:rsidR="006F5BFE" w:rsidRPr="003B2277" w:rsidRDefault="006F5BFE" w:rsidP="005B4D60">
            <w:pPr>
              <w:spacing w:after="120"/>
              <w:rPr>
                <w:lang w:eastAsia="en-US"/>
              </w:rPr>
            </w:pPr>
            <w:r w:rsidRPr="003B2277">
              <w:rPr>
                <w:rFonts w:eastAsia="Calibri" w:cs="Mangal"/>
                <w:lang w:eastAsia="en-US"/>
              </w:rPr>
              <w:t>Člen 160</w:t>
            </w:r>
          </w:p>
        </w:tc>
        <w:tc>
          <w:tcPr>
            <w:tcW w:w="4876" w:type="dxa"/>
            <w:hideMark/>
          </w:tcPr>
          <w:p w14:paraId="13979A41"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160</w:t>
            </w:r>
          </w:p>
        </w:tc>
      </w:tr>
      <w:tr w:rsidR="006F5BFE" w:rsidRPr="003B2277" w14:paraId="356A9717" w14:textId="77777777" w:rsidTr="005B4D60">
        <w:trPr>
          <w:jc w:val="center"/>
        </w:trPr>
        <w:tc>
          <w:tcPr>
            <w:tcW w:w="4876" w:type="dxa"/>
            <w:hideMark/>
          </w:tcPr>
          <w:p w14:paraId="7DB40422" w14:textId="77777777" w:rsidR="006F5BFE" w:rsidRPr="003B2277" w:rsidRDefault="006F5BFE" w:rsidP="005B4D60">
            <w:pPr>
              <w:spacing w:after="120"/>
              <w:rPr>
                <w:lang w:eastAsia="en-US"/>
              </w:rPr>
            </w:pPr>
            <w:r w:rsidRPr="003B2277">
              <w:rPr>
                <w:rFonts w:eastAsia="Calibri" w:cs="Mangal"/>
                <w:lang w:eastAsia="en-US"/>
              </w:rPr>
              <w:t>Organizacije proizvajalcev v sektorju sadja in zelenjave</w:t>
            </w:r>
          </w:p>
        </w:tc>
        <w:tc>
          <w:tcPr>
            <w:tcW w:w="4876" w:type="dxa"/>
            <w:hideMark/>
          </w:tcPr>
          <w:p w14:paraId="7E0F8B94" w14:textId="77777777" w:rsidR="006F5BFE" w:rsidRPr="003B2277" w:rsidRDefault="006F5BFE" w:rsidP="005B4D60">
            <w:pPr>
              <w:spacing w:after="120"/>
              <w:rPr>
                <w:szCs w:val="24"/>
                <w:lang w:eastAsia="en-US"/>
              </w:rPr>
            </w:pPr>
            <w:r w:rsidRPr="003B2277">
              <w:rPr>
                <w:rFonts w:eastAsia="Calibri" w:cs="Mangal"/>
                <w:lang w:eastAsia="en-US"/>
              </w:rPr>
              <w:t>Organizacije proizvajalcev v sektorju sadja in zelenjave</w:t>
            </w:r>
          </w:p>
        </w:tc>
      </w:tr>
      <w:tr w:rsidR="006F5BFE" w:rsidRPr="003B2277" w14:paraId="14074B21" w14:textId="77777777" w:rsidTr="005B4D60">
        <w:trPr>
          <w:jc w:val="center"/>
        </w:trPr>
        <w:tc>
          <w:tcPr>
            <w:tcW w:w="4876" w:type="dxa"/>
            <w:hideMark/>
          </w:tcPr>
          <w:p w14:paraId="55331D9A" w14:textId="77777777" w:rsidR="006F5BFE" w:rsidRPr="003B2277" w:rsidRDefault="006F5BFE" w:rsidP="005B4D60">
            <w:pPr>
              <w:spacing w:after="120"/>
              <w:rPr>
                <w:lang w:eastAsia="en-US"/>
              </w:rPr>
            </w:pPr>
            <w:r w:rsidRPr="003B2277">
              <w:rPr>
                <w:rFonts w:eastAsia="Calibri" w:cs="Mangal"/>
                <w:lang w:eastAsia="en-US"/>
              </w:rPr>
              <w:t>Organizacije proizvajalcev v sektorju sadja in zelenjave uresničujejo vsaj enega od ciljev iz točk (c)(i), (ii) in (iii) člena 152(1).</w:t>
            </w:r>
          </w:p>
        </w:tc>
        <w:tc>
          <w:tcPr>
            <w:tcW w:w="4876" w:type="dxa"/>
            <w:hideMark/>
          </w:tcPr>
          <w:p w14:paraId="25038B64"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lang w:eastAsia="en-US"/>
              </w:rPr>
              <w:tab/>
              <w:t>Organizacije proizvajalcev v sektorju sadja in zelenjave uresničujejo vsaj enega od ciljev iz točk (c)(i), (ii) in (iii) člena 152(1).</w:t>
            </w:r>
          </w:p>
        </w:tc>
      </w:tr>
      <w:tr w:rsidR="006F5BFE" w:rsidRPr="003B2277" w14:paraId="715A8257" w14:textId="77777777" w:rsidTr="005B4D60">
        <w:trPr>
          <w:jc w:val="center"/>
        </w:trPr>
        <w:tc>
          <w:tcPr>
            <w:tcW w:w="4876" w:type="dxa"/>
            <w:hideMark/>
          </w:tcPr>
          <w:p w14:paraId="76D9F59F" w14:textId="77777777" w:rsidR="006F5BFE" w:rsidRPr="003B2277" w:rsidRDefault="006F5BFE" w:rsidP="005B4D60">
            <w:pPr>
              <w:spacing w:after="120"/>
              <w:rPr>
                <w:lang w:eastAsia="en-US"/>
              </w:rPr>
            </w:pPr>
            <w:r w:rsidRPr="003B2277">
              <w:rPr>
                <w:rFonts w:eastAsia="Calibri" w:cs="Mangal"/>
                <w:lang w:eastAsia="en-US"/>
              </w:rPr>
              <w:t>V statutu organizacije proizvajalcev v sektorju sadja in zelenjave je določeno, da morajo proizvajalci, ki so njeni člani, svojo celotno proizvodnjo tržiti prek organizacije proizvajalcev.</w:t>
            </w:r>
          </w:p>
        </w:tc>
        <w:tc>
          <w:tcPr>
            <w:tcW w:w="4876" w:type="dxa"/>
            <w:hideMark/>
          </w:tcPr>
          <w:p w14:paraId="22B0BD4A" w14:textId="77777777" w:rsidR="006F5BFE" w:rsidRPr="003B2277" w:rsidRDefault="006F5BFE" w:rsidP="005B4D60">
            <w:pPr>
              <w:spacing w:after="120"/>
              <w:rPr>
                <w:szCs w:val="24"/>
                <w:lang w:eastAsia="en-US"/>
              </w:rPr>
            </w:pPr>
            <w:r w:rsidRPr="003B2277">
              <w:rPr>
                <w:rFonts w:eastAsia="Calibri" w:cs="Mangal"/>
                <w:b/>
                <w:i/>
                <w:lang w:eastAsia="en-US"/>
              </w:rPr>
              <w:t>1a.</w:t>
            </w:r>
            <w:r w:rsidRPr="003B2277">
              <w:rPr>
                <w:rFonts w:eastAsia="Calibri" w:cs="Mangal"/>
                <w:lang w:eastAsia="en-US"/>
              </w:rPr>
              <w:tab/>
              <w:t>V statutu organizacije proizvajalcev v sektorju sadja in zelenjave je določeno, da morajo proizvajalci, ki so njeni člani, svojo celotno proizvodnjo tržiti prek organizacije proizvajalcev.</w:t>
            </w:r>
          </w:p>
        </w:tc>
      </w:tr>
      <w:tr w:rsidR="006F5BFE" w:rsidRPr="003B2277" w14:paraId="2F89C4B1" w14:textId="77777777" w:rsidTr="005B4D60">
        <w:trPr>
          <w:jc w:val="center"/>
        </w:trPr>
        <w:tc>
          <w:tcPr>
            <w:tcW w:w="4876" w:type="dxa"/>
          </w:tcPr>
          <w:p w14:paraId="3847483B" w14:textId="77777777" w:rsidR="006F5BFE" w:rsidRPr="003B2277" w:rsidRDefault="006F5BFE" w:rsidP="005B4D60">
            <w:pPr>
              <w:spacing w:after="120"/>
            </w:pPr>
          </w:p>
        </w:tc>
        <w:tc>
          <w:tcPr>
            <w:tcW w:w="4876" w:type="dxa"/>
            <w:hideMark/>
          </w:tcPr>
          <w:p w14:paraId="21AAC665" w14:textId="77777777" w:rsidR="006F5BFE" w:rsidRPr="003B2277" w:rsidRDefault="006F5BFE" w:rsidP="005B4D60">
            <w:pPr>
              <w:spacing w:after="120"/>
              <w:rPr>
                <w:szCs w:val="24"/>
                <w:lang w:eastAsia="en-US"/>
              </w:rPr>
            </w:pPr>
            <w:r w:rsidRPr="003B2277">
              <w:rPr>
                <w:rFonts w:eastAsia="Calibri" w:cs="Mangal"/>
                <w:b/>
                <w:i/>
                <w:lang w:eastAsia="en-US"/>
              </w:rPr>
              <w:t>Z odstopanjem od prvega pododstavka, če organizacija proizvajalcev to dovoli v svojem statutu, lahko člani proizvajalci:</w:t>
            </w:r>
          </w:p>
        </w:tc>
      </w:tr>
      <w:tr w:rsidR="006F5BFE" w:rsidRPr="003B2277" w14:paraId="2FA6D9DC" w14:textId="77777777" w:rsidTr="005B4D60">
        <w:trPr>
          <w:jc w:val="center"/>
        </w:trPr>
        <w:tc>
          <w:tcPr>
            <w:tcW w:w="4876" w:type="dxa"/>
          </w:tcPr>
          <w:p w14:paraId="534B9663" w14:textId="77777777" w:rsidR="006F5BFE" w:rsidRPr="003B2277" w:rsidRDefault="006F5BFE" w:rsidP="005B4D60">
            <w:pPr>
              <w:spacing w:after="120"/>
            </w:pPr>
          </w:p>
        </w:tc>
        <w:tc>
          <w:tcPr>
            <w:tcW w:w="4876" w:type="dxa"/>
            <w:hideMark/>
          </w:tcPr>
          <w:p w14:paraId="15D536E0" w14:textId="77777777" w:rsidR="006F5BFE" w:rsidRPr="003B2277" w:rsidRDefault="006F5BFE" w:rsidP="005B4D60">
            <w:pPr>
              <w:spacing w:after="120"/>
              <w:rPr>
                <w:szCs w:val="24"/>
                <w:lang w:eastAsia="en-US"/>
              </w:rPr>
            </w:pPr>
            <w:r w:rsidRPr="003B2277">
              <w:rPr>
                <w:rFonts w:eastAsia="Calibri" w:cs="Mangal"/>
                <w:b/>
                <w:i/>
                <w:lang w:eastAsia="en-US"/>
              </w:rPr>
              <w:t>(a) potrošnikom za njihove osebne potrebe prodajajo proizvode neposredno na svojih kmetijskih gospodarstvih ali zunaj njih;</w:t>
            </w:r>
          </w:p>
        </w:tc>
      </w:tr>
      <w:tr w:rsidR="006F5BFE" w:rsidRPr="003B2277" w14:paraId="4B926187" w14:textId="77777777" w:rsidTr="005B4D60">
        <w:trPr>
          <w:jc w:val="center"/>
        </w:trPr>
        <w:tc>
          <w:tcPr>
            <w:tcW w:w="4876" w:type="dxa"/>
          </w:tcPr>
          <w:p w14:paraId="2F00A663" w14:textId="77777777" w:rsidR="006F5BFE" w:rsidRPr="003B2277" w:rsidRDefault="006F5BFE" w:rsidP="005B4D60">
            <w:pPr>
              <w:spacing w:after="120"/>
            </w:pPr>
          </w:p>
        </w:tc>
        <w:tc>
          <w:tcPr>
            <w:tcW w:w="4876" w:type="dxa"/>
            <w:hideMark/>
          </w:tcPr>
          <w:p w14:paraId="46FBF929" w14:textId="77777777" w:rsidR="006F5BFE" w:rsidRPr="003B2277" w:rsidRDefault="006F5BFE" w:rsidP="005B4D60">
            <w:pPr>
              <w:spacing w:after="120"/>
              <w:rPr>
                <w:szCs w:val="24"/>
                <w:lang w:eastAsia="en-US"/>
              </w:rPr>
            </w:pPr>
            <w:r w:rsidRPr="003B2277">
              <w:rPr>
                <w:rFonts w:eastAsia="Calibri" w:cs="Mangal"/>
                <w:b/>
                <w:i/>
                <w:lang w:eastAsia="en-US"/>
              </w:rPr>
              <w:t>(b) sami ali prek druge organizacije proizvajalcev, ki jo določi njihova organizacija proizvajalcev, tržijo take količine proizvodov, ki so po obsegu ali vrednosti nepomembne glede na obseg ali vrednost tržne proizvodnje zadevnega proizvoda v njihovi organizaciji;</w:t>
            </w:r>
          </w:p>
        </w:tc>
      </w:tr>
      <w:tr w:rsidR="006F5BFE" w:rsidRPr="003B2277" w14:paraId="4CF83D00" w14:textId="77777777" w:rsidTr="005B4D60">
        <w:trPr>
          <w:jc w:val="center"/>
        </w:trPr>
        <w:tc>
          <w:tcPr>
            <w:tcW w:w="4876" w:type="dxa"/>
          </w:tcPr>
          <w:p w14:paraId="49B44465" w14:textId="77777777" w:rsidR="006F5BFE" w:rsidRPr="003B2277" w:rsidRDefault="006F5BFE" w:rsidP="005B4D60">
            <w:pPr>
              <w:spacing w:after="120"/>
            </w:pPr>
          </w:p>
        </w:tc>
        <w:tc>
          <w:tcPr>
            <w:tcW w:w="4876" w:type="dxa"/>
            <w:hideMark/>
          </w:tcPr>
          <w:p w14:paraId="23B0B40E" w14:textId="77777777" w:rsidR="006F5BFE" w:rsidRPr="003B2277" w:rsidRDefault="006F5BFE" w:rsidP="005B4D60">
            <w:pPr>
              <w:spacing w:after="120"/>
              <w:rPr>
                <w:szCs w:val="24"/>
                <w:lang w:eastAsia="en-US"/>
              </w:rPr>
            </w:pPr>
            <w:r w:rsidRPr="003B2277">
              <w:rPr>
                <w:rFonts w:eastAsia="Calibri" w:cs="Mangal"/>
                <w:b/>
                <w:i/>
                <w:lang w:eastAsia="en-US"/>
              </w:rPr>
              <w:t>(c) sami ali prek druge organizacije proizvajalcev, ki jo določi njihova organizacija proizvajalcev, tržijo proizvode, ki jih zaradi značilnosti ali po obsegu ali vrednosti omejene proizvodnje članov proizvajalcev njihova organizacija proizvajalcev običajno ne pokriva s svojimi trgovskimi dejavnostmi.</w:t>
            </w:r>
          </w:p>
        </w:tc>
      </w:tr>
      <w:tr w:rsidR="006F5BFE" w:rsidRPr="003B2277" w14:paraId="2722B013" w14:textId="77777777" w:rsidTr="005B4D60">
        <w:trPr>
          <w:jc w:val="center"/>
        </w:trPr>
        <w:tc>
          <w:tcPr>
            <w:tcW w:w="4876" w:type="dxa"/>
          </w:tcPr>
          <w:p w14:paraId="6A490084" w14:textId="77777777" w:rsidR="006F5BFE" w:rsidRPr="003B2277" w:rsidRDefault="006F5BFE" w:rsidP="005B4D60">
            <w:pPr>
              <w:spacing w:after="120"/>
            </w:pPr>
          </w:p>
        </w:tc>
        <w:tc>
          <w:tcPr>
            <w:tcW w:w="4876" w:type="dxa"/>
            <w:hideMark/>
          </w:tcPr>
          <w:p w14:paraId="0DA5A7CA"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Odstotek proizvodnje po obsegu ali vrednosti tržne proizvodnje vsakega člana proizvajalca, ki jo ta trži izven organizacije proizvajalcev, ne presega odstotka, določenega v delegiranem aktu iz člena 173 te uredbe.</w:t>
            </w:r>
          </w:p>
        </w:tc>
      </w:tr>
      <w:tr w:rsidR="006F5BFE" w:rsidRPr="003B2277" w14:paraId="21C95FF3" w14:textId="77777777" w:rsidTr="005B4D60">
        <w:trPr>
          <w:jc w:val="center"/>
        </w:trPr>
        <w:tc>
          <w:tcPr>
            <w:tcW w:w="4876" w:type="dxa"/>
          </w:tcPr>
          <w:p w14:paraId="78C98B83" w14:textId="77777777" w:rsidR="006F5BFE" w:rsidRPr="003B2277" w:rsidRDefault="006F5BFE" w:rsidP="005B4D60">
            <w:pPr>
              <w:spacing w:after="120"/>
            </w:pPr>
          </w:p>
        </w:tc>
        <w:tc>
          <w:tcPr>
            <w:tcW w:w="4876" w:type="dxa"/>
            <w:hideMark/>
          </w:tcPr>
          <w:p w14:paraId="66FA0CC9" w14:textId="77777777" w:rsidR="006F5BFE" w:rsidRPr="003B2277" w:rsidRDefault="006F5BFE" w:rsidP="005B4D60">
            <w:pPr>
              <w:spacing w:after="120"/>
              <w:rPr>
                <w:szCs w:val="24"/>
                <w:lang w:eastAsia="en-US"/>
              </w:rPr>
            </w:pPr>
            <w:r w:rsidRPr="003B2277">
              <w:rPr>
                <w:rFonts w:eastAsia="Calibri" w:cs="Mangal"/>
                <w:b/>
                <w:i/>
                <w:lang w:eastAsia="en-US"/>
              </w:rPr>
              <w:t>Vendar lahko države članice določijo nižji odstotek proizvodnje, ki jo lahko člani proizvajalci tržijo izven organizacije proizvajalcev, kot pa je določen v delegiranem aktu iz prvega pododstavka, ki pa ne sme biti nižji od 10 %.</w:t>
            </w:r>
          </w:p>
        </w:tc>
      </w:tr>
      <w:tr w:rsidR="006F5BFE" w:rsidRPr="003B2277" w14:paraId="72DA21E7" w14:textId="77777777" w:rsidTr="005B4D60">
        <w:trPr>
          <w:jc w:val="center"/>
        </w:trPr>
        <w:tc>
          <w:tcPr>
            <w:tcW w:w="4876" w:type="dxa"/>
          </w:tcPr>
          <w:p w14:paraId="4572BA74" w14:textId="77777777" w:rsidR="006F5BFE" w:rsidRPr="003B2277" w:rsidRDefault="006F5BFE" w:rsidP="005B4D60">
            <w:pPr>
              <w:spacing w:after="120"/>
            </w:pPr>
          </w:p>
        </w:tc>
        <w:tc>
          <w:tcPr>
            <w:tcW w:w="4876" w:type="dxa"/>
            <w:hideMark/>
          </w:tcPr>
          <w:p w14:paraId="5D67D16D"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V primeru proizvodov, ki jih zajema Uredba Sveta (ES) št. 834/2007, ali kadar člani proizvajalci tržijo svoje proizvode prek druge organizacije proizvajalcev, ki jo je določila njihova organizacija proizvajalcev, odstotek proizvodnje iz odstavka 1a, ki jo člani proizvajalci tržijo izven organizacije proizvajalcev, po obsegu ali vrednosti tržne proizvodnje vsakega člana proizvajalca ne presega odstotka, določenega z delegiranim aktom iz člena 173 te uredbe.</w:t>
            </w:r>
          </w:p>
        </w:tc>
      </w:tr>
      <w:tr w:rsidR="006F5BFE" w:rsidRPr="003B2277" w14:paraId="1BBD0876" w14:textId="77777777" w:rsidTr="005B4D60">
        <w:trPr>
          <w:jc w:val="center"/>
        </w:trPr>
        <w:tc>
          <w:tcPr>
            <w:tcW w:w="4876" w:type="dxa"/>
          </w:tcPr>
          <w:p w14:paraId="35539CEB" w14:textId="77777777" w:rsidR="006F5BFE" w:rsidRPr="003B2277" w:rsidRDefault="006F5BFE" w:rsidP="005B4D60">
            <w:pPr>
              <w:spacing w:after="120"/>
            </w:pPr>
          </w:p>
        </w:tc>
        <w:tc>
          <w:tcPr>
            <w:tcW w:w="4876" w:type="dxa"/>
            <w:hideMark/>
          </w:tcPr>
          <w:p w14:paraId="63B7C2E7" w14:textId="77777777" w:rsidR="006F5BFE" w:rsidRPr="003B2277" w:rsidRDefault="006F5BFE" w:rsidP="005B4D60">
            <w:pPr>
              <w:spacing w:after="120"/>
              <w:rPr>
                <w:szCs w:val="24"/>
                <w:lang w:eastAsia="en-US"/>
              </w:rPr>
            </w:pPr>
            <w:r w:rsidRPr="003B2277">
              <w:rPr>
                <w:rFonts w:eastAsia="Calibri" w:cs="Mangal"/>
                <w:b/>
                <w:i/>
                <w:lang w:eastAsia="en-US"/>
              </w:rPr>
              <w:t>Vendar lahko države članice določijo nižji odstotek proizvodnje, ki jo lahko ti člani proizvajalci tržijo izven organizacije proizvajalcev, kot pa je določen v delegiranem aktu iz prvega pododstavka, ki pa ne sme biti nižji od 10 %.</w:t>
            </w:r>
          </w:p>
        </w:tc>
      </w:tr>
      <w:tr w:rsidR="006F5BFE" w:rsidRPr="003B2277" w14:paraId="3FF671D4" w14:textId="77777777" w:rsidTr="005B4D60">
        <w:trPr>
          <w:jc w:val="center"/>
        </w:trPr>
        <w:tc>
          <w:tcPr>
            <w:tcW w:w="4876" w:type="dxa"/>
          </w:tcPr>
          <w:p w14:paraId="3DFA69F7" w14:textId="77777777" w:rsidR="006F5BFE" w:rsidRPr="003B2277" w:rsidRDefault="006F5BFE" w:rsidP="005B4D60">
            <w:pPr>
              <w:spacing w:after="120"/>
              <w:rPr>
                <w:lang w:eastAsia="en-US"/>
              </w:rPr>
            </w:pPr>
            <w:r w:rsidRPr="003B2277">
              <w:rPr>
                <w:rFonts w:eastAsia="Calibri" w:cs="Mangal"/>
                <w:lang w:eastAsia="en-US"/>
              </w:rPr>
              <w:t>Šteje se, da organizacije proizvajalcev in združenja organizacij proizvajalcev v sektorju sadja in zelenjave v gospodarskih zadevah v skladu s pristojnostmi delujejo v imenu svojih članov in za njih.</w:t>
            </w:r>
          </w:p>
        </w:tc>
        <w:tc>
          <w:tcPr>
            <w:tcW w:w="4876" w:type="dxa"/>
            <w:hideMark/>
          </w:tcPr>
          <w:p w14:paraId="4ABFED11" w14:textId="77777777" w:rsidR="006F5BFE" w:rsidRPr="003B2277" w:rsidRDefault="006F5BFE" w:rsidP="005B4D60">
            <w:pPr>
              <w:spacing w:after="120"/>
              <w:rPr>
                <w:szCs w:val="24"/>
                <w:lang w:eastAsia="en-US"/>
              </w:rPr>
            </w:pPr>
            <w:r w:rsidRPr="003B2277">
              <w:rPr>
                <w:rFonts w:eastAsia="Calibri" w:cs="Mangal"/>
                <w:lang w:eastAsia="en-US"/>
              </w:rPr>
              <w:t>Šteje se, da organizacije proizvajalcev in združenja organizacij proizvajalcev v sektorju sadja in zelenjave v gospodarskih zadevah v skladu s pristojnostmi delujejo v imenu svojih članov in za njih.</w:t>
            </w:r>
            <w:r w:rsidRPr="003B2277">
              <w:rPr>
                <w:rFonts w:eastAsia="Calibri" w:cs="Mangal"/>
                <w:b/>
                <w:i/>
                <w:lang w:eastAsia="en-US"/>
              </w:rPr>
              <w:t>“</w:t>
            </w:r>
          </w:p>
        </w:tc>
      </w:tr>
    </w:tbl>
    <w:p w14:paraId="11B76E43" w14:textId="77777777" w:rsidR="006F5BFE" w:rsidRPr="003B2277" w:rsidRDefault="006F5BFE" w:rsidP="006F5BFE">
      <w:pPr>
        <w:rPr>
          <w:lang w:eastAsia="en-US"/>
        </w:rPr>
      </w:pPr>
    </w:p>
    <w:p w14:paraId="450DB311" w14:textId="45A601F5"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121</w:t>
      </w:r>
    </w:p>
    <w:p w14:paraId="399B6BE4" w14:textId="77777777" w:rsidR="006F5BFE" w:rsidRPr="003B2277" w:rsidRDefault="006F5BFE" w:rsidP="006F5BFE"/>
    <w:p w14:paraId="1A86E611" w14:textId="77777777" w:rsidR="006F5BFE" w:rsidRPr="003B2277" w:rsidRDefault="006F5BFE" w:rsidP="006F5BFE">
      <w:pPr>
        <w:keepNext/>
        <w:rPr>
          <w:b/>
          <w:lang w:eastAsia="en-US"/>
        </w:rPr>
      </w:pPr>
      <w:r w:rsidRPr="003B2277">
        <w:rPr>
          <w:rFonts w:eastAsia="Calibri" w:cs="Mangal"/>
          <w:b/>
          <w:lang w:eastAsia="en-US"/>
        </w:rPr>
        <w:t>Predlog uredbe</w:t>
      </w:r>
    </w:p>
    <w:p w14:paraId="4434E4A8" w14:textId="1D110AD3" w:rsidR="006F5BFE" w:rsidRPr="003B2277" w:rsidRDefault="006F5BFE" w:rsidP="006F5BFE">
      <w:pPr>
        <w:rPr>
          <w:b/>
          <w:lang w:eastAsia="en-US"/>
        </w:rPr>
      </w:pPr>
      <w:r w:rsidRPr="003B2277">
        <w:rPr>
          <w:rFonts w:eastAsia="Calibri" w:cs="Mangal"/>
          <w:b/>
          <w:lang w:eastAsia="en-US"/>
        </w:rPr>
        <w:t xml:space="preserve">Člen 1 – odstavek 1 – točka 22 </w:t>
      </w:r>
      <w:r w:rsidR="00871C85">
        <w:rPr>
          <w:rFonts w:eastAsia="Calibri" w:cs="Mangal"/>
          <w:b/>
          <w:lang w:eastAsia="en-US"/>
        </w:rPr>
        <w:t>n</w:t>
      </w:r>
      <w:r w:rsidRPr="003B2277">
        <w:rPr>
          <w:rFonts w:eastAsia="Calibri" w:cs="Mangal"/>
          <w:b/>
          <w:lang w:eastAsia="en-US"/>
        </w:rPr>
        <w:t xml:space="preserve"> (novo)</w:t>
      </w:r>
    </w:p>
    <w:p w14:paraId="3C34C9A3" w14:textId="77777777" w:rsidR="006F5BFE" w:rsidRPr="003B2277" w:rsidRDefault="006F5BFE" w:rsidP="006F5BFE">
      <w:pPr>
        <w:keepNext/>
        <w:rPr>
          <w:lang w:eastAsia="en-US"/>
        </w:rPr>
      </w:pPr>
      <w:r w:rsidRPr="003B2277">
        <w:rPr>
          <w:rFonts w:eastAsia="Calibri" w:cs="Mangal"/>
          <w:lang w:eastAsia="en-US"/>
        </w:rPr>
        <w:t>Uredba (EU) št. 1308/2013</w:t>
      </w:r>
    </w:p>
    <w:p w14:paraId="50284C6E" w14:textId="77777777" w:rsidR="006F5BFE" w:rsidRPr="003B2277" w:rsidRDefault="006F5BFE" w:rsidP="006F5BFE">
      <w:pPr>
        <w:rPr>
          <w:lang w:eastAsia="en-US"/>
        </w:rPr>
      </w:pPr>
      <w:r w:rsidRPr="003B2277">
        <w:rPr>
          <w:rFonts w:eastAsia="Calibri" w:cs="Mangal"/>
          <w:lang w:eastAsia="en-US"/>
        </w:rPr>
        <w:t>Člen 163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170AB52" w14:textId="77777777" w:rsidTr="005B4D60">
        <w:trPr>
          <w:jc w:val="center"/>
        </w:trPr>
        <w:tc>
          <w:tcPr>
            <w:tcW w:w="9752" w:type="dxa"/>
            <w:gridSpan w:val="2"/>
          </w:tcPr>
          <w:p w14:paraId="3508E61D" w14:textId="77777777" w:rsidR="006F5BFE" w:rsidRPr="003B2277" w:rsidRDefault="006F5BFE" w:rsidP="005B4D60">
            <w:pPr>
              <w:keepNext/>
            </w:pPr>
          </w:p>
        </w:tc>
      </w:tr>
      <w:tr w:rsidR="006F5BFE" w:rsidRPr="003B2277" w14:paraId="5407F47F" w14:textId="77777777" w:rsidTr="005B4D60">
        <w:trPr>
          <w:jc w:val="center"/>
        </w:trPr>
        <w:tc>
          <w:tcPr>
            <w:tcW w:w="4876" w:type="dxa"/>
            <w:hideMark/>
          </w:tcPr>
          <w:p w14:paraId="4A6938E3"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1B83CF9" w14:textId="0CA5DEA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43CE637" w14:textId="77777777" w:rsidTr="005B4D60">
        <w:trPr>
          <w:jc w:val="center"/>
        </w:trPr>
        <w:tc>
          <w:tcPr>
            <w:tcW w:w="4876" w:type="dxa"/>
          </w:tcPr>
          <w:p w14:paraId="503B9662" w14:textId="77777777" w:rsidR="006F5BFE" w:rsidRPr="003B2277" w:rsidRDefault="006F5BFE" w:rsidP="005B4D60">
            <w:pPr>
              <w:spacing w:after="120"/>
            </w:pPr>
          </w:p>
        </w:tc>
        <w:tc>
          <w:tcPr>
            <w:tcW w:w="4876" w:type="dxa"/>
            <w:hideMark/>
          </w:tcPr>
          <w:p w14:paraId="19051D2C" w14:textId="31D8F63A" w:rsidR="006F5BFE" w:rsidRPr="003B2277" w:rsidRDefault="006F5BFE" w:rsidP="00871C85">
            <w:pPr>
              <w:spacing w:after="120"/>
              <w:rPr>
                <w:szCs w:val="24"/>
                <w:lang w:eastAsia="en-US"/>
              </w:rPr>
            </w:pPr>
            <w:r w:rsidRPr="003B2277">
              <w:rPr>
                <w:rFonts w:eastAsia="Calibri" w:cs="Mangal"/>
                <w:b/>
                <w:i/>
                <w:lang w:eastAsia="en-US"/>
              </w:rPr>
              <w:t>(22</w:t>
            </w:r>
            <w:r w:rsidR="00871C85">
              <w:rPr>
                <w:rFonts w:eastAsia="Calibri" w:cs="Mangal"/>
                <w:b/>
                <w:i/>
                <w:lang w:eastAsia="en-US"/>
              </w:rPr>
              <w:t>n</w:t>
            </w:r>
            <w:r w:rsidRPr="003B2277">
              <w:rPr>
                <w:rFonts w:eastAsia="Calibri" w:cs="Mangal"/>
                <w:b/>
                <w:i/>
                <w:lang w:eastAsia="en-US"/>
              </w:rPr>
              <w:t>)</w:t>
            </w:r>
            <w:r w:rsidRPr="003B2277">
              <w:rPr>
                <w:rFonts w:eastAsia="Calibri" w:cs="Mangal"/>
                <w:b/>
                <w:i/>
                <w:lang w:eastAsia="en-US"/>
              </w:rPr>
              <w:tab/>
              <w:t>člen 163 se nadomesti z naslednjim:</w:t>
            </w:r>
          </w:p>
        </w:tc>
      </w:tr>
      <w:tr w:rsidR="006F5BFE" w:rsidRPr="003B2277" w14:paraId="5444B1D5" w14:textId="77777777" w:rsidTr="005B4D60">
        <w:trPr>
          <w:jc w:val="center"/>
        </w:trPr>
        <w:tc>
          <w:tcPr>
            <w:tcW w:w="4876" w:type="dxa"/>
            <w:hideMark/>
          </w:tcPr>
          <w:p w14:paraId="5F58C5E3" w14:textId="77777777" w:rsidR="006F5BFE" w:rsidRPr="003B2277" w:rsidRDefault="006F5BFE" w:rsidP="005B4D60">
            <w:pPr>
              <w:spacing w:after="120"/>
              <w:rPr>
                <w:lang w:eastAsia="en-US"/>
              </w:rPr>
            </w:pPr>
            <w:r w:rsidRPr="003B2277">
              <w:rPr>
                <w:rFonts w:eastAsia="Calibri" w:cs="Mangal"/>
                <w:lang w:eastAsia="en-US"/>
              </w:rPr>
              <w:t>Člen 163</w:t>
            </w:r>
          </w:p>
        </w:tc>
        <w:tc>
          <w:tcPr>
            <w:tcW w:w="4876" w:type="dxa"/>
            <w:hideMark/>
          </w:tcPr>
          <w:p w14:paraId="6BAC83AF"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163</w:t>
            </w:r>
          </w:p>
        </w:tc>
      </w:tr>
      <w:tr w:rsidR="006F5BFE" w:rsidRPr="003B2277" w14:paraId="31153787" w14:textId="77777777" w:rsidTr="005B4D60">
        <w:trPr>
          <w:jc w:val="center"/>
        </w:trPr>
        <w:tc>
          <w:tcPr>
            <w:tcW w:w="4876" w:type="dxa"/>
            <w:hideMark/>
          </w:tcPr>
          <w:p w14:paraId="6A670986" w14:textId="77777777" w:rsidR="006F5BFE" w:rsidRPr="003B2277" w:rsidRDefault="006F5BFE" w:rsidP="005B4D60">
            <w:pPr>
              <w:spacing w:after="120"/>
              <w:rPr>
                <w:lang w:eastAsia="en-US"/>
              </w:rPr>
            </w:pPr>
            <w:r w:rsidRPr="003B2277">
              <w:rPr>
                <w:rFonts w:eastAsia="Calibri" w:cs="Mangal"/>
                <w:lang w:eastAsia="en-US"/>
              </w:rPr>
              <w:t>Priznanje medpanožnih organizacij v sektorju mleka in mlečnih proizvodov</w:t>
            </w:r>
          </w:p>
        </w:tc>
        <w:tc>
          <w:tcPr>
            <w:tcW w:w="4876" w:type="dxa"/>
            <w:hideMark/>
          </w:tcPr>
          <w:p w14:paraId="0DE54F05" w14:textId="77777777" w:rsidR="006F5BFE" w:rsidRPr="003B2277" w:rsidRDefault="006F5BFE" w:rsidP="005B4D60">
            <w:pPr>
              <w:spacing w:after="120"/>
              <w:rPr>
                <w:szCs w:val="24"/>
                <w:lang w:eastAsia="en-US"/>
              </w:rPr>
            </w:pPr>
            <w:r w:rsidRPr="003B2277">
              <w:rPr>
                <w:rFonts w:eastAsia="Calibri" w:cs="Mangal"/>
                <w:lang w:eastAsia="en-US"/>
              </w:rPr>
              <w:t>Priznanje medpanožnih organizacij v sektorju mleka in mlečnih proizvodov</w:t>
            </w:r>
          </w:p>
        </w:tc>
      </w:tr>
      <w:tr w:rsidR="006F5BFE" w:rsidRPr="003B2277" w14:paraId="5BE2A1B3" w14:textId="77777777" w:rsidTr="005B4D60">
        <w:trPr>
          <w:jc w:val="center"/>
        </w:trPr>
        <w:tc>
          <w:tcPr>
            <w:tcW w:w="4876" w:type="dxa"/>
            <w:hideMark/>
          </w:tcPr>
          <w:p w14:paraId="15FFFF2D"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Države članice lahko priznajo medpanožne organizacije v sektorju mleka in mlečnih proizvodov, pod pogojem, da take organizacije:</w:t>
            </w:r>
          </w:p>
        </w:tc>
        <w:tc>
          <w:tcPr>
            <w:tcW w:w="4876" w:type="dxa"/>
            <w:hideMark/>
          </w:tcPr>
          <w:p w14:paraId="18ED1F9E"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Države članice lahko priznajo medpanožne organizacije v sektorju mleka in mlečnih proizvodov, pod pogojem, da take organizacije:</w:t>
            </w:r>
          </w:p>
        </w:tc>
      </w:tr>
      <w:tr w:rsidR="006F5BFE" w:rsidRPr="003B2277" w14:paraId="639C5918" w14:textId="77777777" w:rsidTr="005B4D60">
        <w:trPr>
          <w:jc w:val="center"/>
        </w:trPr>
        <w:tc>
          <w:tcPr>
            <w:tcW w:w="4876" w:type="dxa"/>
            <w:hideMark/>
          </w:tcPr>
          <w:p w14:paraId="20623DCD" w14:textId="77777777" w:rsidR="006F5BFE" w:rsidRPr="003B2277" w:rsidRDefault="006F5BFE" w:rsidP="005B4D60">
            <w:pPr>
              <w:spacing w:after="120"/>
              <w:rPr>
                <w:lang w:eastAsia="en-US"/>
              </w:rPr>
            </w:pPr>
            <w:r w:rsidRPr="003B2277">
              <w:rPr>
                <w:rFonts w:eastAsia="Calibri" w:cs="Mangal"/>
                <w:lang w:eastAsia="en-US"/>
              </w:rPr>
              <w:t>(a) izpolnjujejo zahteve iz člena 157(3);</w:t>
            </w:r>
          </w:p>
        </w:tc>
        <w:tc>
          <w:tcPr>
            <w:tcW w:w="4876" w:type="dxa"/>
            <w:hideMark/>
          </w:tcPr>
          <w:p w14:paraId="73E998EB" w14:textId="77777777" w:rsidR="006F5BFE" w:rsidRPr="003B2277" w:rsidRDefault="006F5BFE" w:rsidP="005B4D60">
            <w:pPr>
              <w:spacing w:after="120"/>
              <w:rPr>
                <w:szCs w:val="24"/>
                <w:lang w:eastAsia="en-US"/>
              </w:rPr>
            </w:pPr>
            <w:r w:rsidRPr="003B2277">
              <w:rPr>
                <w:rFonts w:eastAsia="Calibri" w:cs="Mangal"/>
                <w:lang w:eastAsia="en-US"/>
              </w:rPr>
              <w:t>(a) izpolnjujejo zahteve iz člena 157(3);</w:t>
            </w:r>
          </w:p>
        </w:tc>
      </w:tr>
      <w:tr w:rsidR="006F5BFE" w:rsidRPr="003B2277" w14:paraId="6A67AE88" w14:textId="77777777" w:rsidTr="005B4D60">
        <w:trPr>
          <w:jc w:val="center"/>
        </w:trPr>
        <w:tc>
          <w:tcPr>
            <w:tcW w:w="4876" w:type="dxa"/>
            <w:hideMark/>
          </w:tcPr>
          <w:p w14:paraId="0012D2F3" w14:textId="77777777" w:rsidR="006F5BFE" w:rsidRPr="003B2277" w:rsidRDefault="006F5BFE" w:rsidP="005B4D60">
            <w:pPr>
              <w:spacing w:after="120"/>
              <w:rPr>
                <w:lang w:eastAsia="en-US"/>
              </w:rPr>
            </w:pPr>
            <w:r w:rsidRPr="003B2277">
              <w:rPr>
                <w:rFonts w:eastAsia="Calibri" w:cs="Mangal"/>
                <w:lang w:eastAsia="en-US"/>
              </w:rPr>
              <w:t>(b) izvajajo svoje dejavnosti v eni ali več regijah na zadevnem ozemlju;</w:t>
            </w:r>
          </w:p>
        </w:tc>
        <w:tc>
          <w:tcPr>
            <w:tcW w:w="4876" w:type="dxa"/>
            <w:hideMark/>
          </w:tcPr>
          <w:p w14:paraId="6D3376F6" w14:textId="77777777" w:rsidR="006F5BFE" w:rsidRPr="003B2277" w:rsidRDefault="006F5BFE" w:rsidP="005B4D60">
            <w:pPr>
              <w:spacing w:after="120"/>
              <w:rPr>
                <w:szCs w:val="24"/>
                <w:lang w:eastAsia="en-US"/>
              </w:rPr>
            </w:pPr>
            <w:r w:rsidRPr="003B2277">
              <w:rPr>
                <w:rFonts w:eastAsia="Calibri" w:cs="Mangal"/>
                <w:lang w:eastAsia="en-US"/>
              </w:rPr>
              <w:t>(b) izvajajo svoje dejavnosti v eni ali več regijah na zadevnem ozemlju;</w:t>
            </w:r>
          </w:p>
        </w:tc>
      </w:tr>
      <w:tr w:rsidR="006F5BFE" w:rsidRPr="003B2277" w14:paraId="7C8B2429" w14:textId="77777777" w:rsidTr="005B4D60">
        <w:trPr>
          <w:jc w:val="center"/>
        </w:trPr>
        <w:tc>
          <w:tcPr>
            <w:tcW w:w="4876" w:type="dxa"/>
            <w:hideMark/>
          </w:tcPr>
          <w:p w14:paraId="269F85ED" w14:textId="77777777" w:rsidR="006F5BFE" w:rsidRPr="003B2277" w:rsidRDefault="006F5BFE" w:rsidP="005B4D60">
            <w:pPr>
              <w:spacing w:after="120"/>
              <w:rPr>
                <w:lang w:eastAsia="en-US"/>
              </w:rPr>
            </w:pPr>
            <w:r w:rsidRPr="003B2277">
              <w:rPr>
                <w:rFonts w:eastAsia="Calibri" w:cs="Mangal"/>
                <w:lang w:eastAsia="en-US"/>
              </w:rPr>
              <w:t>(c) predstavljajo pomemben delež gospodarskih dejavnosti iz točke (a) člena 157(3);</w:t>
            </w:r>
          </w:p>
        </w:tc>
        <w:tc>
          <w:tcPr>
            <w:tcW w:w="4876" w:type="dxa"/>
            <w:hideMark/>
          </w:tcPr>
          <w:p w14:paraId="50E1ABDD" w14:textId="77777777" w:rsidR="006F5BFE" w:rsidRPr="003B2277" w:rsidRDefault="006F5BFE" w:rsidP="005B4D60">
            <w:pPr>
              <w:spacing w:after="120"/>
              <w:rPr>
                <w:szCs w:val="24"/>
                <w:lang w:eastAsia="en-US"/>
              </w:rPr>
            </w:pPr>
            <w:r w:rsidRPr="003B2277">
              <w:rPr>
                <w:rFonts w:eastAsia="Calibri" w:cs="Mangal"/>
                <w:lang w:eastAsia="en-US"/>
              </w:rPr>
              <w:t>(c) predstavljajo pomemben delež gospodarskih dejavnosti iz točke (a) člena 157(3);</w:t>
            </w:r>
          </w:p>
        </w:tc>
      </w:tr>
      <w:tr w:rsidR="006F5BFE" w:rsidRPr="003B2277" w14:paraId="3C343282" w14:textId="77777777" w:rsidTr="005B4D60">
        <w:trPr>
          <w:jc w:val="center"/>
        </w:trPr>
        <w:tc>
          <w:tcPr>
            <w:tcW w:w="4876" w:type="dxa"/>
            <w:hideMark/>
          </w:tcPr>
          <w:p w14:paraId="00F721CC" w14:textId="77777777" w:rsidR="006F5BFE" w:rsidRPr="003B2277" w:rsidRDefault="006F5BFE" w:rsidP="005B4D60">
            <w:pPr>
              <w:spacing w:after="120"/>
              <w:rPr>
                <w:lang w:eastAsia="en-US"/>
              </w:rPr>
            </w:pPr>
            <w:r w:rsidRPr="003B2277">
              <w:rPr>
                <w:rFonts w:eastAsia="Calibri" w:cs="Mangal"/>
                <w:lang w:eastAsia="en-US"/>
              </w:rPr>
              <w:t>(d) same ne proizvajajo, predelujejo ali tržijo proizvodov v sektorju mleka in mlečnih proizvodov.</w:t>
            </w:r>
          </w:p>
        </w:tc>
        <w:tc>
          <w:tcPr>
            <w:tcW w:w="4876" w:type="dxa"/>
            <w:hideMark/>
          </w:tcPr>
          <w:p w14:paraId="23D84DFA" w14:textId="77777777" w:rsidR="006F5BFE" w:rsidRPr="003B2277" w:rsidRDefault="006F5BFE" w:rsidP="005B4D60">
            <w:pPr>
              <w:spacing w:after="120"/>
              <w:rPr>
                <w:szCs w:val="24"/>
                <w:lang w:eastAsia="en-US"/>
              </w:rPr>
            </w:pPr>
            <w:r w:rsidRPr="003B2277">
              <w:rPr>
                <w:rFonts w:eastAsia="Calibri" w:cs="Mangal"/>
                <w:lang w:eastAsia="en-US"/>
              </w:rPr>
              <w:t>(d) same ne proizvajajo, predelujejo ali tržijo proizvodov v sektorju mleka in mlečnih proizvodov.</w:t>
            </w:r>
          </w:p>
        </w:tc>
      </w:tr>
      <w:tr w:rsidR="006F5BFE" w:rsidRPr="003B2277" w14:paraId="2326D366" w14:textId="77777777" w:rsidTr="005B4D60">
        <w:trPr>
          <w:jc w:val="center"/>
        </w:trPr>
        <w:tc>
          <w:tcPr>
            <w:tcW w:w="4876" w:type="dxa"/>
            <w:hideMark/>
          </w:tcPr>
          <w:p w14:paraId="39827D88"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Države članice lahko odločijo, da se za medpanožne organizacije, ki so bile priznane pred 2. aprilom 2012 na podlagi nacionalne zakonodaje in izpolnjujejo pogoje iz odstavka 1, šteje, da so priznane kot medpanožne organizacije v skladu s členom 157(3).</w:t>
            </w:r>
          </w:p>
        </w:tc>
        <w:tc>
          <w:tcPr>
            <w:tcW w:w="4876" w:type="dxa"/>
            <w:hideMark/>
          </w:tcPr>
          <w:p w14:paraId="5E169389"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Države članice lahko odločijo, da se za medpanožne organizacije, ki so bile priznane pred 2. aprilom 2012 na podlagi nacionalne zakonodaje in izpolnjujejo pogoje iz odstavka 1, šteje, da so priznane kot medpanožne organizacije v skladu s členom 157(3).</w:t>
            </w:r>
          </w:p>
        </w:tc>
      </w:tr>
      <w:tr w:rsidR="006F5BFE" w:rsidRPr="003B2277" w14:paraId="562A23D8" w14:textId="77777777" w:rsidTr="005B4D60">
        <w:trPr>
          <w:jc w:val="center"/>
        </w:trPr>
        <w:tc>
          <w:tcPr>
            <w:tcW w:w="4876" w:type="dxa"/>
            <w:hideMark/>
          </w:tcPr>
          <w:p w14:paraId="2388C7B9"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Kadar države članice uporabijo možnost za priznanje medpanožne organizacije v skladu z odstavkom 1 ali 2:</w:t>
            </w:r>
          </w:p>
        </w:tc>
        <w:tc>
          <w:tcPr>
            <w:tcW w:w="4876" w:type="dxa"/>
            <w:hideMark/>
          </w:tcPr>
          <w:p w14:paraId="5162CB9D"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Kadar države članice uporabijo možnost za priznanje medpanožne organizacije v skladu z odstavkom 1 ali 2:</w:t>
            </w:r>
          </w:p>
        </w:tc>
      </w:tr>
      <w:tr w:rsidR="006F5BFE" w:rsidRPr="003B2277" w14:paraId="625375B8" w14:textId="77777777" w:rsidTr="005B4D60">
        <w:trPr>
          <w:jc w:val="center"/>
        </w:trPr>
        <w:tc>
          <w:tcPr>
            <w:tcW w:w="4876" w:type="dxa"/>
            <w:hideMark/>
          </w:tcPr>
          <w:p w14:paraId="29ADFF32" w14:textId="77777777" w:rsidR="006F5BFE" w:rsidRPr="003B2277" w:rsidRDefault="006F5BFE" w:rsidP="005B4D60">
            <w:pPr>
              <w:spacing w:after="120"/>
              <w:rPr>
                <w:lang w:eastAsia="en-US"/>
              </w:rPr>
            </w:pPr>
            <w:r w:rsidRPr="003B2277">
              <w:rPr>
                <w:rFonts w:eastAsia="Calibri" w:cs="Mangal"/>
                <w:lang w:eastAsia="en-US"/>
              </w:rPr>
              <w:t>(a) v štirih mesecih po vložitvi zahtevka, ki so mu priložena vsa ustrezna dokazila, odločijo, ali bodo priznale medpanožno organizacijo; zahtevek se vloži pri državi članici, v kateri ima organizacija svoj sedež;</w:t>
            </w:r>
          </w:p>
        </w:tc>
        <w:tc>
          <w:tcPr>
            <w:tcW w:w="4876" w:type="dxa"/>
            <w:hideMark/>
          </w:tcPr>
          <w:p w14:paraId="1323DFF5" w14:textId="77777777" w:rsidR="006F5BFE" w:rsidRPr="003B2277" w:rsidRDefault="006F5BFE" w:rsidP="005B4D60">
            <w:pPr>
              <w:spacing w:after="120"/>
              <w:rPr>
                <w:szCs w:val="24"/>
                <w:lang w:eastAsia="en-US"/>
              </w:rPr>
            </w:pPr>
            <w:r w:rsidRPr="003B2277">
              <w:rPr>
                <w:rFonts w:eastAsia="Calibri" w:cs="Mangal"/>
                <w:lang w:eastAsia="en-US"/>
              </w:rPr>
              <w:t>(a) v štirih mesecih po vložitvi zahtevka, ki so mu priložena vsa ustrezna dokazila, odločijo, ali bodo priznale medpanožno organizacijo; zahtevek se vloži pri državi članici, v kateri ima organizacija svoj sedež;</w:t>
            </w:r>
          </w:p>
        </w:tc>
      </w:tr>
      <w:tr w:rsidR="006F5BFE" w:rsidRPr="003B2277" w14:paraId="5A81ED4E" w14:textId="77777777" w:rsidTr="005B4D60">
        <w:trPr>
          <w:jc w:val="center"/>
        </w:trPr>
        <w:tc>
          <w:tcPr>
            <w:tcW w:w="4876" w:type="dxa"/>
            <w:hideMark/>
          </w:tcPr>
          <w:p w14:paraId="36D80B21" w14:textId="77777777" w:rsidR="006F5BFE" w:rsidRPr="003B2277" w:rsidRDefault="006F5BFE" w:rsidP="005B4D60">
            <w:pPr>
              <w:spacing w:after="120"/>
              <w:rPr>
                <w:lang w:eastAsia="en-US"/>
              </w:rPr>
            </w:pPr>
            <w:r w:rsidRPr="003B2277">
              <w:rPr>
                <w:rFonts w:eastAsia="Calibri" w:cs="Mangal"/>
                <w:lang w:eastAsia="en-US"/>
              </w:rPr>
              <w:t>(b) v časovnih obdobjih, ki jih določijo same, opravljajo preglede, s katerimi preverijo, ali medpanožne organizacije spoštujejo pogoje, povezane za njihovim priznanjem;</w:t>
            </w:r>
          </w:p>
        </w:tc>
        <w:tc>
          <w:tcPr>
            <w:tcW w:w="4876" w:type="dxa"/>
            <w:hideMark/>
          </w:tcPr>
          <w:p w14:paraId="192FD16C" w14:textId="77777777" w:rsidR="006F5BFE" w:rsidRPr="003B2277" w:rsidRDefault="006F5BFE" w:rsidP="005B4D60">
            <w:pPr>
              <w:spacing w:after="120"/>
              <w:rPr>
                <w:szCs w:val="24"/>
                <w:lang w:eastAsia="en-US"/>
              </w:rPr>
            </w:pPr>
            <w:r w:rsidRPr="003B2277">
              <w:rPr>
                <w:rFonts w:eastAsia="Calibri" w:cs="Mangal"/>
                <w:lang w:eastAsia="en-US"/>
              </w:rPr>
              <w:t>(b) v časovnih obdobjih, ki jih določijo same, opravljajo preglede, s katerimi preverijo, ali medpanožne organizacije spoštujejo pogoje, povezane za njihovim priznanjem;</w:t>
            </w:r>
          </w:p>
        </w:tc>
      </w:tr>
      <w:tr w:rsidR="006F5BFE" w:rsidRPr="003B2277" w14:paraId="56BE3A3F" w14:textId="77777777" w:rsidTr="005B4D60">
        <w:trPr>
          <w:jc w:val="center"/>
        </w:trPr>
        <w:tc>
          <w:tcPr>
            <w:tcW w:w="4876" w:type="dxa"/>
            <w:hideMark/>
          </w:tcPr>
          <w:p w14:paraId="4579B7B5" w14:textId="77777777" w:rsidR="006F5BFE" w:rsidRPr="003B2277" w:rsidRDefault="006F5BFE" w:rsidP="005B4D60">
            <w:pPr>
              <w:spacing w:after="120"/>
              <w:rPr>
                <w:lang w:eastAsia="en-US"/>
              </w:rPr>
            </w:pPr>
            <w:r w:rsidRPr="003B2277">
              <w:rPr>
                <w:rFonts w:eastAsia="Calibri" w:cs="Mangal"/>
                <w:lang w:eastAsia="en-US"/>
              </w:rPr>
              <w:t>(c) v primeru nespoštovanja ali nepravilnosti pri izvajanju ukrepov iz te uredbe naložijo tem organizacijam veljavne kazni, ki so jih določile, ter po potrebi odločijo, ali je treba priznanje preklicati;</w:t>
            </w:r>
          </w:p>
        </w:tc>
        <w:tc>
          <w:tcPr>
            <w:tcW w:w="4876" w:type="dxa"/>
            <w:hideMark/>
          </w:tcPr>
          <w:p w14:paraId="69896395" w14:textId="77777777" w:rsidR="006F5BFE" w:rsidRPr="003B2277" w:rsidRDefault="006F5BFE" w:rsidP="005B4D60">
            <w:pPr>
              <w:spacing w:after="120"/>
              <w:rPr>
                <w:szCs w:val="24"/>
                <w:lang w:eastAsia="en-US"/>
              </w:rPr>
            </w:pPr>
            <w:r w:rsidRPr="003B2277">
              <w:rPr>
                <w:rFonts w:eastAsia="Calibri" w:cs="Mangal"/>
                <w:lang w:eastAsia="en-US"/>
              </w:rPr>
              <w:t>(c) v primeru nespoštovanja ali nepravilnosti pri izvajanju ukrepov iz te uredbe naložijo tem organizacijam veljavne kazni, ki so jih določile, ter po potrebi odločijo, ali je treba priznanje preklicati;</w:t>
            </w:r>
          </w:p>
        </w:tc>
      </w:tr>
      <w:tr w:rsidR="006F5BFE" w:rsidRPr="003B2277" w14:paraId="55D6AE07" w14:textId="77777777" w:rsidTr="005B4D60">
        <w:trPr>
          <w:jc w:val="center"/>
        </w:trPr>
        <w:tc>
          <w:tcPr>
            <w:tcW w:w="4876" w:type="dxa"/>
            <w:hideMark/>
          </w:tcPr>
          <w:p w14:paraId="5ACD6B09" w14:textId="77777777" w:rsidR="006F5BFE" w:rsidRPr="003B2277" w:rsidRDefault="006F5BFE" w:rsidP="005B4D60">
            <w:pPr>
              <w:spacing w:after="120"/>
              <w:rPr>
                <w:lang w:eastAsia="en-US"/>
              </w:rPr>
            </w:pPr>
            <w:r w:rsidRPr="003B2277">
              <w:rPr>
                <w:rFonts w:eastAsia="Calibri" w:cs="Mangal"/>
                <w:lang w:eastAsia="en-US"/>
              </w:rPr>
              <w:t>(d) prekličejo priznanje, če</w:t>
            </w:r>
            <w:r w:rsidRPr="003B2277">
              <w:rPr>
                <w:rFonts w:eastAsia="Calibri" w:cs="Mangal"/>
                <w:b/>
                <w:i/>
                <w:lang w:eastAsia="en-US"/>
              </w:rPr>
              <w:t>:</w:t>
            </w:r>
          </w:p>
        </w:tc>
        <w:tc>
          <w:tcPr>
            <w:tcW w:w="4876" w:type="dxa"/>
            <w:hideMark/>
          </w:tcPr>
          <w:p w14:paraId="1590248B" w14:textId="77777777" w:rsidR="006F5BFE" w:rsidRPr="003B2277" w:rsidRDefault="006F5BFE" w:rsidP="005B4D60">
            <w:pPr>
              <w:spacing w:after="120"/>
              <w:rPr>
                <w:szCs w:val="24"/>
                <w:lang w:eastAsia="en-US"/>
              </w:rPr>
            </w:pPr>
            <w:r w:rsidRPr="003B2277">
              <w:rPr>
                <w:rFonts w:eastAsia="Calibri" w:cs="Mangal"/>
                <w:lang w:eastAsia="en-US"/>
              </w:rPr>
              <w:t>(d) prekličejo priznanje, če zahteve in pogoji za priznanje, določeni v tem členu, niso več izpolnjeni;</w:t>
            </w:r>
          </w:p>
        </w:tc>
      </w:tr>
      <w:tr w:rsidR="006F5BFE" w:rsidRPr="003B2277" w14:paraId="024B5056" w14:textId="77777777" w:rsidTr="005B4D60">
        <w:trPr>
          <w:jc w:val="center"/>
        </w:trPr>
        <w:tc>
          <w:tcPr>
            <w:tcW w:w="4876" w:type="dxa"/>
          </w:tcPr>
          <w:p w14:paraId="27DF31F7" w14:textId="77777777" w:rsidR="006F5BFE" w:rsidRPr="003B2277" w:rsidRDefault="006F5BFE" w:rsidP="005B4D60">
            <w:pPr>
              <w:spacing w:after="120"/>
              <w:rPr>
                <w:b/>
                <w:i/>
                <w:lang w:eastAsia="en-US"/>
              </w:rPr>
            </w:pPr>
            <w:r w:rsidRPr="003B2277">
              <w:rPr>
                <w:rFonts w:eastAsia="Calibri" w:cs="Mangal"/>
                <w:b/>
                <w:i/>
                <w:lang w:eastAsia="en-US"/>
              </w:rPr>
              <w:t>(i)</w:t>
            </w:r>
            <w:r w:rsidRPr="003B2277">
              <w:rPr>
                <w:rFonts w:eastAsia="Calibri" w:cs="Mangal"/>
                <w:lang w:eastAsia="en-US"/>
              </w:rPr>
              <w:t xml:space="preserve"> zahteve in pogoji za priznanje, določeni v tem členu, niso več izpolnjeni;</w:t>
            </w:r>
          </w:p>
        </w:tc>
        <w:tc>
          <w:tcPr>
            <w:tcW w:w="4876" w:type="dxa"/>
          </w:tcPr>
          <w:p w14:paraId="388C8807" w14:textId="77777777" w:rsidR="006F5BFE" w:rsidRPr="003B2277" w:rsidRDefault="006F5BFE" w:rsidP="005B4D60">
            <w:pPr>
              <w:spacing w:after="120"/>
            </w:pPr>
          </w:p>
        </w:tc>
      </w:tr>
      <w:tr w:rsidR="006F5BFE" w:rsidRPr="003B2277" w14:paraId="3F688FCA" w14:textId="77777777" w:rsidTr="005B4D60">
        <w:trPr>
          <w:jc w:val="center"/>
        </w:trPr>
        <w:tc>
          <w:tcPr>
            <w:tcW w:w="4876" w:type="dxa"/>
            <w:hideMark/>
          </w:tcPr>
          <w:p w14:paraId="1E5593EA" w14:textId="77777777" w:rsidR="006F5BFE" w:rsidRPr="003B2277" w:rsidRDefault="006F5BFE" w:rsidP="005B4D60">
            <w:pPr>
              <w:spacing w:after="120"/>
              <w:rPr>
                <w:lang w:eastAsia="en-US"/>
              </w:rPr>
            </w:pPr>
            <w:r w:rsidRPr="003B2277">
              <w:rPr>
                <w:rFonts w:eastAsia="Calibri" w:cs="Mangal"/>
                <w:b/>
                <w:i/>
                <w:lang w:eastAsia="en-US"/>
              </w:rPr>
              <w:t>(ii) medpanožna organizacija sodeluje pri kakršnem koli sporazumu, sklepu in usklajenem ravnanju iz člena 210(4); tak preklic priznanja ne posega v kakršne koli druge kazni, ki jih je treba naložiti v skladu z nacionalnim pravom;</w:t>
            </w:r>
          </w:p>
        </w:tc>
        <w:tc>
          <w:tcPr>
            <w:tcW w:w="4876" w:type="dxa"/>
          </w:tcPr>
          <w:p w14:paraId="541832FA" w14:textId="77777777" w:rsidR="006F5BFE" w:rsidRPr="003B2277" w:rsidRDefault="006F5BFE" w:rsidP="005B4D60">
            <w:pPr>
              <w:spacing w:after="120"/>
              <w:rPr>
                <w:szCs w:val="24"/>
              </w:rPr>
            </w:pPr>
          </w:p>
        </w:tc>
      </w:tr>
      <w:tr w:rsidR="006F5BFE" w:rsidRPr="003B2277" w14:paraId="5A670214" w14:textId="77777777" w:rsidTr="005B4D60">
        <w:trPr>
          <w:jc w:val="center"/>
        </w:trPr>
        <w:tc>
          <w:tcPr>
            <w:tcW w:w="4876" w:type="dxa"/>
            <w:hideMark/>
          </w:tcPr>
          <w:p w14:paraId="29611299" w14:textId="77777777" w:rsidR="006F5BFE" w:rsidRPr="003B2277" w:rsidRDefault="006F5BFE" w:rsidP="005B4D60">
            <w:pPr>
              <w:spacing w:after="120"/>
              <w:rPr>
                <w:lang w:eastAsia="en-US"/>
              </w:rPr>
            </w:pPr>
            <w:r w:rsidRPr="003B2277">
              <w:rPr>
                <w:rFonts w:eastAsia="Calibri" w:cs="Mangal"/>
                <w:b/>
                <w:i/>
                <w:lang w:eastAsia="en-US"/>
              </w:rPr>
              <w:t>(iii) medpanožna organizacija ne izpolnjuje obveznosti o uradnih obvestilih iz točke (a) prvega pododstavka člena 210(2);</w:t>
            </w:r>
          </w:p>
        </w:tc>
        <w:tc>
          <w:tcPr>
            <w:tcW w:w="4876" w:type="dxa"/>
          </w:tcPr>
          <w:p w14:paraId="0C1345BC" w14:textId="77777777" w:rsidR="006F5BFE" w:rsidRPr="003B2277" w:rsidRDefault="006F5BFE" w:rsidP="005B4D60">
            <w:pPr>
              <w:spacing w:after="120"/>
              <w:rPr>
                <w:szCs w:val="24"/>
              </w:rPr>
            </w:pPr>
          </w:p>
        </w:tc>
      </w:tr>
      <w:tr w:rsidR="006F5BFE" w:rsidRPr="003B2277" w14:paraId="3B58FE4F" w14:textId="77777777" w:rsidTr="005B4D60">
        <w:trPr>
          <w:jc w:val="center"/>
        </w:trPr>
        <w:tc>
          <w:tcPr>
            <w:tcW w:w="4876" w:type="dxa"/>
            <w:hideMark/>
          </w:tcPr>
          <w:p w14:paraId="3CC7AFBA" w14:textId="77777777" w:rsidR="006F5BFE" w:rsidRPr="003B2277" w:rsidRDefault="006F5BFE" w:rsidP="005B4D60">
            <w:pPr>
              <w:spacing w:after="120"/>
              <w:rPr>
                <w:lang w:eastAsia="en-US"/>
              </w:rPr>
            </w:pPr>
            <w:r w:rsidRPr="003B2277">
              <w:rPr>
                <w:rFonts w:eastAsia="Calibri" w:cs="Mangal"/>
                <w:lang w:eastAsia="en-US"/>
              </w:rPr>
              <w:t>(e) Komisijo vsako leto do 31. marca obvestijo o vsaki odločitvi o odobritvi, zavrnitvi ali preklicu priznanja, sprejeti v predhodnem koledarskem letu.</w:t>
            </w:r>
          </w:p>
        </w:tc>
        <w:tc>
          <w:tcPr>
            <w:tcW w:w="4876" w:type="dxa"/>
          </w:tcPr>
          <w:p w14:paraId="53AD5314" w14:textId="77777777" w:rsidR="006F5BFE" w:rsidRPr="003B2277" w:rsidRDefault="006F5BFE" w:rsidP="005B4D60">
            <w:pPr>
              <w:spacing w:after="120"/>
              <w:rPr>
                <w:szCs w:val="24"/>
                <w:lang w:eastAsia="en-US"/>
              </w:rPr>
            </w:pPr>
            <w:r w:rsidRPr="003B2277">
              <w:rPr>
                <w:rFonts w:eastAsia="Calibri" w:cs="Mangal"/>
                <w:lang w:eastAsia="en-US"/>
              </w:rPr>
              <w:t>(e) Komisijo vsako leto do 31. marca obvestijo o vsaki odločitvi o odobritvi, zavrnitvi ali preklicu priznanja, sprejeti v predhodnem koledarskem letu.</w:t>
            </w:r>
            <w:r w:rsidRPr="003B2277">
              <w:rPr>
                <w:rFonts w:eastAsia="Calibri" w:cs="Mangal"/>
                <w:b/>
                <w:i/>
                <w:lang w:eastAsia="en-US"/>
              </w:rPr>
              <w:t>“</w:t>
            </w:r>
          </w:p>
        </w:tc>
      </w:tr>
    </w:tbl>
    <w:p w14:paraId="6854A3B2" w14:textId="7CF86C67" w:rsidR="006F5BFE" w:rsidRDefault="006F5BFE" w:rsidP="006F5BFE">
      <w:pPr>
        <w:rPr>
          <w:lang w:eastAsia="en-US"/>
        </w:rPr>
      </w:pPr>
    </w:p>
    <w:p w14:paraId="616398BD" w14:textId="58AE12A6" w:rsidR="004E4D6B" w:rsidRDefault="004E4D6B" w:rsidP="006F5BFE">
      <w:pPr>
        <w:rPr>
          <w:lang w:eastAsia="en-US"/>
        </w:rPr>
      </w:pPr>
    </w:p>
    <w:p w14:paraId="26BA4A30" w14:textId="27E8D498" w:rsidR="004E4D6B" w:rsidRPr="00BF4248" w:rsidRDefault="008C7773" w:rsidP="004E4D6B">
      <w:pPr>
        <w:pStyle w:val="AmNumberTabs0"/>
      </w:pPr>
      <w:r>
        <w:t>Sprememba</w:t>
      </w:r>
      <w:r w:rsidR="004E4D6B" w:rsidRPr="00BF4248">
        <w:tab/>
      </w:r>
      <w:r w:rsidR="004E4D6B" w:rsidRPr="00BF4248">
        <w:tab/>
        <w:t>241</w:t>
      </w:r>
    </w:p>
    <w:p w14:paraId="53BCE003" w14:textId="77777777" w:rsidR="004E4D6B" w:rsidRPr="00BF4248" w:rsidRDefault="004E4D6B" w:rsidP="004E4D6B">
      <w:pPr>
        <w:pStyle w:val="NormalBold12b"/>
      </w:pPr>
      <w:r w:rsidRPr="00BF4248">
        <w:t>Predlog uredbe</w:t>
      </w:r>
    </w:p>
    <w:p w14:paraId="0FEAC55C" w14:textId="3DD63C45" w:rsidR="004E4D6B" w:rsidRPr="00BF4248" w:rsidRDefault="00871C85" w:rsidP="004E4D6B">
      <w:pPr>
        <w:pStyle w:val="NormalBold"/>
      </w:pPr>
      <w:r>
        <w:t>Člen 1 – odstavek 1 – točka 22 o</w:t>
      </w:r>
      <w:r w:rsidR="004E4D6B" w:rsidRPr="00BF4248">
        <w:t xml:space="preserve"> (novo)</w:t>
      </w:r>
    </w:p>
    <w:p w14:paraId="3CA20DF9" w14:textId="77777777" w:rsidR="004E4D6B" w:rsidRPr="00BF4248" w:rsidRDefault="004E4D6B" w:rsidP="004E4D6B">
      <w:r w:rsidRPr="00BF4248">
        <w:t>Uredba (EU) št. 1308/2013</w:t>
      </w:r>
    </w:p>
    <w:p w14:paraId="2FFEE219" w14:textId="77777777" w:rsidR="004E4D6B" w:rsidRPr="00BF4248" w:rsidRDefault="004E4D6B" w:rsidP="004E4D6B">
      <w:r w:rsidRPr="00BF4248">
        <w:t>Člen 163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BF4248" w14:paraId="6011814B" w14:textId="77777777" w:rsidTr="00D056A8">
        <w:trPr>
          <w:jc w:val="center"/>
        </w:trPr>
        <w:tc>
          <w:tcPr>
            <w:tcW w:w="9752" w:type="dxa"/>
            <w:gridSpan w:val="2"/>
          </w:tcPr>
          <w:p w14:paraId="6034AE59" w14:textId="77777777" w:rsidR="004E4D6B" w:rsidRPr="00BF4248" w:rsidRDefault="004E4D6B" w:rsidP="00D056A8">
            <w:pPr>
              <w:keepNext/>
            </w:pPr>
          </w:p>
        </w:tc>
      </w:tr>
      <w:tr w:rsidR="004E4D6B" w:rsidRPr="00BF4248" w14:paraId="3E8403DD" w14:textId="77777777" w:rsidTr="00D056A8">
        <w:trPr>
          <w:jc w:val="center"/>
        </w:trPr>
        <w:tc>
          <w:tcPr>
            <w:tcW w:w="4876" w:type="dxa"/>
          </w:tcPr>
          <w:p w14:paraId="1A9A08D8" w14:textId="77777777" w:rsidR="004E4D6B" w:rsidRPr="00BF4248" w:rsidRDefault="004E4D6B" w:rsidP="00D056A8">
            <w:pPr>
              <w:pStyle w:val="AmColumnHeading"/>
              <w:keepNext/>
            </w:pPr>
            <w:r w:rsidRPr="00BF4248">
              <w:t>Besedilo, ki ga predlaga Komisija</w:t>
            </w:r>
          </w:p>
        </w:tc>
        <w:tc>
          <w:tcPr>
            <w:tcW w:w="4876" w:type="dxa"/>
          </w:tcPr>
          <w:p w14:paraId="2251FDD8" w14:textId="26FF84B6" w:rsidR="004E4D6B" w:rsidRPr="00BF4248" w:rsidRDefault="008C7773" w:rsidP="00D056A8">
            <w:pPr>
              <w:pStyle w:val="AmColumnHeading"/>
              <w:keepNext/>
            </w:pPr>
            <w:r>
              <w:t>Sprememba</w:t>
            </w:r>
          </w:p>
        </w:tc>
      </w:tr>
      <w:tr w:rsidR="004E4D6B" w:rsidRPr="00BF4248" w14:paraId="60BD7A74" w14:textId="77777777" w:rsidTr="00D056A8">
        <w:trPr>
          <w:jc w:val="center"/>
        </w:trPr>
        <w:tc>
          <w:tcPr>
            <w:tcW w:w="4876" w:type="dxa"/>
          </w:tcPr>
          <w:p w14:paraId="6994F832" w14:textId="77777777" w:rsidR="004E4D6B" w:rsidRPr="00BF4248" w:rsidRDefault="004E4D6B" w:rsidP="00D056A8">
            <w:pPr>
              <w:pStyle w:val="Normal6"/>
            </w:pPr>
          </w:p>
        </w:tc>
        <w:tc>
          <w:tcPr>
            <w:tcW w:w="4876" w:type="dxa"/>
          </w:tcPr>
          <w:p w14:paraId="130277E0" w14:textId="67300555" w:rsidR="004E4D6B" w:rsidRPr="00BF4248" w:rsidRDefault="00871C85" w:rsidP="00D056A8">
            <w:pPr>
              <w:pStyle w:val="Normal6"/>
              <w:rPr>
                <w:szCs w:val="24"/>
              </w:rPr>
            </w:pPr>
            <w:r>
              <w:rPr>
                <w:b/>
                <w:i/>
              </w:rPr>
              <w:t>(22o</w:t>
            </w:r>
            <w:r w:rsidR="004E4D6B" w:rsidRPr="00BF4248">
              <w:rPr>
                <w:b/>
                <w:i/>
              </w:rPr>
              <w:t>)</w:t>
            </w:r>
            <w:r w:rsidR="004E4D6B" w:rsidRPr="00BF4248">
              <w:rPr>
                <w:b/>
                <w:i/>
              </w:rPr>
              <w:tab/>
              <w:t>vstavi se naslednji člen:</w:t>
            </w:r>
          </w:p>
        </w:tc>
      </w:tr>
      <w:tr w:rsidR="004E4D6B" w:rsidRPr="00BF4248" w14:paraId="70FA7C42" w14:textId="77777777" w:rsidTr="00D056A8">
        <w:trPr>
          <w:jc w:val="center"/>
        </w:trPr>
        <w:tc>
          <w:tcPr>
            <w:tcW w:w="4876" w:type="dxa"/>
          </w:tcPr>
          <w:p w14:paraId="600FA92D" w14:textId="77777777" w:rsidR="004E4D6B" w:rsidRPr="00BF4248" w:rsidRDefault="004E4D6B" w:rsidP="00D056A8">
            <w:pPr>
              <w:pStyle w:val="Normal6"/>
            </w:pPr>
          </w:p>
        </w:tc>
        <w:tc>
          <w:tcPr>
            <w:tcW w:w="4876" w:type="dxa"/>
          </w:tcPr>
          <w:p w14:paraId="53DA18E9" w14:textId="77777777" w:rsidR="004E4D6B" w:rsidRPr="00BF4248" w:rsidRDefault="004E4D6B" w:rsidP="00D056A8">
            <w:pPr>
              <w:pStyle w:val="Normal6"/>
              <w:rPr>
                <w:szCs w:val="24"/>
              </w:rPr>
            </w:pPr>
            <w:r w:rsidRPr="00BF4248">
              <w:rPr>
                <w:b/>
                <w:i/>
              </w:rPr>
              <w:t>„Člen 163a</w:t>
            </w:r>
          </w:p>
        </w:tc>
      </w:tr>
      <w:tr w:rsidR="004E4D6B" w:rsidRPr="00BF4248" w14:paraId="1CA47949" w14:textId="77777777" w:rsidTr="00D056A8">
        <w:trPr>
          <w:jc w:val="center"/>
        </w:trPr>
        <w:tc>
          <w:tcPr>
            <w:tcW w:w="4876" w:type="dxa"/>
          </w:tcPr>
          <w:p w14:paraId="547DD31B" w14:textId="77777777" w:rsidR="004E4D6B" w:rsidRPr="00BF4248" w:rsidRDefault="004E4D6B" w:rsidP="00D056A8">
            <w:pPr>
              <w:pStyle w:val="Normal6"/>
            </w:pPr>
          </w:p>
        </w:tc>
        <w:tc>
          <w:tcPr>
            <w:tcW w:w="4876" w:type="dxa"/>
          </w:tcPr>
          <w:p w14:paraId="7A1898A2" w14:textId="77777777" w:rsidR="004E4D6B" w:rsidRPr="00BF4248" w:rsidRDefault="004E4D6B" w:rsidP="00D056A8">
            <w:pPr>
              <w:pStyle w:val="Normal6"/>
              <w:rPr>
                <w:szCs w:val="24"/>
              </w:rPr>
            </w:pPr>
            <w:r w:rsidRPr="00BF4248">
              <w:rPr>
                <w:b/>
                <w:i/>
              </w:rPr>
              <w:t>Priznanje medpanožnih organizacij v vinskem sektorju</w:t>
            </w:r>
          </w:p>
        </w:tc>
      </w:tr>
      <w:tr w:rsidR="004E4D6B" w:rsidRPr="00BF4248" w14:paraId="27C95B32" w14:textId="77777777" w:rsidTr="00D056A8">
        <w:trPr>
          <w:jc w:val="center"/>
        </w:trPr>
        <w:tc>
          <w:tcPr>
            <w:tcW w:w="4876" w:type="dxa"/>
          </w:tcPr>
          <w:p w14:paraId="6CCDB7DD" w14:textId="77777777" w:rsidR="004E4D6B" w:rsidRPr="00BF4248" w:rsidRDefault="004E4D6B" w:rsidP="00D056A8">
            <w:pPr>
              <w:pStyle w:val="Normal6"/>
            </w:pPr>
          </w:p>
        </w:tc>
        <w:tc>
          <w:tcPr>
            <w:tcW w:w="4876" w:type="dxa"/>
          </w:tcPr>
          <w:p w14:paraId="2B138B07" w14:textId="77777777" w:rsidR="004E4D6B" w:rsidRPr="00BF4248" w:rsidRDefault="004E4D6B" w:rsidP="00D056A8">
            <w:pPr>
              <w:pStyle w:val="Normal6"/>
              <w:rPr>
                <w:szCs w:val="24"/>
              </w:rPr>
            </w:pPr>
            <w:r w:rsidRPr="00BF4248">
              <w:rPr>
                <w:b/>
                <w:i/>
              </w:rPr>
              <w:t>1.</w:t>
            </w:r>
            <w:r w:rsidRPr="00BF4248">
              <w:rPr>
                <w:b/>
                <w:i/>
              </w:rPr>
              <w:tab/>
              <w:t>Države članice lahko na zahtevo priznajo medpanožne organizacije za proizvode v vinskem sektorju na nacionalni ravni ali na ravni proizvodnega območja, če te organizacije:</w:t>
            </w:r>
          </w:p>
        </w:tc>
      </w:tr>
      <w:tr w:rsidR="004E4D6B" w:rsidRPr="00BF4248" w14:paraId="5B8C2B03" w14:textId="77777777" w:rsidTr="00D056A8">
        <w:trPr>
          <w:jc w:val="center"/>
        </w:trPr>
        <w:tc>
          <w:tcPr>
            <w:tcW w:w="4876" w:type="dxa"/>
          </w:tcPr>
          <w:p w14:paraId="72BC43DC" w14:textId="77777777" w:rsidR="004E4D6B" w:rsidRPr="00BF4248" w:rsidRDefault="004E4D6B" w:rsidP="00D056A8">
            <w:pPr>
              <w:pStyle w:val="Normal6"/>
            </w:pPr>
          </w:p>
        </w:tc>
        <w:tc>
          <w:tcPr>
            <w:tcW w:w="4876" w:type="dxa"/>
          </w:tcPr>
          <w:p w14:paraId="3B843FB1" w14:textId="77777777" w:rsidR="004E4D6B" w:rsidRPr="00BF4248" w:rsidRDefault="004E4D6B" w:rsidP="00D056A8">
            <w:pPr>
              <w:pStyle w:val="Normal6"/>
              <w:rPr>
                <w:szCs w:val="24"/>
              </w:rPr>
            </w:pPr>
            <w:r w:rsidRPr="00BF4248">
              <w:rPr>
                <w:b/>
                <w:i/>
              </w:rPr>
              <w:t>(a)</w:t>
            </w:r>
            <w:r w:rsidRPr="00BF4248">
              <w:rPr>
                <w:b/>
                <w:i/>
              </w:rPr>
              <w:tab/>
              <w:t>sestavljajo predstavniki gospodarskih dejavnosti, povezanih s proizvodnjo in vsaj eno od naslednjih faz dobavne verige: predelavo proizvodov ali trgovino z njimi, vključno z njihovo distribucijo;</w:t>
            </w:r>
          </w:p>
        </w:tc>
      </w:tr>
      <w:tr w:rsidR="004E4D6B" w:rsidRPr="00BF4248" w14:paraId="150DCA04" w14:textId="77777777" w:rsidTr="00D056A8">
        <w:trPr>
          <w:jc w:val="center"/>
        </w:trPr>
        <w:tc>
          <w:tcPr>
            <w:tcW w:w="4876" w:type="dxa"/>
          </w:tcPr>
          <w:p w14:paraId="2B5AF765" w14:textId="77777777" w:rsidR="004E4D6B" w:rsidRPr="00BF4248" w:rsidRDefault="004E4D6B" w:rsidP="00D056A8">
            <w:pPr>
              <w:pStyle w:val="Normal6"/>
            </w:pPr>
          </w:p>
        </w:tc>
        <w:tc>
          <w:tcPr>
            <w:tcW w:w="4876" w:type="dxa"/>
          </w:tcPr>
          <w:p w14:paraId="5BD1A758" w14:textId="77777777" w:rsidR="004E4D6B" w:rsidRPr="00BF4248" w:rsidRDefault="004E4D6B" w:rsidP="00D056A8">
            <w:pPr>
              <w:pStyle w:val="Normal6"/>
              <w:rPr>
                <w:szCs w:val="24"/>
              </w:rPr>
            </w:pPr>
            <w:r w:rsidRPr="00BF4248">
              <w:rPr>
                <w:b/>
                <w:i/>
              </w:rPr>
              <w:t>(b)</w:t>
            </w:r>
            <w:r w:rsidRPr="00BF4248">
              <w:rPr>
                <w:b/>
                <w:i/>
              </w:rPr>
              <w:tab/>
              <w:t>izpolnjujejo zahteve iz točk (b) in (c) člena 157.</w:t>
            </w:r>
          </w:p>
        </w:tc>
      </w:tr>
      <w:tr w:rsidR="004E4D6B" w:rsidRPr="00BF4248" w14:paraId="54AD2506" w14:textId="77777777" w:rsidTr="00D056A8">
        <w:trPr>
          <w:jc w:val="center"/>
        </w:trPr>
        <w:tc>
          <w:tcPr>
            <w:tcW w:w="4876" w:type="dxa"/>
          </w:tcPr>
          <w:p w14:paraId="4D0BB645" w14:textId="77777777" w:rsidR="004E4D6B" w:rsidRPr="00BF4248" w:rsidRDefault="004E4D6B" w:rsidP="00D056A8">
            <w:pPr>
              <w:pStyle w:val="Normal6"/>
            </w:pPr>
          </w:p>
        </w:tc>
        <w:tc>
          <w:tcPr>
            <w:tcW w:w="4876" w:type="dxa"/>
          </w:tcPr>
          <w:p w14:paraId="555C6575" w14:textId="77777777" w:rsidR="004E4D6B" w:rsidRPr="00BF4248" w:rsidRDefault="004E4D6B" w:rsidP="00D056A8">
            <w:pPr>
              <w:pStyle w:val="Normal6"/>
              <w:rPr>
                <w:szCs w:val="24"/>
              </w:rPr>
            </w:pPr>
            <w:r w:rsidRPr="00BF4248">
              <w:rPr>
                <w:b/>
                <w:i/>
              </w:rPr>
              <w:t>V zvezi s proizvodi z zaščiteno označbo porekla ali zaščiteno geografsko označbo, priznano na podlagi prava Unije, lahko predstavniki gospodarskih dejavnosti iz točke (a) prvega pododstavka vključujejo vlagatelje iz člena 95.</w:t>
            </w:r>
          </w:p>
        </w:tc>
      </w:tr>
      <w:tr w:rsidR="004E4D6B" w:rsidRPr="00BF4248" w14:paraId="508D4C2C" w14:textId="77777777" w:rsidTr="00D056A8">
        <w:trPr>
          <w:jc w:val="center"/>
        </w:trPr>
        <w:tc>
          <w:tcPr>
            <w:tcW w:w="4876" w:type="dxa"/>
          </w:tcPr>
          <w:p w14:paraId="11724A1F" w14:textId="77777777" w:rsidR="004E4D6B" w:rsidRPr="00BF4248" w:rsidRDefault="004E4D6B" w:rsidP="00D056A8">
            <w:pPr>
              <w:pStyle w:val="Normal6"/>
            </w:pPr>
          </w:p>
        </w:tc>
        <w:tc>
          <w:tcPr>
            <w:tcW w:w="4876" w:type="dxa"/>
          </w:tcPr>
          <w:p w14:paraId="68925329" w14:textId="77777777" w:rsidR="004E4D6B" w:rsidRPr="00BF4248" w:rsidRDefault="004E4D6B" w:rsidP="00D056A8">
            <w:pPr>
              <w:pStyle w:val="Normal6"/>
              <w:rPr>
                <w:szCs w:val="24"/>
              </w:rPr>
            </w:pPr>
            <w:r w:rsidRPr="00BF4248">
              <w:rPr>
                <w:b/>
                <w:i/>
              </w:rPr>
              <w:t>2.</w:t>
            </w:r>
            <w:r w:rsidRPr="00BF4248">
              <w:rPr>
                <w:b/>
                <w:i/>
              </w:rPr>
              <w:tab/>
              <w:t>Kadar države članice uporabijo možnost za priznanje medpanožnih organizacij v vinskem sektorju v skladu z odstavkom 1 tega člena, se smiselno uporablja člen 158.“</w:t>
            </w:r>
          </w:p>
        </w:tc>
      </w:tr>
    </w:tbl>
    <w:p w14:paraId="290E5AB3" w14:textId="77777777" w:rsidR="004E4D6B" w:rsidRPr="003B2277" w:rsidRDefault="004E4D6B" w:rsidP="006F5BFE">
      <w:pPr>
        <w:rPr>
          <w:lang w:eastAsia="en-US"/>
        </w:rPr>
      </w:pPr>
    </w:p>
    <w:p w14:paraId="321AF62A" w14:textId="77777777"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4F628678" w14:textId="277AE8D7" w:rsidR="004E4D6B" w:rsidRPr="003E0023" w:rsidRDefault="008C7773" w:rsidP="004E4D6B">
      <w:pPr>
        <w:pStyle w:val="AmNumberTabs0"/>
      </w:pPr>
      <w:r>
        <w:t>Sprememba</w:t>
      </w:r>
      <w:r w:rsidR="004E4D6B" w:rsidRPr="003E0023">
        <w:tab/>
      </w:r>
      <w:r w:rsidR="004E4D6B" w:rsidRPr="003E0023">
        <w:tab/>
        <w:t>242</w:t>
      </w:r>
    </w:p>
    <w:p w14:paraId="11CD81F0" w14:textId="77777777" w:rsidR="004E4D6B" w:rsidRPr="003E0023" w:rsidRDefault="004E4D6B" w:rsidP="004E4D6B">
      <w:pPr>
        <w:pStyle w:val="NormalBold12b"/>
      </w:pPr>
      <w:r w:rsidRPr="003E0023">
        <w:t>Predlog uredbe</w:t>
      </w:r>
    </w:p>
    <w:p w14:paraId="13FE8D96" w14:textId="349D26DF" w:rsidR="004E4D6B" w:rsidRPr="003E0023" w:rsidRDefault="00871C85" w:rsidP="004E4D6B">
      <w:pPr>
        <w:pStyle w:val="NormalBold"/>
      </w:pPr>
      <w:r>
        <w:t>Člen 1 – odstavek 1 – točka 22 p</w:t>
      </w:r>
      <w:r w:rsidR="004E4D6B" w:rsidRPr="003E0023">
        <w:t xml:space="preserve"> (novo)</w:t>
      </w:r>
    </w:p>
    <w:p w14:paraId="278A6C37" w14:textId="77777777" w:rsidR="004E4D6B" w:rsidRPr="003E0023" w:rsidRDefault="004E4D6B" w:rsidP="004E4D6B">
      <w:r w:rsidRPr="003E0023">
        <w:t>Uredba (EU) 1308/2013</w:t>
      </w:r>
    </w:p>
    <w:p w14:paraId="046640B7" w14:textId="77777777" w:rsidR="004E4D6B" w:rsidRPr="003E0023" w:rsidRDefault="004E4D6B" w:rsidP="004E4D6B">
      <w:r w:rsidRPr="003E0023">
        <w:t>Člen 164</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3E0023" w14:paraId="2198ECA4" w14:textId="77777777" w:rsidTr="00D056A8">
        <w:trPr>
          <w:jc w:val="center"/>
        </w:trPr>
        <w:tc>
          <w:tcPr>
            <w:tcW w:w="9752" w:type="dxa"/>
            <w:gridSpan w:val="2"/>
          </w:tcPr>
          <w:p w14:paraId="61CD71F0" w14:textId="77777777" w:rsidR="004E4D6B" w:rsidRPr="003E0023" w:rsidRDefault="004E4D6B" w:rsidP="00D056A8">
            <w:pPr>
              <w:keepNext/>
            </w:pPr>
          </w:p>
        </w:tc>
      </w:tr>
      <w:tr w:rsidR="004E4D6B" w:rsidRPr="003E0023" w14:paraId="42852147" w14:textId="77777777" w:rsidTr="00D056A8">
        <w:trPr>
          <w:jc w:val="center"/>
        </w:trPr>
        <w:tc>
          <w:tcPr>
            <w:tcW w:w="4876" w:type="dxa"/>
          </w:tcPr>
          <w:p w14:paraId="02BB0B00" w14:textId="77777777" w:rsidR="004E4D6B" w:rsidRPr="003E0023" w:rsidRDefault="004E4D6B" w:rsidP="00D056A8">
            <w:pPr>
              <w:pStyle w:val="AmColumnHeading"/>
              <w:keepNext/>
            </w:pPr>
            <w:r w:rsidRPr="003E0023">
              <w:t>Veljavno besedilo</w:t>
            </w:r>
          </w:p>
        </w:tc>
        <w:tc>
          <w:tcPr>
            <w:tcW w:w="4876" w:type="dxa"/>
          </w:tcPr>
          <w:p w14:paraId="5CA1B40C" w14:textId="7CD08DC2" w:rsidR="004E4D6B" w:rsidRPr="003E0023" w:rsidRDefault="008C7773" w:rsidP="00D056A8">
            <w:pPr>
              <w:pStyle w:val="AmColumnHeading"/>
              <w:keepNext/>
            </w:pPr>
            <w:r>
              <w:t>Sprememba</w:t>
            </w:r>
          </w:p>
        </w:tc>
      </w:tr>
      <w:tr w:rsidR="004E4D6B" w:rsidRPr="003E0023" w14:paraId="1508C17C" w14:textId="77777777" w:rsidTr="00D056A8">
        <w:trPr>
          <w:jc w:val="center"/>
        </w:trPr>
        <w:tc>
          <w:tcPr>
            <w:tcW w:w="4876" w:type="dxa"/>
          </w:tcPr>
          <w:p w14:paraId="085A8760" w14:textId="77777777" w:rsidR="004E4D6B" w:rsidRPr="003E0023" w:rsidRDefault="004E4D6B" w:rsidP="00D056A8">
            <w:pPr>
              <w:pStyle w:val="Normal6"/>
            </w:pPr>
          </w:p>
        </w:tc>
        <w:tc>
          <w:tcPr>
            <w:tcW w:w="4876" w:type="dxa"/>
          </w:tcPr>
          <w:p w14:paraId="1408148A" w14:textId="0D4D475C" w:rsidR="004E4D6B" w:rsidRPr="003E0023" w:rsidRDefault="00871C85" w:rsidP="00D056A8">
            <w:pPr>
              <w:pStyle w:val="Normal6"/>
              <w:rPr>
                <w:szCs w:val="24"/>
              </w:rPr>
            </w:pPr>
            <w:r>
              <w:rPr>
                <w:b/>
                <w:i/>
              </w:rPr>
              <w:t>(22p</w:t>
            </w:r>
            <w:r w:rsidR="004E4D6B" w:rsidRPr="003E0023">
              <w:rPr>
                <w:b/>
                <w:i/>
              </w:rPr>
              <w:t>)</w:t>
            </w:r>
            <w:r w:rsidR="004E4D6B" w:rsidRPr="003E0023">
              <w:rPr>
                <w:b/>
                <w:i/>
              </w:rPr>
              <w:tab/>
              <w:t>Člen 164 se nadomesti z naslednjim:</w:t>
            </w:r>
          </w:p>
        </w:tc>
      </w:tr>
      <w:tr w:rsidR="004E4D6B" w:rsidRPr="003E0023" w14:paraId="1B32E314" w14:textId="77777777" w:rsidTr="00D056A8">
        <w:trPr>
          <w:jc w:val="center"/>
        </w:trPr>
        <w:tc>
          <w:tcPr>
            <w:tcW w:w="4876" w:type="dxa"/>
          </w:tcPr>
          <w:p w14:paraId="0BF3733D" w14:textId="77777777" w:rsidR="004E4D6B" w:rsidRPr="003E0023" w:rsidRDefault="004E4D6B" w:rsidP="00D056A8">
            <w:pPr>
              <w:pStyle w:val="Normal6"/>
              <w:jc w:val="center"/>
            </w:pPr>
            <w:r w:rsidRPr="003E0023">
              <w:t>Člen 164</w:t>
            </w:r>
          </w:p>
        </w:tc>
        <w:tc>
          <w:tcPr>
            <w:tcW w:w="4876" w:type="dxa"/>
          </w:tcPr>
          <w:p w14:paraId="15989FB0" w14:textId="77777777" w:rsidR="004E4D6B" w:rsidRPr="003E0023" w:rsidRDefault="004E4D6B" w:rsidP="00D056A8">
            <w:pPr>
              <w:pStyle w:val="Normal6"/>
              <w:rPr>
                <w:szCs w:val="24"/>
              </w:rPr>
            </w:pPr>
            <w:r w:rsidRPr="003E0023">
              <w:t>„Člen 164</w:t>
            </w:r>
          </w:p>
        </w:tc>
      </w:tr>
      <w:tr w:rsidR="004E4D6B" w:rsidRPr="003E0023" w14:paraId="746D2DEF" w14:textId="77777777" w:rsidTr="00D056A8">
        <w:trPr>
          <w:jc w:val="center"/>
        </w:trPr>
        <w:tc>
          <w:tcPr>
            <w:tcW w:w="4876" w:type="dxa"/>
          </w:tcPr>
          <w:p w14:paraId="0A3E3C54" w14:textId="6DAF8DFF" w:rsidR="004E4D6B" w:rsidRPr="003E0023" w:rsidRDefault="00517420" w:rsidP="00D056A8">
            <w:pPr>
              <w:pStyle w:val="Normal6"/>
            </w:pPr>
            <w:r w:rsidRPr="004D1F6F">
              <w:t>Razširitev</w:t>
            </w:r>
            <w:r w:rsidRPr="003E0023" w:rsidDel="00517420">
              <w:rPr>
                <w:b/>
                <w:i/>
              </w:rPr>
              <w:t xml:space="preserve"> </w:t>
            </w:r>
            <w:r w:rsidR="004E4D6B" w:rsidRPr="003E0023">
              <w:t>pravil</w:t>
            </w:r>
          </w:p>
        </w:tc>
        <w:tc>
          <w:tcPr>
            <w:tcW w:w="4876" w:type="dxa"/>
          </w:tcPr>
          <w:p w14:paraId="109D0FA0" w14:textId="77777777" w:rsidR="004E4D6B" w:rsidRPr="003E0023" w:rsidRDefault="004E4D6B" w:rsidP="00D056A8">
            <w:pPr>
              <w:pStyle w:val="Normal6"/>
              <w:rPr>
                <w:szCs w:val="24"/>
              </w:rPr>
            </w:pPr>
            <w:r w:rsidRPr="00FD1F1B">
              <w:t>Razširitev</w:t>
            </w:r>
            <w:r w:rsidRPr="003E0023">
              <w:t xml:space="preserve"> pravil</w:t>
            </w:r>
          </w:p>
        </w:tc>
      </w:tr>
      <w:tr w:rsidR="004E4D6B" w:rsidRPr="003E0023" w14:paraId="3FC4F2B3" w14:textId="77777777" w:rsidTr="00D056A8">
        <w:trPr>
          <w:jc w:val="center"/>
        </w:trPr>
        <w:tc>
          <w:tcPr>
            <w:tcW w:w="4876" w:type="dxa"/>
          </w:tcPr>
          <w:p w14:paraId="1B882E9A" w14:textId="77777777" w:rsidR="004E4D6B" w:rsidRPr="003E0023" w:rsidRDefault="004E4D6B" w:rsidP="00D056A8">
            <w:pPr>
              <w:pStyle w:val="Normal6"/>
            </w:pPr>
            <w:r w:rsidRPr="003E0023">
              <w:t>1.</w:t>
            </w:r>
            <w:r w:rsidRPr="003E0023">
              <w:tab/>
              <w:t>Kadar se priznana organizacija proizvajalcev, priznano združenje organizacij proizvajalcev ali priznana medpanožna organizacija, ki deluje na določenem gospodarskem območju ali določenih območjih države članice, šteje za reprezentativno glede proizvodnje ali predelave določenega proizvoda ali trgovanja z njim, lahko zadevna država članica na zahtevo te organizacije določi, da so nekateri sporazumi, sklepi ali usklajena ravnanja, sprejeti v okviru te organizacije, za omejeno obdobje zavezujoči za druge izvajalce, ki delujejo na zadevnem gospodarskem območju ali zadevnih gospodarskih območjih, ne glede na to, ali so izvajalci posamezniki ali skupine, in ki niso vključeni v navedeno organizacijo oziroma združenje.</w:t>
            </w:r>
          </w:p>
        </w:tc>
        <w:tc>
          <w:tcPr>
            <w:tcW w:w="4876" w:type="dxa"/>
          </w:tcPr>
          <w:p w14:paraId="52707853" w14:textId="77777777" w:rsidR="004E4D6B" w:rsidRPr="003E0023" w:rsidRDefault="004E4D6B" w:rsidP="00D056A8">
            <w:pPr>
              <w:pStyle w:val="Normal6"/>
              <w:rPr>
                <w:szCs w:val="24"/>
              </w:rPr>
            </w:pPr>
            <w:r w:rsidRPr="003E0023">
              <w:t>1.</w:t>
            </w:r>
            <w:r w:rsidRPr="003E0023">
              <w:tab/>
              <w:t>Kadar se priznana organizacija proizvajalcev, priznano združenje organizacij proizvajalcev ali priznana medpanožna organizacija, ki deluje na določenem gospodarskem območju ali določenih območjih države članice, šteje za reprezentativno glede proizvodnje ali predelave določenega proizvoda ali trgovanja z njim, lahko zadevna država članica na zahtevo te organizacije določi, da so nekateri sporazumi, sklepi ali usklajena ravnanja, sprejeti v okviru te organizacije, za omejeno obdobje zavezujoči za druge izvajalce, ki delujejo na zadevnem gospodarskem območju ali zadevnih gospodarskih območjih, ne glede na to, ali so izvajalci posamezniki ali skupine, in ki niso vključeni v navedeno organizacijo oziroma združenje.</w:t>
            </w:r>
          </w:p>
        </w:tc>
      </w:tr>
      <w:tr w:rsidR="004E4D6B" w:rsidRPr="003E0023" w14:paraId="7167F2C7" w14:textId="77777777" w:rsidTr="00D056A8">
        <w:trPr>
          <w:jc w:val="center"/>
        </w:trPr>
        <w:tc>
          <w:tcPr>
            <w:tcW w:w="4876" w:type="dxa"/>
          </w:tcPr>
          <w:p w14:paraId="019FA21C" w14:textId="77777777" w:rsidR="004E4D6B" w:rsidRPr="003E0023" w:rsidRDefault="004E4D6B" w:rsidP="00D056A8">
            <w:pPr>
              <w:pStyle w:val="Normal6"/>
            </w:pPr>
            <w:r w:rsidRPr="003E0023">
              <w:t>2.</w:t>
            </w:r>
            <w:r w:rsidRPr="003E0023">
              <w:tab/>
              <w:t>V tem oddelku „gospodarsko območje“ pomeni geografski predel, ki ga sestavljajo bližnja ali sosednja proizvodna območja, na katerih so proizvodni in tržni pogoji homogeni.</w:t>
            </w:r>
          </w:p>
        </w:tc>
        <w:tc>
          <w:tcPr>
            <w:tcW w:w="4876" w:type="dxa"/>
          </w:tcPr>
          <w:p w14:paraId="641AC0EB" w14:textId="77777777" w:rsidR="004E4D6B" w:rsidRPr="003E0023" w:rsidRDefault="004E4D6B" w:rsidP="00D056A8">
            <w:pPr>
              <w:pStyle w:val="Normal6"/>
              <w:rPr>
                <w:szCs w:val="24"/>
              </w:rPr>
            </w:pPr>
            <w:r w:rsidRPr="003E0023">
              <w:t>2.</w:t>
            </w:r>
            <w:r w:rsidRPr="003E0023">
              <w:tab/>
              <w:t>V tem oddelku „gospodarsko območje“ pomeni geografski predel, ki ga sestavljajo bližnja ali sosednja proizvodna območja, na katerih so proizvodni in tržni pogoji homogeni</w:t>
            </w:r>
            <w:r w:rsidRPr="003E0023">
              <w:rPr>
                <w:b/>
                <w:i/>
              </w:rPr>
              <w:t>, ali za proizvode z zaščiteno označbo porekla ali zaščiteno geografsko označbo, priznano v skladu s pravom Unije, geografski predel, določen v specifikaciji proizvoda.</w:t>
            </w:r>
          </w:p>
        </w:tc>
      </w:tr>
      <w:tr w:rsidR="004E4D6B" w:rsidRPr="003E0023" w14:paraId="4DCD05A3" w14:textId="77777777" w:rsidTr="00D056A8">
        <w:trPr>
          <w:jc w:val="center"/>
        </w:trPr>
        <w:tc>
          <w:tcPr>
            <w:tcW w:w="4876" w:type="dxa"/>
          </w:tcPr>
          <w:p w14:paraId="3BD9A7D1" w14:textId="77777777" w:rsidR="004E4D6B" w:rsidRPr="003E0023" w:rsidRDefault="004E4D6B" w:rsidP="00D056A8">
            <w:pPr>
              <w:pStyle w:val="Normal6"/>
            </w:pPr>
            <w:r w:rsidRPr="003E0023">
              <w:t>3.</w:t>
            </w:r>
            <w:r w:rsidRPr="003E0023">
              <w:tab/>
              <w:t>Organizacija ali združenje se šteje za reprezentativno, kadar na zadevnem gospodarskem območju oziroma območjih države članice:</w:t>
            </w:r>
          </w:p>
        </w:tc>
        <w:tc>
          <w:tcPr>
            <w:tcW w:w="4876" w:type="dxa"/>
          </w:tcPr>
          <w:p w14:paraId="2807C994" w14:textId="77777777" w:rsidR="004E4D6B" w:rsidRPr="003E0023" w:rsidRDefault="004E4D6B" w:rsidP="00D056A8">
            <w:pPr>
              <w:pStyle w:val="Normal6"/>
              <w:rPr>
                <w:szCs w:val="24"/>
              </w:rPr>
            </w:pPr>
            <w:r w:rsidRPr="003E0023">
              <w:t>3.</w:t>
            </w:r>
            <w:r w:rsidRPr="003E0023">
              <w:tab/>
              <w:t>Organizacija ali združenje se šteje za reprezentativno, kadar na zadevnem gospodarskem območju oziroma območjih države članice:</w:t>
            </w:r>
          </w:p>
        </w:tc>
      </w:tr>
      <w:tr w:rsidR="004E4D6B" w:rsidRPr="003E0023" w14:paraId="020F6FC6" w14:textId="77777777" w:rsidTr="00D056A8">
        <w:trPr>
          <w:jc w:val="center"/>
        </w:trPr>
        <w:tc>
          <w:tcPr>
            <w:tcW w:w="4876" w:type="dxa"/>
          </w:tcPr>
          <w:p w14:paraId="4D5E1402" w14:textId="77777777" w:rsidR="004E4D6B" w:rsidRPr="003E0023" w:rsidRDefault="004E4D6B" w:rsidP="00D056A8">
            <w:pPr>
              <w:pStyle w:val="Normal6"/>
            </w:pPr>
            <w:r w:rsidRPr="003E0023">
              <w:t>(a)</w:t>
            </w:r>
            <w:r w:rsidRPr="003E0023">
              <w:tab/>
              <w:t>njen oziroma njegov delež obsega proizvodnje, trgovine ali predelave za zadevni proizvod ali zadevne proizvode znaša:</w:t>
            </w:r>
          </w:p>
        </w:tc>
        <w:tc>
          <w:tcPr>
            <w:tcW w:w="4876" w:type="dxa"/>
          </w:tcPr>
          <w:p w14:paraId="2D3269BE" w14:textId="77777777" w:rsidR="004E4D6B" w:rsidRPr="003E0023" w:rsidRDefault="004E4D6B" w:rsidP="00D056A8">
            <w:pPr>
              <w:pStyle w:val="Normal6"/>
              <w:rPr>
                <w:szCs w:val="24"/>
              </w:rPr>
            </w:pPr>
            <w:r w:rsidRPr="003E0023">
              <w:t>(a)</w:t>
            </w:r>
            <w:r w:rsidRPr="003E0023">
              <w:tab/>
              <w:t>njen oziroma njegov delež obsega proizvodnje, trgovine ali predelave za zadevni proizvod ali zadevne proizvode znaša:</w:t>
            </w:r>
          </w:p>
        </w:tc>
      </w:tr>
      <w:tr w:rsidR="004E4D6B" w:rsidRPr="003E0023" w14:paraId="39147C06" w14:textId="77777777" w:rsidTr="00D056A8">
        <w:trPr>
          <w:jc w:val="center"/>
        </w:trPr>
        <w:tc>
          <w:tcPr>
            <w:tcW w:w="4876" w:type="dxa"/>
          </w:tcPr>
          <w:p w14:paraId="253FB8ED" w14:textId="77777777" w:rsidR="004E4D6B" w:rsidRPr="003E0023" w:rsidRDefault="004E4D6B" w:rsidP="00D056A8">
            <w:pPr>
              <w:pStyle w:val="Normal6"/>
            </w:pPr>
            <w:r w:rsidRPr="003E0023">
              <w:t>(i)</w:t>
            </w:r>
            <w:r w:rsidRPr="003E0023">
              <w:tab/>
              <w:t>v primeru organizacij proizvajalcev v sektorju sadja in zelenjave najmanj 60 % ali</w:t>
            </w:r>
          </w:p>
        </w:tc>
        <w:tc>
          <w:tcPr>
            <w:tcW w:w="4876" w:type="dxa"/>
          </w:tcPr>
          <w:p w14:paraId="18A62635" w14:textId="77777777" w:rsidR="004E4D6B" w:rsidRPr="003E0023" w:rsidRDefault="004E4D6B" w:rsidP="00D056A8">
            <w:pPr>
              <w:pStyle w:val="Normal6"/>
              <w:rPr>
                <w:szCs w:val="24"/>
              </w:rPr>
            </w:pPr>
            <w:r w:rsidRPr="003E0023">
              <w:t>(i)</w:t>
            </w:r>
            <w:r w:rsidRPr="003E0023">
              <w:tab/>
              <w:t>v primeru organizacij proizvajalcev v sektorju sadja in zelenjave najmanj 60 % ali</w:t>
            </w:r>
          </w:p>
        </w:tc>
      </w:tr>
      <w:tr w:rsidR="004E4D6B" w:rsidRPr="003E0023" w14:paraId="5A4D6A65" w14:textId="77777777" w:rsidTr="00D056A8">
        <w:trPr>
          <w:jc w:val="center"/>
        </w:trPr>
        <w:tc>
          <w:tcPr>
            <w:tcW w:w="4876" w:type="dxa"/>
          </w:tcPr>
          <w:p w14:paraId="61E6B191" w14:textId="77777777" w:rsidR="004E4D6B" w:rsidRPr="003E0023" w:rsidRDefault="004E4D6B" w:rsidP="00D056A8">
            <w:pPr>
              <w:pStyle w:val="Normal6"/>
            </w:pPr>
            <w:r w:rsidRPr="003E0023">
              <w:t>(ii)</w:t>
            </w:r>
            <w:r w:rsidRPr="003E0023">
              <w:tab/>
              <w:t xml:space="preserve"> v drugih primerih vsaj dve tretjini ter</w:t>
            </w:r>
          </w:p>
        </w:tc>
        <w:tc>
          <w:tcPr>
            <w:tcW w:w="4876" w:type="dxa"/>
          </w:tcPr>
          <w:p w14:paraId="6A36FB23" w14:textId="77777777" w:rsidR="004E4D6B" w:rsidRPr="003E0023" w:rsidRDefault="004E4D6B" w:rsidP="00D056A8">
            <w:pPr>
              <w:pStyle w:val="Normal6"/>
              <w:rPr>
                <w:szCs w:val="24"/>
              </w:rPr>
            </w:pPr>
            <w:r w:rsidRPr="003E0023">
              <w:t>(ii)</w:t>
            </w:r>
            <w:r w:rsidRPr="003E0023">
              <w:tab/>
              <w:t>v drugih primerih vsaj dve tretjini in</w:t>
            </w:r>
          </w:p>
        </w:tc>
      </w:tr>
      <w:tr w:rsidR="004E4D6B" w:rsidRPr="003E0023" w14:paraId="193E3FAA" w14:textId="77777777" w:rsidTr="00D056A8">
        <w:trPr>
          <w:jc w:val="center"/>
        </w:trPr>
        <w:tc>
          <w:tcPr>
            <w:tcW w:w="4876" w:type="dxa"/>
          </w:tcPr>
          <w:p w14:paraId="66F7881F" w14:textId="77777777" w:rsidR="004E4D6B" w:rsidRPr="003E0023" w:rsidRDefault="004E4D6B" w:rsidP="00D056A8">
            <w:pPr>
              <w:pStyle w:val="Normal6"/>
            </w:pPr>
            <w:r w:rsidRPr="003E0023">
              <w:t>(b)</w:t>
            </w:r>
            <w:r w:rsidRPr="003E0023">
              <w:tab/>
              <w:t>v primeru organizacij proizvajalcev zajema več kot 50 % zadevnih proizvajalcev.</w:t>
            </w:r>
          </w:p>
        </w:tc>
        <w:tc>
          <w:tcPr>
            <w:tcW w:w="4876" w:type="dxa"/>
          </w:tcPr>
          <w:p w14:paraId="412DE886" w14:textId="77777777" w:rsidR="004E4D6B" w:rsidRPr="003E0023" w:rsidRDefault="004E4D6B" w:rsidP="00D056A8">
            <w:pPr>
              <w:pStyle w:val="Normal6"/>
              <w:rPr>
                <w:szCs w:val="24"/>
              </w:rPr>
            </w:pPr>
            <w:r w:rsidRPr="003E0023">
              <w:t>(b)</w:t>
            </w:r>
            <w:r w:rsidRPr="003E0023">
              <w:tab/>
              <w:t>v primeru organizacij proizvajalcev zajema več kot 50 % zadevnih proizvajalcev.</w:t>
            </w:r>
          </w:p>
        </w:tc>
      </w:tr>
      <w:tr w:rsidR="004E4D6B" w:rsidRPr="003E0023" w14:paraId="2CF96CF0" w14:textId="77777777" w:rsidTr="00D056A8">
        <w:trPr>
          <w:jc w:val="center"/>
        </w:trPr>
        <w:tc>
          <w:tcPr>
            <w:tcW w:w="4876" w:type="dxa"/>
          </w:tcPr>
          <w:p w14:paraId="041D0E37" w14:textId="77777777" w:rsidR="004E4D6B" w:rsidRPr="003E0023" w:rsidRDefault="004E4D6B" w:rsidP="00D056A8">
            <w:pPr>
              <w:pStyle w:val="Normal6"/>
            </w:pPr>
            <w:r w:rsidRPr="003E0023">
              <w:t>Kadar pa ugotavljanje deleža obsega proizvodnje ali predelave zadevnega proizvoda ali zadevnih proizvodov ali trgovine z njimi povzroča praktične težave, lahko država članica za medpanožne organizacije določi nacionalne predpise za ugotavljanje določene ravni reprezentativnosti iz točke (a)(ii) prvega pododstavka.</w:t>
            </w:r>
          </w:p>
        </w:tc>
        <w:tc>
          <w:tcPr>
            <w:tcW w:w="4876" w:type="dxa"/>
          </w:tcPr>
          <w:p w14:paraId="69B702F5" w14:textId="77777777" w:rsidR="004E4D6B" w:rsidRPr="003E0023" w:rsidRDefault="004E4D6B" w:rsidP="00D056A8">
            <w:pPr>
              <w:pStyle w:val="Normal6"/>
              <w:rPr>
                <w:szCs w:val="24"/>
              </w:rPr>
            </w:pPr>
            <w:r w:rsidRPr="003E0023">
              <w:t>Kadar pa ugotavljanje deleža obsega proizvodnje ali predelave zadevnega proizvoda ali zadevnih proizvodov ali trgovine z njimi povzroča praktične težave, lahko država članica za medpanožne organizacije določi nacionalne predpise za ugotavljanje določene ravni reprezentativnosti iz točke (a)(ii) prvega pododstavka.</w:t>
            </w:r>
          </w:p>
        </w:tc>
      </w:tr>
      <w:tr w:rsidR="004E4D6B" w:rsidRPr="003E0023" w14:paraId="262EFE14" w14:textId="77777777" w:rsidTr="00D056A8">
        <w:trPr>
          <w:jc w:val="center"/>
        </w:trPr>
        <w:tc>
          <w:tcPr>
            <w:tcW w:w="4876" w:type="dxa"/>
          </w:tcPr>
          <w:p w14:paraId="77D4F74B" w14:textId="77777777" w:rsidR="004E4D6B" w:rsidRPr="003E0023" w:rsidRDefault="004E4D6B" w:rsidP="00D056A8">
            <w:pPr>
              <w:pStyle w:val="Normal6"/>
            </w:pPr>
            <w:r w:rsidRPr="003E0023">
              <w:t>Kadar se zahtevek za razširitev pravil na druge izvajalce nanaša na več kot eno gospodarsko območje, organizacija oziroma združenje dokaže minimalno raven reprezentativnosti, kakor je opredeljeno v prvem pododstavku, za vsako od pridruženih panog v vsakem zadevnem gospodarskem območju.</w:t>
            </w:r>
          </w:p>
        </w:tc>
        <w:tc>
          <w:tcPr>
            <w:tcW w:w="4876" w:type="dxa"/>
          </w:tcPr>
          <w:p w14:paraId="401FFCB8" w14:textId="77777777" w:rsidR="004E4D6B" w:rsidRPr="003E0023" w:rsidRDefault="004E4D6B" w:rsidP="00D056A8">
            <w:pPr>
              <w:pStyle w:val="Normal6"/>
              <w:rPr>
                <w:szCs w:val="24"/>
              </w:rPr>
            </w:pPr>
            <w:r w:rsidRPr="003E0023">
              <w:t>Kadar se zahtevek za razširitev pravil na druge izvajalce nanaša na več kot eno gospodarsko območje, organizacija oziroma združenje dokaže minimalno raven reprezentativnosti, kakor je opredeljeno v prvem pododstavku, za vsako od pridruženih panog v vsakem zadevnem gospodarskem območju.</w:t>
            </w:r>
          </w:p>
        </w:tc>
      </w:tr>
      <w:tr w:rsidR="004E4D6B" w:rsidRPr="003E0023" w14:paraId="61145DB1" w14:textId="77777777" w:rsidTr="00D056A8">
        <w:trPr>
          <w:jc w:val="center"/>
        </w:trPr>
        <w:tc>
          <w:tcPr>
            <w:tcW w:w="4876" w:type="dxa"/>
          </w:tcPr>
          <w:p w14:paraId="73D619EF" w14:textId="77777777" w:rsidR="004E4D6B" w:rsidRPr="003E0023" w:rsidRDefault="004E4D6B" w:rsidP="00D056A8">
            <w:pPr>
              <w:pStyle w:val="Normal6"/>
            </w:pPr>
            <w:r w:rsidRPr="003E0023">
              <w:t>4.</w:t>
            </w:r>
            <w:r w:rsidRPr="003E0023">
              <w:tab/>
              <w:t>Pravila, za katera se lahko zahteva razširitev na druge izvajalce v skladu z odstavkom 1, so povezana z enim od naslednjih namenov:</w:t>
            </w:r>
          </w:p>
        </w:tc>
        <w:tc>
          <w:tcPr>
            <w:tcW w:w="4876" w:type="dxa"/>
          </w:tcPr>
          <w:p w14:paraId="77ADC967" w14:textId="77777777" w:rsidR="004E4D6B" w:rsidRPr="003E0023" w:rsidRDefault="004E4D6B" w:rsidP="00D056A8">
            <w:pPr>
              <w:pStyle w:val="Normal6"/>
              <w:rPr>
                <w:szCs w:val="24"/>
              </w:rPr>
            </w:pPr>
            <w:r w:rsidRPr="003E0023">
              <w:t>4.</w:t>
            </w:r>
            <w:r w:rsidRPr="003E0023">
              <w:tab/>
              <w:t>Pravila, za katera se lahko zahteva razširitev na druge izvajalce v skladu z odstavkom 1, so povezana z enim od naslednjih namenov:</w:t>
            </w:r>
          </w:p>
        </w:tc>
      </w:tr>
      <w:tr w:rsidR="004E4D6B" w:rsidRPr="003E0023" w14:paraId="46CB468D" w14:textId="77777777" w:rsidTr="00D056A8">
        <w:trPr>
          <w:jc w:val="center"/>
        </w:trPr>
        <w:tc>
          <w:tcPr>
            <w:tcW w:w="4876" w:type="dxa"/>
          </w:tcPr>
          <w:p w14:paraId="655B3115" w14:textId="77777777" w:rsidR="004E4D6B" w:rsidRPr="003E0023" w:rsidRDefault="004E4D6B" w:rsidP="00D056A8">
            <w:pPr>
              <w:pStyle w:val="Normal6"/>
            </w:pPr>
            <w:r w:rsidRPr="003E0023">
              <w:t>(a)</w:t>
            </w:r>
            <w:r w:rsidRPr="003E0023">
              <w:tab/>
              <w:t>poročanje o proizvodnji in razmerah na trgu;</w:t>
            </w:r>
          </w:p>
        </w:tc>
        <w:tc>
          <w:tcPr>
            <w:tcW w:w="4876" w:type="dxa"/>
          </w:tcPr>
          <w:p w14:paraId="7676CE0A" w14:textId="77777777" w:rsidR="004E4D6B" w:rsidRPr="003E0023" w:rsidRDefault="004E4D6B" w:rsidP="00D056A8">
            <w:pPr>
              <w:pStyle w:val="Normal6"/>
              <w:rPr>
                <w:szCs w:val="24"/>
              </w:rPr>
            </w:pPr>
            <w:r w:rsidRPr="003E0023">
              <w:t>(a)</w:t>
            </w:r>
            <w:r w:rsidRPr="003E0023">
              <w:tab/>
              <w:t>poročanje o proizvodnji in razmerah na trgu;</w:t>
            </w:r>
          </w:p>
        </w:tc>
      </w:tr>
      <w:tr w:rsidR="004E4D6B" w:rsidRPr="003E0023" w14:paraId="280D9975" w14:textId="77777777" w:rsidTr="00D056A8">
        <w:trPr>
          <w:jc w:val="center"/>
        </w:trPr>
        <w:tc>
          <w:tcPr>
            <w:tcW w:w="4876" w:type="dxa"/>
          </w:tcPr>
          <w:p w14:paraId="7F5E5EDE" w14:textId="77777777" w:rsidR="004E4D6B" w:rsidRPr="003E0023" w:rsidRDefault="004E4D6B" w:rsidP="00D056A8">
            <w:pPr>
              <w:pStyle w:val="Normal6"/>
            </w:pPr>
            <w:r w:rsidRPr="003E0023">
              <w:t>(b)</w:t>
            </w:r>
            <w:r w:rsidRPr="003E0023">
              <w:tab/>
              <w:t>strožja pravila glede proizvodnje od veljavnih nacionalnih pravil ali pravil Unije;</w:t>
            </w:r>
          </w:p>
        </w:tc>
        <w:tc>
          <w:tcPr>
            <w:tcW w:w="4876" w:type="dxa"/>
          </w:tcPr>
          <w:p w14:paraId="626A6E12" w14:textId="77777777" w:rsidR="004E4D6B" w:rsidRPr="003E0023" w:rsidRDefault="004E4D6B" w:rsidP="00D056A8">
            <w:pPr>
              <w:pStyle w:val="Normal6"/>
              <w:rPr>
                <w:szCs w:val="24"/>
              </w:rPr>
            </w:pPr>
            <w:r w:rsidRPr="003E0023">
              <w:t>(b)</w:t>
            </w:r>
            <w:r w:rsidRPr="003E0023">
              <w:tab/>
              <w:t>strožja pravila glede proizvodnje od veljavnih nacionalnih pravil ali pravil Unije;</w:t>
            </w:r>
          </w:p>
        </w:tc>
      </w:tr>
      <w:tr w:rsidR="004E4D6B" w:rsidRPr="003E0023" w14:paraId="26100DF3" w14:textId="77777777" w:rsidTr="00D056A8">
        <w:trPr>
          <w:jc w:val="center"/>
        </w:trPr>
        <w:tc>
          <w:tcPr>
            <w:tcW w:w="4876" w:type="dxa"/>
          </w:tcPr>
          <w:p w14:paraId="2CC4ED14" w14:textId="77777777" w:rsidR="004E4D6B" w:rsidRPr="003E0023" w:rsidRDefault="004E4D6B" w:rsidP="00D056A8">
            <w:pPr>
              <w:pStyle w:val="Normal6"/>
            </w:pPr>
            <w:r w:rsidRPr="003E0023">
              <w:t>(c)</w:t>
            </w:r>
            <w:r w:rsidRPr="003E0023">
              <w:tab/>
              <w:t>priprava standardnih pogodb, usklajenih s pravili Unije;</w:t>
            </w:r>
          </w:p>
        </w:tc>
        <w:tc>
          <w:tcPr>
            <w:tcW w:w="4876" w:type="dxa"/>
          </w:tcPr>
          <w:p w14:paraId="19C7EE5C" w14:textId="77777777" w:rsidR="004E4D6B" w:rsidRPr="003E0023" w:rsidRDefault="004E4D6B" w:rsidP="00D056A8">
            <w:pPr>
              <w:pStyle w:val="Normal6"/>
              <w:rPr>
                <w:szCs w:val="24"/>
              </w:rPr>
            </w:pPr>
            <w:r w:rsidRPr="003E0023">
              <w:t>(c)</w:t>
            </w:r>
            <w:r w:rsidRPr="003E0023">
              <w:tab/>
              <w:t xml:space="preserve">priprava standardnih pogodb </w:t>
            </w:r>
            <w:r w:rsidRPr="003E0023">
              <w:rPr>
                <w:b/>
                <w:i/>
              </w:rPr>
              <w:t>in klavzul o porazdelitvi vrednosti in poštenem nadomestilu,</w:t>
            </w:r>
            <w:r w:rsidRPr="003E0023">
              <w:t xml:space="preserve"> usklajenih s pravili Unije;</w:t>
            </w:r>
          </w:p>
        </w:tc>
      </w:tr>
      <w:tr w:rsidR="004E4D6B" w:rsidRPr="003E0023" w14:paraId="2C6FC34B" w14:textId="77777777" w:rsidTr="00D056A8">
        <w:trPr>
          <w:jc w:val="center"/>
        </w:trPr>
        <w:tc>
          <w:tcPr>
            <w:tcW w:w="4876" w:type="dxa"/>
          </w:tcPr>
          <w:p w14:paraId="50F3E48A" w14:textId="77777777" w:rsidR="004E4D6B" w:rsidRPr="003E0023" w:rsidRDefault="004E4D6B" w:rsidP="00D056A8">
            <w:pPr>
              <w:pStyle w:val="Normal6"/>
            </w:pPr>
          </w:p>
        </w:tc>
        <w:tc>
          <w:tcPr>
            <w:tcW w:w="4876" w:type="dxa"/>
          </w:tcPr>
          <w:p w14:paraId="379363FD" w14:textId="77777777" w:rsidR="004E4D6B" w:rsidRPr="003E0023" w:rsidRDefault="004E4D6B" w:rsidP="00D056A8">
            <w:pPr>
              <w:pStyle w:val="Normal6"/>
            </w:pPr>
            <w:r w:rsidRPr="003E0023">
              <w:rPr>
                <w:b/>
                <w:i/>
              </w:rPr>
              <w:t>(ca)</w:t>
            </w:r>
            <w:r w:rsidRPr="003E0023">
              <w:rPr>
                <w:b/>
                <w:i/>
              </w:rPr>
              <w:tab/>
              <w:t>priprava standardnih pogodb ali klavzul v vinskem sektorju, ki so združljive s pravili Unije in lahko vključujejo plačilne roke, daljše od 60 dni, in sicer z odstopanjem od člena 3(1) Direktive (EU) 2019/633, za nakup neustekleničenega vina v okviru pisnih večletnih pogodb ali pogodb med proizvajalcem ali preprodajalcem vina in neposrednim kupcem, ki postanejo večletne, če so bile klavzule v zvezi s temi roki podaljšane pred 31. oktobrom 2021;</w:t>
            </w:r>
          </w:p>
        </w:tc>
      </w:tr>
      <w:tr w:rsidR="004E4D6B" w:rsidRPr="003E0023" w14:paraId="627D9877" w14:textId="77777777" w:rsidTr="00D056A8">
        <w:trPr>
          <w:jc w:val="center"/>
        </w:trPr>
        <w:tc>
          <w:tcPr>
            <w:tcW w:w="4876" w:type="dxa"/>
          </w:tcPr>
          <w:p w14:paraId="56A3DAAD" w14:textId="77777777" w:rsidR="004E4D6B" w:rsidRPr="003E0023" w:rsidRDefault="004E4D6B" w:rsidP="00D056A8">
            <w:pPr>
              <w:pStyle w:val="Normal6"/>
            </w:pPr>
            <w:r w:rsidRPr="003E0023">
              <w:t>(d)</w:t>
            </w:r>
            <w:r w:rsidRPr="003E0023">
              <w:tab/>
              <w:t>trženje;</w:t>
            </w:r>
          </w:p>
        </w:tc>
        <w:tc>
          <w:tcPr>
            <w:tcW w:w="4876" w:type="dxa"/>
          </w:tcPr>
          <w:p w14:paraId="67091528" w14:textId="77777777" w:rsidR="004E4D6B" w:rsidRPr="003E0023" w:rsidRDefault="004E4D6B" w:rsidP="00D056A8">
            <w:pPr>
              <w:pStyle w:val="Normal6"/>
              <w:rPr>
                <w:szCs w:val="24"/>
              </w:rPr>
            </w:pPr>
            <w:r w:rsidRPr="003E0023">
              <w:t>(d)</w:t>
            </w:r>
            <w:r w:rsidRPr="003E0023">
              <w:tab/>
              <w:t>trženje;</w:t>
            </w:r>
          </w:p>
        </w:tc>
      </w:tr>
      <w:tr w:rsidR="004E4D6B" w:rsidRPr="003E0023" w14:paraId="1F75D69B" w14:textId="77777777" w:rsidTr="00D056A8">
        <w:trPr>
          <w:jc w:val="center"/>
        </w:trPr>
        <w:tc>
          <w:tcPr>
            <w:tcW w:w="4876" w:type="dxa"/>
          </w:tcPr>
          <w:p w14:paraId="074EED84" w14:textId="77777777" w:rsidR="004E4D6B" w:rsidRPr="003E0023" w:rsidRDefault="004E4D6B" w:rsidP="00D056A8">
            <w:pPr>
              <w:pStyle w:val="Normal6"/>
            </w:pPr>
            <w:r w:rsidRPr="003E0023">
              <w:t>(e)</w:t>
            </w:r>
            <w:r w:rsidRPr="003E0023">
              <w:tab/>
              <w:t>varstvo okolja;</w:t>
            </w:r>
          </w:p>
        </w:tc>
        <w:tc>
          <w:tcPr>
            <w:tcW w:w="4876" w:type="dxa"/>
          </w:tcPr>
          <w:p w14:paraId="79FAA416" w14:textId="77777777" w:rsidR="004E4D6B" w:rsidRPr="003E0023" w:rsidRDefault="004E4D6B" w:rsidP="00D056A8">
            <w:pPr>
              <w:pStyle w:val="Normal6"/>
              <w:rPr>
                <w:szCs w:val="24"/>
              </w:rPr>
            </w:pPr>
            <w:r w:rsidRPr="003E0023">
              <w:t>(e)</w:t>
            </w:r>
            <w:r w:rsidRPr="003E0023">
              <w:tab/>
              <w:t>varstvo okolja;</w:t>
            </w:r>
          </w:p>
        </w:tc>
      </w:tr>
      <w:tr w:rsidR="004E4D6B" w:rsidRPr="003E0023" w14:paraId="73F5FC83" w14:textId="77777777" w:rsidTr="00D056A8">
        <w:trPr>
          <w:jc w:val="center"/>
        </w:trPr>
        <w:tc>
          <w:tcPr>
            <w:tcW w:w="4876" w:type="dxa"/>
          </w:tcPr>
          <w:p w14:paraId="06B6C078" w14:textId="77777777" w:rsidR="004E4D6B" w:rsidRPr="003E0023" w:rsidRDefault="004E4D6B" w:rsidP="00D056A8">
            <w:pPr>
              <w:pStyle w:val="Normal6"/>
            </w:pPr>
            <w:r w:rsidRPr="003E0023">
              <w:t>(f)</w:t>
            </w:r>
            <w:r w:rsidRPr="003E0023">
              <w:tab/>
              <w:t>ukrepi za promocijo in izkoriščanje potenciala proizvodov;</w:t>
            </w:r>
          </w:p>
        </w:tc>
        <w:tc>
          <w:tcPr>
            <w:tcW w:w="4876" w:type="dxa"/>
          </w:tcPr>
          <w:p w14:paraId="2C026C00" w14:textId="77777777" w:rsidR="004E4D6B" w:rsidRPr="003E0023" w:rsidRDefault="004E4D6B" w:rsidP="00D056A8">
            <w:pPr>
              <w:pStyle w:val="Normal6"/>
              <w:rPr>
                <w:szCs w:val="24"/>
              </w:rPr>
            </w:pPr>
            <w:r w:rsidRPr="003E0023">
              <w:t>(f)</w:t>
            </w:r>
            <w:r w:rsidRPr="003E0023">
              <w:tab/>
              <w:t>ukrepi za promocijo in izkoriščanje potenciala proizvodov;</w:t>
            </w:r>
          </w:p>
        </w:tc>
      </w:tr>
      <w:tr w:rsidR="004E4D6B" w:rsidRPr="003E0023" w14:paraId="147EBC44" w14:textId="77777777" w:rsidTr="00D056A8">
        <w:trPr>
          <w:jc w:val="center"/>
        </w:trPr>
        <w:tc>
          <w:tcPr>
            <w:tcW w:w="4876" w:type="dxa"/>
          </w:tcPr>
          <w:p w14:paraId="3EE5167D" w14:textId="77777777" w:rsidR="004E4D6B" w:rsidRPr="003E0023" w:rsidRDefault="004E4D6B" w:rsidP="00D056A8">
            <w:pPr>
              <w:pStyle w:val="Normal6"/>
            </w:pPr>
            <w:r w:rsidRPr="003E0023">
              <w:t>(g)</w:t>
            </w:r>
            <w:r w:rsidRPr="003E0023">
              <w:tab/>
              <w:t>ukrepi za zaščito ekološkega kmetovanja ter geografskega porekla, oznak kakovosti in geografskih označb;</w:t>
            </w:r>
          </w:p>
        </w:tc>
        <w:tc>
          <w:tcPr>
            <w:tcW w:w="4876" w:type="dxa"/>
          </w:tcPr>
          <w:p w14:paraId="759C9EA3" w14:textId="77777777" w:rsidR="004E4D6B" w:rsidRPr="003E0023" w:rsidRDefault="004E4D6B" w:rsidP="00D056A8">
            <w:pPr>
              <w:pStyle w:val="Normal6"/>
              <w:rPr>
                <w:szCs w:val="24"/>
              </w:rPr>
            </w:pPr>
            <w:r w:rsidRPr="003E0023">
              <w:t>(g)</w:t>
            </w:r>
            <w:r w:rsidRPr="003E0023">
              <w:tab/>
              <w:t>ukrepi za zaščito ekološkega kmetovanja ter geografskega porekla, oznak kakovosti in geografskih označb;</w:t>
            </w:r>
          </w:p>
        </w:tc>
      </w:tr>
      <w:tr w:rsidR="004E4D6B" w:rsidRPr="003E0023" w14:paraId="7873F9D0" w14:textId="77777777" w:rsidTr="00D056A8">
        <w:trPr>
          <w:jc w:val="center"/>
        </w:trPr>
        <w:tc>
          <w:tcPr>
            <w:tcW w:w="4876" w:type="dxa"/>
          </w:tcPr>
          <w:p w14:paraId="5D0949A7" w14:textId="77777777" w:rsidR="004E4D6B" w:rsidRPr="003E0023" w:rsidRDefault="004E4D6B" w:rsidP="00D056A8">
            <w:pPr>
              <w:pStyle w:val="Normal6"/>
            </w:pPr>
            <w:r w:rsidRPr="003E0023">
              <w:t>(h)</w:t>
            </w:r>
            <w:r w:rsidRPr="003E0023">
              <w:tab/>
              <w:t>raziskave, s katerimi se proizvodom doda vrednost, zlasti z novimi možnostmi uporabe, ki ne ogrožajo javnega zdravja;</w:t>
            </w:r>
          </w:p>
        </w:tc>
        <w:tc>
          <w:tcPr>
            <w:tcW w:w="4876" w:type="dxa"/>
          </w:tcPr>
          <w:p w14:paraId="485B7A69" w14:textId="77777777" w:rsidR="004E4D6B" w:rsidRPr="003E0023" w:rsidRDefault="004E4D6B" w:rsidP="00D056A8">
            <w:pPr>
              <w:pStyle w:val="Normal6"/>
              <w:rPr>
                <w:szCs w:val="24"/>
              </w:rPr>
            </w:pPr>
            <w:r w:rsidRPr="003E0023">
              <w:t>(h)</w:t>
            </w:r>
            <w:r w:rsidRPr="003E0023">
              <w:tab/>
              <w:t>raziskave, s katerimi se proizvodom doda vrednost, zlasti z novimi možnostmi uporabe, ki ne ogrožajo javnega zdravja;</w:t>
            </w:r>
          </w:p>
        </w:tc>
      </w:tr>
      <w:tr w:rsidR="004E4D6B" w:rsidRPr="003E0023" w14:paraId="535433C8" w14:textId="77777777" w:rsidTr="00D056A8">
        <w:trPr>
          <w:jc w:val="center"/>
        </w:trPr>
        <w:tc>
          <w:tcPr>
            <w:tcW w:w="4876" w:type="dxa"/>
          </w:tcPr>
          <w:p w14:paraId="1443A171" w14:textId="77777777" w:rsidR="004E4D6B" w:rsidRPr="003E0023" w:rsidRDefault="004E4D6B" w:rsidP="00D056A8">
            <w:pPr>
              <w:pStyle w:val="Normal6"/>
            </w:pPr>
            <w:r w:rsidRPr="003E0023">
              <w:t>(i)</w:t>
            </w:r>
            <w:r w:rsidRPr="003E0023">
              <w:tab/>
              <w:t>študije za izboljšanje kakovosti proizvodov;</w:t>
            </w:r>
          </w:p>
        </w:tc>
        <w:tc>
          <w:tcPr>
            <w:tcW w:w="4876" w:type="dxa"/>
          </w:tcPr>
          <w:p w14:paraId="01952FB7" w14:textId="77777777" w:rsidR="004E4D6B" w:rsidRPr="003E0023" w:rsidRDefault="004E4D6B" w:rsidP="00D056A8">
            <w:pPr>
              <w:pStyle w:val="Normal6"/>
              <w:rPr>
                <w:szCs w:val="24"/>
              </w:rPr>
            </w:pPr>
            <w:r w:rsidRPr="003E0023">
              <w:t>(i)</w:t>
            </w:r>
            <w:r w:rsidRPr="003E0023">
              <w:tab/>
              <w:t>študije za izboljšanje kakovosti proizvodov;</w:t>
            </w:r>
          </w:p>
        </w:tc>
      </w:tr>
      <w:tr w:rsidR="004E4D6B" w:rsidRPr="003E0023" w14:paraId="608FE0D4" w14:textId="77777777" w:rsidTr="00D056A8">
        <w:trPr>
          <w:jc w:val="center"/>
        </w:trPr>
        <w:tc>
          <w:tcPr>
            <w:tcW w:w="4876" w:type="dxa"/>
          </w:tcPr>
          <w:p w14:paraId="60535141" w14:textId="77777777" w:rsidR="004E4D6B" w:rsidRPr="003E0023" w:rsidRDefault="004E4D6B" w:rsidP="00D056A8">
            <w:pPr>
              <w:pStyle w:val="Normal6"/>
            </w:pPr>
            <w:r w:rsidRPr="003E0023">
              <w:t>(j)</w:t>
            </w:r>
            <w:r w:rsidRPr="003E0023">
              <w:tab/>
              <w:t>raziskave, zlasti na področju razvoja pridelovalnih metod, ki omogočajo manjšo rabo fitofarmacevtskih sredstev in sredstev za zaščito zdravja živali ter zagotavljajo ohranjanje tal in ohranjanje ali izboljšanje stanja okolja;</w:t>
            </w:r>
          </w:p>
        </w:tc>
        <w:tc>
          <w:tcPr>
            <w:tcW w:w="4876" w:type="dxa"/>
          </w:tcPr>
          <w:p w14:paraId="7761087F" w14:textId="77777777" w:rsidR="004E4D6B" w:rsidRPr="003E0023" w:rsidRDefault="004E4D6B" w:rsidP="00D056A8">
            <w:pPr>
              <w:pStyle w:val="Normal6"/>
              <w:rPr>
                <w:szCs w:val="24"/>
              </w:rPr>
            </w:pPr>
            <w:r w:rsidRPr="003E0023">
              <w:t>(j)</w:t>
            </w:r>
            <w:r w:rsidRPr="003E0023">
              <w:tab/>
              <w:t>raziskave, zlasti na področju razvoja pridelovalnih metod, ki omogočajo manjšo rabo fitofarmacevtskih sredstev in sredstev za zaščito zdravja živali ter zagotavljajo ohranjanje tal in ohranjanje ali izboljšanje stanja okolja;</w:t>
            </w:r>
          </w:p>
        </w:tc>
      </w:tr>
      <w:tr w:rsidR="004E4D6B" w:rsidRPr="003E0023" w14:paraId="2DC10B54" w14:textId="77777777" w:rsidTr="00D056A8">
        <w:trPr>
          <w:jc w:val="center"/>
        </w:trPr>
        <w:tc>
          <w:tcPr>
            <w:tcW w:w="4876" w:type="dxa"/>
          </w:tcPr>
          <w:p w14:paraId="0AB1060D" w14:textId="77777777" w:rsidR="004E4D6B" w:rsidRPr="003E0023" w:rsidRDefault="004E4D6B" w:rsidP="00D056A8">
            <w:pPr>
              <w:pStyle w:val="Normal6"/>
            </w:pPr>
            <w:r w:rsidRPr="003E0023">
              <w:t>(k)</w:t>
            </w:r>
            <w:r w:rsidRPr="003E0023">
              <w:tab/>
              <w:t xml:space="preserve">opredelitev </w:t>
            </w:r>
            <w:r w:rsidRPr="003E0023">
              <w:rPr>
                <w:b/>
                <w:i/>
              </w:rPr>
              <w:t>najnižje zahtevane kakovosti ter</w:t>
            </w:r>
            <w:r w:rsidRPr="003E0023">
              <w:t xml:space="preserve"> minimalnih standardov za pakiranje in predstavitev;</w:t>
            </w:r>
          </w:p>
        </w:tc>
        <w:tc>
          <w:tcPr>
            <w:tcW w:w="4876" w:type="dxa"/>
          </w:tcPr>
          <w:p w14:paraId="4441DCD1" w14:textId="77777777" w:rsidR="004E4D6B" w:rsidRPr="003E0023" w:rsidRDefault="004E4D6B" w:rsidP="00D056A8">
            <w:pPr>
              <w:pStyle w:val="Normal6"/>
              <w:rPr>
                <w:szCs w:val="24"/>
              </w:rPr>
            </w:pPr>
            <w:r w:rsidRPr="003E0023">
              <w:t>(k)</w:t>
            </w:r>
            <w:r w:rsidRPr="003E0023">
              <w:tab/>
              <w:t>opredelitev minimalnih standardov za pakiranje in predstavitev;</w:t>
            </w:r>
          </w:p>
        </w:tc>
      </w:tr>
      <w:tr w:rsidR="004E4D6B" w:rsidRPr="003E0023" w14:paraId="3893D0C5" w14:textId="77777777" w:rsidTr="00D056A8">
        <w:trPr>
          <w:jc w:val="center"/>
        </w:trPr>
        <w:tc>
          <w:tcPr>
            <w:tcW w:w="4876" w:type="dxa"/>
          </w:tcPr>
          <w:p w14:paraId="61DC6157" w14:textId="77777777" w:rsidR="004E4D6B" w:rsidRPr="003E0023" w:rsidRDefault="004E4D6B" w:rsidP="00D056A8">
            <w:pPr>
              <w:pStyle w:val="Normal6"/>
            </w:pPr>
            <w:r w:rsidRPr="003E0023">
              <w:t>(l)</w:t>
            </w:r>
            <w:r w:rsidRPr="003E0023">
              <w:tab/>
              <w:t>uporaba certificiranega semena in spremljanje kakovosti proizvodov;</w:t>
            </w:r>
          </w:p>
        </w:tc>
        <w:tc>
          <w:tcPr>
            <w:tcW w:w="4876" w:type="dxa"/>
          </w:tcPr>
          <w:p w14:paraId="5E8F3FEA" w14:textId="77777777" w:rsidR="004E4D6B" w:rsidRPr="003E0023" w:rsidRDefault="004E4D6B" w:rsidP="00D056A8">
            <w:pPr>
              <w:pStyle w:val="Normal6"/>
              <w:rPr>
                <w:szCs w:val="24"/>
              </w:rPr>
            </w:pPr>
            <w:r w:rsidRPr="003E0023">
              <w:t>(l)</w:t>
            </w:r>
            <w:r w:rsidRPr="003E0023">
              <w:tab/>
              <w:t>uporaba certificiranega semena za proizvode</w:t>
            </w:r>
            <w:r w:rsidRPr="003E0023">
              <w:rPr>
                <w:b/>
                <w:i/>
              </w:rPr>
              <w:t>, ki ne spadajo na področje uporabe Uredbe (EU) 2018/848,</w:t>
            </w:r>
            <w:r w:rsidRPr="003E0023">
              <w:t xml:space="preserve"> in spremljanje kakovosti proizvodov;</w:t>
            </w:r>
          </w:p>
        </w:tc>
      </w:tr>
      <w:tr w:rsidR="004E4D6B" w:rsidRPr="003E0023" w14:paraId="405D00BF" w14:textId="77777777" w:rsidTr="00D056A8">
        <w:trPr>
          <w:jc w:val="center"/>
        </w:trPr>
        <w:tc>
          <w:tcPr>
            <w:tcW w:w="4876" w:type="dxa"/>
          </w:tcPr>
          <w:p w14:paraId="19BCEA76" w14:textId="77777777" w:rsidR="004E4D6B" w:rsidRPr="003E0023" w:rsidRDefault="004E4D6B" w:rsidP="00D056A8">
            <w:pPr>
              <w:pStyle w:val="Normal6"/>
            </w:pPr>
            <w:r w:rsidRPr="003E0023">
              <w:t>(m)</w:t>
            </w:r>
            <w:r w:rsidRPr="003E0023">
              <w:tab/>
              <w:t xml:space="preserve">zdravje živali </w:t>
            </w:r>
            <w:r w:rsidRPr="003E0023">
              <w:rPr>
                <w:b/>
                <w:i/>
              </w:rPr>
              <w:t>ali rastlin ali varnosti</w:t>
            </w:r>
            <w:r w:rsidRPr="003E0023">
              <w:t xml:space="preserve"> hrane;</w:t>
            </w:r>
          </w:p>
        </w:tc>
        <w:tc>
          <w:tcPr>
            <w:tcW w:w="4876" w:type="dxa"/>
          </w:tcPr>
          <w:p w14:paraId="7F7B82FC" w14:textId="77777777" w:rsidR="004E4D6B" w:rsidRPr="003E0023" w:rsidRDefault="004E4D6B" w:rsidP="00D056A8">
            <w:pPr>
              <w:pStyle w:val="Normal6"/>
              <w:rPr>
                <w:szCs w:val="24"/>
              </w:rPr>
            </w:pPr>
            <w:r w:rsidRPr="003E0023">
              <w:t>(m)</w:t>
            </w:r>
            <w:r w:rsidRPr="003E0023">
              <w:tab/>
            </w:r>
            <w:r w:rsidRPr="003E0023">
              <w:rPr>
                <w:b/>
                <w:i/>
              </w:rPr>
              <w:t>preprečevanje in obvladovanje fitosanitarnih tveganj, tveganj za</w:t>
            </w:r>
            <w:r w:rsidRPr="003E0023">
              <w:t xml:space="preserve"> zdravje živali,</w:t>
            </w:r>
            <w:r w:rsidRPr="003E0023">
              <w:rPr>
                <w:b/>
                <w:i/>
              </w:rPr>
              <w:t xml:space="preserve"> tveganj za varnost</w:t>
            </w:r>
            <w:r w:rsidRPr="003E0023">
              <w:t xml:space="preserve"> hrane </w:t>
            </w:r>
            <w:r w:rsidRPr="003E0023">
              <w:rPr>
                <w:b/>
                <w:i/>
              </w:rPr>
              <w:t>ali okoljskih tveganj, zlasti z ustanavljanjem vzajemnih skladov ali prispevanjem v takšne sklade;</w:t>
            </w:r>
          </w:p>
        </w:tc>
      </w:tr>
      <w:tr w:rsidR="004E4D6B" w:rsidRPr="003E0023" w14:paraId="55AF225A" w14:textId="77777777" w:rsidTr="00D056A8">
        <w:trPr>
          <w:jc w:val="center"/>
        </w:trPr>
        <w:tc>
          <w:tcPr>
            <w:tcW w:w="4876" w:type="dxa"/>
          </w:tcPr>
          <w:p w14:paraId="4AF27B53" w14:textId="77777777" w:rsidR="004E4D6B" w:rsidRPr="003E0023" w:rsidRDefault="004E4D6B" w:rsidP="00D056A8">
            <w:pPr>
              <w:pStyle w:val="Normal6"/>
            </w:pPr>
            <w:r w:rsidRPr="003E0023">
              <w:t>(n)</w:t>
            </w:r>
            <w:r w:rsidRPr="003E0023">
              <w:tab/>
              <w:t xml:space="preserve"> ravnanje s stranskimi proizvodi.</w:t>
            </w:r>
          </w:p>
        </w:tc>
        <w:tc>
          <w:tcPr>
            <w:tcW w:w="4876" w:type="dxa"/>
          </w:tcPr>
          <w:p w14:paraId="5371F41F" w14:textId="77777777" w:rsidR="004E4D6B" w:rsidRPr="003E0023" w:rsidRDefault="004E4D6B" w:rsidP="00D056A8">
            <w:pPr>
              <w:pStyle w:val="Normal6"/>
              <w:rPr>
                <w:szCs w:val="24"/>
              </w:rPr>
            </w:pPr>
            <w:r w:rsidRPr="003E0023">
              <w:t>(n)</w:t>
            </w:r>
            <w:r w:rsidRPr="003E0023">
              <w:tab/>
              <w:t xml:space="preserve">ravnanje s stranskimi proizvodi </w:t>
            </w:r>
            <w:r w:rsidRPr="003E0023">
              <w:rPr>
                <w:b/>
                <w:i/>
              </w:rPr>
              <w:t>in njihova valorizacija;</w:t>
            </w:r>
          </w:p>
        </w:tc>
      </w:tr>
      <w:tr w:rsidR="004E4D6B" w:rsidRPr="003E0023" w14:paraId="5B781914" w14:textId="77777777" w:rsidTr="00D056A8">
        <w:trPr>
          <w:jc w:val="center"/>
        </w:trPr>
        <w:tc>
          <w:tcPr>
            <w:tcW w:w="4876" w:type="dxa"/>
          </w:tcPr>
          <w:p w14:paraId="3AC5AF69" w14:textId="77777777" w:rsidR="004E4D6B" w:rsidRPr="003E0023" w:rsidRDefault="004E4D6B" w:rsidP="00D056A8">
            <w:pPr>
              <w:pStyle w:val="Normal6"/>
            </w:pPr>
          </w:p>
        </w:tc>
        <w:tc>
          <w:tcPr>
            <w:tcW w:w="4876" w:type="dxa"/>
          </w:tcPr>
          <w:p w14:paraId="4CE72B61" w14:textId="77777777" w:rsidR="004E4D6B" w:rsidRPr="003E0023" w:rsidRDefault="004E4D6B" w:rsidP="00D056A8">
            <w:pPr>
              <w:pStyle w:val="Normal6"/>
            </w:pPr>
            <w:r w:rsidRPr="003E0023">
              <w:rPr>
                <w:b/>
                <w:i/>
              </w:rPr>
              <w:t>(na)</w:t>
            </w:r>
            <w:r w:rsidRPr="003E0023">
              <w:rPr>
                <w:b/>
                <w:i/>
              </w:rPr>
              <w:tab/>
              <w:t>priprava, izvajanje in nadzor tehničnih standardov, kar omogoča natančno ocenjevanje značilnosti proizvoda.</w:t>
            </w:r>
          </w:p>
        </w:tc>
      </w:tr>
      <w:tr w:rsidR="004E4D6B" w:rsidRPr="003E0023" w14:paraId="7C25143D" w14:textId="77777777" w:rsidTr="00D056A8">
        <w:trPr>
          <w:jc w:val="center"/>
        </w:trPr>
        <w:tc>
          <w:tcPr>
            <w:tcW w:w="4876" w:type="dxa"/>
          </w:tcPr>
          <w:p w14:paraId="2967033C" w14:textId="77777777" w:rsidR="004E4D6B" w:rsidRPr="003E0023" w:rsidRDefault="004E4D6B" w:rsidP="00D056A8">
            <w:pPr>
              <w:pStyle w:val="Normal6"/>
            </w:pPr>
            <w:r w:rsidRPr="003E0023">
              <w:t>Ta pravila ne škodujejo drugim izvajalcem v zadevni državi članici ali Uniji in ne smejo imeti nobenega od učinkov iz člena 210(4) ali biti drugače neskladna z veljavnim pravom Unije ali veljavnimi nacionalnimi pravili.</w:t>
            </w:r>
          </w:p>
        </w:tc>
        <w:tc>
          <w:tcPr>
            <w:tcW w:w="4876" w:type="dxa"/>
          </w:tcPr>
          <w:p w14:paraId="6FF3EF02" w14:textId="77777777" w:rsidR="004E4D6B" w:rsidRPr="003E0023" w:rsidRDefault="004E4D6B" w:rsidP="00D056A8">
            <w:pPr>
              <w:pStyle w:val="Normal6"/>
              <w:rPr>
                <w:szCs w:val="24"/>
              </w:rPr>
            </w:pPr>
            <w:r w:rsidRPr="003E0023">
              <w:t>Ta pravila</w:t>
            </w:r>
            <w:r w:rsidRPr="003E0023">
              <w:rPr>
                <w:b/>
                <w:i/>
              </w:rPr>
              <w:t>, kjer je to ustrezno, ne posegajo v Uredbo (EU) 2018/848. Prav tako</w:t>
            </w:r>
            <w:r w:rsidRPr="003E0023">
              <w:t xml:space="preserve"> ne škodujejo drugim izvajalcem</w:t>
            </w:r>
            <w:r w:rsidRPr="003E0023">
              <w:rPr>
                <w:b/>
                <w:i/>
              </w:rPr>
              <w:t>, ne preprečujejo vstopa novim izvajalcem</w:t>
            </w:r>
            <w:r w:rsidRPr="003E0023">
              <w:t xml:space="preserve"> v zadevni državi članici ali Uniji in ne smejo imeti nobenega od učinkov iz člena 210(4) ali biti drugače neskladna z veljavnim pravom Unije ali veljavnimi nacionalnimi pravili.</w:t>
            </w:r>
          </w:p>
        </w:tc>
      </w:tr>
      <w:tr w:rsidR="004E4D6B" w:rsidRPr="003E0023" w14:paraId="28CB3561" w14:textId="77777777" w:rsidTr="00D056A8">
        <w:trPr>
          <w:jc w:val="center"/>
        </w:trPr>
        <w:tc>
          <w:tcPr>
            <w:tcW w:w="4876" w:type="dxa"/>
          </w:tcPr>
          <w:p w14:paraId="35865362" w14:textId="77777777" w:rsidR="004E4D6B" w:rsidRPr="003E0023" w:rsidRDefault="004E4D6B" w:rsidP="00D056A8">
            <w:pPr>
              <w:pStyle w:val="Normal6"/>
            </w:pPr>
          </w:p>
        </w:tc>
        <w:tc>
          <w:tcPr>
            <w:tcW w:w="4876" w:type="dxa"/>
          </w:tcPr>
          <w:p w14:paraId="7D39ADBD" w14:textId="77777777" w:rsidR="004E4D6B" w:rsidRPr="003E0023" w:rsidRDefault="004E4D6B" w:rsidP="00D056A8">
            <w:pPr>
              <w:pStyle w:val="Normal6"/>
              <w:rPr>
                <w:szCs w:val="24"/>
              </w:rPr>
            </w:pPr>
            <w:r w:rsidRPr="003E0023">
              <w:rPr>
                <w:b/>
                <w:i/>
              </w:rPr>
              <w:t>4a.</w:t>
            </w:r>
            <w:r w:rsidRPr="003E0023">
              <w:rPr>
                <w:b/>
                <w:i/>
              </w:rPr>
              <w:tab/>
              <w:t>Če Komisija sprejme izvedbeni akt v skladu s členom 222 te uredbe, s katerim dovoli, da se člen 101(1) PDEU ne uporablja za sporazume in odločitve iz člena 222(1) te uredbe, se lahko ti sporazumi in odločitve razširijo pod pogoji iz tega člena.</w:t>
            </w:r>
          </w:p>
        </w:tc>
      </w:tr>
      <w:tr w:rsidR="004E4D6B" w:rsidRPr="003E0023" w14:paraId="5EF95C73" w14:textId="77777777" w:rsidTr="00D056A8">
        <w:trPr>
          <w:jc w:val="center"/>
        </w:trPr>
        <w:tc>
          <w:tcPr>
            <w:tcW w:w="4876" w:type="dxa"/>
          </w:tcPr>
          <w:p w14:paraId="16CB9EAF" w14:textId="77777777" w:rsidR="004E4D6B" w:rsidRPr="003E0023" w:rsidRDefault="004E4D6B" w:rsidP="00D056A8">
            <w:pPr>
              <w:pStyle w:val="Normal6"/>
            </w:pPr>
          </w:p>
        </w:tc>
        <w:tc>
          <w:tcPr>
            <w:tcW w:w="4876" w:type="dxa"/>
          </w:tcPr>
          <w:p w14:paraId="1C936E40" w14:textId="77777777" w:rsidR="004E4D6B" w:rsidRPr="003E0023" w:rsidRDefault="004E4D6B" w:rsidP="00D056A8">
            <w:pPr>
              <w:pStyle w:val="Normal6"/>
              <w:rPr>
                <w:szCs w:val="24"/>
              </w:rPr>
            </w:pPr>
            <w:r w:rsidRPr="003E0023">
              <w:rPr>
                <w:b/>
                <w:i/>
              </w:rPr>
              <w:t>4b.</w:t>
            </w:r>
            <w:r w:rsidRPr="003E0023">
              <w:rPr>
                <w:b/>
                <w:i/>
              </w:rPr>
              <w:tab/>
              <w:t>Če država članica razširi pravila iz odstavka 1, zadevna organizacija določi sorazmerne ukrepe, da se spoštujejo pravila iz teh sporazumov, ki so obvezna na podlagi razširitve.</w:t>
            </w:r>
          </w:p>
        </w:tc>
      </w:tr>
      <w:tr w:rsidR="004E4D6B" w:rsidRPr="003E0023" w14:paraId="4136BA42" w14:textId="77777777" w:rsidTr="00D056A8">
        <w:trPr>
          <w:jc w:val="center"/>
        </w:trPr>
        <w:tc>
          <w:tcPr>
            <w:tcW w:w="4876" w:type="dxa"/>
          </w:tcPr>
          <w:p w14:paraId="1F5C8165" w14:textId="77777777" w:rsidR="004E4D6B" w:rsidRPr="003E0023" w:rsidRDefault="004E4D6B" w:rsidP="00D056A8">
            <w:pPr>
              <w:pStyle w:val="Normal6"/>
            </w:pPr>
            <w:r w:rsidRPr="003E0023">
              <w:t>5.</w:t>
            </w:r>
            <w:r w:rsidRPr="003E0023">
              <w:tab/>
              <w:t xml:space="preserve"> Razširitev pravil iz odstavka 1 se v celoti objavi v uradni publikaciji zadevne države članice, tako da so izvajalci obveščeni o njej.</w:t>
            </w:r>
          </w:p>
        </w:tc>
        <w:tc>
          <w:tcPr>
            <w:tcW w:w="4876" w:type="dxa"/>
          </w:tcPr>
          <w:p w14:paraId="3ADCBC75" w14:textId="77777777" w:rsidR="004E4D6B" w:rsidRPr="003E0023" w:rsidRDefault="004E4D6B" w:rsidP="00D056A8">
            <w:pPr>
              <w:pStyle w:val="Normal6"/>
              <w:rPr>
                <w:szCs w:val="24"/>
              </w:rPr>
            </w:pPr>
            <w:r w:rsidRPr="003E0023">
              <w:t>5.</w:t>
            </w:r>
            <w:r w:rsidRPr="003E0023">
              <w:tab/>
              <w:t>Razširitev pravil iz odstavka 1 se v celoti objavi v uradni publikaciji zadevne države članice, tako da so izvajalci obveščeni o njej.</w:t>
            </w:r>
          </w:p>
        </w:tc>
      </w:tr>
      <w:tr w:rsidR="004E4D6B" w:rsidRPr="003E0023" w14:paraId="3361338F" w14:textId="77777777" w:rsidTr="00D056A8">
        <w:trPr>
          <w:jc w:val="center"/>
        </w:trPr>
        <w:tc>
          <w:tcPr>
            <w:tcW w:w="4876" w:type="dxa"/>
          </w:tcPr>
          <w:p w14:paraId="6B944313" w14:textId="77777777" w:rsidR="004E4D6B" w:rsidRPr="003E0023" w:rsidRDefault="004E4D6B" w:rsidP="00D056A8">
            <w:pPr>
              <w:pStyle w:val="Normal6"/>
            </w:pPr>
            <w:r w:rsidRPr="003E0023">
              <w:t>6.</w:t>
            </w:r>
            <w:r w:rsidRPr="003E0023">
              <w:tab/>
              <w:t>Države članice uradno obvestijo Komisijo o vsaki odločitvi, sprejeti na podlagi tega člena.</w:t>
            </w:r>
          </w:p>
        </w:tc>
        <w:tc>
          <w:tcPr>
            <w:tcW w:w="4876" w:type="dxa"/>
          </w:tcPr>
          <w:p w14:paraId="31DE2C96" w14:textId="77777777" w:rsidR="004E4D6B" w:rsidRPr="003E0023" w:rsidRDefault="004E4D6B" w:rsidP="00D056A8">
            <w:pPr>
              <w:pStyle w:val="Normal6"/>
              <w:rPr>
                <w:szCs w:val="24"/>
              </w:rPr>
            </w:pPr>
            <w:r w:rsidRPr="003E0023">
              <w:t>6.</w:t>
            </w:r>
            <w:r w:rsidRPr="003E0023">
              <w:tab/>
              <w:t>Države članice uradno obvestijo Komisijo o vsaki odločitvi, sprejeti na podlagi tega člena.</w:t>
            </w:r>
            <w:r w:rsidRPr="003E0023">
              <w:rPr>
                <w:b/>
                <w:i/>
              </w:rPr>
              <w:t>“</w:t>
            </w:r>
          </w:p>
        </w:tc>
      </w:tr>
    </w:tbl>
    <w:p w14:paraId="18697D34" w14:textId="77777777" w:rsidR="006F5BFE" w:rsidRPr="003B2277" w:rsidRDefault="006F5BFE" w:rsidP="006F5BFE">
      <w:pPr>
        <w:rPr>
          <w:lang w:eastAsia="en-US"/>
        </w:rPr>
      </w:pPr>
    </w:p>
    <w:p w14:paraId="21F4F681" w14:textId="42C007A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123</w:t>
      </w:r>
    </w:p>
    <w:p w14:paraId="4DA178B2" w14:textId="77777777" w:rsidR="006F5BFE" w:rsidRPr="003B2277" w:rsidRDefault="006F5BFE" w:rsidP="006F5BFE"/>
    <w:p w14:paraId="46A02998" w14:textId="77777777" w:rsidR="006F5BFE" w:rsidRPr="003B2277" w:rsidRDefault="006F5BFE" w:rsidP="006F5BFE">
      <w:pPr>
        <w:keepNext/>
        <w:rPr>
          <w:b/>
          <w:lang w:eastAsia="en-US"/>
        </w:rPr>
      </w:pPr>
      <w:r w:rsidRPr="003B2277">
        <w:rPr>
          <w:rFonts w:eastAsia="Calibri" w:cs="Mangal"/>
          <w:b/>
          <w:lang w:eastAsia="en-US"/>
        </w:rPr>
        <w:t>Predlog uredbe</w:t>
      </w:r>
    </w:p>
    <w:p w14:paraId="09687966" w14:textId="2352D131" w:rsidR="006F5BFE" w:rsidRPr="003B2277" w:rsidRDefault="006F5BFE" w:rsidP="006F5BFE">
      <w:pPr>
        <w:rPr>
          <w:b/>
          <w:lang w:eastAsia="en-US"/>
        </w:rPr>
      </w:pPr>
      <w:r w:rsidRPr="003B2277">
        <w:rPr>
          <w:rFonts w:eastAsia="Calibri" w:cs="Mangal"/>
          <w:b/>
          <w:lang w:eastAsia="en-US"/>
        </w:rPr>
        <w:t xml:space="preserve">Člen 1 – odstavek 1 – točka 22 </w:t>
      </w:r>
      <w:r w:rsidR="00871C85">
        <w:rPr>
          <w:rFonts w:eastAsia="Calibri" w:cs="Mangal"/>
          <w:b/>
          <w:lang w:eastAsia="en-US"/>
        </w:rPr>
        <w:t xml:space="preserve">q </w:t>
      </w:r>
      <w:r w:rsidRPr="003B2277">
        <w:rPr>
          <w:rFonts w:eastAsia="Calibri" w:cs="Mangal"/>
          <w:b/>
          <w:lang w:eastAsia="en-US"/>
        </w:rPr>
        <w:t>(novo)</w:t>
      </w:r>
    </w:p>
    <w:p w14:paraId="0805F4FB" w14:textId="77777777" w:rsidR="006F5BFE" w:rsidRPr="003B2277" w:rsidRDefault="006F5BFE" w:rsidP="006F5BFE">
      <w:pPr>
        <w:keepNext/>
        <w:rPr>
          <w:lang w:eastAsia="en-US"/>
        </w:rPr>
      </w:pPr>
      <w:r w:rsidRPr="003B2277">
        <w:rPr>
          <w:rFonts w:eastAsia="Calibri" w:cs="Mangal"/>
          <w:lang w:eastAsia="en-US"/>
        </w:rPr>
        <w:t>Uredba (EU) št. 1308/2013</w:t>
      </w:r>
    </w:p>
    <w:p w14:paraId="6793FA21" w14:textId="77777777" w:rsidR="006F5BFE" w:rsidRPr="003B2277" w:rsidRDefault="006F5BFE" w:rsidP="006F5BFE">
      <w:pPr>
        <w:rPr>
          <w:lang w:eastAsia="en-US"/>
        </w:rPr>
      </w:pPr>
      <w:r w:rsidRPr="003B2277">
        <w:rPr>
          <w:rFonts w:eastAsia="Calibri" w:cs="Mangal"/>
          <w:lang w:eastAsia="en-US"/>
        </w:rPr>
        <w:t>Člen 165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DCB9C96" w14:textId="77777777" w:rsidTr="005B4D60">
        <w:trPr>
          <w:jc w:val="center"/>
        </w:trPr>
        <w:tc>
          <w:tcPr>
            <w:tcW w:w="9752" w:type="dxa"/>
            <w:gridSpan w:val="2"/>
          </w:tcPr>
          <w:p w14:paraId="32EF9FA0" w14:textId="77777777" w:rsidR="006F5BFE" w:rsidRPr="003B2277" w:rsidRDefault="006F5BFE" w:rsidP="005B4D60">
            <w:pPr>
              <w:keepNext/>
            </w:pPr>
          </w:p>
        </w:tc>
      </w:tr>
      <w:tr w:rsidR="006F5BFE" w:rsidRPr="003B2277" w14:paraId="4208A5A2" w14:textId="77777777" w:rsidTr="005B4D60">
        <w:trPr>
          <w:jc w:val="center"/>
        </w:trPr>
        <w:tc>
          <w:tcPr>
            <w:tcW w:w="4876" w:type="dxa"/>
            <w:hideMark/>
          </w:tcPr>
          <w:p w14:paraId="7742E9B3"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D0C759B" w14:textId="5BF29C36"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0C4C1F3" w14:textId="77777777" w:rsidTr="005B4D60">
        <w:trPr>
          <w:jc w:val="center"/>
        </w:trPr>
        <w:tc>
          <w:tcPr>
            <w:tcW w:w="4876" w:type="dxa"/>
          </w:tcPr>
          <w:p w14:paraId="60C70806" w14:textId="77777777" w:rsidR="006F5BFE" w:rsidRPr="003B2277" w:rsidRDefault="006F5BFE" w:rsidP="005B4D60">
            <w:pPr>
              <w:spacing w:after="120"/>
            </w:pPr>
          </w:p>
        </w:tc>
        <w:tc>
          <w:tcPr>
            <w:tcW w:w="4876" w:type="dxa"/>
            <w:hideMark/>
          </w:tcPr>
          <w:p w14:paraId="4E8BB5A8" w14:textId="3B300D42" w:rsidR="006F5BFE" w:rsidRPr="003B2277" w:rsidRDefault="006F5BFE" w:rsidP="005B4D60">
            <w:pPr>
              <w:spacing w:after="120"/>
              <w:rPr>
                <w:szCs w:val="24"/>
                <w:lang w:eastAsia="en-US"/>
              </w:rPr>
            </w:pPr>
            <w:r w:rsidRPr="003B2277">
              <w:rPr>
                <w:rFonts w:eastAsia="Calibri" w:cs="Mangal"/>
                <w:b/>
                <w:i/>
                <w:lang w:eastAsia="en-US"/>
              </w:rPr>
              <w:t>(22</w:t>
            </w:r>
            <w:r w:rsidR="00871C85">
              <w:rPr>
                <w:rFonts w:eastAsia="Calibri" w:cs="Mangal"/>
                <w:b/>
                <w:i/>
                <w:lang w:eastAsia="en-US"/>
              </w:rPr>
              <w:t>q</w:t>
            </w:r>
            <w:r w:rsidRPr="003B2277">
              <w:rPr>
                <w:rFonts w:eastAsia="Calibri" w:cs="Mangal"/>
                <w:b/>
                <w:i/>
                <w:lang w:eastAsia="en-US"/>
              </w:rPr>
              <w:t>)</w:t>
            </w:r>
            <w:r w:rsidRPr="003B2277">
              <w:rPr>
                <w:rFonts w:eastAsia="Calibri" w:cs="Mangal"/>
                <w:b/>
                <w:i/>
                <w:lang w:eastAsia="en-US"/>
              </w:rPr>
              <w:tab/>
              <w:t>člen 165 se nadomesti z naslednjim:</w:t>
            </w:r>
          </w:p>
        </w:tc>
      </w:tr>
      <w:tr w:rsidR="006F5BFE" w:rsidRPr="003B2277" w14:paraId="226B9B17" w14:textId="77777777" w:rsidTr="005B4D60">
        <w:trPr>
          <w:jc w:val="center"/>
        </w:trPr>
        <w:tc>
          <w:tcPr>
            <w:tcW w:w="4876" w:type="dxa"/>
            <w:hideMark/>
          </w:tcPr>
          <w:p w14:paraId="775171E6" w14:textId="77777777" w:rsidR="006F5BFE" w:rsidRPr="003B2277" w:rsidRDefault="006F5BFE" w:rsidP="005B4D60">
            <w:pPr>
              <w:spacing w:after="120"/>
              <w:rPr>
                <w:lang w:eastAsia="en-US"/>
              </w:rPr>
            </w:pPr>
            <w:r w:rsidRPr="003B2277">
              <w:rPr>
                <w:rFonts w:eastAsia="Calibri" w:cs="Mangal"/>
                <w:lang w:eastAsia="en-US"/>
              </w:rPr>
              <w:t>Člen 165</w:t>
            </w:r>
          </w:p>
        </w:tc>
        <w:tc>
          <w:tcPr>
            <w:tcW w:w="4876" w:type="dxa"/>
            <w:hideMark/>
          </w:tcPr>
          <w:p w14:paraId="0A8B709B"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165</w:t>
            </w:r>
          </w:p>
        </w:tc>
      </w:tr>
      <w:tr w:rsidR="006F5BFE" w:rsidRPr="003B2277" w14:paraId="177C113B" w14:textId="77777777" w:rsidTr="005B4D60">
        <w:trPr>
          <w:jc w:val="center"/>
        </w:trPr>
        <w:tc>
          <w:tcPr>
            <w:tcW w:w="4876" w:type="dxa"/>
            <w:hideMark/>
          </w:tcPr>
          <w:p w14:paraId="15297E5A" w14:textId="77777777" w:rsidR="006F5BFE" w:rsidRPr="003B2277" w:rsidRDefault="006F5BFE" w:rsidP="005B4D60">
            <w:pPr>
              <w:spacing w:after="120"/>
              <w:rPr>
                <w:lang w:eastAsia="en-US"/>
              </w:rPr>
            </w:pPr>
            <w:r w:rsidRPr="003B2277">
              <w:rPr>
                <w:rFonts w:eastAsia="Calibri" w:cs="Mangal"/>
                <w:lang w:eastAsia="en-US"/>
              </w:rPr>
              <w:t>Finančni prispevki nečlanov</w:t>
            </w:r>
          </w:p>
        </w:tc>
        <w:tc>
          <w:tcPr>
            <w:tcW w:w="4876" w:type="dxa"/>
            <w:hideMark/>
          </w:tcPr>
          <w:p w14:paraId="73E0F0A0" w14:textId="77777777" w:rsidR="006F5BFE" w:rsidRPr="003B2277" w:rsidRDefault="006F5BFE" w:rsidP="005B4D60">
            <w:pPr>
              <w:spacing w:after="120"/>
              <w:rPr>
                <w:szCs w:val="24"/>
                <w:lang w:eastAsia="en-US"/>
              </w:rPr>
            </w:pPr>
            <w:r w:rsidRPr="003B2277">
              <w:rPr>
                <w:rFonts w:eastAsia="Calibri" w:cs="Mangal"/>
                <w:lang w:eastAsia="en-US"/>
              </w:rPr>
              <w:t>Finančni prispevki nečlanov</w:t>
            </w:r>
          </w:p>
        </w:tc>
      </w:tr>
      <w:tr w:rsidR="006F5BFE" w:rsidRPr="003B2277" w14:paraId="4F0ABB50" w14:textId="77777777" w:rsidTr="005B4D60">
        <w:trPr>
          <w:jc w:val="center"/>
        </w:trPr>
        <w:tc>
          <w:tcPr>
            <w:tcW w:w="4876" w:type="dxa"/>
            <w:hideMark/>
          </w:tcPr>
          <w:p w14:paraId="0DADB584" w14:textId="77777777" w:rsidR="006F5BFE" w:rsidRPr="003B2277" w:rsidRDefault="006F5BFE" w:rsidP="005B4D60">
            <w:pPr>
              <w:spacing w:after="120"/>
              <w:rPr>
                <w:lang w:eastAsia="en-US"/>
              </w:rPr>
            </w:pPr>
            <w:r w:rsidRPr="003B2277">
              <w:rPr>
                <w:rFonts w:eastAsia="Calibri" w:cs="Mangal"/>
                <w:lang w:eastAsia="en-US"/>
              </w:rPr>
              <w:t xml:space="preserve">Kadar se pravila priznane organizacije proizvajalcev, priznanega združenja organizacij proizvajalcev ali priznane medpanožne organizacije v skladu s členom 164 razširijo in so dejavnosti, ki jih pravila zajemajo, v splošnem gospodarskem interesu gospodarskih subjektov, katerih dejavnosti se nanašajo na navedene proizvode, lahko država članica, ki je priznala organizacijo, po posvetovanju z ustreznimi deležniki odloči, da posamezni gospodarski subjekti ali skupine, ki niso člani organizacije, a imajo od teh dejavnosti korist, organizaciji plačajo celoto ali del finančnega prispevka, ki ga plačujejo člani, do višine, do katere so taki prispevki namenjeni za pokrivanje </w:t>
            </w:r>
            <w:r w:rsidRPr="003B2277">
              <w:rPr>
                <w:rFonts w:eastAsia="Calibri" w:cs="Mangal"/>
                <w:b/>
                <w:i/>
                <w:lang w:eastAsia="en-US"/>
              </w:rPr>
              <w:t xml:space="preserve">neposrednih </w:t>
            </w:r>
            <w:r w:rsidRPr="003B2277">
              <w:rPr>
                <w:rFonts w:eastAsia="Calibri" w:cs="Mangal"/>
                <w:lang w:eastAsia="en-US"/>
              </w:rPr>
              <w:t xml:space="preserve">stroškov iz izvajanja </w:t>
            </w:r>
            <w:r w:rsidRPr="003B2277">
              <w:rPr>
                <w:rFonts w:eastAsia="Calibri" w:cs="Mangal"/>
                <w:b/>
                <w:i/>
                <w:lang w:eastAsia="en-US"/>
              </w:rPr>
              <w:t>zadevnih</w:t>
            </w:r>
            <w:r w:rsidRPr="003B2277">
              <w:rPr>
                <w:rFonts w:eastAsia="Calibri" w:cs="Mangal"/>
                <w:lang w:eastAsia="en-US"/>
              </w:rPr>
              <w:t xml:space="preserve"> dejavnosti.</w:t>
            </w:r>
          </w:p>
        </w:tc>
        <w:tc>
          <w:tcPr>
            <w:tcW w:w="4876" w:type="dxa"/>
            <w:hideMark/>
          </w:tcPr>
          <w:p w14:paraId="5C193B74" w14:textId="77777777" w:rsidR="006F5BFE" w:rsidRPr="003B2277" w:rsidRDefault="006F5BFE" w:rsidP="005B4D60">
            <w:pPr>
              <w:spacing w:after="120"/>
              <w:rPr>
                <w:szCs w:val="24"/>
                <w:lang w:eastAsia="en-US"/>
              </w:rPr>
            </w:pPr>
            <w:r w:rsidRPr="003B2277">
              <w:rPr>
                <w:rFonts w:eastAsia="Calibri" w:cs="Mangal"/>
                <w:lang w:eastAsia="en-US"/>
              </w:rPr>
              <w:t xml:space="preserve">Kadar se pravila priznane organizacije proizvajalcev, priznanega združenja organizacij proizvajalcev ali priznane medpanožne organizacije v skladu s členom 164 razširijo in so dejavnosti, ki jih pravila zajemajo, v splošnem gospodarskem interesu gospodarskih subjektov, katerih dejavnosti se nanašajo na navedene proizvode, lahko država članica, ki je priznala organizacijo, po posvetovanju z ustreznimi deležniki odloči, da posamezni gospodarski subjekti ali skupine, ki niso člani organizacije, a imajo od teh dejavnosti </w:t>
            </w:r>
            <w:r w:rsidRPr="003B2277">
              <w:rPr>
                <w:rFonts w:eastAsia="Calibri" w:cs="Mangal"/>
                <w:b/>
                <w:i/>
                <w:lang w:eastAsia="en-US"/>
              </w:rPr>
              <w:t xml:space="preserve">dejansko </w:t>
            </w:r>
            <w:r w:rsidRPr="003B2277">
              <w:rPr>
                <w:rFonts w:eastAsia="Calibri" w:cs="Mangal"/>
                <w:lang w:eastAsia="en-US"/>
              </w:rPr>
              <w:t xml:space="preserve">korist, organizaciji plačajo celoto ali del finančnega prispevka, ki ga plačujejo člani, do višine, do katere so taki prispevki namenjeni za pokrivanje stroškov iz izvajanja </w:t>
            </w:r>
            <w:r w:rsidRPr="003B2277">
              <w:rPr>
                <w:rFonts w:eastAsia="Calibri" w:cs="Mangal"/>
                <w:b/>
                <w:i/>
                <w:lang w:eastAsia="en-US"/>
              </w:rPr>
              <w:t>ene ali več</w:t>
            </w:r>
            <w:r w:rsidRPr="003B2277">
              <w:rPr>
                <w:rFonts w:eastAsia="Calibri" w:cs="Mangal"/>
                <w:lang w:eastAsia="en-US"/>
              </w:rPr>
              <w:t xml:space="preserve"> dejavnosti</w:t>
            </w:r>
            <w:r w:rsidRPr="003B2277">
              <w:rPr>
                <w:rFonts w:eastAsia="Calibri" w:cs="Mangal"/>
                <w:b/>
                <w:i/>
                <w:lang w:eastAsia="en-US"/>
              </w:rPr>
              <w:t xml:space="preserve"> iz člena 164(4)</w:t>
            </w:r>
            <w:r w:rsidRPr="003B2277">
              <w:rPr>
                <w:rFonts w:eastAsia="Calibri" w:cs="Mangal"/>
                <w:lang w:eastAsia="en-US"/>
              </w:rPr>
              <w:t xml:space="preserve">. </w:t>
            </w:r>
            <w:r w:rsidRPr="003B2277">
              <w:rPr>
                <w:rFonts w:eastAsia="Calibri" w:cs="Mangal"/>
                <w:b/>
                <w:i/>
                <w:lang w:eastAsia="en-US"/>
              </w:rPr>
              <w:t>Podrobne proračune, povezane z izvajanjem teh dejavnosti, je treba pregledno objaviti, da jih lahko vsi gospodarski subjekti plačniki ali skupine preučijo ne glede na to, ali so člani organizacije ali ne.“</w:t>
            </w:r>
          </w:p>
        </w:tc>
      </w:tr>
    </w:tbl>
    <w:p w14:paraId="25AB471D" w14:textId="77777777" w:rsidR="006F5BFE" w:rsidRPr="003B2277" w:rsidRDefault="006F5BFE" w:rsidP="006F5BFE">
      <w:pPr>
        <w:rPr>
          <w:lang w:eastAsia="en-US"/>
        </w:rPr>
      </w:pPr>
    </w:p>
    <w:p w14:paraId="36D3F6B5" w14:textId="055F97D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124</w:t>
      </w:r>
    </w:p>
    <w:p w14:paraId="7CAC490E" w14:textId="77777777" w:rsidR="006F5BFE" w:rsidRPr="003B2277" w:rsidRDefault="006F5BFE" w:rsidP="006F5BFE"/>
    <w:p w14:paraId="787B8CFA" w14:textId="77777777" w:rsidR="006F5BFE" w:rsidRPr="003B2277" w:rsidRDefault="006F5BFE" w:rsidP="006F5BFE">
      <w:pPr>
        <w:keepNext/>
        <w:rPr>
          <w:b/>
          <w:lang w:eastAsia="en-US"/>
        </w:rPr>
      </w:pPr>
      <w:r w:rsidRPr="003B2277">
        <w:rPr>
          <w:rFonts w:eastAsia="Calibri" w:cs="Mangal"/>
          <w:b/>
          <w:lang w:eastAsia="en-US"/>
        </w:rPr>
        <w:t>Predlog uredbe</w:t>
      </w:r>
    </w:p>
    <w:p w14:paraId="36DC4C6E" w14:textId="2948540B"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r</w:t>
      </w:r>
      <w:r w:rsidRPr="003B2277">
        <w:rPr>
          <w:rFonts w:eastAsia="Calibri" w:cs="Mangal"/>
          <w:b/>
          <w:lang w:eastAsia="en-US"/>
        </w:rPr>
        <w:t xml:space="preserve"> (novo)</w:t>
      </w:r>
    </w:p>
    <w:p w14:paraId="3C6CEA4F" w14:textId="77777777" w:rsidR="006F5BFE" w:rsidRPr="003B2277" w:rsidRDefault="006F5BFE" w:rsidP="006F5BFE">
      <w:pPr>
        <w:keepNext/>
        <w:rPr>
          <w:lang w:eastAsia="en-US"/>
        </w:rPr>
      </w:pPr>
      <w:r w:rsidRPr="003B2277">
        <w:rPr>
          <w:rFonts w:eastAsia="Calibri" w:cs="Mangal"/>
          <w:lang w:eastAsia="en-US"/>
        </w:rPr>
        <w:t>Uredba (EU) št. 1308/2013</w:t>
      </w:r>
    </w:p>
    <w:p w14:paraId="3965A414" w14:textId="77777777" w:rsidR="006F5BFE" w:rsidRPr="003B2277" w:rsidRDefault="006F5BFE" w:rsidP="006F5BFE">
      <w:pPr>
        <w:rPr>
          <w:lang w:eastAsia="en-US"/>
        </w:rPr>
      </w:pPr>
      <w:r w:rsidRPr="003B2277">
        <w:rPr>
          <w:rFonts w:eastAsia="Calibri" w:cs="Mangal"/>
          <w:lang w:eastAsia="en-US"/>
        </w:rPr>
        <w:t>Člen 166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F5DC854" w14:textId="77777777" w:rsidTr="005B4D60">
        <w:trPr>
          <w:jc w:val="center"/>
        </w:trPr>
        <w:tc>
          <w:tcPr>
            <w:tcW w:w="9752" w:type="dxa"/>
            <w:gridSpan w:val="2"/>
          </w:tcPr>
          <w:p w14:paraId="0B5462C5" w14:textId="77777777" w:rsidR="006F5BFE" w:rsidRPr="003B2277" w:rsidRDefault="006F5BFE" w:rsidP="005B4D60">
            <w:pPr>
              <w:keepNext/>
            </w:pPr>
          </w:p>
        </w:tc>
      </w:tr>
      <w:tr w:rsidR="006F5BFE" w:rsidRPr="003B2277" w14:paraId="7E5325D1" w14:textId="77777777" w:rsidTr="005B4D60">
        <w:trPr>
          <w:jc w:val="center"/>
        </w:trPr>
        <w:tc>
          <w:tcPr>
            <w:tcW w:w="4876" w:type="dxa"/>
            <w:hideMark/>
          </w:tcPr>
          <w:p w14:paraId="0BDB112A"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E2E3925" w14:textId="3F50CCE0"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DDE87FF" w14:textId="77777777" w:rsidTr="005B4D60">
        <w:trPr>
          <w:jc w:val="center"/>
        </w:trPr>
        <w:tc>
          <w:tcPr>
            <w:tcW w:w="4876" w:type="dxa"/>
          </w:tcPr>
          <w:p w14:paraId="56DEB9FC" w14:textId="77777777" w:rsidR="006F5BFE" w:rsidRPr="003B2277" w:rsidRDefault="006F5BFE" w:rsidP="005B4D60">
            <w:pPr>
              <w:spacing w:after="120"/>
            </w:pPr>
          </w:p>
        </w:tc>
        <w:tc>
          <w:tcPr>
            <w:tcW w:w="4876" w:type="dxa"/>
            <w:hideMark/>
          </w:tcPr>
          <w:p w14:paraId="3991EA83" w14:textId="56CD033C"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r</w:t>
            </w:r>
            <w:r w:rsidRPr="003B2277">
              <w:rPr>
                <w:rFonts w:eastAsia="Calibri" w:cs="Mangal"/>
                <w:b/>
                <w:i/>
                <w:lang w:eastAsia="en-US"/>
              </w:rPr>
              <w:t>)</w:t>
            </w:r>
            <w:r w:rsidRPr="003B2277">
              <w:rPr>
                <w:rFonts w:eastAsia="Calibri" w:cs="Mangal"/>
                <w:b/>
                <w:i/>
                <w:lang w:eastAsia="en-US"/>
              </w:rPr>
              <w:tab/>
              <w:t>vstavi se naslednji člen:</w:t>
            </w:r>
          </w:p>
        </w:tc>
      </w:tr>
      <w:tr w:rsidR="006F5BFE" w:rsidRPr="003B2277" w14:paraId="6835CB56" w14:textId="77777777" w:rsidTr="005B4D60">
        <w:trPr>
          <w:jc w:val="center"/>
        </w:trPr>
        <w:tc>
          <w:tcPr>
            <w:tcW w:w="4876" w:type="dxa"/>
          </w:tcPr>
          <w:p w14:paraId="4D140466" w14:textId="77777777" w:rsidR="006F5BFE" w:rsidRPr="003B2277" w:rsidRDefault="006F5BFE" w:rsidP="005B4D60">
            <w:pPr>
              <w:spacing w:after="120"/>
            </w:pPr>
          </w:p>
        </w:tc>
        <w:tc>
          <w:tcPr>
            <w:tcW w:w="4876" w:type="dxa"/>
            <w:hideMark/>
          </w:tcPr>
          <w:p w14:paraId="13F990D4" w14:textId="77777777" w:rsidR="006F5BFE" w:rsidRPr="003B2277" w:rsidRDefault="006F5BFE" w:rsidP="005B4D60">
            <w:pPr>
              <w:spacing w:after="120"/>
              <w:rPr>
                <w:szCs w:val="24"/>
                <w:lang w:eastAsia="en-US"/>
              </w:rPr>
            </w:pPr>
            <w:r w:rsidRPr="003B2277">
              <w:rPr>
                <w:rFonts w:eastAsia="Calibri" w:cs="Mangal"/>
                <w:b/>
                <w:i/>
                <w:lang w:eastAsia="en-US"/>
              </w:rPr>
              <w:t>„Člen 166a</w:t>
            </w:r>
          </w:p>
        </w:tc>
      </w:tr>
      <w:tr w:rsidR="006F5BFE" w:rsidRPr="003B2277" w14:paraId="090A7DD8" w14:textId="77777777" w:rsidTr="005B4D60">
        <w:trPr>
          <w:jc w:val="center"/>
        </w:trPr>
        <w:tc>
          <w:tcPr>
            <w:tcW w:w="4876" w:type="dxa"/>
          </w:tcPr>
          <w:p w14:paraId="72C69687" w14:textId="77777777" w:rsidR="006F5BFE" w:rsidRPr="003B2277" w:rsidRDefault="006F5BFE" w:rsidP="005B4D60">
            <w:pPr>
              <w:spacing w:after="120"/>
            </w:pPr>
          </w:p>
        </w:tc>
        <w:tc>
          <w:tcPr>
            <w:tcW w:w="4876" w:type="dxa"/>
            <w:hideMark/>
          </w:tcPr>
          <w:p w14:paraId="4789B5A6" w14:textId="77777777" w:rsidR="006F5BFE" w:rsidRPr="003B2277" w:rsidRDefault="006F5BFE" w:rsidP="005B4D60">
            <w:pPr>
              <w:spacing w:after="120"/>
              <w:rPr>
                <w:szCs w:val="24"/>
                <w:lang w:eastAsia="en-US"/>
              </w:rPr>
            </w:pPr>
            <w:r w:rsidRPr="003B2277">
              <w:rPr>
                <w:rFonts w:eastAsia="Calibri" w:cs="Mangal"/>
                <w:b/>
                <w:i/>
                <w:lang w:eastAsia="en-US"/>
              </w:rPr>
              <w:t>Uravnavanje ponudbe kmetijskih proizvodov z zaščiteno označbo porekla ali zaščiteno geografsko označbo razen sira, vina in stegna</w:t>
            </w:r>
          </w:p>
        </w:tc>
      </w:tr>
      <w:tr w:rsidR="006F5BFE" w:rsidRPr="003B2277" w14:paraId="65D0D2B2" w14:textId="77777777" w:rsidTr="005B4D60">
        <w:trPr>
          <w:jc w:val="center"/>
        </w:trPr>
        <w:tc>
          <w:tcPr>
            <w:tcW w:w="4876" w:type="dxa"/>
          </w:tcPr>
          <w:p w14:paraId="728A8774" w14:textId="77777777" w:rsidR="006F5BFE" w:rsidRPr="003B2277" w:rsidRDefault="006F5BFE" w:rsidP="005B4D60">
            <w:pPr>
              <w:spacing w:after="120"/>
            </w:pPr>
          </w:p>
        </w:tc>
        <w:tc>
          <w:tcPr>
            <w:tcW w:w="4876" w:type="dxa"/>
            <w:hideMark/>
          </w:tcPr>
          <w:p w14:paraId="477B71FD"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Brez poseganja v člene 150, 167 in 172 lahko države članice na zahtevo organizacije proizvajalcev, priznane v skladu s členom 152(1) te uredbe, medpanožne organizacije, priznane v skladu s členom 157(1) te uredbe, ali skupine izvajalcev iz člena 3(2) Uredbe (EU) št. 1151/2012 za omejeno časovno obdobje določijo zavezujoča pravila za uravnavanje ponudbe kmetijskih proizvodov z zaščiteno označbo porekla ali zaščiteno geografsko označbo iz člena 5(1) in (2) Uredbe (EU) št. 1151/2012 razen sira, vina in stegna.</w:t>
            </w:r>
          </w:p>
        </w:tc>
      </w:tr>
      <w:tr w:rsidR="006F5BFE" w:rsidRPr="003B2277" w14:paraId="5A57749F" w14:textId="77777777" w:rsidTr="005B4D60">
        <w:trPr>
          <w:jc w:val="center"/>
        </w:trPr>
        <w:tc>
          <w:tcPr>
            <w:tcW w:w="4876" w:type="dxa"/>
          </w:tcPr>
          <w:p w14:paraId="172FE410" w14:textId="77777777" w:rsidR="006F5BFE" w:rsidRPr="003B2277" w:rsidRDefault="006F5BFE" w:rsidP="005B4D60">
            <w:pPr>
              <w:spacing w:after="120"/>
            </w:pPr>
          </w:p>
        </w:tc>
        <w:tc>
          <w:tcPr>
            <w:tcW w:w="4876" w:type="dxa"/>
            <w:hideMark/>
          </w:tcPr>
          <w:p w14:paraId="234CF4C8"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Pravila iz odstavka 1 tega člena so pogojena z obstojem predhodnega sporazuma med strankami na geografskem območju iz točke (c) člena 7(1) Uredbe (EU) št. 1151/2012.</w:t>
            </w:r>
          </w:p>
        </w:tc>
      </w:tr>
      <w:tr w:rsidR="006F5BFE" w:rsidRPr="003B2277" w14:paraId="3AAEEF03" w14:textId="77777777" w:rsidTr="005B4D60">
        <w:trPr>
          <w:jc w:val="center"/>
        </w:trPr>
        <w:tc>
          <w:tcPr>
            <w:tcW w:w="4876" w:type="dxa"/>
          </w:tcPr>
          <w:p w14:paraId="6821DB0A" w14:textId="77777777" w:rsidR="006F5BFE" w:rsidRPr="003B2277" w:rsidRDefault="006F5BFE" w:rsidP="005B4D60">
            <w:pPr>
              <w:spacing w:after="120"/>
            </w:pPr>
          </w:p>
        </w:tc>
        <w:tc>
          <w:tcPr>
            <w:tcW w:w="4876" w:type="dxa"/>
            <w:hideMark/>
          </w:tcPr>
          <w:p w14:paraId="75DD0252" w14:textId="77777777" w:rsidR="006F5BFE" w:rsidRPr="003B2277" w:rsidRDefault="006F5BFE" w:rsidP="005B4D60">
            <w:pPr>
              <w:spacing w:after="120"/>
              <w:rPr>
                <w:szCs w:val="24"/>
                <w:lang w:eastAsia="en-US"/>
              </w:rPr>
            </w:pPr>
            <w:r w:rsidRPr="003B2277">
              <w:rPr>
                <w:rFonts w:eastAsia="Calibri" w:cs="Mangal"/>
                <w:b/>
                <w:i/>
                <w:lang w:eastAsia="en-US"/>
              </w:rPr>
              <w:t>Tak sporazum skleneta:</w:t>
            </w:r>
          </w:p>
        </w:tc>
      </w:tr>
      <w:tr w:rsidR="006F5BFE" w:rsidRPr="003B2277" w14:paraId="3BDF70AD" w14:textId="77777777" w:rsidTr="005B4D60">
        <w:trPr>
          <w:jc w:val="center"/>
        </w:trPr>
        <w:tc>
          <w:tcPr>
            <w:tcW w:w="4876" w:type="dxa"/>
          </w:tcPr>
          <w:p w14:paraId="64141D3B" w14:textId="77777777" w:rsidR="006F5BFE" w:rsidRPr="003B2277" w:rsidRDefault="006F5BFE" w:rsidP="005B4D60">
            <w:pPr>
              <w:spacing w:after="120"/>
            </w:pPr>
          </w:p>
        </w:tc>
        <w:tc>
          <w:tcPr>
            <w:tcW w:w="4876" w:type="dxa"/>
            <w:hideMark/>
          </w:tcPr>
          <w:p w14:paraId="72B243C9" w14:textId="77777777" w:rsidR="006F5BFE" w:rsidRPr="003B2277" w:rsidRDefault="006F5BFE" w:rsidP="005B4D60">
            <w:pPr>
              <w:spacing w:after="120"/>
              <w:rPr>
                <w:szCs w:val="24"/>
                <w:lang w:eastAsia="en-US"/>
              </w:rPr>
            </w:pPr>
            <w:r w:rsidRPr="003B2277">
              <w:rPr>
                <w:rFonts w:eastAsia="Calibri" w:cs="Mangal"/>
                <w:b/>
                <w:i/>
                <w:lang w:eastAsia="en-US"/>
              </w:rPr>
              <w:t>(a) vsaj dve tretjini proizvajalcev tega proizvoda ali surovine za proizvodnjo tega proizvoda ali njihovi predstavniki na geografskem območju iz točke (c) člena 7(1) Uredbe (EU) št. 1152/2012; in</w:t>
            </w:r>
          </w:p>
        </w:tc>
      </w:tr>
      <w:tr w:rsidR="006F5BFE" w:rsidRPr="003B2277" w14:paraId="2D194D9A" w14:textId="77777777" w:rsidTr="005B4D60">
        <w:trPr>
          <w:jc w:val="center"/>
        </w:trPr>
        <w:tc>
          <w:tcPr>
            <w:tcW w:w="4876" w:type="dxa"/>
          </w:tcPr>
          <w:p w14:paraId="05F28407" w14:textId="77777777" w:rsidR="006F5BFE" w:rsidRPr="003B2277" w:rsidRDefault="006F5BFE" w:rsidP="005B4D60">
            <w:pPr>
              <w:spacing w:after="120"/>
            </w:pPr>
          </w:p>
        </w:tc>
        <w:tc>
          <w:tcPr>
            <w:tcW w:w="4876" w:type="dxa"/>
            <w:hideMark/>
          </w:tcPr>
          <w:p w14:paraId="43BFB897" w14:textId="77777777" w:rsidR="006F5BFE" w:rsidRPr="003B2277" w:rsidRDefault="006F5BFE" w:rsidP="005B4D60">
            <w:pPr>
              <w:spacing w:after="120"/>
              <w:rPr>
                <w:szCs w:val="24"/>
                <w:lang w:eastAsia="en-US"/>
              </w:rPr>
            </w:pPr>
            <w:r w:rsidRPr="003B2277">
              <w:rPr>
                <w:rFonts w:eastAsia="Calibri" w:cs="Mangal"/>
                <w:b/>
                <w:i/>
                <w:lang w:eastAsia="en-US"/>
              </w:rPr>
              <w:t>(b) kjer je ustrezno, vsaj dve tretjini predelovalcev tega kmetijskega proizvoda ali njihovi predstavniki, ki predstavljajo vsaj dve tretjini proizvodnje tega proizvoda na geografskem območju iz iste točke.</w:t>
            </w:r>
          </w:p>
        </w:tc>
      </w:tr>
      <w:tr w:rsidR="006F5BFE" w:rsidRPr="003B2277" w14:paraId="20B79B4A" w14:textId="77777777" w:rsidTr="005B4D60">
        <w:trPr>
          <w:jc w:val="center"/>
        </w:trPr>
        <w:tc>
          <w:tcPr>
            <w:tcW w:w="4876" w:type="dxa"/>
          </w:tcPr>
          <w:p w14:paraId="3EC2D121" w14:textId="77777777" w:rsidR="006F5BFE" w:rsidRPr="003B2277" w:rsidRDefault="006F5BFE" w:rsidP="005B4D60">
            <w:pPr>
              <w:spacing w:after="120"/>
            </w:pPr>
          </w:p>
        </w:tc>
        <w:tc>
          <w:tcPr>
            <w:tcW w:w="4876" w:type="dxa"/>
            <w:hideMark/>
          </w:tcPr>
          <w:p w14:paraId="52DDC411" w14:textId="77777777" w:rsidR="006F5BFE" w:rsidRPr="003B2277" w:rsidRDefault="006F5BFE" w:rsidP="005B4D60">
            <w:pPr>
              <w:spacing w:after="120"/>
              <w:rPr>
                <w:szCs w:val="24"/>
                <w:lang w:eastAsia="en-US"/>
              </w:rPr>
            </w:pPr>
            <w:r w:rsidRPr="003B2277">
              <w:rPr>
                <w:rFonts w:eastAsia="Calibri" w:cs="Mangal"/>
                <w:b/>
                <w:i/>
                <w:lang w:eastAsia="en-US"/>
              </w:rPr>
              <w:t>V ustrezno utemeljenih primerih, ko na geografskem območju iz člena 7(1)(c) Uredbe (EU) št. 1151/2012 ni mogoče doseči ravni reprezentativnosti iz točke (a) in/ali (b) tega pododstavka ali ko njihovo ugotavljanje povzroča praktične težave, lahko države članice določijo nacionalne predpise za ugotavljanje ustreznih ravni reprezentativnosti in načine posvetovanja za predhodni sporazum med strankami.</w:t>
            </w:r>
          </w:p>
        </w:tc>
      </w:tr>
      <w:tr w:rsidR="006F5BFE" w:rsidRPr="003B2277" w14:paraId="4373B120" w14:textId="77777777" w:rsidTr="005B4D60">
        <w:trPr>
          <w:jc w:val="center"/>
        </w:trPr>
        <w:tc>
          <w:tcPr>
            <w:tcW w:w="4876" w:type="dxa"/>
          </w:tcPr>
          <w:p w14:paraId="3ECD3AED" w14:textId="77777777" w:rsidR="006F5BFE" w:rsidRPr="003B2277" w:rsidRDefault="006F5BFE" w:rsidP="005B4D60">
            <w:pPr>
              <w:spacing w:after="120"/>
            </w:pPr>
          </w:p>
        </w:tc>
        <w:tc>
          <w:tcPr>
            <w:tcW w:w="4876" w:type="dxa"/>
            <w:hideMark/>
          </w:tcPr>
          <w:p w14:paraId="625A7627"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Pravila iz odstavka 1:</w:t>
            </w:r>
          </w:p>
        </w:tc>
      </w:tr>
      <w:tr w:rsidR="006F5BFE" w:rsidRPr="003B2277" w14:paraId="6B591542" w14:textId="77777777" w:rsidTr="005B4D60">
        <w:trPr>
          <w:jc w:val="center"/>
        </w:trPr>
        <w:tc>
          <w:tcPr>
            <w:tcW w:w="4876" w:type="dxa"/>
          </w:tcPr>
          <w:p w14:paraId="485EF53C" w14:textId="77777777" w:rsidR="006F5BFE" w:rsidRPr="003B2277" w:rsidRDefault="006F5BFE" w:rsidP="005B4D60">
            <w:pPr>
              <w:spacing w:after="120"/>
            </w:pPr>
          </w:p>
        </w:tc>
        <w:tc>
          <w:tcPr>
            <w:tcW w:w="4876" w:type="dxa"/>
            <w:hideMark/>
          </w:tcPr>
          <w:p w14:paraId="7DF2EC1D" w14:textId="77777777" w:rsidR="006F5BFE" w:rsidRPr="003B2277" w:rsidRDefault="006F5BFE" w:rsidP="005B4D60">
            <w:pPr>
              <w:spacing w:after="120"/>
              <w:rPr>
                <w:szCs w:val="24"/>
                <w:lang w:eastAsia="en-US"/>
              </w:rPr>
            </w:pPr>
            <w:r w:rsidRPr="003B2277">
              <w:rPr>
                <w:rFonts w:eastAsia="Calibri" w:cs="Mangal"/>
                <w:b/>
                <w:i/>
                <w:lang w:eastAsia="en-US"/>
              </w:rPr>
              <w:t>(a) se nanašajo le na uravnavanje ponudbe zadevnega proizvoda ter prilagajajo ponudbo tega proizvoda glede na povpraševanje po njem;</w:t>
            </w:r>
          </w:p>
        </w:tc>
      </w:tr>
      <w:tr w:rsidR="006F5BFE" w:rsidRPr="003B2277" w14:paraId="6E8B305C" w14:textId="77777777" w:rsidTr="005B4D60">
        <w:trPr>
          <w:jc w:val="center"/>
        </w:trPr>
        <w:tc>
          <w:tcPr>
            <w:tcW w:w="4876" w:type="dxa"/>
          </w:tcPr>
          <w:p w14:paraId="53918793" w14:textId="77777777" w:rsidR="006F5BFE" w:rsidRPr="003B2277" w:rsidRDefault="006F5BFE" w:rsidP="005B4D60">
            <w:pPr>
              <w:spacing w:after="120"/>
            </w:pPr>
          </w:p>
        </w:tc>
        <w:tc>
          <w:tcPr>
            <w:tcW w:w="4876" w:type="dxa"/>
            <w:hideMark/>
          </w:tcPr>
          <w:p w14:paraId="110B0353" w14:textId="77777777" w:rsidR="006F5BFE" w:rsidRPr="003B2277" w:rsidRDefault="006F5BFE" w:rsidP="005B4D60">
            <w:pPr>
              <w:spacing w:after="120"/>
              <w:rPr>
                <w:szCs w:val="24"/>
                <w:lang w:eastAsia="en-US"/>
              </w:rPr>
            </w:pPr>
            <w:r w:rsidRPr="003B2277">
              <w:rPr>
                <w:rFonts w:eastAsia="Calibri" w:cs="Mangal"/>
                <w:b/>
                <w:i/>
                <w:lang w:eastAsia="en-US"/>
              </w:rPr>
              <w:t>(b) učinkujejo le na zadevni proizvod;</w:t>
            </w:r>
          </w:p>
        </w:tc>
      </w:tr>
      <w:tr w:rsidR="006F5BFE" w:rsidRPr="003B2277" w14:paraId="5F921CE9" w14:textId="77777777" w:rsidTr="005B4D60">
        <w:trPr>
          <w:jc w:val="center"/>
        </w:trPr>
        <w:tc>
          <w:tcPr>
            <w:tcW w:w="4876" w:type="dxa"/>
          </w:tcPr>
          <w:p w14:paraId="6CCB35E0" w14:textId="77777777" w:rsidR="006F5BFE" w:rsidRPr="003B2277" w:rsidRDefault="006F5BFE" w:rsidP="005B4D60">
            <w:pPr>
              <w:spacing w:after="120"/>
            </w:pPr>
          </w:p>
        </w:tc>
        <w:tc>
          <w:tcPr>
            <w:tcW w:w="4876" w:type="dxa"/>
            <w:hideMark/>
          </w:tcPr>
          <w:p w14:paraId="4ADEC756" w14:textId="77777777" w:rsidR="006F5BFE" w:rsidRPr="003B2277" w:rsidRDefault="006F5BFE" w:rsidP="005B4D60">
            <w:pPr>
              <w:spacing w:after="120"/>
              <w:rPr>
                <w:szCs w:val="24"/>
                <w:lang w:eastAsia="en-US"/>
              </w:rPr>
            </w:pPr>
            <w:r w:rsidRPr="003B2277">
              <w:rPr>
                <w:rFonts w:eastAsia="Calibri" w:cs="Mangal"/>
                <w:b/>
                <w:i/>
                <w:lang w:eastAsia="en-US"/>
              </w:rPr>
              <w:t>(c) so lahko zavezujoča največ tri leta in se lahko po tem obdobju obnovijo na podlagi nove zahteve iz odstavka 1;</w:t>
            </w:r>
          </w:p>
        </w:tc>
      </w:tr>
      <w:tr w:rsidR="006F5BFE" w:rsidRPr="003B2277" w14:paraId="0485E462" w14:textId="77777777" w:rsidTr="005B4D60">
        <w:trPr>
          <w:jc w:val="center"/>
        </w:trPr>
        <w:tc>
          <w:tcPr>
            <w:tcW w:w="4876" w:type="dxa"/>
          </w:tcPr>
          <w:p w14:paraId="036BFB5A" w14:textId="77777777" w:rsidR="006F5BFE" w:rsidRPr="003B2277" w:rsidRDefault="006F5BFE" w:rsidP="005B4D60">
            <w:pPr>
              <w:spacing w:after="120"/>
            </w:pPr>
          </w:p>
        </w:tc>
        <w:tc>
          <w:tcPr>
            <w:tcW w:w="4876" w:type="dxa"/>
            <w:hideMark/>
          </w:tcPr>
          <w:p w14:paraId="609663F7" w14:textId="77777777" w:rsidR="006F5BFE" w:rsidRPr="003B2277" w:rsidRDefault="006F5BFE" w:rsidP="005B4D60">
            <w:pPr>
              <w:spacing w:after="120"/>
              <w:rPr>
                <w:szCs w:val="24"/>
                <w:lang w:eastAsia="en-US"/>
              </w:rPr>
            </w:pPr>
            <w:r w:rsidRPr="003B2277">
              <w:rPr>
                <w:rFonts w:eastAsia="Calibri" w:cs="Mangal"/>
                <w:b/>
                <w:i/>
                <w:lang w:eastAsia="en-US"/>
              </w:rPr>
              <w:t>(d) ne škodujejo trgovini z drugimi proizvodi, na katere se ta pravila ne nanašajo;</w:t>
            </w:r>
          </w:p>
        </w:tc>
      </w:tr>
      <w:tr w:rsidR="006F5BFE" w:rsidRPr="003B2277" w14:paraId="3F188D3C" w14:textId="77777777" w:rsidTr="005B4D60">
        <w:trPr>
          <w:jc w:val="center"/>
        </w:trPr>
        <w:tc>
          <w:tcPr>
            <w:tcW w:w="4876" w:type="dxa"/>
          </w:tcPr>
          <w:p w14:paraId="1F973B6D" w14:textId="77777777" w:rsidR="006F5BFE" w:rsidRPr="003B2277" w:rsidRDefault="006F5BFE" w:rsidP="005B4D60">
            <w:pPr>
              <w:spacing w:after="120"/>
            </w:pPr>
          </w:p>
        </w:tc>
        <w:tc>
          <w:tcPr>
            <w:tcW w:w="4876" w:type="dxa"/>
            <w:hideMark/>
          </w:tcPr>
          <w:p w14:paraId="07CF8471" w14:textId="77777777" w:rsidR="006F5BFE" w:rsidRPr="003B2277" w:rsidRDefault="006F5BFE" w:rsidP="005B4D60">
            <w:pPr>
              <w:spacing w:after="120"/>
              <w:rPr>
                <w:szCs w:val="24"/>
                <w:lang w:eastAsia="en-US"/>
              </w:rPr>
            </w:pPr>
            <w:r w:rsidRPr="003B2277">
              <w:rPr>
                <w:rFonts w:eastAsia="Calibri" w:cs="Mangal"/>
                <w:b/>
                <w:i/>
                <w:lang w:eastAsia="en-US"/>
              </w:rPr>
              <w:t>(e) ne zadevajo poslov po prvem trženju zadevnega proizvoda;</w:t>
            </w:r>
          </w:p>
        </w:tc>
      </w:tr>
      <w:tr w:rsidR="006F5BFE" w:rsidRPr="003B2277" w14:paraId="138FCB19" w14:textId="77777777" w:rsidTr="005B4D60">
        <w:trPr>
          <w:jc w:val="center"/>
        </w:trPr>
        <w:tc>
          <w:tcPr>
            <w:tcW w:w="4876" w:type="dxa"/>
          </w:tcPr>
          <w:p w14:paraId="2BEF1AC1" w14:textId="77777777" w:rsidR="006F5BFE" w:rsidRPr="003B2277" w:rsidRDefault="006F5BFE" w:rsidP="005B4D60">
            <w:pPr>
              <w:spacing w:after="120"/>
            </w:pPr>
          </w:p>
        </w:tc>
        <w:tc>
          <w:tcPr>
            <w:tcW w:w="4876" w:type="dxa"/>
            <w:hideMark/>
          </w:tcPr>
          <w:p w14:paraId="0EE21D6E" w14:textId="77777777" w:rsidR="006F5BFE" w:rsidRPr="003B2277" w:rsidRDefault="006F5BFE" w:rsidP="005B4D60">
            <w:pPr>
              <w:spacing w:after="120"/>
              <w:rPr>
                <w:szCs w:val="24"/>
                <w:lang w:eastAsia="en-US"/>
              </w:rPr>
            </w:pPr>
            <w:r w:rsidRPr="003B2277">
              <w:rPr>
                <w:rFonts w:eastAsia="Calibri" w:cs="Mangal"/>
                <w:b/>
                <w:i/>
                <w:lang w:eastAsia="en-US"/>
              </w:rPr>
              <w:t>(f) ne omogočajo določanja cen, niti okvirnih ali priporočenih;</w:t>
            </w:r>
          </w:p>
        </w:tc>
      </w:tr>
      <w:tr w:rsidR="006F5BFE" w:rsidRPr="003B2277" w14:paraId="799D5846" w14:textId="77777777" w:rsidTr="005B4D60">
        <w:trPr>
          <w:jc w:val="center"/>
        </w:trPr>
        <w:tc>
          <w:tcPr>
            <w:tcW w:w="4876" w:type="dxa"/>
          </w:tcPr>
          <w:p w14:paraId="0E6F3229" w14:textId="77777777" w:rsidR="006F5BFE" w:rsidRPr="003B2277" w:rsidRDefault="006F5BFE" w:rsidP="005B4D60">
            <w:pPr>
              <w:spacing w:after="120"/>
            </w:pPr>
          </w:p>
        </w:tc>
        <w:tc>
          <w:tcPr>
            <w:tcW w:w="4876" w:type="dxa"/>
            <w:hideMark/>
          </w:tcPr>
          <w:p w14:paraId="5AE40B96" w14:textId="77777777" w:rsidR="006F5BFE" w:rsidRPr="003B2277" w:rsidRDefault="006F5BFE" w:rsidP="005B4D60">
            <w:pPr>
              <w:spacing w:after="120"/>
              <w:rPr>
                <w:szCs w:val="24"/>
                <w:lang w:eastAsia="en-US"/>
              </w:rPr>
            </w:pPr>
            <w:r w:rsidRPr="003B2277">
              <w:rPr>
                <w:rFonts w:eastAsia="Calibri" w:cs="Mangal"/>
                <w:b/>
                <w:i/>
                <w:lang w:eastAsia="en-US"/>
              </w:rPr>
              <w:t>(g) ne povzročajo, da ni več na voljo prekomeren delež zadevnega proizvoda, ki bi sicer bil na voljo;</w:t>
            </w:r>
          </w:p>
        </w:tc>
      </w:tr>
      <w:tr w:rsidR="006F5BFE" w:rsidRPr="003B2277" w14:paraId="2415F1A5" w14:textId="77777777" w:rsidTr="005B4D60">
        <w:trPr>
          <w:jc w:val="center"/>
        </w:trPr>
        <w:tc>
          <w:tcPr>
            <w:tcW w:w="4876" w:type="dxa"/>
          </w:tcPr>
          <w:p w14:paraId="24506D04" w14:textId="77777777" w:rsidR="006F5BFE" w:rsidRPr="003B2277" w:rsidRDefault="006F5BFE" w:rsidP="005B4D60">
            <w:pPr>
              <w:spacing w:after="120"/>
            </w:pPr>
          </w:p>
        </w:tc>
        <w:tc>
          <w:tcPr>
            <w:tcW w:w="4876" w:type="dxa"/>
            <w:hideMark/>
          </w:tcPr>
          <w:p w14:paraId="3C730865" w14:textId="77777777" w:rsidR="006F5BFE" w:rsidRPr="003B2277" w:rsidRDefault="006F5BFE" w:rsidP="005B4D60">
            <w:pPr>
              <w:spacing w:after="120"/>
              <w:rPr>
                <w:szCs w:val="24"/>
                <w:lang w:eastAsia="en-US"/>
              </w:rPr>
            </w:pPr>
            <w:r w:rsidRPr="003B2277">
              <w:rPr>
                <w:rFonts w:eastAsia="Calibri" w:cs="Mangal"/>
                <w:b/>
                <w:i/>
                <w:lang w:eastAsia="en-US"/>
              </w:rPr>
              <w:t>(h) ne povzročajo diskriminacije, ovirajo dostopa novih udeležencev do trga ali škodujejo malim proizvajalcem;</w:t>
            </w:r>
          </w:p>
        </w:tc>
      </w:tr>
      <w:tr w:rsidR="006F5BFE" w:rsidRPr="003B2277" w14:paraId="2267C5BE" w14:textId="77777777" w:rsidTr="005B4D60">
        <w:trPr>
          <w:jc w:val="center"/>
        </w:trPr>
        <w:tc>
          <w:tcPr>
            <w:tcW w:w="4876" w:type="dxa"/>
          </w:tcPr>
          <w:p w14:paraId="78E41071" w14:textId="77777777" w:rsidR="006F5BFE" w:rsidRPr="003B2277" w:rsidRDefault="006F5BFE" w:rsidP="005B4D60">
            <w:pPr>
              <w:spacing w:after="120"/>
            </w:pPr>
          </w:p>
        </w:tc>
        <w:tc>
          <w:tcPr>
            <w:tcW w:w="4876" w:type="dxa"/>
            <w:hideMark/>
          </w:tcPr>
          <w:p w14:paraId="6057C685" w14:textId="77777777" w:rsidR="006F5BFE" w:rsidRPr="003B2277" w:rsidRDefault="006F5BFE" w:rsidP="005B4D60">
            <w:pPr>
              <w:spacing w:after="120"/>
              <w:rPr>
                <w:szCs w:val="24"/>
                <w:lang w:eastAsia="en-US"/>
              </w:rPr>
            </w:pPr>
            <w:r w:rsidRPr="003B2277">
              <w:rPr>
                <w:rFonts w:eastAsia="Calibri" w:cs="Mangal"/>
                <w:b/>
                <w:i/>
                <w:lang w:eastAsia="en-US"/>
              </w:rPr>
              <w:t>(i) prispevajo k ohranjanju kakovosti (tudi glede zdravja) in/ali razvoju zadevnega proizvoda.</w:t>
            </w:r>
          </w:p>
        </w:tc>
      </w:tr>
      <w:tr w:rsidR="006F5BFE" w:rsidRPr="003B2277" w14:paraId="397C348F" w14:textId="77777777" w:rsidTr="005B4D60">
        <w:trPr>
          <w:jc w:val="center"/>
        </w:trPr>
        <w:tc>
          <w:tcPr>
            <w:tcW w:w="4876" w:type="dxa"/>
          </w:tcPr>
          <w:p w14:paraId="0219D34F" w14:textId="77777777" w:rsidR="006F5BFE" w:rsidRPr="003B2277" w:rsidRDefault="006F5BFE" w:rsidP="005B4D60">
            <w:pPr>
              <w:spacing w:after="120"/>
            </w:pPr>
          </w:p>
        </w:tc>
        <w:tc>
          <w:tcPr>
            <w:tcW w:w="4876" w:type="dxa"/>
            <w:hideMark/>
          </w:tcPr>
          <w:p w14:paraId="33CC238A" w14:textId="77777777"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Pravila iz odstavka 1 se objavijo v uradnem glasilu zadevne države članice.</w:t>
            </w:r>
          </w:p>
        </w:tc>
      </w:tr>
      <w:tr w:rsidR="006F5BFE" w:rsidRPr="003B2277" w14:paraId="0E096ECA" w14:textId="77777777" w:rsidTr="005B4D60">
        <w:trPr>
          <w:jc w:val="center"/>
        </w:trPr>
        <w:tc>
          <w:tcPr>
            <w:tcW w:w="4876" w:type="dxa"/>
          </w:tcPr>
          <w:p w14:paraId="6CF9311B" w14:textId="77777777" w:rsidR="006F5BFE" w:rsidRPr="003B2277" w:rsidRDefault="006F5BFE" w:rsidP="005B4D60">
            <w:pPr>
              <w:spacing w:after="120"/>
            </w:pPr>
          </w:p>
        </w:tc>
        <w:tc>
          <w:tcPr>
            <w:tcW w:w="4876" w:type="dxa"/>
            <w:hideMark/>
          </w:tcPr>
          <w:p w14:paraId="2EDDCCE0" w14:textId="77777777" w:rsidR="006F5BFE" w:rsidRPr="003B2277" w:rsidRDefault="006F5BFE" w:rsidP="005B4D60">
            <w:pPr>
              <w:spacing w:after="120"/>
              <w:rPr>
                <w:szCs w:val="24"/>
                <w:lang w:eastAsia="en-US"/>
              </w:rPr>
            </w:pPr>
            <w:r w:rsidRPr="003B2277">
              <w:rPr>
                <w:rFonts w:eastAsia="Calibri" w:cs="Mangal"/>
                <w:b/>
                <w:i/>
                <w:lang w:eastAsia="en-US"/>
              </w:rPr>
              <w:t>5.</w:t>
            </w:r>
            <w:r w:rsidRPr="003B2277">
              <w:rPr>
                <w:rFonts w:eastAsia="Calibri" w:cs="Mangal"/>
                <w:b/>
                <w:i/>
                <w:lang w:eastAsia="en-US"/>
              </w:rPr>
              <w:tab/>
              <w:t>Države članice izvajajo preglede, da zagotovijo izpolnjevanje pogojev iz odstavka 3, in razveljavijo pravila iz odstavka 1, če pristojni nacionalni organi ugotovijo neizpolnjevanje teh pogojev.</w:t>
            </w:r>
          </w:p>
        </w:tc>
      </w:tr>
      <w:tr w:rsidR="006F5BFE" w:rsidRPr="003B2277" w14:paraId="6126B592" w14:textId="77777777" w:rsidTr="005B4D60">
        <w:trPr>
          <w:jc w:val="center"/>
        </w:trPr>
        <w:tc>
          <w:tcPr>
            <w:tcW w:w="4876" w:type="dxa"/>
          </w:tcPr>
          <w:p w14:paraId="1AEC04D1" w14:textId="77777777" w:rsidR="006F5BFE" w:rsidRPr="003B2277" w:rsidRDefault="006F5BFE" w:rsidP="005B4D60">
            <w:pPr>
              <w:spacing w:after="120"/>
            </w:pPr>
          </w:p>
        </w:tc>
        <w:tc>
          <w:tcPr>
            <w:tcW w:w="4876" w:type="dxa"/>
            <w:hideMark/>
          </w:tcPr>
          <w:p w14:paraId="6B8179B3" w14:textId="77777777" w:rsidR="006F5BFE" w:rsidRPr="003B2277" w:rsidRDefault="006F5BFE" w:rsidP="005B4D60">
            <w:pPr>
              <w:spacing w:after="120"/>
              <w:rPr>
                <w:szCs w:val="24"/>
                <w:lang w:eastAsia="en-US"/>
              </w:rPr>
            </w:pPr>
            <w:r w:rsidRPr="003B2277">
              <w:rPr>
                <w:rFonts w:eastAsia="Calibri" w:cs="Mangal"/>
                <w:b/>
                <w:i/>
                <w:lang w:eastAsia="en-US"/>
              </w:rPr>
              <w:t>6.</w:t>
            </w:r>
            <w:r w:rsidRPr="003B2277">
              <w:rPr>
                <w:rFonts w:eastAsia="Calibri" w:cs="Mangal"/>
                <w:b/>
                <w:i/>
                <w:lang w:eastAsia="en-US"/>
              </w:rPr>
              <w:tab/>
              <w:t>Države članice nemudoma uradno obvestijo Komisijo o pravilih iz odstavka 1, ki so jih sprejele. Komisija druge države članice obvesti o vseh uradnih obvestilih o takih pravilih.</w:t>
            </w:r>
          </w:p>
        </w:tc>
      </w:tr>
      <w:tr w:rsidR="006F5BFE" w:rsidRPr="003B2277" w14:paraId="7C510E0B" w14:textId="77777777" w:rsidTr="005B4D60">
        <w:trPr>
          <w:jc w:val="center"/>
        </w:trPr>
        <w:tc>
          <w:tcPr>
            <w:tcW w:w="4876" w:type="dxa"/>
          </w:tcPr>
          <w:p w14:paraId="25109176" w14:textId="77777777" w:rsidR="006F5BFE" w:rsidRPr="003B2277" w:rsidRDefault="006F5BFE" w:rsidP="005B4D60">
            <w:pPr>
              <w:spacing w:after="120"/>
            </w:pPr>
          </w:p>
        </w:tc>
        <w:tc>
          <w:tcPr>
            <w:tcW w:w="4876" w:type="dxa"/>
            <w:hideMark/>
          </w:tcPr>
          <w:p w14:paraId="07A9132B" w14:textId="77777777" w:rsidR="006F5BFE" w:rsidRPr="003B2277" w:rsidRDefault="006F5BFE" w:rsidP="005B4D60">
            <w:pPr>
              <w:spacing w:after="120"/>
              <w:rPr>
                <w:szCs w:val="24"/>
                <w:lang w:eastAsia="en-US"/>
              </w:rPr>
            </w:pPr>
            <w:r w:rsidRPr="003B2277">
              <w:rPr>
                <w:rFonts w:eastAsia="Calibri" w:cs="Mangal"/>
                <w:b/>
                <w:i/>
                <w:lang w:eastAsia="en-US"/>
              </w:rPr>
              <w:t>7.</w:t>
            </w:r>
            <w:r w:rsidRPr="003B2277">
              <w:rPr>
                <w:rFonts w:eastAsia="Calibri" w:cs="Mangal"/>
                <w:b/>
                <w:i/>
                <w:lang w:eastAsia="en-US"/>
              </w:rPr>
              <w:tab/>
              <w:t>Komisija lahko kadar koli sprejme izvedbene akte, s katerimi zahteva, da država članica razveljavi pravila, ki jih je ta država članica določila v skladu z odstavkom 1, če Komisija ugotovi, da ta pravila niso v skladu s pogoji iz odstavka 3, da preprečujejo ali izkrivljajo konkurenco na precejšnjem delu notranjega trga ali da ogrožajo prosto trgovino ali doseganje ciljev iz člena 39 PDEU. Ti izvedbeni akti se sprejmejo brez uporabe postopka iz člena 229(2) ali (3) te uredbe.“</w:t>
            </w:r>
          </w:p>
        </w:tc>
      </w:tr>
    </w:tbl>
    <w:p w14:paraId="7E3342A8" w14:textId="77777777" w:rsidR="006F5BFE" w:rsidRPr="003B2277" w:rsidRDefault="006F5BFE" w:rsidP="006F5BFE">
      <w:pPr>
        <w:rPr>
          <w:lang w:eastAsia="en-US"/>
        </w:rPr>
      </w:pPr>
    </w:p>
    <w:p w14:paraId="100596A1" w14:textId="0AE24F61"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13424B43" w14:textId="6423D63F" w:rsidR="004E4D6B" w:rsidRPr="00EA7F25" w:rsidRDefault="008C7773" w:rsidP="004E4D6B">
      <w:pPr>
        <w:pStyle w:val="AmNumberTabs0"/>
      </w:pPr>
      <w:r>
        <w:t>Sprememba</w:t>
      </w:r>
      <w:r w:rsidR="004E4D6B" w:rsidRPr="00EA7F25">
        <w:tab/>
      </w:r>
      <w:r w:rsidR="004E4D6B" w:rsidRPr="00EA7F25">
        <w:tab/>
        <w:t>243</w:t>
      </w:r>
    </w:p>
    <w:p w14:paraId="714E1085" w14:textId="77777777" w:rsidR="004E4D6B" w:rsidRPr="00EA7F25" w:rsidRDefault="004E4D6B" w:rsidP="004E4D6B">
      <w:pPr>
        <w:pStyle w:val="NormalBold12b"/>
      </w:pPr>
      <w:r w:rsidRPr="00EA7F25">
        <w:t>Predlog uredbe</w:t>
      </w:r>
    </w:p>
    <w:p w14:paraId="5ADCAD95" w14:textId="577A8444" w:rsidR="004E4D6B" w:rsidRPr="00EA7F25" w:rsidRDefault="005B2BFC" w:rsidP="004E4D6B">
      <w:pPr>
        <w:pStyle w:val="NormalBold"/>
      </w:pPr>
      <w:r>
        <w:t>Člen 1 – odstavek 1 – točka 22 s</w:t>
      </w:r>
      <w:r w:rsidR="004E4D6B" w:rsidRPr="00EA7F25">
        <w:t xml:space="preserve"> (novo)</w:t>
      </w:r>
    </w:p>
    <w:p w14:paraId="5EFC234A" w14:textId="77777777" w:rsidR="004E4D6B" w:rsidRPr="00EA7F25" w:rsidRDefault="004E4D6B" w:rsidP="004E4D6B">
      <w:r w:rsidRPr="00EA7F25">
        <w:t>Uredba (EU) 1308/2013</w:t>
      </w:r>
    </w:p>
    <w:p w14:paraId="09E2B8E2" w14:textId="77777777" w:rsidR="004E4D6B" w:rsidRPr="00EA7F25" w:rsidRDefault="004E4D6B" w:rsidP="004E4D6B">
      <w:r w:rsidRPr="00EA7F25">
        <w:t>Člen 167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EA7F25" w14:paraId="53A18B17" w14:textId="77777777" w:rsidTr="00D056A8">
        <w:trPr>
          <w:jc w:val="center"/>
        </w:trPr>
        <w:tc>
          <w:tcPr>
            <w:tcW w:w="9752" w:type="dxa"/>
            <w:gridSpan w:val="2"/>
          </w:tcPr>
          <w:p w14:paraId="59DB7843" w14:textId="77777777" w:rsidR="004E4D6B" w:rsidRPr="00EA7F25" w:rsidRDefault="004E4D6B" w:rsidP="00D056A8">
            <w:pPr>
              <w:keepNext/>
            </w:pPr>
          </w:p>
        </w:tc>
      </w:tr>
      <w:tr w:rsidR="004E4D6B" w:rsidRPr="00EA7F25" w14:paraId="3394F0DA" w14:textId="77777777" w:rsidTr="00D056A8">
        <w:trPr>
          <w:jc w:val="center"/>
        </w:trPr>
        <w:tc>
          <w:tcPr>
            <w:tcW w:w="4876" w:type="dxa"/>
          </w:tcPr>
          <w:p w14:paraId="7761C8A5" w14:textId="77777777" w:rsidR="004E4D6B" w:rsidRPr="00EA7F25" w:rsidRDefault="004E4D6B" w:rsidP="00D056A8">
            <w:pPr>
              <w:pStyle w:val="AmColumnHeading"/>
              <w:keepNext/>
            </w:pPr>
            <w:r w:rsidRPr="00EA7F25">
              <w:t>Veljavno besedilo</w:t>
            </w:r>
          </w:p>
        </w:tc>
        <w:tc>
          <w:tcPr>
            <w:tcW w:w="4876" w:type="dxa"/>
          </w:tcPr>
          <w:p w14:paraId="7D5B533B" w14:textId="04DF4563" w:rsidR="004E4D6B" w:rsidRPr="00EA7F25" w:rsidRDefault="008C7773" w:rsidP="00D056A8">
            <w:pPr>
              <w:pStyle w:val="AmColumnHeading"/>
              <w:keepNext/>
            </w:pPr>
            <w:r>
              <w:t>Sprememba</w:t>
            </w:r>
          </w:p>
        </w:tc>
      </w:tr>
      <w:tr w:rsidR="004E4D6B" w:rsidRPr="00EA7F25" w14:paraId="52CB5184" w14:textId="77777777" w:rsidTr="00D056A8">
        <w:trPr>
          <w:jc w:val="center"/>
        </w:trPr>
        <w:tc>
          <w:tcPr>
            <w:tcW w:w="4876" w:type="dxa"/>
          </w:tcPr>
          <w:p w14:paraId="73E89CC1" w14:textId="77777777" w:rsidR="004E4D6B" w:rsidRPr="00EA7F25" w:rsidRDefault="004E4D6B" w:rsidP="00D056A8">
            <w:pPr>
              <w:pStyle w:val="Normal6"/>
            </w:pPr>
          </w:p>
        </w:tc>
        <w:tc>
          <w:tcPr>
            <w:tcW w:w="4876" w:type="dxa"/>
          </w:tcPr>
          <w:p w14:paraId="3DD295D8" w14:textId="576CA9F1" w:rsidR="004E4D6B" w:rsidRPr="00EA7F25" w:rsidRDefault="005B2BFC" w:rsidP="00D056A8">
            <w:pPr>
              <w:pStyle w:val="Normal6"/>
              <w:rPr>
                <w:szCs w:val="24"/>
              </w:rPr>
            </w:pPr>
            <w:r>
              <w:rPr>
                <w:b/>
                <w:i/>
              </w:rPr>
              <w:t>(22s</w:t>
            </w:r>
            <w:r w:rsidR="004E4D6B" w:rsidRPr="00EA7F25">
              <w:rPr>
                <w:b/>
                <w:i/>
              </w:rPr>
              <w:t>)</w:t>
            </w:r>
            <w:r w:rsidR="004E4D6B" w:rsidRPr="00EA7F25">
              <w:rPr>
                <w:b/>
                <w:i/>
              </w:rPr>
              <w:tab/>
              <w:t>Člen 167 se nadomesti z naslednjim:</w:t>
            </w:r>
          </w:p>
        </w:tc>
      </w:tr>
      <w:tr w:rsidR="004E4D6B" w:rsidRPr="00EA7F25" w14:paraId="4B081D0E" w14:textId="77777777" w:rsidTr="00D056A8">
        <w:trPr>
          <w:jc w:val="center"/>
        </w:trPr>
        <w:tc>
          <w:tcPr>
            <w:tcW w:w="4876" w:type="dxa"/>
          </w:tcPr>
          <w:p w14:paraId="5D030AD2" w14:textId="77777777" w:rsidR="004E4D6B" w:rsidRPr="00EA7F25" w:rsidRDefault="004E4D6B" w:rsidP="00D056A8">
            <w:pPr>
              <w:pStyle w:val="Normal6"/>
              <w:jc w:val="center"/>
            </w:pPr>
            <w:r w:rsidRPr="00EA7F25">
              <w:t>Člen 167</w:t>
            </w:r>
          </w:p>
        </w:tc>
        <w:tc>
          <w:tcPr>
            <w:tcW w:w="4876" w:type="dxa"/>
          </w:tcPr>
          <w:p w14:paraId="58C2FA45" w14:textId="77777777" w:rsidR="004E4D6B" w:rsidRPr="00EA7F25" w:rsidRDefault="004E4D6B" w:rsidP="00D056A8">
            <w:pPr>
              <w:pStyle w:val="Normal6"/>
              <w:rPr>
                <w:szCs w:val="24"/>
              </w:rPr>
            </w:pPr>
            <w:r w:rsidRPr="00EA7F25">
              <w:t>„Člen 167</w:t>
            </w:r>
          </w:p>
        </w:tc>
      </w:tr>
      <w:tr w:rsidR="004E4D6B" w:rsidRPr="00EA7F25" w14:paraId="53DBE0E5" w14:textId="77777777" w:rsidTr="00D056A8">
        <w:trPr>
          <w:jc w:val="center"/>
        </w:trPr>
        <w:tc>
          <w:tcPr>
            <w:tcW w:w="4876" w:type="dxa"/>
          </w:tcPr>
          <w:p w14:paraId="114F82D2" w14:textId="77777777" w:rsidR="004E4D6B" w:rsidRPr="00EA7F25" w:rsidRDefault="004E4D6B" w:rsidP="00D056A8">
            <w:pPr>
              <w:pStyle w:val="Normal6"/>
            </w:pPr>
            <w:r w:rsidRPr="00EA7F25">
              <w:t>Pravila trženja za boljše in stabilnejše delovanje skupnega trga za vino</w:t>
            </w:r>
          </w:p>
        </w:tc>
        <w:tc>
          <w:tcPr>
            <w:tcW w:w="4876" w:type="dxa"/>
          </w:tcPr>
          <w:p w14:paraId="325A78DF" w14:textId="77777777" w:rsidR="004E4D6B" w:rsidRPr="00EA7F25" w:rsidRDefault="004E4D6B" w:rsidP="00D056A8">
            <w:pPr>
              <w:pStyle w:val="Normal6"/>
              <w:rPr>
                <w:szCs w:val="24"/>
              </w:rPr>
            </w:pPr>
            <w:r w:rsidRPr="00EA7F25">
              <w:t>Pravila trženja za boljše in stabilnejše delovanje skupnega trga za vino</w:t>
            </w:r>
          </w:p>
        </w:tc>
      </w:tr>
      <w:tr w:rsidR="004E4D6B" w:rsidRPr="00EA7F25" w14:paraId="2FC9C6CF" w14:textId="77777777" w:rsidTr="00D056A8">
        <w:trPr>
          <w:jc w:val="center"/>
        </w:trPr>
        <w:tc>
          <w:tcPr>
            <w:tcW w:w="4876" w:type="dxa"/>
          </w:tcPr>
          <w:p w14:paraId="354FA1E2" w14:textId="77777777" w:rsidR="004E4D6B" w:rsidRPr="00EA7F25" w:rsidRDefault="004E4D6B" w:rsidP="00D056A8">
            <w:pPr>
              <w:pStyle w:val="Normal6"/>
            </w:pPr>
            <w:r w:rsidRPr="00EA7F25">
              <w:t>1.</w:t>
            </w:r>
            <w:r w:rsidRPr="00EA7F25">
              <w:tab/>
              <w:t xml:space="preserve">Države članice pridelovalke lahko za boljše in stabilnejše delovanje skupnega trga za vino, vključno z grozdjem, moštom in vinom, iz katerih se to vino pridobiva, zlasti s sklepi, ki jih sprejmejo medpanožne organizacije, priznane v skladu s členoma </w:t>
            </w:r>
            <w:r w:rsidRPr="00EA7F25">
              <w:rPr>
                <w:b/>
                <w:i/>
              </w:rPr>
              <w:t>157</w:t>
            </w:r>
            <w:r w:rsidRPr="00EA7F25">
              <w:t xml:space="preserve"> in 158, določijo pravila trženja za urejanje ponudbe.</w:t>
            </w:r>
          </w:p>
        </w:tc>
        <w:tc>
          <w:tcPr>
            <w:tcW w:w="4876" w:type="dxa"/>
          </w:tcPr>
          <w:p w14:paraId="4B023C22" w14:textId="77777777" w:rsidR="004E4D6B" w:rsidRPr="00EA7F25" w:rsidRDefault="004E4D6B" w:rsidP="00D056A8">
            <w:pPr>
              <w:pStyle w:val="Normal6"/>
              <w:rPr>
                <w:szCs w:val="24"/>
              </w:rPr>
            </w:pPr>
            <w:r w:rsidRPr="00EA7F25">
              <w:t>1.</w:t>
            </w:r>
            <w:r w:rsidRPr="00EA7F25">
              <w:tab/>
              <w:t xml:space="preserve">Države članice pridelovalke lahko za boljše in stabilnejše delovanje skupnega trga za vino, vključno z grozdjem, moštom in vinom, iz katerih se to vino pridobiva, zlasti s sklepi, ki jih sprejmejo medpanožne organizacije, priznane v skladu s členoma </w:t>
            </w:r>
            <w:r w:rsidRPr="00EA7F25">
              <w:rPr>
                <w:b/>
                <w:i/>
              </w:rPr>
              <w:t>163a</w:t>
            </w:r>
            <w:r w:rsidRPr="00EA7F25">
              <w:t xml:space="preserve"> in 158, določijo pravila trženja za urejanje ponudbe.</w:t>
            </w:r>
          </w:p>
        </w:tc>
      </w:tr>
      <w:tr w:rsidR="004E4D6B" w:rsidRPr="00EA7F25" w14:paraId="6B5F41DF" w14:textId="77777777" w:rsidTr="00D056A8">
        <w:trPr>
          <w:jc w:val="center"/>
        </w:trPr>
        <w:tc>
          <w:tcPr>
            <w:tcW w:w="4876" w:type="dxa"/>
          </w:tcPr>
          <w:p w14:paraId="6ADCC099" w14:textId="77777777" w:rsidR="004E4D6B" w:rsidRPr="00EA7F25" w:rsidRDefault="004E4D6B" w:rsidP="00D056A8">
            <w:pPr>
              <w:pStyle w:val="Normal6"/>
            </w:pPr>
            <w:r w:rsidRPr="00EA7F25">
              <w:t>Takšna pravila morajo biti sorazmerna z zastavljenim ciljem in ne smejo:</w:t>
            </w:r>
          </w:p>
        </w:tc>
        <w:tc>
          <w:tcPr>
            <w:tcW w:w="4876" w:type="dxa"/>
          </w:tcPr>
          <w:p w14:paraId="31D59FC6" w14:textId="77777777" w:rsidR="004E4D6B" w:rsidRPr="00EA7F25" w:rsidRDefault="004E4D6B" w:rsidP="00D056A8">
            <w:pPr>
              <w:pStyle w:val="Normal6"/>
              <w:rPr>
                <w:szCs w:val="24"/>
              </w:rPr>
            </w:pPr>
            <w:r w:rsidRPr="00EA7F25">
              <w:t>Takšna pravila morajo biti sorazmerna z zastavljenim ciljem in ne smejo:</w:t>
            </w:r>
          </w:p>
        </w:tc>
      </w:tr>
      <w:tr w:rsidR="004E4D6B" w:rsidRPr="00EA7F25" w14:paraId="66DB7C88" w14:textId="77777777" w:rsidTr="00D056A8">
        <w:trPr>
          <w:jc w:val="center"/>
        </w:trPr>
        <w:tc>
          <w:tcPr>
            <w:tcW w:w="4876" w:type="dxa"/>
          </w:tcPr>
          <w:p w14:paraId="406F0B23" w14:textId="77777777" w:rsidR="004E4D6B" w:rsidRPr="00EA7F25" w:rsidRDefault="004E4D6B" w:rsidP="00D056A8">
            <w:pPr>
              <w:pStyle w:val="Normal6"/>
            </w:pPr>
            <w:r w:rsidRPr="00EA7F25">
              <w:t>(a)</w:t>
            </w:r>
            <w:r w:rsidRPr="00EA7F25">
              <w:tab/>
              <w:t>zadevati poslov po prvem trženju zadevnega proizvoda;</w:t>
            </w:r>
          </w:p>
        </w:tc>
        <w:tc>
          <w:tcPr>
            <w:tcW w:w="4876" w:type="dxa"/>
          </w:tcPr>
          <w:p w14:paraId="7F0B12C1" w14:textId="77777777" w:rsidR="004E4D6B" w:rsidRPr="00EA7F25" w:rsidRDefault="004E4D6B" w:rsidP="00D056A8">
            <w:pPr>
              <w:pStyle w:val="Normal6"/>
              <w:rPr>
                <w:szCs w:val="24"/>
              </w:rPr>
            </w:pPr>
            <w:r w:rsidRPr="00EA7F25">
              <w:t>(a)</w:t>
            </w:r>
            <w:r w:rsidRPr="00EA7F25">
              <w:tab/>
              <w:t>zadevati poslov po prvem trženju zadevnega proizvoda;</w:t>
            </w:r>
          </w:p>
        </w:tc>
      </w:tr>
      <w:tr w:rsidR="004E4D6B" w:rsidRPr="00EA7F25" w14:paraId="0BF3A7CC" w14:textId="77777777" w:rsidTr="00D056A8">
        <w:trPr>
          <w:jc w:val="center"/>
        </w:trPr>
        <w:tc>
          <w:tcPr>
            <w:tcW w:w="4876" w:type="dxa"/>
          </w:tcPr>
          <w:p w14:paraId="0D456884" w14:textId="77777777" w:rsidR="004E4D6B" w:rsidRPr="00EA7F25" w:rsidRDefault="004E4D6B" w:rsidP="00D056A8">
            <w:pPr>
              <w:pStyle w:val="Normal6"/>
            </w:pPr>
            <w:r w:rsidRPr="00EA7F25">
              <w:t>(b)</w:t>
            </w:r>
            <w:r w:rsidRPr="00EA7F25">
              <w:tab/>
              <w:t>omogočati določanja cen, vključno z okvirnimi ali priporočenimi cenami;</w:t>
            </w:r>
          </w:p>
        </w:tc>
        <w:tc>
          <w:tcPr>
            <w:tcW w:w="4876" w:type="dxa"/>
          </w:tcPr>
          <w:p w14:paraId="3AC75423" w14:textId="77777777" w:rsidR="004E4D6B" w:rsidRPr="00EA7F25" w:rsidRDefault="004E4D6B" w:rsidP="00D056A8">
            <w:pPr>
              <w:pStyle w:val="Normal6"/>
              <w:rPr>
                <w:szCs w:val="24"/>
              </w:rPr>
            </w:pPr>
            <w:r w:rsidRPr="00EA7F25">
              <w:t>(b)</w:t>
            </w:r>
            <w:r w:rsidRPr="00EA7F25">
              <w:tab/>
              <w:t>omogočati določanja cen, vključno z okvirnimi ali priporočenimi cenami;</w:t>
            </w:r>
          </w:p>
        </w:tc>
      </w:tr>
      <w:tr w:rsidR="004E4D6B" w:rsidRPr="00EA7F25" w14:paraId="03FF38CB" w14:textId="77777777" w:rsidTr="00D056A8">
        <w:trPr>
          <w:jc w:val="center"/>
        </w:trPr>
        <w:tc>
          <w:tcPr>
            <w:tcW w:w="4876" w:type="dxa"/>
          </w:tcPr>
          <w:p w14:paraId="1D78F1DD" w14:textId="77777777" w:rsidR="004E4D6B" w:rsidRPr="00EA7F25" w:rsidRDefault="004E4D6B" w:rsidP="00D056A8">
            <w:pPr>
              <w:pStyle w:val="Normal6"/>
            </w:pPr>
            <w:r w:rsidRPr="00EA7F25">
              <w:t>(c)</w:t>
            </w:r>
            <w:r w:rsidRPr="00EA7F25">
              <w:tab/>
              <w:t>omogočati zadrževanja prevelikega deleža letnega pridelka, ki bi sicer bil na voljo;</w:t>
            </w:r>
          </w:p>
        </w:tc>
        <w:tc>
          <w:tcPr>
            <w:tcW w:w="4876" w:type="dxa"/>
          </w:tcPr>
          <w:p w14:paraId="43E359F7" w14:textId="77777777" w:rsidR="004E4D6B" w:rsidRPr="00EA7F25" w:rsidRDefault="004E4D6B" w:rsidP="00D056A8">
            <w:pPr>
              <w:pStyle w:val="Normal6"/>
              <w:rPr>
                <w:szCs w:val="24"/>
              </w:rPr>
            </w:pPr>
            <w:r w:rsidRPr="00EA7F25">
              <w:t>(c)</w:t>
            </w:r>
            <w:r w:rsidRPr="00EA7F25">
              <w:tab/>
              <w:t>omogočati zadrževanja prevelikega deleža letnega pridelka, ki bi sicer bil na voljo;</w:t>
            </w:r>
          </w:p>
        </w:tc>
      </w:tr>
      <w:tr w:rsidR="004E4D6B" w:rsidRPr="00EA7F25" w14:paraId="61BF4948" w14:textId="77777777" w:rsidTr="00D056A8">
        <w:trPr>
          <w:jc w:val="center"/>
        </w:trPr>
        <w:tc>
          <w:tcPr>
            <w:tcW w:w="4876" w:type="dxa"/>
          </w:tcPr>
          <w:p w14:paraId="713271F9" w14:textId="77777777" w:rsidR="004E4D6B" w:rsidRPr="00EA7F25" w:rsidRDefault="004E4D6B" w:rsidP="00D056A8">
            <w:pPr>
              <w:pStyle w:val="Normal6"/>
            </w:pPr>
            <w:r w:rsidRPr="00EA7F25">
              <w:t>(d)</w:t>
            </w:r>
            <w:r w:rsidRPr="00EA7F25">
              <w:tab/>
              <w:t>omogočati zavrnitve izdaje nacionalnih potrdil in potrdil Unije, ki so potrebna za promet in trženje vina, kadar je tako trženje v skladu z navedenimi pravili.</w:t>
            </w:r>
          </w:p>
        </w:tc>
        <w:tc>
          <w:tcPr>
            <w:tcW w:w="4876" w:type="dxa"/>
          </w:tcPr>
          <w:p w14:paraId="374B606F" w14:textId="77777777" w:rsidR="004E4D6B" w:rsidRPr="00EA7F25" w:rsidRDefault="004E4D6B" w:rsidP="00D056A8">
            <w:pPr>
              <w:pStyle w:val="Normal6"/>
              <w:rPr>
                <w:szCs w:val="24"/>
              </w:rPr>
            </w:pPr>
            <w:r w:rsidRPr="00EA7F25">
              <w:t>(d)</w:t>
            </w:r>
            <w:r w:rsidRPr="00EA7F25">
              <w:tab/>
              <w:t>omogočati zavrnitve izdaje nacionalnih potrdil in potrdil Unije, ki so potrebna za promet in trženje vina, kadar je tako trženje v skladu z navedenimi pravili.</w:t>
            </w:r>
          </w:p>
        </w:tc>
      </w:tr>
      <w:tr w:rsidR="004E4D6B" w:rsidRPr="00EA7F25" w14:paraId="6E69E553" w14:textId="77777777" w:rsidTr="00D056A8">
        <w:trPr>
          <w:jc w:val="center"/>
        </w:trPr>
        <w:tc>
          <w:tcPr>
            <w:tcW w:w="4876" w:type="dxa"/>
          </w:tcPr>
          <w:p w14:paraId="026B2986" w14:textId="77777777" w:rsidR="004E4D6B" w:rsidRPr="00EA7F25" w:rsidRDefault="004E4D6B" w:rsidP="00D056A8">
            <w:pPr>
              <w:pStyle w:val="Normal6"/>
            </w:pPr>
            <w:r w:rsidRPr="00EA7F25">
              <w:t>2.</w:t>
            </w:r>
            <w:r w:rsidRPr="00EA7F25">
              <w:tab/>
              <w:t>Pravila iz odstavka 1 se v celoti objavijo v uradni publikaciji zadevne države članice, tako da so izvajalci o njih obveščeni.</w:t>
            </w:r>
          </w:p>
        </w:tc>
        <w:tc>
          <w:tcPr>
            <w:tcW w:w="4876" w:type="dxa"/>
          </w:tcPr>
          <w:p w14:paraId="6424AF67" w14:textId="77777777" w:rsidR="004E4D6B" w:rsidRPr="00EA7F25" w:rsidRDefault="004E4D6B" w:rsidP="00D056A8">
            <w:pPr>
              <w:pStyle w:val="Normal6"/>
              <w:rPr>
                <w:szCs w:val="24"/>
              </w:rPr>
            </w:pPr>
            <w:r w:rsidRPr="00EA7F25">
              <w:t>2.</w:t>
            </w:r>
            <w:r w:rsidRPr="00EA7F25">
              <w:tab/>
              <w:t>Pravila iz odstavka 1 se v celoti objavijo v uradni publikaciji zadevne države članice, tako da so izvajalci o njih obveščeni.</w:t>
            </w:r>
          </w:p>
        </w:tc>
      </w:tr>
      <w:tr w:rsidR="004E4D6B" w:rsidRPr="00EA7F25" w14:paraId="2240BDAD" w14:textId="77777777" w:rsidTr="00D056A8">
        <w:trPr>
          <w:jc w:val="center"/>
        </w:trPr>
        <w:tc>
          <w:tcPr>
            <w:tcW w:w="4876" w:type="dxa"/>
          </w:tcPr>
          <w:p w14:paraId="6F8F8900" w14:textId="77777777" w:rsidR="004E4D6B" w:rsidRPr="00EA7F25" w:rsidRDefault="004E4D6B" w:rsidP="00D056A8">
            <w:pPr>
              <w:pStyle w:val="Normal6"/>
            </w:pPr>
            <w:r w:rsidRPr="00EA7F25">
              <w:t>3.</w:t>
            </w:r>
            <w:r w:rsidRPr="00EA7F25">
              <w:tab/>
              <w:t>Države članice uradno obvestijo Komisijo o vsaki odločitvi, sprejeti na podlagi tega člena.</w:t>
            </w:r>
          </w:p>
        </w:tc>
        <w:tc>
          <w:tcPr>
            <w:tcW w:w="4876" w:type="dxa"/>
          </w:tcPr>
          <w:p w14:paraId="7087BBE9" w14:textId="77777777" w:rsidR="004E4D6B" w:rsidRPr="00EA7F25" w:rsidRDefault="004E4D6B" w:rsidP="00D056A8">
            <w:pPr>
              <w:pStyle w:val="Normal6"/>
              <w:rPr>
                <w:szCs w:val="24"/>
              </w:rPr>
            </w:pPr>
            <w:r w:rsidRPr="00EA7F25">
              <w:t>3.</w:t>
            </w:r>
            <w:r w:rsidRPr="00EA7F25">
              <w:tab/>
              <w:t>Države članice uradno obvestijo Komisijo o vsaki odločitvi, sprejeti na podlagi tega člena.</w:t>
            </w:r>
            <w:r w:rsidRPr="00EA7F25">
              <w:rPr>
                <w:b/>
                <w:i/>
              </w:rPr>
              <w:t>“</w:t>
            </w:r>
          </w:p>
        </w:tc>
      </w:tr>
    </w:tbl>
    <w:p w14:paraId="270C05AB" w14:textId="77777777"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0F91255D" w14:textId="1A60D62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125</w:t>
      </w:r>
    </w:p>
    <w:p w14:paraId="4E531DDA" w14:textId="77777777" w:rsidR="006F5BFE" w:rsidRPr="003B2277" w:rsidRDefault="006F5BFE" w:rsidP="006F5BFE">
      <w:pPr>
        <w:spacing w:before="240"/>
        <w:rPr>
          <w:b/>
          <w:lang w:eastAsia="en-US"/>
        </w:rPr>
      </w:pPr>
      <w:r w:rsidRPr="003B2277">
        <w:rPr>
          <w:rFonts w:eastAsia="Calibri" w:cs="Mangal"/>
          <w:b/>
          <w:lang w:eastAsia="en-US"/>
        </w:rPr>
        <w:t>Predlog uredbe</w:t>
      </w:r>
    </w:p>
    <w:p w14:paraId="65AD0F75" w14:textId="71183EC5"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t</w:t>
      </w:r>
      <w:r w:rsidRPr="003B2277">
        <w:rPr>
          <w:rFonts w:eastAsia="Calibri" w:cs="Mangal"/>
          <w:b/>
          <w:lang w:eastAsia="en-US"/>
        </w:rPr>
        <w:t xml:space="preserve"> (novo)</w:t>
      </w:r>
    </w:p>
    <w:p w14:paraId="3B36DE7C" w14:textId="77777777" w:rsidR="006F5BFE" w:rsidRPr="003B2277" w:rsidRDefault="006F5BFE" w:rsidP="006F5BFE">
      <w:pPr>
        <w:keepNext/>
        <w:rPr>
          <w:lang w:eastAsia="en-US"/>
        </w:rPr>
      </w:pPr>
      <w:r w:rsidRPr="003B2277">
        <w:rPr>
          <w:rFonts w:eastAsia="Calibri" w:cs="Mangal"/>
          <w:lang w:eastAsia="en-US"/>
        </w:rPr>
        <w:t>Uredba (EU) št. 1308/2013</w:t>
      </w:r>
    </w:p>
    <w:p w14:paraId="430212DD" w14:textId="77777777" w:rsidR="006F5BFE" w:rsidRPr="003B2277" w:rsidRDefault="006F5BFE" w:rsidP="006F5BFE">
      <w:pPr>
        <w:rPr>
          <w:lang w:eastAsia="en-US"/>
        </w:rPr>
      </w:pPr>
      <w:r w:rsidRPr="003B2277">
        <w:rPr>
          <w:rFonts w:eastAsia="Calibri" w:cs="Mangal"/>
          <w:lang w:eastAsia="en-US"/>
        </w:rPr>
        <w:t>Člen 167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D25F0E" w14:textId="77777777" w:rsidTr="005B4D60">
        <w:trPr>
          <w:jc w:val="center"/>
        </w:trPr>
        <w:tc>
          <w:tcPr>
            <w:tcW w:w="9752" w:type="dxa"/>
            <w:gridSpan w:val="2"/>
          </w:tcPr>
          <w:p w14:paraId="419A7DA1" w14:textId="77777777" w:rsidR="006F5BFE" w:rsidRPr="003B2277" w:rsidRDefault="006F5BFE" w:rsidP="005B4D60">
            <w:pPr>
              <w:keepNext/>
            </w:pPr>
          </w:p>
        </w:tc>
      </w:tr>
      <w:tr w:rsidR="006F5BFE" w:rsidRPr="003B2277" w14:paraId="2020F0AF" w14:textId="77777777" w:rsidTr="005B4D60">
        <w:trPr>
          <w:jc w:val="center"/>
        </w:trPr>
        <w:tc>
          <w:tcPr>
            <w:tcW w:w="4876" w:type="dxa"/>
            <w:hideMark/>
          </w:tcPr>
          <w:p w14:paraId="4795868F"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E57FA0F" w14:textId="702237A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21832A6" w14:textId="77777777" w:rsidTr="005B4D60">
        <w:trPr>
          <w:jc w:val="center"/>
        </w:trPr>
        <w:tc>
          <w:tcPr>
            <w:tcW w:w="4876" w:type="dxa"/>
          </w:tcPr>
          <w:p w14:paraId="2ABE3E3F" w14:textId="77777777" w:rsidR="006F5BFE" w:rsidRPr="003B2277" w:rsidRDefault="006F5BFE" w:rsidP="005B4D60">
            <w:pPr>
              <w:spacing w:after="120"/>
            </w:pPr>
          </w:p>
        </w:tc>
        <w:tc>
          <w:tcPr>
            <w:tcW w:w="4876" w:type="dxa"/>
            <w:hideMark/>
          </w:tcPr>
          <w:p w14:paraId="5F66B41A" w14:textId="4A2CFD28"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t</w:t>
            </w:r>
            <w:r w:rsidRPr="003B2277">
              <w:rPr>
                <w:rFonts w:eastAsia="Calibri" w:cs="Mangal"/>
                <w:b/>
                <w:i/>
                <w:lang w:eastAsia="en-US"/>
              </w:rPr>
              <w:t>)</w:t>
            </w:r>
            <w:r w:rsidRPr="003B2277">
              <w:rPr>
                <w:rFonts w:eastAsia="Calibri" w:cs="Mangal"/>
                <w:b/>
                <w:i/>
                <w:lang w:eastAsia="en-US"/>
              </w:rPr>
              <w:tab/>
              <w:t>v oddelku 4 poglavja III naslova II se vstavi naslednji člen:</w:t>
            </w:r>
          </w:p>
        </w:tc>
      </w:tr>
      <w:tr w:rsidR="006F5BFE" w:rsidRPr="003B2277" w14:paraId="617E44AB" w14:textId="77777777" w:rsidTr="005B4D60">
        <w:trPr>
          <w:jc w:val="center"/>
        </w:trPr>
        <w:tc>
          <w:tcPr>
            <w:tcW w:w="4876" w:type="dxa"/>
          </w:tcPr>
          <w:p w14:paraId="755BBEAD" w14:textId="77777777" w:rsidR="006F5BFE" w:rsidRPr="003B2277" w:rsidRDefault="006F5BFE" w:rsidP="005B4D60">
            <w:pPr>
              <w:spacing w:after="120"/>
            </w:pPr>
          </w:p>
        </w:tc>
        <w:tc>
          <w:tcPr>
            <w:tcW w:w="4876" w:type="dxa"/>
          </w:tcPr>
          <w:p w14:paraId="5BAEF1C7" w14:textId="77777777" w:rsidR="006F5BFE" w:rsidRPr="003B2277" w:rsidRDefault="006F5BFE" w:rsidP="005B4D60">
            <w:pPr>
              <w:spacing w:after="120"/>
              <w:rPr>
                <w:b/>
                <w:i/>
                <w:lang w:eastAsia="en-US"/>
              </w:rPr>
            </w:pPr>
            <w:r w:rsidRPr="003B2277">
              <w:rPr>
                <w:rFonts w:eastAsia="Calibri" w:cs="Mangal"/>
                <w:b/>
                <w:i/>
                <w:lang w:eastAsia="en-US"/>
              </w:rPr>
              <w:t>Člen 167a</w:t>
            </w:r>
          </w:p>
        </w:tc>
      </w:tr>
      <w:tr w:rsidR="006F5BFE" w:rsidRPr="003B2277" w14:paraId="0535287F" w14:textId="77777777" w:rsidTr="005B4D60">
        <w:trPr>
          <w:jc w:val="center"/>
        </w:trPr>
        <w:tc>
          <w:tcPr>
            <w:tcW w:w="4876" w:type="dxa"/>
          </w:tcPr>
          <w:p w14:paraId="441D4B1B" w14:textId="77777777" w:rsidR="006F5BFE" w:rsidRPr="003B2277" w:rsidRDefault="006F5BFE" w:rsidP="005B4D60">
            <w:pPr>
              <w:spacing w:after="120"/>
            </w:pPr>
          </w:p>
        </w:tc>
        <w:tc>
          <w:tcPr>
            <w:tcW w:w="4876" w:type="dxa"/>
            <w:hideMark/>
          </w:tcPr>
          <w:p w14:paraId="32D735BB" w14:textId="77777777" w:rsidR="006F5BFE" w:rsidRPr="003B2277" w:rsidRDefault="006F5BFE" w:rsidP="005B4D60">
            <w:pPr>
              <w:spacing w:after="120"/>
              <w:rPr>
                <w:szCs w:val="24"/>
                <w:lang w:eastAsia="en-US"/>
              </w:rPr>
            </w:pPr>
            <w:r w:rsidRPr="003B2277">
              <w:rPr>
                <w:rFonts w:eastAsia="Calibri" w:cs="Mangal"/>
                <w:b/>
                <w:i/>
                <w:lang w:eastAsia="en-US"/>
              </w:rPr>
              <w:t>„Pravila trženja za boljše in stabilnejše delovanje skupnega trga za oljčno olje</w:t>
            </w:r>
          </w:p>
        </w:tc>
      </w:tr>
      <w:tr w:rsidR="006F5BFE" w:rsidRPr="003B2277" w14:paraId="10B7D45B" w14:textId="77777777" w:rsidTr="005B4D60">
        <w:trPr>
          <w:jc w:val="center"/>
        </w:trPr>
        <w:tc>
          <w:tcPr>
            <w:tcW w:w="4876" w:type="dxa"/>
          </w:tcPr>
          <w:p w14:paraId="635F3047" w14:textId="77777777" w:rsidR="006F5BFE" w:rsidRPr="003B2277" w:rsidRDefault="006F5BFE" w:rsidP="005B4D60">
            <w:pPr>
              <w:spacing w:after="120"/>
            </w:pPr>
          </w:p>
        </w:tc>
        <w:tc>
          <w:tcPr>
            <w:tcW w:w="4876" w:type="dxa"/>
            <w:hideMark/>
          </w:tcPr>
          <w:p w14:paraId="55CC1112"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Države članice proizvajalke lahko za boljše in stabilnejše delovanje skupnega trga v sektorju oljčnega olja določijo pravila trženja za urejanje ponudbe.</w:t>
            </w:r>
          </w:p>
        </w:tc>
      </w:tr>
      <w:tr w:rsidR="006F5BFE" w:rsidRPr="003B2277" w14:paraId="2CDB6B91" w14:textId="77777777" w:rsidTr="005B4D60">
        <w:trPr>
          <w:jc w:val="center"/>
        </w:trPr>
        <w:tc>
          <w:tcPr>
            <w:tcW w:w="4876" w:type="dxa"/>
          </w:tcPr>
          <w:p w14:paraId="775A615A" w14:textId="77777777" w:rsidR="006F5BFE" w:rsidRPr="003B2277" w:rsidRDefault="006F5BFE" w:rsidP="005B4D60">
            <w:pPr>
              <w:spacing w:after="120"/>
            </w:pPr>
          </w:p>
        </w:tc>
        <w:tc>
          <w:tcPr>
            <w:tcW w:w="4876" w:type="dxa"/>
            <w:hideMark/>
          </w:tcPr>
          <w:p w14:paraId="61559FAC" w14:textId="77777777" w:rsidR="006F5BFE" w:rsidRPr="003B2277" w:rsidRDefault="006F5BFE" w:rsidP="005B4D60">
            <w:pPr>
              <w:spacing w:after="120"/>
              <w:rPr>
                <w:szCs w:val="24"/>
                <w:lang w:eastAsia="en-US"/>
              </w:rPr>
            </w:pPr>
            <w:r w:rsidRPr="003B2277">
              <w:rPr>
                <w:rFonts w:eastAsia="Calibri" w:cs="Mangal"/>
                <w:b/>
                <w:i/>
                <w:lang w:eastAsia="en-US"/>
              </w:rPr>
              <w:t>Ta pravila so sorazmerna z zastavljenim ciljem in ne:</w:t>
            </w:r>
          </w:p>
        </w:tc>
      </w:tr>
      <w:tr w:rsidR="006F5BFE" w:rsidRPr="003B2277" w14:paraId="48427A9A" w14:textId="77777777" w:rsidTr="005B4D60">
        <w:trPr>
          <w:jc w:val="center"/>
        </w:trPr>
        <w:tc>
          <w:tcPr>
            <w:tcW w:w="4876" w:type="dxa"/>
          </w:tcPr>
          <w:p w14:paraId="78BA6A98" w14:textId="77777777" w:rsidR="006F5BFE" w:rsidRPr="003B2277" w:rsidRDefault="006F5BFE" w:rsidP="005B4D60">
            <w:pPr>
              <w:spacing w:after="120"/>
            </w:pPr>
          </w:p>
        </w:tc>
        <w:tc>
          <w:tcPr>
            <w:tcW w:w="4876" w:type="dxa"/>
            <w:hideMark/>
          </w:tcPr>
          <w:p w14:paraId="22985004" w14:textId="77777777" w:rsidR="006F5BFE" w:rsidRPr="003B2277" w:rsidRDefault="006F5BFE" w:rsidP="005B4D60">
            <w:pPr>
              <w:spacing w:after="120"/>
              <w:rPr>
                <w:szCs w:val="24"/>
                <w:lang w:eastAsia="en-US"/>
              </w:rPr>
            </w:pPr>
            <w:r w:rsidRPr="003B2277">
              <w:rPr>
                <w:rFonts w:eastAsia="Calibri" w:cs="Mangal"/>
                <w:b/>
                <w:i/>
                <w:lang w:eastAsia="en-US"/>
              </w:rPr>
              <w:t>(a) zadevajo poslov po prvem trženju zadevnega proizvoda;</w:t>
            </w:r>
          </w:p>
        </w:tc>
      </w:tr>
      <w:tr w:rsidR="006F5BFE" w:rsidRPr="003B2277" w14:paraId="72490C8B" w14:textId="77777777" w:rsidTr="005B4D60">
        <w:trPr>
          <w:jc w:val="center"/>
        </w:trPr>
        <w:tc>
          <w:tcPr>
            <w:tcW w:w="4876" w:type="dxa"/>
          </w:tcPr>
          <w:p w14:paraId="396634EC" w14:textId="77777777" w:rsidR="006F5BFE" w:rsidRPr="003B2277" w:rsidRDefault="006F5BFE" w:rsidP="005B4D60">
            <w:pPr>
              <w:spacing w:after="120"/>
            </w:pPr>
          </w:p>
        </w:tc>
        <w:tc>
          <w:tcPr>
            <w:tcW w:w="4876" w:type="dxa"/>
            <w:hideMark/>
          </w:tcPr>
          <w:p w14:paraId="21090672" w14:textId="77777777" w:rsidR="006F5BFE" w:rsidRPr="003B2277" w:rsidRDefault="006F5BFE" w:rsidP="005B4D60">
            <w:pPr>
              <w:spacing w:after="120"/>
              <w:rPr>
                <w:szCs w:val="24"/>
                <w:lang w:eastAsia="en-US"/>
              </w:rPr>
            </w:pPr>
            <w:r w:rsidRPr="003B2277">
              <w:rPr>
                <w:rFonts w:eastAsia="Calibri" w:cs="Mangal"/>
                <w:b/>
                <w:i/>
                <w:lang w:eastAsia="en-US"/>
              </w:rPr>
              <w:t>(b) omogočajo določanja cen, vključno z okvirnimi ali priporočenimi cenami;</w:t>
            </w:r>
          </w:p>
        </w:tc>
      </w:tr>
      <w:tr w:rsidR="006F5BFE" w:rsidRPr="003B2277" w14:paraId="79919898" w14:textId="77777777" w:rsidTr="005B4D60">
        <w:trPr>
          <w:jc w:val="center"/>
        </w:trPr>
        <w:tc>
          <w:tcPr>
            <w:tcW w:w="4876" w:type="dxa"/>
          </w:tcPr>
          <w:p w14:paraId="7773151F" w14:textId="77777777" w:rsidR="006F5BFE" w:rsidRPr="003B2277" w:rsidRDefault="006F5BFE" w:rsidP="005B4D60">
            <w:pPr>
              <w:spacing w:after="120"/>
            </w:pPr>
          </w:p>
        </w:tc>
        <w:tc>
          <w:tcPr>
            <w:tcW w:w="4876" w:type="dxa"/>
            <w:hideMark/>
          </w:tcPr>
          <w:p w14:paraId="14FE445E" w14:textId="77777777" w:rsidR="006F5BFE" w:rsidRPr="003B2277" w:rsidRDefault="006F5BFE" w:rsidP="005B4D60">
            <w:pPr>
              <w:spacing w:after="120"/>
              <w:rPr>
                <w:szCs w:val="24"/>
                <w:lang w:eastAsia="en-US"/>
              </w:rPr>
            </w:pPr>
            <w:r w:rsidRPr="003B2277">
              <w:rPr>
                <w:rFonts w:eastAsia="Calibri" w:cs="Mangal"/>
                <w:b/>
                <w:i/>
                <w:lang w:eastAsia="en-US"/>
              </w:rPr>
              <w:t>(c) omogočajo zadrževanja prevelikega deleža pridelka, ki bi sicer bil na voljo.</w:t>
            </w:r>
          </w:p>
        </w:tc>
      </w:tr>
      <w:tr w:rsidR="006F5BFE" w:rsidRPr="003B2277" w14:paraId="0E603877" w14:textId="77777777" w:rsidTr="005B4D60">
        <w:trPr>
          <w:jc w:val="center"/>
        </w:trPr>
        <w:tc>
          <w:tcPr>
            <w:tcW w:w="4876" w:type="dxa"/>
          </w:tcPr>
          <w:p w14:paraId="6198063D" w14:textId="77777777" w:rsidR="006F5BFE" w:rsidRPr="003B2277" w:rsidRDefault="006F5BFE" w:rsidP="005B4D60">
            <w:pPr>
              <w:spacing w:after="120"/>
            </w:pPr>
          </w:p>
        </w:tc>
        <w:tc>
          <w:tcPr>
            <w:tcW w:w="4876" w:type="dxa"/>
            <w:hideMark/>
          </w:tcPr>
          <w:p w14:paraId="2034384A"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Pravila iz odstavka 1 se v celoti objavijo v uradni publikaciji zadevne države članice, tako da so izvajalci o njih obveščeni.</w:t>
            </w:r>
          </w:p>
        </w:tc>
      </w:tr>
      <w:tr w:rsidR="006F5BFE" w:rsidRPr="003B2277" w14:paraId="27AA3337" w14:textId="77777777" w:rsidTr="005B4D60">
        <w:trPr>
          <w:jc w:val="center"/>
        </w:trPr>
        <w:tc>
          <w:tcPr>
            <w:tcW w:w="4876" w:type="dxa"/>
          </w:tcPr>
          <w:p w14:paraId="1C62EEF2" w14:textId="77777777" w:rsidR="006F5BFE" w:rsidRPr="003B2277" w:rsidRDefault="006F5BFE" w:rsidP="005B4D60">
            <w:pPr>
              <w:spacing w:after="120"/>
            </w:pPr>
          </w:p>
        </w:tc>
        <w:tc>
          <w:tcPr>
            <w:tcW w:w="4876" w:type="dxa"/>
            <w:hideMark/>
          </w:tcPr>
          <w:p w14:paraId="1A7578DB"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Države članice uradno obvestijo Komisijo o kakršnih koli odločitvah, sprejetih na podlagi tega člena.“;</w:t>
            </w:r>
          </w:p>
        </w:tc>
      </w:tr>
    </w:tbl>
    <w:p w14:paraId="3E86CEA5" w14:textId="6BBED58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126</w:t>
      </w:r>
    </w:p>
    <w:p w14:paraId="54B25BD8" w14:textId="77777777" w:rsidR="006F5BFE" w:rsidRPr="003B2277" w:rsidRDefault="006F5BFE" w:rsidP="006F5BFE"/>
    <w:p w14:paraId="597A4762" w14:textId="77777777" w:rsidR="006F5BFE" w:rsidRPr="003B2277" w:rsidRDefault="006F5BFE" w:rsidP="006F5BFE">
      <w:pPr>
        <w:keepNext/>
        <w:rPr>
          <w:b/>
          <w:lang w:eastAsia="en-US"/>
        </w:rPr>
      </w:pPr>
      <w:r w:rsidRPr="003B2277">
        <w:rPr>
          <w:rFonts w:eastAsia="Calibri" w:cs="Mangal"/>
          <w:b/>
          <w:lang w:eastAsia="en-US"/>
        </w:rPr>
        <w:t>Predlog uredbe</w:t>
      </w:r>
    </w:p>
    <w:p w14:paraId="4311533E" w14:textId="667E46E8"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u</w:t>
      </w:r>
      <w:r w:rsidRPr="003B2277">
        <w:rPr>
          <w:rFonts w:eastAsia="Calibri" w:cs="Mangal"/>
          <w:b/>
          <w:lang w:eastAsia="en-US"/>
        </w:rPr>
        <w:t xml:space="preserve"> (novo)</w:t>
      </w:r>
    </w:p>
    <w:p w14:paraId="0AB346CC" w14:textId="77777777" w:rsidR="006F5BFE" w:rsidRPr="003B2277" w:rsidRDefault="006F5BFE" w:rsidP="006F5BFE">
      <w:pPr>
        <w:keepNext/>
        <w:rPr>
          <w:lang w:eastAsia="en-US"/>
        </w:rPr>
      </w:pPr>
      <w:r w:rsidRPr="003B2277">
        <w:rPr>
          <w:rFonts w:eastAsia="Calibri" w:cs="Mangal"/>
          <w:lang w:eastAsia="en-US"/>
        </w:rPr>
        <w:t>Uredba (EU) št. 1308/2013</w:t>
      </w:r>
    </w:p>
    <w:p w14:paraId="1AAFA859" w14:textId="77777777" w:rsidR="006F5BFE" w:rsidRPr="003B2277" w:rsidRDefault="006F5BFE" w:rsidP="006F5BFE">
      <w:pPr>
        <w:rPr>
          <w:lang w:eastAsia="en-US"/>
        </w:rPr>
      </w:pPr>
      <w:r w:rsidRPr="003B2277">
        <w:rPr>
          <w:rFonts w:eastAsia="Calibri" w:cs="Mangal"/>
          <w:lang w:eastAsia="en-US"/>
        </w:rPr>
        <w:t>Člen 168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F06400C" w14:textId="77777777" w:rsidTr="005B4D60">
        <w:trPr>
          <w:jc w:val="center"/>
        </w:trPr>
        <w:tc>
          <w:tcPr>
            <w:tcW w:w="9752" w:type="dxa"/>
            <w:gridSpan w:val="2"/>
          </w:tcPr>
          <w:p w14:paraId="5FDA2690" w14:textId="77777777" w:rsidR="006F5BFE" w:rsidRPr="003B2277" w:rsidRDefault="006F5BFE" w:rsidP="005B4D60">
            <w:pPr>
              <w:keepNext/>
            </w:pPr>
          </w:p>
        </w:tc>
      </w:tr>
      <w:tr w:rsidR="006F5BFE" w:rsidRPr="003B2277" w14:paraId="53F02AE8" w14:textId="77777777" w:rsidTr="005B4D60">
        <w:trPr>
          <w:jc w:val="center"/>
        </w:trPr>
        <w:tc>
          <w:tcPr>
            <w:tcW w:w="4876" w:type="dxa"/>
            <w:hideMark/>
          </w:tcPr>
          <w:p w14:paraId="3DD3EF1E"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68914D0" w14:textId="13130C5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8C8A016" w14:textId="77777777" w:rsidTr="005B4D60">
        <w:trPr>
          <w:jc w:val="center"/>
        </w:trPr>
        <w:tc>
          <w:tcPr>
            <w:tcW w:w="4876" w:type="dxa"/>
          </w:tcPr>
          <w:p w14:paraId="3FAADABA" w14:textId="77777777" w:rsidR="006F5BFE" w:rsidRPr="003B2277" w:rsidRDefault="006F5BFE" w:rsidP="005B4D60">
            <w:pPr>
              <w:spacing w:after="120"/>
            </w:pPr>
          </w:p>
        </w:tc>
        <w:tc>
          <w:tcPr>
            <w:tcW w:w="4876" w:type="dxa"/>
            <w:hideMark/>
          </w:tcPr>
          <w:p w14:paraId="1895E03F" w14:textId="157320A7"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u</w:t>
            </w:r>
            <w:r w:rsidRPr="003B2277">
              <w:rPr>
                <w:rFonts w:eastAsia="Calibri" w:cs="Mangal"/>
                <w:b/>
                <w:i/>
                <w:lang w:eastAsia="en-US"/>
              </w:rPr>
              <w:t>)</w:t>
            </w:r>
            <w:r w:rsidRPr="003B2277">
              <w:rPr>
                <w:rFonts w:eastAsia="Calibri" w:cs="Mangal"/>
                <w:b/>
                <w:i/>
                <w:lang w:eastAsia="en-US"/>
              </w:rPr>
              <w:tab/>
              <w:t>člen 168 se nadomesti z naslednjim:</w:t>
            </w:r>
          </w:p>
        </w:tc>
      </w:tr>
      <w:tr w:rsidR="006F5BFE" w:rsidRPr="003B2277" w14:paraId="22736471" w14:textId="77777777" w:rsidTr="005B4D60">
        <w:trPr>
          <w:jc w:val="center"/>
        </w:trPr>
        <w:tc>
          <w:tcPr>
            <w:tcW w:w="4876" w:type="dxa"/>
          </w:tcPr>
          <w:p w14:paraId="53B2459B" w14:textId="77777777" w:rsidR="006F5BFE" w:rsidRPr="003B2277" w:rsidRDefault="006F5BFE" w:rsidP="005B4D60">
            <w:pPr>
              <w:spacing w:after="120"/>
              <w:rPr>
                <w:lang w:eastAsia="en-US"/>
              </w:rPr>
            </w:pPr>
            <w:r w:rsidRPr="003B2277">
              <w:rPr>
                <w:rFonts w:eastAsia="Calibri" w:cs="Mangal"/>
                <w:lang w:eastAsia="en-US"/>
              </w:rPr>
              <w:t>Člen 168</w:t>
            </w:r>
          </w:p>
        </w:tc>
        <w:tc>
          <w:tcPr>
            <w:tcW w:w="4876" w:type="dxa"/>
          </w:tcPr>
          <w:p w14:paraId="79252E70" w14:textId="77777777" w:rsidR="006F5BFE" w:rsidRPr="003B2277" w:rsidRDefault="006F5BFE" w:rsidP="005B4D60">
            <w:pPr>
              <w:spacing w:after="120"/>
              <w:rPr>
                <w:lang w:eastAsia="en-US"/>
              </w:rPr>
            </w:pPr>
            <w:r w:rsidRPr="003B2277">
              <w:rPr>
                <w:rFonts w:eastAsia="Calibri" w:cs="Mangal"/>
                <w:b/>
                <w:i/>
                <w:lang w:eastAsia="en-US"/>
              </w:rPr>
              <w:t>„</w:t>
            </w:r>
            <w:r w:rsidRPr="003B2277">
              <w:rPr>
                <w:rFonts w:eastAsia="Calibri" w:cs="Mangal"/>
                <w:lang w:eastAsia="en-US"/>
              </w:rPr>
              <w:t>Člen 168</w:t>
            </w:r>
          </w:p>
        </w:tc>
      </w:tr>
      <w:tr w:rsidR="006F5BFE" w:rsidRPr="003B2277" w14:paraId="53CF1242" w14:textId="77777777" w:rsidTr="005B4D60">
        <w:trPr>
          <w:jc w:val="center"/>
        </w:trPr>
        <w:tc>
          <w:tcPr>
            <w:tcW w:w="4876" w:type="dxa"/>
          </w:tcPr>
          <w:p w14:paraId="3FE1104D" w14:textId="77777777" w:rsidR="006F5BFE" w:rsidRPr="003B2277" w:rsidRDefault="006F5BFE" w:rsidP="005B4D60">
            <w:pPr>
              <w:spacing w:after="120"/>
              <w:rPr>
                <w:lang w:eastAsia="en-US"/>
              </w:rPr>
            </w:pPr>
            <w:r w:rsidRPr="003B2277">
              <w:rPr>
                <w:rFonts w:eastAsia="Calibri" w:cs="Mangal"/>
                <w:lang w:eastAsia="en-US"/>
              </w:rPr>
              <w:t>Pogodbeni odnosi</w:t>
            </w:r>
          </w:p>
        </w:tc>
        <w:tc>
          <w:tcPr>
            <w:tcW w:w="4876" w:type="dxa"/>
          </w:tcPr>
          <w:p w14:paraId="383B3E3A" w14:textId="77777777" w:rsidR="006F5BFE" w:rsidRPr="003B2277" w:rsidRDefault="006F5BFE" w:rsidP="005B4D60">
            <w:pPr>
              <w:spacing w:after="120"/>
              <w:rPr>
                <w:lang w:eastAsia="en-US"/>
              </w:rPr>
            </w:pPr>
            <w:r w:rsidRPr="003B2277">
              <w:rPr>
                <w:rFonts w:eastAsia="Calibri" w:cs="Mangal"/>
                <w:lang w:eastAsia="en-US"/>
              </w:rPr>
              <w:t>Pogodbeni odnosi</w:t>
            </w:r>
          </w:p>
        </w:tc>
      </w:tr>
      <w:tr w:rsidR="006F5BFE" w:rsidRPr="003B2277" w14:paraId="55D73BCD" w14:textId="77777777" w:rsidTr="005B4D60">
        <w:trPr>
          <w:jc w:val="center"/>
        </w:trPr>
        <w:tc>
          <w:tcPr>
            <w:tcW w:w="4876" w:type="dxa"/>
            <w:hideMark/>
          </w:tcPr>
          <w:p w14:paraId="49FC49FD"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Če država članica brez poseganja v člen 148 o sektorju mleka in mlečnih proizvodov ter člen 125 o sektorju sladkorju v zvezi s kmetijskimi proizvodi iz sektorja, navedenega v členu 1(2), ki ni sektor mleka in mlečnih proizvodov ter sladkorja, odloči da:</w:t>
            </w:r>
          </w:p>
        </w:tc>
        <w:tc>
          <w:tcPr>
            <w:tcW w:w="4876" w:type="dxa"/>
            <w:hideMark/>
          </w:tcPr>
          <w:p w14:paraId="6EAF4AD8"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Če država članica brez poseganja v člen 148 o sektorju mleka in mlečnih proizvodov ter člen 125 o sektorju sladkorju v zvezi s kmetijskimi proizvodi iz sektorja, navedenega v členu 1(2), ki ni sektor mleka in mlečnih proizvodov ter sladkorja, odloči da:</w:t>
            </w:r>
          </w:p>
        </w:tc>
      </w:tr>
      <w:tr w:rsidR="006F5BFE" w:rsidRPr="003B2277" w14:paraId="11D85590" w14:textId="77777777" w:rsidTr="005B4D60">
        <w:trPr>
          <w:jc w:val="center"/>
        </w:trPr>
        <w:tc>
          <w:tcPr>
            <w:tcW w:w="4876" w:type="dxa"/>
            <w:hideMark/>
          </w:tcPr>
          <w:p w14:paraId="3D1E00B6" w14:textId="77777777" w:rsidR="006F5BFE" w:rsidRPr="003B2277" w:rsidRDefault="006F5BFE" w:rsidP="005B4D60">
            <w:pPr>
              <w:spacing w:after="120"/>
              <w:rPr>
                <w:lang w:eastAsia="en-US"/>
              </w:rPr>
            </w:pPr>
            <w:r w:rsidRPr="003B2277">
              <w:rPr>
                <w:rFonts w:eastAsia="Calibri" w:cs="Mangal"/>
                <w:lang w:eastAsia="en-US"/>
              </w:rPr>
              <w:t>(a) mora obstajati pisna pogodba med strankama za vsako dobavo teh proizvodov na njenem ozemlju s strani proizvajalca predelovalcu ali distributerju in/ali</w:t>
            </w:r>
          </w:p>
        </w:tc>
        <w:tc>
          <w:tcPr>
            <w:tcW w:w="4876" w:type="dxa"/>
            <w:hideMark/>
          </w:tcPr>
          <w:p w14:paraId="430E2CC5" w14:textId="77777777" w:rsidR="006F5BFE" w:rsidRPr="003B2277" w:rsidRDefault="006F5BFE" w:rsidP="005B4D60">
            <w:pPr>
              <w:spacing w:after="120"/>
              <w:rPr>
                <w:szCs w:val="24"/>
                <w:lang w:eastAsia="en-US"/>
              </w:rPr>
            </w:pPr>
            <w:r w:rsidRPr="003B2277">
              <w:rPr>
                <w:rFonts w:eastAsia="Calibri" w:cs="Mangal"/>
                <w:lang w:eastAsia="en-US"/>
              </w:rPr>
              <w:t>(a) mora obstajati pisna pogodba med strankama za vsako dobavo teh proizvodov na njenem ozemlju s strani proizvajalca predelovalcu ali distributerju in/ali</w:t>
            </w:r>
          </w:p>
        </w:tc>
      </w:tr>
      <w:tr w:rsidR="006F5BFE" w:rsidRPr="003B2277" w14:paraId="6C47D4D0" w14:textId="77777777" w:rsidTr="005B4D60">
        <w:trPr>
          <w:jc w:val="center"/>
        </w:trPr>
        <w:tc>
          <w:tcPr>
            <w:tcW w:w="4876" w:type="dxa"/>
            <w:hideMark/>
          </w:tcPr>
          <w:p w14:paraId="3357408B" w14:textId="77777777" w:rsidR="006F5BFE" w:rsidRPr="003B2277" w:rsidRDefault="006F5BFE" w:rsidP="005B4D60">
            <w:pPr>
              <w:spacing w:after="120"/>
              <w:rPr>
                <w:lang w:eastAsia="en-US"/>
              </w:rPr>
            </w:pPr>
            <w:r w:rsidRPr="003B2277">
              <w:rPr>
                <w:rFonts w:eastAsia="Calibri" w:cs="Mangal"/>
                <w:lang w:eastAsia="en-US"/>
              </w:rPr>
              <w:t>(b) morajo prvi kupci pripraviti pisno ponudbo za pogodbo o dobavi na njenem ozemlju teh proizvodov s strani proizvajalcev, takšna pogodba ali takšna ponudba za sklenitev pogodbe izpolnjuje pogoje iz odstavka 4 in 6 tega člena.</w:t>
            </w:r>
          </w:p>
        </w:tc>
        <w:tc>
          <w:tcPr>
            <w:tcW w:w="4876" w:type="dxa"/>
            <w:hideMark/>
          </w:tcPr>
          <w:p w14:paraId="3553D60F" w14:textId="77777777" w:rsidR="006F5BFE" w:rsidRPr="003B2277" w:rsidRDefault="006F5BFE" w:rsidP="005B4D60">
            <w:pPr>
              <w:spacing w:after="120"/>
              <w:rPr>
                <w:szCs w:val="24"/>
                <w:lang w:eastAsia="en-US"/>
              </w:rPr>
            </w:pPr>
            <w:r w:rsidRPr="003B2277">
              <w:rPr>
                <w:rFonts w:eastAsia="Calibri" w:cs="Mangal"/>
                <w:lang w:eastAsia="en-US"/>
              </w:rPr>
              <w:t>(b) morajo prvi kupci pripraviti pisno ponudbo za pogodbo o dobavi na njenem ozemlju teh proizvodov s strani proizvajalcev, takšna pogodba ali takšna ponudba za sklenitev pogodbe izpolnjuje pogoje iz odstavka 4 in 6 tega člena.</w:t>
            </w:r>
          </w:p>
        </w:tc>
      </w:tr>
      <w:tr w:rsidR="006F5BFE" w:rsidRPr="003B2277" w14:paraId="10F0C93A" w14:textId="77777777" w:rsidTr="005B4D60">
        <w:trPr>
          <w:jc w:val="center"/>
        </w:trPr>
        <w:tc>
          <w:tcPr>
            <w:tcW w:w="4876" w:type="dxa"/>
            <w:hideMark/>
          </w:tcPr>
          <w:p w14:paraId="1ABC27D3" w14:textId="77777777" w:rsidR="006F5BFE" w:rsidRPr="003B2277" w:rsidRDefault="006F5BFE" w:rsidP="005B4D60">
            <w:pPr>
              <w:spacing w:after="120"/>
              <w:rPr>
                <w:lang w:eastAsia="en-US"/>
              </w:rPr>
            </w:pPr>
            <w:r w:rsidRPr="003B2277">
              <w:rPr>
                <w:rFonts w:eastAsia="Calibri" w:cs="Mangal"/>
                <w:lang w:eastAsia="en-US"/>
              </w:rPr>
              <w:t>1a.</w:t>
            </w:r>
            <w:r w:rsidRPr="003B2277">
              <w:rPr>
                <w:rFonts w:eastAsia="Calibri" w:cs="Mangal"/>
                <w:lang w:eastAsia="en-US"/>
              </w:rPr>
              <w:tab/>
              <w:t>Kadar države članice ne izkoristijo možnosti, ki jih ponuja odstavek 1 tega člena, lahko proizvajalec, organizacija proizvajalcev ali združenje organizacij proizvajalcev za kmetijske proizvode v sektorju iz člena 1(2), razen sektorjev mleka in mlečnih izdelkov ter sladkorja, zahtevajo, da morata strani za vsako oddajo proizvodov predelovalcu ali distributerju skleniti pisno pogodbo in/ali da morajo prvi kupci pripraviti pisno ponudbo pogodbe v skladu s pogoji iz odstavka 4 in prvega pododstavka odstavka 6 tega člena.</w:t>
            </w:r>
          </w:p>
        </w:tc>
        <w:tc>
          <w:tcPr>
            <w:tcW w:w="4876" w:type="dxa"/>
            <w:hideMark/>
          </w:tcPr>
          <w:p w14:paraId="3F5091A9" w14:textId="77777777" w:rsidR="006F5BFE" w:rsidRPr="003B2277" w:rsidRDefault="006F5BFE" w:rsidP="005B4D60">
            <w:pPr>
              <w:spacing w:after="120"/>
              <w:rPr>
                <w:szCs w:val="24"/>
                <w:lang w:eastAsia="en-US"/>
              </w:rPr>
            </w:pPr>
            <w:r w:rsidRPr="003B2277">
              <w:rPr>
                <w:rFonts w:eastAsia="Calibri" w:cs="Mangal"/>
                <w:lang w:eastAsia="en-US"/>
              </w:rPr>
              <w:t>1a.</w:t>
            </w:r>
            <w:r w:rsidRPr="003B2277">
              <w:rPr>
                <w:rFonts w:eastAsia="Calibri" w:cs="Mangal"/>
                <w:lang w:eastAsia="en-US"/>
              </w:rPr>
              <w:tab/>
              <w:t>Kadar države članice ne izkoristijo možnosti, ki jih ponuja odstavek 1 tega člena, lahko proizvajalec, organizacija proizvajalcev ali združenje organizacij proizvajalcev za kmetijske proizvode v sektorju iz člena 1(2), razen sektorjev mleka in mlečnih izdelkov ter sladkorja, zahtevajo, da morata strani za vsako oddajo proizvodov predelovalcu ali distributerju skleniti pisno pogodbo in/ali da morajo prvi kupci pripraviti pisno ponudbo pogodbe v skladu s pogoji iz odstavka 4 in prvega pododstavka odstavka 6 tega člena.</w:t>
            </w:r>
          </w:p>
        </w:tc>
      </w:tr>
      <w:tr w:rsidR="006F5BFE" w:rsidRPr="003B2277" w14:paraId="182940C0" w14:textId="77777777" w:rsidTr="005B4D60">
        <w:trPr>
          <w:jc w:val="center"/>
        </w:trPr>
        <w:tc>
          <w:tcPr>
            <w:tcW w:w="4876" w:type="dxa"/>
            <w:hideMark/>
          </w:tcPr>
          <w:p w14:paraId="00647ED4" w14:textId="77777777" w:rsidR="006F5BFE" w:rsidRPr="003B2277" w:rsidRDefault="006F5BFE" w:rsidP="005B4D60">
            <w:pPr>
              <w:spacing w:after="120"/>
              <w:rPr>
                <w:lang w:eastAsia="en-US"/>
              </w:rPr>
            </w:pPr>
            <w:r w:rsidRPr="003B2277">
              <w:rPr>
                <w:rFonts w:eastAsia="Calibri" w:cs="Mangal"/>
                <w:lang w:eastAsia="en-US"/>
              </w:rPr>
              <w:t>Če je prvi kupec mikro-, malo ali srednje podjetje v smislu Priporočila 2003/361/ES, pogodba in/ali ponudba pogodbe nista obvezni, brez poseganja v možnost strani, da uporabita standardno pogodbo, ki jo pripravi medpanožna organizacija.</w:t>
            </w:r>
          </w:p>
        </w:tc>
        <w:tc>
          <w:tcPr>
            <w:tcW w:w="4876" w:type="dxa"/>
            <w:hideMark/>
          </w:tcPr>
          <w:p w14:paraId="2A624CCE" w14:textId="77777777" w:rsidR="006F5BFE" w:rsidRPr="003B2277" w:rsidRDefault="006F5BFE" w:rsidP="005B4D60">
            <w:pPr>
              <w:spacing w:after="120"/>
              <w:rPr>
                <w:szCs w:val="24"/>
                <w:lang w:eastAsia="en-US"/>
              </w:rPr>
            </w:pPr>
            <w:r w:rsidRPr="003B2277">
              <w:rPr>
                <w:rFonts w:eastAsia="Calibri" w:cs="Mangal"/>
                <w:lang w:eastAsia="en-US"/>
              </w:rPr>
              <w:t>Če je prvi kupec mikro-, malo ali srednje podjetje v smislu Priporočila 2003/361/ES, pogodba in/ali ponudba pogodbe nista obvezni, brez poseganja v možnost strani, da uporabita standardno pogodbo, ki jo pripravi medpanožna organizacija.</w:t>
            </w:r>
          </w:p>
        </w:tc>
      </w:tr>
      <w:tr w:rsidR="006F5BFE" w:rsidRPr="003B2277" w14:paraId="473E200D" w14:textId="77777777" w:rsidTr="005B4D60">
        <w:trPr>
          <w:jc w:val="center"/>
        </w:trPr>
        <w:tc>
          <w:tcPr>
            <w:tcW w:w="4876" w:type="dxa"/>
            <w:hideMark/>
          </w:tcPr>
          <w:p w14:paraId="01A5B34F"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Kadar država članica odloči, da mora biti med strankama sklenjena pisna pogodba, kadar proizvajalec predelovalcu dobavi proizvode iz tega člena, odloči tudi, katero stopnjo ali stopnje dobave zajema taka pogodba, če dobava zadevnih proizvodov poteka prek enega ali več posrednikov.</w:t>
            </w:r>
          </w:p>
        </w:tc>
        <w:tc>
          <w:tcPr>
            <w:tcW w:w="4876" w:type="dxa"/>
            <w:hideMark/>
          </w:tcPr>
          <w:p w14:paraId="4CDCA1F5"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Kadar država članica odloči, da mora biti med strankama sklenjena pisna pogodba, kadar proizvajalec predelovalcu dobavi proizvode iz tega člena, odloči tudi, katero stopnjo ali stopnje dobave zajema taka pogodba, če dobava zadevnih proizvodov poteka prek enega ali več posrednikov.</w:t>
            </w:r>
          </w:p>
        </w:tc>
      </w:tr>
      <w:tr w:rsidR="006F5BFE" w:rsidRPr="003B2277" w14:paraId="47C1AB5D" w14:textId="77777777" w:rsidTr="005B4D60">
        <w:trPr>
          <w:jc w:val="center"/>
        </w:trPr>
        <w:tc>
          <w:tcPr>
            <w:tcW w:w="4876" w:type="dxa"/>
            <w:hideMark/>
          </w:tcPr>
          <w:p w14:paraId="3560752E" w14:textId="77777777" w:rsidR="006F5BFE" w:rsidRPr="003B2277" w:rsidRDefault="006F5BFE" w:rsidP="005B4D60">
            <w:pPr>
              <w:spacing w:after="120"/>
              <w:rPr>
                <w:lang w:eastAsia="en-US"/>
              </w:rPr>
            </w:pPr>
            <w:r w:rsidRPr="003B2277">
              <w:rPr>
                <w:rFonts w:eastAsia="Calibri" w:cs="Mangal"/>
                <w:lang w:eastAsia="en-US"/>
              </w:rPr>
              <w:t>Države članice zagotovijo, da določbe, sprejete na podlagi tega člena, ne škodujejo pravilnemu delovanju notranjega trga.</w:t>
            </w:r>
          </w:p>
        </w:tc>
        <w:tc>
          <w:tcPr>
            <w:tcW w:w="4876" w:type="dxa"/>
            <w:hideMark/>
          </w:tcPr>
          <w:p w14:paraId="507C331C" w14:textId="77777777" w:rsidR="006F5BFE" w:rsidRPr="003B2277" w:rsidRDefault="006F5BFE" w:rsidP="005B4D60">
            <w:pPr>
              <w:spacing w:after="120"/>
              <w:rPr>
                <w:szCs w:val="24"/>
                <w:lang w:eastAsia="en-US"/>
              </w:rPr>
            </w:pPr>
            <w:r w:rsidRPr="003B2277">
              <w:rPr>
                <w:rFonts w:eastAsia="Calibri" w:cs="Mangal"/>
                <w:lang w:eastAsia="en-US"/>
              </w:rPr>
              <w:t>Države članice zagotovijo, da določbe, sprejete na podlagi tega člena, ne škodujejo pravilnemu delovanju notranjega trga.</w:t>
            </w:r>
          </w:p>
        </w:tc>
      </w:tr>
      <w:tr w:rsidR="006F5BFE" w:rsidRPr="003B2277" w14:paraId="772A44B4" w14:textId="77777777" w:rsidTr="005B4D60">
        <w:trPr>
          <w:jc w:val="center"/>
        </w:trPr>
        <w:tc>
          <w:tcPr>
            <w:tcW w:w="4876" w:type="dxa"/>
            <w:hideMark/>
          </w:tcPr>
          <w:p w14:paraId="6BD7E1BA"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V primeru iz odstavka 2 lahko država članica vzpostavi mehanizem za mediacijo, ki bo zajemal primere, ko ni sporazuma o sklenitvi takšne pogodbe, da se tako zagotovijo pravični pogodbeni odnosi.</w:t>
            </w:r>
          </w:p>
        </w:tc>
        <w:tc>
          <w:tcPr>
            <w:tcW w:w="4876" w:type="dxa"/>
            <w:hideMark/>
          </w:tcPr>
          <w:p w14:paraId="53FB9FB2"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V primeru iz odstavka 2 lahko država članica vzpostavi mehanizem za mediacijo, ki bo zajemal primere, ko ni sporazuma o sklenitvi takšne pogodbe, da se tako zagotovijo pravični pogodbeni odnosi.</w:t>
            </w:r>
          </w:p>
        </w:tc>
      </w:tr>
      <w:tr w:rsidR="006F5BFE" w:rsidRPr="003B2277" w14:paraId="01B225E3" w14:textId="77777777" w:rsidTr="005B4D60">
        <w:trPr>
          <w:jc w:val="center"/>
        </w:trPr>
        <w:tc>
          <w:tcPr>
            <w:tcW w:w="4876" w:type="dxa"/>
            <w:hideMark/>
          </w:tcPr>
          <w:p w14:paraId="2B9AB3D0"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Vsaka pogodba ali ponudba pogodbe iz odstavkov 1 in 1a:</w:t>
            </w:r>
          </w:p>
        </w:tc>
        <w:tc>
          <w:tcPr>
            <w:tcW w:w="4876" w:type="dxa"/>
            <w:hideMark/>
          </w:tcPr>
          <w:p w14:paraId="68F1074E"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Vsaka pogodba ali ponudba pogodbe iz odstavkov 1 in 1a:</w:t>
            </w:r>
          </w:p>
        </w:tc>
      </w:tr>
      <w:tr w:rsidR="006F5BFE" w:rsidRPr="003B2277" w14:paraId="6EC3C1B2" w14:textId="77777777" w:rsidTr="005B4D60">
        <w:trPr>
          <w:jc w:val="center"/>
        </w:trPr>
        <w:tc>
          <w:tcPr>
            <w:tcW w:w="4876" w:type="dxa"/>
            <w:hideMark/>
          </w:tcPr>
          <w:p w14:paraId="2A64342E" w14:textId="77777777" w:rsidR="006F5BFE" w:rsidRPr="003B2277" w:rsidRDefault="006F5BFE" w:rsidP="005B4D60">
            <w:pPr>
              <w:spacing w:after="120"/>
              <w:rPr>
                <w:lang w:eastAsia="en-US"/>
              </w:rPr>
            </w:pPr>
            <w:r w:rsidRPr="003B2277">
              <w:rPr>
                <w:rFonts w:eastAsia="Calibri" w:cs="Mangal"/>
                <w:lang w:eastAsia="en-US"/>
              </w:rPr>
              <w:t>(a) se pripravi pred oddajo;</w:t>
            </w:r>
          </w:p>
        </w:tc>
        <w:tc>
          <w:tcPr>
            <w:tcW w:w="4876" w:type="dxa"/>
            <w:hideMark/>
          </w:tcPr>
          <w:p w14:paraId="6132A3D3" w14:textId="77777777" w:rsidR="006F5BFE" w:rsidRPr="003B2277" w:rsidRDefault="006F5BFE" w:rsidP="005B4D60">
            <w:pPr>
              <w:spacing w:after="120"/>
              <w:rPr>
                <w:szCs w:val="24"/>
                <w:lang w:eastAsia="en-US"/>
              </w:rPr>
            </w:pPr>
            <w:r w:rsidRPr="003B2277">
              <w:rPr>
                <w:rFonts w:eastAsia="Calibri" w:cs="Mangal"/>
                <w:lang w:eastAsia="en-US"/>
              </w:rPr>
              <w:t>(a) se pripravi pred oddajo;</w:t>
            </w:r>
          </w:p>
        </w:tc>
      </w:tr>
      <w:tr w:rsidR="006F5BFE" w:rsidRPr="003B2277" w14:paraId="0F671A35" w14:textId="77777777" w:rsidTr="005B4D60">
        <w:trPr>
          <w:jc w:val="center"/>
        </w:trPr>
        <w:tc>
          <w:tcPr>
            <w:tcW w:w="4876" w:type="dxa"/>
            <w:hideMark/>
          </w:tcPr>
          <w:p w14:paraId="66EAC704" w14:textId="77777777" w:rsidR="006F5BFE" w:rsidRPr="003B2277" w:rsidRDefault="006F5BFE" w:rsidP="005B4D60">
            <w:pPr>
              <w:spacing w:after="120"/>
              <w:rPr>
                <w:lang w:eastAsia="en-US"/>
              </w:rPr>
            </w:pPr>
            <w:r w:rsidRPr="003B2277">
              <w:rPr>
                <w:rFonts w:eastAsia="Calibri" w:cs="Mangal"/>
                <w:lang w:eastAsia="en-US"/>
              </w:rPr>
              <w:t>(b) se pripravi v pisni obliki in</w:t>
            </w:r>
          </w:p>
        </w:tc>
        <w:tc>
          <w:tcPr>
            <w:tcW w:w="4876" w:type="dxa"/>
            <w:hideMark/>
          </w:tcPr>
          <w:p w14:paraId="57E1E04F" w14:textId="77777777" w:rsidR="006F5BFE" w:rsidRPr="003B2277" w:rsidRDefault="006F5BFE" w:rsidP="005B4D60">
            <w:pPr>
              <w:spacing w:after="120"/>
              <w:rPr>
                <w:szCs w:val="24"/>
                <w:lang w:eastAsia="en-US"/>
              </w:rPr>
            </w:pPr>
            <w:r w:rsidRPr="003B2277">
              <w:rPr>
                <w:rFonts w:eastAsia="Calibri" w:cs="Mangal"/>
                <w:lang w:eastAsia="en-US"/>
              </w:rPr>
              <w:t>(b) se pripravi v pisni obliki in</w:t>
            </w:r>
          </w:p>
        </w:tc>
      </w:tr>
      <w:tr w:rsidR="006F5BFE" w:rsidRPr="003B2277" w14:paraId="6B4EC874" w14:textId="77777777" w:rsidTr="005B4D60">
        <w:trPr>
          <w:jc w:val="center"/>
        </w:trPr>
        <w:tc>
          <w:tcPr>
            <w:tcW w:w="4876" w:type="dxa"/>
            <w:hideMark/>
          </w:tcPr>
          <w:p w14:paraId="01651F20" w14:textId="77777777" w:rsidR="006F5BFE" w:rsidRPr="003B2277" w:rsidRDefault="006F5BFE" w:rsidP="005B4D60">
            <w:pPr>
              <w:spacing w:after="120"/>
              <w:rPr>
                <w:lang w:eastAsia="en-US"/>
              </w:rPr>
            </w:pPr>
            <w:r w:rsidRPr="003B2277">
              <w:rPr>
                <w:rFonts w:eastAsia="Calibri" w:cs="Mangal"/>
                <w:lang w:eastAsia="en-US"/>
              </w:rPr>
              <w:t>(c) vsebuje zlasti naslednje elemente:</w:t>
            </w:r>
          </w:p>
        </w:tc>
        <w:tc>
          <w:tcPr>
            <w:tcW w:w="4876" w:type="dxa"/>
            <w:hideMark/>
          </w:tcPr>
          <w:p w14:paraId="1F67C720" w14:textId="77777777" w:rsidR="006F5BFE" w:rsidRPr="003B2277" w:rsidRDefault="006F5BFE" w:rsidP="005B4D60">
            <w:pPr>
              <w:spacing w:after="120"/>
              <w:rPr>
                <w:szCs w:val="24"/>
                <w:lang w:eastAsia="en-US"/>
              </w:rPr>
            </w:pPr>
            <w:r w:rsidRPr="003B2277">
              <w:rPr>
                <w:rFonts w:eastAsia="Calibri" w:cs="Mangal"/>
                <w:lang w:eastAsia="en-US"/>
              </w:rPr>
              <w:t>(c) vsebuje zlasti naslednje elemente:</w:t>
            </w:r>
          </w:p>
        </w:tc>
      </w:tr>
      <w:tr w:rsidR="006F5BFE" w:rsidRPr="003B2277" w14:paraId="1EB487CD" w14:textId="77777777" w:rsidTr="005B4D60">
        <w:trPr>
          <w:jc w:val="center"/>
        </w:trPr>
        <w:tc>
          <w:tcPr>
            <w:tcW w:w="4876" w:type="dxa"/>
            <w:hideMark/>
          </w:tcPr>
          <w:p w14:paraId="486CE777" w14:textId="77777777" w:rsidR="006F5BFE" w:rsidRPr="003B2277" w:rsidRDefault="006F5BFE" w:rsidP="005B4D60">
            <w:pPr>
              <w:spacing w:after="120"/>
              <w:rPr>
                <w:lang w:eastAsia="en-US"/>
              </w:rPr>
            </w:pPr>
            <w:r w:rsidRPr="003B2277">
              <w:rPr>
                <w:rFonts w:eastAsia="Calibri" w:cs="Mangal"/>
                <w:lang w:eastAsia="en-US"/>
              </w:rPr>
              <w:t>(i) ceno, ki se plača za oddajo ter je</w:t>
            </w:r>
            <w:r w:rsidRPr="003B2277">
              <w:rPr>
                <w:rFonts w:eastAsia="Calibri" w:cs="Mangal"/>
                <w:b/>
                <w:i/>
                <w:lang w:eastAsia="en-US"/>
              </w:rPr>
              <w:t>:–</w:t>
            </w:r>
            <w:r w:rsidRPr="003B2277">
              <w:rPr>
                <w:rFonts w:eastAsia="Calibri" w:cs="Mangal"/>
                <w:lang w:eastAsia="en-US"/>
              </w:rPr>
              <w:t xml:space="preserve"> nespremenljiva in določena v pogodbi in/ali– izračunana s kombiniranjem različnih dejavnikov, določenih v pogodbi, ki lahko vključujejo </w:t>
            </w:r>
            <w:r w:rsidRPr="003B2277">
              <w:rPr>
                <w:rFonts w:eastAsia="Calibri" w:cs="Mangal"/>
                <w:b/>
                <w:i/>
                <w:lang w:eastAsia="en-US"/>
              </w:rPr>
              <w:t>tržne</w:t>
            </w:r>
            <w:r w:rsidRPr="003B2277">
              <w:rPr>
                <w:rFonts w:eastAsia="Calibri" w:cs="Mangal"/>
                <w:lang w:eastAsia="en-US"/>
              </w:rPr>
              <w:t xml:space="preserve"> kazalnike, ki odražajo spremembe tržnih razmer, dobavljene količine in kakovost ali sestavo dobavljenih kmetijskih proizvodov;</w:t>
            </w:r>
          </w:p>
        </w:tc>
        <w:tc>
          <w:tcPr>
            <w:tcW w:w="4876" w:type="dxa"/>
            <w:hideMark/>
          </w:tcPr>
          <w:p w14:paraId="14F88FE2" w14:textId="77777777" w:rsidR="006F5BFE" w:rsidRPr="003B2277" w:rsidRDefault="006F5BFE" w:rsidP="005B4D60">
            <w:pPr>
              <w:spacing w:after="120"/>
              <w:rPr>
                <w:szCs w:val="24"/>
                <w:lang w:eastAsia="en-US"/>
              </w:rPr>
            </w:pPr>
            <w:r w:rsidRPr="003B2277">
              <w:rPr>
                <w:rFonts w:eastAsia="Calibri" w:cs="Mangal"/>
                <w:lang w:eastAsia="en-US"/>
              </w:rPr>
              <w:t xml:space="preserve">(i) ceno, ki se plača za oddajo ter je nespremenljiva in določena v pogodbi in/ali – izračunana s kombiniranjem različnih dejavnikov, določenih v pogodbi, ki lahko vključujejo </w:t>
            </w:r>
            <w:r w:rsidRPr="003B2277">
              <w:rPr>
                <w:rFonts w:eastAsia="Calibri" w:cs="Mangal"/>
                <w:b/>
                <w:i/>
                <w:lang w:eastAsia="en-US"/>
              </w:rPr>
              <w:t>objektivne</w:t>
            </w:r>
            <w:r w:rsidRPr="003B2277">
              <w:rPr>
                <w:rFonts w:eastAsia="Calibri" w:cs="Mangal"/>
                <w:lang w:eastAsia="en-US"/>
              </w:rPr>
              <w:t xml:space="preserve"> kazalnike</w:t>
            </w:r>
            <w:r w:rsidRPr="003B2277">
              <w:rPr>
                <w:rFonts w:eastAsia="Calibri" w:cs="Mangal"/>
                <w:b/>
                <w:i/>
                <w:lang w:eastAsia="en-US"/>
              </w:rPr>
              <w:t xml:space="preserve"> proizvodnih in tržnih stroškov</w:t>
            </w:r>
            <w:r w:rsidRPr="003B2277">
              <w:rPr>
                <w:rFonts w:eastAsia="Calibri" w:cs="Mangal"/>
                <w:lang w:eastAsia="en-US"/>
              </w:rPr>
              <w:t xml:space="preserve">, ki </w:t>
            </w:r>
            <w:r w:rsidRPr="003B2277">
              <w:rPr>
                <w:rFonts w:eastAsia="Calibri" w:cs="Mangal"/>
                <w:b/>
                <w:i/>
                <w:lang w:eastAsia="en-US"/>
              </w:rPr>
              <w:t xml:space="preserve">so zlahka dostopni in razumljivi ter </w:t>
            </w:r>
            <w:r w:rsidRPr="003B2277">
              <w:rPr>
                <w:rFonts w:eastAsia="Calibri" w:cs="Mangal"/>
                <w:lang w:eastAsia="en-US"/>
              </w:rPr>
              <w:t>odražajo spremembe tržnih razmer, dobavljene količine in kakovost ali sestavo dobavljenih kmetijskih proizvodov</w:t>
            </w:r>
            <w:r w:rsidRPr="003B2277">
              <w:rPr>
                <w:rFonts w:eastAsia="Calibri" w:cs="Mangal"/>
                <w:b/>
                <w:i/>
                <w:lang w:eastAsia="en-US"/>
              </w:rPr>
              <w:t>. V ta namen lahko države članice, ki so se odločile za uporabo odstavka 1, določijo kazalnike v skladu z objektivnimi merili ter na podlagi študij o proizvodnji in prehranski verigi, da jih lahko kadar koli določijo</w:t>
            </w:r>
            <w:r w:rsidRPr="003B2277">
              <w:rPr>
                <w:rFonts w:eastAsia="Calibri" w:cs="Mangal"/>
                <w:lang w:eastAsia="en-US"/>
              </w:rPr>
              <w:t>;</w:t>
            </w:r>
          </w:p>
        </w:tc>
      </w:tr>
      <w:tr w:rsidR="006F5BFE" w:rsidRPr="003B2277" w14:paraId="3B14EB36" w14:textId="77777777" w:rsidTr="005B4D60">
        <w:trPr>
          <w:jc w:val="center"/>
        </w:trPr>
        <w:tc>
          <w:tcPr>
            <w:tcW w:w="4876" w:type="dxa"/>
            <w:hideMark/>
          </w:tcPr>
          <w:p w14:paraId="0ECA8DE1" w14:textId="77777777" w:rsidR="006F5BFE" w:rsidRPr="003B2277" w:rsidRDefault="006F5BFE" w:rsidP="005B4D60">
            <w:pPr>
              <w:spacing w:after="120"/>
              <w:rPr>
                <w:lang w:eastAsia="en-US"/>
              </w:rPr>
            </w:pPr>
            <w:r w:rsidRPr="003B2277">
              <w:rPr>
                <w:rFonts w:eastAsia="Calibri" w:cs="Mangal"/>
                <w:lang w:eastAsia="en-US"/>
              </w:rPr>
              <w:t>(ii) količino in kakovost zadevnih proizvodov, ki se lahko dobavijo ali se morajo dobaviti, in čas teh dobav;</w:t>
            </w:r>
          </w:p>
        </w:tc>
        <w:tc>
          <w:tcPr>
            <w:tcW w:w="4876" w:type="dxa"/>
            <w:hideMark/>
          </w:tcPr>
          <w:p w14:paraId="0BB1B261" w14:textId="77777777" w:rsidR="006F5BFE" w:rsidRPr="003B2277" w:rsidRDefault="006F5BFE" w:rsidP="005B4D60">
            <w:pPr>
              <w:spacing w:after="120"/>
              <w:rPr>
                <w:szCs w:val="24"/>
                <w:lang w:eastAsia="en-US"/>
              </w:rPr>
            </w:pPr>
            <w:r w:rsidRPr="003B2277">
              <w:rPr>
                <w:rFonts w:eastAsia="Calibri" w:cs="Mangal"/>
                <w:lang w:eastAsia="en-US"/>
              </w:rPr>
              <w:t>(ii) količino in kakovost zadevnih proizvodov, ki se lahko dobavijo ali se morajo dobaviti, in čas teh dobav;</w:t>
            </w:r>
          </w:p>
        </w:tc>
      </w:tr>
      <w:tr w:rsidR="006F5BFE" w:rsidRPr="003B2277" w14:paraId="548C8157" w14:textId="77777777" w:rsidTr="005B4D60">
        <w:trPr>
          <w:jc w:val="center"/>
        </w:trPr>
        <w:tc>
          <w:tcPr>
            <w:tcW w:w="4876" w:type="dxa"/>
            <w:hideMark/>
          </w:tcPr>
          <w:p w14:paraId="2C904465" w14:textId="77777777" w:rsidR="006F5BFE" w:rsidRPr="003B2277" w:rsidRDefault="006F5BFE" w:rsidP="005B4D60">
            <w:pPr>
              <w:spacing w:after="120"/>
              <w:rPr>
                <w:lang w:eastAsia="en-US"/>
              </w:rPr>
            </w:pPr>
            <w:r w:rsidRPr="003B2277">
              <w:rPr>
                <w:rFonts w:eastAsia="Calibri" w:cs="Mangal"/>
                <w:lang w:eastAsia="en-US"/>
              </w:rPr>
              <w:t>(iii) trajanje pogodbe, ki se lahko sklene bodisi za določen bodisi za nedoločen čas, ter določbe o odpovedi;</w:t>
            </w:r>
          </w:p>
        </w:tc>
        <w:tc>
          <w:tcPr>
            <w:tcW w:w="4876" w:type="dxa"/>
            <w:hideMark/>
          </w:tcPr>
          <w:p w14:paraId="359C9F00" w14:textId="77777777" w:rsidR="006F5BFE" w:rsidRPr="003B2277" w:rsidRDefault="006F5BFE" w:rsidP="005B4D60">
            <w:pPr>
              <w:spacing w:after="120"/>
              <w:rPr>
                <w:szCs w:val="24"/>
                <w:lang w:eastAsia="en-US"/>
              </w:rPr>
            </w:pPr>
            <w:r w:rsidRPr="003B2277">
              <w:rPr>
                <w:rFonts w:eastAsia="Calibri" w:cs="Mangal"/>
                <w:lang w:eastAsia="en-US"/>
              </w:rPr>
              <w:t>(iii) trajanje pogodbe, ki se lahko sklene bodisi za določen bodisi za nedoločen čas, ter določbe o odpovedi;</w:t>
            </w:r>
          </w:p>
        </w:tc>
      </w:tr>
      <w:tr w:rsidR="006F5BFE" w:rsidRPr="003B2277" w14:paraId="76424962" w14:textId="77777777" w:rsidTr="005B4D60">
        <w:trPr>
          <w:jc w:val="center"/>
        </w:trPr>
        <w:tc>
          <w:tcPr>
            <w:tcW w:w="4876" w:type="dxa"/>
            <w:hideMark/>
          </w:tcPr>
          <w:p w14:paraId="2D4AC53E" w14:textId="77777777" w:rsidR="006F5BFE" w:rsidRPr="003B2277" w:rsidRDefault="006F5BFE" w:rsidP="005B4D60">
            <w:pPr>
              <w:spacing w:after="120"/>
              <w:rPr>
                <w:lang w:eastAsia="en-US"/>
              </w:rPr>
            </w:pPr>
            <w:r w:rsidRPr="003B2277">
              <w:rPr>
                <w:rFonts w:eastAsia="Calibri" w:cs="Mangal"/>
                <w:lang w:eastAsia="en-US"/>
              </w:rPr>
              <w:t>(iv) podrobnosti o plačilnih rokih in postopkih;</w:t>
            </w:r>
          </w:p>
        </w:tc>
        <w:tc>
          <w:tcPr>
            <w:tcW w:w="4876" w:type="dxa"/>
            <w:hideMark/>
          </w:tcPr>
          <w:p w14:paraId="287D9ED0" w14:textId="77777777" w:rsidR="006F5BFE" w:rsidRPr="003B2277" w:rsidRDefault="006F5BFE" w:rsidP="005B4D60">
            <w:pPr>
              <w:spacing w:after="120"/>
              <w:rPr>
                <w:szCs w:val="24"/>
                <w:lang w:eastAsia="en-US"/>
              </w:rPr>
            </w:pPr>
            <w:r w:rsidRPr="003B2277">
              <w:rPr>
                <w:rFonts w:eastAsia="Calibri" w:cs="Mangal"/>
                <w:lang w:eastAsia="en-US"/>
              </w:rPr>
              <w:t>(iv) podrobnosti o plačilnih rokih in postopkih;</w:t>
            </w:r>
          </w:p>
        </w:tc>
      </w:tr>
      <w:tr w:rsidR="006F5BFE" w:rsidRPr="003B2277" w14:paraId="09F0908F" w14:textId="77777777" w:rsidTr="005B4D60">
        <w:trPr>
          <w:jc w:val="center"/>
        </w:trPr>
        <w:tc>
          <w:tcPr>
            <w:tcW w:w="4876" w:type="dxa"/>
            <w:hideMark/>
          </w:tcPr>
          <w:p w14:paraId="68061ACD" w14:textId="77777777" w:rsidR="006F5BFE" w:rsidRPr="003B2277" w:rsidRDefault="006F5BFE" w:rsidP="005B4D60">
            <w:pPr>
              <w:spacing w:after="120"/>
              <w:rPr>
                <w:lang w:eastAsia="en-US"/>
              </w:rPr>
            </w:pPr>
            <w:r w:rsidRPr="003B2277">
              <w:rPr>
                <w:rFonts w:eastAsia="Calibri" w:cs="Mangal"/>
                <w:lang w:eastAsia="en-US"/>
              </w:rPr>
              <w:t>(v) načine zbiranja ali dobave kmetijskih proizvodov ter(vi) pravila, ki se uporabljajo v primeru višje sile.</w:t>
            </w:r>
          </w:p>
        </w:tc>
        <w:tc>
          <w:tcPr>
            <w:tcW w:w="4876" w:type="dxa"/>
            <w:hideMark/>
          </w:tcPr>
          <w:p w14:paraId="4D3F2162" w14:textId="77777777" w:rsidR="006F5BFE" w:rsidRPr="003B2277" w:rsidRDefault="006F5BFE" w:rsidP="005B4D60">
            <w:pPr>
              <w:spacing w:after="120"/>
              <w:rPr>
                <w:szCs w:val="24"/>
                <w:lang w:eastAsia="en-US"/>
              </w:rPr>
            </w:pPr>
            <w:r w:rsidRPr="003B2277">
              <w:rPr>
                <w:rFonts w:eastAsia="Calibri" w:cs="Mangal"/>
                <w:lang w:eastAsia="en-US"/>
              </w:rPr>
              <w:t>(v) načine zbiranja ali dobave kmetijskih proizvodov ter(vi) pravila, ki se uporabljajo v primeru višje sile.</w:t>
            </w:r>
          </w:p>
        </w:tc>
      </w:tr>
      <w:tr w:rsidR="006F5BFE" w:rsidRPr="003B2277" w14:paraId="49496F2E" w14:textId="77777777" w:rsidTr="005B4D60">
        <w:trPr>
          <w:jc w:val="center"/>
        </w:trPr>
        <w:tc>
          <w:tcPr>
            <w:tcW w:w="4876" w:type="dxa"/>
            <w:hideMark/>
          </w:tcPr>
          <w:p w14:paraId="6CE67D43"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Z odstopanjem od odstavkov 1 in 1a se pogodba ali ponudba pogodbe ne zahteva, kadar član zadruge odda zadevne proizvode zadrugi, katere član je, če statut te zadruge ali pravila in odločitve, ki so v njem določeni ali iz njega izhajajo, vsebujejo določbe s podobnimi učinki, kot jih imajo določbe iz točk (a), (b) in (c) odstavka 4.</w:t>
            </w:r>
          </w:p>
        </w:tc>
        <w:tc>
          <w:tcPr>
            <w:tcW w:w="4876" w:type="dxa"/>
            <w:hideMark/>
          </w:tcPr>
          <w:p w14:paraId="61605FD6"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Z odstopanjem od odstavkov 1 in 1a se pogodba ali ponudba pogodbe ne zahteva, kadar član zadruge odda zadevne proizvode zadrugi, katere član je, če statut te zadruge ali pravila in odločitve, ki so v njem določeni ali iz njega izhajajo, vsebujejo določbe s podobnimi učinki, kot jih imajo določbe iz točk (a), (b) in (c) odstavka 4.</w:t>
            </w:r>
          </w:p>
        </w:tc>
      </w:tr>
      <w:tr w:rsidR="006F5BFE" w:rsidRPr="003B2277" w14:paraId="5E324E22" w14:textId="77777777" w:rsidTr="005B4D60">
        <w:trPr>
          <w:jc w:val="center"/>
        </w:trPr>
        <w:tc>
          <w:tcPr>
            <w:tcW w:w="4876" w:type="dxa"/>
            <w:hideMark/>
          </w:tcPr>
          <w:p w14:paraId="213B1AC5" w14:textId="77777777"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Stranke se prosto pogajajo o vseh elementih pogodb za dobavo kmetijskih proizvodov, ki jih sklenejo proizvajalci, zbiralci, predelovalci ali distributerji, tudi o elementih iz točke (c) odstavka 4.Ne glede na prvi pododstavek se uporabljata ena ali obe točki:</w:t>
            </w:r>
          </w:p>
        </w:tc>
        <w:tc>
          <w:tcPr>
            <w:tcW w:w="4876" w:type="dxa"/>
            <w:hideMark/>
          </w:tcPr>
          <w:p w14:paraId="737EAFFC" w14:textId="77777777"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Stranke se prosto pogajajo o vseh elementih pogodb za dobavo kmetijskih proizvodov, ki jih sklenejo proizvajalci, zbiralci, predelovalci ali distributerji, tudi o elementih iz točke (c) odstavka 4.</w:t>
            </w:r>
            <w:r w:rsidRPr="003B2277">
              <w:rPr>
                <w:rFonts w:eastAsia="Calibri" w:cs="Mangal"/>
                <w:b/>
                <w:i/>
                <w:lang w:eastAsia="en-US"/>
              </w:rPr>
              <w:t xml:space="preserve"> </w:t>
            </w:r>
            <w:r w:rsidRPr="003B2277">
              <w:rPr>
                <w:rFonts w:eastAsia="Calibri" w:cs="Mangal"/>
                <w:lang w:eastAsia="en-US"/>
              </w:rPr>
              <w:t>Ne glede na prvi pododstavek se uporabljata ena ali obe točki:</w:t>
            </w:r>
          </w:p>
        </w:tc>
      </w:tr>
      <w:tr w:rsidR="006F5BFE" w:rsidRPr="003B2277" w14:paraId="05E6E609" w14:textId="77777777" w:rsidTr="005B4D60">
        <w:trPr>
          <w:jc w:val="center"/>
        </w:trPr>
        <w:tc>
          <w:tcPr>
            <w:tcW w:w="4876" w:type="dxa"/>
            <w:hideMark/>
          </w:tcPr>
          <w:p w14:paraId="4AEC444B" w14:textId="77777777" w:rsidR="006F5BFE" w:rsidRPr="003B2277" w:rsidRDefault="006F5BFE" w:rsidP="005B4D60">
            <w:pPr>
              <w:spacing w:after="120"/>
              <w:rPr>
                <w:lang w:eastAsia="en-US"/>
              </w:rPr>
            </w:pPr>
            <w:r w:rsidRPr="003B2277">
              <w:rPr>
                <w:rFonts w:eastAsia="Calibri" w:cs="Mangal"/>
                <w:lang w:eastAsia="en-US"/>
              </w:rPr>
              <w:t>(a) kadar država članica odloči, da so pisne pogodbe za dobavo kmetijskih proizvodov obvezne v skladu z odstavkom 1, lahko določi minimalno trajanje pogodbe, ki velja samo za pisne pogodbe med proizvajalcem in prvim kupcem kmetijskih proizvodov. Tako minimalno trajanje pogodbe je vsaj šest mesecev in ne škoduje pravilnemu delovanju notranjega trga;</w:t>
            </w:r>
          </w:p>
        </w:tc>
        <w:tc>
          <w:tcPr>
            <w:tcW w:w="4876" w:type="dxa"/>
            <w:hideMark/>
          </w:tcPr>
          <w:p w14:paraId="6504D832" w14:textId="77777777" w:rsidR="006F5BFE" w:rsidRPr="003B2277" w:rsidRDefault="006F5BFE" w:rsidP="005B4D60">
            <w:pPr>
              <w:spacing w:after="120"/>
              <w:rPr>
                <w:szCs w:val="24"/>
                <w:lang w:eastAsia="en-US"/>
              </w:rPr>
            </w:pPr>
            <w:r w:rsidRPr="003B2277">
              <w:rPr>
                <w:rFonts w:eastAsia="Calibri" w:cs="Mangal"/>
                <w:lang w:eastAsia="en-US"/>
              </w:rPr>
              <w:t>(a) kadar država članica odloči, da so pisne pogodbe za dobavo kmetijskih proizvodov obvezne v skladu z odstavkom 1, lahko določi minimalno trajanje pogodbe, ki velja samo za pisne pogodbe med proizvajalcem in prvim kupcem kmetijskih proizvodov. Tako minimalno trajanje pogodbe je vsaj šest mesecev in ne škoduje pravilnemu delovanju notranjega trga;</w:t>
            </w:r>
          </w:p>
        </w:tc>
      </w:tr>
      <w:tr w:rsidR="006F5BFE" w:rsidRPr="003B2277" w14:paraId="0CA72F3D" w14:textId="77777777" w:rsidTr="005B4D60">
        <w:trPr>
          <w:jc w:val="center"/>
        </w:trPr>
        <w:tc>
          <w:tcPr>
            <w:tcW w:w="4876" w:type="dxa"/>
            <w:hideMark/>
          </w:tcPr>
          <w:p w14:paraId="0613A204" w14:textId="77777777" w:rsidR="006F5BFE" w:rsidRPr="003B2277" w:rsidRDefault="006F5BFE" w:rsidP="005B4D60">
            <w:pPr>
              <w:spacing w:after="120"/>
              <w:rPr>
                <w:lang w:eastAsia="en-US"/>
              </w:rPr>
            </w:pPr>
            <w:r w:rsidRPr="003B2277">
              <w:rPr>
                <w:rFonts w:eastAsia="Calibri" w:cs="Mangal"/>
                <w:lang w:eastAsia="en-US"/>
              </w:rPr>
              <w:t>(b) kadar država članica odloči, da mora prvi kupec kmetijskih proizvodov proizvajalcu dati pisno ponudbo za sklenitev pogodbe v skladu z odstavkom 1, lahko določi, da mora ponudba vsebovati minimalno trajanje pogodbe, ki je za ta namen določeno v nacionalni zakonodaji. Tako minimalno trajanje pogodbe je vsaj šest mesecev in ne škoduje pravilnemu delovanju notranjega trga.</w:t>
            </w:r>
          </w:p>
        </w:tc>
        <w:tc>
          <w:tcPr>
            <w:tcW w:w="4876" w:type="dxa"/>
            <w:hideMark/>
          </w:tcPr>
          <w:p w14:paraId="3A3B3684" w14:textId="77777777" w:rsidR="006F5BFE" w:rsidRPr="003B2277" w:rsidRDefault="006F5BFE" w:rsidP="005B4D60">
            <w:pPr>
              <w:spacing w:after="120"/>
              <w:rPr>
                <w:szCs w:val="24"/>
                <w:lang w:eastAsia="en-US"/>
              </w:rPr>
            </w:pPr>
            <w:r w:rsidRPr="003B2277">
              <w:rPr>
                <w:rFonts w:eastAsia="Calibri" w:cs="Mangal"/>
                <w:lang w:eastAsia="en-US"/>
              </w:rPr>
              <w:t>(b) kadar država članica odloči, da mora prvi kupec kmetijskih proizvodov proizvajalcu dati pisno ponudbo za sklenitev pogodbe v skladu z odstavkom 1, lahko določi, da mora ponudba vsebovati minimalno trajanje pogodbe, ki je za ta namen določeno v nacionalni zakonodaji. Tako minimalno trajanje pogodbe je vsaj šest mesecev in ne škoduje pravilnemu delovanju notranjega trga.</w:t>
            </w:r>
          </w:p>
        </w:tc>
      </w:tr>
      <w:tr w:rsidR="006F5BFE" w:rsidRPr="003B2277" w14:paraId="7EB7D5C0" w14:textId="77777777" w:rsidTr="005B4D60">
        <w:trPr>
          <w:jc w:val="center"/>
        </w:trPr>
        <w:tc>
          <w:tcPr>
            <w:tcW w:w="4876" w:type="dxa"/>
            <w:hideMark/>
          </w:tcPr>
          <w:p w14:paraId="04CBDD01" w14:textId="77777777" w:rsidR="006F5BFE" w:rsidRPr="003B2277" w:rsidRDefault="006F5BFE" w:rsidP="005B4D60">
            <w:pPr>
              <w:spacing w:after="120"/>
              <w:rPr>
                <w:lang w:eastAsia="en-US"/>
              </w:rPr>
            </w:pPr>
            <w:r w:rsidRPr="003B2277">
              <w:rPr>
                <w:rFonts w:eastAsia="Calibri" w:cs="Mangal"/>
                <w:lang w:eastAsia="en-US"/>
              </w:rPr>
              <w:t>Drugi pododstavek ne posega v pravico proizvajalca, da tako minimalno trajanje pogodbe zavrne, pod pogojem, da to stori pisno. V tem primeru se stranki prosto pogajata o vseh elementih pogodbe, tudi o elementih iz točke (c) odstavka 4.</w:t>
            </w:r>
          </w:p>
        </w:tc>
        <w:tc>
          <w:tcPr>
            <w:tcW w:w="4876" w:type="dxa"/>
            <w:hideMark/>
          </w:tcPr>
          <w:p w14:paraId="1BEA186D" w14:textId="77777777" w:rsidR="006F5BFE" w:rsidRPr="003B2277" w:rsidRDefault="006F5BFE" w:rsidP="005B4D60">
            <w:pPr>
              <w:spacing w:after="120"/>
              <w:rPr>
                <w:szCs w:val="24"/>
                <w:lang w:eastAsia="en-US"/>
              </w:rPr>
            </w:pPr>
            <w:r w:rsidRPr="003B2277">
              <w:rPr>
                <w:rFonts w:eastAsia="Calibri" w:cs="Mangal"/>
                <w:lang w:eastAsia="en-US"/>
              </w:rPr>
              <w:t>Drugi pododstavek ne posega v pravico proizvajalca, da tako minimalno trajanje pogodbe zavrne, pod pogojem, da to stori pisno. V tem primeru se stranki prosto pogajata o vseh elementih pogodbe, tudi o elementih iz točke (c) odstavka 4.</w:t>
            </w:r>
          </w:p>
        </w:tc>
      </w:tr>
      <w:tr w:rsidR="006F5BFE" w:rsidRPr="003B2277" w14:paraId="739010C0" w14:textId="77777777" w:rsidTr="005B4D60">
        <w:trPr>
          <w:jc w:val="center"/>
        </w:trPr>
        <w:tc>
          <w:tcPr>
            <w:tcW w:w="4876" w:type="dxa"/>
            <w:hideMark/>
          </w:tcPr>
          <w:p w14:paraId="6D9023E1" w14:textId="0F4BE9ED" w:rsidR="006F5BFE" w:rsidRPr="003B2277" w:rsidRDefault="006F5BFE" w:rsidP="005B4D60">
            <w:pPr>
              <w:spacing w:after="120"/>
              <w:rPr>
                <w:lang w:eastAsia="en-US"/>
              </w:rPr>
            </w:pPr>
            <w:r w:rsidRPr="003B2277">
              <w:rPr>
                <w:rFonts w:eastAsia="Calibri" w:cs="Mangal"/>
                <w:lang w:eastAsia="en-US"/>
              </w:rPr>
              <w:t>7.</w:t>
            </w:r>
            <w:r w:rsidRPr="003B2277">
              <w:rPr>
                <w:rFonts w:eastAsia="Calibri" w:cs="Mangal"/>
                <w:lang w:eastAsia="en-US"/>
              </w:rPr>
              <w:tab/>
              <w:t>Države članice, ki uporabljajo možnosti iz tega člena, zagotovijo, da sprejete določbe ne škodujejo pravilnemu delovanju notranjega trga.</w:t>
            </w:r>
            <w:r w:rsidR="000450C5" w:rsidRPr="003B2277">
              <w:rPr>
                <w:rFonts w:eastAsia="Calibri" w:cs="Mangal"/>
                <w:lang w:eastAsia="en-US"/>
              </w:rPr>
              <w:t xml:space="preserve"> </w:t>
            </w:r>
            <w:r w:rsidRPr="003B2277">
              <w:rPr>
                <w:rFonts w:eastAsia="Calibri" w:cs="Mangal"/>
                <w:lang w:eastAsia="en-US"/>
              </w:rPr>
              <w:t>Države članice Komisijo obvestijo o tem, kako uporabljajo ukrepe, sprejete na podlagi tega člena.</w:t>
            </w:r>
          </w:p>
        </w:tc>
        <w:tc>
          <w:tcPr>
            <w:tcW w:w="4876" w:type="dxa"/>
            <w:hideMark/>
          </w:tcPr>
          <w:p w14:paraId="4DBD55C4" w14:textId="77777777" w:rsidR="006F5BFE" w:rsidRPr="003B2277" w:rsidRDefault="006F5BFE" w:rsidP="005B4D60">
            <w:pPr>
              <w:spacing w:after="120"/>
              <w:rPr>
                <w:szCs w:val="24"/>
                <w:lang w:eastAsia="en-US"/>
              </w:rPr>
            </w:pPr>
            <w:r w:rsidRPr="003B2277">
              <w:rPr>
                <w:rFonts w:eastAsia="Calibri" w:cs="Mangal"/>
                <w:lang w:eastAsia="en-US"/>
              </w:rPr>
              <w:t>7.</w:t>
            </w:r>
            <w:r w:rsidRPr="003B2277">
              <w:rPr>
                <w:rFonts w:eastAsia="Calibri" w:cs="Mangal"/>
                <w:lang w:eastAsia="en-US"/>
              </w:rPr>
              <w:tab/>
              <w:t>Države članice, ki uporabljajo možnosti iz tega člena, zagotovijo, da sprejete določbe ne škodujejo pravilnemu delovanju notranjega trga.</w:t>
            </w:r>
            <w:r w:rsidRPr="003B2277">
              <w:rPr>
                <w:rFonts w:eastAsia="Calibri" w:cs="Mangal"/>
                <w:b/>
                <w:i/>
                <w:lang w:eastAsia="en-US"/>
              </w:rPr>
              <w:t xml:space="preserve"> </w:t>
            </w:r>
            <w:r w:rsidRPr="003B2277">
              <w:rPr>
                <w:rFonts w:eastAsia="Calibri" w:cs="Mangal"/>
                <w:lang w:eastAsia="en-US"/>
              </w:rPr>
              <w:t>Države članice Komisijo obvestijo o tem, kako uporabljajo ukrepe, sprejete na podlagi tega člena.</w:t>
            </w:r>
          </w:p>
        </w:tc>
      </w:tr>
      <w:tr w:rsidR="006F5BFE" w:rsidRPr="003B2277" w14:paraId="0E763C7E" w14:textId="77777777" w:rsidTr="005B4D60">
        <w:trPr>
          <w:jc w:val="center"/>
        </w:trPr>
        <w:tc>
          <w:tcPr>
            <w:tcW w:w="4876" w:type="dxa"/>
            <w:hideMark/>
          </w:tcPr>
          <w:p w14:paraId="78DF79B4" w14:textId="77777777" w:rsidR="006F5BFE" w:rsidRPr="003B2277" w:rsidRDefault="006F5BFE" w:rsidP="005B4D60">
            <w:pPr>
              <w:spacing w:after="120"/>
              <w:rPr>
                <w:lang w:eastAsia="en-US"/>
              </w:rPr>
            </w:pPr>
            <w:r w:rsidRPr="003B2277">
              <w:rPr>
                <w:rFonts w:eastAsia="Calibri" w:cs="Mangal"/>
                <w:lang w:eastAsia="en-US"/>
              </w:rPr>
              <w:t>8.</w:t>
            </w:r>
            <w:r w:rsidRPr="003B2277">
              <w:rPr>
                <w:rFonts w:eastAsia="Calibri" w:cs="Mangal"/>
                <w:lang w:eastAsia="en-US"/>
              </w:rPr>
              <w:tab/>
              <w:t>Komisija lahko sprejme izvedbene akte, s katerimi določi ukrepe, potrebne za enotno uporabo točk (a) in (b) odstavka 4 ter odstavka 5 tega člena, in ukrepe v zvezi z uradnim obveščanjem, ki ga države članice izvedejo v skladu s tem členom.</w:t>
            </w:r>
          </w:p>
        </w:tc>
        <w:tc>
          <w:tcPr>
            <w:tcW w:w="4876" w:type="dxa"/>
            <w:hideMark/>
          </w:tcPr>
          <w:p w14:paraId="304CD438" w14:textId="77777777" w:rsidR="006F5BFE" w:rsidRPr="003B2277" w:rsidRDefault="006F5BFE" w:rsidP="005B4D60">
            <w:pPr>
              <w:spacing w:after="120"/>
              <w:rPr>
                <w:szCs w:val="24"/>
                <w:lang w:eastAsia="en-US"/>
              </w:rPr>
            </w:pPr>
            <w:r w:rsidRPr="003B2277">
              <w:rPr>
                <w:rFonts w:eastAsia="Calibri" w:cs="Mangal"/>
                <w:lang w:eastAsia="en-US"/>
              </w:rPr>
              <w:t>8.</w:t>
            </w:r>
            <w:r w:rsidRPr="003B2277">
              <w:rPr>
                <w:rFonts w:eastAsia="Calibri" w:cs="Mangal"/>
                <w:lang w:eastAsia="en-US"/>
              </w:rPr>
              <w:tab/>
              <w:t>Komisija lahko sprejme izvedbene akte, s katerimi določi ukrepe, potrebne za enotno uporabo točk (a) in (b) odstavka 4 ter odstavka 5 tega člena, in ukrepe v zvezi z uradnim obveščanjem, ki ga države članice izvedejo v skladu s tem členom.</w:t>
            </w:r>
          </w:p>
        </w:tc>
      </w:tr>
      <w:tr w:rsidR="006F5BFE" w:rsidRPr="003B2277" w14:paraId="48466F1C" w14:textId="77777777" w:rsidTr="005B4D60">
        <w:trPr>
          <w:jc w:val="center"/>
        </w:trPr>
        <w:tc>
          <w:tcPr>
            <w:tcW w:w="4876" w:type="dxa"/>
            <w:hideMark/>
          </w:tcPr>
          <w:p w14:paraId="68FB6093" w14:textId="77777777" w:rsidR="006F5BFE" w:rsidRPr="003B2277" w:rsidRDefault="006F5BFE" w:rsidP="005B4D60">
            <w:pPr>
              <w:spacing w:after="120"/>
              <w:rPr>
                <w:lang w:eastAsia="en-US"/>
              </w:rPr>
            </w:pPr>
            <w:r w:rsidRPr="003B2277">
              <w:rPr>
                <w:rFonts w:eastAsia="Calibri" w:cs="Mangal"/>
                <w:lang w:eastAsia="en-US"/>
              </w:rPr>
              <w:t>Ti izvedbeni akti se sprejmejo v skladu s postopkom pregleda iz člena 229(2).</w:t>
            </w:r>
          </w:p>
        </w:tc>
        <w:tc>
          <w:tcPr>
            <w:tcW w:w="4876" w:type="dxa"/>
            <w:hideMark/>
          </w:tcPr>
          <w:p w14:paraId="0EB4C717" w14:textId="77777777" w:rsidR="006F5BFE" w:rsidRPr="003B2277" w:rsidRDefault="006F5BFE" w:rsidP="005B4D60">
            <w:pPr>
              <w:spacing w:after="120"/>
              <w:rPr>
                <w:szCs w:val="24"/>
                <w:lang w:eastAsia="en-US"/>
              </w:rPr>
            </w:pPr>
            <w:r w:rsidRPr="003B2277">
              <w:rPr>
                <w:rFonts w:eastAsia="Calibri" w:cs="Mangal"/>
                <w:lang w:eastAsia="en-US"/>
              </w:rPr>
              <w:t>Ti izvedbeni akti se sprejmejo v skladu s postopkom pregleda iz člena 229(2).</w:t>
            </w:r>
            <w:r w:rsidRPr="003B2277">
              <w:rPr>
                <w:rFonts w:eastAsia="Calibri" w:cs="Mangal"/>
                <w:b/>
                <w:i/>
                <w:lang w:eastAsia="en-US"/>
              </w:rPr>
              <w:t>“</w:t>
            </w:r>
          </w:p>
        </w:tc>
      </w:tr>
    </w:tbl>
    <w:p w14:paraId="0607E1A1" w14:textId="77777777" w:rsidR="006F5BFE" w:rsidRPr="003B2277" w:rsidRDefault="006F5BFE" w:rsidP="006F5BFE">
      <w:pPr>
        <w:rPr>
          <w:lang w:eastAsia="en-US"/>
        </w:rPr>
      </w:pPr>
    </w:p>
    <w:p w14:paraId="7767A318" w14:textId="5CCD2D2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127</w:t>
      </w:r>
    </w:p>
    <w:p w14:paraId="5DE8C61B" w14:textId="77777777" w:rsidR="006F5BFE" w:rsidRPr="003B2277" w:rsidRDefault="006F5BFE" w:rsidP="006F5BFE">
      <w:pPr>
        <w:spacing w:before="240"/>
        <w:rPr>
          <w:b/>
          <w:lang w:eastAsia="en-US"/>
        </w:rPr>
      </w:pPr>
      <w:r w:rsidRPr="003B2277">
        <w:rPr>
          <w:rFonts w:eastAsia="Calibri" w:cs="Mangal"/>
          <w:b/>
          <w:lang w:eastAsia="en-US"/>
        </w:rPr>
        <w:t>Predlog uredbe</w:t>
      </w:r>
    </w:p>
    <w:p w14:paraId="4604D359" w14:textId="4A9A4A41"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v</w:t>
      </w:r>
      <w:r w:rsidRPr="003B2277">
        <w:rPr>
          <w:rFonts w:eastAsia="Calibri" w:cs="Mangal"/>
          <w:b/>
          <w:lang w:eastAsia="en-US"/>
        </w:rPr>
        <w:t xml:space="preserve"> (novo)</w:t>
      </w:r>
    </w:p>
    <w:p w14:paraId="422CD97E" w14:textId="77777777" w:rsidR="006F5BFE" w:rsidRPr="003B2277" w:rsidRDefault="006F5BFE" w:rsidP="006F5BFE">
      <w:pPr>
        <w:keepNext/>
        <w:rPr>
          <w:lang w:eastAsia="en-US"/>
        </w:rPr>
      </w:pPr>
      <w:r w:rsidRPr="003B2277">
        <w:rPr>
          <w:rFonts w:eastAsia="Calibri" w:cs="Mangal"/>
          <w:lang w:eastAsia="en-US"/>
        </w:rPr>
        <w:t>Uredba (EU) št. 1308/2013</w:t>
      </w:r>
    </w:p>
    <w:p w14:paraId="4DA0A0A6" w14:textId="77777777" w:rsidR="006F5BFE" w:rsidRPr="003B2277" w:rsidRDefault="006F5BFE" w:rsidP="006F5BFE">
      <w:pPr>
        <w:rPr>
          <w:lang w:eastAsia="en-US"/>
        </w:rPr>
      </w:pPr>
      <w:r w:rsidRPr="003B2277">
        <w:rPr>
          <w:rFonts w:eastAsia="Calibri" w:cs="Mangal"/>
          <w:lang w:eastAsia="en-US"/>
        </w:rPr>
        <w:t>Člen 172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8A985BE" w14:textId="77777777" w:rsidTr="005B4D60">
        <w:trPr>
          <w:jc w:val="center"/>
        </w:trPr>
        <w:tc>
          <w:tcPr>
            <w:tcW w:w="9752" w:type="dxa"/>
            <w:gridSpan w:val="2"/>
          </w:tcPr>
          <w:p w14:paraId="263FCD08" w14:textId="77777777" w:rsidR="006F5BFE" w:rsidRPr="003B2277" w:rsidRDefault="006F5BFE" w:rsidP="005B4D60">
            <w:pPr>
              <w:keepNext/>
            </w:pPr>
          </w:p>
        </w:tc>
      </w:tr>
      <w:tr w:rsidR="006F5BFE" w:rsidRPr="003B2277" w14:paraId="526CD012" w14:textId="77777777" w:rsidTr="005B4D60">
        <w:trPr>
          <w:jc w:val="center"/>
        </w:trPr>
        <w:tc>
          <w:tcPr>
            <w:tcW w:w="4876" w:type="dxa"/>
            <w:hideMark/>
          </w:tcPr>
          <w:p w14:paraId="1A7CC210"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F2D92FD" w14:textId="464A69A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E88F6A2" w14:textId="77777777" w:rsidTr="005B4D60">
        <w:trPr>
          <w:jc w:val="center"/>
        </w:trPr>
        <w:tc>
          <w:tcPr>
            <w:tcW w:w="4876" w:type="dxa"/>
          </w:tcPr>
          <w:p w14:paraId="33772C6A" w14:textId="77777777" w:rsidR="006F5BFE" w:rsidRPr="003B2277" w:rsidRDefault="006F5BFE" w:rsidP="005B4D60">
            <w:pPr>
              <w:spacing w:after="120"/>
            </w:pPr>
          </w:p>
        </w:tc>
        <w:tc>
          <w:tcPr>
            <w:tcW w:w="4876" w:type="dxa"/>
            <w:hideMark/>
          </w:tcPr>
          <w:p w14:paraId="7DEFAB3B" w14:textId="1C1F87D7"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v</w:t>
            </w:r>
            <w:r w:rsidRPr="003B2277">
              <w:rPr>
                <w:rFonts w:eastAsia="Calibri" w:cs="Mangal"/>
                <w:b/>
                <w:i/>
                <w:lang w:eastAsia="en-US"/>
              </w:rPr>
              <w:t>)</w:t>
            </w:r>
            <w:r w:rsidRPr="003B2277">
              <w:rPr>
                <w:rFonts w:eastAsia="Calibri" w:cs="Mangal"/>
                <w:b/>
                <w:i/>
                <w:lang w:eastAsia="en-US"/>
              </w:rPr>
              <w:tab/>
              <w:t>v členu 172 se odstavek 2 nadomesti z naslednjim:</w:t>
            </w:r>
          </w:p>
        </w:tc>
      </w:tr>
      <w:tr w:rsidR="006F5BFE" w:rsidRPr="003B2277" w14:paraId="5A2BAE8B" w14:textId="77777777" w:rsidTr="005B4D60">
        <w:trPr>
          <w:jc w:val="center"/>
        </w:trPr>
        <w:tc>
          <w:tcPr>
            <w:tcW w:w="4876" w:type="dxa"/>
            <w:hideMark/>
          </w:tcPr>
          <w:p w14:paraId="176A9CF7" w14:textId="64E3EA14"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Pravila iz odstavka 1 tega člena so pogojena z obstojem predhodnega sporazuma med strankami na geografskem območju iz točke (c) člena 7(1) Uredbe (EU) št. 1151/2012. Tak sporazum se po posvetovanju z rejci prašičev na geografskem območju sklene med vsaj dvema tretjinama predelovalcev tega stegna, ki predstavljata najmanj dve tretjini proizvodnje tega stegna na geografskem območju iz točke (c) člena 7(1)</w:t>
            </w:r>
            <w:r w:rsidR="001E323C" w:rsidRPr="003B2277">
              <w:rPr>
                <w:rFonts w:eastAsia="Calibri" w:cs="Mangal"/>
                <w:lang w:eastAsia="en-US"/>
              </w:rPr>
              <w:t xml:space="preserve"> </w:t>
            </w:r>
            <w:r w:rsidRPr="003B2277">
              <w:rPr>
                <w:rFonts w:eastAsia="Calibri" w:cs="Mangal"/>
                <w:lang w:eastAsia="en-US"/>
              </w:rPr>
              <w:t>Uredbe (EU) št.</w:t>
            </w:r>
            <w:r w:rsidRPr="003B2277">
              <w:rPr>
                <w:rFonts w:eastAsia="Calibri" w:cs="Mangal"/>
                <w:b/>
                <w:i/>
                <w:lang w:eastAsia="en-US"/>
              </w:rPr>
              <w:t xml:space="preserve"> </w:t>
            </w:r>
            <w:r w:rsidRPr="003B2277">
              <w:rPr>
                <w:rFonts w:eastAsia="Calibri" w:cs="Mangal"/>
                <w:lang w:eastAsia="en-US"/>
              </w:rPr>
              <w:t xml:space="preserve">1151/2012 in, če to kot ustrezno oceni država članica, najmanj dvema tretjinama rejcev prašičev na geografskem območju iz </w:t>
            </w:r>
            <w:r w:rsidRPr="003B2277">
              <w:rPr>
                <w:rFonts w:eastAsia="Calibri" w:cs="Mangal"/>
                <w:b/>
                <w:i/>
                <w:lang w:eastAsia="en-US"/>
              </w:rPr>
              <w:t>točke (c) člena 7(1) Uredbe (EU) št</w:t>
            </w:r>
            <w:r w:rsidRPr="003B2277">
              <w:rPr>
                <w:rFonts w:eastAsia="Calibri" w:cs="Mangal"/>
                <w:lang w:eastAsia="en-US"/>
              </w:rPr>
              <w:t>.</w:t>
            </w:r>
            <w:r w:rsidRPr="003B2277">
              <w:rPr>
                <w:rFonts w:eastAsia="Calibri" w:cs="Mangal"/>
                <w:b/>
                <w:i/>
                <w:lang w:eastAsia="en-US"/>
              </w:rPr>
              <w:t xml:space="preserve"> 1151/2012.</w:t>
            </w:r>
          </w:p>
        </w:tc>
        <w:tc>
          <w:tcPr>
            <w:tcW w:w="4876" w:type="dxa"/>
            <w:hideMark/>
          </w:tcPr>
          <w:p w14:paraId="701469CC" w14:textId="2AC24E0E"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2.</w:t>
            </w:r>
            <w:r w:rsidRPr="003B2277">
              <w:rPr>
                <w:rFonts w:eastAsia="Calibri" w:cs="Mangal"/>
                <w:lang w:eastAsia="en-US"/>
              </w:rPr>
              <w:tab/>
              <w:t>Pravila iz odstavka 1 tega člena so pogojena z obstojem predhodnega sporazuma med strankami na geografskem območju iz točke (c) člena 7(1) Uredbe (EU) št. 1151/2012. Tak sporazum se po posvetovanju z rejci prašičev na geografskem območju sklene med vsaj dvema tretjinama predelovalcev tega stegna</w:t>
            </w:r>
            <w:r w:rsidRPr="003B2277">
              <w:rPr>
                <w:rFonts w:eastAsia="Calibri" w:cs="Mangal"/>
                <w:b/>
                <w:i/>
                <w:lang w:eastAsia="en-US"/>
              </w:rPr>
              <w:t xml:space="preserve"> ali njihovih predstavnikov</w:t>
            </w:r>
            <w:r w:rsidRPr="003B2277">
              <w:rPr>
                <w:rFonts w:eastAsia="Calibri" w:cs="Mangal"/>
                <w:lang w:eastAsia="en-US"/>
              </w:rPr>
              <w:t>, ki predstavljata najmanj dve tretjini proizvodnje tega stegna na geografskem območju iz točke (c) člena 7(1)</w:t>
            </w:r>
            <w:r w:rsidR="001E323C" w:rsidRPr="003B2277">
              <w:rPr>
                <w:rFonts w:eastAsia="Calibri" w:cs="Mangal"/>
                <w:lang w:eastAsia="en-US"/>
              </w:rPr>
              <w:t xml:space="preserve"> </w:t>
            </w:r>
            <w:r w:rsidRPr="003B2277">
              <w:rPr>
                <w:rFonts w:eastAsia="Calibri" w:cs="Mangal"/>
                <w:lang w:eastAsia="en-US"/>
              </w:rPr>
              <w:t>Uredbe (EU) št.</w:t>
            </w:r>
            <w:r w:rsidRPr="003B2277">
              <w:rPr>
                <w:rFonts w:eastAsia="Calibri" w:cs="Mangal"/>
                <w:b/>
                <w:i/>
                <w:lang w:eastAsia="en-US"/>
              </w:rPr>
              <w:t> </w:t>
            </w:r>
            <w:r w:rsidRPr="003B2277">
              <w:rPr>
                <w:rFonts w:eastAsia="Calibri" w:cs="Mangal"/>
                <w:lang w:eastAsia="en-US"/>
              </w:rPr>
              <w:t xml:space="preserve">1151/2012 in, če to kot ustrezno oceni država članica, najmanj dvema tretjinama rejcev prašičev na geografskem območju iz </w:t>
            </w:r>
            <w:r w:rsidRPr="003B2277">
              <w:rPr>
                <w:rFonts w:eastAsia="Calibri" w:cs="Mangal"/>
                <w:b/>
                <w:i/>
                <w:lang w:eastAsia="en-US"/>
              </w:rPr>
              <w:t>te točke</w:t>
            </w:r>
            <w:r w:rsidRPr="003B2277">
              <w:rPr>
                <w:rFonts w:eastAsia="Calibri" w:cs="Mangal"/>
                <w:lang w:eastAsia="en-US"/>
              </w:rPr>
              <w:t>.</w:t>
            </w:r>
            <w:r w:rsidRPr="003B2277">
              <w:rPr>
                <w:rFonts w:eastAsia="Calibri" w:cs="Mangal"/>
                <w:b/>
                <w:i/>
                <w:lang w:eastAsia="en-US"/>
              </w:rPr>
              <w:t>“;</w:t>
            </w:r>
          </w:p>
        </w:tc>
      </w:tr>
    </w:tbl>
    <w:p w14:paraId="50D1A757" w14:textId="64843146"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7D4DB2E8" w14:textId="2E31588B" w:rsidR="004E4D6B" w:rsidRPr="008C456F" w:rsidRDefault="008C7773" w:rsidP="004E4D6B">
      <w:pPr>
        <w:pStyle w:val="AmNumberTabs0"/>
      </w:pPr>
      <w:r>
        <w:t>Sprememba</w:t>
      </w:r>
      <w:r w:rsidR="004E4D6B" w:rsidRPr="008C456F">
        <w:tab/>
      </w:r>
      <w:r w:rsidR="004E4D6B" w:rsidRPr="008C456F">
        <w:tab/>
        <w:t>244</w:t>
      </w:r>
    </w:p>
    <w:p w14:paraId="28D567BE" w14:textId="77777777" w:rsidR="004E4D6B" w:rsidRPr="008C456F" w:rsidRDefault="004E4D6B" w:rsidP="004E4D6B">
      <w:pPr>
        <w:pStyle w:val="NormalBold12b"/>
      </w:pPr>
      <w:r w:rsidRPr="008C456F">
        <w:t>Predlog uredbe</w:t>
      </w:r>
    </w:p>
    <w:p w14:paraId="1DF9A86F" w14:textId="22A1451B" w:rsidR="004E4D6B" w:rsidRPr="008C456F" w:rsidRDefault="004E4D6B" w:rsidP="004E4D6B">
      <w:pPr>
        <w:pStyle w:val="NormalBold"/>
      </w:pPr>
      <w:r w:rsidRPr="008C456F">
        <w:t xml:space="preserve">Člen 1 – </w:t>
      </w:r>
      <w:r w:rsidR="005B2BFC">
        <w:t>odstavek 1 – točka 22 w</w:t>
      </w:r>
      <w:r w:rsidRPr="008C456F">
        <w:t xml:space="preserve"> (novo)</w:t>
      </w:r>
    </w:p>
    <w:p w14:paraId="0DBF7DF3" w14:textId="77777777" w:rsidR="004E4D6B" w:rsidRPr="008C456F" w:rsidRDefault="004E4D6B" w:rsidP="004E4D6B">
      <w:r w:rsidRPr="008C456F">
        <w:t>Uredba (EU) 1308/2013</w:t>
      </w:r>
    </w:p>
    <w:p w14:paraId="064F7BAB" w14:textId="77777777" w:rsidR="004E4D6B" w:rsidRPr="008C456F" w:rsidRDefault="004E4D6B" w:rsidP="004E4D6B">
      <w:r w:rsidRPr="008C456F">
        <w:t>Člen 172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8C456F" w14:paraId="0F0B9F98" w14:textId="77777777" w:rsidTr="00D056A8">
        <w:trPr>
          <w:jc w:val="center"/>
        </w:trPr>
        <w:tc>
          <w:tcPr>
            <w:tcW w:w="9752" w:type="dxa"/>
            <w:gridSpan w:val="2"/>
          </w:tcPr>
          <w:p w14:paraId="3247FEED" w14:textId="77777777" w:rsidR="004E4D6B" w:rsidRPr="008C456F" w:rsidRDefault="004E4D6B" w:rsidP="00D056A8">
            <w:pPr>
              <w:keepNext/>
            </w:pPr>
          </w:p>
        </w:tc>
      </w:tr>
      <w:tr w:rsidR="004E4D6B" w:rsidRPr="008C456F" w14:paraId="5900C387" w14:textId="77777777" w:rsidTr="00D056A8">
        <w:trPr>
          <w:jc w:val="center"/>
        </w:trPr>
        <w:tc>
          <w:tcPr>
            <w:tcW w:w="4876" w:type="dxa"/>
          </w:tcPr>
          <w:p w14:paraId="4BF6475C" w14:textId="77777777" w:rsidR="004E4D6B" w:rsidRPr="008C456F" w:rsidRDefault="004E4D6B" w:rsidP="00D056A8">
            <w:pPr>
              <w:pStyle w:val="AmColumnHeading"/>
              <w:keepNext/>
            </w:pPr>
            <w:r w:rsidRPr="008C456F">
              <w:t>Besedilo, ki ga predlaga Komisija</w:t>
            </w:r>
          </w:p>
        </w:tc>
        <w:tc>
          <w:tcPr>
            <w:tcW w:w="4876" w:type="dxa"/>
          </w:tcPr>
          <w:p w14:paraId="421C76A7" w14:textId="09D5005A" w:rsidR="004E4D6B" w:rsidRPr="008C456F" w:rsidRDefault="008C7773" w:rsidP="00D056A8">
            <w:pPr>
              <w:pStyle w:val="AmColumnHeading"/>
              <w:keepNext/>
            </w:pPr>
            <w:r>
              <w:t>Sprememba</w:t>
            </w:r>
          </w:p>
        </w:tc>
      </w:tr>
      <w:tr w:rsidR="004E4D6B" w:rsidRPr="008C456F" w14:paraId="222581BA" w14:textId="77777777" w:rsidTr="00D056A8">
        <w:trPr>
          <w:jc w:val="center"/>
        </w:trPr>
        <w:tc>
          <w:tcPr>
            <w:tcW w:w="4876" w:type="dxa"/>
          </w:tcPr>
          <w:p w14:paraId="0D59EA3D" w14:textId="77777777" w:rsidR="004E4D6B" w:rsidRPr="008C456F" w:rsidRDefault="004E4D6B" w:rsidP="00D056A8">
            <w:pPr>
              <w:pStyle w:val="Normal6a"/>
            </w:pPr>
          </w:p>
        </w:tc>
        <w:tc>
          <w:tcPr>
            <w:tcW w:w="4876" w:type="dxa"/>
          </w:tcPr>
          <w:p w14:paraId="4D7BD19E" w14:textId="019722AD" w:rsidR="004E4D6B" w:rsidRPr="008C456F" w:rsidRDefault="005B2BFC" w:rsidP="00D056A8">
            <w:pPr>
              <w:pStyle w:val="Normal6"/>
              <w:rPr>
                <w:szCs w:val="24"/>
              </w:rPr>
            </w:pPr>
            <w:r>
              <w:rPr>
                <w:b/>
                <w:i/>
              </w:rPr>
              <w:t>(22w</w:t>
            </w:r>
            <w:r w:rsidR="004E4D6B" w:rsidRPr="008C456F">
              <w:rPr>
                <w:b/>
                <w:i/>
              </w:rPr>
              <w:t>)</w:t>
            </w:r>
            <w:r w:rsidR="004E4D6B" w:rsidRPr="008C456F">
              <w:rPr>
                <w:b/>
                <w:i/>
              </w:rPr>
              <w:tab/>
              <w:t>vstavi se naslednji člen:</w:t>
            </w:r>
          </w:p>
        </w:tc>
      </w:tr>
      <w:tr w:rsidR="004E4D6B" w:rsidRPr="008C456F" w14:paraId="3FA78D4A" w14:textId="77777777" w:rsidTr="00D056A8">
        <w:trPr>
          <w:jc w:val="center"/>
        </w:trPr>
        <w:tc>
          <w:tcPr>
            <w:tcW w:w="4876" w:type="dxa"/>
          </w:tcPr>
          <w:p w14:paraId="13EE828E" w14:textId="77777777" w:rsidR="004E4D6B" w:rsidRPr="008C456F" w:rsidRDefault="004E4D6B" w:rsidP="00D056A8">
            <w:pPr>
              <w:pStyle w:val="Normal6a"/>
            </w:pPr>
          </w:p>
        </w:tc>
        <w:tc>
          <w:tcPr>
            <w:tcW w:w="4876" w:type="dxa"/>
          </w:tcPr>
          <w:p w14:paraId="40134E17" w14:textId="77777777" w:rsidR="004E4D6B" w:rsidRPr="008C456F" w:rsidRDefault="004E4D6B" w:rsidP="00D056A8">
            <w:pPr>
              <w:pStyle w:val="Normal6"/>
              <w:rPr>
                <w:szCs w:val="24"/>
              </w:rPr>
            </w:pPr>
            <w:r w:rsidRPr="008C456F">
              <w:rPr>
                <w:b/>
                <w:i/>
              </w:rPr>
              <w:t>„Člen 172a</w:t>
            </w:r>
          </w:p>
        </w:tc>
      </w:tr>
      <w:tr w:rsidR="004E4D6B" w:rsidRPr="008C456F" w14:paraId="7A350E00" w14:textId="77777777" w:rsidTr="00D056A8">
        <w:trPr>
          <w:jc w:val="center"/>
        </w:trPr>
        <w:tc>
          <w:tcPr>
            <w:tcW w:w="4876" w:type="dxa"/>
          </w:tcPr>
          <w:p w14:paraId="19E42DEC" w14:textId="77777777" w:rsidR="004E4D6B" w:rsidRPr="008C456F" w:rsidRDefault="004E4D6B" w:rsidP="00D056A8">
            <w:pPr>
              <w:pStyle w:val="Normal6a"/>
            </w:pPr>
          </w:p>
        </w:tc>
        <w:tc>
          <w:tcPr>
            <w:tcW w:w="4876" w:type="dxa"/>
          </w:tcPr>
          <w:p w14:paraId="61C268A3" w14:textId="77777777" w:rsidR="004E4D6B" w:rsidRPr="008C456F" w:rsidRDefault="004E4D6B" w:rsidP="00D056A8">
            <w:pPr>
              <w:pStyle w:val="Normal6"/>
              <w:rPr>
                <w:szCs w:val="24"/>
              </w:rPr>
            </w:pPr>
            <w:r w:rsidRPr="008C456F">
              <w:rPr>
                <w:b/>
                <w:i/>
              </w:rPr>
              <w:t>Porazdelitev vrednosti za medpanožne organizacije</w:t>
            </w:r>
          </w:p>
        </w:tc>
      </w:tr>
      <w:tr w:rsidR="004E4D6B" w:rsidRPr="008C456F" w14:paraId="0F57140A" w14:textId="77777777" w:rsidTr="00D056A8">
        <w:trPr>
          <w:jc w:val="center"/>
        </w:trPr>
        <w:tc>
          <w:tcPr>
            <w:tcW w:w="4876" w:type="dxa"/>
          </w:tcPr>
          <w:p w14:paraId="60671F91" w14:textId="77777777" w:rsidR="004E4D6B" w:rsidRPr="008C456F" w:rsidRDefault="004E4D6B" w:rsidP="00D056A8">
            <w:pPr>
              <w:pStyle w:val="Normal6a"/>
            </w:pPr>
          </w:p>
        </w:tc>
        <w:tc>
          <w:tcPr>
            <w:tcW w:w="4876" w:type="dxa"/>
          </w:tcPr>
          <w:p w14:paraId="6F32EA65" w14:textId="77777777" w:rsidR="004E4D6B" w:rsidRPr="008C456F" w:rsidRDefault="004E4D6B" w:rsidP="00D056A8">
            <w:pPr>
              <w:pStyle w:val="Normal6"/>
              <w:rPr>
                <w:szCs w:val="24"/>
              </w:rPr>
            </w:pPr>
            <w:r w:rsidRPr="008C456F">
              <w:rPr>
                <w:b/>
                <w:i/>
              </w:rPr>
              <w:t>Brez poseganja v kakršne koli posebne klavzule o porazdelitvi vrednosti v sektorju sladkorja se lahko kmetje, pa tudi združenja kmetov, in njihovi prvi kupci ter eno ali več podjetij, ki delujejo na različnih ravneh proizvodne, predelovalne ali distribucijske verige, dogovorijo o klavzulah o porazdelitvi vrednosti, vključno z dogajanjem na referenčnih trgih, ki določajo, kako se vsak razvoj relevantnih tržnih cen za zadevne proizvode ali drugih trgov primarnih proizvodov porazdeli med njimi, pri čemer je treba upoštevati proizvodne stroške.“</w:t>
            </w:r>
          </w:p>
        </w:tc>
      </w:tr>
    </w:tbl>
    <w:p w14:paraId="071B6D5E" w14:textId="77777777" w:rsidR="006F5BFE" w:rsidRPr="003B2277" w:rsidRDefault="006F5BFE" w:rsidP="006F5BFE">
      <w:pPr>
        <w:rPr>
          <w:lang w:eastAsia="en-US"/>
        </w:rPr>
      </w:pPr>
    </w:p>
    <w:p w14:paraId="2EC339CD" w14:textId="77777777"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128D4751" w14:textId="4EDA2654" w:rsidR="004E4D6B" w:rsidRPr="00BA43EB" w:rsidRDefault="008C7773" w:rsidP="004E4D6B">
      <w:pPr>
        <w:pStyle w:val="AmNumberTabs0"/>
      </w:pPr>
      <w:r>
        <w:t>Sprememba</w:t>
      </w:r>
      <w:r w:rsidR="004E4D6B" w:rsidRPr="00BA43EB">
        <w:tab/>
      </w:r>
      <w:r w:rsidR="004E4D6B" w:rsidRPr="00BA43EB">
        <w:tab/>
        <w:t>245</w:t>
      </w:r>
    </w:p>
    <w:p w14:paraId="50F599BC" w14:textId="77777777" w:rsidR="004E4D6B" w:rsidRPr="00BA43EB" w:rsidRDefault="004E4D6B" w:rsidP="004E4D6B">
      <w:pPr>
        <w:pStyle w:val="NormalBold12b"/>
      </w:pPr>
      <w:r w:rsidRPr="00BA43EB">
        <w:t>Predlog uredbe</w:t>
      </w:r>
    </w:p>
    <w:p w14:paraId="79179AAF" w14:textId="7D2FBAD6" w:rsidR="004E4D6B" w:rsidRPr="00BA43EB" w:rsidRDefault="005B2BFC" w:rsidP="004E4D6B">
      <w:pPr>
        <w:pStyle w:val="NormalBold"/>
      </w:pPr>
      <w:r>
        <w:t>Člen 1 – odstavek 1 – točka 22 x</w:t>
      </w:r>
      <w:r w:rsidR="004E4D6B" w:rsidRPr="00BA43EB">
        <w:t xml:space="preserve"> (novo)</w:t>
      </w:r>
    </w:p>
    <w:p w14:paraId="1996202A" w14:textId="77777777" w:rsidR="004E4D6B" w:rsidRPr="00BA43EB" w:rsidRDefault="004E4D6B" w:rsidP="004E4D6B">
      <w:r w:rsidRPr="00BA43EB">
        <w:t>Uredba (EU) 1308/2013</w:t>
      </w:r>
    </w:p>
    <w:p w14:paraId="2F5CB703" w14:textId="77777777" w:rsidR="004E4D6B" w:rsidRPr="00BA43EB" w:rsidRDefault="004E4D6B" w:rsidP="004E4D6B">
      <w:r w:rsidRPr="00BA43EB">
        <w:t>Člen 172 b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BA43EB" w14:paraId="121FFF10" w14:textId="77777777" w:rsidTr="00D056A8">
        <w:trPr>
          <w:jc w:val="center"/>
        </w:trPr>
        <w:tc>
          <w:tcPr>
            <w:tcW w:w="9752" w:type="dxa"/>
            <w:gridSpan w:val="2"/>
          </w:tcPr>
          <w:p w14:paraId="12E5BA12" w14:textId="77777777" w:rsidR="004E4D6B" w:rsidRPr="00BA43EB" w:rsidRDefault="004E4D6B" w:rsidP="00D056A8">
            <w:pPr>
              <w:keepNext/>
            </w:pPr>
          </w:p>
        </w:tc>
      </w:tr>
      <w:tr w:rsidR="004E4D6B" w:rsidRPr="00BA43EB" w14:paraId="7BE1A6CF" w14:textId="77777777" w:rsidTr="00D056A8">
        <w:trPr>
          <w:jc w:val="center"/>
        </w:trPr>
        <w:tc>
          <w:tcPr>
            <w:tcW w:w="4876" w:type="dxa"/>
          </w:tcPr>
          <w:p w14:paraId="7088B6F7" w14:textId="77777777" w:rsidR="004E4D6B" w:rsidRPr="00BA43EB" w:rsidRDefault="004E4D6B" w:rsidP="00D056A8">
            <w:pPr>
              <w:pStyle w:val="AmColumnHeading"/>
              <w:keepNext/>
            </w:pPr>
            <w:r w:rsidRPr="00BA43EB">
              <w:t>Besedilo, ki ga predlaga Komisija</w:t>
            </w:r>
          </w:p>
        </w:tc>
        <w:tc>
          <w:tcPr>
            <w:tcW w:w="4876" w:type="dxa"/>
          </w:tcPr>
          <w:p w14:paraId="47E01DBD" w14:textId="0E44D897" w:rsidR="004E4D6B" w:rsidRPr="00BA43EB" w:rsidRDefault="008C7773" w:rsidP="00D056A8">
            <w:pPr>
              <w:pStyle w:val="AmColumnHeading"/>
              <w:keepNext/>
            </w:pPr>
            <w:r>
              <w:t>Sprememba</w:t>
            </w:r>
          </w:p>
        </w:tc>
      </w:tr>
      <w:tr w:rsidR="004E4D6B" w:rsidRPr="00BA43EB" w14:paraId="297A1F1A" w14:textId="77777777" w:rsidTr="00D056A8">
        <w:trPr>
          <w:jc w:val="center"/>
        </w:trPr>
        <w:tc>
          <w:tcPr>
            <w:tcW w:w="4876" w:type="dxa"/>
          </w:tcPr>
          <w:p w14:paraId="1AC95A86" w14:textId="77777777" w:rsidR="004E4D6B" w:rsidRPr="00BA43EB" w:rsidRDefault="004E4D6B" w:rsidP="00D056A8">
            <w:pPr>
              <w:pStyle w:val="Normal6a"/>
            </w:pPr>
          </w:p>
        </w:tc>
        <w:tc>
          <w:tcPr>
            <w:tcW w:w="4876" w:type="dxa"/>
          </w:tcPr>
          <w:p w14:paraId="39A27BF4" w14:textId="1968CCBC" w:rsidR="004E4D6B" w:rsidRPr="00BA43EB" w:rsidRDefault="005B2BFC" w:rsidP="00D056A8">
            <w:pPr>
              <w:pStyle w:val="Normal6"/>
              <w:rPr>
                <w:szCs w:val="24"/>
              </w:rPr>
            </w:pPr>
            <w:r>
              <w:rPr>
                <w:b/>
                <w:i/>
              </w:rPr>
              <w:t>(22x</w:t>
            </w:r>
            <w:r w:rsidR="004E4D6B" w:rsidRPr="00BA43EB">
              <w:rPr>
                <w:b/>
                <w:i/>
              </w:rPr>
              <w:t>)</w:t>
            </w:r>
            <w:r w:rsidR="004E4D6B" w:rsidRPr="00BA43EB">
              <w:rPr>
                <w:b/>
                <w:i/>
              </w:rPr>
              <w:tab/>
              <w:t>vstavi se naslednji člen:</w:t>
            </w:r>
          </w:p>
        </w:tc>
      </w:tr>
      <w:tr w:rsidR="004E4D6B" w:rsidRPr="00BA43EB" w14:paraId="45345236" w14:textId="77777777" w:rsidTr="00D056A8">
        <w:trPr>
          <w:jc w:val="center"/>
        </w:trPr>
        <w:tc>
          <w:tcPr>
            <w:tcW w:w="4876" w:type="dxa"/>
          </w:tcPr>
          <w:p w14:paraId="4D07EBA8" w14:textId="77777777" w:rsidR="004E4D6B" w:rsidRPr="00BA43EB" w:rsidRDefault="004E4D6B" w:rsidP="00D056A8">
            <w:pPr>
              <w:pStyle w:val="Normal6a"/>
            </w:pPr>
          </w:p>
        </w:tc>
        <w:tc>
          <w:tcPr>
            <w:tcW w:w="4876" w:type="dxa"/>
          </w:tcPr>
          <w:p w14:paraId="43E8633F" w14:textId="77777777" w:rsidR="004E4D6B" w:rsidRPr="00BA43EB" w:rsidRDefault="004E4D6B" w:rsidP="00D056A8">
            <w:pPr>
              <w:pStyle w:val="Normal6"/>
              <w:rPr>
                <w:szCs w:val="24"/>
              </w:rPr>
            </w:pPr>
            <w:r w:rsidRPr="00BA43EB">
              <w:rPr>
                <w:b/>
                <w:i/>
              </w:rPr>
              <w:t xml:space="preserve">„Člen 172b </w:t>
            </w:r>
          </w:p>
        </w:tc>
      </w:tr>
      <w:tr w:rsidR="004E4D6B" w:rsidRPr="00BA43EB" w14:paraId="3D6EC0D8" w14:textId="77777777" w:rsidTr="00D056A8">
        <w:trPr>
          <w:jc w:val="center"/>
        </w:trPr>
        <w:tc>
          <w:tcPr>
            <w:tcW w:w="4876" w:type="dxa"/>
          </w:tcPr>
          <w:p w14:paraId="0342B1CB" w14:textId="77777777" w:rsidR="004E4D6B" w:rsidRPr="00BA43EB" w:rsidRDefault="004E4D6B" w:rsidP="00D056A8">
            <w:pPr>
              <w:pStyle w:val="Normal6a"/>
            </w:pPr>
          </w:p>
        </w:tc>
        <w:tc>
          <w:tcPr>
            <w:tcW w:w="4876" w:type="dxa"/>
          </w:tcPr>
          <w:p w14:paraId="30AB79DC" w14:textId="77777777" w:rsidR="004E4D6B" w:rsidRPr="00BA43EB" w:rsidRDefault="004E4D6B" w:rsidP="00D056A8">
            <w:pPr>
              <w:pStyle w:val="Normal6"/>
              <w:rPr>
                <w:szCs w:val="24"/>
              </w:rPr>
            </w:pPr>
            <w:r w:rsidRPr="00BA43EB">
              <w:rPr>
                <w:b/>
                <w:i/>
              </w:rPr>
              <w:t>Porazdelitev vrednosti proizvodov z zaščiteno označbo porekla ali zaščiteno geografsko označbo</w:t>
            </w:r>
          </w:p>
        </w:tc>
      </w:tr>
      <w:tr w:rsidR="004E4D6B" w:rsidRPr="00BA43EB" w14:paraId="453CB1D3" w14:textId="77777777" w:rsidTr="00D056A8">
        <w:trPr>
          <w:jc w:val="center"/>
        </w:trPr>
        <w:tc>
          <w:tcPr>
            <w:tcW w:w="4876" w:type="dxa"/>
          </w:tcPr>
          <w:p w14:paraId="5CE8F9BB" w14:textId="77777777" w:rsidR="004E4D6B" w:rsidRPr="00BA43EB" w:rsidRDefault="004E4D6B" w:rsidP="00D056A8">
            <w:pPr>
              <w:pStyle w:val="Normal6a"/>
            </w:pPr>
          </w:p>
        </w:tc>
        <w:tc>
          <w:tcPr>
            <w:tcW w:w="4876" w:type="dxa"/>
          </w:tcPr>
          <w:p w14:paraId="70C15DE9" w14:textId="77777777" w:rsidR="004E4D6B" w:rsidRPr="00BA43EB" w:rsidRDefault="004E4D6B" w:rsidP="00D056A8">
            <w:pPr>
              <w:pStyle w:val="Normal6"/>
              <w:rPr>
                <w:szCs w:val="24"/>
              </w:rPr>
            </w:pPr>
            <w:r w:rsidRPr="00BA43EB">
              <w:rPr>
                <w:b/>
                <w:i/>
              </w:rPr>
              <w:t>Za proizvode z zaščiteno označbo porekla ali zaščiteno geografsko označbo, priznano v skladu s pravom Unije, lahko medpanožne organizacije, priznane v skladu s členom 157, sprejmejo pravila o porazdelitvi vrednosti med izvajalci dejavnosti na različnih ravneh pridelave ter po potrebi predelave in trženja, za katere lahko z odstopanjem od člena 101(1) PDEU zaprosijo za razširitev na podlagi člena 164(1) te uredbe.</w:t>
            </w:r>
          </w:p>
        </w:tc>
      </w:tr>
      <w:tr w:rsidR="004E4D6B" w:rsidRPr="00BA43EB" w14:paraId="2BACD15E" w14:textId="77777777" w:rsidTr="00D056A8">
        <w:trPr>
          <w:jc w:val="center"/>
        </w:trPr>
        <w:tc>
          <w:tcPr>
            <w:tcW w:w="4876" w:type="dxa"/>
          </w:tcPr>
          <w:p w14:paraId="447EC0FF" w14:textId="77777777" w:rsidR="004E4D6B" w:rsidRPr="00BA43EB" w:rsidRDefault="004E4D6B" w:rsidP="00D056A8">
            <w:pPr>
              <w:pStyle w:val="Normal6a"/>
            </w:pPr>
          </w:p>
        </w:tc>
        <w:tc>
          <w:tcPr>
            <w:tcW w:w="4876" w:type="dxa"/>
          </w:tcPr>
          <w:p w14:paraId="4DBECC34" w14:textId="77777777" w:rsidR="004E4D6B" w:rsidRPr="00BA43EB" w:rsidRDefault="004E4D6B" w:rsidP="00D056A8">
            <w:pPr>
              <w:pStyle w:val="Normal6"/>
              <w:rPr>
                <w:szCs w:val="24"/>
              </w:rPr>
            </w:pPr>
            <w:r w:rsidRPr="00BA43EB">
              <w:rPr>
                <w:b/>
                <w:i/>
              </w:rPr>
              <w:t>Takšni sporazumi, odločitve ali usklajene prakse morajo biti sorazmerni z zastavljenim ciljem in ne smejo:</w:t>
            </w:r>
          </w:p>
        </w:tc>
      </w:tr>
      <w:tr w:rsidR="004E4D6B" w:rsidRPr="00BA43EB" w14:paraId="216DA445" w14:textId="77777777" w:rsidTr="00D056A8">
        <w:trPr>
          <w:jc w:val="center"/>
        </w:trPr>
        <w:tc>
          <w:tcPr>
            <w:tcW w:w="4876" w:type="dxa"/>
          </w:tcPr>
          <w:p w14:paraId="1FE8BAE6" w14:textId="77777777" w:rsidR="004E4D6B" w:rsidRPr="00BA43EB" w:rsidRDefault="004E4D6B" w:rsidP="00D056A8">
            <w:pPr>
              <w:pStyle w:val="Normal6a"/>
            </w:pPr>
          </w:p>
        </w:tc>
        <w:tc>
          <w:tcPr>
            <w:tcW w:w="4876" w:type="dxa"/>
          </w:tcPr>
          <w:p w14:paraId="3E56C26D" w14:textId="77777777" w:rsidR="004E4D6B" w:rsidRPr="00BA43EB" w:rsidRDefault="004E4D6B" w:rsidP="00D056A8">
            <w:pPr>
              <w:pStyle w:val="Normal6"/>
              <w:rPr>
                <w:szCs w:val="24"/>
              </w:rPr>
            </w:pPr>
            <w:r w:rsidRPr="00BA43EB">
              <w:rPr>
                <w:b/>
                <w:i/>
              </w:rPr>
              <w:t>(a)</w:t>
            </w:r>
            <w:r w:rsidRPr="00BA43EB">
              <w:rPr>
                <w:b/>
                <w:i/>
              </w:rPr>
              <w:tab/>
              <w:t>zajemati določanja cen končnih proizvodov, ki se prodajajo potrošnikom;</w:t>
            </w:r>
          </w:p>
        </w:tc>
      </w:tr>
      <w:tr w:rsidR="004E4D6B" w:rsidRPr="00BA43EB" w14:paraId="2D6F6CCC" w14:textId="77777777" w:rsidTr="00D056A8">
        <w:trPr>
          <w:jc w:val="center"/>
        </w:trPr>
        <w:tc>
          <w:tcPr>
            <w:tcW w:w="4876" w:type="dxa"/>
          </w:tcPr>
          <w:p w14:paraId="0643A849" w14:textId="77777777" w:rsidR="004E4D6B" w:rsidRPr="00BA43EB" w:rsidRDefault="004E4D6B" w:rsidP="00D056A8">
            <w:pPr>
              <w:pStyle w:val="Normal6a"/>
            </w:pPr>
          </w:p>
        </w:tc>
        <w:tc>
          <w:tcPr>
            <w:tcW w:w="4876" w:type="dxa"/>
          </w:tcPr>
          <w:p w14:paraId="6C9BBB5A" w14:textId="77777777" w:rsidR="004E4D6B" w:rsidRPr="00BA43EB" w:rsidRDefault="004E4D6B" w:rsidP="00D056A8">
            <w:pPr>
              <w:pStyle w:val="Normal6"/>
              <w:rPr>
                <w:szCs w:val="24"/>
              </w:rPr>
            </w:pPr>
            <w:r w:rsidRPr="00BA43EB">
              <w:rPr>
                <w:b/>
                <w:i/>
              </w:rPr>
              <w:t>(b)</w:t>
            </w:r>
            <w:r w:rsidRPr="00BA43EB">
              <w:rPr>
                <w:b/>
                <w:i/>
              </w:rPr>
              <w:tab/>
              <w:t>preprečevati konkurence za bistveni del teh proizvodov;</w:t>
            </w:r>
          </w:p>
        </w:tc>
      </w:tr>
      <w:tr w:rsidR="004E4D6B" w:rsidRPr="00BA43EB" w14:paraId="1212336B" w14:textId="77777777" w:rsidTr="00D056A8">
        <w:trPr>
          <w:jc w:val="center"/>
        </w:trPr>
        <w:tc>
          <w:tcPr>
            <w:tcW w:w="4876" w:type="dxa"/>
          </w:tcPr>
          <w:p w14:paraId="26ADA6C0" w14:textId="77777777" w:rsidR="004E4D6B" w:rsidRPr="00BA43EB" w:rsidRDefault="004E4D6B" w:rsidP="00D056A8">
            <w:pPr>
              <w:pStyle w:val="Normal6a"/>
            </w:pPr>
          </w:p>
        </w:tc>
        <w:tc>
          <w:tcPr>
            <w:tcW w:w="4876" w:type="dxa"/>
          </w:tcPr>
          <w:p w14:paraId="6EE2E904" w14:textId="77777777" w:rsidR="004E4D6B" w:rsidRPr="00BA43EB" w:rsidRDefault="004E4D6B" w:rsidP="00D056A8">
            <w:pPr>
              <w:pStyle w:val="Normal6"/>
              <w:rPr>
                <w:szCs w:val="24"/>
              </w:rPr>
            </w:pPr>
            <w:r w:rsidRPr="00BA43EB">
              <w:rPr>
                <w:b/>
                <w:i/>
              </w:rPr>
              <w:t>(c) ustvarjati prevelikega neravnovesja med različnimi stopnjami vrednostne verige zadevnega sektorja.“</w:t>
            </w:r>
          </w:p>
        </w:tc>
      </w:tr>
    </w:tbl>
    <w:p w14:paraId="753A063D" w14:textId="7BAEA27C" w:rsidR="006F5BFE" w:rsidRDefault="006F5BFE" w:rsidP="006F5BFE">
      <w:pPr>
        <w:rPr>
          <w:lang w:eastAsia="en-US"/>
        </w:rPr>
      </w:pPr>
    </w:p>
    <w:p w14:paraId="759C7551" w14:textId="77777777" w:rsidR="004E4D6B" w:rsidRPr="003B2277" w:rsidRDefault="004E4D6B" w:rsidP="006F5BFE">
      <w:pPr>
        <w:rPr>
          <w:lang w:eastAsia="en-US"/>
        </w:rPr>
      </w:pPr>
    </w:p>
    <w:p w14:paraId="4E0E5895" w14:textId="7DE094A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130</w:t>
      </w:r>
    </w:p>
    <w:p w14:paraId="176920E0" w14:textId="77777777" w:rsidR="006F5BFE" w:rsidRPr="003B2277" w:rsidRDefault="006F5BFE" w:rsidP="006F5BFE"/>
    <w:p w14:paraId="371EF590" w14:textId="77777777" w:rsidR="006F5BFE" w:rsidRPr="003B2277" w:rsidRDefault="006F5BFE" w:rsidP="006F5BFE">
      <w:pPr>
        <w:keepNext/>
        <w:rPr>
          <w:b/>
          <w:lang w:eastAsia="en-US"/>
        </w:rPr>
      </w:pPr>
      <w:r w:rsidRPr="003B2277">
        <w:rPr>
          <w:rFonts w:eastAsia="Calibri" w:cs="Mangal"/>
          <w:b/>
          <w:lang w:eastAsia="en-US"/>
        </w:rPr>
        <w:t>Predlog uredbe</w:t>
      </w:r>
    </w:p>
    <w:p w14:paraId="39BF5407" w14:textId="01C475F9"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y</w:t>
      </w:r>
      <w:r w:rsidRPr="003B2277">
        <w:rPr>
          <w:rFonts w:eastAsia="Calibri" w:cs="Mangal"/>
          <w:b/>
          <w:lang w:eastAsia="en-US"/>
        </w:rPr>
        <w:t xml:space="preserve"> (novo)</w:t>
      </w:r>
    </w:p>
    <w:p w14:paraId="7C076BA7" w14:textId="77777777" w:rsidR="006F5BFE" w:rsidRPr="003B2277" w:rsidRDefault="006F5BFE" w:rsidP="006F5BFE">
      <w:pPr>
        <w:keepNext/>
        <w:rPr>
          <w:lang w:eastAsia="en-US"/>
        </w:rPr>
      </w:pPr>
      <w:r w:rsidRPr="003B2277">
        <w:rPr>
          <w:rFonts w:eastAsia="Calibri" w:cs="Mangal"/>
          <w:lang w:eastAsia="en-US"/>
        </w:rPr>
        <w:t>Uredba (EU) št. 1308/2013</w:t>
      </w:r>
    </w:p>
    <w:p w14:paraId="43B9E113" w14:textId="77777777" w:rsidR="006F5BFE" w:rsidRPr="003B2277" w:rsidRDefault="006F5BFE" w:rsidP="006F5BFE">
      <w:pPr>
        <w:rPr>
          <w:lang w:eastAsia="en-US"/>
        </w:rPr>
      </w:pPr>
      <w:r w:rsidRPr="003B2277">
        <w:rPr>
          <w:rFonts w:eastAsia="Calibri" w:cs="Mangal"/>
          <w:lang w:eastAsia="en-US"/>
        </w:rPr>
        <w:t>Člen 173 – odstavek 1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C4912D6" w14:textId="77777777" w:rsidTr="005B4D60">
        <w:trPr>
          <w:jc w:val="center"/>
        </w:trPr>
        <w:tc>
          <w:tcPr>
            <w:tcW w:w="9752" w:type="dxa"/>
            <w:gridSpan w:val="2"/>
          </w:tcPr>
          <w:p w14:paraId="4CFC7609" w14:textId="77777777" w:rsidR="006F5BFE" w:rsidRPr="003B2277" w:rsidRDefault="006F5BFE" w:rsidP="005B4D60">
            <w:pPr>
              <w:keepNext/>
            </w:pPr>
          </w:p>
        </w:tc>
      </w:tr>
      <w:tr w:rsidR="006F5BFE" w:rsidRPr="003B2277" w14:paraId="5EE7A5CF" w14:textId="77777777" w:rsidTr="005B4D60">
        <w:trPr>
          <w:jc w:val="center"/>
        </w:trPr>
        <w:tc>
          <w:tcPr>
            <w:tcW w:w="4876" w:type="dxa"/>
            <w:hideMark/>
          </w:tcPr>
          <w:p w14:paraId="6A644DDE"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250C2B58" w14:textId="2BB3084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F45B79B" w14:textId="77777777" w:rsidTr="005B4D60">
        <w:trPr>
          <w:jc w:val="center"/>
        </w:trPr>
        <w:tc>
          <w:tcPr>
            <w:tcW w:w="4876" w:type="dxa"/>
          </w:tcPr>
          <w:p w14:paraId="77D0E40A" w14:textId="77777777" w:rsidR="006F5BFE" w:rsidRPr="003B2277" w:rsidRDefault="006F5BFE" w:rsidP="005B4D60">
            <w:pPr>
              <w:spacing w:after="120"/>
            </w:pPr>
          </w:p>
        </w:tc>
        <w:tc>
          <w:tcPr>
            <w:tcW w:w="4876" w:type="dxa"/>
            <w:hideMark/>
          </w:tcPr>
          <w:p w14:paraId="23C95EC7" w14:textId="68EE7C04"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y</w:t>
            </w:r>
            <w:r w:rsidRPr="003B2277">
              <w:rPr>
                <w:rFonts w:eastAsia="Calibri" w:cs="Mangal"/>
                <w:b/>
                <w:i/>
                <w:lang w:eastAsia="en-US"/>
              </w:rPr>
              <w:t>)</w:t>
            </w:r>
            <w:r w:rsidRPr="003B2277">
              <w:rPr>
                <w:rFonts w:eastAsia="Calibri" w:cs="Mangal"/>
                <w:b/>
                <w:i/>
                <w:lang w:eastAsia="en-US"/>
              </w:rPr>
              <w:tab/>
              <w:t>v členu 173(1) se točka (b) nadomesti z naslednjim:</w:t>
            </w:r>
          </w:p>
        </w:tc>
      </w:tr>
      <w:tr w:rsidR="006F5BFE" w:rsidRPr="003B2277" w14:paraId="1933FE7D" w14:textId="77777777" w:rsidTr="005B4D60">
        <w:trPr>
          <w:jc w:val="center"/>
        </w:trPr>
        <w:tc>
          <w:tcPr>
            <w:tcW w:w="4876" w:type="dxa"/>
            <w:hideMark/>
          </w:tcPr>
          <w:p w14:paraId="30A1A1CE" w14:textId="77777777" w:rsidR="006F5BFE" w:rsidRPr="003B2277" w:rsidRDefault="006F5BFE" w:rsidP="005B4D60">
            <w:pPr>
              <w:spacing w:after="120"/>
              <w:rPr>
                <w:lang w:eastAsia="en-US"/>
              </w:rPr>
            </w:pPr>
            <w:r w:rsidRPr="003B2277">
              <w:rPr>
                <w:rFonts w:eastAsia="Calibri" w:cs="Mangal"/>
                <w:lang w:eastAsia="en-US"/>
              </w:rPr>
              <w:t xml:space="preserve">(b) pravil takšnih organizacij in združenj, statutov organizacij, ki niso organizacije proizvajalcev, posebnih pogojev, veljavnih za statute organizacij proizvajalcev v določenih sektorjih, vključno z </w:t>
            </w:r>
            <w:r w:rsidRPr="003B2277">
              <w:rPr>
                <w:rFonts w:eastAsia="Calibri" w:cs="Mangal"/>
                <w:b/>
                <w:i/>
                <w:lang w:eastAsia="en-US"/>
              </w:rPr>
              <w:t>odstopanji</w:t>
            </w:r>
            <w:r w:rsidRPr="003B2277">
              <w:rPr>
                <w:rFonts w:eastAsia="Calibri" w:cs="Mangal"/>
                <w:lang w:eastAsia="en-US"/>
              </w:rPr>
              <w:t xml:space="preserve"> od obveznosti trženja celotne proizvodnje prek organizacije proizvajalcev iz drugega pododstavka člena 160, strukture, trajanja članstva, velikosti, odgovornosti in dejavnosti teh organizacij in združenj, učinkov, ki izhajajo iz priznanja, preklica priznanja in združitev;</w:t>
            </w:r>
          </w:p>
        </w:tc>
        <w:tc>
          <w:tcPr>
            <w:tcW w:w="4876" w:type="dxa"/>
            <w:hideMark/>
          </w:tcPr>
          <w:p w14:paraId="43C93646" w14:textId="77777777" w:rsidR="006F5BFE" w:rsidRPr="003B2277" w:rsidRDefault="006F5BFE" w:rsidP="005B4D60">
            <w:pPr>
              <w:spacing w:after="120"/>
              <w:rPr>
                <w:szCs w:val="24"/>
                <w:lang w:eastAsia="en-US"/>
              </w:rPr>
            </w:pPr>
            <w:r w:rsidRPr="003B2277">
              <w:rPr>
                <w:rFonts w:eastAsia="Calibri" w:cs="Mangal"/>
                <w:lang w:eastAsia="en-US"/>
              </w:rPr>
              <w:t xml:space="preserve">(b) pravil takšnih organizacij in združenj, statutov organizacij, ki niso organizacije proizvajalcev, posebnih pogojev, veljavnih za statute organizacij proizvajalcev v določenih sektorjih, vključno z </w:t>
            </w:r>
            <w:r w:rsidRPr="003B2277">
              <w:rPr>
                <w:rFonts w:eastAsia="Calibri" w:cs="Mangal"/>
                <w:b/>
                <w:i/>
                <w:lang w:eastAsia="en-US"/>
              </w:rPr>
              <w:t>odstopanjem</w:t>
            </w:r>
            <w:r w:rsidRPr="003B2277">
              <w:rPr>
                <w:rFonts w:eastAsia="Calibri" w:cs="Mangal"/>
                <w:lang w:eastAsia="en-US"/>
              </w:rPr>
              <w:t xml:space="preserve"> od obveznosti trženja celotne proizvodnje prek organizacije proizvajalcev iz drugega pododstavka člena 160</w:t>
            </w:r>
            <w:r w:rsidRPr="003B2277">
              <w:rPr>
                <w:rFonts w:eastAsia="Calibri" w:cs="Mangal"/>
                <w:b/>
                <w:i/>
                <w:lang w:eastAsia="en-US"/>
              </w:rPr>
              <w:t xml:space="preserve"> (1a);določitve odstotkov iz odstavkov 2 in 3 navedenega člena ter kategorij proizvodov iz odstavka 1a, za katere ti odstotki veljajo</w:t>
            </w:r>
            <w:r w:rsidRPr="003B2277">
              <w:rPr>
                <w:rFonts w:eastAsia="Calibri" w:cs="Mangal"/>
                <w:lang w:eastAsia="en-US"/>
              </w:rPr>
              <w:t xml:space="preserve">, strukture, trajanja članstva, velikosti, odgovornosti in dejavnosti teh organizacij in združenj, učinkov, ki izhajajo iz priznanja, preklica priznanja in združitev; </w:t>
            </w:r>
          </w:p>
        </w:tc>
      </w:tr>
      <w:tr w:rsidR="006F5BFE" w:rsidRPr="003B2277" w14:paraId="655876E3" w14:textId="77777777" w:rsidTr="005B4D60">
        <w:trPr>
          <w:jc w:val="center"/>
        </w:trPr>
        <w:tc>
          <w:tcPr>
            <w:tcW w:w="4876" w:type="dxa"/>
          </w:tcPr>
          <w:p w14:paraId="7AB6B9D4" w14:textId="77777777" w:rsidR="006F5BFE" w:rsidRPr="003B2277" w:rsidRDefault="006F5BFE" w:rsidP="005B4D60">
            <w:pPr>
              <w:spacing w:after="120"/>
            </w:pPr>
          </w:p>
        </w:tc>
        <w:tc>
          <w:tcPr>
            <w:tcW w:w="4876" w:type="dxa"/>
            <w:hideMark/>
          </w:tcPr>
          <w:p w14:paraId="4F03F19A" w14:textId="77777777" w:rsidR="006F5BFE" w:rsidRPr="003B2277" w:rsidRDefault="006F5BFE" w:rsidP="005B4D60">
            <w:pPr>
              <w:spacing w:after="120"/>
              <w:rPr>
                <w:szCs w:val="24"/>
                <w:lang w:eastAsia="en-US"/>
              </w:rPr>
            </w:pPr>
            <w:r w:rsidRPr="003B2277">
              <w:rPr>
                <w:rFonts w:eastAsia="Calibri" w:cs="Mangal"/>
                <w:b/>
                <w:i/>
                <w:lang w:eastAsia="en-US"/>
              </w:rPr>
              <w:t>“</w:t>
            </w:r>
          </w:p>
        </w:tc>
      </w:tr>
    </w:tbl>
    <w:p w14:paraId="64FF5EFB" w14:textId="0E518EB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131</w:t>
      </w:r>
    </w:p>
    <w:p w14:paraId="33EBAC9C" w14:textId="77777777" w:rsidR="006F5BFE" w:rsidRPr="003B2277" w:rsidRDefault="006F5BFE" w:rsidP="006F5BFE">
      <w:pPr>
        <w:keepNext/>
        <w:spacing w:before="240"/>
        <w:rPr>
          <w:b/>
          <w:lang w:eastAsia="en-US"/>
        </w:rPr>
      </w:pPr>
      <w:r w:rsidRPr="003B2277">
        <w:rPr>
          <w:rFonts w:eastAsia="Calibri" w:cs="Mangal"/>
          <w:b/>
          <w:lang w:eastAsia="en-US"/>
        </w:rPr>
        <w:t>Predlog uredbe</w:t>
      </w:r>
    </w:p>
    <w:p w14:paraId="7349A5F3" w14:textId="67D53D8A"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z</w:t>
      </w:r>
      <w:r w:rsidR="005B2BFC" w:rsidRPr="003B2277">
        <w:rPr>
          <w:rFonts w:eastAsia="Calibri" w:cs="Mangal"/>
          <w:b/>
          <w:lang w:eastAsia="en-US"/>
        </w:rPr>
        <w:t xml:space="preserve"> </w:t>
      </w:r>
      <w:r w:rsidRPr="003B2277">
        <w:rPr>
          <w:rFonts w:eastAsia="Calibri" w:cs="Mangal"/>
          <w:b/>
          <w:lang w:eastAsia="en-US"/>
        </w:rPr>
        <w:t>(novo)</w:t>
      </w:r>
    </w:p>
    <w:p w14:paraId="6B704DD7" w14:textId="77777777" w:rsidR="006F5BFE" w:rsidRPr="003B2277" w:rsidRDefault="006F5BFE" w:rsidP="006F5BFE">
      <w:pPr>
        <w:keepNext/>
        <w:rPr>
          <w:lang w:eastAsia="en-US"/>
        </w:rPr>
      </w:pPr>
      <w:r w:rsidRPr="003B2277">
        <w:rPr>
          <w:rFonts w:eastAsia="Calibri" w:cs="Mangal"/>
          <w:lang w:eastAsia="en-US"/>
        </w:rPr>
        <w:t>Uredba (EU) št. 1308/2013</w:t>
      </w:r>
    </w:p>
    <w:p w14:paraId="4E6726F8" w14:textId="77777777" w:rsidR="006F5BFE" w:rsidRPr="003B2277" w:rsidRDefault="006F5BFE" w:rsidP="006F5BFE">
      <w:pPr>
        <w:rPr>
          <w:lang w:eastAsia="en-US"/>
        </w:rPr>
      </w:pPr>
      <w:r w:rsidRPr="003B2277">
        <w:rPr>
          <w:rFonts w:eastAsia="Calibri" w:cs="Mangal"/>
          <w:lang w:eastAsia="en-US"/>
        </w:rPr>
        <w:t>Člen 176 – odstavek 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774061DB" w14:textId="77777777" w:rsidTr="005B4D60">
        <w:trPr>
          <w:jc w:val="center"/>
        </w:trPr>
        <w:tc>
          <w:tcPr>
            <w:tcW w:w="9752" w:type="dxa"/>
            <w:gridSpan w:val="2"/>
          </w:tcPr>
          <w:p w14:paraId="664EC74A" w14:textId="77777777" w:rsidR="006F5BFE" w:rsidRPr="003B2277" w:rsidRDefault="006F5BFE" w:rsidP="005B4D60">
            <w:pPr>
              <w:keepNext/>
            </w:pPr>
          </w:p>
        </w:tc>
      </w:tr>
      <w:tr w:rsidR="006F5BFE" w:rsidRPr="003B2277" w14:paraId="4D50455E" w14:textId="77777777" w:rsidTr="005B4D60">
        <w:trPr>
          <w:jc w:val="center"/>
        </w:trPr>
        <w:tc>
          <w:tcPr>
            <w:tcW w:w="4876" w:type="dxa"/>
          </w:tcPr>
          <w:p w14:paraId="7BF7180C"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tcPr>
          <w:p w14:paraId="5162908D" w14:textId="69DC02A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6EB6381" w14:textId="77777777" w:rsidTr="005B4D60">
        <w:trPr>
          <w:jc w:val="center"/>
        </w:trPr>
        <w:tc>
          <w:tcPr>
            <w:tcW w:w="4876" w:type="dxa"/>
          </w:tcPr>
          <w:p w14:paraId="1B820051" w14:textId="77777777" w:rsidR="006F5BFE" w:rsidRPr="003B2277" w:rsidRDefault="006F5BFE" w:rsidP="005B4D60">
            <w:pPr>
              <w:spacing w:after="120"/>
            </w:pPr>
          </w:p>
        </w:tc>
        <w:tc>
          <w:tcPr>
            <w:tcW w:w="4876" w:type="dxa"/>
          </w:tcPr>
          <w:p w14:paraId="6552DCBE" w14:textId="7AA6BC6F" w:rsidR="006F5BFE" w:rsidRPr="003B2277" w:rsidRDefault="006F5BFE" w:rsidP="005B4D60">
            <w:pPr>
              <w:spacing w:after="120"/>
              <w:rPr>
                <w:szCs w:val="24"/>
                <w:lang w:eastAsia="en-US"/>
              </w:rPr>
            </w:pPr>
            <w:r w:rsidRPr="003B2277">
              <w:rPr>
                <w:rFonts w:eastAsia="Calibri" w:cs="Mangal"/>
                <w:b/>
                <w:i/>
                <w:lang w:eastAsia="en-US"/>
              </w:rPr>
              <w:t>(22</w:t>
            </w:r>
            <w:r w:rsidR="005B2BFC">
              <w:rPr>
                <w:rFonts w:eastAsia="Calibri" w:cs="Mangal"/>
                <w:b/>
                <w:i/>
                <w:lang w:eastAsia="en-US"/>
              </w:rPr>
              <w:t>z</w:t>
            </w:r>
            <w:r w:rsidRPr="003B2277">
              <w:rPr>
                <w:rFonts w:eastAsia="Calibri" w:cs="Mangal"/>
                <w:b/>
                <w:i/>
                <w:lang w:eastAsia="en-US"/>
              </w:rPr>
              <w:t>)</w:t>
            </w:r>
            <w:r w:rsidRPr="003B2277">
              <w:rPr>
                <w:rFonts w:eastAsia="Calibri" w:cs="Mangal"/>
                <w:b/>
                <w:i/>
                <w:lang w:eastAsia="en-US"/>
              </w:rPr>
              <w:tab/>
              <w:t>v členu 176 se odstavek 3 nadomesti z naslednjim:</w:t>
            </w:r>
          </w:p>
        </w:tc>
      </w:tr>
      <w:tr w:rsidR="006F5BFE" w:rsidRPr="003B2277" w14:paraId="2ACE5139" w14:textId="77777777" w:rsidTr="005B4D60">
        <w:trPr>
          <w:jc w:val="center"/>
        </w:trPr>
        <w:tc>
          <w:tcPr>
            <w:tcW w:w="4876" w:type="dxa"/>
          </w:tcPr>
          <w:p w14:paraId="7F5516B7"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Dovoljenja so veljavna v celotni Uniji.</w:t>
            </w:r>
          </w:p>
        </w:tc>
        <w:tc>
          <w:tcPr>
            <w:tcW w:w="4876" w:type="dxa"/>
          </w:tcPr>
          <w:p w14:paraId="7E5555ED"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 xml:space="preserve">Dovoljenja so veljavna v celotni Uniji. </w:t>
            </w:r>
            <w:r w:rsidRPr="003B2277">
              <w:rPr>
                <w:rFonts w:eastAsia="Calibri" w:cs="Mangal"/>
                <w:b/>
                <w:i/>
                <w:lang w:eastAsia="en-US"/>
              </w:rPr>
              <w:t>Vsi podatki o vlagateljih, ki jih države članice zberejo ob izdaji dovoljenj, se vsak mesec sporočijo Komisiji.</w:t>
            </w:r>
          </w:p>
        </w:tc>
      </w:tr>
    </w:tbl>
    <w:p w14:paraId="0032D1A8" w14:textId="77777777" w:rsidR="006F5BFE" w:rsidRPr="003B2277" w:rsidRDefault="006F5BFE" w:rsidP="006F5BFE">
      <w:pPr>
        <w:rPr>
          <w:lang w:eastAsia="en-US"/>
        </w:rPr>
      </w:pPr>
    </w:p>
    <w:p w14:paraId="2A686E4D" w14:textId="165D3CB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133</w:t>
      </w:r>
    </w:p>
    <w:p w14:paraId="035C38C6" w14:textId="77777777" w:rsidR="006F5BFE" w:rsidRPr="003B2277" w:rsidRDefault="006F5BFE" w:rsidP="006F5BFE">
      <w:pPr>
        <w:keepNext/>
        <w:spacing w:before="240"/>
        <w:rPr>
          <w:b/>
          <w:lang w:eastAsia="en-US"/>
        </w:rPr>
      </w:pPr>
      <w:r w:rsidRPr="003B2277">
        <w:rPr>
          <w:rFonts w:eastAsia="Calibri" w:cs="Mangal"/>
          <w:b/>
          <w:lang w:eastAsia="en-US"/>
        </w:rPr>
        <w:t>Predlog uredbe</w:t>
      </w:r>
    </w:p>
    <w:p w14:paraId="03FAAB45" w14:textId="62E16E7E"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a a</w:t>
      </w:r>
      <w:r w:rsidR="005B2BFC" w:rsidRPr="003B2277">
        <w:rPr>
          <w:rFonts w:eastAsia="Calibri" w:cs="Mangal"/>
          <w:b/>
          <w:lang w:eastAsia="en-US"/>
        </w:rPr>
        <w:t xml:space="preserve"> </w:t>
      </w:r>
      <w:r w:rsidRPr="003B2277">
        <w:rPr>
          <w:rFonts w:eastAsia="Calibri" w:cs="Mangal"/>
          <w:b/>
          <w:lang w:eastAsia="en-US"/>
        </w:rPr>
        <w:t>(novo)</w:t>
      </w:r>
    </w:p>
    <w:p w14:paraId="42893767" w14:textId="77777777" w:rsidR="006F5BFE" w:rsidRPr="003B2277" w:rsidRDefault="006F5BFE" w:rsidP="006F5BFE">
      <w:pPr>
        <w:keepNext/>
        <w:rPr>
          <w:lang w:eastAsia="en-US"/>
        </w:rPr>
      </w:pPr>
      <w:r w:rsidRPr="003B2277">
        <w:rPr>
          <w:rFonts w:eastAsia="Calibri" w:cs="Mangal"/>
          <w:lang w:eastAsia="en-US"/>
        </w:rPr>
        <w:t>Uredba (EU) št. 1308/2013</w:t>
      </w:r>
    </w:p>
    <w:p w14:paraId="251F533F" w14:textId="77777777" w:rsidR="006F5BFE" w:rsidRPr="003B2277" w:rsidRDefault="006F5BFE" w:rsidP="006F5BFE">
      <w:pPr>
        <w:rPr>
          <w:lang w:eastAsia="en-US"/>
        </w:rPr>
      </w:pPr>
      <w:r w:rsidRPr="003B2277">
        <w:rPr>
          <w:rFonts w:eastAsia="Calibri" w:cs="Mangal"/>
          <w:lang w:eastAsia="en-US"/>
        </w:rPr>
        <w:t>Člen 1 – odstavek 1 – pododstavek 1 – točka b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6F0698D3" w14:textId="77777777" w:rsidTr="005B4D60">
        <w:trPr>
          <w:jc w:val="center"/>
        </w:trPr>
        <w:tc>
          <w:tcPr>
            <w:tcW w:w="9752" w:type="dxa"/>
            <w:gridSpan w:val="2"/>
          </w:tcPr>
          <w:p w14:paraId="3DC94FC9" w14:textId="77777777" w:rsidR="006F5BFE" w:rsidRPr="003B2277" w:rsidRDefault="006F5BFE" w:rsidP="005B4D60">
            <w:pPr>
              <w:keepNext/>
            </w:pPr>
          </w:p>
        </w:tc>
      </w:tr>
      <w:tr w:rsidR="006F5BFE" w:rsidRPr="003B2277" w14:paraId="682EE378" w14:textId="77777777" w:rsidTr="005B4D60">
        <w:trPr>
          <w:jc w:val="center"/>
        </w:trPr>
        <w:tc>
          <w:tcPr>
            <w:tcW w:w="4876" w:type="dxa"/>
          </w:tcPr>
          <w:p w14:paraId="6B21C971"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tcPr>
          <w:p w14:paraId="0A39D862" w14:textId="11EEE9D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D1E39B3" w14:textId="77777777" w:rsidTr="005B4D60">
        <w:trPr>
          <w:jc w:val="center"/>
        </w:trPr>
        <w:tc>
          <w:tcPr>
            <w:tcW w:w="4876" w:type="dxa"/>
          </w:tcPr>
          <w:p w14:paraId="69D95173" w14:textId="77777777" w:rsidR="006F5BFE" w:rsidRPr="003B2277" w:rsidRDefault="006F5BFE" w:rsidP="005B4D60">
            <w:pPr>
              <w:spacing w:after="120"/>
            </w:pPr>
          </w:p>
        </w:tc>
        <w:tc>
          <w:tcPr>
            <w:tcW w:w="4876" w:type="dxa"/>
          </w:tcPr>
          <w:p w14:paraId="5116A755" w14:textId="7D58BE32"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w:t>
            </w:r>
            <w:r w:rsidR="005B2BFC">
              <w:rPr>
                <w:rFonts w:eastAsia="Calibri" w:cs="Mangal"/>
                <w:b/>
                <w:i/>
                <w:lang w:eastAsia="en-US"/>
              </w:rPr>
              <w:t>aa</w:t>
            </w:r>
            <w:r w:rsidRPr="003B2277">
              <w:rPr>
                <w:rFonts w:eastAsia="Calibri" w:cs="Mangal"/>
                <w:b/>
                <w:i/>
                <w:lang w:eastAsia="en-US"/>
              </w:rPr>
              <w:t>)</w:t>
            </w:r>
            <w:r w:rsidRPr="003B2277">
              <w:rPr>
                <w:rFonts w:eastAsia="Calibri" w:cs="Mangal"/>
                <w:b/>
                <w:i/>
                <w:lang w:eastAsia="en-US"/>
              </w:rPr>
              <w:tab/>
              <w:t>v prvem pododstavku člena 182(1) se doda naslednja točka:</w:t>
            </w:r>
          </w:p>
        </w:tc>
      </w:tr>
      <w:tr w:rsidR="006F5BFE" w:rsidRPr="003B2277" w14:paraId="04E19E5F" w14:textId="77777777" w:rsidTr="005B4D60">
        <w:trPr>
          <w:jc w:val="center"/>
        </w:trPr>
        <w:tc>
          <w:tcPr>
            <w:tcW w:w="4876" w:type="dxa"/>
          </w:tcPr>
          <w:p w14:paraId="3B986F5B" w14:textId="77777777" w:rsidR="006F5BFE" w:rsidRPr="003B2277" w:rsidRDefault="006F5BFE" w:rsidP="005B4D60">
            <w:pPr>
              <w:spacing w:after="120"/>
            </w:pPr>
          </w:p>
        </w:tc>
        <w:tc>
          <w:tcPr>
            <w:tcW w:w="4876" w:type="dxa"/>
          </w:tcPr>
          <w:p w14:paraId="61F4BC1D" w14:textId="368E206E" w:rsidR="006F5BFE" w:rsidRPr="003B2277" w:rsidRDefault="006F5BFE" w:rsidP="005B4D60">
            <w:pPr>
              <w:spacing w:after="120"/>
              <w:rPr>
                <w:szCs w:val="24"/>
                <w:lang w:eastAsia="en-US"/>
              </w:rPr>
            </w:pPr>
            <w:r w:rsidRPr="003B2277">
              <w:rPr>
                <w:rFonts w:eastAsia="Calibri" w:cs="Mangal"/>
                <w:b/>
                <w:i/>
                <w:lang w:eastAsia="en-US"/>
              </w:rPr>
              <w:t xml:space="preserve">(ba) </w:t>
            </w:r>
            <w:r w:rsidR="005B2BFC" w:rsidRPr="003B2277">
              <w:rPr>
                <w:rFonts w:eastAsia="Calibri" w:cs="Mangal"/>
                <w:b/>
                <w:i/>
                <w:lang w:eastAsia="en-US"/>
              </w:rPr>
              <w:tab/>
            </w:r>
            <w:r w:rsidRPr="003B2277">
              <w:rPr>
                <w:rFonts w:eastAsia="Calibri" w:cs="Mangal"/>
                <w:b/>
                <w:i/>
                <w:lang w:eastAsia="en-US"/>
              </w:rPr>
              <w:t>obseg uvoza v določenem letu po preferenčnih stopnjah, dogovorjenih med Unijo in tretjimi državami v okviru sporazumov o prosti trgovini, presega določeno raven (obseg trgovinske izpostavljenosti).</w:t>
            </w:r>
          </w:p>
        </w:tc>
      </w:tr>
    </w:tbl>
    <w:p w14:paraId="42B97A0E" w14:textId="158E6B4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134</w:t>
      </w:r>
    </w:p>
    <w:p w14:paraId="608C55A2" w14:textId="77777777" w:rsidR="006F5BFE" w:rsidRPr="003B2277" w:rsidRDefault="006F5BFE" w:rsidP="006F5BFE">
      <w:pPr>
        <w:spacing w:before="240"/>
        <w:rPr>
          <w:b/>
          <w:lang w:eastAsia="en-US"/>
        </w:rPr>
      </w:pPr>
      <w:r w:rsidRPr="003B2277">
        <w:rPr>
          <w:rFonts w:eastAsia="Calibri" w:cs="Mangal"/>
          <w:b/>
          <w:lang w:eastAsia="en-US"/>
        </w:rPr>
        <w:t>Predlog uredbe</w:t>
      </w:r>
    </w:p>
    <w:p w14:paraId="02BE0CEF" w14:textId="50858FFB" w:rsidR="006F5BFE" w:rsidRPr="003B2277" w:rsidRDefault="006F5BFE" w:rsidP="006F5BFE">
      <w:pPr>
        <w:rPr>
          <w:b/>
          <w:lang w:eastAsia="en-US"/>
        </w:rPr>
      </w:pPr>
      <w:r w:rsidRPr="003B2277">
        <w:rPr>
          <w:rFonts w:eastAsia="Calibri" w:cs="Mangal"/>
          <w:b/>
          <w:lang w:eastAsia="en-US"/>
        </w:rPr>
        <w:t xml:space="preserve">Člen 1 – odstavek 1 – točka 22 </w:t>
      </w:r>
      <w:r w:rsidR="005B2BFC">
        <w:rPr>
          <w:rFonts w:eastAsia="Calibri" w:cs="Mangal"/>
          <w:b/>
          <w:lang w:eastAsia="en-US"/>
        </w:rPr>
        <w:t>a b</w:t>
      </w:r>
      <w:r w:rsidR="005B2BFC" w:rsidRPr="003B2277">
        <w:rPr>
          <w:rFonts w:eastAsia="Calibri" w:cs="Mangal"/>
          <w:b/>
          <w:lang w:eastAsia="en-US"/>
        </w:rPr>
        <w:t xml:space="preserve"> </w:t>
      </w:r>
      <w:r w:rsidRPr="003B2277">
        <w:rPr>
          <w:rFonts w:eastAsia="Calibri" w:cs="Mangal"/>
          <w:b/>
          <w:lang w:eastAsia="en-US"/>
        </w:rPr>
        <w:t>(novo)</w:t>
      </w:r>
    </w:p>
    <w:p w14:paraId="5002E193" w14:textId="77777777" w:rsidR="006F5BFE" w:rsidRPr="003B2277" w:rsidRDefault="006F5BFE" w:rsidP="006F5BFE">
      <w:pPr>
        <w:keepNext/>
        <w:rPr>
          <w:lang w:eastAsia="en-US"/>
        </w:rPr>
      </w:pPr>
      <w:r w:rsidRPr="003B2277">
        <w:rPr>
          <w:rFonts w:eastAsia="Calibri" w:cs="Mangal"/>
          <w:lang w:eastAsia="en-US"/>
        </w:rPr>
        <w:t>Uredba (EU) št. 1308/2013</w:t>
      </w:r>
    </w:p>
    <w:p w14:paraId="19949973" w14:textId="1157ACEE" w:rsidR="006F5BFE" w:rsidRPr="003B2277" w:rsidRDefault="006F5BFE" w:rsidP="006F5BFE">
      <w:pPr>
        <w:rPr>
          <w:lang w:eastAsia="en-US"/>
        </w:rPr>
      </w:pPr>
      <w:r w:rsidRPr="003B2277">
        <w:rPr>
          <w:rFonts w:eastAsia="Calibri" w:cs="Mangal"/>
          <w:lang w:eastAsia="en-US"/>
        </w:rPr>
        <w:t>Člen 182 – odstavek 1 – pododstavek 1 – točka b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C7290D9" w14:textId="77777777" w:rsidTr="005B4D60">
        <w:trPr>
          <w:jc w:val="center"/>
        </w:trPr>
        <w:tc>
          <w:tcPr>
            <w:tcW w:w="9752" w:type="dxa"/>
            <w:gridSpan w:val="2"/>
          </w:tcPr>
          <w:p w14:paraId="74CFA179" w14:textId="77777777" w:rsidR="006F5BFE" w:rsidRPr="003B2277" w:rsidRDefault="006F5BFE" w:rsidP="005B4D60">
            <w:pPr>
              <w:keepNext/>
            </w:pPr>
          </w:p>
        </w:tc>
      </w:tr>
      <w:tr w:rsidR="006F5BFE" w:rsidRPr="003B2277" w14:paraId="559D88AC" w14:textId="77777777" w:rsidTr="005B4D60">
        <w:trPr>
          <w:jc w:val="center"/>
        </w:trPr>
        <w:tc>
          <w:tcPr>
            <w:tcW w:w="4876" w:type="dxa"/>
            <w:hideMark/>
          </w:tcPr>
          <w:p w14:paraId="322BB245"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162C7F3" w14:textId="13B71C4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C2785BF" w14:textId="77777777" w:rsidTr="005B4D60">
        <w:trPr>
          <w:jc w:val="center"/>
        </w:trPr>
        <w:tc>
          <w:tcPr>
            <w:tcW w:w="4876" w:type="dxa"/>
          </w:tcPr>
          <w:p w14:paraId="17910EB2" w14:textId="77777777" w:rsidR="006F5BFE" w:rsidRPr="003B2277" w:rsidRDefault="006F5BFE" w:rsidP="005B4D60">
            <w:pPr>
              <w:spacing w:after="120"/>
            </w:pPr>
          </w:p>
        </w:tc>
        <w:tc>
          <w:tcPr>
            <w:tcW w:w="4876" w:type="dxa"/>
            <w:hideMark/>
          </w:tcPr>
          <w:p w14:paraId="32ED7ED5" w14:textId="2EF167ED"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w:t>
            </w:r>
            <w:r w:rsidR="005B2BFC">
              <w:rPr>
                <w:rFonts w:eastAsia="Calibri" w:cs="Mangal"/>
                <w:b/>
                <w:i/>
                <w:lang w:eastAsia="en-US"/>
              </w:rPr>
              <w:t>ab</w:t>
            </w:r>
            <w:r w:rsidRPr="003B2277">
              <w:rPr>
                <w:rFonts w:eastAsia="Calibri" w:cs="Mangal"/>
                <w:b/>
                <w:i/>
                <w:lang w:eastAsia="en-US"/>
              </w:rPr>
              <w:t>)</w:t>
            </w:r>
            <w:r w:rsidRPr="003B2277">
              <w:rPr>
                <w:rFonts w:eastAsia="Calibri" w:cs="Mangal"/>
                <w:b/>
                <w:i/>
                <w:lang w:eastAsia="en-US"/>
              </w:rPr>
              <w:tab/>
              <w:t>v prvem pododstavku člena 182(1) se doda naslednja točka:</w:t>
            </w:r>
          </w:p>
        </w:tc>
      </w:tr>
      <w:tr w:rsidR="006F5BFE" w:rsidRPr="003B2277" w14:paraId="761BD4E4" w14:textId="77777777" w:rsidTr="005B4D60">
        <w:trPr>
          <w:jc w:val="center"/>
        </w:trPr>
        <w:tc>
          <w:tcPr>
            <w:tcW w:w="4876" w:type="dxa"/>
          </w:tcPr>
          <w:p w14:paraId="7342DE74" w14:textId="77777777" w:rsidR="006F5BFE" w:rsidRPr="003B2277" w:rsidRDefault="006F5BFE" w:rsidP="005B4D60">
            <w:pPr>
              <w:spacing w:after="120"/>
            </w:pPr>
          </w:p>
        </w:tc>
        <w:tc>
          <w:tcPr>
            <w:tcW w:w="4876" w:type="dxa"/>
            <w:hideMark/>
          </w:tcPr>
          <w:p w14:paraId="675D01D2" w14:textId="156DA4A6" w:rsidR="006F5BFE" w:rsidRPr="003B2277" w:rsidRDefault="006F5BFE" w:rsidP="005B2BFC">
            <w:pPr>
              <w:spacing w:after="120"/>
              <w:rPr>
                <w:szCs w:val="24"/>
                <w:lang w:eastAsia="en-US"/>
              </w:rPr>
            </w:pPr>
            <w:r w:rsidRPr="003B2277">
              <w:rPr>
                <w:rFonts w:eastAsia="Calibri" w:cs="Mangal"/>
                <w:b/>
                <w:i/>
                <w:lang w:eastAsia="en-US"/>
              </w:rPr>
              <w:t>(bb)</w:t>
            </w:r>
            <w:r w:rsidR="005B2BFC" w:rsidRPr="003B2277">
              <w:rPr>
                <w:rFonts w:eastAsia="Calibri" w:cs="Mangal"/>
                <w:b/>
                <w:i/>
                <w:lang w:eastAsia="en-US"/>
              </w:rPr>
              <w:tab/>
            </w:r>
            <w:r w:rsidRPr="003B2277">
              <w:rPr>
                <w:rFonts w:eastAsia="Calibri" w:cs="Mangal"/>
                <w:b/>
                <w:i/>
                <w:lang w:eastAsia="en-US"/>
              </w:rPr>
              <w:t>„tretje države ne izpolnjujejo standardov Unije na področju varstva rastlin in dobrobiti živali.</w:t>
            </w:r>
          </w:p>
        </w:tc>
      </w:tr>
    </w:tbl>
    <w:p w14:paraId="02F96B8D" w14:textId="77777777" w:rsidR="006F5BFE" w:rsidRPr="003B2277" w:rsidRDefault="006F5BFE" w:rsidP="006F5BFE"/>
    <w:p w14:paraId="359FC2D6" w14:textId="72C579B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135</w:t>
      </w:r>
    </w:p>
    <w:p w14:paraId="4D025194" w14:textId="77777777" w:rsidR="006F5BFE" w:rsidRPr="003B2277" w:rsidRDefault="006F5BFE" w:rsidP="006F5BFE">
      <w:pPr>
        <w:keepNext/>
        <w:spacing w:before="240"/>
        <w:rPr>
          <w:b/>
          <w:lang w:eastAsia="en-US"/>
        </w:rPr>
      </w:pPr>
      <w:r w:rsidRPr="003B2277">
        <w:rPr>
          <w:rFonts w:eastAsia="Calibri" w:cs="Mangal"/>
          <w:b/>
          <w:lang w:eastAsia="en-US"/>
        </w:rPr>
        <w:t>Predlog uredbe</w:t>
      </w:r>
    </w:p>
    <w:p w14:paraId="6D007055" w14:textId="35E29D12" w:rsidR="006F5BFE" w:rsidRPr="003B2277" w:rsidRDefault="006F5BFE" w:rsidP="006F5BFE">
      <w:pPr>
        <w:rPr>
          <w:b/>
          <w:lang w:eastAsia="en-US"/>
        </w:rPr>
      </w:pPr>
      <w:r w:rsidRPr="003B2277">
        <w:rPr>
          <w:rFonts w:eastAsia="Calibri" w:cs="Mangal"/>
          <w:b/>
          <w:lang w:eastAsia="en-US"/>
        </w:rPr>
        <w:t>Člen 1 – odstavek 1 – točka 22 a</w:t>
      </w:r>
      <w:r w:rsidR="005B2BFC">
        <w:rPr>
          <w:rFonts w:eastAsia="Calibri" w:cs="Mangal"/>
          <w:b/>
          <w:lang w:eastAsia="en-US"/>
        </w:rPr>
        <w:t xml:space="preserve"> c</w:t>
      </w:r>
      <w:r w:rsidRPr="003B2277">
        <w:rPr>
          <w:rFonts w:eastAsia="Calibri" w:cs="Mangal"/>
          <w:b/>
          <w:lang w:eastAsia="en-US"/>
        </w:rPr>
        <w:t xml:space="preserve"> (novo)</w:t>
      </w:r>
    </w:p>
    <w:p w14:paraId="44E2575A" w14:textId="77777777" w:rsidR="006F5BFE" w:rsidRPr="003B2277" w:rsidRDefault="006F5BFE" w:rsidP="006F5BFE">
      <w:pPr>
        <w:keepNext/>
        <w:rPr>
          <w:lang w:eastAsia="en-US"/>
        </w:rPr>
      </w:pPr>
      <w:r w:rsidRPr="003B2277">
        <w:rPr>
          <w:rFonts w:eastAsia="Calibri" w:cs="Mangal"/>
          <w:lang w:eastAsia="en-US"/>
        </w:rPr>
        <w:t>Uredba (EU) št. 1308/2013</w:t>
      </w:r>
    </w:p>
    <w:p w14:paraId="3A3DF5E1" w14:textId="77777777" w:rsidR="006F5BFE" w:rsidRPr="003B2277" w:rsidRDefault="006F5BFE" w:rsidP="006F5BFE">
      <w:pPr>
        <w:rPr>
          <w:lang w:eastAsia="en-US"/>
        </w:rPr>
      </w:pPr>
      <w:r w:rsidRPr="003B2277">
        <w:rPr>
          <w:rFonts w:eastAsia="Calibri" w:cs="Mangal"/>
          <w:lang w:eastAsia="en-US"/>
        </w:rPr>
        <w:t>Člen 182 – odstavek 1 – pododstavek 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29F4541A" w14:textId="77777777" w:rsidTr="005B4D60">
        <w:trPr>
          <w:jc w:val="center"/>
        </w:trPr>
        <w:tc>
          <w:tcPr>
            <w:tcW w:w="9752" w:type="dxa"/>
            <w:gridSpan w:val="2"/>
          </w:tcPr>
          <w:p w14:paraId="760E9EF0" w14:textId="77777777" w:rsidR="006F5BFE" w:rsidRPr="003B2277" w:rsidRDefault="006F5BFE" w:rsidP="005B4D60">
            <w:pPr>
              <w:keepNext/>
            </w:pPr>
          </w:p>
        </w:tc>
      </w:tr>
      <w:tr w:rsidR="006F5BFE" w:rsidRPr="003B2277" w14:paraId="0FA4BF4E" w14:textId="77777777" w:rsidTr="005B4D60">
        <w:trPr>
          <w:jc w:val="center"/>
        </w:trPr>
        <w:tc>
          <w:tcPr>
            <w:tcW w:w="4876" w:type="dxa"/>
          </w:tcPr>
          <w:p w14:paraId="1D4B271D"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tcPr>
          <w:p w14:paraId="672849D1" w14:textId="172B018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FDE96C4" w14:textId="77777777" w:rsidTr="005B4D60">
        <w:trPr>
          <w:jc w:val="center"/>
        </w:trPr>
        <w:tc>
          <w:tcPr>
            <w:tcW w:w="4876" w:type="dxa"/>
          </w:tcPr>
          <w:p w14:paraId="3E4BC7C9" w14:textId="77777777" w:rsidR="006F5BFE" w:rsidRPr="003B2277" w:rsidRDefault="006F5BFE" w:rsidP="005B4D60">
            <w:pPr>
              <w:spacing w:after="120"/>
            </w:pPr>
          </w:p>
        </w:tc>
        <w:tc>
          <w:tcPr>
            <w:tcW w:w="4876" w:type="dxa"/>
          </w:tcPr>
          <w:p w14:paraId="7C3C498D" w14:textId="51B08EB5"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22a</w:t>
            </w:r>
            <w:r w:rsidR="005B2BFC">
              <w:rPr>
                <w:rFonts w:eastAsia="Calibri" w:cs="Mangal"/>
                <w:b/>
                <w:i/>
                <w:lang w:eastAsia="en-US"/>
              </w:rPr>
              <w:t>c</w:t>
            </w:r>
            <w:r w:rsidRPr="003B2277">
              <w:rPr>
                <w:rFonts w:eastAsia="Calibri" w:cs="Mangal"/>
                <w:b/>
                <w:i/>
                <w:lang w:eastAsia="en-US"/>
              </w:rPr>
              <w:t>)</w:t>
            </w:r>
            <w:r w:rsidRPr="003B2277">
              <w:rPr>
                <w:rFonts w:eastAsia="Calibri" w:cs="Mangal"/>
                <w:b/>
                <w:i/>
                <w:lang w:eastAsia="en-US"/>
              </w:rPr>
              <w:tab/>
              <w:t>v členu 182(1) se drugi pododstavek nadomesti z naslednjim:</w:t>
            </w:r>
          </w:p>
        </w:tc>
      </w:tr>
      <w:tr w:rsidR="006F5BFE" w:rsidRPr="003B2277" w14:paraId="2AA1FD22" w14:textId="77777777" w:rsidTr="005B4D60">
        <w:trPr>
          <w:jc w:val="center"/>
        </w:trPr>
        <w:tc>
          <w:tcPr>
            <w:tcW w:w="4876" w:type="dxa"/>
          </w:tcPr>
          <w:p w14:paraId="094AB074" w14:textId="77777777" w:rsidR="006F5BFE" w:rsidRPr="003B2277" w:rsidRDefault="006F5BFE" w:rsidP="005B4D60">
            <w:pPr>
              <w:spacing w:after="120"/>
              <w:rPr>
                <w:lang w:eastAsia="en-US"/>
              </w:rPr>
            </w:pPr>
            <w:r w:rsidRPr="003B2277">
              <w:rPr>
                <w:rFonts w:eastAsia="Calibri" w:cs="Mangal"/>
                <w:lang w:eastAsia="en-US"/>
              </w:rPr>
              <w:t>Sprožitvena količina temelji na možnostih za dostop na trg, opredeljenih kot uvoz, izražen kot odstotek ustrezne domače porabe v preteklih treh letih.</w:t>
            </w:r>
          </w:p>
        </w:tc>
        <w:tc>
          <w:tcPr>
            <w:tcW w:w="4876" w:type="dxa"/>
          </w:tcPr>
          <w:p w14:paraId="115FFE0D"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Sprožitvena količina temelji na možnostih za dostop na trg, opredeljenih kot uvoz, izražen kot odstotek ustrezne domače porabe v preteklih treh letih. </w:t>
            </w:r>
            <w:r w:rsidRPr="003B2277">
              <w:rPr>
                <w:rFonts w:eastAsia="Calibri" w:cs="Mangal"/>
                <w:b/>
                <w:i/>
                <w:lang w:eastAsia="en-US"/>
              </w:rPr>
              <w:t>Redno se ponovno opredeljuje, da se upoštevajo spremembe v velikosti trga Unije. Sprožitvena cena se redno opredeljuje na novo, da se upoštevajo spremembe na svetovnih trgih in pri proizvodnih stroških.“</w:t>
            </w:r>
            <w:r w:rsidRPr="003B2277">
              <w:rPr>
                <w:rFonts w:eastAsia="Calibri" w:cs="Mangal"/>
                <w:lang w:eastAsia="en-US"/>
              </w:rPr>
              <w:t xml:space="preserve"> </w:t>
            </w:r>
          </w:p>
        </w:tc>
      </w:tr>
    </w:tbl>
    <w:p w14:paraId="26AFE4D1" w14:textId="67E5FEB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136</w:t>
      </w:r>
    </w:p>
    <w:p w14:paraId="44E9FFEA" w14:textId="77777777" w:rsidR="006F5BFE" w:rsidRPr="003B2277" w:rsidRDefault="006F5BFE" w:rsidP="006F5BFE">
      <w:pPr>
        <w:keepNext/>
        <w:spacing w:before="240"/>
        <w:rPr>
          <w:b/>
          <w:lang w:eastAsia="en-US"/>
        </w:rPr>
      </w:pPr>
      <w:r w:rsidRPr="003B2277">
        <w:rPr>
          <w:rFonts w:eastAsia="Calibri" w:cs="Mangal"/>
          <w:b/>
          <w:lang w:eastAsia="en-US"/>
        </w:rPr>
        <w:t>Predlog uredbe</w:t>
      </w:r>
    </w:p>
    <w:p w14:paraId="600B939D" w14:textId="59A6A2C4" w:rsidR="006F5BFE" w:rsidRPr="003B2277" w:rsidRDefault="006F5BFE" w:rsidP="006F5BFE">
      <w:pPr>
        <w:rPr>
          <w:b/>
          <w:lang w:eastAsia="en-US"/>
        </w:rPr>
      </w:pPr>
      <w:r w:rsidRPr="003B2277">
        <w:rPr>
          <w:rFonts w:eastAsia="Calibri" w:cs="Mangal"/>
          <w:b/>
          <w:lang w:eastAsia="en-US"/>
        </w:rPr>
        <w:t>Člen 1 – odstavek 1 – točka 22 a</w:t>
      </w:r>
      <w:r w:rsidR="00BC0233" w:rsidRPr="003B2277">
        <w:rPr>
          <w:rFonts w:eastAsia="Calibri" w:cs="Mangal"/>
          <w:b/>
          <w:lang w:eastAsia="en-US"/>
        </w:rPr>
        <w:t xml:space="preserve"> </w:t>
      </w:r>
      <w:r w:rsidR="005B2BFC">
        <w:rPr>
          <w:rFonts w:eastAsia="Calibri" w:cs="Mangal"/>
          <w:b/>
          <w:lang w:eastAsia="en-US"/>
        </w:rPr>
        <w:t>d</w:t>
      </w:r>
      <w:r w:rsidR="005B2BFC" w:rsidRPr="003B2277">
        <w:rPr>
          <w:rFonts w:eastAsia="Calibri" w:cs="Mangal"/>
          <w:b/>
          <w:lang w:eastAsia="en-US"/>
        </w:rPr>
        <w:t xml:space="preserve"> </w:t>
      </w:r>
      <w:r w:rsidRPr="003B2277">
        <w:rPr>
          <w:rFonts w:eastAsia="Calibri" w:cs="Mangal"/>
          <w:b/>
          <w:lang w:eastAsia="en-US"/>
        </w:rPr>
        <w:t>(novo)</w:t>
      </w:r>
    </w:p>
    <w:p w14:paraId="372AE58C" w14:textId="77777777" w:rsidR="006F5BFE" w:rsidRPr="003B2277" w:rsidRDefault="006F5BFE" w:rsidP="006F5BFE">
      <w:pPr>
        <w:keepNext/>
        <w:rPr>
          <w:lang w:eastAsia="en-US"/>
        </w:rPr>
      </w:pPr>
      <w:r w:rsidRPr="003B2277">
        <w:rPr>
          <w:rFonts w:eastAsia="Calibri" w:cs="Mangal"/>
          <w:lang w:eastAsia="en-US"/>
        </w:rPr>
        <w:t>Uredba (EU) št. 1308/2013</w:t>
      </w:r>
    </w:p>
    <w:p w14:paraId="03B4FAD6" w14:textId="77777777" w:rsidR="006F5BFE" w:rsidRPr="003B2277" w:rsidRDefault="006F5BFE" w:rsidP="006F5BFE">
      <w:pPr>
        <w:rPr>
          <w:lang w:eastAsia="en-US"/>
        </w:rPr>
      </w:pPr>
      <w:r w:rsidRPr="003B2277">
        <w:rPr>
          <w:rFonts w:eastAsia="Calibri" w:cs="Mangal"/>
          <w:lang w:eastAsia="en-US"/>
        </w:rPr>
        <w:t>Člen 182 – odstavek 1 – pododstavek 3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2DD63346" w14:textId="77777777" w:rsidTr="005B4D60">
        <w:trPr>
          <w:jc w:val="center"/>
        </w:trPr>
        <w:tc>
          <w:tcPr>
            <w:tcW w:w="9752" w:type="dxa"/>
            <w:gridSpan w:val="2"/>
          </w:tcPr>
          <w:p w14:paraId="5107A873" w14:textId="77777777" w:rsidR="006F5BFE" w:rsidRPr="003B2277" w:rsidRDefault="006F5BFE" w:rsidP="005B4D60">
            <w:pPr>
              <w:keepNext/>
            </w:pPr>
          </w:p>
        </w:tc>
      </w:tr>
      <w:tr w:rsidR="006F5BFE" w:rsidRPr="003B2277" w14:paraId="0CDFCA4A" w14:textId="77777777" w:rsidTr="005B4D60">
        <w:trPr>
          <w:jc w:val="center"/>
        </w:trPr>
        <w:tc>
          <w:tcPr>
            <w:tcW w:w="4876" w:type="dxa"/>
          </w:tcPr>
          <w:p w14:paraId="0D79C2B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tcPr>
          <w:p w14:paraId="132EFE55" w14:textId="7D69A38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B4F3950" w14:textId="77777777" w:rsidTr="005B4D60">
        <w:trPr>
          <w:jc w:val="center"/>
        </w:trPr>
        <w:tc>
          <w:tcPr>
            <w:tcW w:w="4876" w:type="dxa"/>
          </w:tcPr>
          <w:p w14:paraId="00603055" w14:textId="77777777" w:rsidR="006F5BFE" w:rsidRPr="003B2277" w:rsidRDefault="006F5BFE" w:rsidP="005B4D60">
            <w:pPr>
              <w:spacing w:after="120"/>
            </w:pPr>
          </w:p>
        </w:tc>
        <w:tc>
          <w:tcPr>
            <w:tcW w:w="4876" w:type="dxa"/>
          </w:tcPr>
          <w:p w14:paraId="052AF03E" w14:textId="68BF0C72"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22a</w:t>
            </w:r>
            <w:r w:rsidR="005B2BFC">
              <w:rPr>
                <w:rFonts w:eastAsia="Calibri" w:cs="Mangal"/>
                <w:b/>
                <w:i/>
                <w:lang w:eastAsia="en-US"/>
              </w:rPr>
              <w:t>d</w:t>
            </w:r>
            <w:r w:rsidRPr="003B2277">
              <w:rPr>
                <w:rFonts w:eastAsia="Calibri" w:cs="Mangal"/>
                <w:b/>
                <w:i/>
                <w:lang w:eastAsia="en-US"/>
              </w:rPr>
              <w:t>)</w:t>
            </w:r>
            <w:r w:rsidRPr="003B2277">
              <w:rPr>
                <w:rFonts w:eastAsia="Calibri" w:cs="Mangal"/>
                <w:b/>
                <w:bCs/>
                <w:i/>
                <w:iCs/>
                <w:lang w:eastAsia="en-US"/>
              </w:rPr>
              <w:tab/>
              <w:t>v členu 182(1) se doda naslednji pododstavek:</w:t>
            </w:r>
          </w:p>
        </w:tc>
      </w:tr>
      <w:tr w:rsidR="006F5BFE" w:rsidRPr="003B2277" w14:paraId="76CFE950" w14:textId="77777777" w:rsidTr="005B4D60">
        <w:trPr>
          <w:jc w:val="center"/>
        </w:trPr>
        <w:tc>
          <w:tcPr>
            <w:tcW w:w="4876" w:type="dxa"/>
          </w:tcPr>
          <w:p w14:paraId="0956A285" w14:textId="77777777" w:rsidR="006F5BFE" w:rsidRPr="003B2277" w:rsidRDefault="006F5BFE" w:rsidP="005B4D60">
            <w:pPr>
              <w:spacing w:after="120"/>
            </w:pPr>
          </w:p>
        </w:tc>
        <w:tc>
          <w:tcPr>
            <w:tcW w:w="4876" w:type="dxa"/>
          </w:tcPr>
          <w:p w14:paraId="5BA57D97" w14:textId="77777777" w:rsidR="006F5BFE" w:rsidRPr="003B2277" w:rsidRDefault="006F5BFE" w:rsidP="005B4D60">
            <w:pPr>
              <w:spacing w:after="120"/>
              <w:rPr>
                <w:szCs w:val="24"/>
                <w:lang w:eastAsia="en-US"/>
              </w:rPr>
            </w:pPr>
            <w:r w:rsidRPr="003B2277">
              <w:rPr>
                <w:rFonts w:eastAsia="Calibri" w:cs="Mangal"/>
                <w:b/>
                <w:bCs/>
                <w:i/>
                <w:iCs/>
                <w:lang w:eastAsia="en-US"/>
              </w:rPr>
              <w:t>„Obseg trgovinske izpostavljenosti se določi na podlagi uvoza po preferenčni stopnji, izraženega kot odstotek vzdržne skupne ravni trgovinske izpostavljenosti za zadevne sektorje.“</w:t>
            </w:r>
          </w:p>
        </w:tc>
      </w:tr>
    </w:tbl>
    <w:p w14:paraId="234F5396" w14:textId="58B40F5E"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137</w:t>
      </w:r>
    </w:p>
    <w:p w14:paraId="354662FB" w14:textId="77777777" w:rsidR="006F5BFE" w:rsidRPr="003B2277" w:rsidRDefault="006F5BFE" w:rsidP="006F5BFE">
      <w:pPr>
        <w:spacing w:before="240"/>
        <w:rPr>
          <w:b/>
          <w:lang w:eastAsia="en-US"/>
        </w:rPr>
      </w:pPr>
      <w:r w:rsidRPr="003B2277">
        <w:rPr>
          <w:rFonts w:eastAsia="Calibri" w:cs="Mangal"/>
          <w:b/>
          <w:lang w:eastAsia="en-US"/>
        </w:rPr>
        <w:t>Predlog uredbe</w:t>
      </w:r>
    </w:p>
    <w:p w14:paraId="68500794" w14:textId="044D6A0D" w:rsidR="006F5BFE" w:rsidRPr="003B2277" w:rsidRDefault="006F5BFE" w:rsidP="006F5BFE">
      <w:pPr>
        <w:rPr>
          <w:b/>
          <w:lang w:eastAsia="en-US"/>
        </w:rPr>
      </w:pPr>
      <w:r w:rsidRPr="003B2277">
        <w:rPr>
          <w:rFonts w:eastAsia="Calibri" w:cs="Mangal"/>
          <w:b/>
          <w:lang w:eastAsia="en-US"/>
        </w:rPr>
        <w:t>Člen 1 – odstavek 1 – točka 22 a</w:t>
      </w:r>
      <w:r w:rsidR="00BC0233" w:rsidRPr="003B2277">
        <w:rPr>
          <w:rFonts w:eastAsia="Calibri" w:cs="Mangal"/>
          <w:b/>
          <w:lang w:eastAsia="en-US"/>
        </w:rPr>
        <w:t xml:space="preserve"> </w:t>
      </w:r>
      <w:r w:rsidR="005B2BFC">
        <w:rPr>
          <w:rFonts w:eastAsia="Calibri" w:cs="Mangal"/>
          <w:b/>
          <w:lang w:eastAsia="en-US"/>
        </w:rPr>
        <w:t>e</w:t>
      </w:r>
      <w:r w:rsidR="005B2BFC" w:rsidRPr="003B2277">
        <w:rPr>
          <w:rFonts w:eastAsia="Calibri" w:cs="Mangal"/>
          <w:b/>
          <w:lang w:eastAsia="en-US"/>
        </w:rPr>
        <w:t xml:space="preserve"> </w:t>
      </w:r>
      <w:r w:rsidRPr="003B2277">
        <w:rPr>
          <w:rFonts w:eastAsia="Calibri" w:cs="Mangal"/>
          <w:b/>
          <w:lang w:eastAsia="en-US"/>
        </w:rPr>
        <w:t>(novo)</w:t>
      </w:r>
    </w:p>
    <w:p w14:paraId="613FB525" w14:textId="77777777" w:rsidR="006F5BFE" w:rsidRPr="003B2277" w:rsidRDefault="006F5BFE" w:rsidP="006F5BFE">
      <w:pPr>
        <w:keepNext/>
        <w:rPr>
          <w:lang w:eastAsia="en-US"/>
        </w:rPr>
      </w:pPr>
      <w:r w:rsidRPr="003B2277">
        <w:rPr>
          <w:rFonts w:eastAsia="Calibri" w:cs="Mangal"/>
          <w:lang w:eastAsia="en-US"/>
        </w:rPr>
        <w:t>Uredba (EU) št. 1308/2013</w:t>
      </w:r>
    </w:p>
    <w:p w14:paraId="64153A5C" w14:textId="77777777" w:rsidR="006F5BFE" w:rsidRPr="003B2277" w:rsidRDefault="006F5BFE" w:rsidP="006F5BFE">
      <w:pPr>
        <w:rPr>
          <w:lang w:eastAsia="en-US"/>
        </w:rPr>
      </w:pPr>
      <w:r w:rsidRPr="003B2277">
        <w:rPr>
          <w:rFonts w:eastAsia="Calibri" w:cs="Mangal"/>
          <w:lang w:eastAsia="en-US"/>
        </w:rPr>
        <w:t>Člen 184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1219E1A" w14:textId="77777777" w:rsidTr="005B4D60">
        <w:trPr>
          <w:jc w:val="center"/>
        </w:trPr>
        <w:tc>
          <w:tcPr>
            <w:tcW w:w="9752" w:type="dxa"/>
            <w:gridSpan w:val="2"/>
          </w:tcPr>
          <w:p w14:paraId="1D6CC72C" w14:textId="77777777" w:rsidR="006F5BFE" w:rsidRPr="003B2277" w:rsidRDefault="006F5BFE" w:rsidP="005B4D60">
            <w:pPr>
              <w:keepNext/>
            </w:pPr>
          </w:p>
        </w:tc>
      </w:tr>
      <w:tr w:rsidR="006F5BFE" w:rsidRPr="003B2277" w14:paraId="250B5097" w14:textId="77777777" w:rsidTr="005B4D60">
        <w:trPr>
          <w:jc w:val="center"/>
        </w:trPr>
        <w:tc>
          <w:tcPr>
            <w:tcW w:w="4876" w:type="dxa"/>
            <w:hideMark/>
          </w:tcPr>
          <w:p w14:paraId="31BB3159"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560FE5E" w14:textId="0EBE7D5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C79FD4F" w14:textId="77777777" w:rsidTr="005B4D60">
        <w:trPr>
          <w:jc w:val="center"/>
        </w:trPr>
        <w:tc>
          <w:tcPr>
            <w:tcW w:w="4876" w:type="dxa"/>
          </w:tcPr>
          <w:p w14:paraId="3E1F6ED2" w14:textId="77777777" w:rsidR="006F5BFE" w:rsidRPr="003B2277" w:rsidRDefault="006F5BFE" w:rsidP="005B4D60">
            <w:pPr>
              <w:spacing w:after="120"/>
            </w:pPr>
          </w:p>
        </w:tc>
        <w:tc>
          <w:tcPr>
            <w:tcW w:w="4876" w:type="dxa"/>
            <w:hideMark/>
          </w:tcPr>
          <w:p w14:paraId="56EB5072" w14:textId="28EA3922"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22a</w:t>
            </w:r>
            <w:r w:rsidR="005B2BFC">
              <w:rPr>
                <w:rFonts w:eastAsia="Calibri" w:cs="Mangal"/>
                <w:b/>
                <w:i/>
                <w:lang w:eastAsia="en-US"/>
              </w:rPr>
              <w:t>e</w:t>
            </w:r>
            <w:r w:rsidRPr="003B2277">
              <w:rPr>
                <w:rFonts w:eastAsia="Calibri" w:cs="Mangal"/>
                <w:b/>
                <w:i/>
                <w:lang w:eastAsia="en-US"/>
              </w:rPr>
              <w:t>)</w:t>
            </w:r>
            <w:r w:rsidRPr="003B2277">
              <w:rPr>
                <w:rFonts w:eastAsia="Calibri" w:cs="Mangal"/>
                <w:b/>
                <w:i/>
                <w:lang w:eastAsia="en-US"/>
              </w:rPr>
              <w:tab/>
              <w:t>v členu 184 se odstavek 2 nadomesti z naslednjim:</w:t>
            </w:r>
          </w:p>
        </w:tc>
      </w:tr>
      <w:tr w:rsidR="006F5BFE" w:rsidRPr="003B2277" w14:paraId="4CCCDA99" w14:textId="77777777" w:rsidTr="005B4D60">
        <w:trPr>
          <w:jc w:val="center"/>
        </w:trPr>
        <w:tc>
          <w:tcPr>
            <w:tcW w:w="4876" w:type="dxa"/>
            <w:hideMark/>
          </w:tcPr>
          <w:p w14:paraId="0EF775A7"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Tarifne kvote se upravljajo na način, s katerim se prepreči vsakršna diskriminacija med zadevnimi izvajalci, tako da se uporabi ena izmed naslednjih metod, kombinacija teh metod ali druga ustrezna metoda:</w:t>
            </w:r>
          </w:p>
        </w:tc>
        <w:tc>
          <w:tcPr>
            <w:tcW w:w="4876" w:type="dxa"/>
            <w:hideMark/>
          </w:tcPr>
          <w:p w14:paraId="466932C0"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2.</w:t>
            </w:r>
            <w:r w:rsidRPr="003B2277">
              <w:rPr>
                <w:rFonts w:eastAsia="Calibri" w:cs="Mangal"/>
                <w:lang w:eastAsia="en-US"/>
              </w:rPr>
              <w:tab/>
              <w:t>Tarifne kvote se upravljajo na način, s katerim se prepreči vsakršna diskriminacija med zadevnimi izvajalci, tako da se uporabi ena izmed naslednjih metod, kombinacija teh metod ali druga ustrezna metoda:</w:t>
            </w:r>
          </w:p>
        </w:tc>
      </w:tr>
      <w:tr w:rsidR="006F5BFE" w:rsidRPr="003B2277" w14:paraId="7BCB4193" w14:textId="77777777" w:rsidTr="005B4D60">
        <w:trPr>
          <w:jc w:val="center"/>
        </w:trPr>
        <w:tc>
          <w:tcPr>
            <w:tcW w:w="4876" w:type="dxa"/>
            <w:hideMark/>
          </w:tcPr>
          <w:p w14:paraId="69EAFA2B" w14:textId="77777777" w:rsidR="006F5BFE" w:rsidRPr="003B2277" w:rsidRDefault="006F5BFE" w:rsidP="005B4D60">
            <w:pPr>
              <w:spacing w:after="120"/>
              <w:rPr>
                <w:lang w:eastAsia="en-US"/>
              </w:rPr>
            </w:pPr>
            <w:r w:rsidRPr="003B2277">
              <w:rPr>
                <w:rFonts w:eastAsia="Calibri" w:cs="Mangal"/>
                <w:lang w:eastAsia="en-US"/>
              </w:rPr>
              <w:t>(a) metoda, ki temelji na kronološkem vrstnem redu vloženih zahtevkov (načelo „prvi prispe, prvi dobi“);</w:t>
            </w:r>
          </w:p>
        </w:tc>
        <w:tc>
          <w:tcPr>
            <w:tcW w:w="4876" w:type="dxa"/>
            <w:hideMark/>
          </w:tcPr>
          <w:p w14:paraId="768C349C" w14:textId="77777777" w:rsidR="006F5BFE" w:rsidRPr="003B2277" w:rsidRDefault="006F5BFE" w:rsidP="005B4D60">
            <w:pPr>
              <w:spacing w:after="120"/>
              <w:rPr>
                <w:szCs w:val="24"/>
                <w:lang w:eastAsia="en-US"/>
              </w:rPr>
            </w:pPr>
            <w:r w:rsidRPr="003B2277">
              <w:rPr>
                <w:rFonts w:eastAsia="Calibri" w:cs="Mangal"/>
                <w:lang w:eastAsia="en-US"/>
              </w:rPr>
              <w:t>(a) metoda, ki temelji na kronološkem vrstnem redu vloženih zahtevkov (načelo „prvi prispe, prvi dobi“);</w:t>
            </w:r>
          </w:p>
        </w:tc>
      </w:tr>
      <w:tr w:rsidR="006F5BFE" w:rsidRPr="003B2277" w14:paraId="30C014D1" w14:textId="77777777" w:rsidTr="005B4D60">
        <w:trPr>
          <w:jc w:val="center"/>
        </w:trPr>
        <w:tc>
          <w:tcPr>
            <w:tcW w:w="4876" w:type="dxa"/>
            <w:hideMark/>
          </w:tcPr>
          <w:p w14:paraId="3F9F9CD0" w14:textId="77777777" w:rsidR="006F5BFE" w:rsidRPr="003B2277" w:rsidRDefault="006F5BFE" w:rsidP="005B4D60">
            <w:pPr>
              <w:spacing w:after="120"/>
              <w:rPr>
                <w:lang w:eastAsia="en-US"/>
              </w:rPr>
            </w:pPr>
            <w:r w:rsidRPr="003B2277">
              <w:rPr>
                <w:rFonts w:eastAsia="Calibri" w:cs="Mangal"/>
                <w:lang w:eastAsia="en-US"/>
              </w:rPr>
              <w:t>(b) metoda razdelitve sorazmerno z zahtevanimi količinami ob vložitvi zahtevkov („metoda hkratnega preverjanja“);</w:t>
            </w:r>
          </w:p>
        </w:tc>
        <w:tc>
          <w:tcPr>
            <w:tcW w:w="4876" w:type="dxa"/>
            <w:hideMark/>
          </w:tcPr>
          <w:p w14:paraId="694FAD81" w14:textId="77777777" w:rsidR="006F5BFE" w:rsidRPr="003B2277" w:rsidRDefault="006F5BFE" w:rsidP="005B4D60">
            <w:pPr>
              <w:spacing w:after="120"/>
              <w:rPr>
                <w:szCs w:val="24"/>
                <w:lang w:eastAsia="en-US"/>
              </w:rPr>
            </w:pPr>
            <w:r w:rsidRPr="003B2277">
              <w:rPr>
                <w:rFonts w:eastAsia="Calibri" w:cs="Mangal"/>
                <w:lang w:eastAsia="en-US"/>
              </w:rPr>
              <w:t>(b) metoda razdelitve sorazmerno z zahtevanimi količinami ob vložitvi zahtevkov („metoda hkratnega preverjanja“);</w:t>
            </w:r>
          </w:p>
        </w:tc>
      </w:tr>
      <w:tr w:rsidR="006F5BFE" w:rsidRPr="003B2277" w14:paraId="5A78D599" w14:textId="77777777" w:rsidTr="005B4D60">
        <w:trPr>
          <w:jc w:val="center"/>
        </w:trPr>
        <w:tc>
          <w:tcPr>
            <w:tcW w:w="4876" w:type="dxa"/>
            <w:hideMark/>
          </w:tcPr>
          <w:p w14:paraId="53EB5F6E" w14:textId="77777777" w:rsidR="006F5BFE" w:rsidRPr="003B2277" w:rsidRDefault="006F5BFE" w:rsidP="005B4D60">
            <w:pPr>
              <w:spacing w:after="120"/>
              <w:rPr>
                <w:lang w:eastAsia="en-US"/>
              </w:rPr>
            </w:pPr>
            <w:r w:rsidRPr="003B2277">
              <w:rPr>
                <w:rFonts w:eastAsia="Calibri" w:cs="Mangal"/>
                <w:lang w:eastAsia="en-US"/>
              </w:rPr>
              <w:t>(c) metoda, ki temelji na upoštevanju običajnih trgovinskih tokov („metoda tradicionalnih/novih izvajalcev“).</w:t>
            </w:r>
          </w:p>
        </w:tc>
        <w:tc>
          <w:tcPr>
            <w:tcW w:w="4876" w:type="dxa"/>
            <w:hideMark/>
          </w:tcPr>
          <w:p w14:paraId="07B8E012" w14:textId="77777777" w:rsidR="006F5BFE" w:rsidRPr="003B2277" w:rsidRDefault="006F5BFE" w:rsidP="005B4D60">
            <w:pPr>
              <w:spacing w:after="120"/>
              <w:rPr>
                <w:szCs w:val="24"/>
                <w:lang w:eastAsia="en-US"/>
              </w:rPr>
            </w:pPr>
            <w:r w:rsidRPr="003B2277">
              <w:rPr>
                <w:rFonts w:eastAsia="Calibri" w:cs="Mangal"/>
                <w:lang w:eastAsia="en-US"/>
              </w:rPr>
              <w:t>(c) metoda, ki temelji na upoštevanju običajnih trgovinskih tokov („metoda tradicionalnih/novih izvajalcev“).</w:t>
            </w:r>
          </w:p>
        </w:tc>
      </w:tr>
      <w:tr w:rsidR="006F5BFE" w:rsidRPr="003B2277" w14:paraId="088963DB" w14:textId="77777777" w:rsidTr="005B4D60">
        <w:trPr>
          <w:jc w:val="center"/>
        </w:trPr>
        <w:tc>
          <w:tcPr>
            <w:tcW w:w="4876" w:type="dxa"/>
          </w:tcPr>
          <w:p w14:paraId="68A73E39" w14:textId="77777777" w:rsidR="006F5BFE" w:rsidRPr="003B2277" w:rsidRDefault="006F5BFE" w:rsidP="005B4D60">
            <w:pPr>
              <w:spacing w:after="120"/>
            </w:pPr>
          </w:p>
        </w:tc>
        <w:tc>
          <w:tcPr>
            <w:tcW w:w="4876" w:type="dxa"/>
            <w:hideMark/>
          </w:tcPr>
          <w:p w14:paraId="730B0345" w14:textId="77777777" w:rsidR="006F5BFE" w:rsidRPr="003B2277" w:rsidRDefault="006F5BFE" w:rsidP="005B4D60">
            <w:pPr>
              <w:spacing w:after="120"/>
              <w:rPr>
                <w:szCs w:val="24"/>
                <w:lang w:eastAsia="en-US"/>
              </w:rPr>
            </w:pPr>
            <w:r w:rsidRPr="003B2277">
              <w:rPr>
                <w:rFonts w:eastAsia="Calibri" w:cs="Mangal"/>
                <w:b/>
                <w:i/>
                <w:lang w:eastAsia="en-US"/>
              </w:rPr>
              <w:t>(d) metoda, ki omogoča porazdelitev na različne izvajalce dejavnosti, tudi z upoštevanjem ustreznih socialnih in okoljskih standardov, kot so temeljne konvencije Mednarodne organizacije dela in večstranski okoljski sporazumi, katerih pogodbenica je EU.“;</w:t>
            </w:r>
          </w:p>
        </w:tc>
      </w:tr>
    </w:tbl>
    <w:p w14:paraId="2DB027BE" w14:textId="77777777" w:rsidR="006F5BFE" w:rsidRPr="003B2277" w:rsidRDefault="006F5BFE" w:rsidP="006F5BFE">
      <w:pPr>
        <w:rPr>
          <w:lang w:eastAsia="en-US"/>
        </w:rPr>
      </w:pPr>
    </w:p>
    <w:p w14:paraId="59F162E3" w14:textId="3CDC280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138</w:t>
      </w:r>
    </w:p>
    <w:p w14:paraId="1C6B8784" w14:textId="77777777" w:rsidR="006F5BFE" w:rsidRPr="003B2277" w:rsidRDefault="006F5BFE" w:rsidP="006F5BFE">
      <w:pPr>
        <w:spacing w:before="240"/>
        <w:rPr>
          <w:b/>
          <w:lang w:eastAsia="en-US"/>
        </w:rPr>
      </w:pPr>
      <w:r w:rsidRPr="003B2277">
        <w:rPr>
          <w:rFonts w:eastAsia="Calibri" w:cs="Mangal"/>
          <w:b/>
          <w:lang w:eastAsia="en-US"/>
        </w:rPr>
        <w:t>Predlog uredbe</w:t>
      </w:r>
    </w:p>
    <w:p w14:paraId="643A9FC1" w14:textId="2C923F35" w:rsidR="006F5BFE" w:rsidRPr="003B2277" w:rsidRDefault="006F5BFE" w:rsidP="006F5BFE">
      <w:pPr>
        <w:rPr>
          <w:b/>
          <w:lang w:eastAsia="en-US"/>
        </w:rPr>
      </w:pPr>
      <w:r w:rsidRPr="003B2277">
        <w:rPr>
          <w:rFonts w:eastAsia="Calibri" w:cs="Mangal"/>
          <w:b/>
          <w:lang w:eastAsia="en-US"/>
        </w:rPr>
        <w:t>Člen 1 – odstavek 1 – točka 22 a</w:t>
      </w:r>
      <w:r w:rsidR="00BC0233" w:rsidRPr="003B2277">
        <w:rPr>
          <w:rFonts w:eastAsia="Calibri" w:cs="Mangal"/>
          <w:b/>
          <w:lang w:eastAsia="en-US"/>
        </w:rPr>
        <w:t xml:space="preserve"> </w:t>
      </w:r>
      <w:r w:rsidR="005B2BFC">
        <w:rPr>
          <w:rFonts w:eastAsia="Calibri" w:cs="Mangal"/>
          <w:b/>
          <w:lang w:eastAsia="en-US"/>
        </w:rPr>
        <w:t>f</w:t>
      </w:r>
      <w:r w:rsidR="005B2BFC" w:rsidRPr="003B2277">
        <w:rPr>
          <w:rFonts w:eastAsia="Calibri" w:cs="Mangal"/>
          <w:b/>
          <w:lang w:eastAsia="en-US"/>
        </w:rPr>
        <w:t xml:space="preserve"> </w:t>
      </w:r>
      <w:r w:rsidRPr="003B2277">
        <w:rPr>
          <w:rFonts w:eastAsia="Calibri" w:cs="Mangal"/>
          <w:b/>
          <w:lang w:eastAsia="en-US"/>
        </w:rPr>
        <w:t>(novo)</w:t>
      </w:r>
    </w:p>
    <w:p w14:paraId="380F8FEC" w14:textId="77777777" w:rsidR="006F5BFE" w:rsidRPr="003B2277" w:rsidRDefault="006F5BFE" w:rsidP="006F5BFE">
      <w:pPr>
        <w:keepNext/>
        <w:rPr>
          <w:lang w:eastAsia="en-US"/>
        </w:rPr>
      </w:pPr>
      <w:r w:rsidRPr="003B2277">
        <w:rPr>
          <w:rFonts w:eastAsia="Calibri" w:cs="Mangal"/>
          <w:lang w:eastAsia="en-US"/>
        </w:rPr>
        <w:t>Uredba (EU) št. 1308/2013</w:t>
      </w:r>
    </w:p>
    <w:p w14:paraId="48111E49" w14:textId="77777777" w:rsidR="006F5BFE" w:rsidRPr="003B2277" w:rsidRDefault="006F5BFE" w:rsidP="006F5BFE">
      <w:pPr>
        <w:rPr>
          <w:lang w:eastAsia="en-US"/>
        </w:rPr>
      </w:pPr>
      <w:r w:rsidRPr="003B2277">
        <w:rPr>
          <w:rFonts w:eastAsia="Calibri" w:cs="Mangal"/>
          <w:lang w:eastAsia="en-US"/>
        </w:rPr>
        <w:t>Člen 188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54EAB3A" w14:textId="77777777" w:rsidTr="005B4D60">
        <w:trPr>
          <w:jc w:val="center"/>
        </w:trPr>
        <w:tc>
          <w:tcPr>
            <w:tcW w:w="9752" w:type="dxa"/>
            <w:gridSpan w:val="2"/>
          </w:tcPr>
          <w:p w14:paraId="53C3B048" w14:textId="77777777" w:rsidR="006F5BFE" w:rsidRPr="003B2277" w:rsidRDefault="006F5BFE" w:rsidP="005B4D60">
            <w:pPr>
              <w:keepNext/>
            </w:pPr>
          </w:p>
        </w:tc>
      </w:tr>
      <w:tr w:rsidR="006F5BFE" w:rsidRPr="003B2277" w14:paraId="11EB7671" w14:textId="77777777" w:rsidTr="005B4D60">
        <w:trPr>
          <w:jc w:val="center"/>
        </w:trPr>
        <w:tc>
          <w:tcPr>
            <w:tcW w:w="4876" w:type="dxa"/>
            <w:hideMark/>
          </w:tcPr>
          <w:p w14:paraId="060B873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34F3D33" w14:textId="58B019E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ECCD454" w14:textId="77777777" w:rsidTr="005B4D60">
        <w:trPr>
          <w:jc w:val="center"/>
        </w:trPr>
        <w:tc>
          <w:tcPr>
            <w:tcW w:w="4876" w:type="dxa"/>
          </w:tcPr>
          <w:p w14:paraId="112B8747" w14:textId="77777777" w:rsidR="006F5BFE" w:rsidRPr="003B2277" w:rsidRDefault="006F5BFE" w:rsidP="005B4D60">
            <w:pPr>
              <w:spacing w:after="120"/>
            </w:pPr>
          </w:p>
        </w:tc>
        <w:tc>
          <w:tcPr>
            <w:tcW w:w="4876" w:type="dxa"/>
            <w:hideMark/>
          </w:tcPr>
          <w:p w14:paraId="4DF15814" w14:textId="018FAA6D"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22a</w:t>
            </w:r>
            <w:r w:rsidR="005B2BFC">
              <w:rPr>
                <w:rFonts w:eastAsia="Calibri" w:cs="Mangal"/>
                <w:b/>
                <w:i/>
                <w:lang w:eastAsia="en-US"/>
              </w:rPr>
              <w:t>f</w:t>
            </w:r>
            <w:r w:rsidRPr="003B2277">
              <w:rPr>
                <w:rFonts w:eastAsia="Calibri" w:cs="Mangal"/>
                <w:b/>
                <w:i/>
                <w:lang w:eastAsia="en-US"/>
              </w:rPr>
              <w:t>)</w:t>
            </w:r>
            <w:r w:rsidRPr="003B2277">
              <w:rPr>
                <w:rFonts w:eastAsia="Calibri" w:cs="Mangal"/>
                <w:b/>
                <w:i/>
                <w:lang w:eastAsia="en-US"/>
              </w:rPr>
              <w:tab/>
              <w:t>v poglavju III se doda naslednji člen:</w:t>
            </w:r>
          </w:p>
        </w:tc>
      </w:tr>
      <w:tr w:rsidR="006F5BFE" w:rsidRPr="003B2277" w14:paraId="3E9CE1D9" w14:textId="77777777" w:rsidTr="005B4D60">
        <w:trPr>
          <w:jc w:val="center"/>
        </w:trPr>
        <w:tc>
          <w:tcPr>
            <w:tcW w:w="4876" w:type="dxa"/>
          </w:tcPr>
          <w:p w14:paraId="52FA64EB" w14:textId="77777777" w:rsidR="006F5BFE" w:rsidRPr="003B2277" w:rsidRDefault="006F5BFE" w:rsidP="005B4D60">
            <w:pPr>
              <w:spacing w:after="120"/>
            </w:pPr>
          </w:p>
        </w:tc>
        <w:tc>
          <w:tcPr>
            <w:tcW w:w="4876" w:type="dxa"/>
          </w:tcPr>
          <w:p w14:paraId="6AFE735F" w14:textId="77777777" w:rsidR="006F5BFE" w:rsidRPr="003B2277" w:rsidRDefault="006F5BFE" w:rsidP="005B4D60">
            <w:pPr>
              <w:spacing w:after="120"/>
              <w:rPr>
                <w:b/>
                <w:i/>
                <w:lang w:eastAsia="en-US"/>
              </w:rPr>
            </w:pPr>
            <w:r w:rsidRPr="003B2277">
              <w:rPr>
                <w:rFonts w:eastAsia="Calibri" w:cs="Mangal"/>
                <w:b/>
                <w:i/>
                <w:lang w:eastAsia="en-US"/>
              </w:rPr>
              <w:t>„Člen 188a</w:t>
            </w:r>
          </w:p>
        </w:tc>
      </w:tr>
      <w:tr w:rsidR="006F5BFE" w:rsidRPr="003B2277" w14:paraId="79831469" w14:textId="77777777" w:rsidTr="005B4D60">
        <w:trPr>
          <w:jc w:val="center"/>
        </w:trPr>
        <w:tc>
          <w:tcPr>
            <w:tcW w:w="4876" w:type="dxa"/>
          </w:tcPr>
          <w:p w14:paraId="23910FAF" w14:textId="77777777" w:rsidR="006F5BFE" w:rsidRPr="003B2277" w:rsidRDefault="006F5BFE" w:rsidP="005B4D60">
            <w:pPr>
              <w:spacing w:after="120"/>
            </w:pPr>
          </w:p>
        </w:tc>
        <w:tc>
          <w:tcPr>
            <w:tcW w:w="4876" w:type="dxa"/>
          </w:tcPr>
          <w:p w14:paraId="0F137BDA" w14:textId="77777777" w:rsidR="006F5BFE" w:rsidRPr="003B2277" w:rsidRDefault="006F5BFE" w:rsidP="005B4D60">
            <w:pPr>
              <w:spacing w:after="120"/>
              <w:rPr>
                <w:b/>
                <w:i/>
                <w:lang w:eastAsia="en-US"/>
              </w:rPr>
            </w:pPr>
            <w:r w:rsidRPr="003B2277">
              <w:rPr>
                <w:rFonts w:eastAsia="Calibri" w:cs="Mangal"/>
                <w:b/>
                <w:i/>
                <w:lang w:eastAsia="en-US"/>
              </w:rPr>
              <w:t>Uvoz kmetijskih in agroživilskih proizvodov iz tretjih držav</w:t>
            </w:r>
          </w:p>
        </w:tc>
      </w:tr>
      <w:tr w:rsidR="006F5BFE" w:rsidRPr="003B2277" w14:paraId="16031236" w14:textId="77777777" w:rsidTr="005B4D60">
        <w:trPr>
          <w:jc w:val="center"/>
        </w:trPr>
        <w:tc>
          <w:tcPr>
            <w:tcW w:w="4876" w:type="dxa"/>
          </w:tcPr>
          <w:p w14:paraId="34B30585" w14:textId="77777777" w:rsidR="006F5BFE" w:rsidRPr="003B2277" w:rsidRDefault="006F5BFE" w:rsidP="005B4D60">
            <w:pPr>
              <w:spacing w:after="120"/>
            </w:pPr>
          </w:p>
        </w:tc>
        <w:tc>
          <w:tcPr>
            <w:tcW w:w="4876" w:type="dxa"/>
            <w:hideMark/>
          </w:tcPr>
          <w:p w14:paraId="52E77F14" w14:textId="77777777" w:rsidR="006F5BFE" w:rsidRPr="003B2277" w:rsidRDefault="006F5BFE" w:rsidP="005B4D60">
            <w:pPr>
              <w:spacing w:after="120"/>
              <w:rPr>
                <w:szCs w:val="24"/>
                <w:lang w:eastAsia="en-US"/>
              </w:rPr>
            </w:pPr>
            <w:r w:rsidRPr="003B2277">
              <w:rPr>
                <w:rFonts w:eastAsia="Calibri" w:cs="Mangal"/>
                <w:b/>
                <w:i/>
                <w:lang w:eastAsia="en-US"/>
              </w:rPr>
              <w:t>Kmetijski in agroživilski proizvodi se lahko uvozijo iz tretjih držav samo, če izpolnjujejo proizvodne standarde in obveznosti, zlasti na področju varstva okolja in varovanja zdravja, ki so skladni s tistimi, sprejetimi za enake proizvode, pridelane v Uniji ali pridobljene iz takih proizvodov. Komisija lahko sprejme izvedbene akte, s katerimi določi pravila glede skladnosti, ki se uporabljajo za izvajalce na področju uvoza, pri čemer upošteva sporazume o vzajemnosti s tretjimi državami. Ti izvedbeni akti se sprejmejo v skladu s postopkom pregleda iz člena 229(2).“;</w:t>
            </w:r>
          </w:p>
        </w:tc>
      </w:tr>
    </w:tbl>
    <w:p w14:paraId="0EDE6355" w14:textId="77777777" w:rsidR="006F5BFE" w:rsidRPr="003B2277" w:rsidRDefault="006F5BFE" w:rsidP="006F5BFE">
      <w:pPr>
        <w:rPr>
          <w:lang w:eastAsia="en-US"/>
        </w:rPr>
      </w:pPr>
    </w:p>
    <w:p w14:paraId="049572D3" w14:textId="76DF0C2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139</w:t>
      </w:r>
    </w:p>
    <w:p w14:paraId="7462ABF1" w14:textId="77777777" w:rsidR="006F5BFE" w:rsidRPr="003B2277" w:rsidRDefault="006F5BFE" w:rsidP="006F5BFE">
      <w:pPr>
        <w:spacing w:before="240"/>
        <w:rPr>
          <w:b/>
          <w:lang w:eastAsia="en-US"/>
        </w:rPr>
      </w:pPr>
      <w:r w:rsidRPr="003B2277">
        <w:rPr>
          <w:rFonts w:eastAsia="Calibri" w:cs="Mangal"/>
          <w:b/>
          <w:lang w:eastAsia="en-US"/>
        </w:rPr>
        <w:t>Predlog uredbe</w:t>
      </w:r>
    </w:p>
    <w:p w14:paraId="086B2B99" w14:textId="77777777" w:rsidR="006F5BFE" w:rsidRPr="003B2277" w:rsidRDefault="006F5BFE" w:rsidP="006F5BFE">
      <w:pPr>
        <w:rPr>
          <w:b/>
          <w:lang w:eastAsia="en-US"/>
        </w:rPr>
      </w:pPr>
      <w:r w:rsidRPr="003B2277">
        <w:rPr>
          <w:rFonts w:eastAsia="Calibri" w:cs="Mangal"/>
          <w:b/>
          <w:lang w:eastAsia="en-US"/>
        </w:rPr>
        <w:t>Člen 1 – odstavek 1 – točka 23</w:t>
      </w:r>
    </w:p>
    <w:p w14:paraId="1274478E" w14:textId="77777777" w:rsidR="006F5BFE" w:rsidRPr="003B2277" w:rsidRDefault="006F5BFE" w:rsidP="006F5BFE">
      <w:pPr>
        <w:keepNext/>
        <w:rPr>
          <w:lang w:eastAsia="en-US"/>
        </w:rPr>
      </w:pPr>
      <w:r w:rsidRPr="003B2277">
        <w:rPr>
          <w:rFonts w:eastAsia="Calibri" w:cs="Mangal"/>
          <w:lang w:eastAsia="en-US"/>
        </w:rPr>
        <w:t>Uredba (EU) št. 1308/2013</w:t>
      </w:r>
    </w:p>
    <w:p w14:paraId="11E9C431" w14:textId="77777777" w:rsidR="006F5BFE" w:rsidRPr="003B2277" w:rsidRDefault="006F5BFE" w:rsidP="006F5BFE">
      <w:pPr>
        <w:rPr>
          <w:lang w:eastAsia="en-US"/>
        </w:rPr>
      </w:pPr>
      <w:r w:rsidRPr="003B2277">
        <w:rPr>
          <w:rFonts w:eastAsia="Calibri" w:cs="Mangal"/>
          <w:lang w:eastAsia="en-US"/>
        </w:rPr>
        <w:t>Člen 189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EAA882B" w14:textId="77777777" w:rsidTr="005B4D60">
        <w:trPr>
          <w:jc w:val="center"/>
        </w:trPr>
        <w:tc>
          <w:tcPr>
            <w:tcW w:w="9752" w:type="dxa"/>
            <w:gridSpan w:val="2"/>
          </w:tcPr>
          <w:p w14:paraId="501848B8" w14:textId="77777777" w:rsidR="006F5BFE" w:rsidRPr="003B2277" w:rsidRDefault="006F5BFE" w:rsidP="005B4D60">
            <w:pPr>
              <w:keepNext/>
            </w:pPr>
          </w:p>
        </w:tc>
      </w:tr>
      <w:tr w:rsidR="006F5BFE" w:rsidRPr="003B2277" w14:paraId="3D1F894E" w14:textId="77777777" w:rsidTr="005B4D60">
        <w:trPr>
          <w:jc w:val="center"/>
        </w:trPr>
        <w:tc>
          <w:tcPr>
            <w:tcW w:w="4876" w:type="dxa"/>
            <w:hideMark/>
          </w:tcPr>
          <w:p w14:paraId="7F36C4D7"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732A6988" w14:textId="65E1644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08A6DFD" w14:textId="77777777" w:rsidTr="005B4D60">
        <w:trPr>
          <w:jc w:val="center"/>
        </w:trPr>
        <w:tc>
          <w:tcPr>
            <w:tcW w:w="4876" w:type="dxa"/>
            <w:hideMark/>
          </w:tcPr>
          <w:p w14:paraId="7DE35BC2" w14:textId="77777777" w:rsidR="006F5BFE" w:rsidRPr="003B2277" w:rsidRDefault="006F5BFE" w:rsidP="005B4D60">
            <w:pPr>
              <w:spacing w:after="120"/>
              <w:rPr>
                <w:lang w:eastAsia="en-US"/>
              </w:rPr>
            </w:pPr>
            <w:r w:rsidRPr="003B2277">
              <w:rPr>
                <w:rFonts w:eastAsia="Calibri" w:cs="Mangal"/>
                <w:b/>
                <w:i/>
                <w:lang w:eastAsia="en-US"/>
              </w:rPr>
              <w:t>(23)</w:t>
            </w:r>
            <w:r w:rsidRPr="003B2277">
              <w:rPr>
                <w:rFonts w:eastAsia="Calibri" w:cs="Mangal"/>
                <w:b/>
                <w:i/>
                <w:lang w:eastAsia="en-US"/>
              </w:rPr>
              <w:tab/>
              <w:t>Člen 189 se črta.</w:t>
            </w:r>
          </w:p>
        </w:tc>
        <w:tc>
          <w:tcPr>
            <w:tcW w:w="4876" w:type="dxa"/>
            <w:hideMark/>
          </w:tcPr>
          <w:p w14:paraId="16442D4C" w14:textId="77777777" w:rsidR="006F5BFE" w:rsidRPr="003B2277" w:rsidRDefault="006F5BFE" w:rsidP="005B4D60">
            <w:pPr>
              <w:spacing w:after="120"/>
              <w:rPr>
                <w:szCs w:val="24"/>
                <w:lang w:eastAsia="en-US"/>
              </w:rPr>
            </w:pPr>
            <w:r w:rsidRPr="003B2277">
              <w:rPr>
                <w:rFonts w:eastAsia="Calibri" w:cs="Mangal"/>
                <w:b/>
                <w:i/>
                <w:lang w:eastAsia="en-US"/>
              </w:rPr>
              <w:t>črtano</w:t>
            </w:r>
          </w:p>
        </w:tc>
      </w:tr>
    </w:tbl>
    <w:p w14:paraId="69AA5148" w14:textId="77777777" w:rsidR="006F5BFE" w:rsidRPr="003B2277" w:rsidRDefault="006F5BFE" w:rsidP="006F5BFE">
      <w:pPr>
        <w:rPr>
          <w:lang w:eastAsia="en-US"/>
        </w:rPr>
      </w:pPr>
    </w:p>
    <w:p w14:paraId="45FD3735" w14:textId="12D1797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140</w:t>
      </w:r>
    </w:p>
    <w:p w14:paraId="1E3BD65B" w14:textId="77777777" w:rsidR="006F5BFE" w:rsidRPr="003B2277" w:rsidRDefault="006F5BFE" w:rsidP="006F5BFE"/>
    <w:p w14:paraId="789B1C53" w14:textId="77777777" w:rsidR="006F5BFE" w:rsidRPr="003B2277" w:rsidRDefault="006F5BFE" w:rsidP="006F5BFE">
      <w:pPr>
        <w:keepNext/>
        <w:rPr>
          <w:b/>
          <w:lang w:eastAsia="en-US"/>
        </w:rPr>
      </w:pPr>
      <w:r w:rsidRPr="003B2277">
        <w:rPr>
          <w:rFonts w:eastAsia="Calibri" w:cs="Mangal"/>
          <w:b/>
          <w:lang w:eastAsia="en-US"/>
        </w:rPr>
        <w:t>Predlog uredbe</w:t>
      </w:r>
    </w:p>
    <w:p w14:paraId="719A8FFD" w14:textId="77777777" w:rsidR="006F5BFE" w:rsidRPr="003B2277" w:rsidRDefault="006F5BFE" w:rsidP="006F5BFE">
      <w:pPr>
        <w:rPr>
          <w:b/>
          <w:lang w:eastAsia="en-US"/>
        </w:rPr>
      </w:pPr>
      <w:r w:rsidRPr="003B2277">
        <w:rPr>
          <w:rFonts w:eastAsia="Calibri" w:cs="Mangal"/>
          <w:b/>
          <w:lang w:eastAsia="en-US"/>
        </w:rPr>
        <w:t>Člen 1 – odstavek 1 – točka 26 a (novo)</w:t>
      </w:r>
    </w:p>
    <w:p w14:paraId="5192D638" w14:textId="77777777" w:rsidR="006F5BFE" w:rsidRPr="003B2277" w:rsidRDefault="006F5BFE" w:rsidP="006F5BFE">
      <w:pPr>
        <w:keepNext/>
        <w:rPr>
          <w:lang w:eastAsia="en-US"/>
        </w:rPr>
      </w:pPr>
      <w:r w:rsidRPr="003B2277">
        <w:rPr>
          <w:rFonts w:eastAsia="Calibri" w:cs="Mangal"/>
          <w:lang w:eastAsia="en-US"/>
        </w:rPr>
        <w:t>Uredba (EU) št. 1308/2013</w:t>
      </w:r>
    </w:p>
    <w:p w14:paraId="0930FF2F" w14:textId="77777777" w:rsidR="006F5BFE" w:rsidRPr="003B2277" w:rsidRDefault="006F5BFE" w:rsidP="006F5BFE">
      <w:pPr>
        <w:rPr>
          <w:lang w:eastAsia="en-US"/>
        </w:rPr>
      </w:pPr>
      <w:r w:rsidRPr="003B2277">
        <w:rPr>
          <w:rFonts w:eastAsia="Calibri" w:cs="Mangal"/>
          <w:lang w:eastAsia="en-US"/>
        </w:rPr>
        <w:t>Člen 206</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48ACC68" w14:textId="77777777" w:rsidTr="005B4D60">
        <w:trPr>
          <w:jc w:val="center"/>
        </w:trPr>
        <w:tc>
          <w:tcPr>
            <w:tcW w:w="9752" w:type="dxa"/>
            <w:gridSpan w:val="2"/>
          </w:tcPr>
          <w:p w14:paraId="37BA6393" w14:textId="77777777" w:rsidR="006F5BFE" w:rsidRPr="003B2277" w:rsidRDefault="006F5BFE" w:rsidP="005B4D60">
            <w:pPr>
              <w:keepNext/>
            </w:pPr>
          </w:p>
        </w:tc>
      </w:tr>
      <w:tr w:rsidR="006F5BFE" w:rsidRPr="003B2277" w14:paraId="7FD464C5" w14:textId="77777777" w:rsidTr="005B4D60">
        <w:trPr>
          <w:jc w:val="center"/>
        </w:trPr>
        <w:tc>
          <w:tcPr>
            <w:tcW w:w="4876" w:type="dxa"/>
            <w:hideMark/>
          </w:tcPr>
          <w:p w14:paraId="5BD068A1"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654AC0D4" w14:textId="092DE3D6"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67ECDC5" w14:textId="77777777" w:rsidTr="005B4D60">
        <w:trPr>
          <w:jc w:val="center"/>
        </w:trPr>
        <w:tc>
          <w:tcPr>
            <w:tcW w:w="4876" w:type="dxa"/>
          </w:tcPr>
          <w:p w14:paraId="122ADF04" w14:textId="77777777" w:rsidR="006F5BFE" w:rsidRPr="003B2277" w:rsidRDefault="006F5BFE" w:rsidP="005B4D60">
            <w:pPr>
              <w:spacing w:after="120"/>
            </w:pPr>
          </w:p>
        </w:tc>
        <w:tc>
          <w:tcPr>
            <w:tcW w:w="4876" w:type="dxa"/>
            <w:hideMark/>
          </w:tcPr>
          <w:p w14:paraId="11BA6343" w14:textId="77777777" w:rsidR="006F5BFE" w:rsidRPr="003B2277" w:rsidRDefault="006F5BFE" w:rsidP="005B4D60">
            <w:pPr>
              <w:spacing w:after="120"/>
              <w:rPr>
                <w:szCs w:val="24"/>
                <w:lang w:eastAsia="en-US"/>
              </w:rPr>
            </w:pPr>
            <w:r w:rsidRPr="003B2277">
              <w:rPr>
                <w:rFonts w:eastAsia="Calibri" w:cs="Mangal"/>
                <w:b/>
                <w:i/>
                <w:lang w:eastAsia="en-US"/>
              </w:rPr>
              <w:t>(26a)</w:t>
            </w:r>
            <w:r w:rsidRPr="003B2277">
              <w:rPr>
                <w:rFonts w:eastAsia="Calibri" w:cs="Mangal"/>
                <w:b/>
                <w:i/>
                <w:lang w:eastAsia="en-US"/>
              </w:rPr>
              <w:tab/>
              <w:t>člen 206 se nadomesti z naslednjim:</w:t>
            </w:r>
          </w:p>
        </w:tc>
      </w:tr>
      <w:tr w:rsidR="006F5BFE" w:rsidRPr="003B2277" w14:paraId="02715F35" w14:textId="77777777" w:rsidTr="005B4D60">
        <w:trPr>
          <w:jc w:val="center"/>
        </w:trPr>
        <w:tc>
          <w:tcPr>
            <w:tcW w:w="4876" w:type="dxa"/>
            <w:hideMark/>
          </w:tcPr>
          <w:p w14:paraId="39A8BC88" w14:textId="77777777" w:rsidR="006F5BFE" w:rsidRPr="003B2277" w:rsidRDefault="006F5BFE" w:rsidP="005B4D60">
            <w:pPr>
              <w:spacing w:after="120"/>
              <w:rPr>
                <w:lang w:eastAsia="en-US"/>
              </w:rPr>
            </w:pPr>
            <w:r w:rsidRPr="003B2277">
              <w:rPr>
                <w:rFonts w:eastAsia="Calibri" w:cs="Mangal"/>
                <w:lang w:eastAsia="en-US"/>
              </w:rPr>
              <w:t>Člen 206</w:t>
            </w:r>
          </w:p>
        </w:tc>
        <w:tc>
          <w:tcPr>
            <w:tcW w:w="4876" w:type="dxa"/>
            <w:hideMark/>
          </w:tcPr>
          <w:p w14:paraId="19558F91"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206</w:t>
            </w:r>
          </w:p>
        </w:tc>
      </w:tr>
      <w:tr w:rsidR="006F5BFE" w:rsidRPr="003B2277" w14:paraId="07AF8B19" w14:textId="77777777" w:rsidTr="005B4D60">
        <w:trPr>
          <w:jc w:val="center"/>
        </w:trPr>
        <w:tc>
          <w:tcPr>
            <w:tcW w:w="4876" w:type="dxa"/>
            <w:hideMark/>
          </w:tcPr>
          <w:p w14:paraId="525E2A34" w14:textId="77777777" w:rsidR="006F5BFE" w:rsidRPr="003B2277" w:rsidRDefault="006F5BFE" w:rsidP="005B4D60">
            <w:pPr>
              <w:spacing w:after="120"/>
              <w:rPr>
                <w:lang w:eastAsia="en-US"/>
              </w:rPr>
            </w:pPr>
            <w:r w:rsidRPr="003B2277">
              <w:rPr>
                <w:rFonts w:eastAsia="Calibri" w:cs="Mangal"/>
                <w:lang w:eastAsia="en-US"/>
              </w:rPr>
              <w:t>Smernice Komisije za uporabo pravil konkurence v kmetijstvu</w:t>
            </w:r>
          </w:p>
        </w:tc>
        <w:tc>
          <w:tcPr>
            <w:tcW w:w="4876" w:type="dxa"/>
            <w:hideMark/>
          </w:tcPr>
          <w:p w14:paraId="0185DE58" w14:textId="77777777" w:rsidR="006F5BFE" w:rsidRPr="003B2277" w:rsidRDefault="006F5BFE" w:rsidP="005B4D60">
            <w:pPr>
              <w:spacing w:after="120"/>
              <w:rPr>
                <w:szCs w:val="24"/>
                <w:lang w:eastAsia="en-US"/>
              </w:rPr>
            </w:pPr>
            <w:r w:rsidRPr="003B2277">
              <w:rPr>
                <w:rFonts w:eastAsia="Calibri" w:cs="Mangal"/>
                <w:lang w:eastAsia="en-US"/>
              </w:rPr>
              <w:t>Smernice Komisije za uporabo pravil konkurence v kmetijstvu</w:t>
            </w:r>
          </w:p>
        </w:tc>
      </w:tr>
      <w:tr w:rsidR="006F5BFE" w:rsidRPr="003B2277" w14:paraId="0B3A1B8D" w14:textId="77777777" w:rsidTr="005B4D60">
        <w:trPr>
          <w:jc w:val="center"/>
        </w:trPr>
        <w:tc>
          <w:tcPr>
            <w:tcW w:w="4876" w:type="dxa"/>
            <w:hideMark/>
          </w:tcPr>
          <w:p w14:paraId="7477E93D" w14:textId="77777777" w:rsidR="006F5BFE" w:rsidRPr="003B2277" w:rsidRDefault="006F5BFE" w:rsidP="005B4D60">
            <w:pPr>
              <w:spacing w:after="120"/>
              <w:rPr>
                <w:lang w:eastAsia="en-US"/>
              </w:rPr>
            </w:pPr>
            <w:r w:rsidRPr="003B2277">
              <w:rPr>
                <w:rFonts w:eastAsia="Calibri" w:cs="Mangal"/>
                <w:lang w:eastAsia="en-US"/>
              </w:rPr>
              <w:t>V skladu s členom 42 PDEU in razen če je v tej uredbi določeno drugače, se členi od 101 do 106 PDEU in določbe za njihovo izvajanje ob upoštevanju členov od 207 do 210 te uredbe uporabljajo za vse sporazume, sklepe in ravnanja iz člena 101(1) in člena 102 PDEU, ki se nanašajo na pridelavo kmetijskih proizvodov ali trgovino z njimi.</w:t>
            </w:r>
          </w:p>
        </w:tc>
        <w:tc>
          <w:tcPr>
            <w:tcW w:w="4876" w:type="dxa"/>
            <w:hideMark/>
          </w:tcPr>
          <w:p w14:paraId="373BC67B" w14:textId="77777777" w:rsidR="006F5BFE" w:rsidRPr="003B2277" w:rsidRDefault="006F5BFE" w:rsidP="005B4D60">
            <w:pPr>
              <w:spacing w:after="120"/>
              <w:rPr>
                <w:szCs w:val="24"/>
                <w:lang w:eastAsia="en-US"/>
              </w:rPr>
            </w:pPr>
            <w:r w:rsidRPr="003B2277">
              <w:rPr>
                <w:rFonts w:eastAsia="Calibri" w:cs="Mangal"/>
                <w:lang w:eastAsia="en-US"/>
              </w:rPr>
              <w:t>V skladu s členom 42 PDEU in razen če je v tej uredbi določeno drugače, se členi od 101 do 106 PDEU in določbe za njihovo izvajanje ob upoštevanju členov od 207 do 210 te uredbe uporabljajo za vse sporazume, sklepe in ravnanja iz člena 101(1) in člena 102 PDEU, ki se nanašajo na pridelavo kmetijskih proizvodov ali trgovino z njimi.</w:t>
            </w:r>
          </w:p>
        </w:tc>
      </w:tr>
      <w:tr w:rsidR="006F5BFE" w:rsidRPr="003B2277" w14:paraId="1E0A3339" w14:textId="77777777" w:rsidTr="005B4D60">
        <w:trPr>
          <w:jc w:val="center"/>
        </w:trPr>
        <w:tc>
          <w:tcPr>
            <w:tcW w:w="4876" w:type="dxa"/>
            <w:hideMark/>
          </w:tcPr>
          <w:p w14:paraId="4F3FB2E9" w14:textId="77777777" w:rsidR="006F5BFE" w:rsidRPr="003B2277" w:rsidRDefault="006F5BFE" w:rsidP="005B4D60">
            <w:pPr>
              <w:spacing w:after="120"/>
              <w:rPr>
                <w:lang w:eastAsia="en-US"/>
              </w:rPr>
            </w:pPr>
            <w:r w:rsidRPr="003B2277">
              <w:rPr>
                <w:rFonts w:eastAsia="Calibri" w:cs="Mangal"/>
                <w:lang w:eastAsia="en-US"/>
              </w:rPr>
              <w:t xml:space="preserve">Da bi zagotovili delovanje notranjega trga </w:t>
            </w:r>
            <w:r w:rsidRPr="003B2277">
              <w:rPr>
                <w:rFonts w:eastAsia="Calibri" w:cs="Mangal"/>
                <w:b/>
                <w:i/>
                <w:lang w:eastAsia="en-US"/>
              </w:rPr>
              <w:t>in</w:t>
            </w:r>
            <w:r w:rsidRPr="003B2277">
              <w:rPr>
                <w:rFonts w:eastAsia="Calibri" w:cs="Mangal"/>
                <w:lang w:eastAsia="en-US"/>
              </w:rPr>
              <w:t xml:space="preserve"> enotno uporabo pravil Unije na področju konkurence, Komisija in organi držav članic za konkurenco </w:t>
            </w:r>
            <w:r w:rsidRPr="003B2277">
              <w:rPr>
                <w:rFonts w:eastAsia="Calibri" w:cs="Mangal"/>
                <w:b/>
                <w:i/>
                <w:lang w:eastAsia="en-US"/>
              </w:rPr>
              <w:t>v tesnem sodelovanju</w:t>
            </w:r>
            <w:r w:rsidRPr="003B2277">
              <w:rPr>
                <w:rFonts w:eastAsia="Calibri" w:cs="Mangal"/>
                <w:lang w:eastAsia="en-US"/>
              </w:rPr>
              <w:t xml:space="preserve"> uporabljajo pravila Unije na področju konkurence.</w:t>
            </w:r>
          </w:p>
        </w:tc>
        <w:tc>
          <w:tcPr>
            <w:tcW w:w="4876" w:type="dxa"/>
            <w:hideMark/>
          </w:tcPr>
          <w:p w14:paraId="59BF6172" w14:textId="77777777" w:rsidR="006F5BFE" w:rsidRPr="003B2277" w:rsidRDefault="006F5BFE" w:rsidP="005B4D60">
            <w:pPr>
              <w:spacing w:after="120"/>
              <w:rPr>
                <w:szCs w:val="24"/>
                <w:lang w:eastAsia="en-US"/>
              </w:rPr>
            </w:pPr>
            <w:r w:rsidRPr="003B2277">
              <w:rPr>
                <w:rFonts w:eastAsia="Calibri" w:cs="Mangal"/>
                <w:lang w:eastAsia="en-US"/>
              </w:rPr>
              <w:t xml:space="preserve">Da bi zagotovili delovanje notranjega trga </w:t>
            </w:r>
            <w:r w:rsidRPr="003B2277">
              <w:rPr>
                <w:rFonts w:eastAsia="Calibri" w:cs="Mangal"/>
                <w:b/>
                <w:i/>
                <w:lang w:eastAsia="en-US"/>
              </w:rPr>
              <w:t>ter</w:t>
            </w:r>
            <w:r w:rsidRPr="003B2277">
              <w:rPr>
                <w:rFonts w:eastAsia="Calibri" w:cs="Mangal"/>
                <w:lang w:eastAsia="en-US"/>
              </w:rPr>
              <w:t xml:space="preserve"> enotno</w:t>
            </w:r>
            <w:r w:rsidRPr="003B2277">
              <w:rPr>
                <w:rFonts w:eastAsia="Calibri" w:cs="Mangal"/>
                <w:b/>
                <w:i/>
                <w:lang w:eastAsia="en-US"/>
              </w:rPr>
              <w:t xml:space="preserve"> razlago in</w:t>
            </w:r>
            <w:r w:rsidRPr="003B2277">
              <w:rPr>
                <w:rFonts w:eastAsia="Calibri" w:cs="Mangal"/>
                <w:lang w:eastAsia="en-US"/>
              </w:rPr>
              <w:t xml:space="preserve"> uporabo pravil Unije na področju konkurence, Komisija in organi držav članic za konkurenco </w:t>
            </w:r>
            <w:r w:rsidRPr="003B2277">
              <w:rPr>
                <w:rFonts w:eastAsia="Calibri" w:cs="Mangal"/>
                <w:b/>
                <w:i/>
                <w:lang w:eastAsia="en-US"/>
              </w:rPr>
              <w:t>tesno sodelujejo in, kolikor je mogoče, usklajujejo svoje dejavnosti, kadar</w:t>
            </w:r>
            <w:r w:rsidRPr="003B2277">
              <w:rPr>
                <w:rFonts w:eastAsia="Calibri" w:cs="Mangal"/>
                <w:lang w:eastAsia="en-US"/>
              </w:rPr>
              <w:t xml:space="preserve"> uporabljajo pravila Unije na področju konkurence.</w:t>
            </w:r>
          </w:p>
        </w:tc>
      </w:tr>
      <w:tr w:rsidR="006F5BFE" w:rsidRPr="003B2277" w14:paraId="173F03BB" w14:textId="77777777" w:rsidTr="005B4D60">
        <w:trPr>
          <w:jc w:val="center"/>
        </w:trPr>
        <w:tc>
          <w:tcPr>
            <w:tcW w:w="4876" w:type="dxa"/>
            <w:hideMark/>
          </w:tcPr>
          <w:p w14:paraId="085BDF43" w14:textId="77777777" w:rsidR="006F5BFE" w:rsidRPr="003B2277" w:rsidRDefault="006F5BFE" w:rsidP="005B4D60">
            <w:pPr>
              <w:spacing w:after="120"/>
              <w:rPr>
                <w:lang w:eastAsia="en-US"/>
              </w:rPr>
            </w:pPr>
            <w:r w:rsidRPr="003B2277">
              <w:rPr>
                <w:rFonts w:eastAsia="Calibri" w:cs="Mangal"/>
                <w:lang w:eastAsia="en-US"/>
              </w:rPr>
              <w:t>Komisija poleg tega po potrebi objavi smernice v pomoč nacionalnim organom za konkurenco ter podjetjem.</w:t>
            </w:r>
          </w:p>
        </w:tc>
        <w:tc>
          <w:tcPr>
            <w:tcW w:w="4876" w:type="dxa"/>
            <w:hideMark/>
          </w:tcPr>
          <w:p w14:paraId="4790C0BE" w14:textId="2FD3CB60" w:rsidR="006F5BFE" w:rsidRPr="003B2277" w:rsidRDefault="006F5BFE" w:rsidP="005B4D60">
            <w:pPr>
              <w:spacing w:after="120"/>
              <w:rPr>
                <w:szCs w:val="24"/>
                <w:lang w:eastAsia="en-US"/>
              </w:rPr>
            </w:pPr>
            <w:r w:rsidRPr="003B2277">
              <w:rPr>
                <w:rFonts w:eastAsia="Calibri" w:cs="Mangal"/>
                <w:lang w:eastAsia="en-US"/>
              </w:rPr>
              <w:t>Komisija poleg tega po potrebi objavi smernice v pomoč nacionalnim organom za konkurenco ter podjetjem.</w:t>
            </w:r>
            <w:r w:rsidRPr="003B2277">
              <w:rPr>
                <w:rFonts w:eastAsia="Calibri" w:cs="Mangal"/>
                <w:b/>
                <w:i/>
                <w:lang w:eastAsia="en-US"/>
              </w:rPr>
              <w:t>“</w:t>
            </w:r>
          </w:p>
        </w:tc>
      </w:tr>
    </w:tbl>
    <w:p w14:paraId="079AF77C" w14:textId="65545728" w:rsidR="006F5BFE" w:rsidRDefault="006F5BFE" w:rsidP="006F5BFE">
      <w:pPr>
        <w:rPr>
          <w:lang w:eastAsia="en-US"/>
        </w:rPr>
      </w:pPr>
    </w:p>
    <w:p w14:paraId="6FA09277" w14:textId="1D74A3D7" w:rsidR="004E4D6B" w:rsidRDefault="004E4D6B" w:rsidP="006F5BFE">
      <w:pPr>
        <w:rPr>
          <w:lang w:eastAsia="en-US"/>
        </w:rPr>
      </w:pPr>
    </w:p>
    <w:p w14:paraId="7F7AFD36" w14:textId="688A40E8" w:rsidR="004E4D6B" w:rsidRPr="00026AD3" w:rsidRDefault="008C7773" w:rsidP="004E4D6B">
      <w:pPr>
        <w:pStyle w:val="AmNumberTabs0"/>
      </w:pPr>
      <w:r>
        <w:t>Sprememba</w:t>
      </w:r>
      <w:r w:rsidR="004E4D6B" w:rsidRPr="00026AD3">
        <w:tab/>
      </w:r>
      <w:r w:rsidR="004E4D6B" w:rsidRPr="00026AD3">
        <w:tab/>
        <w:t>246</w:t>
      </w:r>
    </w:p>
    <w:p w14:paraId="2C50FAAD" w14:textId="77777777" w:rsidR="004E4D6B" w:rsidRPr="00026AD3" w:rsidRDefault="004E4D6B" w:rsidP="004E4D6B">
      <w:pPr>
        <w:pStyle w:val="NormalBold12b"/>
      </w:pPr>
      <w:r w:rsidRPr="00026AD3">
        <w:t>Predlog uredbe</w:t>
      </w:r>
    </w:p>
    <w:p w14:paraId="39AD94A4" w14:textId="5D2BF887" w:rsidR="004E4D6B" w:rsidRPr="00026AD3" w:rsidRDefault="005B2BFC" w:rsidP="004E4D6B">
      <w:pPr>
        <w:pStyle w:val="NormalBold"/>
      </w:pPr>
      <w:r>
        <w:t>Člen 1 – odstavek 1 – točka 26 b</w:t>
      </w:r>
      <w:r w:rsidR="004E4D6B" w:rsidRPr="00026AD3">
        <w:t xml:space="preserve"> (novo)</w:t>
      </w:r>
    </w:p>
    <w:p w14:paraId="532C3098" w14:textId="77777777" w:rsidR="004E4D6B" w:rsidRPr="00026AD3" w:rsidRDefault="004E4D6B" w:rsidP="004E4D6B">
      <w:r w:rsidRPr="00026AD3">
        <w:t>Uredba (EU) 1308/2013</w:t>
      </w:r>
    </w:p>
    <w:p w14:paraId="615108F7" w14:textId="77777777" w:rsidR="004E4D6B" w:rsidRPr="00026AD3" w:rsidRDefault="004E4D6B" w:rsidP="004E4D6B">
      <w:r w:rsidRPr="00026AD3">
        <w:t>Del IV – poglavje I – člen 206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026AD3" w14:paraId="178F5876" w14:textId="77777777" w:rsidTr="00D056A8">
        <w:trPr>
          <w:jc w:val="center"/>
        </w:trPr>
        <w:tc>
          <w:tcPr>
            <w:tcW w:w="9752" w:type="dxa"/>
            <w:gridSpan w:val="2"/>
          </w:tcPr>
          <w:p w14:paraId="7CD1CC16" w14:textId="77777777" w:rsidR="004E4D6B" w:rsidRPr="00026AD3" w:rsidRDefault="004E4D6B" w:rsidP="00D056A8">
            <w:pPr>
              <w:keepNext/>
            </w:pPr>
          </w:p>
        </w:tc>
      </w:tr>
      <w:tr w:rsidR="004E4D6B" w:rsidRPr="00026AD3" w14:paraId="4843F3E3" w14:textId="77777777" w:rsidTr="00D056A8">
        <w:trPr>
          <w:jc w:val="center"/>
        </w:trPr>
        <w:tc>
          <w:tcPr>
            <w:tcW w:w="4876" w:type="dxa"/>
          </w:tcPr>
          <w:p w14:paraId="71417311" w14:textId="77777777" w:rsidR="004E4D6B" w:rsidRPr="00026AD3" w:rsidRDefault="004E4D6B" w:rsidP="00D056A8">
            <w:pPr>
              <w:pStyle w:val="AmColumnHeading"/>
              <w:keepNext/>
            </w:pPr>
            <w:r w:rsidRPr="00026AD3">
              <w:t>Besedilo, ki ga predlaga Komisija</w:t>
            </w:r>
          </w:p>
        </w:tc>
        <w:tc>
          <w:tcPr>
            <w:tcW w:w="4876" w:type="dxa"/>
          </w:tcPr>
          <w:p w14:paraId="76E848F6" w14:textId="74E8998D" w:rsidR="004E4D6B" w:rsidRPr="00026AD3" w:rsidRDefault="008C7773" w:rsidP="00D056A8">
            <w:pPr>
              <w:pStyle w:val="AmColumnHeading"/>
              <w:keepNext/>
            </w:pPr>
            <w:r>
              <w:t>Sprememba</w:t>
            </w:r>
          </w:p>
        </w:tc>
      </w:tr>
      <w:tr w:rsidR="004E4D6B" w:rsidRPr="00026AD3" w14:paraId="371DE1A4" w14:textId="77777777" w:rsidTr="00D056A8">
        <w:trPr>
          <w:jc w:val="center"/>
        </w:trPr>
        <w:tc>
          <w:tcPr>
            <w:tcW w:w="4876" w:type="dxa"/>
          </w:tcPr>
          <w:p w14:paraId="71F0224E" w14:textId="77777777" w:rsidR="004E4D6B" w:rsidRPr="00026AD3" w:rsidRDefault="004E4D6B" w:rsidP="00D056A8">
            <w:pPr>
              <w:pStyle w:val="Normal6a"/>
            </w:pPr>
          </w:p>
        </w:tc>
        <w:tc>
          <w:tcPr>
            <w:tcW w:w="4876" w:type="dxa"/>
          </w:tcPr>
          <w:p w14:paraId="2460F82F" w14:textId="195A9FCA" w:rsidR="004E4D6B" w:rsidRPr="00026AD3" w:rsidRDefault="005B2BFC" w:rsidP="00D056A8">
            <w:pPr>
              <w:pStyle w:val="Normal6"/>
              <w:rPr>
                <w:szCs w:val="24"/>
              </w:rPr>
            </w:pPr>
            <w:r>
              <w:rPr>
                <w:b/>
                <w:i/>
              </w:rPr>
              <w:t>(26b</w:t>
            </w:r>
            <w:r w:rsidR="004E4D6B" w:rsidRPr="00026AD3">
              <w:rPr>
                <w:b/>
                <w:i/>
              </w:rPr>
              <w:t>)</w:t>
            </w:r>
            <w:r w:rsidR="004E4D6B" w:rsidRPr="00026AD3">
              <w:rPr>
                <w:b/>
                <w:i/>
              </w:rPr>
              <w:tab/>
              <w:t>vstavi se naslednji člen:</w:t>
            </w:r>
          </w:p>
        </w:tc>
      </w:tr>
      <w:tr w:rsidR="004E4D6B" w:rsidRPr="00026AD3" w14:paraId="13B5F25E" w14:textId="77777777" w:rsidTr="00D056A8">
        <w:trPr>
          <w:jc w:val="center"/>
        </w:trPr>
        <w:tc>
          <w:tcPr>
            <w:tcW w:w="4876" w:type="dxa"/>
          </w:tcPr>
          <w:p w14:paraId="10661DC2" w14:textId="77777777" w:rsidR="004E4D6B" w:rsidRPr="00026AD3" w:rsidRDefault="004E4D6B" w:rsidP="00D056A8">
            <w:pPr>
              <w:pStyle w:val="Normal6a"/>
            </w:pPr>
          </w:p>
        </w:tc>
        <w:tc>
          <w:tcPr>
            <w:tcW w:w="4876" w:type="dxa"/>
          </w:tcPr>
          <w:p w14:paraId="38905266" w14:textId="77777777" w:rsidR="004E4D6B" w:rsidRPr="00026AD3" w:rsidRDefault="004E4D6B" w:rsidP="00D056A8">
            <w:pPr>
              <w:pStyle w:val="Normal6"/>
              <w:rPr>
                <w:szCs w:val="24"/>
              </w:rPr>
            </w:pPr>
            <w:r w:rsidRPr="00026AD3">
              <w:rPr>
                <w:b/>
                <w:i/>
              </w:rPr>
              <w:t>„Člen 206a</w:t>
            </w:r>
          </w:p>
        </w:tc>
      </w:tr>
      <w:tr w:rsidR="004E4D6B" w:rsidRPr="00026AD3" w14:paraId="474FA2E0" w14:textId="77777777" w:rsidTr="00D056A8">
        <w:trPr>
          <w:jc w:val="center"/>
        </w:trPr>
        <w:tc>
          <w:tcPr>
            <w:tcW w:w="4876" w:type="dxa"/>
          </w:tcPr>
          <w:p w14:paraId="461FB56C" w14:textId="77777777" w:rsidR="004E4D6B" w:rsidRPr="00026AD3" w:rsidRDefault="004E4D6B" w:rsidP="00D056A8">
            <w:pPr>
              <w:pStyle w:val="Normal6a"/>
            </w:pPr>
          </w:p>
        </w:tc>
        <w:tc>
          <w:tcPr>
            <w:tcW w:w="4876" w:type="dxa"/>
          </w:tcPr>
          <w:p w14:paraId="497FCFB1" w14:textId="77777777" w:rsidR="004E4D6B" w:rsidRPr="00026AD3" w:rsidRDefault="004E4D6B" w:rsidP="00D056A8">
            <w:pPr>
              <w:pStyle w:val="Normal6"/>
              <w:rPr>
                <w:szCs w:val="24"/>
              </w:rPr>
            </w:pPr>
            <w:r w:rsidRPr="00026AD3">
              <w:rPr>
                <w:b/>
                <w:i/>
              </w:rPr>
              <w:t>Preprodaja z izgubo</w:t>
            </w:r>
          </w:p>
        </w:tc>
      </w:tr>
      <w:tr w:rsidR="004E4D6B" w:rsidRPr="00026AD3" w14:paraId="10F505E3" w14:textId="77777777" w:rsidTr="00D056A8">
        <w:trPr>
          <w:jc w:val="center"/>
        </w:trPr>
        <w:tc>
          <w:tcPr>
            <w:tcW w:w="4876" w:type="dxa"/>
          </w:tcPr>
          <w:p w14:paraId="55284297" w14:textId="77777777" w:rsidR="004E4D6B" w:rsidRPr="00026AD3" w:rsidRDefault="004E4D6B" w:rsidP="00D056A8">
            <w:pPr>
              <w:pStyle w:val="Normal6a"/>
            </w:pPr>
          </w:p>
        </w:tc>
        <w:tc>
          <w:tcPr>
            <w:tcW w:w="4876" w:type="dxa"/>
          </w:tcPr>
          <w:p w14:paraId="048F852F" w14:textId="77777777" w:rsidR="004E4D6B" w:rsidRPr="00026AD3" w:rsidRDefault="004E4D6B" w:rsidP="00D056A8">
            <w:pPr>
              <w:pStyle w:val="Normal6"/>
              <w:rPr>
                <w:szCs w:val="24"/>
              </w:rPr>
            </w:pPr>
            <w:r w:rsidRPr="00026AD3">
              <w:rPr>
                <w:b/>
                <w:i/>
              </w:rPr>
              <w:t>1.</w:t>
            </w:r>
            <w:r w:rsidRPr="00026AD3">
              <w:rPr>
                <w:b/>
                <w:i/>
              </w:rPr>
              <w:tab/>
              <w:t>Kmetijski proizvodi iz sektorja, navedenega v členu 1(2), se ne preprodajajo z izgubo.</w:t>
            </w:r>
          </w:p>
        </w:tc>
      </w:tr>
      <w:tr w:rsidR="004E4D6B" w:rsidRPr="00026AD3" w14:paraId="62DF4732" w14:textId="77777777" w:rsidTr="00D056A8">
        <w:trPr>
          <w:jc w:val="center"/>
        </w:trPr>
        <w:tc>
          <w:tcPr>
            <w:tcW w:w="4876" w:type="dxa"/>
          </w:tcPr>
          <w:p w14:paraId="22EF9694" w14:textId="77777777" w:rsidR="004E4D6B" w:rsidRPr="00026AD3" w:rsidRDefault="004E4D6B" w:rsidP="00D056A8">
            <w:pPr>
              <w:pStyle w:val="Normal6a"/>
            </w:pPr>
          </w:p>
        </w:tc>
        <w:tc>
          <w:tcPr>
            <w:tcW w:w="4876" w:type="dxa"/>
          </w:tcPr>
          <w:p w14:paraId="5C707FAF" w14:textId="77777777" w:rsidR="004E4D6B" w:rsidRPr="00026AD3" w:rsidRDefault="004E4D6B" w:rsidP="00D056A8">
            <w:pPr>
              <w:pStyle w:val="Normal6"/>
              <w:rPr>
                <w:szCs w:val="24"/>
              </w:rPr>
            </w:pPr>
            <w:r w:rsidRPr="00026AD3">
              <w:rPr>
                <w:b/>
                <w:i/>
              </w:rPr>
              <w:t>2.</w:t>
            </w:r>
            <w:r w:rsidRPr="00026AD3">
              <w:rPr>
                <w:b/>
                <w:i/>
              </w:rPr>
              <w:tab/>
              <w:t>Izjeme od odstavka 1 se nanašajo na primere, v katerih lahko države članice v ustrezno utemeljenih primerih dovolijo preprodajo kmetijskih proizvodov z izgubo, da bi preprečile nastajanje živilskih odpadkov.</w:t>
            </w:r>
          </w:p>
        </w:tc>
      </w:tr>
      <w:tr w:rsidR="004E4D6B" w:rsidRPr="00026AD3" w14:paraId="5B304917" w14:textId="77777777" w:rsidTr="00D056A8">
        <w:trPr>
          <w:jc w:val="center"/>
        </w:trPr>
        <w:tc>
          <w:tcPr>
            <w:tcW w:w="4876" w:type="dxa"/>
          </w:tcPr>
          <w:p w14:paraId="2ABB3536" w14:textId="77777777" w:rsidR="004E4D6B" w:rsidRPr="00026AD3" w:rsidRDefault="004E4D6B" w:rsidP="00D056A8">
            <w:pPr>
              <w:pStyle w:val="Normal6a"/>
            </w:pPr>
          </w:p>
        </w:tc>
        <w:tc>
          <w:tcPr>
            <w:tcW w:w="4876" w:type="dxa"/>
          </w:tcPr>
          <w:p w14:paraId="6AF52F9B" w14:textId="77777777" w:rsidR="004E4D6B" w:rsidRPr="00026AD3" w:rsidRDefault="004E4D6B" w:rsidP="00D056A8">
            <w:pPr>
              <w:pStyle w:val="Normal6"/>
              <w:rPr>
                <w:szCs w:val="24"/>
              </w:rPr>
            </w:pPr>
            <w:r w:rsidRPr="00026AD3">
              <w:rPr>
                <w:b/>
                <w:i/>
              </w:rPr>
              <w:t>Da se zagotovijo enaki konkurenčni pogoji, se na Komisijo prenese pooblastilo za sprejemanje delegiranih aktov v skladu s členom 227, s katerimi se ta uredba dopolni z določitvijo meril za izjeme v zvezi z živilskimi odpadki iz prvega pododstavka.</w:t>
            </w:r>
          </w:p>
        </w:tc>
      </w:tr>
      <w:tr w:rsidR="004E4D6B" w:rsidRPr="00026AD3" w14:paraId="1F0F9B33" w14:textId="77777777" w:rsidTr="00D056A8">
        <w:trPr>
          <w:jc w:val="center"/>
        </w:trPr>
        <w:tc>
          <w:tcPr>
            <w:tcW w:w="4876" w:type="dxa"/>
          </w:tcPr>
          <w:p w14:paraId="6670D3E4" w14:textId="77777777" w:rsidR="004E4D6B" w:rsidRPr="00026AD3" w:rsidRDefault="004E4D6B" w:rsidP="00D056A8">
            <w:pPr>
              <w:pStyle w:val="Normal6a"/>
            </w:pPr>
          </w:p>
        </w:tc>
        <w:tc>
          <w:tcPr>
            <w:tcW w:w="4876" w:type="dxa"/>
          </w:tcPr>
          <w:p w14:paraId="117DB82F" w14:textId="77777777" w:rsidR="004E4D6B" w:rsidRPr="00026AD3" w:rsidRDefault="004E4D6B" w:rsidP="00D056A8">
            <w:pPr>
              <w:pStyle w:val="Normal6"/>
              <w:rPr>
                <w:szCs w:val="24"/>
              </w:rPr>
            </w:pPr>
            <w:r w:rsidRPr="00026AD3">
              <w:rPr>
                <w:b/>
                <w:i/>
              </w:rPr>
              <w:t>3.</w:t>
            </w:r>
            <w:r w:rsidRPr="00026AD3">
              <w:rPr>
                <w:b/>
                <w:i/>
              </w:rPr>
              <w:tab/>
              <w:t>Za namene tega člena:</w:t>
            </w:r>
          </w:p>
        </w:tc>
      </w:tr>
      <w:tr w:rsidR="004E4D6B" w:rsidRPr="00026AD3" w14:paraId="1DCBC0EE" w14:textId="77777777" w:rsidTr="00D056A8">
        <w:trPr>
          <w:jc w:val="center"/>
        </w:trPr>
        <w:tc>
          <w:tcPr>
            <w:tcW w:w="4876" w:type="dxa"/>
          </w:tcPr>
          <w:p w14:paraId="34C1A8E1" w14:textId="77777777" w:rsidR="004E4D6B" w:rsidRPr="00026AD3" w:rsidRDefault="004E4D6B" w:rsidP="00D056A8">
            <w:pPr>
              <w:pStyle w:val="Normal6a"/>
            </w:pPr>
          </w:p>
        </w:tc>
        <w:tc>
          <w:tcPr>
            <w:tcW w:w="4876" w:type="dxa"/>
          </w:tcPr>
          <w:p w14:paraId="04787FCE" w14:textId="77777777" w:rsidR="004E4D6B" w:rsidRPr="00026AD3" w:rsidRDefault="004E4D6B" w:rsidP="00D056A8">
            <w:pPr>
              <w:pStyle w:val="Normal6"/>
              <w:rPr>
                <w:szCs w:val="24"/>
              </w:rPr>
            </w:pPr>
            <w:r w:rsidRPr="00026AD3">
              <w:rPr>
                <w:b/>
                <w:i/>
              </w:rPr>
              <w:t>(a)</w:t>
            </w:r>
            <w:r w:rsidRPr="00026AD3">
              <w:rPr>
                <w:b/>
                <w:i/>
              </w:rPr>
              <w:tab/>
              <w:t>„preprodaja z izgubo“ pomeni prodajo kmetijskih proizvodov za ceno, ki je nižja od neto nakupne cene, pri čemer se neto nakupna cena razume kot nabavna cena po računu, povečana za stroške prevoza in davke za transakcijo ter zmanjšana za sorazmerni del vseh finančnih koristi, ki jih dobavitelj odobri kupcu;</w:t>
            </w:r>
          </w:p>
        </w:tc>
      </w:tr>
      <w:tr w:rsidR="004E4D6B" w:rsidRPr="00026AD3" w14:paraId="40F2D597" w14:textId="77777777" w:rsidTr="00D056A8">
        <w:trPr>
          <w:jc w:val="center"/>
        </w:trPr>
        <w:tc>
          <w:tcPr>
            <w:tcW w:w="4876" w:type="dxa"/>
          </w:tcPr>
          <w:p w14:paraId="2CB51BB1" w14:textId="77777777" w:rsidR="004E4D6B" w:rsidRPr="00026AD3" w:rsidRDefault="004E4D6B" w:rsidP="00D056A8">
            <w:pPr>
              <w:pStyle w:val="Normal6a"/>
            </w:pPr>
          </w:p>
        </w:tc>
        <w:tc>
          <w:tcPr>
            <w:tcW w:w="4876" w:type="dxa"/>
          </w:tcPr>
          <w:p w14:paraId="3AF415BD" w14:textId="77777777" w:rsidR="004E4D6B" w:rsidRPr="00026AD3" w:rsidRDefault="004E4D6B" w:rsidP="00D056A8">
            <w:pPr>
              <w:pStyle w:val="Normal6"/>
              <w:rPr>
                <w:szCs w:val="24"/>
              </w:rPr>
            </w:pPr>
            <w:r w:rsidRPr="00026AD3">
              <w:rPr>
                <w:b/>
                <w:i/>
              </w:rPr>
              <w:t>(b)</w:t>
            </w:r>
            <w:r w:rsidRPr="00026AD3">
              <w:rPr>
                <w:b/>
                <w:i/>
              </w:rPr>
              <w:tab/>
              <w:t>„živilski odpadki“ pomeni vsa živila, opredeljena v členu 2 Uredbe (ES) št. 178/2002 Evropskega parlamenta in Sveta, ki so postala odpadek;</w:t>
            </w:r>
          </w:p>
        </w:tc>
      </w:tr>
    </w:tbl>
    <w:p w14:paraId="1EBE2415" w14:textId="77777777" w:rsidR="004E4D6B" w:rsidRPr="003B2277" w:rsidRDefault="004E4D6B" w:rsidP="006F5BFE">
      <w:pPr>
        <w:rPr>
          <w:lang w:eastAsia="en-US"/>
        </w:rPr>
      </w:pPr>
    </w:p>
    <w:p w14:paraId="5F14F8F5" w14:textId="408A4A2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141</w:t>
      </w:r>
    </w:p>
    <w:p w14:paraId="429FAF96" w14:textId="77777777" w:rsidR="006F5BFE" w:rsidRPr="003B2277" w:rsidRDefault="006F5BFE" w:rsidP="006F5BFE"/>
    <w:p w14:paraId="031FEC81" w14:textId="77777777" w:rsidR="006F5BFE" w:rsidRPr="003B2277" w:rsidRDefault="006F5BFE" w:rsidP="006F5BFE">
      <w:pPr>
        <w:keepNext/>
        <w:rPr>
          <w:b/>
          <w:lang w:eastAsia="en-US"/>
        </w:rPr>
      </w:pPr>
      <w:r w:rsidRPr="003B2277">
        <w:rPr>
          <w:rFonts w:eastAsia="Calibri" w:cs="Mangal"/>
          <w:b/>
          <w:lang w:eastAsia="en-US"/>
        </w:rPr>
        <w:t>Predlog uredbe</w:t>
      </w:r>
    </w:p>
    <w:p w14:paraId="7AC0D0A0" w14:textId="6399B113" w:rsidR="006F5BFE" w:rsidRPr="003B2277" w:rsidRDefault="006F5BFE" w:rsidP="006F5BFE">
      <w:pPr>
        <w:rPr>
          <w:b/>
          <w:lang w:eastAsia="en-US"/>
        </w:rPr>
      </w:pPr>
      <w:r w:rsidRPr="003B2277">
        <w:rPr>
          <w:rFonts w:eastAsia="Calibri" w:cs="Mangal"/>
          <w:b/>
          <w:lang w:eastAsia="en-US"/>
        </w:rPr>
        <w:t xml:space="preserve">Člen 1 – odstavek 1 – točka 26 </w:t>
      </w:r>
      <w:r w:rsidR="005B2BFC">
        <w:rPr>
          <w:rFonts w:eastAsia="Calibri" w:cs="Mangal"/>
          <w:b/>
          <w:lang w:eastAsia="en-US"/>
        </w:rPr>
        <w:t>c</w:t>
      </w:r>
      <w:r w:rsidR="005B2BFC" w:rsidRPr="003B2277">
        <w:rPr>
          <w:rFonts w:eastAsia="Calibri" w:cs="Mangal"/>
          <w:b/>
          <w:lang w:eastAsia="en-US"/>
        </w:rPr>
        <w:t xml:space="preserve"> </w:t>
      </w:r>
      <w:r w:rsidRPr="003B2277">
        <w:rPr>
          <w:rFonts w:eastAsia="Calibri" w:cs="Mangal"/>
          <w:b/>
          <w:lang w:eastAsia="en-US"/>
        </w:rPr>
        <w:t>(novo)</w:t>
      </w:r>
    </w:p>
    <w:p w14:paraId="52107A12" w14:textId="77777777" w:rsidR="006F5BFE" w:rsidRPr="003B2277" w:rsidRDefault="006F5BFE" w:rsidP="006F5BFE">
      <w:pPr>
        <w:keepNext/>
        <w:rPr>
          <w:lang w:eastAsia="en-US"/>
        </w:rPr>
      </w:pPr>
      <w:r w:rsidRPr="003B2277">
        <w:rPr>
          <w:rFonts w:eastAsia="Calibri" w:cs="Mangal"/>
          <w:lang w:eastAsia="en-US"/>
        </w:rPr>
        <w:t>Uredba (EU) št. 1308/2013</w:t>
      </w:r>
    </w:p>
    <w:p w14:paraId="5D27DD54" w14:textId="77777777" w:rsidR="006F5BFE" w:rsidRPr="003B2277" w:rsidRDefault="006F5BFE" w:rsidP="006F5BFE">
      <w:pPr>
        <w:rPr>
          <w:lang w:eastAsia="en-US"/>
        </w:rPr>
      </w:pPr>
      <w:r w:rsidRPr="003B2277">
        <w:rPr>
          <w:rFonts w:eastAsia="Calibri" w:cs="Mangal"/>
          <w:lang w:eastAsia="en-US"/>
        </w:rPr>
        <w:t>Člen 207</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0D4F991" w14:textId="77777777" w:rsidTr="005B4D60">
        <w:trPr>
          <w:jc w:val="center"/>
        </w:trPr>
        <w:tc>
          <w:tcPr>
            <w:tcW w:w="9752" w:type="dxa"/>
            <w:gridSpan w:val="2"/>
          </w:tcPr>
          <w:p w14:paraId="5D62C2B8" w14:textId="77777777" w:rsidR="006F5BFE" w:rsidRPr="003B2277" w:rsidRDefault="006F5BFE" w:rsidP="005B4D60">
            <w:pPr>
              <w:keepNext/>
            </w:pPr>
          </w:p>
        </w:tc>
      </w:tr>
      <w:tr w:rsidR="006F5BFE" w:rsidRPr="003B2277" w14:paraId="33EA6831" w14:textId="77777777" w:rsidTr="005B4D60">
        <w:trPr>
          <w:jc w:val="center"/>
        </w:trPr>
        <w:tc>
          <w:tcPr>
            <w:tcW w:w="4876" w:type="dxa"/>
            <w:hideMark/>
          </w:tcPr>
          <w:p w14:paraId="7576F8A7"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02E1BB8" w14:textId="144BA9F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2F6A05A" w14:textId="77777777" w:rsidTr="005B4D60">
        <w:trPr>
          <w:jc w:val="center"/>
        </w:trPr>
        <w:tc>
          <w:tcPr>
            <w:tcW w:w="4876" w:type="dxa"/>
          </w:tcPr>
          <w:p w14:paraId="42ABED80" w14:textId="77777777" w:rsidR="006F5BFE" w:rsidRPr="003B2277" w:rsidRDefault="006F5BFE" w:rsidP="005B4D60">
            <w:pPr>
              <w:spacing w:after="120"/>
            </w:pPr>
          </w:p>
        </w:tc>
        <w:tc>
          <w:tcPr>
            <w:tcW w:w="4876" w:type="dxa"/>
            <w:hideMark/>
          </w:tcPr>
          <w:p w14:paraId="58C32F33" w14:textId="1A2B13AD"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26</w:t>
            </w:r>
            <w:r w:rsidR="005B2BFC">
              <w:rPr>
                <w:rFonts w:eastAsia="Calibri" w:cs="Mangal"/>
                <w:b/>
                <w:i/>
                <w:lang w:eastAsia="en-US"/>
              </w:rPr>
              <w:t>c</w:t>
            </w:r>
            <w:r w:rsidRPr="003B2277">
              <w:rPr>
                <w:rFonts w:eastAsia="Calibri" w:cs="Mangal"/>
                <w:b/>
                <w:i/>
                <w:lang w:eastAsia="en-US"/>
              </w:rPr>
              <w:t>)</w:t>
            </w:r>
            <w:r w:rsidRPr="003B2277">
              <w:rPr>
                <w:rFonts w:eastAsia="Calibri" w:cs="Mangal"/>
                <w:b/>
                <w:i/>
                <w:lang w:eastAsia="en-US"/>
              </w:rPr>
              <w:tab/>
              <w:t>člen 207 se nadomesti z naslednjim:</w:t>
            </w:r>
          </w:p>
        </w:tc>
      </w:tr>
      <w:tr w:rsidR="006F5BFE" w:rsidRPr="003B2277" w14:paraId="62A82AFD" w14:textId="77777777" w:rsidTr="005B4D60">
        <w:trPr>
          <w:jc w:val="center"/>
        </w:trPr>
        <w:tc>
          <w:tcPr>
            <w:tcW w:w="4876" w:type="dxa"/>
            <w:hideMark/>
          </w:tcPr>
          <w:p w14:paraId="5A727AF4" w14:textId="77777777" w:rsidR="006F5BFE" w:rsidRPr="003B2277" w:rsidRDefault="006F5BFE" w:rsidP="005B4D60">
            <w:pPr>
              <w:spacing w:after="120"/>
              <w:rPr>
                <w:lang w:eastAsia="en-US"/>
              </w:rPr>
            </w:pPr>
            <w:r w:rsidRPr="003B2277">
              <w:rPr>
                <w:rFonts w:eastAsia="Calibri" w:cs="Mangal"/>
                <w:lang w:eastAsia="en-US"/>
              </w:rPr>
              <w:t>Člen 207</w:t>
            </w:r>
          </w:p>
        </w:tc>
        <w:tc>
          <w:tcPr>
            <w:tcW w:w="4876" w:type="dxa"/>
            <w:hideMark/>
          </w:tcPr>
          <w:p w14:paraId="74E3CFCF"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207</w:t>
            </w:r>
          </w:p>
        </w:tc>
      </w:tr>
      <w:tr w:rsidR="006F5BFE" w:rsidRPr="003B2277" w14:paraId="320FB951" w14:textId="77777777" w:rsidTr="005B4D60">
        <w:trPr>
          <w:jc w:val="center"/>
        </w:trPr>
        <w:tc>
          <w:tcPr>
            <w:tcW w:w="4876" w:type="dxa"/>
            <w:hideMark/>
          </w:tcPr>
          <w:p w14:paraId="6886103D" w14:textId="77777777" w:rsidR="006F5BFE" w:rsidRPr="003B2277" w:rsidRDefault="006F5BFE" w:rsidP="005B4D60">
            <w:pPr>
              <w:spacing w:after="120"/>
              <w:rPr>
                <w:lang w:eastAsia="en-US"/>
              </w:rPr>
            </w:pPr>
            <w:r w:rsidRPr="003B2277">
              <w:rPr>
                <w:rFonts w:eastAsia="Calibri" w:cs="Mangal"/>
                <w:lang w:eastAsia="en-US"/>
              </w:rPr>
              <w:t>Upoštevni trg</w:t>
            </w:r>
          </w:p>
        </w:tc>
        <w:tc>
          <w:tcPr>
            <w:tcW w:w="4876" w:type="dxa"/>
            <w:hideMark/>
          </w:tcPr>
          <w:p w14:paraId="7A29D650" w14:textId="77777777" w:rsidR="006F5BFE" w:rsidRPr="003B2277" w:rsidRDefault="006F5BFE" w:rsidP="005B4D60">
            <w:pPr>
              <w:spacing w:after="120"/>
              <w:rPr>
                <w:szCs w:val="24"/>
                <w:lang w:eastAsia="en-US"/>
              </w:rPr>
            </w:pPr>
            <w:r w:rsidRPr="003B2277">
              <w:rPr>
                <w:rFonts w:eastAsia="Calibri" w:cs="Mangal"/>
                <w:lang w:eastAsia="en-US"/>
              </w:rPr>
              <w:t>Upoštevni trg</w:t>
            </w:r>
          </w:p>
        </w:tc>
      </w:tr>
      <w:tr w:rsidR="006F5BFE" w:rsidRPr="003B2277" w14:paraId="3C5B488C" w14:textId="77777777" w:rsidTr="005B4D60">
        <w:trPr>
          <w:jc w:val="center"/>
        </w:trPr>
        <w:tc>
          <w:tcPr>
            <w:tcW w:w="4876" w:type="dxa"/>
            <w:hideMark/>
          </w:tcPr>
          <w:p w14:paraId="204534D1" w14:textId="77777777" w:rsidR="006F5BFE" w:rsidRPr="003B2277" w:rsidRDefault="006F5BFE" w:rsidP="005B4D60">
            <w:pPr>
              <w:spacing w:after="120"/>
              <w:rPr>
                <w:lang w:eastAsia="en-US"/>
              </w:rPr>
            </w:pPr>
            <w:r w:rsidRPr="003B2277">
              <w:rPr>
                <w:rFonts w:eastAsia="Calibri" w:cs="Mangal"/>
                <w:lang w:eastAsia="en-US"/>
              </w:rPr>
              <w:t>Na podlagi opredelitve upoštevnega trga je mogoče opredeliti in določiti območje konkurence med podjetji; opredelitev upoštevnega trga temelji na dveh kumulativnih elementih:</w:t>
            </w:r>
          </w:p>
        </w:tc>
        <w:tc>
          <w:tcPr>
            <w:tcW w:w="4876" w:type="dxa"/>
            <w:hideMark/>
          </w:tcPr>
          <w:p w14:paraId="1A07E7FB" w14:textId="77777777" w:rsidR="006F5BFE" w:rsidRPr="003B2277" w:rsidRDefault="006F5BFE" w:rsidP="005B4D60">
            <w:pPr>
              <w:spacing w:after="120"/>
              <w:rPr>
                <w:szCs w:val="24"/>
                <w:lang w:eastAsia="en-US"/>
              </w:rPr>
            </w:pPr>
            <w:r w:rsidRPr="003B2277">
              <w:rPr>
                <w:rFonts w:eastAsia="Calibri" w:cs="Mangal"/>
                <w:lang w:eastAsia="en-US"/>
              </w:rPr>
              <w:t>Na podlagi opredelitve upoštevnega trga je mogoče opredeliti in določiti območje konkurence med podjetji; opredelitev upoštevnega trga temelji na dveh kumulativnih elementih:</w:t>
            </w:r>
          </w:p>
        </w:tc>
      </w:tr>
      <w:tr w:rsidR="006F5BFE" w:rsidRPr="003B2277" w14:paraId="1A2250C8" w14:textId="77777777" w:rsidTr="005B4D60">
        <w:trPr>
          <w:jc w:val="center"/>
        </w:trPr>
        <w:tc>
          <w:tcPr>
            <w:tcW w:w="4876" w:type="dxa"/>
            <w:hideMark/>
          </w:tcPr>
          <w:p w14:paraId="14FAFDD3" w14:textId="77777777" w:rsidR="006F5BFE" w:rsidRPr="003B2277" w:rsidRDefault="006F5BFE" w:rsidP="005B4D60">
            <w:pPr>
              <w:spacing w:after="120"/>
              <w:rPr>
                <w:lang w:eastAsia="en-US"/>
              </w:rPr>
            </w:pPr>
            <w:r w:rsidRPr="003B2277">
              <w:rPr>
                <w:rFonts w:eastAsia="Calibri" w:cs="Mangal"/>
                <w:lang w:eastAsia="en-US"/>
              </w:rPr>
              <w:t xml:space="preserve">(a) upoštevni proizvodni trg: v tem poglavju „proizvodni trg“ pomeni trg z vsemi proizvodi, ki jih potrošnik zaradi njihove značilnosti, cene in predvidene uporabe </w:t>
            </w:r>
            <w:r w:rsidRPr="003B2277">
              <w:rPr>
                <w:rFonts w:eastAsia="Calibri" w:cs="Mangal"/>
                <w:b/>
                <w:i/>
                <w:lang w:eastAsia="en-US"/>
              </w:rPr>
              <w:t>šteje</w:t>
            </w:r>
            <w:r w:rsidRPr="003B2277">
              <w:rPr>
                <w:rFonts w:eastAsia="Calibri" w:cs="Mangal"/>
                <w:lang w:eastAsia="en-US"/>
              </w:rPr>
              <w:t xml:space="preserve"> za zamenljive ali nadomestljive;</w:t>
            </w:r>
          </w:p>
        </w:tc>
        <w:tc>
          <w:tcPr>
            <w:tcW w:w="4876" w:type="dxa"/>
            <w:hideMark/>
          </w:tcPr>
          <w:p w14:paraId="7BE84EC2" w14:textId="77777777" w:rsidR="006F5BFE" w:rsidRPr="003B2277" w:rsidRDefault="006F5BFE" w:rsidP="005B4D60">
            <w:pPr>
              <w:spacing w:after="120"/>
              <w:rPr>
                <w:szCs w:val="24"/>
                <w:lang w:eastAsia="en-US"/>
              </w:rPr>
            </w:pPr>
            <w:r w:rsidRPr="003B2277">
              <w:rPr>
                <w:rFonts w:eastAsia="Calibri" w:cs="Mangal"/>
                <w:lang w:eastAsia="en-US"/>
              </w:rPr>
              <w:t xml:space="preserve">(a) upoštevni proizvodni trg: v tem poglavju „proizvodni trg“ pomeni trg z vsemi proizvodi, ki jih </w:t>
            </w:r>
            <w:r w:rsidRPr="003B2277">
              <w:rPr>
                <w:rFonts w:eastAsia="Calibri" w:cs="Mangal"/>
                <w:b/>
                <w:i/>
                <w:lang w:eastAsia="en-US"/>
              </w:rPr>
              <w:t xml:space="preserve">stranka in </w:t>
            </w:r>
            <w:r w:rsidRPr="003B2277">
              <w:rPr>
                <w:rFonts w:eastAsia="Calibri" w:cs="Mangal"/>
                <w:lang w:eastAsia="en-US"/>
              </w:rPr>
              <w:t xml:space="preserve">potrošnik zaradi njihove značilnosti, cene in predvidene uporabe </w:t>
            </w:r>
            <w:r w:rsidRPr="003B2277">
              <w:rPr>
                <w:rFonts w:eastAsia="Calibri" w:cs="Mangal"/>
                <w:b/>
                <w:i/>
                <w:lang w:eastAsia="en-US"/>
              </w:rPr>
              <w:t>štejeta</w:t>
            </w:r>
            <w:r w:rsidRPr="003B2277">
              <w:rPr>
                <w:rFonts w:eastAsia="Calibri" w:cs="Mangal"/>
                <w:lang w:eastAsia="en-US"/>
              </w:rPr>
              <w:t xml:space="preserve"> za zamenljive ali nadomestljive;</w:t>
            </w:r>
          </w:p>
        </w:tc>
      </w:tr>
      <w:tr w:rsidR="006F5BFE" w:rsidRPr="003B2277" w14:paraId="0DF34652" w14:textId="77777777" w:rsidTr="005B4D60">
        <w:trPr>
          <w:jc w:val="center"/>
        </w:trPr>
        <w:tc>
          <w:tcPr>
            <w:tcW w:w="4876" w:type="dxa"/>
            <w:hideMark/>
          </w:tcPr>
          <w:p w14:paraId="3181B624" w14:textId="77777777" w:rsidR="006F5BFE" w:rsidRPr="003B2277" w:rsidRDefault="006F5BFE" w:rsidP="005B4D60">
            <w:pPr>
              <w:spacing w:after="120"/>
              <w:rPr>
                <w:lang w:eastAsia="en-US"/>
              </w:rPr>
            </w:pPr>
            <w:r w:rsidRPr="003B2277">
              <w:rPr>
                <w:rFonts w:eastAsia="Calibri" w:cs="Mangal"/>
                <w:lang w:eastAsia="en-US"/>
              </w:rPr>
              <w:t>(b) upoštevni geografski trg: v tem poglavju „geografski trg“ pomeni trg, ki zajema območje, na katerem so zadevna podjetja vključena v ponudbo zadevnih proizvodov in na katerem so pogoji konkurence dovolj homogeni ter ki ga je mogoče ločiti od sosednjih območij, zlasti zato, ker so pogoji konkurence v teh območjih občutno drugačni.“</w:t>
            </w:r>
          </w:p>
        </w:tc>
        <w:tc>
          <w:tcPr>
            <w:tcW w:w="4876" w:type="dxa"/>
            <w:hideMark/>
          </w:tcPr>
          <w:p w14:paraId="5835405E" w14:textId="77777777" w:rsidR="006F5BFE" w:rsidRPr="003B2277" w:rsidRDefault="006F5BFE" w:rsidP="005B4D60">
            <w:pPr>
              <w:spacing w:after="120"/>
              <w:rPr>
                <w:szCs w:val="24"/>
                <w:lang w:eastAsia="en-US"/>
              </w:rPr>
            </w:pPr>
            <w:r w:rsidRPr="003B2277">
              <w:rPr>
                <w:rFonts w:eastAsia="Calibri" w:cs="Mangal"/>
                <w:lang w:eastAsia="en-US"/>
              </w:rPr>
              <w:t>(b) upoštevni geografski trg: v tem poglavju „geografski trg“ pomeni trg, ki zajema območje, na katerem so zadevna podjetja vključena v ponudbo zadevnih proizvodov in na katerem so pogoji konkurence dovolj homogeni ter ki ga je mogoče ločiti od sosednjih območij, zlasti zato, ker so pogoji konkurence v teh območjih občutno drugačni.</w:t>
            </w:r>
            <w:r w:rsidRPr="003B2277">
              <w:rPr>
                <w:rFonts w:eastAsia="Calibri" w:cs="Mangal"/>
                <w:b/>
                <w:i/>
                <w:lang w:eastAsia="en-US"/>
              </w:rPr>
              <w:t>“</w:t>
            </w:r>
          </w:p>
        </w:tc>
      </w:tr>
    </w:tbl>
    <w:p w14:paraId="70ED46EF" w14:textId="77777777" w:rsidR="006F5BFE" w:rsidRPr="003B2277" w:rsidRDefault="006F5BFE" w:rsidP="006F5BFE">
      <w:pPr>
        <w:rPr>
          <w:lang w:eastAsia="en-US"/>
        </w:rPr>
      </w:pPr>
    </w:p>
    <w:p w14:paraId="59C72FF7" w14:textId="35C41C8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142</w:t>
      </w:r>
    </w:p>
    <w:p w14:paraId="4987FB5C" w14:textId="77777777" w:rsidR="006F5BFE" w:rsidRPr="003B2277" w:rsidRDefault="006F5BFE" w:rsidP="006F5BFE"/>
    <w:p w14:paraId="00C2D018" w14:textId="77777777" w:rsidR="006F5BFE" w:rsidRPr="003B2277" w:rsidRDefault="006F5BFE" w:rsidP="006F5BFE">
      <w:pPr>
        <w:keepNext/>
        <w:rPr>
          <w:b/>
          <w:lang w:eastAsia="en-US"/>
        </w:rPr>
      </w:pPr>
      <w:r w:rsidRPr="003B2277">
        <w:rPr>
          <w:rFonts w:eastAsia="Calibri" w:cs="Mangal"/>
          <w:b/>
          <w:lang w:eastAsia="en-US"/>
        </w:rPr>
        <w:t>Predlog uredbe</w:t>
      </w:r>
    </w:p>
    <w:p w14:paraId="4CB5C9C3" w14:textId="3A52A5F8" w:rsidR="006F5BFE" w:rsidRPr="003B2277" w:rsidRDefault="006F5BFE" w:rsidP="006F5BFE">
      <w:pPr>
        <w:rPr>
          <w:b/>
          <w:lang w:eastAsia="en-US"/>
        </w:rPr>
      </w:pPr>
      <w:r w:rsidRPr="003B2277">
        <w:rPr>
          <w:rFonts w:eastAsia="Calibri" w:cs="Mangal"/>
          <w:b/>
          <w:lang w:eastAsia="en-US"/>
        </w:rPr>
        <w:t xml:space="preserve">Člen 1 – odstavek 1 – točka 26 </w:t>
      </w:r>
      <w:r w:rsidR="005B2BFC">
        <w:rPr>
          <w:rFonts w:eastAsia="Calibri" w:cs="Mangal"/>
          <w:b/>
          <w:lang w:eastAsia="en-US"/>
        </w:rPr>
        <w:t>d</w:t>
      </w:r>
      <w:r w:rsidR="005B2BFC" w:rsidRPr="003B2277">
        <w:rPr>
          <w:rFonts w:eastAsia="Calibri" w:cs="Mangal"/>
          <w:b/>
          <w:lang w:eastAsia="en-US"/>
        </w:rPr>
        <w:t xml:space="preserve"> </w:t>
      </w:r>
      <w:r w:rsidRPr="003B2277">
        <w:rPr>
          <w:rFonts w:eastAsia="Calibri" w:cs="Mangal"/>
          <w:b/>
          <w:lang w:eastAsia="en-US"/>
        </w:rPr>
        <w:t>(novo)</w:t>
      </w:r>
    </w:p>
    <w:p w14:paraId="750A1BA6" w14:textId="77777777" w:rsidR="006F5BFE" w:rsidRPr="003B2277" w:rsidRDefault="006F5BFE" w:rsidP="006F5BFE">
      <w:pPr>
        <w:keepNext/>
        <w:rPr>
          <w:lang w:eastAsia="en-US"/>
        </w:rPr>
      </w:pPr>
      <w:r w:rsidRPr="003B2277">
        <w:rPr>
          <w:rFonts w:eastAsia="Calibri" w:cs="Mangal"/>
          <w:lang w:eastAsia="en-US"/>
        </w:rPr>
        <w:t>Uredba (EU) št. 1308/2013</w:t>
      </w:r>
    </w:p>
    <w:p w14:paraId="1FD3A47F" w14:textId="77777777" w:rsidR="006F5BFE" w:rsidRPr="003B2277" w:rsidRDefault="006F5BFE" w:rsidP="006F5BFE">
      <w:pPr>
        <w:rPr>
          <w:lang w:eastAsia="en-US"/>
        </w:rPr>
      </w:pPr>
      <w:r w:rsidRPr="003B2277">
        <w:rPr>
          <w:rFonts w:eastAsia="Calibri" w:cs="Mangal"/>
          <w:lang w:eastAsia="en-US"/>
        </w:rPr>
        <w:t>Člen 208</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2B8604" w14:textId="77777777" w:rsidTr="005B4D60">
        <w:trPr>
          <w:jc w:val="center"/>
        </w:trPr>
        <w:tc>
          <w:tcPr>
            <w:tcW w:w="9752" w:type="dxa"/>
            <w:gridSpan w:val="2"/>
          </w:tcPr>
          <w:p w14:paraId="155A52EA" w14:textId="77777777" w:rsidR="006F5BFE" w:rsidRPr="003B2277" w:rsidRDefault="006F5BFE" w:rsidP="005B4D60">
            <w:pPr>
              <w:keepNext/>
            </w:pPr>
          </w:p>
        </w:tc>
      </w:tr>
      <w:tr w:rsidR="006F5BFE" w:rsidRPr="003B2277" w14:paraId="02DC7D1D" w14:textId="77777777" w:rsidTr="005B4D60">
        <w:trPr>
          <w:jc w:val="center"/>
        </w:trPr>
        <w:tc>
          <w:tcPr>
            <w:tcW w:w="4876" w:type="dxa"/>
            <w:hideMark/>
          </w:tcPr>
          <w:p w14:paraId="31C12B55"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AA83A96" w14:textId="3F866E6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31BF7E7" w14:textId="77777777" w:rsidTr="005B4D60">
        <w:trPr>
          <w:jc w:val="center"/>
        </w:trPr>
        <w:tc>
          <w:tcPr>
            <w:tcW w:w="4876" w:type="dxa"/>
          </w:tcPr>
          <w:p w14:paraId="5FB8753C" w14:textId="77777777" w:rsidR="006F5BFE" w:rsidRPr="003B2277" w:rsidRDefault="006F5BFE" w:rsidP="005B4D60">
            <w:pPr>
              <w:spacing w:after="120"/>
            </w:pPr>
          </w:p>
        </w:tc>
        <w:tc>
          <w:tcPr>
            <w:tcW w:w="4876" w:type="dxa"/>
            <w:hideMark/>
          </w:tcPr>
          <w:p w14:paraId="42766560" w14:textId="0FB60040" w:rsidR="006F5BFE" w:rsidRPr="003B2277" w:rsidRDefault="006F5BFE" w:rsidP="005B2BFC">
            <w:pPr>
              <w:spacing w:after="120"/>
              <w:rPr>
                <w:szCs w:val="24"/>
                <w:lang w:eastAsia="en-US"/>
              </w:rPr>
            </w:pPr>
            <w:r w:rsidRPr="003B2277">
              <w:rPr>
                <w:rFonts w:eastAsia="Calibri" w:cs="Mangal"/>
                <w:b/>
                <w:i/>
                <w:lang w:eastAsia="en-US"/>
              </w:rPr>
              <w:t>(</w:t>
            </w:r>
            <w:r w:rsidR="005B2BFC" w:rsidRPr="003B2277">
              <w:rPr>
                <w:rFonts w:eastAsia="Calibri" w:cs="Mangal"/>
                <w:b/>
                <w:i/>
                <w:lang w:eastAsia="en-US"/>
              </w:rPr>
              <w:t>26</w:t>
            </w:r>
            <w:r w:rsidR="005B2BFC">
              <w:rPr>
                <w:rFonts w:eastAsia="Calibri" w:cs="Mangal"/>
                <w:b/>
                <w:i/>
                <w:lang w:eastAsia="en-US"/>
              </w:rPr>
              <w:t>d</w:t>
            </w:r>
            <w:r w:rsidRPr="003B2277">
              <w:rPr>
                <w:rFonts w:eastAsia="Calibri" w:cs="Mangal"/>
                <w:b/>
                <w:i/>
                <w:lang w:eastAsia="en-US"/>
              </w:rPr>
              <w:t>)</w:t>
            </w:r>
            <w:r w:rsidRPr="003B2277">
              <w:rPr>
                <w:rFonts w:eastAsia="Calibri" w:cs="Mangal"/>
                <w:b/>
                <w:i/>
                <w:lang w:eastAsia="en-US"/>
              </w:rPr>
              <w:tab/>
              <w:t>člen 208 se nadomesti z naslednjim:</w:t>
            </w:r>
          </w:p>
        </w:tc>
      </w:tr>
      <w:tr w:rsidR="006F5BFE" w:rsidRPr="003B2277" w14:paraId="09CF73D4" w14:textId="77777777" w:rsidTr="005B4D60">
        <w:trPr>
          <w:jc w:val="center"/>
        </w:trPr>
        <w:tc>
          <w:tcPr>
            <w:tcW w:w="4876" w:type="dxa"/>
            <w:hideMark/>
          </w:tcPr>
          <w:p w14:paraId="73024590" w14:textId="77777777" w:rsidR="006F5BFE" w:rsidRPr="003B2277" w:rsidRDefault="006F5BFE" w:rsidP="005B4D60">
            <w:pPr>
              <w:spacing w:after="120"/>
              <w:rPr>
                <w:lang w:eastAsia="en-US"/>
              </w:rPr>
            </w:pPr>
            <w:r w:rsidRPr="003B2277">
              <w:rPr>
                <w:rFonts w:eastAsia="Calibri" w:cs="Mangal"/>
                <w:lang w:eastAsia="en-US"/>
              </w:rPr>
              <w:t>Člen 208</w:t>
            </w:r>
          </w:p>
        </w:tc>
        <w:tc>
          <w:tcPr>
            <w:tcW w:w="4876" w:type="dxa"/>
            <w:hideMark/>
          </w:tcPr>
          <w:p w14:paraId="39338DB0" w14:textId="77777777" w:rsidR="006F5BFE" w:rsidRPr="003B2277" w:rsidRDefault="006F5BFE" w:rsidP="005B4D60">
            <w:pPr>
              <w:spacing w:after="120"/>
              <w:rPr>
                <w:szCs w:val="24"/>
                <w:lang w:eastAsia="en-US"/>
              </w:rPr>
            </w:pPr>
            <w:r w:rsidRPr="003B2277">
              <w:rPr>
                <w:rFonts w:eastAsia="Calibri" w:cs="Mangal"/>
                <w:lang w:eastAsia="en-US"/>
              </w:rPr>
              <w:t>„Člen 208</w:t>
            </w:r>
          </w:p>
        </w:tc>
      </w:tr>
      <w:tr w:rsidR="006F5BFE" w:rsidRPr="003B2277" w14:paraId="35175467" w14:textId="77777777" w:rsidTr="005B4D60">
        <w:trPr>
          <w:jc w:val="center"/>
        </w:trPr>
        <w:tc>
          <w:tcPr>
            <w:tcW w:w="4876" w:type="dxa"/>
            <w:hideMark/>
          </w:tcPr>
          <w:p w14:paraId="769B4C27" w14:textId="77777777" w:rsidR="006F5BFE" w:rsidRPr="003B2277" w:rsidRDefault="006F5BFE" w:rsidP="005B4D60">
            <w:pPr>
              <w:spacing w:after="120"/>
              <w:rPr>
                <w:lang w:eastAsia="en-US"/>
              </w:rPr>
            </w:pPr>
            <w:r w:rsidRPr="003B2277">
              <w:rPr>
                <w:rFonts w:eastAsia="Calibri" w:cs="Mangal"/>
                <w:lang w:eastAsia="en-US"/>
              </w:rPr>
              <w:t>Prevladujoč položaj</w:t>
            </w:r>
          </w:p>
        </w:tc>
        <w:tc>
          <w:tcPr>
            <w:tcW w:w="4876" w:type="dxa"/>
            <w:hideMark/>
          </w:tcPr>
          <w:p w14:paraId="3EC56097" w14:textId="77777777" w:rsidR="006F5BFE" w:rsidRPr="003B2277" w:rsidRDefault="006F5BFE" w:rsidP="005B4D60">
            <w:pPr>
              <w:spacing w:after="120"/>
              <w:rPr>
                <w:szCs w:val="24"/>
                <w:lang w:eastAsia="en-US"/>
              </w:rPr>
            </w:pPr>
            <w:r w:rsidRPr="003B2277">
              <w:rPr>
                <w:rFonts w:eastAsia="Calibri" w:cs="Mangal"/>
                <w:lang w:eastAsia="en-US"/>
              </w:rPr>
              <w:t>Prevladujoč položaj</w:t>
            </w:r>
          </w:p>
        </w:tc>
      </w:tr>
      <w:tr w:rsidR="006F5BFE" w:rsidRPr="003B2277" w14:paraId="2228C00C" w14:textId="77777777" w:rsidTr="005B4D60">
        <w:trPr>
          <w:jc w:val="center"/>
        </w:trPr>
        <w:tc>
          <w:tcPr>
            <w:tcW w:w="4876" w:type="dxa"/>
            <w:hideMark/>
          </w:tcPr>
          <w:p w14:paraId="5B0DBB33" w14:textId="77777777" w:rsidR="006F5BFE" w:rsidRPr="003B2277" w:rsidRDefault="006F5BFE" w:rsidP="005B4D60">
            <w:pPr>
              <w:spacing w:after="120"/>
              <w:rPr>
                <w:lang w:eastAsia="en-US"/>
              </w:rPr>
            </w:pPr>
            <w:r w:rsidRPr="003B2277">
              <w:rPr>
                <w:rFonts w:eastAsia="Calibri" w:cs="Mangal"/>
                <w:lang w:eastAsia="en-US"/>
              </w:rPr>
              <w:t>V tem poglavju „prevladujoč položaj“ pomeni, da je podjetje v položaju ekonomske moči, ki mu omogoča, da preprečuje vzdrževanje učinkovite konkurence na upoštevnem trgu, saj ima možnost, da v veliki meri deluje neodvisno od konkurentov, kupcev in nazadnje potrošnikov.</w:t>
            </w:r>
          </w:p>
        </w:tc>
        <w:tc>
          <w:tcPr>
            <w:tcW w:w="4876" w:type="dxa"/>
            <w:hideMark/>
          </w:tcPr>
          <w:p w14:paraId="38D36DD1" w14:textId="6B2DF80A" w:rsidR="006F5BFE" w:rsidRPr="003B2277" w:rsidRDefault="006F5BFE" w:rsidP="00167BAA">
            <w:pPr>
              <w:spacing w:after="120"/>
              <w:rPr>
                <w:szCs w:val="24"/>
                <w:lang w:eastAsia="en-US"/>
              </w:rPr>
            </w:pPr>
            <w:r w:rsidRPr="003B2277">
              <w:rPr>
                <w:rFonts w:eastAsia="Calibri" w:cs="Mangal"/>
                <w:lang w:eastAsia="en-US"/>
              </w:rPr>
              <w:t xml:space="preserve">V tem poglavju „prevladujoč položaj“ pomeni, da je podjetje v položaju ekonomske moči, ki mu omogoča, da preprečuje vzdrževanje učinkovite konkurence na upoštevnem trgu, saj ima možnost, da v veliki meri deluje neodvisno od konkurentov, </w:t>
            </w:r>
            <w:r w:rsidRPr="003B2277">
              <w:rPr>
                <w:rFonts w:eastAsia="Calibri" w:cs="Mangal"/>
                <w:b/>
                <w:i/>
                <w:lang w:eastAsia="en-US"/>
              </w:rPr>
              <w:t>dobaviteljev,</w:t>
            </w:r>
            <w:r w:rsidRPr="003B2277">
              <w:rPr>
                <w:rFonts w:eastAsia="Calibri" w:cs="Mangal"/>
                <w:lang w:eastAsia="en-US"/>
              </w:rPr>
              <w:t xml:space="preserve"> kupcev in nazadnje potrošnikov.</w:t>
            </w:r>
            <w:r w:rsidRPr="003B2277">
              <w:rPr>
                <w:rFonts w:eastAsia="Calibri" w:cs="Mangal"/>
                <w:b/>
                <w:i/>
                <w:lang w:eastAsia="en-US"/>
              </w:rPr>
              <w:t>“</w:t>
            </w:r>
          </w:p>
        </w:tc>
      </w:tr>
    </w:tbl>
    <w:p w14:paraId="687676A7" w14:textId="23467B0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143</w:t>
      </w:r>
    </w:p>
    <w:p w14:paraId="23B2CE78" w14:textId="77777777" w:rsidR="006F5BFE" w:rsidRPr="003B2277" w:rsidRDefault="006F5BFE" w:rsidP="006F5BFE"/>
    <w:p w14:paraId="1DA7975B" w14:textId="77777777" w:rsidR="006F5BFE" w:rsidRPr="003B2277" w:rsidRDefault="006F5BFE" w:rsidP="006F5BFE">
      <w:pPr>
        <w:keepNext/>
        <w:rPr>
          <w:b/>
          <w:lang w:eastAsia="en-US"/>
        </w:rPr>
      </w:pPr>
      <w:r w:rsidRPr="003B2277">
        <w:rPr>
          <w:rFonts w:eastAsia="Calibri" w:cs="Mangal"/>
          <w:b/>
          <w:lang w:eastAsia="en-US"/>
        </w:rPr>
        <w:t>Predlog uredbe</w:t>
      </w:r>
    </w:p>
    <w:p w14:paraId="416635A8" w14:textId="7817913A"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e</w:t>
      </w:r>
      <w:r w:rsidR="00465DEA" w:rsidRPr="003B2277">
        <w:rPr>
          <w:rFonts w:eastAsia="Calibri" w:cs="Mangal"/>
          <w:b/>
          <w:lang w:eastAsia="en-US"/>
        </w:rPr>
        <w:t xml:space="preserve"> </w:t>
      </w:r>
      <w:r w:rsidRPr="003B2277">
        <w:rPr>
          <w:rFonts w:eastAsia="Calibri" w:cs="Mangal"/>
          <w:b/>
          <w:lang w:eastAsia="en-US"/>
        </w:rPr>
        <w:t>(novo)</w:t>
      </w:r>
    </w:p>
    <w:p w14:paraId="09253F55" w14:textId="77777777" w:rsidR="006F5BFE" w:rsidRPr="003B2277" w:rsidRDefault="006F5BFE" w:rsidP="006F5BFE">
      <w:pPr>
        <w:keepNext/>
        <w:rPr>
          <w:lang w:eastAsia="en-US"/>
        </w:rPr>
      </w:pPr>
      <w:r w:rsidRPr="003B2277">
        <w:rPr>
          <w:rFonts w:eastAsia="Calibri" w:cs="Mangal"/>
          <w:lang w:eastAsia="en-US"/>
        </w:rPr>
        <w:t>Uredba (EU) št. 1308/2013</w:t>
      </w:r>
    </w:p>
    <w:p w14:paraId="74FB566C" w14:textId="77777777" w:rsidR="006F5BFE" w:rsidRPr="003B2277" w:rsidRDefault="006F5BFE" w:rsidP="006F5BFE">
      <w:pPr>
        <w:rPr>
          <w:lang w:eastAsia="en-US"/>
        </w:rPr>
      </w:pPr>
      <w:r w:rsidRPr="003B2277">
        <w:rPr>
          <w:rFonts w:eastAsia="Calibri" w:cs="Mangal"/>
          <w:lang w:eastAsia="en-US"/>
        </w:rPr>
        <w:t>Člen 210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CDF23EA" w14:textId="77777777" w:rsidTr="005B4D60">
        <w:trPr>
          <w:jc w:val="center"/>
        </w:trPr>
        <w:tc>
          <w:tcPr>
            <w:tcW w:w="9752" w:type="dxa"/>
            <w:gridSpan w:val="2"/>
          </w:tcPr>
          <w:p w14:paraId="692F766D" w14:textId="77777777" w:rsidR="006F5BFE" w:rsidRPr="003B2277" w:rsidRDefault="006F5BFE" w:rsidP="005B4D60">
            <w:pPr>
              <w:keepNext/>
            </w:pPr>
          </w:p>
        </w:tc>
      </w:tr>
      <w:tr w:rsidR="006F5BFE" w:rsidRPr="003B2277" w14:paraId="19C5FBB2" w14:textId="77777777" w:rsidTr="005B4D60">
        <w:trPr>
          <w:jc w:val="center"/>
        </w:trPr>
        <w:tc>
          <w:tcPr>
            <w:tcW w:w="4876" w:type="dxa"/>
            <w:hideMark/>
          </w:tcPr>
          <w:p w14:paraId="7771AC8F"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EF5E102" w14:textId="61EB717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353D6B8" w14:textId="77777777" w:rsidTr="005B4D60">
        <w:trPr>
          <w:jc w:val="center"/>
        </w:trPr>
        <w:tc>
          <w:tcPr>
            <w:tcW w:w="4876" w:type="dxa"/>
          </w:tcPr>
          <w:p w14:paraId="5B5599B4" w14:textId="77777777" w:rsidR="006F5BFE" w:rsidRPr="003B2277" w:rsidRDefault="006F5BFE" w:rsidP="005B4D60">
            <w:pPr>
              <w:spacing w:after="120"/>
            </w:pPr>
          </w:p>
        </w:tc>
        <w:tc>
          <w:tcPr>
            <w:tcW w:w="4876" w:type="dxa"/>
            <w:hideMark/>
          </w:tcPr>
          <w:p w14:paraId="7DF67783" w14:textId="3B2B5428" w:rsidR="006F5BFE" w:rsidRPr="003B2277" w:rsidRDefault="006F5BFE" w:rsidP="00465DEA">
            <w:pPr>
              <w:spacing w:after="120"/>
              <w:rPr>
                <w:szCs w:val="24"/>
                <w:lang w:eastAsia="en-US"/>
              </w:rPr>
            </w:pPr>
            <w:r w:rsidRPr="003B2277">
              <w:rPr>
                <w:rFonts w:eastAsia="Calibri" w:cs="Mangal"/>
                <w:b/>
                <w:i/>
                <w:lang w:eastAsia="en-US"/>
              </w:rPr>
              <w:t>(</w:t>
            </w:r>
            <w:r w:rsidR="00465DEA" w:rsidRPr="003B2277">
              <w:rPr>
                <w:rFonts w:eastAsia="Calibri" w:cs="Mangal"/>
                <w:b/>
                <w:i/>
                <w:lang w:eastAsia="en-US"/>
              </w:rPr>
              <w:t>26</w:t>
            </w:r>
            <w:r w:rsidR="00465DEA">
              <w:rPr>
                <w:rFonts w:eastAsia="Calibri" w:cs="Mangal"/>
                <w:b/>
                <w:i/>
                <w:lang w:eastAsia="en-US"/>
              </w:rPr>
              <w:t>e</w:t>
            </w:r>
            <w:r w:rsidRPr="003B2277">
              <w:rPr>
                <w:rFonts w:eastAsia="Calibri" w:cs="Mangal"/>
                <w:b/>
                <w:i/>
                <w:lang w:eastAsia="en-US"/>
              </w:rPr>
              <w:t>)</w:t>
            </w:r>
            <w:r w:rsidRPr="003B2277">
              <w:rPr>
                <w:rFonts w:eastAsia="Calibri" w:cs="Mangal"/>
                <w:b/>
                <w:i/>
                <w:lang w:eastAsia="en-US"/>
              </w:rPr>
              <w:tab/>
              <w:t>člen 210 se nadomesti z naslednjim:</w:t>
            </w:r>
          </w:p>
        </w:tc>
      </w:tr>
      <w:tr w:rsidR="006F5BFE" w:rsidRPr="003B2277" w14:paraId="6C0A76DE" w14:textId="77777777" w:rsidTr="005B4D60">
        <w:trPr>
          <w:jc w:val="center"/>
        </w:trPr>
        <w:tc>
          <w:tcPr>
            <w:tcW w:w="4876" w:type="dxa"/>
            <w:hideMark/>
          </w:tcPr>
          <w:p w14:paraId="7261540A" w14:textId="77777777" w:rsidR="006F5BFE" w:rsidRPr="003B2277" w:rsidRDefault="006F5BFE" w:rsidP="005B4D60">
            <w:pPr>
              <w:spacing w:after="120"/>
              <w:rPr>
                <w:lang w:eastAsia="en-US"/>
              </w:rPr>
            </w:pPr>
            <w:r w:rsidRPr="003B2277">
              <w:rPr>
                <w:rFonts w:eastAsia="Calibri" w:cs="Mangal"/>
                <w:lang w:eastAsia="en-US"/>
              </w:rPr>
              <w:t>Člen 210</w:t>
            </w:r>
          </w:p>
        </w:tc>
        <w:tc>
          <w:tcPr>
            <w:tcW w:w="4876" w:type="dxa"/>
            <w:hideMark/>
          </w:tcPr>
          <w:p w14:paraId="1AE205F0"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210</w:t>
            </w:r>
          </w:p>
        </w:tc>
      </w:tr>
      <w:tr w:rsidR="006F5BFE" w:rsidRPr="003B2277" w14:paraId="350E28B0" w14:textId="77777777" w:rsidTr="005B4D60">
        <w:trPr>
          <w:jc w:val="center"/>
        </w:trPr>
        <w:tc>
          <w:tcPr>
            <w:tcW w:w="4876" w:type="dxa"/>
            <w:hideMark/>
          </w:tcPr>
          <w:p w14:paraId="687F02B4" w14:textId="77777777" w:rsidR="006F5BFE" w:rsidRPr="003B2277" w:rsidRDefault="006F5BFE" w:rsidP="005B4D60">
            <w:pPr>
              <w:spacing w:after="120"/>
              <w:rPr>
                <w:lang w:eastAsia="en-US"/>
              </w:rPr>
            </w:pPr>
            <w:r w:rsidRPr="003B2277">
              <w:rPr>
                <w:rFonts w:eastAsia="Calibri" w:cs="Mangal"/>
                <w:lang w:eastAsia="en-US"/>
              </w:rPr>
              <w:t>Sporazumi in usklajena ravnanja priznanih medpanožnih organizacij</w:t>
            </w:r>
          </w:p>
        </w:tc>
        <w:tc>
          <w:tcPr>
            <w:tcW w:w="4876" w:type="dxa"/>
            <w:hideMark/>
          </w:tcPr>
          <w:p w14:paraId="6B97AE7F" w14:textId="77777777" w:rsidR="006F5BFE" w:rsidRPr="003B2277" w:rsidRDefault="006F5BFE" w:rsidP="005B4D60">
            <w:pPr>
              <w:spacing w:after="120"/>
              <w:rPr>
                <w:szCs w:val="24"/>
                <w:lang w:eastAsia="en-US"/>
              </w:rPr>
            </w:pPr>
            <w:r w:rsidRPr="003B2277">
              <w:rPr>
                <w:rFonts w:eastAsia="Calibri" w:cs="Mangal"/>
                <w:lang w:eastAsia="en-US"/>
              </w:rPr>
              <w:t>Sporazumi in usklajena ravnanja priznanih medpanožnih organizacij</w:t>
            </w:r>
          </w:p>
        </w:tc>
      </w:tr>
      <w:tr w:rsidR="006F5BFE" w:rsidRPr="003B2277" w14:paraId="1943B4A2" w14:textId="77777777" w:rsidTr="005B4D60">
        <w:trPr>
          <w:jc w:val="center"/>
        </w:trPr>
        <w:tc>
          <w:tcPr>
            <w:tcW w:w="4876" w:type="dxa"/>
            <w:hideMark/>
          </w:tcPr>
          <w:p w14:paraId="7B3BA6CD" w14:textId="77777777" w:rsidR="006F5BFE" w:rsidRPr="003B2277" w:rsidRDefault="006F5BFE" w:rsidP="005B4D60">
            <w:pPr>
              <w:spacing w:after="120"/>
              <w:rPr>
                <w:lang w:eastAsia="en-US"/>
              </w:rPr>
            </w:pPr>
            <w:r w:rsidRPr="003B2277">
              <w:rPr>
                <w:rFonts w:eastAsia="Calibri" w:cs="Mangal"/>
                <w:lang w:eastAsia="en-US"/>
              </w:rPr>
              <w:t>1. Člen 101(1) PDEU se ne uporablja za sporazume, odločitve in usklajena ravnanja medpanožnih organizacij, priznanih po členu 157</w:t>
            </w:r>
            <w:r w:rsidRPr="003B2277">
              <w:rPr>
                <w:rFonts w:eastAsia="Calibri" w:cs="Mangal"/>
                <w:b/>
                <w:i/>
                <w:lang w:eastAsia="en-US"/>
              </w:rPr>
              <w:t>(1)</w:t>
            </w:r>
            <w:r w:rsidRPr="003B2277">
              <w:rPr>
                <w:rFonts w:eastAsia="Calibri" w:cs="Mangal"/>
                <w:lang w:eastAsia="en-US"/>
              </w:rPr>
              <w:t xml:space="preserve"> te uredbe, </w:t>
            </w:r>
            <w:r w:rsidRPr="003B2277">
              <w:rPr>
                <w:rFonts w:eastAsia="Calibri" w:cs="Mangal"/>
                <w:b/>
                <w:i/>
                <w:lang w:eastAsia="en-US"/>
              </w:rPr>
              <w:t>z namenom izvajanja dejavnosti iz točke (c) člena 157(1) in</w:t>
            </w:r>
            <w:r w:rsidRPr="003B2277">
              <w:rPr>
                <w:rFonts w:eastAsia="Calibri" w:cs="Mangal"/>
                <w:lang w:eastAsia="en-US"/>
              </w:rPr>
              <w:t xml:space="preserve"> za </w:t>
            </w:r>
            <w:r w:rsidRPr="003B2277">
              <w:rPr>
                <w:rFonts w:eastAsia="Calibri" w:cs="Mangal"/>
                <w:b/>
                <w:i/>
                <w:lang w:eastAsia="en-US"/>
              </w:rPr>
              <w:t>mleko in mlečne proizvode,</w:t>
            </w:r>
            <w:r w:rsidRPr="003B2277">
              <w:rPr>
                <w:rFonts w:eastAsia="Calibri" w:cs="Mangal"/>
                <w:lang w:eastAsia="en-US"/>
              </w:rPr>
              <w:t xml:space="preserve"> iz točke (c) člena 157(</w:t>
            </w:r>
            <w:r w:rsidRPr="003B2277">
              <w:rPr>
                <w:rFonts w:eastAsia="Calibri" w:cs="Mangal"/>
                <w:b/>
                <w:i/>
                <w:lang w:eastAsia="en-US"/>
              </w:rPr>
              <w:t>3</w:t>
            </w:r>
            <w:r w:rsidRPr="003B2277">
              <w:rPr>
                <w:rFonts w:eastAsia="Calibri" w:cs="Mangal"/>
                <w:lang w:eastAsia="en-US"/>
              </w:rPr>
              <w:t>) te uredbe</w:t>
            </w:r>
            <w:r w:rsidRPr="003B2277">
              <w:rPr>
                <w:rFonts w:eastAsia="Calibri" w:cs="Mangal"/>
                <w:b/>
                <w:i/>
                <w:lang w:eastAsia="en-US"/>
              </w:rPr>
              <w:t>,</w:t>
            </w:r>
            <w:r w:rsidRPr="003B2277">
              <w:rPr>
                <w:rFonts w:eastAsia="Calibri" w:cs="Mangal"/>
                <w:lang w:eastAsia="en-US"/>
              </w:rPr>
              <w:t xml:space="preserve"> ter, kar zadeva sektorja oljčnega olja in namiznih oljk ter tobaka, dejavnosti iz člena 162 te uredbe.</w:t>
            </w:r>
          </w:p>
        </w:tc>
        <w:tc>
          <w:tcPr>
            <w:tcW w:w="4876" w:type="dxa"/>
            <w:hideMark/>
          </w:tcPr>
          <w:p w14:paraId="3A7AEF86" w14:textId="77777777" w:rsidR="006F5BFE" w:rsidRPr="003B2277" w:rsidRDefault="006F5BFE" w:rsidP="005B4D60">
            <w:pPr>
              <w:spacing w:after="120"/>
              <w:rPr>
                <w:szCs w:val="24"/>
                <w:lang w:eastAsia="en-US"/>
              </w:rPr>
            </w:pPr>
            <w:r w:rsidRPr="003B2277">
              <w:rPr>
                <w:rFonts w:eastAsia="Calibri" w:cs="Mangal"/>
                <w:lang w:eastAsia="en-US"/>
              </w:rPr>
              <w:t xml:space="preserve">1. Člen 101(1) PDEU se ne uporablja za sporazume, odločitve in usklajena ravnanja medpanožnih organizacij, priznanih po členu 157 te uredbe, </w:t>
            </w:r>
            <w:r w:rsidRPr="003B2277">
              <w:rPr>
                <w:rFonts w:eastAsia="Calibri" w:cs="Mangal"/>
                <w:b/>
                <w:i/>
                <w:lang w:eastAsia="en-US"/>
              </w:rPr>
              <w:t>ki so potrebni</w:t>
            </w:r>
            <w:r w:rsidRPr="003B2277">
              <w:rPr>
                <w:rFonts w:eastAsia="Calibri" w:cs="Mangal"/>
                <w:lang w:eastAsia="en-US"/>
              </w:rPr>
              <w:t xml:space="preserve"> za </w:t>
            </w:r>
            <w:r w:rsidRPr="003B2277">
              <w:rPr>
                <w:rFonts w:eastAsia="Calibri" w:cs="Mangal"/>
                <w:b/>
                <w:i/>
                <w:lang w:eastAsia="en-US"/>
              </w:rPr>
              <w:t>izpolnjevanje ciljev</w:t>
            </w:r>
            <w:r w:rsidRPr="003B2277">
              <w:rPr>
                <w:rFonts w:eastAsia="Calibri" w:cs="Mangal"/>
                <w:lang w:eastAsia="en-US"/>
              </w:rPr>
              <w:t xml:space="preserve"> iz točke (c) člena 157(</w:t>
            </w:r>
            <w:r w:rsidRPr="003B2277">
              <w:rPr>
                <w:rFonts w:eastAsia="Calibri" w:cs="Mangal"/>
                <w:b/>
                <w:i/>
                <w:lang w:eastAsia="en-US"/>
              </w:rPr>
              <w:t>1</w:t>
            </w:r>
            <w:r w:rsidRPr="003B2277">
              <w:rPr>
                <w:rFonts w:eastAsia="Calibri" w:cs="Mangal"/>
                <w:lang w:eastAsia="en-US"/>
              </w:rPr>
              <w:t>) te uredbe ter, kar zadeva sektorja oljčnega olja in namiznih oljk ter tobaka, dejavnosti iz člena 162 te uredbe.</w:t>
            </w:r>
          </w:p>
        </w:tc>
      </w:tr>
      <w:tr w:rsidR="006F5BFE" w:rsidRPr="003B2277" w14:paraId="49090852" w14:textId="77777777" w:rsidTr="005B4D60">
        <w:trPr>
          <w:jc w:val="center"/>
        </w:trPr>
        <w:tc>
          <w:tcPr>
            <w:tcW w:w="4876" w:type="dxa"/>
          </w:tcPr>
          <w:p w14:paraId="5575733B" w14:textId="77777777" w:rsidR="006F5BFE" w:rsidRPr="003B2277" w:rsidRDefault="006F5BFE" w:rsidP="005B4D60">
            <w:pPr>
              <w:spacing w:after="120"/>
              <w:rPr>
                <w:b/>
                <w:i/>
              </w:rPr>
            </w:pPr>
          </w:p>
        </w:tc>
        <w:tc>
          <w:tcPr>
            <w:tcW w:w="4876" w:type="dxa"/>
            <w:hideMark/>
          </w:tcPr>
          <w:p w14:paraId="15D28A1C" w14:textId="77777777" w:rsidR="006F5BFE" w:rsidRPr="003B2277" w:rsidRDefault="006F5BFE" w:rsidP="005B4D60">
            <w:pPr>
              <w:spacing w:after="120"/>
              <w:rPr>
                <w:szCs w:val="24"/>
                <w:lang w:eastAsia="en-US"/>
              </w:rPr>
            </w:pPr>
            <w:r w:rsidRPr="003B2277">
              <w:rPr>
                <w:rFonts w:eastAsia="Calibri" w:cs="Mangal"/>
                <w:b/>
                <w:i/>
                <w:lang w:eastAsia="en-US"/>
              </w:rPr>
              <w:t>Sporazumi, odločitve in usklajena ravnanja, ki izpolnjujejo pogoje iz prvega pododstavka tega odstavka 1, se uporabljajo brez predhodne odločitve v ta namen. Vendar lahko medpanožne organizacije, priznane po členu 157 te uredbe, od Komisije zahtevajo mnenje o združljivosti teh sporazumov, odločitev in usklajenih ravnanj s cilji iz člena 39 Pogodbe o delovanju Evropske unije. Komisija zahteve za mnenje obravnava hitro in vlagatelju mnenje posreduje v štirih mesecih po prejetju popolne zahteve. Komisija lahko na lastno pobudo ali na zahtevo države članice spremeni vsebino mnenja, zlasti če je vlagatelj podal nenatančne informacije ali zlorabil mnenje.</w:t>
            </w:r>
          </w:p>
        </w:tc>
      </w:tr>
      <w:tr w:rsidR="006F5BFE" w:rsidRPr="003B2277" w14:paraId="04D4E3D2" w14:textId="77777777" w:rsidTr="005B4D60">
        <w:trPr>
          <w:jc w:val="center"/>
        </w:trPr>
        <w:tc>
          <w:tcPr>
            <w:tcW w:w="4876" w:type="dxa"/>
          </w:tcPr>
          <w:p w14:paraId="7A911BCF"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r>
            <w:r w:rsidRPr="003B2277">
              <w:rPr>
                <w:rFonts w:eastAsia="Calibri" w:cs="Mangal"/>
                <w:b/>
                <w:i/>
                <w:lang w:eastAsia="en-US"/>
              </w:rPr>
              <w:t>Odstavek 1 se uporablja, če:</w:t>
            </w:r>
          </w:p>
        </w:tc>
        <w:tc>
          <w:tcPr>
            <w:tcW w:w="4876" w:type="dxa"/>
            <w:hideMark/>
          </w:tcPr>
          <w:p w14:paraId="2BE4D53A"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r>
            <w:r w:rsidRPr="003B2277">
              <w:rPr>
                <w:rFonts w:eastAsia="Calibri" w:cs="Mangal"/>
                <w:b/>
                <w:i/>
                <w:lang w:eastAsia="en-US"/>
              </w:rPr>
              <w:t>Člen 101(1) PDEU</w:t>
            </w:r>
            <w:r w:rsidRPr="003B2277">
              <w:rPr>
                <w:rFonts w:eastAsia="Calibri" w:cs="Mangal"/>
                <w:lang w:eastAsia="en-US"/>
              </w:rPr>
              <w:t xml:space="preserve"> se </w:t>
            </w:r>
            <w:r w:rsidRPr="003B2277">
              <w:rPr>
                <w:rFonts w:eastAsia="Calibri" w:cs="Mangal"/>
                <w:b/>
                <w:i/>
                <w:lang w:eastAsia="en-US"/>
              </w:rPr>
              <w:t xml:space="preserve">ne </w:t>
            </w:r>
            <w:r w:rsidRPr="003B2277">
              <w:rPr>
                <w:rFonts w:eastAsia="Calibri" w:cs="Mangal"/>
                <w:lang w:eastAsia="en-US"/>
              </w:rPr>
              <w:t>uporablja</w:t>
            </w:r>
            <w:r w:rsidRPr="003B2277">
              <w:rPr>
                <w:rFonts w:eastAsia="Calibri" w:cs="Mangal"/>
                <w:b/>
                <w:i/>
                <w:lang w:eastAsia="en-US"/>
              </w:rPr>
              <w:t xml:space="preserve"> za sporazume, odločitve in usklajena ravnanja medpanožnih organizacij, priznanih po členu 157 te uredbe, ki zadevajo druge dejavnosti razen dejavnosti iz točke (c) člena 157(1) in, kar zadeva sektorja oljčnega olja in namiznih oljk ter tobaka, dejavnosti iz člena 162 te uredbe</w:t>
            </w:r>
            <w:r w:rsidRPr="003B2277">
              <w:rPr>
                <w:rFonts w:eastAsia="Calibri" w:cs="Mangal"/>
                <w:lang w:eastAsia="en-US"/>
              </w:rPr>
              <w:t>, če:</w:t>
            </w:r>
          </w:p>
        </w:tc>
      </w:tr>
      <w:tr w:rsidR="006F5BFE" w:rsidRPr="003B2277" w14:paraId="3F7D0954" w14:textId="77777777" w:rsidTr="005B4D60">
        <w:trPr>
          <w:jc w:val="center"/>
        </w:trPr>
        <w:tc>
          <w:tcPr>
            <w:tcW w:w="4876" w:type="dxa"/>
          </w:tcPr>
          <w:p w14:paraId="7634A948" w14:textId="77777777" w:rsidR="006F5BFE" w:rsidRPr="003B2277" w:rsidRDefault="006F5BFE" w:rsidP="005B4D60">
            <w:pPr>
              <w:spacing w:after="120"/>
              <w:rPr>
                <w:lang w:eastAsia="en-US"/>
              </w:rPr>
            </w:pPr>
            <w:r w:rsidRPr="003B2277">
              <w:rPr>
                <w:rFonts w:eastAsia="Calibri" w:cs="Mangal"/>
                <w:lang w:eastAsia="en-US"/>
              </w:rPr>
              <w:t>(a) je bila Komisija o sporazumih, sklepih in usklajenih ravnanjih iz teh sporazumov uradno obveščena in</w:t>
            </w:r>
          </w:p>
        </w:tc>
        <w:tc>
          <w:tcPr>
            <w:tcW w:w="4876" w:type="dxa"/>
            <w:hideMark/>
          </w:tcPr>
          <w:p w14:paraId="5D4F1F9F" w14:textId="77777777" w:rsidR="006F5BFE" w:rsidRPr="003B2277" w:rsidRDefault="006F5BFE" w:rsidP="005B4D60">
            <w:pPr>
              <w:spacing w:after="120"/>
              <w:rPr>
                <w:szCs w:val="24"/>
                <w:lang w:eastAsia="en-US"/>
              </w:rPr>
            </w:pPr>
            <w:r w:rsidRPr="003B2277">
              <w:rPr>
                <w:rFonts w:eastAsia="Calibri" w:cs="Mangal"/>
                <w:lang w:eastAsia="en-US"/>
              </w:rPr>
              <w:t>(a) je bila Komisija o sporazumih, sklepih in usklajenih ravnanjih iz teh sporazumov uradno obveščena in</w:t>
            </w:r>
          </w:p>
        </w:tc>
      </w:tr>
      <w:tr w:rsidR="006F5BFE" w:rsidRPr="003B2277" w14:paraId="76E3A185" w14:textId="77777777" w:rsidTr="005B4D60">
        <w:trPr>
          <w:jc w:val="center"/>
        </w:trPr>
        <w:tc>
          <w:tcPr>
            <w:tcW w:w="4876" w:type="dxa"/>
          </w:tcPr>
          <w:p w14:paraId="3ADBAAF1" w14:textId="77777777" w:rsidR="006F5BFE" w:rsidRPr="003B2277" w:rsidRDefault="006F5BFE" w:rsidP="005B4D60">
            <w:pPr>
              <w:spacing w:after="120"/>
              <w:rPr>
                <w:lang w:eastAsia="en-US"/>
              </w:rPr>
            </w:pPr>
            <w:r w:rsidRPr="003B2277">
              <w:rPr>
                <w:rFonts w:eastAsia="Calibri" w:cs="Mangal"/>
                <w:lang w:eastAsia="en-US"/>
              </w:rPr>
              <w:t>(b) Komisija v dveh mesecih po prejemu vseh zahtevanih podatkov ugotovi, da ti sporazumi, odločitve in usklajena ravnanja niso nezdružljivi s pravili Unije.</w:t>
            </w:r>
          </w:p>
        </w:tc>
        <w:tc>
          <w:tcPr>
            <w:tcW w:w="4876" w:type="dxa"/>
            <w:hideMark/>
          </w:tcPr>
          <w:p w14:paraId="1839A7B6" w14:textId="77777777" w:rsidR="006F5BFE" w:rsidRPr="003B2277" w:rsidRDefault="006F5BFE" w:rsidP="005B4D60">
            <w:pPr>
              <w:spacing w:after="120"/>
              <w:rPr>
                <w:szCs w:val="24"/>
                <w:lang w:eastAsia="en-US"/>
              </w:rPr>
            </w:pPr>
            <w:r w:rsidRPr="003B2277">
              <w:rPr>
                <w:rFonts w:eastAsia="Calibri" w:cs="Mangal"/>
                <w:lang w:eastAsia="en-US"/>
              </w:rPr>
              <w:t>(b) Komisija v dveh mesecih po prejemu vseh zahtevanih podatkov ugotovi, da ti sporazumi, odločitve in usklajena ravnanja niso nezdružljivi s pravili Unije.</w:t>
            </w:r>
          </w:p>
        </w:tc>
      </w:tr>
      <w:tr w:rsidR="006F5BFE" w:rsidRPr="003B2277" w14:paraId="43483A20" w14:textId="77777777" w:rsidTr="005B4D60">
        <w:trPr>
          <w:jc w:val="center"/>
        </w:trPr>
        <w:tc>
          <w:tcPr>
            <w:tcW w:w="4876" w:type="dxa"/>
          </w:tcPr>
          <w:p w14:paraId="15B85232" w14:textId="77777777" w:rsidR="006F5BFE" w:rsidRPr="003B2277" w:rsidRDefault="006F5BFE" w:rsidP="005B4D60">
            <w:pPr>
              <w:spacing w:after="120"/>
              <w:rPr>
                <w:lang w:eastAsia="en-US"/>
              </w:rPr>
            </w:pPr>
            <w:r w:rsidRPr="003B2277">
              <w:rPr>
                <w:rFonts w:eastAsia="Calibri" w:cs="Mangal"/>
                <w:lang w:eastAsia="en-US"/>
              </w:rPr>
              <w:t xml:space="preserve">Kadar Komisija ugotovi, da sporazumi, sklepi in usklajena ravnanja iz odstavka </w:t>
            </w:r>
            <w:r w:rsidRPr="003B2277">
              <w:rPr>
                <w:rFonts w:eastAsia="Calibri" w:cs="Mangal"/>
                <w:b/>
                <w:i/>
                <w:lang w:eastAsia="en-US"/>
              </w:rPr>
              <w:t>1</w:t>
            </w:r>
            <w:r w:rsidRPr="003B2277">
              <w:rPr>
                <w:rFonts w:eastAsia="Calibri" w:cs="Mangal"/>
                <w:lang w:eastAsia="en-US"/>
              </w:rPr>
              <w:t xml:space="preserve"> niso združljivi s pravili Unije, svojo ugotovitev objavi brez uporabe postopka iz člena 229(2) ali (3).</w:t>
            </w:r>
          </w:p>
        </w:tc>
        <w:tc>
          <w:tcPr>
            <w:tcW w:w="4876" w:type="dxa"/>
            <w:hideMark/>
          </w:tcPr>
          <w:p w14:paraId="5B360AC6" w14:textId="77777777" w:rsidR="006F5BFE" w:rsidRPr="003B2277" w:rsidRDefault="006F5BFE" w:rsidP="005B4D60">
            <w:pPr>
              <w:spacing w:after="120"/>
              <w:rPr>
                <w:szCs w:val="24"/>
                <w:lang w:eastAsia="en-US"/>
              </w:rPr>
            </w:pPr>
            <w:r w:rsidRPr="003B2277">
              <w:rPr>
                <w:rFonts w:eastAsia="Calibri" w:cs="Mangal"/>
                <w:lang w:eastAsia="en-US"/>
              </w:rPr>
              <w:t xml:space="preserve">Kadar Komisija ugotovi, da sporazumi, sklepi in usklajena ravnanja iz odstavka </w:t>
            </w:r>
            <w:r w:rsidRPr="003B2277">
              <w:rPr>
                <w:rFonts w:eastAsia="Calibri" w:cs="Mangal"/>
                <w:b/>
                <w:i/>
                <w:lang w:eastAsia="en-US"/>
              </w:rPr>
              <w:t>2</w:t>
            </w:r>
            <w:r w:rsidRPr="003B2277">
              <w:rPr>
                <w:rFonts w:eastAsia="Calibri" w:cs="Mangal"/>
                <w:lang w:eastAsia="en-US"/>
              </w:rPr>
              <w:t xml:space="preserve"> niso združljivi s pravili Unije, svojo ugotovitev objavi brez uporabe postopka iz člena 229(2) ali (3).</w:t>
            </w:r>
          </w:p>
        </w:tc>
      </w:tr>
      <w:tr w:rsidR="006F5BFE" w:rsidRPr="003B2277" w14:paraId="310FAC20" w14:textId="77777777" w:rsidTr="005B4D60">
        <w:trPr>
          <w:jc w:val="center"/>
        </w:trPr>
        <w:tc>
          <w:tcPr>
            <w:tcW w:w="4876" w:type="dxa"/>
          </w:tcPr>
          <w:p w14:paraId="44EAC28E"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 xml:space="preserve">Sporazumi, odločitve in usklajena ravnanja iz odstavka </w:t>
            </w:r>
            <w:r w:rsidRPr="003B2277">
              <w:rPr>
                <w:rFonts w:eastAsia="Calibri" w:cs="Mangal"/>
                <w:b/>
                <w:i/>
                <w:lang w:eastAsia="en-US"/>
              </w:rPr>
              <w:t>1 ne smejo začeti</w:t>
            </w:r>
            <w:r w:rsidRPr="003B2277">
              <w:rPr>
                <w:rFonts w:eastAsia="Calibri" w:cs="Mangal"/>
                <w:lang w:eastAsia="en-US"/>
              </w:rPr>
              <w:t xml:space="preserve"> učinkovati </w:t>
            </w:r>
            <w:r w:rsidRPr="003B2277">
              <w:rPr>
                <w:rFonts w:eastAsia="Calibri" w:cs="Mangal"/>
                <w:b/>
                <w:i/>
                <w:lang w:eastAsia="en-US"/>
              </w:rPr>
              <w:t>pred potekom</w:t>
            </w:r>
            <w:r w:rsidRPr="003B2277">
              <w:rPr>
                <w:rFonts w:eastAsia="Calibri" w:cs="Mangal"/>
                <w:lang w:eastAsia="en-US"/>
              </w:rPr>
              <w:t xml:space="preserve"> dvomesečnega obdobja iz točke (b) prvega pododstavka odstavka 2.</w:t>
            </w:r>
          </w:p>
        </w:tc>
        <w:tc>
          <w:tcPr>
            <w:tcW w:w="4876" w:type="dxa"/>
            <w:hideMark/>
          </w:tcPr>
          <w:p w14:paraId="7D368EC2"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 xml:space="preserve">Sporazumi, odločitve in usklajena ravnanja iz odstavka </w:t>
            </w:r>
            <w:r w:rsidRPr="003B2277">
              <w:rPr>
                <w:rFonts w:eastAsia="Calibri" w:cs="Mangal"/>
                <w:b/>
                <w:i/>
                <w:lang w:eastAsia="en-US"/>
              </w:rPr>
              <w:t>2 začnejo</w:t>
            </w:r>
            <w:r w:rsidRPr="003B2277">
              <w:rPr>
                <w:rFonts w:eastAsia="Calibri" w:cs="Mangal"/>
                <w:lang w:eastAsia="en-US"/>
              </w:rPr>
              <w:t xml:space="preserve"> učinkovati </w:t>
            </w:r>
            <w:r w:rsidRPr="003B2277">
              <w:rPr>
                <w:rFonts w:eastAsia="Calibri" w:cs="Mangal"/>
                <w:b/>
                <w:i/>
                <w:lang w:eastAsia="en-US"/>
              </w:rPr>
              <w:t>po poteku</w:t>
            </w:r>
            <w:r w:rsidRPr="003B2277">
              <w:rPr>
                <w:rFonts w:eastAsia="Calibri" w:cs="Mangal"/>
                <w:lang w:eastAsia="en-US"/>
              </w:rPr>
              <w:t xml:space="preserve"> dvomesečnega obdobja iz točke (b) prvega pododstavka odstavka 2.</w:t>
            </w:r>
          </w:p>
        </w:tc>
      </w:tr>
      <w:tr w:rsidR="006F5BFE" w:rsidRPr="003B2277" w14:paraId="3CAA4A38" w14:textId="77777777" w:rsidTr="005B4D60">
        <w:trPr>
          <w:jc w:val="center"/>
        </w:trPr>
        <w:tc>
          <w:tcPr>
            <w:tcW w:w="4876" w:type="dxa"/>
          </w:tcPr>
          <w:p w14:paraId="414B2702"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 xml:space="preserve">Sporazumi, odločitve in usklajena ravnanja </w:t>
            </w:r>
            <w:r w:rsidRPr="003B2277">
              <w:rPr>
                <w:rFonts w:eastAsia="Calibri" w:cs="Mangal"/>
                <w:b/>
                <w:i/>
                <w:lang w:eastAsia="en-US"/>
              </w:rPr>
              <w:t>se</w:t>
            </w:r>
            <w:r w:rsidRPr="003B2277">
              <w:rPr>
                <w:rFonts w:eastAsia="Calibri" w:cs="Mangal"/>
                <w:lang w:eastAsia="en-US"/>
              </w:rPr>
              <w:t xml:space="preserve"> v vsakem primeru </w:t>
            </w:r>
            <w:r w:rsidRPr="003B2277">
              <w:rPr>
                <w:rFonts w:eastAsia="Calibri" w:cs="Mangal"/>
                <w:b/>
                <w:i/>
                <w:lang w:eastAsia="en-US"/>
              </w:rPr>
              <w:t>razglasijo za nezdružljive</w:t>
            </w:r>
            <w:r w:rsidRPr="003B2277">
              <w:rPr>
                <w:rFonts w:eastAsia="Calibri" w:cs="Mangal"/>
                <w:lang w:eastAsia="en-US"/>
              </w:rPr>
              <w:t xml:space="preserve"> s pravili Unije, če:</w:t>
            </w:r>
          </w:p>
        </w:tc>
        <w:tc>
          <w:tcPr>
            <w:tcW w:w="4876" w:type="dxa"/>
            <w:hideMark/>
          </w:tcPr>
          <w:p w14:paraId="7B245A54"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 xml:space="preserve">Sporazumi, odločitve in usklajena ravnanja </w:t>
            </w:r>
            <w:r w:rsidRPr="003B2277">
              <w:rPr>
                <w:rFonts w:eastAsia="Calibri" w:cs="Mangal"/>
                <w:b/>
                <w:i/>
                <w:lang w:eastAsia="en-US"/>
              </w:rPr>
              <w:t>so</w:t>
            </w:r>
            <w:r w:rsidRPr="003B2277">
              <w:rPr>
                <w:rFonts w:eastAsia="Calibri" w:cs="Mangal"/>
                <w:lang w:eastAsia="en-US"/>
              </w:rPr>
              <w:t xml:space="preserve"> v vsakem primeru </w:t>
            </w:r>
            <w:r w:rsidRPr="003B2277">
              <w:rPr>
                <w:rFonts w:eastAsia="Calibri" w:cs="Mangal"/>
                <w:b/>
                <w:i/>
                <w:lang w:eastAsia="en-US"/>
              </w:rPr>
              <w:t>nezdružljivi</w:t>
            </w:r>
            <w:r w:rsidRPr="003B2277">
              <w:rPr>
                <w:rFonts w:eastAsia="Calibri" w:cs="Mangal"/>
                <w:lang w:eastAsia="en-US"/>
              </w:rPr>
              <w:t xml:space="preserve"> s pravili Unije, če:</w:t>
            </w:r>
          </w:p>
        </w:tc>
      </w:tr>
      <w:tr w:rsidR="006F5BFE" w:rsidRPr="003B2277" w14:paraId="4E35154A" w14:textId="77777777" w:rsidTr="005B4D60">
        <w:trPr>
          <w:jc w:val="center"/>
        </w:trPr>
        <w:tc>
          <w:tcPr>
            <w:tcW w:w="4876" w:type="dxa"/>
          </w:tcPr>
          <w:p w14:paraId="6BEE0A00" w14:textId="77777777" w:rsidR="006F5BFE" w:rsidRPr="003B2277" w:rsidRDefault="006F5BFE" w:rsidP="005B4D60">
            <w:pPr>
              <w:spacing w:after="120"/>
              <w:rPr>
                <w:lang w:eastAsia="en-US"/>
              </w:rPr>
            </w:pPr>
            <w:r w:rsidRPr="003B2277">
              <w:rPr>
                <w:rFonts w:eastAsia="Calibri" w:cs="Mangal"/>
                <w:lang w:eastAsia="en-US"/>
              </w:rPr>
              <w:t>(a) bi lahko povzročili kakršno koli delitev trgov znotraj Unije;</w:t>
            </w:r>
          </w:p>
        </w:tc>
        <w:tc>
          <w:tcPr>
            <w:tcW w:w="4876" w:type="dxa"/>
            <w:hideMark/>
          </w:tcPr>
          <w:p w14:paraId="2602A307" w14:textId="77777777" w:rsidR="006F5BFE" w:rsidRPr="003B2277" w:rsidRDefault="006F5BFE" w:rsidP="005B4D60">
            <w:pPr>
              <w:spacing w:after="120"/>
              <w:rPr>
                <w:szCs w:val="24"/>
                <w:lang w:eastAsia="en-US"/>
              </w:rPr>
            </w:pPr>
            <w:r w:rsidRPr="003B2277">
              <w:rPr>
                <w:rFonts w:eastAsia="Calibri" w:cs="Mangal"/>
                <w:lang w:eastAsia="en-US"/>
              </w:rPr>
              <w:t>(a) bi lahko povzročili kakršno koli delitev trgov znotraj Unije;</w:t>
            </w:r>
          </w:p>
        </w:tc>
      </w:tr>
      <w:tr w:rsidR="006F5BFE" w:rsidRPr="003B2277" w14:paraId="47BF889E" w14:textId="77777777" w:rsidTr="005B4D60">
        <w:trPr>
          <w:jc w:val="center"/>
        </w:trPr>
        <w:tc>
          <w:tcPr>
            <w:tcW w:w="4876" w:type="dxa"/>
          </w:tcPr>
          <w:p w14:paraId="657E983D" w14:textId="77777777" w:rsidR="006F5BFE" w:rsidRPr="003B2277" w:rsidRDefault="006F5BFE" w:rsidP="005B4D60">
            <w:pPr>
              <w:spacing w:after="120"/>
              <w:rPr>
                <w:lang w:eastAsia="en-US"/>
              </w:rPr>
            </w:pPr>
            <w:r w:rsidRPr="003B2277">
              <w:rPr>
                <w:rFonts w:eastAsia="Calibri" w:cs="Mangal"/>
                <w:lang w:eastAsia="en-US"/>
              </w:rPr>
              <w:t>(b) bi lahko vplivali na pravilno delovanje ureditve trga;</w:t>
            </w:r>
          </w:p>
        </w:tc>
        <w:tc>
          <w:tcPr>
            <w:tcW w:w="4876" w:type="dxa"/>
            <w:hideMark/>
          </w:tcPr>
          <w:p w14:paraId="44A34CA1" w14:textId="77777777" w:rsidR="006F5BFE" w:rsidRPr="003B2277" w:rsidRDefault="006F5BFE" w:rsidP="005B4D60">
            <w:pPr>
              <w:spacing w:after="120"/>
              <w:rPr>
                <w:szCs w:val="24"/>
                <w:lang w:eastAsia="en-US"/>
              </w:rPr>
            </w:pPr>
            <w:r w:rsidRPr="003B2277">
              <w:rPr>
                <w:rFonts w:eastAsia="Calibri" w:cs="Mangal"/>
                <w:lang w:eastAsia="en-US"/>
              </w:rPr>
              <w:t>(b) bi lahko vplivali na pravilno delovanje ureditve trga;</w:t>
            </w:r>
          </w:p>
        </w:tc>
      </w:tr>
      <w:tr w:rsidR="006F5BFE" w:rsidRPr="003B2277" w14:paraId="660B7622" w14:textId="77777777" w:rsidTr="005B4D60">
        <w:trPr>
          <w:jc w:val="center"/>
        </w:trPr>
        <w:tc>
          <w:tcPr>
            <w:tcW w:w="4876" w:type="dxa"/>
          </w:tcPr>
          <w:p w14:paraId="19E8DDDB" w14:textId="77777777" w:rsidR="006F5BFE" w:rsidRPr="003B2277" w:rsidRDefault="006F5BFE" w:rsidP="005B4D60">
            <w:pPr>
              <w:spacing w:after="120"/>
              <w:rPr>
                <w:lang w:eastAsia="en-US"/>
              </w:rPr>
            </w:pPr>
            <w:r w:rsidRPr="003B2277">
              <w:rPr>
                <w:rFonts w:eastAsia="Calibri" w:cs="Mangal"/>
                <w:lang w:eastAsia="en-US"/>
              </w:rPr>
              <w:t>(c) bi lahko povzročili izkrivljanje konkurence, ki ni nujno potrebno za dosego ciljev SKP, za katere si prizadeva medpanožna organizacija s svojim delovanjem;</w:t>
            </w:r>
          </w:p>
        </w:tc>
        <w:tc>
          <w:tcPr>
            <w:tcW w:w="4876" w:type="dxa"/>
            <w:hideMark/>
          </w:tcPr>
          <w:p w14:paraId="1593E6D7" w14:textId="77777777" w:rsidR="006F5BFE" w:rsidRPr="003B2277" w:rsidRDefault="006F5BFE" w:rsidP="005B4D60">
            <w:pPr>
              <w:spacing w:after="120"/>
              <w:rPr>
                <w:szCs w:val="24"/>
                <w:lang w:eastAsia="en-US"/>
              </w:rPr>
            </w:pPr>
            <w:r w:rsidRPr="003B2277">
              <w:rPr>
                <w:rFonts w:eastAsia="Calibri" w:cs="Mangal"/>
                <w:lang w:eastAsia="en-US"/>
              </w:rPr>
              <w:t>(c) bi lahko povzročili izkrivljanje konkurence, ki ni nujno potrebno za dosego ciljev SKP, za katere si prizadeva medpanožna organizacija s svojim delovanjem;</w:t>
            </w:r>
          </w:p>
        </w:tc>
      </w:tr>
      <w:tr w:rsidR="006F5BFE" w:rsidRPr="003B2277" w14:paraId="657B9A2E" w14:textId="77777777" w:rsidTr="005B4D60">
        <w:trPr>
          <w:jc w:val="center"/>
        </w:trPr>
        <w:tc>
          <w:tcPr>
            <w:tcW w:w="4876" w:type="dxa"/>
          </w:tcPr>
          <w:p w14:paraId="60BFE0C0" w14:textId="77777777" w:rsidR="006F5BFE" w:rsidRPr="003B2277" w:rsidRDefault="006F5BFE" w:rsidP="005B4D60">
            <w:pPr>
              <w:spacing w:after="120"/>
              <w:rPr>
                <w:lang w:eastAsia="en-US"/>
              </w:rPr>
            </w:pPr>
            <w:r w:rsidRPr="003B2277">
              <w:rPr>
                <w:rFonts w:eastAsia="Calibri" w:cs="Mangal"/>
                <w:lang w:eastAsia="en-US"/>
              </w:rPr>
              <w:t xml:space="preserve">(d) pomenijo </w:t>
            </w:r>
            <w:r w:rsidRPr="003B2277">
              <w:rPr>
                <w:rFonts w:eastAsia="Calibri" w:cs="Mangal"/>
                <w:b/>
                <w:i/>
                <w:lang w:eastAsia="en-US"/>
              </w:rPr>
              <w:t>določanje</w:t>
            </w:r>
            <w:r w:rsidRPr="003B2277">
              <w:rPr>
                <w:rFonts w:eastAsia="Calibri" w:cs="Mangal"/>
                <w:lang w:eastAsia="en-US"/>
              </w:rPr>
              <w:t xml:space="preserve"> cen ali </w:t>
            </w:r>
            <w:r w:rsidRPr="003B2277">
              <w:rPr>
                <w:rFonts w:eastAsia="Calibri" w:cs="Mangal"/>
                <w:b/>
                <w:i/>
                <w:lang w:eastAsia="en-US"/>
              </w:rPr>
              <w:t>določanje kvot</w:t>
            </w:r>
            <w:r w:rsidRPr="003B2277">
              <w:rPr>
                <w:rFonts w:eastAsia="Calibri" w:cs="Mangal"/>
                <w:lang w:eastAsia="en-US"/>
              </w:rPr>
              <w:t>;</w:t>
            </w:r>
          </w:p>
        </w:tc>
        <w:tc>
          <w:tcPr>
            <w:tcW w:w="4876" w:type="dxa"/>
            <w:hideMark/>
          </w:tcPr>
          <w:p w14:paraId="3C1DFCE4" w14:textId="77777777" w:rsidR="006F5BFE" w:rsidRPr="003B2277" w:rsidRDefault="006F5BFE" w:rsidP="005B4D60">
            <w:pPr>
              <w:spacing w:after="120"/>
              <w:rPr>
                <w:szCs w:val="24"/>
                <w:lang w:eastAsia="en-US"/>
              </w:rPr>
            </w:pPr>
            <w:r w:rsidRPr="003B2277">
              <w:rPr>
                <w:rFonts w:eastAsia="Calibri" w:cs="Mangal"/>
                <w:lang w:eastAsia="en-US"/>
              </w:rPr>
              <w:t xml:space="preserve">(d) pomenijo </w:t>
            </w:r>
            <w:r w:rsidRPr="003B2277">
              <w:rPr>
                <w:rFonts w:eastAsia="Calibri" w:cs="Mangal"/>
                <w:b/>
                <w:i/>
                <w:lang w:eastAsia="en-US"/>
              </w:rPr>
              <w:t>obvezno uporabo fiksnih</w:t>
            </w:r>
            <w:r w:rsidRPr="003B2277">
              <w:rPr>
                <w:rFonts w:eastAsia="Calibri" w:cs="Mangal"/>
                <w:lang w:eastAsia="en-US"/>
              </w:rPr>
              <w:t xml:space="preserve"> cen ali </w:t>
            </w:r>
            <w:r w:rsidRPr="003B2277">
              <w:rPr>
                <w:rFonts w:eastAsia="Calibri" w:cs="Mangal"/>
                <w:b/>
                <w:i/>
                <w:lang w:eastAsia="en-US"/>
              </w:rPr>
              <w:t>fiksnih količin</w:t>
            </w:r>
            <w:r w:rsidRPr="003B2277">
              <w:rPr>
                <w:rFonts w:eastAsia="Calibri" w:cs="Mangal"/>
                <w:lang w:eastAsia="en-US"/>
              </w:rPr>
              <w:t>;</w:t>
            </w:r>
          </w:p>
        </w:tc>
      </w:tr>
      <w:tr w:rsidR="006F5BFE" w:rsidRPr="003B2277" w14:paraId="3E6970B1" w14:textId="77777777" w:rsidTr="005B4D60">
        <w:trPr>
          <w:jc w:val="center"/>
        </w:trPr>
        <w:tc>
          <w:tcPr>
            <w:tcW w:w="4876" w:type="dxa"/>
          </w:tcPr>
          <w:p w14:paraId="51D6D15E" w14:textId="77777777" w:rsidR="006F5BFE" w:rsidRPr="003B2277" w:rsidRDefault="006F5BFE" w:rsidP="005B4D60">
            <w:pPr>
              <w:spacing w:after="120"/>
              <w:rPr>
                <w:lang w:eastAsia="en-US"/>
              </w:rPr>
            </w:pPr>
            <w:r w:rsidRPr="003B2277">
              <w:rPr>
                <w:rFonts w:eastAsia="Calibri" w:cs="Mangal"/>
                <w:lang w:eastAsia="en-US"/>
              </w:rPr>
              <w:t>(e) bi lahko povzročili diskriminacijo ali izključili konkurenco za znaten delež zadevnih proizvodov.</w:t>
            </w:r>
          </w:p>
        </w:tc>
        <w:tc>
          <w:tcPr>
            <w:tcW w:w="4876" w:type="dxa"/>
            <w:hideMark/>
          </w:tcPr>
          <w:p w14:paraId="392AEA40" w14:textId="77777777" w:rsidR="006F5BFE" w:rsidRPr="003B2277" w:rsidRDefault="006F5BFE" w:rsidP="005B4D60">
            <w:pPr>
              <w:spacing w:after="120"/>
              <w:rPr>
                <w:szCs w:val="24"/>
                <w:lang w:eastAsia="en-US"/>
              </w:rPr>
            </w:pPr>
            <w:r w:rsidRPr="003B2277">
              <w:rPr>
                <w:rFonts w:eastAsia="Calibri" w:cs="Mangal"/>
                <w:lang w:eastAsia="en-US"/>
              </w:rPr>
              <w:t>(e) bi lahko povzročili diskriminacijo ali izključili konkurenco za znaten delež zadevnih proizvodov.</w:t>
            </w:r>
          </w:p>
        </w:tc>
      </w:tr>
      <w:tr w:rsidR="006F5BFE" w:rsidRPr="003B2277" w14:paraId="76916CA2" w14:textId="77777777" w:rsidTr="005B4D60">
        <w:trPr>
          <w:jc w:val="center"/>
        </w:trPr>
        <w:tc>
          <w:tcPr>
            <w:tcW w:w="4876" w:type="dxa"/>
          </w:tcPr>
          <w:p w14:paraId="6E150F2A"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 xml:space="preserve">Če Komisija po poteku dvomesečnega obdobja iz točke (b) prvega pododstavka odstavka 2 ugotovi, da pogoji </w:t>
            </w:r>
            <w:r w:rsidRPr="003B2277">
              <w:rPr>
                <w:rFonts w:eastAsia="Calibri" w:cs="Mangal"/>
                <w:b/>
                <w:i/>
                <w:lang w:eastAsia="en-US"/>
              </w:rPr>
              <w:t>za uporabo odstavka 1</w:t>
            </w:r>
            <w:r w:rsidRPr="003B2277">
              <w:rPr>
                <w:rFonts w:eastAsia="Calibri" w:cs="Mangal"/>
                <w:lang w:eastAsia="en-US"/>
              </w:rPr>
              <w:t xml:space="preserve"> niso izpolnjeni, brez uporabe postopka iz člena 229(2) ali (3) sprejme sklep, ki določa, da za zadevni sporazum, odločitev ali usklajeno ravnanje velja člen 101(1) PDEU.</w:t>
            </w:r>
          </w:p>
        </w:tc>
        <w:tc>
          <w:tcPr>
            <w:tcW w:w="4876" w:type="dxa"/>
            <w:hideMark/>
          </w:tcPr>
          <w:p w14:paraId="38F3A86F"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 xml:space="preserve">Če Komisija </w:t>
            </w:r>
            <w:r w:rsidRPr="003B2277">
              <w:rPr>
                <w:rFonts w:eastAsia="Calibri" w:cs="Mangal"/>
                <w:b/>
                <w:i/>
                <w:lang w:eastAsia="en-US"/>
              </w:rPr>
              <w:t xml:space="preserve">ugotovi, da pogoji za uporabo odstavka 1 niso izpolnjeni, ali </w:t>
            </w:r>
            <w:r w:rsidRPr="003B2277">
              <w:rPr>
                <w:rFonts w:eastAsia="Calibri" w:cs="Mangal"/>
                <w:lang w:eastAsia="en-US"/>
              </w:rPr>
              <w:t xml:space="preserve">po poteku dvomesečnega obdobja iz točke (b) prvega pododstavka odstavka 2 ugotovi, da pogoji </w:t>
            </w:r>
            <w:r w:rsidRPr="003B2277">
              <w:rPr>
                <w:rFonts w:eastAsia="Calibri" w:cs="Mangal"/>
                <w:b/>
                <w:i/>
                <w:lang w:eastAsia="en-US"/>
              </w:rPr>
              <w:t>iz odstavka 2 niso ali</w:t>
            </w:r>
            <w:r w:rsidRPr="003B2277">
              <w:rPr>
                <w:rFonts w:eastAsia="Calibri" w:cs="Mangal"/>
                <w:lang w:eastAsia="en-US"/>
              </w:rPr>
              <w:t xml:space="preserve"> niso</w:t>
            </w:r>
            <w:r w:rsidRPr="003B2277">
              <w:rPr>
                <w:rFonts w:eastAsia="Calibri" w:cs="Mangal"/>
                <w:b/>
                <w:i/>
                <w:lang w:eastAsia="en-US"/>
              </w:rPr>
              <w:t xml:space="preserve"> več</w:t>
            </w:r>
            <w:r w:rsidRPr="003B2277">
              <w:rPr>
                <w:rFonts w:eastAsia="Calibri" w:cs="Mangal"/>
                <w:lang w:eastAsia="en-US"/>
              </w:rPr>
              <w:t xml:space="preserve"> izpolnjeni, brez uporabe postopka iz člena 229(2) ali (3) sprejme sklep, ki določa, da</w:t>
            </w:r>
            <w:r w:rsidRPr="003B2277">
              <w:rPr>
                <w:rFonts w:eastAsia="Calibri" w:cs="Mangal"/>
                <w:b/>
                <w:i/>
                <w:lang w:eastAsia="en-US"/>
              </w:rPr>
              <w:t xml:space="preserve"> v prihodnosti</w:t>
            </w:r>
            <w:r w:rsidRPr="003B2277">
              <w:rPr>
                <w:rFonts w:eastAsia="Calibri" w:cs="Mangal"/>
                <w:lang w:eastAsia="en-US"/>
              </w:rPr>
              <w:t xml:space="preserve"> za zadevni sporazum, odločitev ali usklajeno ravnanje velja člen 101(1) PDEU.</w:t>
            </w:r>
          </w:p>
        </w:tc>
      </w:tr>
      <w:tr w:rsidR="006F5BFE" w:rsidRPr="003B2277" w14:paraId="314940C1" w14:textId="77777777" w:rsidTr="005B4D60">
        <w:trPr>
          <w:jc w:val="center"/>
        </w:trPr>
        <w:tc>
          <w:tcPr>
            <w:tcW w:w="4876" w:type="dxa"/>
          </w:tcPr>
          <w:p w14:paraId="4401798A" w14:textId="77777777" w:rsidR="006F5BFE" w:rsidRPr="003B2277" w:rsidRDefault="006F5BFE" w:rsidP="005B4D60">
            <w:pPr>
              <w:spacing w:after="120"/>
              <w:rPr>
                <w:lang w:eastAsia="en-US"/>
              </w:rPr>
            </w:pPr>
            <w:r w:rsidRPr="003B2277">
              <w:rPr>
                <w:rFonts w:eastAsia="Calibri" w:cs="Mangal"/>
                <w:lang w:eastAsia="en-US"/>
              </w:rPr>
              <w:t>Ta sklep Komisije se ne začne uporabljati, preden o njem ni uradno obveščena zadevna medpanožna organizacija, razen če ta predloži napačne informacije ali zlorabi izjemo iz odstavka 1.</w:t>
            </w:r>
          </w:p>
        </w:tc>
        <w:tc>
          <w:tcPr>
            <w:tcW w:w="4876" w:type="dxa"/>
            <w:hideMark/>
          </w:tcPr>
          <w:p w14:paraId="07A07230" w14:textId="77777777" w:rsidR="006F5BFE" w:rsidRPr="003B2277" w:rsidRDefault="006F5BFE" w:rsidP="005B4D60">
            <w:pPr>
              <w:spacing w:after="120"/>
              <w:rPr>
                <w:szCs w:val="24"/>
                <w:lang w:eastAsia="en-US"/>
              </w:rPr>
            </w:pPr>
            <w:r w:rsidRPr="003B2277">
              <w:rPr>
                <w:rFonts w:eastAsia="Calibri" w:cs="Mangal"/>
                <w:lang w:eastAsia="en-US"/>
              </w:rPr>
              <w:t>Ta sklep Komisije se ne začne uporabljati, preden o njem ni uradno obveščena zadevna medpanožna organizacija, razen če ta predloži napačne informacije ali zlorabi izjemo iz odstavka 1</w:t>
            </w:r>
            <w:r w:rsidRPr="003B2277">
              <w:rPr>
                <w:rFonts w:eastAsia="Calibri" w:cs="Mangal"/>
                <w:b/>
                <w:i/>
                <w:lang w:eastAsia="en-US"/>
              </w:rPr>
              <w:t xml:space="preserve"> ali 2</w:t>
            </w:r>
            <w:r w:rsidRPr="003B2277">
              <w:rPr>
                <w:rFonts w:eastAsia="Calibri" w:cs="Mangal"/>
                <w:lang w:eastAsia="en-US"/>
              </w:rPr>
              <w:t>.</w:t>
            </w:r>
          </w:p>
        </w:tc>
      </w:tr>
      <w:tr w:rsidR="006F5BFE" w:rsidRPr="003B2277" w14:paraId="25C95FD9" w14:textId="77777777" w:rsidTr="005B4D60">
        <w:trPr>
          <w:jc w:val="center"/>
        </w:trPr>
        <w:tc>
          <w:tcPr>
            <w:tcW w:w="4876" w:type="dxa"/>
          </w:tcPr>
          <w:p w14:paraId="6245F11F" w14:textId="77777777"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V primeru večletnih sporazumov je uradno obvestilo za prvo leto veljavno tudi za naslednja leta sporazuma. Vendar lahko Komisija v tem primeru kadar koli na lastno pobudo ali na zahtevo druge države članice izda ugotovitev o nezdružljivosti.</w:t>
            </w:r>
          </w:p>
        </w:tc>
        <w:tc>
          <w:tcPr>
            <w:tcW w:w="4876" w:type="dxa"/>
            <w:hideMark/>
          </w:tcPr>
          <w:p w14:paraId="30401744" w14:textId="77777777"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V primeru večletnih sporazumov je uradno obvestilo za prvo leto veljavno tudi za naslednja leta sporazuma. Vendar lahko Komisija v tem primeru kadar koli na lastno pobudo ali na zahtevo druge države članice izda ugotovitev o nezdružljivosti.</w:t>
            </w:r>
          </w:p>
        </w:tc>
      </w:tr>
      <w:tr w:rsidR="006F5BFE" w:rsidRPr="003B2277" w14:paraId="2559FFE8" w14:textId="77777777" w:rsidTr="005B4D60">
        <w:trPr>
          <w:jc w:val="center"/>
        </w:trPr>
        <w:tc>
          <w:tcPr>
            <w:tcW w:w="4876" w:type="dxa"/>
          </w:tcPr>
          <w:p w14:paraId="396EE0FF" w14:textId="77777777" w:rsidR="006F5BFE" w:rsidRPr="003B2277" w:rsidRDefault="006F5BFE" w:rsidP="005B4D60">
            <w:pPr>
              <w:spacing w:after="120"/>
              <w:rPr>
                <w:lang w:eastAsia="en-US"/>
              </w:rPr>
            </w:pPr>
            <w:r w:rsidRPr="003B2277">
              <w:rPr>
                <w:rFonts w:eastAsia="Calibri" w:cs="Mangal"/>
                <w:lang w:eastAsia="en-US"/>
              </w:rPr>
              <w:t>7.</w:t>
            </w:r>
            <w:r w:rsidRPr="003B2277">
              <w:rPr>
                <w:rFonts w:eastAsia="Calibri" w:cs="Mangal"/>
                <w:lang w:eastAsia="en-US"/>
              </w:rPr>
              <w:tab/>
              <w:t>Komisija lahko sprejme izvedbene akte, s katerimi določi ukrepe, potrebne za enotno uporabo tega člena. Ti izvedbeni akti se sprejmejo v skladu s postopkom pregleda iz člena 229(2).</w:t>
            </w:r>
          </w:p>
        </w:tc>
        <w:tc>
          <w:tcPr>
            <w:tcW w:w="4876" w:type="dxa"/>
            <w:hideMark/>
          </w:tcPr>
          <w:p w14:paraId="6DBA7651" w14:textId="77777777" w:rsidR="006F5BFE" w:rsidRPr="003B2277" w:rsidRDefault="006F5BFE" w:rsidP="005B4D60">
            <w:pPr>
              <w:spacing w:after="120"/>
              <w:rPr>
                <w:szCs w:val="24"/>
                <w:lang w:eastAsia="en-US"/>
              </w:rPr>
            </w:pPr>
            <w:r w:rsidRPr="003B2277">
              <w:rPr>
                <w:rFonts w:eastAsia="Calibri" w:cs="Mangal"/>
                <w:lang w:eastAsia="en-US"/>
              </w:rPr>
              <w:t>7.</w:t>
            </w:r>
            <w:r w:rsidRPr="003B2277">
              <w:rPr>
                <w:rFonts w:eastAsia="Calibri" w:cs="Mangal"/>
                <w:lang w:eastAsia="en-US"/>
              </w:rPr>
              <w:tab/>
              <w:t>Komisija lahko sprejme izvedbene akte, s katerimi določi ukrepe, potrebne za enotno uporabo tega člena. Ti izvedbeni akti se sprejmejo v skladu s postopkom pregleda iz člena 229(2).</w:t>
            </w:r>
            <w:r w:rsidRPr="003B2277">
              <w:rPr>
                <w:rFonts w:eastAsia="Calibri" w:cs="Mangal"/>
                <w:b/>
                <w:i/>
                <w:lang w:eastAsia="en-US"/>
              </w:rPr>
              <w:t>“</w:t>
            </w:r>
          </w:p>
        </w:tc>
      </w:tr>
    </w:tbl>
    <w:p w14:paraId="107F2DCD" w14:textId="77777777" w:rsidR="006F5BFE" w:rsidRPr="003B2277" w:rsidRDefault="006F5BFE" w:rsidP="00FD1F1B">
      <w:pPr>
        <w:spacing w:before="240"/>
        <w:jc w:val="center"/>
        <w:rPr>
          <w:lang w:eastAsia="en-US"/>
        </w:rPr>
      </w:pPr>
    </w:p>
    <w:p w14:paraId="7A0CD714" w14:textId="206C067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144</w:t>
      </w:r>
    </w:p>
    <w:p w14:paraId="59A410A7" w14:textId="77777777" w:rsidR="006F5BFE" w:rsidRPr="003B2277" w:rsidRDefault="006F5BFE" w:rsidP="006F5BFE"/>
    <w:p w14:paraId="061FB036" w14:textId="77777777" w:rsidR="006F5BFE" w:rsidRPr="003B2277" w:rsidRDefault="006F5BFE" w:rsidP="006F5BFE">
      <w:pPr>
        <w:keepNext/>
        <w:rPr>
          <w:b/>
          <w:lang w:eastAsia="en-US"/>
        </w:rPr>
      </w:pPr>
      <w:r w:rsidRPr="003B2277">
        <w:rPr>
          <w:rFonts w:eastAsia="Calibri" w:cs="Mangal"/>
          <w:b/>
          <w:lang w:eastAsia="en-US"/>
        </w:rPr>
        <w:t>Predlog uredbe</w:t>
      </w:r>
    </w:p>
    <w:p w14:paraId="08B7BD6B" w14:textId="5C936898"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f</w:t>
      </w:r>
      <w:r w:rsidRPr="003B2277">
        <w:rPr>
          <w:rFonts w:eastAsia="Calibri" w:cs="Mangal"/>
          <w:b/>
          <w:lang w:eastAsia="en-US"/>
        </w:rPr>
        <w:t xml:space="preserve"> (novo)</w:t>
      </w:r>
    </w:p>
    <w:p w14:paraId="0BEA7563" w14:textId="77777777" w:rsidR="006F5BFE" w:rsidRPr="003B2277" w:rsidRDefault="006F5BFE" w:rsidP="006F5BFE">
      <w:pPr>
        <w:keepNext/>
        <w:rPr>
          <w:lang w:eastAsia="en-US"/>
        </w:rPr>
      </w:pPr>
      <w:r w:rsidRPr="003B2277">
        <w:rPr>
          <w:rFonts w:eastAsia="Calibri" w:cs="Mangal"/>
          <w:lang w:eastAsia="en-US"/>
        </w:rPr>
        <w:t>Uredba (EU) št. 1308/2013</w:t>
      </w:r>
    </w:p>
    <w:p w14:paraId="3CA5FD54" w14:textId="77777777" w:rsidR="006F5BFE" w:rsidRPr="003B2277" w:rsidRDefault="006F5BFE" w:rsidP="006F5BFE">
      <w:pPr>
        <w:rPr>
          <w:lang w:eastAsia="en-US"/>
        </w:rPr>
      </w:pPr>
      <w:r w:rsidRPr="003B2277">
        <w:rPr>
          <w:rFonts w:eastAsia="Calibri" w:cs="Mangal"/>
          <w:lang w:eastAsia="en-US"/>
        </w:rPr>
        <w:t>Člen 210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714C9BB" w14:textId="77777777" w:rsidTr="005B4D60">
        <w:trPr>
          <w:jc w:val="center"/>
        </w:trPr>
        <w:tc>
          <w:tcPr>
            <w:tcW w:w="9752" w:type="dxa"/>
            <w:gridSpan w:val="2"/>
          </w:tcPr>
          <w:p w14:paraId="46F4595B" w14:textId="77777777" w:rsidR="006F5BFE" w:rsidRPr="003B2277" w:rsidRDefault="006F5BFE" w:rsidP="005B4D60">
            <w:pPr>
              <w:keepNext/>
            </w:pPr>
          </w:p>
        </w:tc>
      </w:tr>
      <w:tr w:rsidR="006F5BFE" w:rsidRPr="003B2277" w14:paraId="3EA4DEFE" w14:textId="77777777" w:rsidTr="005B4D60">
        <w:trPr>
          <w:jc w:val="center"/>
        </w:trPr>
        <w:tc>
          <w:tcPr>
            <w:tcW w:w="4876" w:type="dxa"/>
            <w:hideMark/>
          </w:tcPr>
          <w:p w14:paraId="638BE45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8C31262" w14:textId="6B4009B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40E96DF" w14:textId="77777777" w:rsidTr="005B4D60">
        <w:trPr>
          <w:jc w:val="center"/>
        </w:trPr>
        <w:tc>
          <w:tcPr>
            <w:tcW w:w="4876" w:type="dxa"/>
          </w:tcPr>
          <w:p w14:paraId="560B8240" w14:textId="77777777" w:rsidR="006F5BFE" w:rsidRPr="003B2277" w:rsidRDefault="006F5BFE" w:rsidP="005B4D60">
            <w:pPr>
              <w:spacing w:after="120"/>
            </w:pPr>
          </w:p>
        </w:tc>
        <w:tc>
          <w:tcPr>
            <w:tcW w:w="4876" w:type="dxa"/>
            <w:hideMark/>
          </w:tcPr>
          <w:p w14:paraId="1290B223" w14:textId="1E207799" w:rsidR="006F5BFE" w:rsidRPr="003B2277" w:rsidRDefault="006F5BFE" w:rsidP="00465DEA">
            <w:pPr>
              <w:spacing w:after="120"/>
              <w:rPr>
                <w:szCs w:val="24"/>
                <w:lang w:eastAsia="en-US"/>
              </w:rPr>
            </w:pPr>
            <w:r w:rsidRPr="003B2277">
              <w:rPr>
                <w:rFonts w:eastAsia="Calibri" w:cs="Mangal"/>
                <w:b/>
                <w:i/>
                <w:lang w:eastAsia="en-US"/>
              </w:rPr>
              <w:t>(26</w:t>
            </w:r>
            <w:r w:rsidR="00465DEA">
              <w:rPr>
                <w:rFonts w:eastAsia="Calibri" w:cs="Mangal"/>
                <w:b/>
                <w:i/>
                <w:lang w:eastAsia="en-US"/>
              </w:rPr>
              <w:t>f</w:t>
            </w:r>
            <w:r w:rsidRPr="003B2277">
              <w:rPr>
                <w:rFonts w:eastAsia="Calibri" w:cs="Mangal"/>
                <w:b/>
                <w:i/>
                <w:lang w:eastAsia="en-US"/>
              </w:rPr>
              <w:t>)</w:t>
            </w:r>
            <w:r w:rsidRPr="003B2277">
              <w:rPr>
                <w:rFonts w:eastAsia="Calibri" w:cs="Mangal"/>
                <w:b/>
                <w:i/>
                <w:lang w:eastAsia="en-US"/>
              </w:rPr>
              <w:tab/>
              <w:t>vstavi se naslednji člen:</w:t>
            </w:r>
          </w:p>
        </w:tc>
      </w:tr>
      <w:tr w:rsidR="006F5BFE" w:rsidRPr="003B2277" w14:paraId="02B5522A" w14:textId="77777777" w:rsidTr="005B4D60">
        <w:trPr>
          <w:jc w:val="center"/>
        </w:trPr>
        <w:tc>
          <w:tcPr>
            <w:tcW w:w="4876" w:type="dxa"/>
          </w:tcPr>
          <w:p w14:paraId="4EBEBEA7" w14:textId="77777777" w:rsidR="006F5BFE" w:rsidRPr="003B2277" w:rsidRDefault="006F5BFE" w:rsidP="005B4D60">
            <w:pPr>
              <w:spacing w:after="120"/>
            </w:pPr>
          </w:p>
        </w:tc>
        <w:tc>
          <w:tcPr>
            <w:tcW w:w="4876" w:type="dxa"/>
            <w:hideMark/>
          </w:tcPr>
          <w:p w14:paraId="06A4FE1D" w14:textId="77777777" w:rsidR="006F5BFE" w:rsidRPr="003B2277" w:rsidRDefault="006F5BFE" w:rsidP="005B4D60">
            <w:pPr>
              <w:spacing w:after="120"/>
              <w:rPr>
                <w:szCs w:val="24"/>
                <w:lang w:eastAsia="en-US"/>
              </w:rPr>
            </w:pPr>
            <w:r w:rsidRPr="003B2277">
              <w:rPr>
                <w:rFonts w:eastAsia="Calibri" w:cs="Mangal"/>
                <w:b/>
                <w:i/>
                <w:lang w:eastAsia="en-US"/>
              </w:rPr>
              <w:t>„Člen 210a</w:t>
            </w:r>
          </w:p>
        </w:tc>
      </w:tr>
      <w:tr w:rsidR="006F5BFE" w:rsidRPr="003B2277" w14:paraId="4EDBE510" w14:textId="77777777" w:rsidTr="005B4D60">
        <w:trPr>
          <w:jc w:val="center"/>
        </w:trPr>
        <w:tc>
          <w:tcPr>
            <w:tcW w:w="4876" w:type="dxa"/>
          </w:tcPr>
          <w:p w14:paraId="011DCE82" w14:textId="77777777" w:rsidR="006F5BFE" w:rsidRPr="003B2277" w:rsidRDefault="006F5BFE" w:rsidP="005B4D60">
            <w:pPr>
              <w:spacing w:after="120"/>
            </w:pPr>
          </w:p>
        </w:tc>
        <w:tc>
          <w:tcPr>
            <w:tcW w:w="4876" w:type="dxa"/>
            <w:hideMark/>
          </w:tcPr>
          <w:p w14:paraId="6F87FC03" w14:textId="77777777" w:rsidR="006F5BFE" w:rsidRPr="003B2277" w:rsidRDefault="006F5BFE" w:rsidP="005B4D60">
            <w:pPr>
              <w:spacing w:after="120"/>
              <w:rPr>
                <w:szCs w:val="24"/>
                <w:lang w:eastAsia="en-US"/>
              </w:rPr>
            </w:pPr>
            <w:r w:rsidRPr="003B2277">
              <w:rPr>
                <w:rFonts w:eastAsia="Calibri" w:cs="Mangal"/>
                <w:b/>
                <w:i/>
                <w:lang w:eastAsia="en-US"/>
              </w:rPr>
              <w:t>Vertikalne pobude za trajnost</w:t>
            </w:r>
          </w:p>
        </w:tc>
      </w:tr>
      <w:tr w:rsidR="006F5BFE" w:rsidRPr="003B2277" w14:paraId="476FE6F5" w14:textId="77777777" w:rsidTr="005B4D60">
        <w:trPr>
          <w:jc w:val="center"/>
        </w:trPr>
        <w:tc>
          <w:tcPr>
            <w:tcW w:w="4876" w:type="dxa"/>
          </w:tcPr>
          <w:p w14:paraId="64EF65B6" w14:textId="77777777" w:rsidR="006F5BFE" w:rsidRPr="003B2277" w:rsidRDefault="006F5BFE" w:rsidP="005B4D60">
            <w:pPr>
              <w:spacing w:after="120"/>
            </w:pPr>
          </w:p>
        </w:tc>
        <w:tc>
          <w:tcPr>
            <w:tcW w:w="4876" w:type="dxa"/>
            <w:hideMark/>
          </w:tcPr>
          <w:p w14:paraId="4F1DDB39"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Člen 101(1) PDEU se ne uporablja za vertikalne sporazume, odločitve in usklajena ravnanja, povezane s proizvodi iz člena 1(2), za katere si proizvajalci prizadevajo doseči standarde, povezane z okoljem, zdravjem živali ali dobrobitjo živali, ki so višji od obveznih standardov, določenih v evropski ali nacionalni zakonodaji, če njihove koristi za javni interes presegajo slabosti za potrošnike in če so določene samo omejitve, ki so nujne za doseganje njihovega cilja.</w:t>
            </w:r>
          </w:p>
        </w:tc>
      </w:tr>
      <w:tr w:rsidR="006F5BFE" w:rsidRPr="003B2277" w14:paraId="53F1BB45" w14:textId="77777777" w:rsidTr="005B4D60">
        <w:trPr>
          <w:jc w:val="center"/>
        </w:trPr>
        <w:tc>
          <w:tcPr>
            <w:tcW w:w="4876" w:type="dxa"/>
          </w:tcPr>
          <w:p w14:paraId="2AFC2942" w14:textId="77777777" w:rsidR="006F5BFE" w:rsidRPr="003B2277" w:rsidRDefault="006F5BFE" w:rsidP="005B4D60">
            <w:pPr>
              <w:spacing w:after="120"/>
            </w:pPr>
          </w:p>
        </w:tc>
        <w:tc>
          <w:tcPr>
            <w:tcW w:w="4876" w:type="dxa"/>
            <w:hideMark/>
          </w:tcPr>
          <w:p w14:paraId="26C7A42B"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Člen 101(1) PDEU se ne uporablja za sporazume, odločitve in usklajena ravnanja iz odstavka 1, če:</w:t>
            </w:r>
          </w:p>
        </w:tc>
      </w:tr>
      <w:tr w:rsidR="006F5BFE" w:rsidRPr="003B2277" w14:paraId="6DC1771E" w14:textId="77777777" w:rsidTr="005B4D60">
        <w:trPr>
          <w:jc w:val="center"/>
        </w:trPr>
        <w:tc>
          <w:tcPr>
            <w:tcW w:w="4876" w:type="dxa"/>
          </w:tcPr>
          <w:p w14:paraId="7BAA2200" w14:textId="77777777" w:rsidR="006F5BFE" w:rsidRPr="003B2277" w:rsidRDefault="006F5BFE" w:rsidP="005B4D60">
            <w:pPr>
              <w:spacing w:after="120"/>
            </w:pPr>
          </w:p>
        </w:tc>
        <w:tc>
          <w:tcPr>
            <w:tcW w:w="4876" w:type="dxa"/>
            <w:hideMark/>
          </w:tcPr>
          <w:p w14:paraId="48E75555" w14:textId="77777777" w:rsidR="006F5BFE" w:rsidRPr="003B2277" w:rsidRDefault="006F5BFE" w:rsidP="005B4D60">
            <w:pPr>
              <w:spacing w:after="120"/>
              <w:rPr>
                <w:szCs w:val="24"/>
                <w:lang w:eastAsia="en-US"/>
              </w:rPr>
            </w:pPr>
            <w:r w:rsidRPr="003B2277">
              <w:rPr>
                <w:rFonts w:eastAsia="Calibri" w:cs="Mangal"/>
                <w:b/>
                <w:i/>
                <w:lang w:eastAsia="en-US"/>
              </w:rPr>
              <w:t>(a) je bila Komisija o sporazumih, sklepih in usklajenih ravnanjih iz teh sporazumov uradno obveščena ter</w:t>
            </w:r>
          </w:p>
        </w:tc>
      </w:tr>
      <w:tr w:rsidR="006F5BFE" w:rsidRPr="003B2277" w14:paraId="52C79050" w14:textId="77777777" w:rsidTr="005B4D60">
        <w:trPr>
          <w:jc w:val="center"/>
        </w:trPr>
        <w:tc>
          <w:tcPr>
            <w:tcW w:w="4876" w:type="dxa"/>
          </w:tcPr>
          <w:p w14:paraId="3203A08D" w14:textId="77777777" w:rsidR="006F5BFE" w:rsidRPr="003B2277" w:rsidRDefault="006F5BFE" w:rsidP="005B4D60">
            <w:pPr>
              <w:spacing w:after="120"/>
            </w:pPr>
          </w:p>
        </w:tc>
        <w:tc>
          <w:tcPr>
            <w:tcW w:w="4876" w:type="dxa"/>
            <w:hideMark/>
          </w:tcPr>
          <w:p w14:paraId="5033155E" w14:textId="77777777" w:rsidR="006F5BFE" w:rsidRPr="003B2277" w:rsidRDefault="006F5BFE" w:rsidP="005B4D60">
            <w:pPr>
              <w:spacing w:after="120"/>
              <w:rPr>
                <w:szCs w:val="24"/>
                <w:lang w:eastAsia="en-US"/>
              </w:rPr>
            </w:pPr>
            <w:r w:rsidRPr="003B2277">
              <w:rPr>
                <w:rFonts w:eastAsia="Calibri" w:cs="Mangal"/>
                <w:b/>
                <w:i/>
                <w:lang w:eastAsia="en-US"/>
              </w:rPr>
              <w:t>(b) Komisija v dveh mesecih po prejemu vseh zahtevanih podatkov ni ugotovila, da ti sporazumi, odločitve in usklajena ravnanja niso združljivi s pravili Unije.</w:t>
            </w:r>
          </w:p>
        </w:tc>
      </w:tr>
      <w:tr w:rsidR="006F5BFE" w:rsidRPr="003B2277" w14:paraId="1C30E6B8" w14:textId="77777777" w:rsidTr="005B4D60">
        <w:trPr>
          <w:jc w:val="center"/>
        </w:trPr>
        <w:tc>
          <w:tcPr>
            <w:tcW w:w="4876" w:type="dxa"/>
          </w:tcPr>
          <w:p w14:paraId="4CF82CBF" w14:textId="77777777" w:rsidR="006F5BFE" w:rsidRPr="003B2277" w:rsidRDefault="006F5BFE" w:rsidP="005B4D60">
            <w:pPr>
              <w:spacing w:after="120"/>
            </w:pPr>
          </w:p>
        </w:tc>
        <w:tc>
          <w:tcPr>
            <w:tcW w:w="4876" w:type="dxa"/>
            <w:hideMark/>
          </w:tcPr>
          <w:p w14:paraId="67D97380" w14:textId="77777777" w:rsidR="006F5BFE" w:rsidRPr="003B2277" w:rsidRDefault="006F5BFE" w:rsidP="005B4D60">
            <w:pPr>
              <w:spacing w:after="120"/>
              <w:rPr>
                <w:szCs w:val="24"/>
                <w:lang w:eastAsia="en-US"/>
              </w:rPr>
            </w:pPr>
            <w:r w:rsidRPr="003B2277">
              <w:rPr>
                <w:rFonts w:eastAsia="Calibri" w:cs="Mangal"/>
                <w:b/>
                <w:i/>
                <w:lang w:eastAsia="en-US"/>
              </w:rPr>
              <w:t>Kadar Komisija ugotovi, da sporazumi, sklepi in usklajena ravnanja iz odstavka 1 niso združljivi s predpisi Unije, svojo ugotovitev objavi brez uporabe postopka iz člena 229(2) ali (3).“</w:t>
            </w:r>
          </w:p>
        </w:tc>
      </w:tr>
    </w:tbl>
    <w:p w14:paraId="1B0FE5EE" w14:textId="77777777" w:rsidR="006F5BFE" w:rsidRPr="003B2277" w:rsidRDefault="006F5BFE" w:rsidP="006F5BFE">
      <w:pPr>
        <w:rPr>
          <w:lang w:eastAsia="en-US"/>
        </w:rPr>
      </w:pPr>
    </w:p>
    <w:p w14:paraId="4BF4A112" w14:textId="12C0DA0B"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145</w:t>
      </w:r>
    </w:p>
    <w:p w14:paraId="02D3FF91" w14:textId="77777777" w:rsidR="006F5BFE" w:rsidRPr="003B2277" w:rsidRDefault="006F5BFE" w:rsidP="006F5BFE"/>
    <w:p w14:paraId="1A0010DB" w14:textId="77777777" w:rsidR="006F5BFE" w:rsidRPr="003B2277" w:rsidRDefault="006F5BFE" w:rsidP="006F5BFE">
      <w:pPr>
        <w:keepNext/>
        <w:rPr>
          <w:b/>
          <w:lang w:eastAsia="en-US"/>
        </w:rPr>
      </w:pPr>
      <w:r w:rsidRPr="003B2277">
        <w:rPr>
          <w:rFonts w:eastAsia="Calibri" w:cs="Mangal"/>
          <w:b/>
          <w:lang w:eastAsia="en-US"/>
        </w:rPr>
        <w:t>Predlog uredbe</w:t>
      </w:r>
    </w:p>
    <w:p w14:paraId="0F93575D" w14:textId="5E98DD08"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g</w:t>
      </w:r>
      <w:r w:rsidR="00465DEA" w:rsidRPr="003B2277">
        <w:rPr>
          <w:rFonts w:eastAsia="Calibri" w:cs="Mangal"/>
          <w:b/>
          <w:lang w:eastAsia="en-US"/>
        </w:rPr>
        <w:t xml:space="preserve"> </w:t>
      </w:r>
      <w:r w:rsidRPr="003B2277">
        <w:rPr>
          <w:rFonts w:eastAsia="Calibri" w:cs="Mangal"/>
          <w:b/>
          <w:lang w:eastAsia="en-US"/>
        </w:rPr>
        <w:t>(novo)</w:t>
      </w:r>
    </w:p>
    <w:p w14:paraId="228B3EF0" w14:textId="77777777" w:rsidR="006F5BFE" w:rsidRPr="003B2277" w:rsidRDefault="006F5BFE" w:rsidP="006F5BFE">
      <w:pPr>
        <w:keepNext/>
        <w:rPr>
          <w:lang w:eastAsia="en-US"/>
        </w:rPr>
      </w:pPr>
      <w:r w:rsidRPr="003B2277">
        <w:rPr>
          <w:rFonts w:eastAsia="Calibri" w:cs="Mangal"/>
          <w:lang w:eastAsia="en-US"/>
        </w:rPr>
        <w:t>Uredba (EU) št. 1308/2013</w:t>
      </w:r>
    </w:p>
    <w:p w14:paraId="52FA40D9" w14:textId="77777777" w:rsidR="006F5BFE" w:rsidRPr="003B2277" w:rsidRDefault="006F5BFE" w:rsidP="006F5BFE">
      <w:pPr>
        <w:rPr>
          <w:lang w:eastAsia="en-US"/>
        </w:rPr>
      </w:pPr>
      <w:r w:rsidRPr="003B2277">
        <w:rPr>
          <w:rFonts w:eastAsia="Calibri" w:cs="Mangal"/>
          <w:lang w:eastAsia="en-US"/>
        </w:rPr>
        <w:t xml:space="preserve">Člen 214a </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719CBB" w14:textId="77777777" w:rsidTr="005B4D60">
        <w:trPr>
          <w:jc w:val="center"/>
        </w:trPr>
        <w:tc>
          <w:tcPr>
            <w:tcW w:w="9752" w:type="dxa"/>
            <w:gridSpan w:val="2"/>
          </w:tcPr>
          <w:p w14:paraId="65969F7E" w14:textId="77777777" w:rsidR="006F5BFE" w:rsidRPr="003B2277" w:rsidRDefault="006F5BFE" w:rsidP="005B4D60">
            <w:pPr>
              <w:keepNext/>
            </w:pPr>
          </w:p>
        </w:tc>
      </w:tr>
      <w:tr w:rsidR="006F5BFE" w:rsidRPr="003B2277" w14:paraId="3E8C4E2E" w14:textId="77777777" w:rsidTr="005B4D60">
        <w:trPr>
          <w:jc w:val="center"/>
        </w:trPr>
        <w:tc>
          <w:tcPr>
            <w:tcW w:w="4876" w:type="dxa"/>
            <w:hideMark/>
          </w:tcPr>
          <w:p w14:paraId="4796AAB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A202730" w14:textId="0B798C86"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27B8774" w14:textId="77777777" w:rsidTr="005B4D60">
        <w:trPr>
          <w:jc w:val="center"/>
        </w:trPr>
        <w:tc>
          <w:tcPr>
            <w:tcW w:w="4876" w:type="dxa"/>
          </w:tcPr>
          <w:p w14:paraId="27A00A5D" w14:textId="77777777" w:rsidR="006F5BFE" w:rsidRPr="003B2277" w:rsidRDefault="006F5BFE" w:rsidP="005B4D60">
            <w:pPr>
              <w:spacing w:after="120"/>
            </w:pPr>
          </w:p>
        </w:tc>
        <w:tc>
          <w:tcPr>
            <w:tcW w:w="4876" w:type="dxa"/>
            <w:hideMark/>
          </w:tcPr>
          <w:p w14:paraId="41BA487C" w14:textId="29645B71" w:rsidR="006F5BFE" w:rsidRPr="003B2277" w:rsidRDefault="006F5BFE" w:rsidP="00465DEA">
            <w:pPr>
              <w:spacing w:after="120"/>
              <w:rPr>
                <w:szCs w:val="24"/>
                <w:lang w:eastAsia="en-US"/>
              </w:rPr>
            </w:pPr>
            <w:r w:rsidRPr="003B2277">
              <w:rPr>
                <w:rFonts w:eastAsia="Calibri" w:cs="Mangal"/>
                <w:b/>
                <w:i/>
                <w:lang w:eastAsia="en-US"/>
              </w:rPr>
              <w:t>(</w:t>
            </w:r>
            <w:r w:rsidR="00465DEA" w:rsidRPr="003B2277">
              <w:rPr>
                <w:rFonts w:eastAsia="Calibri" w:cs="Mangal"/>
                <w:b/>
                <w:i/>
                <w:lang w:eastAsia="en-US"/>
              </w:rPr>
              <w:t>26</w:t>
            </w:r>
            <w:r w:rsidR="00465DEA">
              <w:rPr>
                <w:rFonts w:eastAsia="Calibri" w:cs="Mangal"/>
                <w:b/>
                <w:i/>
                <w:lang w:eastAsia="en-US"/>
              </w:rPr>
              <w:t>g</w:t>
            </w:r>
            <w:r w:rsidRPr="003B2277">
              <w:rPr>
                <w:rFonts w:eastAsia="Calibri" w:cs="Mangal"/>
                <w:b/>
                <w:i/>
                <w:lang w:eastAsia="en-US"/>
              </w:rPr>
              <w:t>)</w:t>
            </w:r>
            <w:r w:rsidRPr="003B2277">
              <w:rPr>
                <w:rFonts w:eastAsia="Calibri" w:cs="Mangal"/>
                <w:b/>
                <w:i/>
                <w:lang w:eastAsia="en-US"/>
              </w:rPr>
              <w:tab/>
              <w:t>člen 214a se nadomesti z naslednjim:</w:t>
            </w:r>
          </w:p>
        </w:tc>
      </w:tr>
      <w:tr w:rsidR="006F5BFE" w:rsidRPr="003B2277" w14:paraId="6A28FC56" w14:textId="77777777" w:rsidTr="005B4D60">
        <w:trPr>
          <w:jc w:val="center"/>
        </w:trPr>
        <w:tc>
          <w:tcPr>
            <w:tcW w:w="4876" w:type="dxa"/>
          </w:tcPr>
          <w:p w14:paraId="78082EC6" w14:textId="77777777" w:rsidR="006F5BFE" w:rsidRPr="003B2277" w:rsidRDefault="006F5BFE" w:rsidP="005B4D60">
            <w:pPr>
              <w:spacing w:after="120"/>
              <w:rPr>
                <w:lang w:eastAsia="en-US"/>
              </w:rPr>
            </w:pPr>
            <w:r w:rsidRPr="003B2277">
              <w:rPr>
                <w:rFonts w:eastAsia="Calibri" w:cs="Mangal"/>
                <w:lang w:eastAsia="en-US"/>
              </w:rPr>
              <w:t>Člen 214a</w:t>
            </w:r>
          </w:p>
        </w:tc>
        <w:tc>
          <w:tcPr>
            <w:tcW w:w="4876" w:type="dxa"/>
            <w:hideMark/>
          </w:tcPr>
          <w:p w14:paraId="6CF766A0" w14:textId="5D91937D" w:rsidR="006F5BFE" w:rsidRPr="003B2277" w:rsidRDefault="00BC0233" w:rsidP="00BC0233">
            <w:pPr>
              <w:spacing w:after="120"/>
              <w:rPr>
                <w:szCs w:val="24"/>
                <w:lang w:eastAsia="en-US"/>
              </w:rPr>
            </w:pPr>
            <w:r w:rsidRPr="003B2277">
              <w:rPr>
                <w:rFonts w:eastAsia="Calibri" w:cs="Mangal"/>
                <w:lang w:eastAsia="en-US"/>
              </w:rPr>
              <w:t>Člen 214a</w:t>
            </w:r>
          </w:p>
        </w:tc>
      </w:tr>
      <w:tr w:rsidR="006F5BFE" w:rsidRPr="003B2277" w14:paraId="234C4EB1" w14:textId="77777777" w:rsidTr="005B4D60">
        <w:trPr>
          <w:jc w:val="center"/>
        </w:trPr>
        <w:tc>
          <w:tcPr>
            <w:tcW w:w="4876" w:type="dxa"/>
          </w:tcPr>
          <w:p w14:paraId="416564F4" w14:textId="77777777" w:rsidR="006F5BFE" w:rsidRPr="003B2277" w:rsidRDefault="006F5BFE" w:rsidP="005B4D60">
            <w:pPr>
              <w:spacing w:after="120"/>
              <w:rPr>
                <w:lang w:eastAsia="en-US"/>
              </w:rPr>
            </w:pPr>
            <w:r w:rsidRPr="003B2277">
              <w:rPr>
                <w:rFonts w:eastAsia="Calibri" w:cs="Mangal"/>
                <w:lang w:eastAsia="en-US"/>
              </w:rPr>
              <w:t>Nacionalna plačila za nekatere sektorje na Finskem</w:t>
            </w:r>
          </w:p>
        </w:tc>
        <w:tc>
          <w:tcPr>
            <w:tcW w:w="4876" w:type="dxa"/>
            <w:hideMark/>
          </w:tcPr>
          <w:p w14:paraId="69DECC30" w14:textId="77777777" w:rsidR="006F5BFE" w:rsidRPr="003B2277" w:rsidRDefault="006F5BFE" w:rsidP="005B4D60">
            <w:pPr>
              <w:spacing w:after="120"/>
              <w:rPr>
                <w:szCs w:val="24"/>
                <w:lang w:eastAsia="en-US"/>
              </w:rPr>
            </w:pPr>
            <w:r w:rsidRPr="003B2277">
              <w:rPr>
                <w:rFonts w:eastAsia="Calibri" w:cs="Mangal"/>
                <w:lang w:eastAsia="en-US"/>
              </w:rPr>
              <w:t>Nacionalna plačila za nekatere sektorje na Finskem</w:t>
            </w:r>
          </w:p>
        </w:tc>
      </w:tr>
      <w:tr w:rsidR="006F5BFE" w:rsidRPr="003B2277" w14:paraId="7FAB42A3" w14:textId="77777777" w:rsidTr="005B4D60">
        <w:trPr>
          <w:jc w:val="center"/>
        </w:trPr>
        <w:tc>
          <w:tcPr>
            <w:tcW w:w="4876" w:type="dxa"/>
          </w:tcPr>
          <w:p w14:paraId="41739C71" w14:textId="77777777" w:rsidR="006F5BFE" w:rsidRPr="003B2277" w:rsidRDefault="006F5BFE" w:rsidP="005B4D60">
            <w:pPr>
              <w:spacing w:after="120"/>
              <w:rPr>
                <w:lang w:eastAsia="en-US"/>
              </w:rPr>
            </w:pPr>
            <w:r w:rsidRPr="003B2277">
              <w:rPr>
                <w:rFonts w:eastAsia="Calibri" w:cs="Mangal"/>
                <w:lang w:eastAsia="en-US"/>
              </w:rPr>
              <w:t xml:space="preserve">Finska lahko na podlagi dovoljenja Komisije za obdobje </w:t>
            </w:r>
            <w:r w:rsidRPr="003B2277">
              <w:rPr>
                <w:rFonts w:eastAsia="Calibri" w:cs="Mangal"/>
                <w:b/>
                <w:i/>
                <w:lang w:eastAsia="en-US"/>
              </w:rPr>
              <w:t>2014</w:t>
            </w:r>
            <w:r w:rsidRPr="003B2277">
              <w:rPr>
                <w:rFonts w:eastAsia="Calibri" w:cs="Mangal"/>
                <w:lang w:eastAsia="en-US"/>
              </w:rPr>
              <w:t>–</w:t>
            </w:r>
            <w:r w:rsidRPr="003B2277">
              <w:rPr>
                <w:rFonts w:eastAsia="Calibri" w:cs="Mangal"/>
                <w:b/>
                <w:i/>
                <w:lang w:eastAsia="en-US"/>
              </w:rPr>
              <w:t>2020</w:t>
            </w:r>
            <w:r w:rsidRPr="003B2277">
              <w:rPr>
                <w:rFonts w:eastAsia="Calibri" w:cs="Mangal"/>
                <w:lang w:eastAsia="en-US"/>
              </w:rPr>
              <w:t xml:space="preserve"> še naprej odobri državne pomoči, ki jih je leta </w:t>
            </w:r>
            <w:r w:rsidRPr="003B2277">
              <w:rPr>
                <w:rFonts w:eastAsia="Calibri" w:cs="Mangal"/>
                <w:b/>
                <w:i/>
                <w:lang w:eastAsia="en-US"/>
              </w:rPr>
              <w:t>2013</w:t>
            </w:r>
            <w:r w:rsidRPr="003B2277">
              <w:rPr>
                <w:rFonts w:eastAsia="Calibri" w:cs="Mangal"/>
                <w:lang w:eastAsia="en-US"/>
              </w:rPr>
              <w:t xml:space="preserve"> odobrila proizvajalcem</w:t>
            </w:r>
            <w:r w:rsidRPr="003B2277">
              <w:rPr>
                <w:rFonts w:eastAsia="Calibri" w:cs="Mangal"/>
                <w:b/>
                <w:i/>
                <w:lang w:eastAsia="en-US"/>
              </w:rPr>
              <w:t xml:space="preserve"> na podlagi člena 141 Akta o pristopu iz leta 1994</w:t>
            </w:r>
            <w:r w:rsidRPr="003B2277">
              <w:rPr>
                <w:rFonts w:eastAsia="Calibri" w:cs="Mangal"/>
                <w:lang w:eastAsia="en-US"/>
              </w:rPr>
              <w:t>, pod pogojem, da:</w:t>
            </w:r>
          </w:p>
        </w:tc>
        <w:tc>
          <w:tcPr>
            <w:tcW w:w="4876" w:type="dxa"/>
            <w:hideMark/>
          </w:tcPr>
          <w:p w14:paraId="0B45611D" w14:textId="77777777" w:rsidR="006F5BFE" w:rsidRPr="003B2277" w:rsidRDefault="006F5BFE" w:rsidP="005B4D60">
            <w:pPr>
              <w:spacing w:after="120"/>
              <w:rPr>
                <w:szCs w:val="24"/>
                <w:lang w:eastAsia="en-US"/>
              </w:rPr>
            </w:pPr>
            <w:r w:rsidRPr="003B2277">
              <w:rPr>
                <w:rFonts w:eastAsia="Calibri" w:cs="Mangal"/>
                <w:lang w:eastAsia="en-US"/>
              </w:rPr>
              <w:t xml:space="preserve">Finska lahko na podlagi dovoljenja Komisije za obdobje </w:t>
            </w:r>
            <w:r w:rsidRPr="003B2277">
              <w:rPr>
                <w:rFonts w:eastAsia="Calibri" w:cs="Mangal"/>
                <w:b/>
                <w:i/>
                <w:lang w:eastAsia="en-US"/>
              </w:rPr>
              <w:t>2021</w:t>
            </w:r>
            <w:r w:rsidRPr="003B2277">
              <w:rPr>
                <w:rFonts w:eastAsia="Calibri" w:cs="Mangal"/>
                <w:lang w:eastAsia="en-US"/>
              </w:rPr>
              <w:t>–</w:t>
            </w:r>
            <w:r w:rsidRPr="003B2277">
              <w:rPr>
                <w:rFonts w:eastAsia="Calibri" w:cs="Mangal"/>
                <w:b/>
                <w:i/>
                <w:lang w:eastAsia="en-US"/>
              </w:rPr>
              <w:t>2027</w:t>
            </w:r>
            <w:r w:rsidRPr="003B2277">
              <w:rPr>
                <w:rFonts w:eastAsia="Calibri" w:cs="Mangal"/>
                <w:lang w:eastAsia="en-US"/>
              </w:rPr>
              <w:t xml:space="preserve"> še naprej odobri državne pomoči, ki jih je leta </w:t>
            </w:r>
            <w:r w:rsidRPr="003B2277">
              <w:rPr>
                <w:rFonts w:eastAsia="Calibri" w:cs="Mangal"/>
                <w:b/>
                <w:i/>
                <w:lang w:eastAsia="en-US"/>
              </w:rPr>
              <w:t>2020</w:t>
            </w:r>
            <w:r w:rsidRPr="003B2277">
              <w:rPr>
                <w:rFonts w:eastAsia="Calibri" w:cs="Mangal"/>
                <w:lang w:eastAsia="en-US"/>
              </w:rPr>
              <w:t xml:space="preserve"> odobrila proizvajalcem, pod pogojem, da:</w:t>
            </w:r>
          </w:p>
        </w:tc>
      </w:tr>
      <w:tr w:rsidR="006F5BFE" w:rsidRPr="003B2277" w14:paraId="5EB53F4B" w14:textId="77777777" w:rsidTr="005B4D60">
        <w:trPr>
          <w:jc w:val="center"/>
        </w:trPr>
        <w:tc>
          <w:tcPr>
            <w:tcW w:w="4876" w:type="dxa"/>
          </w:tcPr>
          <w:p w14:paraId="682874C1" w14:textId="77777777" w:rsidR="006F5BFE" w:rsidRPr="003B2277" w:rsidRDefault="006F5BFE" w:rsidP="005B4D60">
            <w:pPr>
              <w:spacing w:after="120"/>
              <w:rPr>
                <w:lang w:eastAsia="en-US"/>
              </w:rPr>
            </w:pPr>
            <w:r w:rsidRPr="003B2277">
              <w:rPr>
                <w:rFonts w:eastAsia="Calibri" w:cs="Mangal"/>
                <w:lang w:eastAsia="en-US"/>
              </w:rPr>
              <w:t>(a) se znesek dohodkovne pomoči v celotnem obdobju postopno znižuje in</w:t>
            </w:r>
            <w:r w:rsidRPr="003B2277">
              <w:rPr>
                <w:rFonts w:eastAsia="Calibri" w:cs="Mangal"/>
                <w:b/>
                <w:i/>
                <w:lang w:eastAsia="en-US"/>
              </w:rPr>
              <w:t xml:space="preserve"> v letu 2020 ne presega 30 % zneska, odobrenega leta 2013, ter</w:t>
            </w:r>
            <w:r w:rsidRPr="003B2277">
              <w:rPr>
                <w:rFonts w:eastAsia="Calibri" w:cs="Mangal"/>
                <w:lang w:eastAsia="en-US"/>
              </w:rPr>
              <w:t xml:space="preserve"> </w:t>
            </w:r>
          </w:p>
        </w:tc>
        <w:tc>
          <w:tcPr>
            <w:tcW w:w="4876" w:type="dxa"/>
            <w:hideMark/>
          </w:tcPr>
          <w:p w14:paraId="7313EE98" w14:textId="77777777" w:rsidR="006F5BFE" w:rsidRPr="003B2277" w:rsidRDefault="006F5BFE" w:rsidP="005B4D60">
            <w:pPr>
              <w:spacing w:after="120"/>
              <w:rPr>
                <w:szCs w:val="24"/>
                <w:lang w:eastAsia="en-US"/>
              </w:rPr>
            </w:pPr>
            <w:r w:rsidRPr="003B2277">
              <w:rPr>
                <w:rFonts w:eastAsia="Calibri" w:cs="Mangal"/>
                <w:lang w:eastAsia="en-US"/>
              </w:rPr>
              <w:t>(a) se</w:t>
            </w:r>
            <w:r w:rsidRPr="003B2277">
              <w:rPr>
                <w:rFonts w:eastAsia="Calibri" w:cs="Mangal"/>
                <w:b/>
                <w:i/>
                <w:lang w:eastAsia="en-US"/>
              </w:rPr>
              <w:t xml:space="preserve"> skupni</w:t>
            </w:r>
            <w:r w:rsidRPr="003B2277">
              <w:rPr>
                <w:rFonts w:eastAsia="Calibri" w:cs="Mangal"/>
                <w:lang w:eastAsia="en-US"/>
              </w:rPr>
              <w:t xml:space="preserve"> znesek dohodkovne pomoči v celotnem obdobju postopno znižuje in</w:t>
            </w:r>
          </w:p>
        </w:tc>
      </w:tr>
      <w:tr w:rsidR="006F5BFE" w:rsidRPr="003B2277" w14:paraId="4A2BA3C7" w14:textId="77777777" w:rsidTr="005B4D60">
        <w:trPr>
          <w:jc w:val="center"/>
        </w:trPr>
        <w:tc>
          <w:tcPr>
            <w:tcW w:w="4876" w:type="dxa"/>
          </w:tcPr>
          <w:p w14:paraId="6A4A06AC" w14:textId="77777777" w:rsidR="006F5BFE" w:rsidRPr="003B2277" w:rsidRDefault="006F5BFE" w:rsidP="005B4D60">
            <w:pPr>
              <w:spacing w:after="120"/>
              <w:rPr>
                <w:lang w:eastAsia="en-US"/>
              </w:rPr>
            </w:pPr>
            <w:r w:rsidRPr="003B2277">
              <w:rPr>
                <w:rFonts w:eastAsia="Calibri" w:cs="Mangal"/>
                <w:lang w:eastAsia="en-US"/>
              </w:rPr>
              <w:t>(b) so bile pred morebitno uporabo te možnosti za zadevne sektorje v celoti uporabljene sheme podpore v okviru SKP.</w:t>
            </w:r>
          </w:p>
        </w:tc>
        <w:tc>
          <w:tcPr>
            <w:tcW w:w="4876" w:type="dxa"/>
            <w:hideMark/>
          </w:tcPr>
          <w:p w14:paraId="34EED9F0" w14:textId="77777777" w:rsidR="006F5BFE" w:rsidRPr="003B2277" w:rsidRDefault="006F5BFE" w:rsidP="005B4D60">
            <w:pPr>
              <w:spacing w:after="120"/>
              <w:rPr>
                <w:szCs w:val="24"/>
                <w:lang w:eastAsia="en-US"/>
              </w:rPr>
            </w:pPr>
            <w:r w:rsidRPr="003B2277">
              <w:rPr>
                <w:rFonts w:eastAsia="Calibri" w:cs="Mangal"/>
                <w:lang w:eastAsia="en-US"/>
              </w:rPr>
              <w:t>(b) so bile pred morebitno uporabo te možnosti za zadevne sektorje v celoti uporabljene sheme podpore v okviru SKP.</w:t>
            </w:r>
          </w:p>
        </w:tc>
      </w:tr>
      <w:tr w:rsidR="006F5BFE" w:rsidRPr="003B2277" w14:paraId="2B908BA8" w14:textId="77777777" w:rsidTr="005B4D60">
        <w:trPr>
          <w:jc w:val="center"/>
        </w:trPr>
        <w:tc>
          <w:tcPr>
            <w:tcW w:w="4876" w:type="dxa"/>
          </w:tcPr>
          <w:p w14:paraId="0736F019" w14:textId="77777777" w:rsidR="006F5BFE" w:rsidRPr="003B2277" w:rsidRDefault="006F5BFE" w:rsidP="005B4D60">
            <w:pPr>
              <w:spacing w:after="120"/>
              <w:rPr>
                <w:lang w:eastAsia="en-US"/>
              </w:rPr>
            </w:pPr>
            <w:r w:rsidRPr="003B2277">
              <w:rPr>
                <w:rFonts w:eastAsia="Calibri" w:cs="Mangal"/>
                <w:b/>
                <w:i/>
                <w:lang w:eastAsia="en-US"/>
              </w:rPr>
              <w:t>Komisija</w:t>
            </w:r>
            <w:r w:rsidRPr="003B2277">
              <w:rPr>
                <w:rFonts w:eastAsia="Calibri" w:cs="Mangal"/>
                <w:lang w:eastAsia="en-US"/>
              </w:rPr>
              <w:t xml:space="preserve"> </w:t>
            </w:r>
            <w:r w:rsidRPr="003B2277">
              <w:rPr>
                <w:rFonts w:eastAsia="Calibri" w:cs="Mangal"/>
                <w:b/>
                <w:i/>
                <w:lang w:eastAsia="en-US"/>
              </w:rPr>
              <w:t>dovoljenje sprejme brez uporabe postopka iz člena 229(2) ali (3) te uredbe.</w:t>
            </w:r>
          </w:p>
        </w:tc>
        <w:tc>
          <w:tcPr>
            <w:tcW w:w="4876" w:type="dxa"/>
            <w:hideMark/>
          </w:tcPr>
          <w:p w14:paraId="61A5AAA6" w14:textId="34D405FE" w:rsidR="006F5BFE" w:rsidRPr="003B2277" w:rsidRDefault="006F5BFE" w:rsidP="005B4D60">
            <w:pPr>
              <w:spacing w:after="120"/>
              <w:rPr>
                <w:szCs w:val="24"/>
                <w:lang w:eastAsia="en-US"/>
              </w:rPr>
            </w:pPr>
            <w:r w:rsidRPr="003B2277">
              <w:rPr>
                <w:rFonts w:eastAsia="Calibri" w:cs="Mangal"/>
                <w:lang w:eastAsia="en-US"/>
              </w:rPr>
              <w:t>Komisija dovoljenje sprejme brez uporabe postopka iz člena 229 te uredbe.</w:t>
            </w:r>
            <w:r w:rsidRPr="003B2277">
              <w:rPr>
                <w:rFonts w:eastAsia="Calibri" w:cs="Mangal"/>
                <w:b/>
                <w:i/>
                <w:lang w:eastAsia="en-US"/>
              </w:rPr>
              <w:t>“</w:t>
            </w:r>
          </w:p>
        </w:tc>
      </w:tr>
    </w:tbl>
    <w:p w14:paraId="3977F64B" w14:textId="77777777" w:rsidR="006F5BFE" w:rsidRPr="003B2277" w:rsidRDefault="006F5BFE" w:rsidP="006F5BFE">
      <w:pPr>
        <w:rPr>
          <w:lang w:eastAsia="en-US"/>
        </w:rPr>
      </w:pPr>
    </w:p>
    <w:p w14:paraId="4A306A4C" w14:textId="5110B0D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146</w:t>
      </w:r>
    </w:p>
    <w:p w14:paraId="3E6AB14A" w14:textId="77777777" w:rsidR="006F5BFE" w:rsidRPr="003B2277" w:rsidRDefault="006F5BFE" w:rsidP="006F5BFE"/>
    <w:p w14:paraId="1E2028E5" w14:textId="77777777" w:rsidR="006F5BFE" w:rsidRPr="003B2277" w:rsidRDefault="006F5BFE" w:rsidP="006F5BFE">
      <w:pPr>
        <w:keepNext/>
        <w:rPr>
          <w:b/>
          <w:lang w:eastAsia="en-US"/>
        </w:rPr>
      </w:pPr>
      <w:r w:rsidRPr="003B2277">
        <w:rPr>
          <w:rFonts w:eastAsia="Calibri" w:cs="Mangal"/>
          <w:b/>
          <w:lang w:eastAsia="en-US"/>
        </w:rPr>
        <w:t>Predlog uredbe</w:t>
      </w:r>
    </w:p>
    <w:p w14:paraId="52CD97D5" w14:textId="2334EFBE"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 xml:space="preserve">h </w:t>
      </w:r>
      <w:r w:rsidRPr="003B2277">
        <w:rPr>
          <w:rFonts w:eastAsia="Calibri" w:cs="Mangal"/>
          <w:b/>
          <w:lang w:eastAsia="en-US"/>
        </w:rPr>
        <w:t>(novo)</w:t>
      </w:r>
    </w:p>
    <w:p w14:paraId="34469A86" w14:textId="77777777" w:rsidR="006F5BFE" w:rsidRPr="003B2277" w:rsidRDefault="006F5BFE" w:rsidP="006F5BFE">
      <w:pPr>
        <w:keepNext/>
        <w:rPr>
          <w:lang w:eastAsia="en-US"/>
        </w:rPr>
      </w:pPr>
      <w:r w:rsidRPr="003B2277">
        <w:rPr>
          <w:rFonts w:eastAsia="Calibri" w:cs="Mangal"/>
          <w:lang w:eastAsia="en-US"/>
        </w:rPr>
        <w:t>Uredba (EU) št. 1308/2013</w:t>
      </w:r>
    </w:p>
    <w:p w14:paraId="13A2DFD9" w14:textId="77777777" w:rsidR="006F5BFE" w:rsidRPr="003B2277" w:rsidRDefault="006F5BFE" w:rsidP="006F5BFE">
      <w:pPr>
        <w:rPr>
          <w:lang w:eastAsia="en-US"/>
        </w:rPr>
      </w:pPr>
      <w:r w:rsidRPr="003B2277">
        <w:rPr>
          <w:rFonts w:eastAsia="Calibri" w:cs="Mangal"/>
          <w:lang w:eastAsia="en-US"/>
        </w:rPr>
        <w:t>Del IV – poglavje II a (novo) – člen 218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C3A4D49" w14:textId="77777777" w:rsidTr="005B4D60">
        <w:trPr>
          <w:jc w:val="center"/>
        </w:trPr>
        <w:tc>
          <w:tcPr>
            <w:tcW w:w="9752" w:type="dxa"/>
            <w:gridSpan w:val="2"/>
          </w:tcPr>
          <w:p w14:paraId="6A724126" w14:textId="77777777" w:rsidR="006F5BFE" w:rsidRPr="003B2277" w:rsidRDefault="006F5BFE" w:rsidP="005B4D60">
            <w:pPr>
              <w:keepNext/>
            </w:pPr>
          </w:p>
        </w:tc>
      </w:tr>
      <w:tr w:rsidR="006F5BFE" w:rsidRPr="003B2277" w14:paraId="7BD521F9" w14:textId="77777777" w:rsidTr="005B4D60">
        <w:trPr>
          <w:jc w:val="center"/>
        </w:trPr>
        <w:tc>
          <w:tcPr>
            <w:tcW w:w="4876" w:type="dxa"/>
            <w:hideMark/>
          </w:tcPr>
          <w:p w14:paraId="23B3B460"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01B8BF6" w14:textId="085C2E5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2E31BE4" w14:textId="77777777" w:rsidTr="005B4D60">
        <w:trPr>
          <w:jc w:val="center"/>
        </w:trPr>
        <w:tc>
          <w:tcPr>
            <w:tcW w:w="4876" w:type="dxa"/>
          </w:tcPr>
          <w:p w14:paraId="3A8543D8" w14:textId="77777777" w:rsidR="006F5BFE" w:rsidRPr="003B2277" w:rsidRDefault="006F5BFE" w:rsidP="005B4D60">
            <w:pPr>
              <w:spacing w:after="120"/>
            </w:pPr>
          </w:p>
        </w:tc>
        <w:tc>
          <w:tcPr>
            <w:tcW w:w="4876" w:type="dxa"/>
            <w:hideMark/>
          </w:tcPr>
          <w:p w14:paraId="25888F03" w14:textId="40DE18AD" w:rsidR="006F5BFE" w:rsidRPr="003B2277" w:rsidRDefault="006F5BFE" w:rsidP="00465DEA">
            <w:pPr>
              <w:spacing w:after="120"/>
              <w:rPr>
                <w:szCs w:val="24"/>
                <w:lang w:eastAsia="en-US"/>
              </w:rPr>
            </w:pPr>
            <w:r w:rsidRPr="003B2277">
              <w:rPr>
                <w:rFonts w:eastAsia="Calibri" w:cs="Mangal"/>
                <w:b/>
                <w:i/>
                <w:lang w:eastAsia="en-US"/>
              </w:rPr>
              <w:t>(</w:t>
            </w:r>
            <w:r w:rsidR="00465DEA" w:rsidRPr="003B2277">
              <w:rPr>
                <w:rFonts w:eastAsia="Calibri" w:cs="Mangal"/>
                <w:b/>
                <w:i/>
                <w:lang w:eastAsia="en-US"/>
              </w:rPr>
              <w:t>26</w:t>
            </w:r>
            <w:r w:rsidR="00465DEA">
              <w:rPr>
                <w:rFonts w:eastAsia="Calibri" w:cs="Mangal"/>
                <w:b/>
                <w:i/>
                <w:lang w:eastAsia="en-US"/>
              </w:rPr>
              <w:t>h</w:t>
            </w:r>
            <w:r w:rsidRPr="003B2277">
              <w:rPr>
                <w:rFonts w:eastAsia="Calibri" w:cs="Mangal"/>
                <w:b/>
                <w:i/>
                <w:lang w:eastAsia="en-US"/>
              </w:rPr>
              <w:t>)</w:t>
            </w:r>
            <w:r w:rsidRPr="003B2277">
              <w:rPr>
                <w:rFonts w:eastAsia="Calibri" w:cs="Mangal"/>
                <w:b/>
                <w:i/>
                <w:lang w:eastAsia="en-US"/>
              </w:rPr>
              <w:tab/>
              <w:t>v delu IV se vstavita naslednja poglavje in člen:</w:t>
            </w:r>
          </w:p>
        </w:tc>
      </w:tr>
      <w:tr w:rsidR="006F5BFE" w:rsidRPr="003B2277" w14:paraId="1556D0B9" w14:textId="77777777" w:rsidTr="005B4D60">
        <w:trPr>
          <w:jc w:val="center"/>
        </w:trPr>
        <w:tc>
          <w:tcPr>
            <w:tcW w:w="4876" w:type="dxa"/>
          </w:tcPr>
          <w:p w14:paraId="5DB1BD56" w14:textId="77777777" w:rsidR="006F5BFE" w:rsidRPr="003B2277" w:rsidRDefault="006F5BFE" w:rsidP="005B4D60">
            <w:pPr>
              <w:spacing w:after="120"/>
            </w:pPr>
          </w:p>
        </w:tc>
        <w:tc>
          <w:tcPr>
            <w:tcW w:w="4876" w:type="dxa"/>
            <w:hideMark/>
          </w:tcPr>
          <w:p w14:paraId="06B97F57" w14:textId="77777777" w:rsidR="006F5BFE" w:rsidRPr="003B2277" w:rsidRDefault="006F5BFE" w:rsidP="005B4D60">
            <w:pPr>
              <w:spacing w:after="120"/>
              <w:rPr>
                <w:szCs w:val="24"/>
                <w:lang w:eastAsia="en-US"/>
              </w:rPr>
            </w:pPr>
            <w:r w:rsidRPr="003B2277">
              <w:rPr>
                <w:rFonts w:eastAsia="Calibri" w:cs="Mangal"/>
                <w:b/>
                <w:i/>
                <w:lang w:eastAsia="en-US"/>
              </w:rPr>
              <w:t>„Poglavje IIa</w:t>
            </w:r>
          </w:p>
        </w:tc>
      </w:tr>
      <w:tr w:rsidR="006F5BFE" w:rsidRPr="003B2277" w14:paraId="2922CA72" w14:textId="77777777" w:rsidTr="005B4D60">
        <w:trPr>
          <w:jc w:val="center"/>
        </w:trPr>
        <w:tc>
          <w:tcPr>
            <w:tcW w:w="4876" w:type="dxa"/>
          </w:tcPr>
          <w:p w14:paraId="3E9211D0" w14:textId="77777777" w:rsidR="006F5BFE" w:rsidRPr="003B2277" w:rsidRDefault="006F5BFE" w:rsidP="005B4D60">
            <w:pPr>
              <w:spacing w:after="120"/>
            </w:pPr>
          </w:p>
        </w:tc>
        <w:tc>
          <w:tcPr>
            <w:tcW w:w="4876" w:type="dxa"/>
            <w:hideMark/>
          </w:tcPr>
          <w:p w14:paraId="04C232C8" w14:textId="77777777" w:rsidR="006F5BFE" w:rsidRPr="003B2277" w:rsidRDefault="006F5BFE" w:rsidP="005B4D60">
            <w:pPr>
              <w:spacing w:after="120"/>
              <w:rPr>
                <w:szCs w:val="24"/>
                <w:lang w:eastAsia="en-US"/>
              </w:rPr>
            </w:pPr>
            <w:r w:rsidRPr="003B2277">
              <w:rPr>
                <w:rFonts w:eastAsia="Calibri" w:cs="Mangal"/>
                <w:b/>
                <w:i/>
                <w:lang w:eastAsia="en-US"/>
              </w:rPr>
              <w:t>Preglednost trgov kmetijskih proizvodov</w:t>
            </w:r>
          </w:p>
        </w:tc>
      </w:tr>
      <w:tr w:rsidR="006F5BFE" w:rsidRPr="003B2277" w14:paraId="6EAB1AA1" w14:textId="77777777" w:rsidTr="005B4D60">
        <w:trPr>
          <w:jc w:val="center"/>
        </w:trPr>
        <w:tc>
          <w:tcPr>
            <w:tcW w:w="4876" w:type="dxa"/>
          </w:tcPr>
          <w:p w14:paraId="36BD3C33" w14:textId="77777777" w:rsidR="006F5BFE" w:rsidRPr="003B2277" w:rsidRDefault="006F5BFE" w:rsidP="005B4D60">
            <w:pPr>
              <w:spacing w:after="120"/>
            </w:pPr>
          </w:p>
        </w:tc>
        <w:tc>
          <w:tcPr>
            <w:tcW w:w="4876" w:type="dxa"/>
            <w:hideMark/>
          </w:tcPr>
          <w:p w14:paraId="14BB40A1" w14:textId="77777777" w:rsidR="006F5BFE" w:rsidRPr="003B2277" w:rsidRDefault="006F5BFE" w:rsidP="005B4D60">
            <w:pPr>
              <w:spacing w:after="120"/>
              <w:rPr>
                <w:szCs w:val="24"/>
                <w:lang w:eastAsia="en-US"/>
              </w:rPr>
            </w:pPr>
            <w:r w:rsidRPr="003B2277">
              <w:rPr>
                <w:rFonts w:eastAsia="Calibri" w:cs="Mangal"/>
                <w:b/>
                <w:i/>
                <w:lang w:eastAsia="en-US"/>
              </w:rPr>
              <w:t>Člen 218a</w:t>
            </w:r>
          </w:p>
        </w:tc>
      </w:tr>
      <w:tr w:rsidR="006F5BFE" w:rsidRPr="003B2277" w14:paraId="553D5957" w14:textId="77777777" w:rsidTr="005B4D60">
        <w:trPr>
          <w:jc w:val="center"/>
        </w:trPr>
        <w:tc>
          <w:tcPr>
            <w:tcW w:w="4876" w:type="dxa"/>
          </w:tcPr>
          <w:p w14:paraId="352990E5" w14:textId="77777777" w:rsidR="006F5BFE" w:rsidRPr="003B2277" w:rsidRDefault="006F5BFE" w:rsidP="005B4D60">
            <w:pPr>
              <w:spacing w:after="120"/>
            </w:pPr>
          </w:p>
        </w:tc>
        <w:tc>
          <w:tcPr>
            <w:tcW w:w="4876" w:type="dxa"/>
            <w:hideMark/>
          </w:tcPr>
          <w:p w14:paraId="16A86527" w14:textId="77777777" w:rsidR="006F5BFE" w:rsidRPr="003B2277" w:rsidRDefault="006F5BFE" w:rsidP="005B4D60">
            <w:pPr>
              <w:spacing w:after="120"/>
              <w:rPr>
                <w:szCs w:val="24"/>
                <w:lang w:eastAsia="en-US"/>
              </w:rPr>
            </w:pPr>
            <w:r w:rsidRPr="003B2277">
              <w:rPr>
                <w:rFonts w:eastAsia="Calibri" w:cs="Mangal"/>
                <w:b/>
                <w:i/>
                <w:lang w:eastAsia="en-US"/>
              </w:rPr>
              <w:t>Evropska opazovalnica kmetijskih trgov</w:t>
            </w:r>
          </w:p>
        </w:tc>
      </w:tr>
      <w:tr w:rsidR="006F5BFE" w:rsidRPr="003B2277" w14:paraId="7EEB507B" w14:textId="77777777" w:rsidTr="005B4D60">
        <w:trPr>
          <w:jc w:val="center"/>
        </w:trPr>
        <w:tc>
          <w:tcPr>
            <w:tcW w:w="4876" w:type="dxa"/>
          </w:tcPr>
          <w:p w14:paraId="2D994615" w14:textId="77777777" w:rsidR="006F5BFE" w:rsidRPr="003B2277" w:rsidRDefault="006F5BFE" w:rsidP="005B4D60">
            <w:pPr>
              <w:spacing w:after="120"/>
            </w:pPr>
          </w:p>
        </w:tc>
        <w:tc>
          <w:tcPr>
            <w:tcW w:w="4876" w:type="dxa"/>
            <w:hideMark/>
          </w:tcPr>
          <w:p w14:paraId="6C22678C"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Komisija ustanovi evropsko opazovalnico za trge kmetijskih proizvodov („opazovalnica“), da bi izboljšali preglednost v verigi preskrbe s hrano, pojasnili odločitve gospodarskih subjektov in javnih organov ter poenostavili spremljanje in evidentiranje razvoja trga.</w:t>
            </w:r>
          </w:p>
        </w:tc>
      </w:tr>
      <w:tr w:rsidR="006F5BFE" w:rsidRPr="003B2277" w14:paraId="5021C947" w14:textId="77777777" w:rsidTr="005B4D60">
        <w:trPr>
          <w:jc w:val="center"/>
        </w:trPr>
        <w:tc>
          <w:tcPr>
            <w:tcW w:w="4876" w:type="dxa"/>
          </w:tcPr>
          <w:p w14:paraId="247B6ACF" w14:textId="77777777" w:rsidR="006F5BFE" w:rsidRPr="003B2277" w:rsidRDefault="006F5BFE" w:rsidP="005B4D60">
            <w:pPr>
              <w:spacing w:after="120"/>
            </w:pPr>
          </w:p>
        </w:tc>
        <w:tc>
          <w:tcPr>
            <w:tcW w:w="4876" w:type="dxa"/>
            <w:hideMark/>
          </w:tcPr>
          <w:p w14:paraId="2DBD3EDF"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Opazovalnica zajema najmanj naslednje kmetijske sektorje, kot so opredeljeni v členu 1(1):</w:t>
            </w:r>
          </w:p>
        </w:tc>
      </w:tr>
      <w:tr w:rsidR="006F5BFE" w:rsidRPr="003B2277" w14:paraId="71BBED99" w14:textId="77777777" w:rsidTr="005B4D60">
        <w:trPr>
          <w:jc w:val="center"/>
        </w:trPr>
        <w:tc>
          <w:tcPr>
            <w:tcW w:w="4876" w:type="dxa"/>
          </w:tcPr>
          <w:p w14:paraId="3B338195" w14:textId="77777777" w:rsidR="006F5BFE" w:rsidRPr="003B2277" w:rsidRDefault="006F5BFE" w:rsidP="005B4D60">
            <w:pPr>
              <w:spacing w:after="120"/>
            </w:pPr>
          </w:p>
        </w:tc>
        <w:tc>
          <w:tcPr>
            <w:tcW w:w="4876" w:type="dxa"/>
            <w:hideMark/>
          </w:tcPr>
          <w:p w14:paraId="41FF1456" w14:textId="77777777" w:rsidR="006F5BFE" w:rsidRPr="003B2277" w:rsidRDefault="006F5BFE" w:rsidP="005B4D60">
            <w:pPr>
              <w:spacing w:after="120"/>
              <w:rPr>
                <w:szCs w:val="24"/>
                <w:lang w:eastAsia="en-US"/>
              </w:rPr>
            </w:pPr>
            <w:r w:rsidRPr="003B2277">
              <w:rPr>
                <w:rFonts w:eastAsia="Calibri" w:cs="Mangal"/>
                <w:b/>
                <w:i/>
                <w:lang w:eastAsia="en-US"/>
              </w:rPr>
              <w:t>(a) žita;</w:t>
            </w:r>
          </w:p>
        </w:tc>
      </w:tr>
      <w:tr w:rsidR="006F5BFE" w:rsidRPr="003B2277" w14:paraId="7684F408" w14:textId="77777777" w:rsidTr="005B4D60">
        <w:trPr>
          <w:jc w:val="center"/>
        </w:trPr>
        <w:tc>
          <w:tcPr>
            <w:tcW w:w="4876" w:type="dxa"/>
          </w:tcPr>
          <w:p w14:paraId="5196F5ED" w14:textId="77777777" w:rsidR="006F5BFE" w:rsidRPr="003B2277" w:rsidRDefault="006F5BFE" w:rsidP="005B4D60">
            <w:pPr>
              <w:spacing w:after="120"/>
            </w:pPr>
          </w:p>
        </w:tc>
        <w:tc>
          <w:tcPr>
            <w:tcW w:w="4876" w:type="dxa"/>
            <w:hideMark/>
          </w:tcPr>
          <w:p w14:paraId="27655BF1" w14:textId="77777777" w:rsidR="006F5BFE" w:rsidRPr="003B2277" w:rsidRDefault="006F5BFE" w:rsidP="005B4D60">
            <w:pPr>
              <w:spacing w:after="120"/>
              <w:rPr>
                <w:szCs w:val="24"/>
                <w:lang w:eastAsia="en-US"/>
              </w:rPr>
            </w:pPr>
            <w:r w:rsidRPr="003B2277">
              <w:rPr>
                <w:rFonts w:eastAsia="Calibri" w:cs="Mangal"/>
                <w:b/>
                <w:i/>
                <w:lang w:eastAsia="en-US"/>
              </w:rPr>
              <w:t>(b) sladkor, sladkorna pesa in sladkorni trs;</w:t>
            </w:r>
          </w:p>
        </w:tc>
      </w:tr>
      <w:tr w:rsidR="006F5BFE" w:rsidRPr="003B2277" w14:paraId="602A99BF" w14:textId="77777777" w:rsidTr="005B4D60">
        <w:trPr>
          <w:jc w:val="center"/>
        </w:trPr>
        <w:tc>
          <w:tcPr>
            <w:tcW w:w="4876" w:type="dxa"/>
          </w:tcPr>
          <w:p w14:paraId="6592BBAF" w14:textId="77777777" w:rsidR="006F5BFE" w:rsidRPr="003B2277" w:rsidRDefault="006F5BFE" w:rsidP="005B4D60">
            <w:pPr>
              <w:spacing w:after="120"/>
            </w:pPr>
          </w:p>
        </w:tc>
        <w:tc>
          <w:tcPr>
            <w:tcW w:w="4876" w:type="dxa"/>
            <w:hideMark/>
          </w:tcPr>
          <w:p w14:paraId="49370E40" w14:textId="77777777" w:rsidR="006F5BFE" w:rsidRPr="003B2277" w:rsidRDefault="006F5BFE" w:rsidP="005B4D60">
            <w:pPr>
              <w:spacing w:after="120"/>
              <w:rPr>
                <w:szCs w:val="24"/>
                <w:lang w:eastAsia="en-US"/>
              </w:rPr>
            </w:pPr>
            <w:r w:rsidRPr="003B2277">
              <w:rPr>
                <w:rFonts w:eastAsia="Calibri" w:cs="Mangal"/>
                <w:b/>
                <w:i/>
                <w:lang w:eastAsia="en-US"/>
              </w:rPr>
              <w:t>(c) oljčno olje;</w:t>
            </w:r>
          </w:p>
        </w:tc>
      </w:tr>
      <w:tr w:rsidR="006F5BFE" w:rsidRPr="003B2277" w14:paraId="11BAD98B" w14:textId="77777777" w:rsidTr="005B4D60">
        <w:trPr>
          <w:jc w:val="center"/>
        </w:trPr>
        <w:tc>
          <w:tcPr>
            <w:tcW w:w="4876" w:type="dxa"/>
          </w:tcPr>
          <w:p w14:paraId="5D590ED3" w14:textId="77777777" w:rsidR="006F5BFE" w:rsidRPr="003B2277" w:rsidRDefault="006F5BFE" w:rsidP="005B4D60">
            <w:pPr>
              <w:spacing w:after="120"/>
            </w:pPr>
          </w:p>
        </w:tc>
        <w:tc>
          <w:tcPr>
            <w:tcW w:w="4876" w:type="dxa"/>
            <w:hideMark/>
          </w:tcPr>
          <w:p w14:paraId="3C9A97B5" w14:textId="77777777" w:rsidR="006F5BFE" w:rsidRPr="003B2277" w:rsidRDefault="006F5BFE" w:rsidP="005B4D60">
            <w:pPr>
              <w:spacing w:after="120"/>
              <w:rPr>
                <w:szCs w:val="24"/>
                <w:lang w:eastAsia="en-US"/>
              </w:rPr>
            </w:pPr>
            <w:r w:rsidRPr="003B2277">
              <w:rPr>
                <w:rFonts w:eastAsia="Calibri" w:cs="Mangal"/>
                <w:b/>
                <w:i/>
                <w:lang w:eastAsia="en-US"/>
              </w:rPr>
              <w:t>(d) sadje in zelenjava;</w:t>
            </w:r>
          </w:p>
        </w:tc>
      </w:tr>
      <w:tr w:rsidR="006F5BFE" w:rsidRPr="003B2277" w14:paraId="57DECFF3" w14:textId="77777777" w:rsidTr="005B4D60">
        <w:trPr>
          <w:jc w:val="center"/>
        </w:trPr>
        <w:tc>
          <w:tcPr>
            <w:tcW w:w="4876" w:type="dxa"/>
          </w:tcPr>
          <w:p w14:paraId="4838545B" w14:textId="77777777" w:rsidR="006F5BFE" w:rsidRPr="003B2277" w:rsidRDefault="006F5BFE" w:rsidP="005B4D60">
            <w:pPr>
              <w:spacing w:after="120"/>
            </w:pPr>
          </w:p>
        </w:tc>
        <w:tc>
          <w:tcPr>
            <w:tcW w:w="4876" w:type="dxa"/>
            <w:hideMark/>
          </w:tcPr>
          <w:p w14:paraId="3408FD01" w14:textId="77777777" w:rsidR="006F5BFE" w:rsidRPr="003B2277" w:rsidRDefault="006F5BFE" w:rsidP="005B4D60">
            <w:pPr>
              <w:spacing w:after="120"/>
              <w:rPr>
                <w:szCs w:val="24"/>
                <w:lang w:eastAsia="en-US"/>
              </w:rPr>
            </w:pPr>
            <w:r w:rsidRPr="003B2277">
              <w:rPr>
                <w:rFonts w:eastAsia="Calibri" w:cs="Mangal"/>
                <w:b/>
                <w:i/>
                <w:lang w:eastAsia="en-US"/>
              </w:rPr>
              <w:t>(e) vino;</w:t>
            </w:r>
          </w:p>
        </w:tc>
      </w:tr>
      <w:tr w:rsidR="006F5BFE" w:rsidRPr="003B2277" w14:paraId="021ED54A" w14:textId="77777777" w:rsidTr="005B4D60">
        <w:trPr>
          <w:jc w:val="center"/>
        </w:trPr>
        <w:tc>
          <w:tcPr>
            <w:tcW w:w="4876" w:type="dxa"/>
          </w:tcPr>
          <w:p w14:paraId="19DC8D26" w14:textId="77777777" w:rsidR="006F5BFE" w:rsidRPr="003B2277" w:rsidRDefault="006F5BFE" w:rsidP="005B4D60">
            <w:pPr>
              <w:spacing w:after="120"/>
            </w:pPr>
          </w:p>
        </w:tc>
        <w:tc>
          <w:tcPr>
            <w:tcW w:w="4876" w:type="dxa"/>
            <w:hideMark/>
          </w:tcPr>
          <w:p w14:paraId="3D1FA58D" w14:textId="77777777" w:rsidR="006F5BFE" w:rsidRPr="003B2277" w:rsidRDefault="006F5BFE" w:rsidP="005B4D60">
            <w:pPr>
              <w:spacing w:after="120"/>
              <w:rPr>
                <w:szCs w:val="24"/>
                <w:lang w:eastAsia="en-US"/>
              </w:rPr>
            </w:pPr>
            <w:r w:rsidRPr="003B2277">
              <w:rPr>
                <w:rFonts w:eastAsia="Calibri" w:cs="Mangal"/>
                <w:b/>
                <w:i/>
                <w:lang w:eastAsia="en-US"/>
              </w:rPr>
              <w:t>(f) mleko in mlečni proizvodi;</w:t>
            </w:r>
          </w:p>
        </w:tc>
      </w:tr>
      <w:tr w:rsidR="006F5BFE" w:rsidRPr="003B2277" w14:paraId="6FC53146" w14:textId="77777777" w:rsidTr="005B4D60">
        <w:trPr>
          <w:jc w:val="center"/>
        </w:trPr>
        <w:tc>
          <w:tcPr>
            <w:tcW w:w="4876" w:type="dxa"/>
          </w:tcPr>
          <w:p w14:paraId="73E91ACC" w14:textId="77777777" w:rsidR="006F5BFE" w:rsidRPr="003B2277" w:rsidRDefault="006F5BFE" w:rsidP="005B4D60">
            <w:pPr>
              <w:spacing w:after="120"/>
            </w:pPr>
          </w:p>
        </w:tc>
        <w:tc>
          <w:tcPr>
            <w:tcW w:w="4876" w:type="dxa"/>
            <w:hideMark/>
          </w:tcPr>
          <w:p w14:paraId="50B5F6AD" w14:textId="77777777" w:rsidR="006F5BFE" w:rsidRPr="003B2277" w:rsidRDefault="006F5BFE" w:rsidP="005B4D60">
            <w:pPr>
              <w:spacing w:after="120"/>
              <w:rPr>
                <w:szCs w:val="24"/>
                <w:lang w:eastAsia="en-US"/>
              </w:rPr>
            </w:pPr>
            <w:r w:rsidRPr="003B2277">
              <w:rPr>
                <w:rFonts w:eastAsia="Calibri" w:cs="Mangal"/>
                <w:b/>
                <w:i/>
                <w:lang w:eastAsia="en-US"/>
              </w:rPr>
              <w:t>(g) goveje in telečje meso;</w:t>
            </w:r>
          </w:p>
        </w:tc>
      </w:tr>
      <w:tr w:rsidR="006F5BFE" w:rsidRPr="003B2277" w14:paraId="30DAD4EC" w14:textId="77777777" w:rsidTr="005B4D60">
        <w:trPr>
          <w:jc w:val="center"/>
        </w:trPr>
        <w:tc>
          <w:tcPr>
            <w:tcW w:w="4876" w:type="dxa"/>
          </w:tcPr>
          <w:p w14:paraId="7B002FE1" w14:textId="77777777" w:rsidR="006F5BFE" w:rsidRPr="003B2277" w:rsidRDefault="006F5BFE" w:rsidP="005B4D60">
            <w:pPr>
              <w:spacing w:after="120"/>
            </w:pPr>
          </w:p>
        </w:tc>
        <w:tc>
          <w:tcPr>
            <w:tcW w:w="4876" w:type="dxa"/>
            <w:hideMark/>
          </w:tcPr>
          <w:p w14:paraId="5139C8D8" w14:textId="77777777" w:rsidR="006F5BFE" w:rsidRPr="003B2277" w:rsidRDefault="006F5BFE" w:rsidP="005B4D60">
            <w:pPr>
              <w:spacing w:after="120"/>
              <w:rPr>
                <w:szCs w:val="24"/>
                <w:lang w:eastAsia="en-US"/>
              </w:rPr>
            </w:pPr>
            <w:r w:rsidRPr="003B2277">
              <w:rPr>
                <w:rFonts w:eastAsia="Calibri" w:cs="Mangal"/>
                <w:b/>
                <w:i/>
                <w:lang w:eastAsia="en-US"/>
              </w:rPr>
              <w:t>(h) prašičje meso;</w:t>
            </w:r>
          </w:p>
        </w:tc>
      </w:tr>
      <w:tr w:rsidR="006F5BFE" w:rsidRPr="003B2277" w14:paraId="697EB652" w14:textId="77777777" w:rsidTr="005B4D60">
        <w:trPr>
          <w:jc w:val="center"/>
        </w:trPr>
        <w:tc>
          <w:tcPr>
            <w:tcW w:w="4876" w:type="dxa"/>
          </w:tcPr>
          <w:p w14:paraId="56271C07" w14:textId="77777777" w:rsidR="006F5BFE" w:rsidRPr="003B2277" w:rsidRDefault="006F5BFE" w:rsidP="005B4D60">
            <w:pPr>
              <w:spacing w:after="120"/>
            </w:pPr>
          </w:p>
        </w:tc>
        <w:tc>
          <w:tcPr>
            <w:tcW w:w="4876" w:type="dxa"/>
            <w:hideMark/>
          </w:tcPr>
          <w:p w14:paraId="356B1E85" w14:textId="77777777" w:rsidR="006F5BFE" w:rsidRPr="003B2277" w:rsidRDefault="006F5BFE" w:rsidP="005B4D60">
            <w:pPr>
              <w:spacing w:after="120"/>
              <w:rPr>
                <w:szCs w:val="24"/>
                <w:lang w:eastAsia="en-US"/>
              </w:rPr>
            </w:pPr>
            <w:r w:rsidRPr="003B2277">
              <w:rPr>
                <w:rFonts w:eastAsia="Calibri" w:cs="Mangal"/>
                <w:b/>
                <w:i/>
                <w:lang w:eastAsia="en-US"/>
              </w:rPr>
              <w:t>(i) ovčje in kozje meso;</w:t>
            </w:r>
          </w:p>
        </w:tc>
      </w:tr>
      <w:tr w:rsidR="006F5BFE" w:rsidRPr="003B2277" w14:paraId="302C087C" w14:textId="77777777" w:rsidTr="005B4D60">
        <w:trPr>
          <w:jc w:val="center"/>
        </w:trPr>
        <w:tc>
          <w:tcPr>
            <w:tcW w:w="4876" w:type="dxa"/>
          </w:tcPr>
          <w:p w14:paraId="3D25581B" w14:textId="77777777" w:rsidR="006F5BFE" w:rsidRPr="003B2277" w:rsidRDefault="006F5BFE" w:rsidP="005B4D60">
            <w:pPr>
              <w:spacing w:after="120"/>
            </w:pPr>
          </w:p>
        </w:tc>
        <w:tc>
          <w:tcPr>
            <w:tcW w:w="4876" w:type="dxa"/>
            <w:hideMark/>
          </w:tcPr>
          <w:p w14:paraId="5CB1E85C" w14:textId="77777777" w:rsidR="006F5BFE" w:rsidRPr="003B2277" w:rsidRDefault="006F5BFE" w:rsidP="005B4D60">
            <w:pPr>
              <w:spacing w:after="120"/>
              <w:rPr>
                <w:szCs w:val="24"/>
                <w:lang w:eastAsia="en-US"/>
              </w:rPr>
            </w:pPr>
            <w:r w:rsidRPr="003B2277">
              <w:rPr>
                <w:rFonts w:eastAsia="Calibri" w:cs="Mangal"/>
                <w:b/>
                <w:i/>
                <w:lang w:eastAsia="en-US"/>
              </w:rPr>
              <w:t>(j) perutninsko meso.</w:t>
            </w:r>
          </w:p>
        </w:tc>
      </w:tr>
      <w:tr w:rsidR="006F5BFE" w:rsidRPr="003B2277" w14:paraId="29505AFD" w14:textId="77777777" w:rsidTr="005B4D60">
        <w:trPr>
          <w:jc w:val="center"/>
        </w:trPr>
        <w:tc>
          <w:tcPr>
            <w:tcW w:w="4876" w:type="dxa"/>
          </w:tcPr>
          <w:p w14:paraId="244E4894" w14:textId="77777777" w:rsidR="006F5BFE" w:rsidRPr="003B2277" w:rsidRDefault="006F5BFE" w:rsidP="005B4D60">
            <w:pPr>
              <w:spacing w:after="120"/>
            </w:pPr>
          </w:p>
        </w:tc>
        <w:tc>
          <w:tcPr>
            <w:tcW w:w="4876" w:type="dxa"/>
            <w:hideMark/>
          </w:tcPr>
          <w:p w14:paraId="6A430CD6"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Opazovalnica zbira statistične podatke in informacije, potrebne za pripravo analiz in študij o:</w:t>
            </w:r>
          </w:p>
        </w:tc>
      </w:tr>
      <w:tr w:rsidR="006F5BFE" w:rsidRPr="003B2277" w14:paraId="2EAF2E07" w14:textId="77777777" w:rsidTr="005B4D60">
        <w:trPr>
          <w:jc w:val="center"/>
        </w:trPr>
        <w:tc>
          <w:tcPr>
            <w:tcW w:w="4876" w:type="dxa"/>
          </w:tcPr>
          <w:p w14:paraId="0ABF6F4F" w14:textId="77777777" w:rsidR="006F5BFE" w:rsidRPr="003B2277" w:rsidRDefault="006F5BFE" w:rsidP="005B4D60">
            <w:pPr>
              <w:spacing w:after="120"/>
            </w:pPr>
          </w:p>
        </w:tc>
        <w:tc>
          <w:tcPr>
            <w:tcW w:w="4876" w:type="dxa"/>
            <w:hideMark/>
          </w:tcPr>
          <w:p w14:paraId="6D1DE38B" w14:textId="77777777" w:rsidR="006F5BFE" w:rsidRPr="003B2277" w:rsidRDefault="006F5BFE" w:rsidP="005B4D60">
            <w:pPr>
              <w:spacing w:after="120"/>
              <w:rPr>
                <w:szCs w:val="24"/>
                <w:lang w:eastAsia="en-US"/>
              </w:rPr>
            </w:pPr>
            <w:r w:rsidRPr="003B2277">
              <w:rPr>
                <w:rFonts w:eastAsia="Calibri" w:cs="Mangal"/>
                <w:b/>
                <w:i/>
                <w:lang w:eastAsia="en-US"/>
              </w:rPr>
              <w:t>(a) proizvodnji in dobavi;</w:t>
            </w:r>
          </w:p>
        </w:tc>
      </w:tr>
      <w:tr w:rsidR="006F5BFE" w:rsidRPr="003B2277" w14:paraId="4F80E7B1" w14:textId="77777777" w:rsidTr="005B4D60">
        <w:trPr>
          <w:jc w:val="center"/>
        </w:trPr>
        <w:tc>
          <w:tcPr>
            <w:tcW w:w="4876" w:type="dxa"/>
          </w:tcPr>
          <w:p w14:paraId="118596FE" w14:textId="77777777" w:rsidR="006F5BFE" w:rsidRPr="003B2277" w:rsidRDefault="006F5BFE" w:rsidP="005B4D60">
            <w:pPr>
              <w:spacing w:after="120"/>
            </w:pPr>
          </w:p>
        </w:tc>
        <w:tc>
          <w:tcPr>
            <w:tcW w:w="4876" w:type="dxa"/>
            <w:hideMark/>
          </w:tcPr>
          <w:p w14:paraId="4CFE3696" w14:textId="77777777" w:rsidR="006F5BFE" w:rsidRPr="003B2277" w:rsidRDefault="006F5BFE" w:rsidP="005B4D60">
            <w:pPr>
              <w:spacing w:after="120"/>
              <w:rPr>
                <w:szCs w:val="24"/>
                <w:lang w:eastAsia="en-US"/>
              </w:rPr>
            </w:pPr>
            <w:r w:rsidRPr="003B2277">
              <w:rPr>
                <w:rFonts w:eastAsia="Calibri" w:cs="Mangal"/>
                <w:b/>
                <w:i/>
                <w:lang w:eastAsia="en-US"/>
              </w:rPr>
              <w:t>(b) mehanizmih za oblikovanje cen in, če je mogoče, stopenj dobička skozi celotno verigo preskrbe s hrano v Uniji in državah članicah;</w:t>
            </w:r>
          </w:p>
        </w:tc>
      </w:tr>
      <w:tr w:rsidR="006F5BFE" w:rsidRPr="003B2277" w14:paraId="04BEE279" w14:textId="77777777" w:rsidTr="005B4D60">
        <w:trPr>
          <w:jc w:val="center"/>
        </w:trPr>
        <w:tc>
          <w:tcPr>
            <w:tcW w:w="4876" w:type="dxa"/>
          </w:tcPr>
          <w:p w14:paraId="1F454AEB" w14:textId="77777777" w:rsidR="006F5BFE" w:rsidRPr="003B2277" w:rsidRDefault="006F5BFE" w:rsidP="005B4D60">
            <w:pPr>
              <w:spacing w:after="120"/>
            </w:pPr>
          </w:p>
        </w:tc>
        <w:tc>
          <w:tcPr>
            <w:tcW w:w="4876" w:type="dxa"/>
            <w:hideMark/>
          </w:tcPr>
          <w:p w14:paraId="4057D623" w14:textId="77777777" w:rsidR="006F5BFE" w:rsidRPr="003B2277" w:rsidRDefault="006F5BFE" w:rsidP="005B4D60">
            <w:pPr>
              <w:spacing w:after="120"/>
              <w:rPr>
                <w:szCs w:val="24"/>
                <w:lang w:eastAsia="en-US"/>
              </w:rPr>
            </w:pPr>
            <w:r w:rsidRPr="003B2277">
              <w:rPr>
                <w:rFonts w:eastAsia="Calibri" w:cs="Mangal"/>
                <w:b/>
                <w:i/>
                <w:lang w:eastAsia="en-US"/>
              </w:rPr>
              <w:t>(c) trendih gibanja cen in, če je mogoče, stopnjah dobička na vseh ravneh verige preskrbe s hrano v Uniji in državah članicah ter v vseh kmetijskih in agroživilskih sektorjih;</w:t>
            </w:r>
          </w:p>
        </w:tc>
      </w:tr>
      <w:tr w:rsidR="006F5BFE" w:rsidRPr="003B2277" w14:paraId="10F62C9E" w14:textId="77777777" w:rsidTr="005B4D60">
        <w:trPr>
          <w:jc w:val="center"/>
        </w:trPr>
        <w:tc>
          <w:tcPr>
            <w:tcW w:w="4876" w:type="dxa"/>
          </w:tcPr>
          <w:p w14:paraId="2A02E2B2" w14:textId="77777777" w:rsidR="006F5BFE" w:rsidRPr="003B2277" w:rsidRDefault="006F5BFE" w:rsidP="005B4D60">
            <w:pPr>
              <w:spacing w:after="120"/>
            </w:pPr>
          </w:p>
        </w:tc>
        <w:tc>
          <w:tcPr>
            <w:tcW w:w="4876" w:type="dxa"/>
            <w:hideMark/>
          </w:tcPr>
          <w:p w14:paraId="4BBF9CFB" w14:textId="77777777" w:rsidR="006F5BFE" w:rsidRPr="003B2277" w:rsidRDefault="006F5BFE" w:rsidP="005B4D60">
            <w:pPr>
              <w:spacing w:after="120"/>
              <w:rPr>
                <w:szCs w:val="24"/>
                <w:lang w:eastAsia="en-US"/>
              </w:rPr>
            </w:pPr>
            <w:r w:rsidRPr="003B2277">
              <w:rPr>
                <w:rFonts w:eastAsia="Calibri" w:cs="Mangal"/>
                <w:b/>
                <w:i/>
                <w:lang w:eastAsia="en-US"/>
              </w:rPr>
              <w:t>(d) kratkoročnih in srednjeročnih napovedih tržnih gibanj;</w:t>
            </w:r>
          </w:p>
        </w:tc>
      </w:tr>
      <w:tr w:rsidR="006F5BFE" w:rsidRPr="003B2277" w14:paraId="4272B4AC" w14:textId="77777777" w:rsidTr="005B4D60">
        <w:trPr>
          <w:jc w:val="center"/>
        </w:trPr>
        <w:tc>
          <w:tcPr>
            <w:tcW w:w="4876" w:type="dxa"/>
          </w:tcPr>
          <w:p w14:paraId="4F1A5E4C" w14:textId="77777777" w:rsidR="006F5BFE" w:rsidRPr="003B2277" w:rsidRDefault="006F5BFE" w:rsidP="005B4D60">
            <w:pPr>
              <w:spacing w:after="120"/>
            </w:pPr>
          </w:p>
        </w:tc>
        <w:tc>
          <w:tcPr>
            <w:tcW w:w="4876" w:type="dxa"/>
            <w:hideMark/>
          </w:tcPr>
          <w:p w14:paraId="41A06C97" w14:textId="77777777" w:rsidR="006F5BFE" w:rsidRPr="003B2277" w:rsidRDefault="006F5BFE" w:rsidP="005B4D60">
            <w:pPr>
              <w:spacing w:after="120"/>
              <w:rPr>
                <w:szCs w:val="24"/>
                <w:lang w:eastAsia="en-US"/>
              </w:rPr>
            </w:pPr>
            <w:r w:rsidRPr="003B2277">
              <w:rPr>
                <w:rFonts w:eastAsia="Calibri" w:cs="Mangal"/>
                <w:b/>
                <w:i/>
                <w:lang w:eastAsia="en-US"/>
              </w:rPr>
              <w:t>(e) razvoju uvoza in izvoza kmetijskih proizvodov, zlasti stopnji izkoriščenosti kvot za uvoz kmetijskih proizvodov na ozemlje Unije.</w:t>
            </w:r>
          </w:p>
        </w:tc>
      </w:tr>
      <w:tr w:rsidR="006F5BFE" w:rsidRPr="003B2277" w14:paraId="54CF679A" w14:textId="77777777" w:rsidTr="005B4D60">
        <w:trPr>
          <w:jc w:val="center"/>
        </w:trPr>
        <w:tc>
          <w:tcPr>
            <w:tcW w:w="4876" w:type="dxa"/>
          </w:tcPr>
          <w:p w14:paraId="4589FFD4" w14:textId="77777777" w:rsidR="006F5BFE" w:rsidRPr="003B2277" w:rsidRDefault="006F5BFE" w:rsidP="005B4D60">
            <w:pPr>
              <w:spacing w:after="120"/>
            </w:pPr>
          </w:p>
        </w:tc>
        <w:tc>
          <w:tcPr>
            <w:tcW w:w="4876" w:type="dxa"/>
            <w:hideMark/>
          </w:tcPr>
          <w:p w14:paraId="5A283D95" w14:textId="77777777" w:rsidR="006F5BFE" w:rsidRPr="003B2277" w:rsidRDefault="006F5BFE" w:rsidP="005B4D60">
            <w:pPr>
              <w:spacing w:after="120"/>
              <w:rPr>
                <w:szCs w:val="24"/>
                <w:lang w:eastAsia="en-US"/>
              </w:rPr>
            </w:pPr>
            <w:r w:rsidRPr="003B2277">
              <w:rPr>
                <w:rFonts w:eastAsia="Calibri" w:cs="Mangal"/>
                <w:b/>
                <w:i/>
                <w:lang w:eastAsia="en-US"/>
              </w:rPr>
              <w:t>Opazovalnica pripravi letna poročila o elementih iz prvega pododstavka ter jih posreduje Evropskemu parlamentu in Svetu.</w:t>
            </w:r>
          </w:p>
        </w:tc>
      </w:tr>
      <w:tr w:rsidR="006F5BFE" w:rsidRPr="003B2277" w14:paraId="24C13B76" w14:textId="77777777" w:rsidTr="005B4D60">
        <w:trPr>
          <w:jc w:val="center"/>
        </w:trPr>
        <w:tc>
          <w:tcPr>
            <w:tcW w:w="4876" w:type="dxa"/>
          </w:tcPr>
          <w:p w14:paraId="33C65D0E" w14:textId="77777777" w:rsidR="006F5BFE" w:rsidRPr="003B2277" w:rsidRDefault="006F5BFE" w:rsidP="005B4D60">
            <w:pPr>
              <w:spacing w:after="120"/>
            </w:pPr>
          </w:p>
        </w:tc>
        <w:tc>
          <w:tcPr>
            <w:tcW w:w="4876" w:type="dxa"/>
            <w:hideMark/>
          </w:tcPr>
          <w:p w14:paraId="5BECC152" w14:textId="77777777"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Države članice zbirajo informacije iz odstavka 3 od podjetij za predelavo kmetijskih proizvodov in drugih izvajalcev, ki se ukvarjajo s trgovino s kmetijskimi proizvodi, ter jih sporočijo opazovalnici.</w:t>
            </w:r>
          </w:p>
        </w:tc>
      </w:tr>
      <w:tr w:rsidR="006F5BFE" w:rsidRPr="003B2277" w14:paraId="7592A8C0" w14:textId="77777777" w:rsidTr="005B4D60">
        <w:trPr>
          <w:jc w:val="center"/>
        </w:trPr>
        <w:tc>
          <w:tcPr>
            <w:tcW w:w="4876" w:type="dxa"/>
          </w:tcPr>
          <w:p w14:paraId="2412DB16" w14:textId="77777777" w:rsidR="006F5BFE" w:rsidRPr="003B2277" w:rsidRDefault="006F5BFE" w:rsidP="005B4D60">
            <w:pPr>
              <w:spacing w:after="120"/>
            </w:pPr>
          </w:p>
        </w:tc>
        <w:tc>
          <w:tcPr>
            <w:tcW w:w="4876" w:type="dxa"/>
            <w:hideMark/>
          </w:tcPr>
          <w:p w14:paraId="026B9DD5" w14:textId="77777777" w:rsidR="006F5BFE" w:rsidRPr="003B2277" w:rsidRDefault="006F5BFE" w:rsidP="005B4D60">
            <w:pPr>
              <w:spacing w:after="120"/>
              <w:rPr>
                <w:szCs w:val="24"/>
                <w:lang w:eastAsia="en-US"/>
              </w:rPr>
            </w:pPr>
            <w:r w:rsidRPr="003B2277">
              <w:rPr>
                <w:rFonts w:eastAsia="Calibri" w:cs="Mangal"/>
                <w:b/>
                <w:i/>
                <w:lang w:eastAsia="en-US"/>
              </w:rPr>
              <w:t>Te informacije so zaupne in opazovalnica zagotovi, da posebne cene ali imena posameznih gospodarskih izvajalcev niso objavljena.</w:t>
            </w:r>
          </w:p>
        </w:tc>
      </w:tr>
      <w:tr w:rsidR="006F5BFE" w:rsidRPr="003B2277" w14:paraId="7DB7B57A" w14:textId="77777777" w:rsidTr="005B4D60">
        <w:trPr>
          <w:jc w:val="center"/>
        </w:trPr>
        <w:tc>
          <w:tcPr>
            <w:tcW w:w="4876" w:type="dxa"/>
          </w:tcPr>
          <w:p w14:paraId="1660CCAF" w14:textId="77777777" w:rsidR="006F5BFE" w:rsidRPr="003B2277" w:rsidRDefault="006F5BFE" w:rsidP="005B4D60">
            <w:pPr>
              <w:spacing w:after="120"/>
            </w:pPr>
          </w:p>
        </w:tc>
        <w:tc>
          <w:tcPr>
            <w:tcW w:w="4876" w:type="dxa"/>
            <w:hideMark/>
          </w:tcPr>
          <w:p w14:paraId="1A991497" w14:textId="77777777" w:rsidR="006F5BFE" w:rsidRPr="003B2277" w:rsidRDefault="006F5BFE" w:rsidP="005B4D60">
            <w:pPr>
              <w:spacing w:after="120"/>
              <w:rPr>
                <w:szCs w:val="24"/>
                <w:lang w:eastAsia="en-US"/>
              </w:rPr>
            </w:pPr>
            <w:r w:rsidRPr="003B2277">
              <w:rPr>
                <w:rFonts w:eastAsia="Calibri" w:cs="Mangal"/>
                <w:b/>
                <w:i/>
                <w:lang w:eastAsia="en-US"/>
              </w:rPr>
              <w:t>Komisija lahko sprejme izvedbene akte, s katerimi vzpostavi sistem obveščanja in poročanja za namene tega člena. Ti izvedbeni akti se sprejmejo v skladu s postopkom pregleda iz člena 229(2).“</w:t>
            </w:r>
          </w:p>
        </w:tc>
      </w:tr>
    </w:tbl>
    <w:p w14:paraId="0BB9F43F" w14:textId="77777777" w:rsidR="006F5BFE" w:rsidRPr="003B2277" w:rsidRDefault="006F5BFE" w:rsidP="006F5BFE">
      <w:pPr>
        <w:rPr>
          <w:lang w:eastAsia="en-US"/>
        </w:rPr>
      </w:pPr>
    </w:p>
    <w:p w14:paraId="77DBD027" w14:textId="536ADFC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147</w:t>
      </w:r>
    </w:p>
    <w:p w14:paraId="46CD5C02" w14:textId="77777777" w:rsidR="006F5BFE" w:rsidRPr="003B2277" w:rsidRDefault="006F5BFE" w:rsidP="006F5BFE"/>
    <w:p w14:paraId="4F4F8BAC" w14:textId="77777777" w:rsidR="006F5BFE" w:rsidRPr="003B2277" w:rsidRDefault="006F5BFE" w:rsidP="006F5BFE">
      <w:pPr>
        <w:keepNext/>
        <w:rPr>
          <w:b/>
          <w:lang w:eastAsia="en-US"/>
        </w:rPr>
      </w:pPr>
      <w:r w:rsidRPr="003B2277">
        <w:rPr>
          <w:rFonts w:eastAsia="Calibri" w:cs="Mangal"/>
          <w:b/>
          <w:lang w:eastAsia="en-US"/>
        </w:rPr>
        <w:t>Predlog uredbe</w:t>
      </w:r>
    </w:p>
    <w:p w14:paraId="39AE223F" w14:textId="236577B8"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i</w:t>
      </w:r>
      <w:r w:rsidRPr="003B2277">
        <w:rPr>
          <w:rFonts w:eastAsia="Calibri" w:cs="Mangal"/>
          <w:b/>
          <w:lang w:eastAsia="en-US"/>
        </w:rPr>
        <w:t xml:space="preserve"> (novo)</w:t>
      </w:r>
    </w:p>
    <w:p w14:paraId="68649FC7" w14:textId="77777777" w:rsidR="006F5BFE" w:rsidRPr="003B2277" w:rsidRDefault="006F5BFE" w:rsidP="006F5BFE">
      <w:pPr>
        <w:keepNext/>
        <w:rPr>
          <w:lang w:eastAsia="en-US"/>
        </w:rPr>
      </w:pPr>
      <w:r w:rsidRPr="003B2277">
        <w:rPr>
          <w:rFonts w:eastAsia="Calibri" w:cs="Mangal"/>
          <w:lang w:eastAsia="en-US"/>
        </w:rPr>
        <w:t>Uredba (EU) št. 1308/2013</w:t>
      </w:r>
    </w:p>
    <w:p w14:paraId="77528DC6" w14:textId="77777777" w:rsidR="006F5BFE" w:rsidRPr="003B2277" w:rsidRDefault="006F5BFE" w:rsidP="006F5BFE">
      <w:pPr>
        <w:rPr>
          <w:lang w:eastAsia="en-US"/>
        </w:rPr>
      </w:pPr>
      <w:r w:rsidRPr="003B2277">
        <w:rPr>
          <w:rFonts w:eastAsia="Calibri" w:cs="Mangal"/>
          <w:lang w:eastAsia="en-US"/>
        </w:rPr>
        <w:t>Člen 218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47715ED" w14:textId="77777777" w:rsidTr="005B4D60">
        <w:trPr>
          <w:jc w:val="center"/>
        </w:trPr>
        <w:tc>
          <w:tcPr>
            <w:tcW w:w="9752" w:type="dxa"/>
            <w:gridSpan w:val="2"/>
          </w:tcPr>
          <w:p w14:paraId="3515E821" w14:textId="77777777" w:rsidR="006F5BFE" w:rsidRPr="003B2277" w:rsidRDefault="006F5BFE" w:rsidP="005B4D60">
            <w:pPr>
              <w:keepNext/>
            </w:pPr>
          </w:p>
        </w:tc>
      </w:tr>
      <w:tr w:rsidR="006F5BFE" w:rsidRPr="003B2277" w14:paraId="3813046B" w14:textId="77777777" w:rsidTr="005B4D60">
        <w:trPr>
          <w:jc w:val="center"/>
        </w:trPr>
        <w:tc>
          <w:tcPr>
            <w:tcW w:w="4876" w:type="dxa"/>
            <w:hideMark/>
          </w:tcPr>
          <w:p w14:paraId="0790FA1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FD63744" w14:textId="4618A2A6"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EF93C46" w14:textId="77777777" w:rsidTr="005B4D60">
        <w:trPr>
          <w:jc w:val="center"/>
        </w:trPr>
        <w:tc>
          <w:tcPr>
            <w:tcW w:w="4876" w:type="dxa"/>
          </w:tcPr>
          <w:p w14:paraId="4C9D591B" w14:textId="77777777" w:rsidR="006F5BFE" w:rsidRPr="003B2277" w:rsidRDefault="006F5BFE" w:rsidP="005B4D60">
            <w:pPr>
              <w:spacing w:after="120"/>
            </w:pPr>
          </w:p>
        </w:tc>
        <w:tc>
          <w:tcPr>
            <w:tcW w:w="4876" w:type="dxa"/>
            <w:hideMark/>
          </w:tcPr>
          <w:p w14:paraId="4B7051A6" w14:textId="06AEA3A4" w:rsidR="006F5BFE" w:rsidRPr="003B2277" w:rsidRDefault="006F5BFE" w:rsidP="005B4D60">
            <w:pPr>
              <w:spacing w:after="120"/>
              <w:rPr>
                <w:szCs w:val="24"/>
                <w:lang w:eastAsia="en-US"/>
              </w:rPr>
            </w:pPr>
            <w:r w:rsidRPr="003B2277">
              <w:rPr>
                <w:rFonts w:eastAsia="Calibri" w:cs="Mangal"/>
                <w:b/>
                <w:i/>
                <w:lang w:eastAsia="en-US"/>
              </w:rPr>
              <w:t>(26</w:t>
            </w:r>
            <w:r w:rsidR="00465DEA">
              <w:rPr>
                <w:rFonts w:eastAsia="Calibri" w:cs="Mangal"/>
                <w:b/>
                <w:i/>
                <w:lang w:eastAsia="en-US"/>
              </w:rPr>
              <w:t>i</w:t>
            </w:r>
            <w:r w:rsidRPr="003B2277">
              <w:rPr>
                <w:rFonts w:eastAsia="Calibri" w:cs="Mangal"/>
                <w:b/>
                <w:i/>
                <w:lang w:eastAsia="en-US"/>
              </w:rPr>
              <w:t>)</w:t>
            </w:r>
            <w:r w:rsidRPr="003B2277">
              <w:rPr>
                <w:rFonts w:eastAsia="Calibri" w:cs="Mangal"/>
                <w:b/>
                <w:i/>
                <w:lang w:eastAsia="en-US"/>
              </w:rPr>
              <w:tab/>
              <w:t>vstavi se naslednji člen:</w:t>
            </w:r>
          </w:p>
        </w:tc>
      </w:tr>
      <w:tr w:rsidR="006F5BFE" w:rsidRPr="003B2277" w14:paraId="092F4082" w14:textId="77777777" w:rsidTr="005B4D60">
        <w:trPr>
          <w:jc w:val="center"/>
        </w:trPr>
        <w:tc>
          <w:tcPr>
            <w:tcW w:w="4876" w:type="dxa"/>
          </w:tcPr>
          <w:p w14:paraId="2A8A23A5" w14:textId="77777777" w:rsidR="006F5BFE" w:rsidRPr="003B2277" w:rsidRDefault="006F5BFE" w:rsidP="005B4D60">
            <w:pPr>
              <w:spacing w:after="120"/>
            </w:pPr>
          </w:p>
        </w:tc>
        <w:tc>
          <w:tcPr>
            <w:tcW w:w="4876" w:type="dxa"/>
            <w:hideMark/>
          </w:tcPr>
          <w:p w14:paraId="10863F18" w14:textId="77777777" w:rsidR="006F5BFE" w:rsidRPr="003B2277" w:rsidRDefault="006F5BFE" w:rsidP="005B4D60">
            <w:pPr>
              <w:spacing w:after="120"/>
              <w:rPr>
                <w:szCs w:val="24"/>
                <w:lang w:eastAsia="en-US"/>
              </w:rPr>
            </w:pPr>
            <w:r w:rsidRPr="003B2277">
              <w:rPr>
                <w:rFonts w:eastAsia="Calibri" w:cs="Mangal"/>
                <w:b/>
                <w:i/>
                <w:lang w:eastAsia="en-US"/>
              </w:rPr>
              <w:t>„Člen 218b</w:t>
            </w:r>
          </w:p>
        </w:tc>
      </w:tr>
      <w:tr w:rsidR="006F5BFE" w:rsidRPr="003B2277" w14:paraId="190A966B" w14:textId="77777777" w:rsidTr="005B4D60">
        <w:trPr>
          <w:jc w:val="center"/>
        </w:trPr>
        <w:tc>
          <w:tcPr>
            <w:tcW w:w="4876" w:type="dxa"/>
          </w:tcPr>
          <w:p w14:paraId="74CA64F5" w14:textId="77777777" w:rsidR="006F5BFE" w:rsidRPr="003B2277" w:rsidRDefault="006F5BFE" w:rsidP="005B4D60">
            <w:pPr>
              <w:spacing w:after="120"/>
            </w:pPr>
          </w:p>
        </w:tc>
        <w:tc>
          <w:tcPr>
            <w:tcW w:w="4876" w:type="dxa"/>
            <w:hideMark/>
          </w:tcPr>
          <w:p w14:paraId="139011E1" w14:textId="77777777" w:rsidR="006F5BFE" w:rsidRPr="003B2277" w:rsidRDefault="006F5BFE" w:rsidP="005B4D60">
            <w:pPr>
              <w:spacing w:after="120"/>
              <w:rPr>
                <w:szCs w:val="24"/>
                <w:lang w:eastAsia="en-US"/>
              </w:rPr>
            </w:pPr>
            <w:r w:rsidRPr="003B2277">
              <w:rPr>
                <w:rFonts w:eastAsia="Calibri" w:cs="Mangal"/>
                <w:b/>
                <w:i/>
                <w:lang w:eastAsia="en-US"/>
              </w:rPr>
              <w:t>Mehanizem zgodnjega opozarjanja za motnje na trgu in alarmne vrednosti</w:t>
            </w:r>
          </w:p>
        </w:tc>
      </w:tr>
      <w:tr w:rsidR="006F5BFE" w:rsidRPr="003B2277" w14:paraId="547AA7CF" w14:textId="77777777" w:rsidTr="005B4D60">
        <w:trPr>
          <w:jc w:val="center"/>
        </w:trPr>
        <w:tc>
          <w:tcPr>
            <w:tcW w:w="4876" w:type="dxa"/>
          </w:tcPr>
          <w:p w14:paraId="46394AC2" w14:textId="77777777" w:rsidR="006F5BFE" w:rsidRPr="003B2277" w:rsidRDefault="006F5BFE" w:rsidP="005B4D60">
            <w:pPr>
              <w:spacing w:after="120"/>
            </w:pPr>
          </w:p>
        </w:tc>
        <w:tc>
          <w:tcPr>
            <w:tcW w:w="4876" w:type="dxa"/>
            <w:hideMark/>
          </w:tcPr>
          <w:p w14:paraId="1EF5BDAF"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Opazovalnica vzpostavi mehanizem zgodnjega opozarjanja in alarmne vrednosti ter obvešča Evropski parlament in Svet o preseženih alarmnih vrednostih ter nevarnostih motenj na trgu, ki jih povzročijo zlasti znatno povišanje ali znižanje cen na notranjih ali zunanjih trgih ali drugi dogodki in okoliščine s podobnimi učinki.</w:t>
            </w:r>
          </w:p>
        </w:tc>
      </w:tr>
      <w:tr w:rsidR="006F5BFE" w:rsidRPr="003B2277" w14:paraId="182991EA" w14:textId="77777777" w:rsidTr="005B4D60">
        <w:trPr>
          <w:jc w:val="center"/>
        </w:trPr>
        <w:tc>
          <w:tcPr>
            <w:tcW w:w="4876" w:type="dxa"/>
          </w:tcPr>
          <w:p w14:paraId="008483C0" w14:textId="77777777" w:rsidR="006F5BFE" w:rsidRPr="003B2277" w:rsidRDefault="006F5BFE" w:rsidP="005B4D60">
            <w:pPr>
              <w:spacing w:after="120"/>
            </w:pPr>
          </w:p>
        </w:tc>
        <w:tc>
          <w:tcPr>
            <w:tcW w:w="4876" w:type="dxa"/>
            <w:hideMark/>
          </w:tcPr>
          <w:p w14:paraId="76BEFE2A" w14:textId="77777777" w:rsidR="006F5BFE" w:rsidRPr="003B2277" w:rsidRDefault="006F5BFE" w:rsidP="005B4D60">
            <w:pPr>
              <w:spacing w:after="120"/>
              <w:rPr>
                <w:szCs w:val="24"/>
                <w:lang w:eastAsia="en-US"/>
              </w:rPr>
            </w:pPr>
            <w:r w:rsidRPr="003B2277">
              <w:rPr>
                <w:rFonts w:eastAsia="Calibri" w:cs="Mangal"/>
                <w:b/>
                <w:i/>
                <w:lang w:eastAsia="en-US"/>
              </w:rPr>
              <w:t>Alarmne vrednosti so dosežene:</w:t>
            </w:r>
          </w:p>
        </w:tc>
      </w:tr>
      <w:tr w:rsidR="006F5BFE" w:rsidRPr="003B2277" w14:paraId="0D4F412D" w14:textId="77777777" w:rsidTr="005B4D60">
        <w:trPr>
          <w:jc w:val="center"/>
        </w:trPr>
        <w:tc>
          <w:tcPr>
            <w:tcW w:w="4876" w:type="dxa"/>
          </w:tcPr>
          <w:p w14:paraId="0DCF7861" w14:textId="77777777" w:rsidR="006F5BFE" w:rsidRPr="003B2277" w:rsidRDefault="006F5BFE" w:rsidP="005B4D60">
            <w:pPr>
              <w:spacing w:after="120"/>
            </w:pPr>
          </w:p>
        </w:tc>
        <w:tc>
          <w:tcPr>
            <w:tcW w:w="4876" w:type="dxa"/>
            <w:hideMark/>
          </w:tcPr>
          <w:p w14:paraId="6B49E7D2" w14:textId="77777777" w:rsidR="006F5BFE" w:rsidRPr="003B2277" w:rsidRDefault="006F5BFE" w:rsidP="005B4D60">
            <w:pPr>
              <w:spacing w:after="120"/>
              <w:rPr>
                <w:szCs w:val="24"/>
                <w:lang w:eastAsia="en-US"/>
              </w:rPr>
            </w:pPr>
            <w:r w:rsidRPr="003B2277">
              <w:rPr>
                <w:rFonts w:eastAsia="Calibri" w:cs="Mangal"/>
                <w:b/>
                <w:i/>
                <w:lang w:eastAsia="en-US"/>
              </w:rPr>
              <w:t>(a) kadar je tehtana povprečna tržna cena nižja od [XX %] povprečne cene [X] zaporednih tednov po odstranitvi najvišjih in najnižjih referenčnih vrednosti za tedenske cene ali [X] zaporednih mesecev za mesečne cene;</w:t>
            </w:r>
          </w:p>
        </w:tc>
      </w:tr>
      <w:tr w:rsidR="006F5BFE" w:rsidRPr="003B2277" w14:paraId="0F0D8A17" w14:textId="77777777" w:rsidTr="005B4D60">
        <w:trPr>
          <w:jc w:val="center"/>
        </w:trPr>
        <w:tc>
          <w:tcPr>
            <w:tcW w:w="4876" w:type="dxa"/>
          </w:tcPr>
          <w:p w14:paraId="348425C1" w14:textId="77777777" w:rsidR="006F5BFE" w:rsidRPr="003B2277" w:rsidRDefault="006F5BFE" w:rsidP="005B4D60">
            <w:pPr>
              <w:spacing w:after="120"/>
            </w:pPr>
          </w:p>
        </w:tc>
        <w:tc>
          <w:tcPr>
            <w:tcW w:w="4876" w:type="dxa"/>
            <w:hideMark/>
          </w:tcPr>
          <w:p w14:paraId="4CA91EC0" w14:textId="77777777" w:rsidR="006F5BFE" w:rsidRPr="003B2277" w:rsidRDefault="006F5BFE" w:rsidP="005B4D60">
            <w:pPr>
              <w:spacing w:after="120"/>
              <w:rPr>
                <w:szCs w:val="24"/>
                <w:lang w:eastAsia="en-US"/>
              </w:rPr>
            </w:pPr>
            <w:r w:rsidRPr="003B2277">
              <w:rPr>
                <w:rFonts w:eastAsia="Calibri" w:cs="Mangal"/>
                <w:b/>
                <w:i/>
                <w:lang w:eastAsia="en-US"/>
              </w:rPr>
              <w:t>(b) kadar je tehtana povprečna tržna cena višja od [XX %] povprečne cene [X] zaporednih tednov po odstranitvi najvišjih in najnižjih referenčnih vrednosti za tedenske cene ali [X] zaporednih mesecev za mesečne cene.</w:t>
            </w:r>
          </w:p>
        </w:tc>
      </w:tr>
      <w:tr w:rsidR="006F5BFE" w:rsidRPr="003B2277" w14:paraId="27269BB8" w14:textId="77777777" w:rsidTr="005B4D60">
        <w:trPr>
          <w:jc w:val="center"/>
        </w:trPr>
        <w:tc>
          <w:tcPr>
            <w:tcW w:w="4876" w:type="dxa"/>
          </w:tcPr>
          <w:p w14:paraId="15773BC5" w14:textId="77777777" w:rsidR="006F5BFE" w:rsidRPr="003B2277" w:rsidRDefault="006F5BFE" w:rsidP="005B4D60">
            <w:pPr>
              <w:spacing w:after="120"/>
            </w:pPr>
          </w:p>
        </w:tc>
        <w:tc>
          <w:tcPr>
            <w:tcW w:w="4876" w:type="dxa"/>
            <w:hideMark/>
          </w:tcPr>
          <w:p w14:paraId="1A3CBCE0" w14:textId="77777777" w:rsidR="006F5BFE" w:rsidRPr="003B2277" w:rsidRDefault="006F5BFE" w:rsidP="005B4D60">
            <w:pPr>
              <w:spacing w:after="120"/>
              <w:rPr>
                <w:szCs w:val="24"/>
                <w:lang w:eastAsia="en-US"/>
              </w:rPr>
            </w:pPr>
            <w:r w:rsidRPr="003B2277">
              <w:rPr>
                <w:rFonts w:eastAsia="Calibri" w:cs="Mangal"/>
                <w:b/>
                <w:i/>
                <w:lang w:eastAsia="en-US"/>
              </w:rPr>
              <w:t>Komisija najpozneje v 30 dneh od prejema obvestila opazovalnice Parlamentu in Svetu predstavi razmere na trgu za zadevni proizvod, vzroke za motnje na trgu in po potrebi morebitne ukrepe, ki jih je treba sprejeti, zlasti ukrepe iz poglavja 1 naslova I dela II te uredbe in/ali iz členov 219, 219a, 220, 221 in 222, ali pojasni, zakaj teh ukrepov ni sprejela.“</w:t>
            </w:r>
          </w:p>
        </w:tc>
      </w:tr>
    </w:tbl>
    <w:p w14:paraId="0F309A1E" w14:textId="77777777" w:rsidR="006F5BFE" w:rsidRPr="003B2277" w:rsidRDefault="006F5BFE" w:rsidP="006F5BFE">
      <w:pPr>
        <w:rPr>
          <w:lang w:eastAsia="en-US"/>
        </w:rPr>
      </w:pPr>
    </w:p>
    <w:p w14:paraId="5695342F" w14:textId="77777777" w:rsidR="006F5BFE" w:rsidRPr="003B2277" w:rsidRDefault="006F5BFE" w:rsidP="006F5BFE"/>
    <w:p w14:paraId="34FFCD43" w14:textId="3A2498B7" w:rsidR="006F5BFE" w:rsidRPr="003B2277" w:rsidRDefault="003B2277" w:rsidP="006F5BF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148</w:t>
      </w:r>
    </w:p>
    <w:p w14:paraId="5472432E" w14:textId="77777777" w:rsidR="006F5BFE" w:rsidRPr="003B2277" w:rsidRDefault="006F5BFE" w:rsidP="006F5BFE"/>
    <w:p w14:paraId="3E880C42" w14:textId="77777777" w:rsidR="006F5BFE" w:rsidRPr="003B2277" w:rsidRDefault="006F5BFE" w:rsidP="006F5BFE">
      <w:pPr>
        <w:keepNext/>
        <w:rPr>
          <w:b/>
          <w:lang w:eastAsia="en-US"/>
        </w:rPr>
      </w:pPr>
      <w:r w:rsidRPr="003B2277">
        <w:rPr>
          <w:rFonts w:eastAsia="Calibri" w:cs="Mangal"/>
          <w:b/>
          <w:lang w:eastAsia="en-US"/>
        </w:rPr>
        <w:t>Predlog uredbe</w:t>
      </w:r>
    </w:p>
    <w:p w14:paraId="044B23EF" w14:textId="74C87D3A"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j</w:t>
      </w:r>
      <w:r w:rsidRPr="003B2277">
        <w:rPr>
          <w:rFonts w:eastAsia="Calibri" w:cs="Mangal"/>
          <w:b/>
          <w:lang w:eastAsia="en-US"/>
        </w:rPr>
        <w:t xml:space="preserve"> (novo)</w:t>
      </w:r>
    </w:p>
    <w:p w14:paraId="51AE4723" w14:textId="77777777" w:rsidR="006F5BFE" w:rsidRPr="003B2277" w:rsidRDefault="006F5BFE" w:rsidP="006F5BFE">
      <w:pPr>
        <w:keepNext/>
        <w:rPr>
          <w:lang w:eastAsia="en-US"/>
        </w:rPr>
      </w:pPr>
      <w:r w:rsidRPr="003B2277">
        <w:rPr>
          <w:rFonts w:eastAsia="Calibri" w:cs="Mangal"/>
          <w:lang w:eastAsia="en-US"/>
        </w:rPr>
        <w:t>Uredba (EU) št. 1308/2013</w:t>
      </w:r>
    </w:p>
    <w:p w14:paraId="25EBF637" w14:textId="77777777" w:rsidR="006F5BFE" w:rsidRPr="003B2277" w:rsidRDefault="006F5BFE" w:rsidP="006F5BFE">
      <w:pPr>
        <w:rPr>
          <w:lang w:eastAsia="en-US"/>
        </w:rPr>
      </w:pPr>
      <w:r w:rsidRPr="003B2277">
        <w:rPr>
          <w:rFonts w:eastAsia="Calibri" w:cs="Mangal"/>
          <w:lang w:eastAsia="en-US"/>
        </w:rPr>
        <w:t>Člen 219</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2790C25" w14:textId="77777777" w:rsidTr="005B4D60">
        <w:trPr>
          <w:jc w:val="center"/>
        </w:trPr>
        <w:tc>
          <w:tcPr>
            <w:tcW w:w="9752" w:type="dxa"/>
            <w:gridSpan w:val="2"/>
          </w:tcPr>
          <w:p w14:paraId="6851500E" w14:textId="77777777" w:rsidR="006F5BFE" w:rsidRPr="003B2277" w:rsidRDefault="006F5BFE" w:rsidP="005B4D60">
            <w:pPr>
              <w:keepNext/>
            </w:pPr>
          </w:p>
        </w:tc>
      </w:tr>
      <w:tr w:rsidR="006F5BFE" w:rsidRPr="003B2277" w14:paraId="57D4FB2B" w14:textId="77777777" w:rsidTr="005B4D60">
        <w:trPr>
          <w:jc w:val="center"/>
        </w:trPr>
        <w:tc>
          <w:tcPr>
            <w:tcW w:w="4876" w:type="dxa"/>
            <w:hideMark/>
          </w:tcPr>
          <w:p w14:paraId="48D39FDD"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9A8B281" w14:textId="2903793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E649E48" w14:textId="77777777" w:rsidTr="005B4D60">
        <w:trPr>
          <w:jc w:val="center"/>
        </w:trPr>
        <w:tc>
          <w:tcPr>
            <w:tcW w:w="4876" w:type="dxa"/>
          </w:tcPr>
          <w:p w14:paraId="20B487A6" w14:textId="77777777" w:rsidR="006F5BFE" w:rsidRPr="003B2277" w:rsidRDefault="006F5BFE" w:rsidP="005B4D60">
            <w:pPr>
              <w:spacing w:after="120"/>
            </w:pPr>
          </w:p>
        </w:tc>
        <w:tc>
          <w:tcPr>
            <w:tcW w:w="4876" w:type="dxa"/>
            <w:hideMark/>
          </w:tcPr>
          <w:p w14:paraId="48C4BBC7" w14:textId="4A79122E" w:rsidR="006F5BFE" w:rsidRPr="003B2277" w:rsidRDefault="006F5BFE" w:rsidP="005B4D60">
            <w:pPr>
              <w:spacing w:after="120"/>
              <w:rPr>
                <w:szCs w:val="24"/>
                <w:lang w:eastAsia="en-US"/>
              </w:rPr>
            </w:pPr>
            <w:r w:rsidRPr="003B2277">
              <w:rPr>
                <w:rFonts w:eastAsia="Calibri" w:cs="Mangal"/>
                <w:b/>
                <w:i/>
                <w:lang w:eastAsia="en-US"/>
              </w:rPr>
              <w:t>(26</w:t>
            </w:r>
            <w:r w:rsidR="00465DEA">
              <w:rPr>
                <w:rFonts w:eastAsia="Calibri" w:cs="Mangal"/>
                <w:b/>
                <w:i/>
                <w:lang w:eastAsia="en-US"/>
              </w:rPr>
              <w:t>j</w:t>
            </w:r>
            <w:r w:rsidRPr="003B2277">
              <w:rPr>
                <w:rFonts w:eastAsia="Calibri" w:cs="Mangal"/>
                <w:b/>
                <w:i/>
                <w:lang w:eastAsia="en-US"/>
              </w:rPr>
              <w:t>)</w:t>
            </w:r>
            <w:r w:rsidRPr="003B2277">
              <w:rPr>
                <w:rFonts w:eastAsia="Calibri" w:cs="Mangal"/>
                <w:b/>
                <w:i/>
                <w:lang w:eastAsia="en-US"/>
              </w:rPr>
              <w:tab/>
              <w:t>člen 219 se nadomesti z naslednjim:</w:t>
            </w:r>
          </w:p>
        </w:tc>
      </w:tr>
      <w:tr w:rsidR="006F5BFE" w:rsidRPr="003B2277" w14:paraId="26E1FBC8" w14:textId="77777777" w:rsidTr="005B4D60">
        <w:trPr>
          <w:jc w:val="center"/>
        </w:trPr>
        <w:tc>
          <w:tcPr>
            <w:tcW w:w="4876" w:type="dxa"/>
            <w:hideMark/>
          </w:tcPr>
          <w:p w14:paraId="3518F398" w14:textId="77777777" w:rsidR="006F5BFE" w:rsidRPr="003B2277" w:rsidRDefault="006F5BFE" w:rsidP="005B4D60">
            <w:pPr>
              <w:spacing w:after="120"/>
              <w:rPr>
                <w:lang w:eastAsia="en-US"/>
              </w:rPr>
            </w:pPr>
            <w:r w:rsidRPr="003B2277">
              <w:rPr>
                <w:rFonts w:eastAsia="Calibri" w:cs="Mangal"/>
                <w:lang w:eastAsia="en-US"/>
              </w:rPr>
              <w:t>Člen 219</w:t>
            </w:r>
          </w:p>
        </w:tc>
        <w:tc>
          <w:tcPr>
            <w:tcW w:w="4876" w:type="dxa"/>
            <w:hideMark/>
          </w:tcPr>
          <w:p w14:paraId="1945D3FB" w14:textId="77777777" w:rsidR="006F5BFE" w:rsidRPr="003B2277" w:rsidRDefault="006F5BFE" w:rsidP="005B4D60">
            <w:pPr>
              <w:spacing w:after="120"/>
              <w:rPr>
                <w:szCs w:val="24"/>
                <w:lang w:eastAsia="en-US"/>
              </w:rPr>
            </w:pPr>
            <w:r w:rsidRPr="003B2277">
              <w:rPr>
                <w:rFonts w:eastAsia="Calibri" w:cs="Mangal"/>
                <w:b/>
                <w:i/>
                <w:lang w:eastAsia="en-US"/>
              </w:rPr>
              <w:t>„Člen 219</w:t>
            </w:r>
          </w:p>
        </w:tc>
      </w:tr>
      <w:tr w:rsidR="006F5BFE" w:rsidRPr="003B2277" w14:paraId="63C3550D" w14:textId="77777777" w:rsidTr="005B4D60">
        <w:trPr>
          <w:jc w:val="center"/>
        </w:trPr>
        <w:tc>
          <w:tcPr>
            <w:tcW w:w="4876" w:type="dxa"/>
            <w:hideMark/>
          </w:tcPr>
          <w:p w14:paraId="4684F8F4" w14:textId="77777777" w:rsidR="006F5BFE" w:rsidRPr="003B2277" w:rsidRDefault="006F5BFE" w:rsidP="005B4D60">
            <w:pPr>
              <w:spacing w:after="120"/>
              <w:rPr>
                <w:lang w:eastAsia="en-US"/>
              </w:rPr>
            </w:pPr>
            <w:r w:rsidRPr="003B2277">
              <w:rPr>
                <w:rFonts w:eastAsia="Calibri" w:cs="Mangal"/>
                <w:lang w:eastAsia="en-US"/>
              </w:rPr>
              <w:t xml:space="preserve">Ukrepi </w:t>
            </w:r>
            <w:r w:rsidRPr="003B2277">
              <w:rPr>
                <w:rFonts w:eastAsia="Calibri" w:cs="Mangal"/>
                <w:b/>
                <w:i/>
                <w:lang w:eastAsia="en-US"/>
              </w:rPr>
              <w:t>proti motnjam</w:t>
            </w:r>
            <w:r w:rsidRPr="003B2277">
              <w:rPr>
                <w:rFonts w:eastAsia="Calibri" w:cs="Mangal"/>
                <w:lang w:eastAsia="en-US"/>
              </w:rPr>
              <w:t xml:space="preserve"> na trgu</w:t>
            </w:r>
          </w:p>
        </w:tc>
        <w:tc>
          <w:tcPr>
            <w:tcW w:w="4876" w:type="dxa"/>
            <w:hideMark/>
          </w:tcPr>
          <w:p w14:paraId="764F858C" w14:textId="77777777" w:rsidR="006F5BFE" w:rsidRPr="003B2277" w:rsidRDefault="006F5BFE" w:rsidP="005B4D60">
            <w:pPr>
              <w:spacing w:after="120"/>
              <w:rPr>
                <w:szCs w:val="24"/>
                <w:lang w:eastAsia="en-US"/>
              </w:rPr>
            </w:pPr>
            <w:r w:rsidRPr="003B2277">
              <w:rPr>
                <w:rFonts w:eastAsia="Calibri" w:cs="Mangal"/>
                <w:lang w:eastAsia="en-US"/>
              </w:rPr>
              <w:t xml:space="preserve">Ukrepi </w:t>
            </w:r>
            <w:r w:rsidRPr="003B2277">
              <w:rPr>
                <w:rFonts w:eastAsia="Calibri" w:cs="Mangal"/>
                <w:b/>
                <w:i/>
                <w:lang w:eastAsia="en-US"/>
              </w:rPr>
              <w:t>za preprečevanje in upravljanje motenj</w:t>
            </w:r>
            <w:r w:rsidRPr="003B2277">
              <w:rPr>
                <w:rFonts w:eastAsia="Calibri" w:cs="Mangal"/>
                <w:lang w:eastAsia="en-US"/>
              </w:rPr>
              <w:t xml:space="preserve"> na trgu</w:t>
            </w:r>
          </w:p>
        </w:tc>
      </w:tr>
      <w:tr w:rsidR="006F5BFE" w:rsidRPr="003B2277" w14:paraId="47A63A23" w14:textId="77777777" w:rsidTr="005B4D60">
        <w:trPr>
          <w:jc w:val="center"/>
        </w:trPr>
        <w:tc>
          <w:tcPr>
            <w:tcW w:w="4876" w:type="dxa"/>
            <w:hideMark/>
          </w:tcPr>
          <w:p w14:paraId="57A2C40A"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Da se učinkovito in uspešno odzove na nevarnosti motenj na trgu, ki jih povzročijo znatna povišanja ali padci cen na notranjih ali zunanjih trgih ali drugi dogodki in okoliščine, ki močno motijo ali bi lahko močno motili trg, če obstaja verjetnost, da se bodo te razmere ali njihovi učinki na trg nadaljevali ali poslabšali, se na Komisijo prenese pooblastilo za sprejemanje delegiranih aktov v skladu s členom 227, s katerimi izvede ukrepe, ki so potrebni za obravnavo teh razmer na trgu, pri čemer je treba upoštevati vse obveznosti, ki izhajajo iz mednarodnih sporazumov, sklenjenih v skladu s PDEU</w:t>
            </w:r>
            <w:r w:rsidRPr="003B2277">
              <w:rPr>
                <w:rFonts w:eastAsia="Calibri" w:cs="Mangal"/>
                <w:b/>
                <w:i/>
                <w:lang w:eastAsia="en-US"/>
              </w:rPr>
              <w:t>, in pod pogojem, da vsi drugi ukrepi iz te uredbe niso zadostni</w:t>
            </w:r>
            <w:r w:rsidRPr="003B2277">
              <w:rPr>
                <w:rFonts w:eastAsia="Calibri" w:cs="Mangal"/>
                <w:lang w:eastAsia="en-US"/>
              </w:rPr>
              <w:t>.</w:t>
            </w:r>
          </w:p>
        </w:tc>
        <w:tc>
          <w:tcPr>
            <w:tcW w:w="4876" w:type="dxa"/>
            <w:hideMark/>
          </w:tcPr>
          <w:p w14:paraId="1A479830"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Da se učinkovito in uspešno odzove na nevarnosti motenj na trgu, ki jih povzročijo znatna povišanja ali padci cen na notranjih ali zunanjih trgih ali drugi dogodki in okoliščine, ki močno motijo ali bi lahko močno motili trg, če obstaja verjetnost, da se bodo te razmere ali njihovi učinki na trg nadaljevali ali poslabšali, se na Komisijo prenese pooblastilo za sprejemanje delegiranih aktov v skladu s členom 227, s katerimi izvede ukrepe, ki so potrebni za obravnavo teh razmer na trgu, pri čemer je treba upoštevati vse obveznosti, ki izhajajo iz mednarodnih sporazumov, sklenjenih v skladu s PDEU.</w:t>
            </w:r>
          </w:p>
        </w:tc>
      </w:tr>
      <w:tr w:rsidR="006F5BFE" w:rsidRPr="003B2277" w14:paraId="5622CB40" w14:textId="77777777" w:rsidTr="005B4D60">
        <w:trPr>
          <w:jc w:val="center"/>
        </w:trPr>
        <w:tc>
          <w:tcPr>
            <w:tcW w:w="4876" w:type="dxa"/>
            <w:hideMark/>
          </w:tcPr>
          <w:p w14:paraId="4F111C3E" w14:textId="77777777" w:rsidR="006F5BFE" w:rsidRPr="003B2277" w:rsidRDefault="006F5BFE" w:rsidP="005B4D60">
            <w:pPr>
              <w:spacing w:after="120"/>
              <w:rPr>
                <w:lang w:eastAsia="en-US"/>
              </w:rPr>
            </w:pPr>
            <w:r w:rsidRPr="003B2277">
              <w:rPr>
                <w:rFonts w:eastAsia="Calibri" w:cs="Mangal"/>
                <w:lang w:eastAsia="en-US"/>
              </w:rPr>
              <w:t>Kadar v primerih nevarnosti motenj na trgu iz prvega pododstavka tega odstavka to zahtevajo izredno nujni razlogi, se za delegirane akte, sprejete na podlagi prvega pododstavka tega odstavka, uporablja postopek iz člena 228.</w:t>
            </w:r>
          </w:p>
        </w:tc>
        <w:tc>
          <w:tcPr>
            <w:tcW w:w="4876" w:type="dxa"/>
            <w:hideMark/>
          </w:tcPr>
          <w:p w14:paraId="5E7553F5" w14:textId="77777777" w:rsidR="006F5BFE" w:rsidRPr="003B2277" w:rsidRDefault="006F5BFE" w:rsidP="005B4D60">
            <w:pPr>
              <w:spacing w:after="120"/>
              <w:rPr>
                <w:szCs w:val="24"/>
                <w:lang w:eastAsia="en-US"/>
              </w:rPr>
            </w:pPr>
            <w:r w:rsidRPr="003B2277">
              <w:rPr>
                <w:rFonts w:eastAsia="Calibri" w:cs="Mangal"/>
                <w:lang w:eastAsia="en-US"/>
              </w:rPr>
              <w:t>Kadar v primerih nevarnosti motenj na trgu iz prvega pododstavka tega odstavka to zahtevajo izredno nujni razlogi, se za delegirane akte, sprejete na podlagi prvega pododstavka tega odstavka, uporablja postopek iz člena 228.</w:t>
            </w:r>
          </w:p>
        </w:tc>
      </w:tr>
      <w:tr w:rsidR="006F5BFE" w:rsidRPr="003B2277" w14:paraId="21B8B756" w14:textId="77777777" w:rsidTr="005B4D60">
        <w:trPr>
          <w:jc w:val="center"/>
        </w:trPr>
        <w:tc>
          <w:tcPr>
            <w:tcW w:w="4876" w:type="dxa"/>
            <w:hideMark/>
          </w:tcPr>
          <w:p w14:paraId="0FDC29A6" w14:textId="77777777" w:rsidR="006F5BFE" w:rsidRPr="003B2277" w:rsidRDefault="006F5BFE" w:rsidP="005B4D60">
            <w:pPr>
              <w:spacing w:after="120"/>
              <w:rPr>
                <w:lang w:eastAsia="en-US"/>
              </w:rPr>
            </w:pPr>
            <w:r w:rsidRPr="003B2277">
              <w:rPr>
                <w:rFonts w:eastAsia="Calibri" w:cs="Mangal"/>
                <w:lang w:eastAsia="en-US"/>
              </w:rPr>
              <w:t>Ti izredno nujni primeri lahko vključujejo potrebo po takojšnjem ukrepanju za odpravo ali preprečitev motenj na trgu, ko se nevarnost motenj na trgu pojavi tako hitro ali nepričakovano, da je za učinkovito in uspešno odpravo nastalih razmer potrebno takojšnje ukrepanje, ali ko bi se z ukrepanjem preprečilo, da se takšna nevarnost motenj na trgu uresniči, nadaljuje ali razvije v resnejšo ali daljšo motnjo, ali ko bi se zaradi zavlačevanja s takojšnjim ukrepanjem lahko pojavile ali poslabšale motnje ali bi bilo pozneje treba sprejeti povečano število ukrepov za odpravo nevarnosti ali motnje ali bi to ogrozilo proizvodnjo ali poslabšalo tržne pogoje.</w:t>
            </w:r>
          </w:p>
        </w:tc>
        <w:tc>
          <w:tcPr>
            <w:tcW w:w="4876" w:type="dxa"/>
            <w:hideMark/>
          </w:tcPr>
          <w:p w14:paraId="0C367F27" w14:textId="77777777" w:rsidR="006F5BFE" w:rsidRPr="003B2277" w:rsidRDefault="006F5BFE" w:rsidP="005B4D60">
            <w:pPr>
              <w:spacing w:after="120"/>
              <w:rPr>
                <w:szCs w:val="24"/>
                <w:lang w:eastAsia="en-US"/>
              </w:rPr>
            </w:pPr>
            <w:r w:rsidRPr="003B2277">
              <w:rPr>
                <w:rFonts w:eastAsia="Calibri" w:cs="Mangal"/>
                <w:lang w:eastAsia="en-US"/>
              </w:rPr>
              <w:t>Ti izredno nujni primeri lahko vključujejo potrebo po takojšnjem ukrepanju za odpravo ali preprečitev motenj na trgu, ko se nevarnost motenj na trgu pojavi tako hitro ali nepričakovano, da je za učinkovito in uspešno odpravo nastalih razmer potrebno takojšnje ukrepanje, ali ko bi se z ukrepanjem preprečilo, da se takšna nevarnost motenj na trgu uresniči, nadaljuje ali razvije v resnejšo ali daljšo motnjo, ali ko bi se zaradi zavlačevanja s takojšnjim ukrepanjem lahko pojavile ali poslabšale motnje ali bi bilo pozneje treba sprejeti povečano število ukrepov za odpravo nevarnosti ali motnje ali bi to ogrozilo proizvodnjo ali poslabšalo tržne pogoje.</w:t>
            </w:r>
          </w:p>
        </w:tc>
      </w:tr>
      <w:tr w:rsidR="006F5BFE" w:rsidRPr="003B2277" w14:paraId="73CCE457" w14:textId="77777777" w:rsidTr="005B4D60">
        <w:trPr>
          <w:jc w:val="center"/>
        </w:trPr>
        <w:tc>
          <w:tcPr>
            <w:tcW w:w="4876" w:type="dxa"/>
            <w:hideMark/>
          </w:tcPr>
          <w:p w14:paraId="465E329D" w14:textId="77777777" w:rsidR="006F5BFE" w:rsidRPr="003B2277" w:rsidRDefault="006F5BFE" w:rsidP="005B4D60">
            <w:pPr>
              <w:spacing w:after="120"/>
              <w:rPr>
                <w:lang w:eastAsia="en-US"/>
              </w:rPr>
            </w:pPr>
            <w:r w:rsidRPr="003B2277">
              <w:rPr>
                <w:rFonts w:eastAsia="Calibri" w:cs="Mangal"/>
                <w:lang w:eastAsia="en-US"/>
              </w:rPr>
              <w:t xml:space="preserve">Za odpravo motenj na trgu ali njihove nevarnosti se lahko na podlagi takih ukrepov v potrebnem obsegu in za potreben čas razširijo ali spremenijo področje uporabe, trajanje ali drugi vidiki drugih ukrepov, določenih v tej uredbi, </w:t>
            </w:r>
            <w:r w:rsidRPr="003B2277">
              <w:rPr>
                <w:rFonts w:eastAsia="Calibri" w:cs="Mangal"/>
                <w:b/>
                <w:i/>
                <w:lang w:eastAsia="en-US"/>
              </w:rPr>
              <w:t>ali določijo izvozna nadomestila ali</w:t>
            </w:r>
            <w:r w:rsidRPr="003B2277">
              <w:rPr>
                <w:rFonts w:eastAsia="Calibri" w:cs="Mangal"/>
                <w:lang w:eastAsia="en-US"/>
              </w:rPr>
              <w:t xml:space="preserve"> delno oziroma v celoti opusti uporaba uvoznih dajatev, po potrebi tudi za nekatere količine ali obdobja.</w:t>
            </w:r>
          </w:p>
        </w:tc>
        <w:tc>
          <w:tcPr>
            <w:tcW w:w="4876" w:type="dxa"/>
            <w:hideMark/>
          </w:tcPr>
          <w:p w14:paraId="26C878BE" w14:textId="77777777" w:rsidR="006F5BFE" w:rsidRPr="003B2277" w:rsidRDefault="006F5BFE" w:rsidP="005B4D60">
            <w:pPr>
              <w:spacing w:after="120"/>
              <w:rPr>
                <w:szCs w:val="24"/>
                <w:lang w:eastAsia="en-US"/>
              </w:rPr>
            </w:pPr>
            <w:r w:rsidRPr="003B2277">
              <w:rPr>
                <w:rFonts w:eastAsia="Calibri" w:cs="Mangal"/>
                <w:lang w:eastAsia="en-US"/>
              </w:rPr>
              <w:t xml:space="preserve">Za odpravo motenj na trgu ali njihove nevarnosti se lahko na podlagi takih ukrepov v potrebnem obsegu in za potreben čas razširijo ali spremenijo področje uporabe, trajanje ali drugi vidiki drugih ukrepov, določenih v tej uredbi, </w:t>
            </w:r>
            <w:r w:rsidRPr="003B2277">
              <w:rPr>
                <w:rFonts w:eastAsia="Calibri" w:cs="Mangal"/>
                <w:b/>
                <w:i/>
                <w:lang w:eastAsia="en-US"/>
              </w:rPr>
              <w:t>in drugih ukrepov, določenih v členih 39 do 63 poglavja III uredbe o strateških načrtih, okrepijo kontrole pri uvozu,</w:t>
            </w:r>
            <w:r w:rsidRPr="003B2277">
              <w:rPr>
                <w:rFonts w:eastAsia="Calibri" w:cs="Mangal"/>
                <w:lang w:eastAsia="en-US"/>
              </w:rPr>
              <w:t xml:space="preserve"> delno oziroma v celoti opusti</w:t>
            </w:r>
            <w:r w:rsidRPr="003B2277">
              <w:rPr>
                <w:rFonts w:eastAsia="Calibri" w:cs="Mangal"/>
                <w:b/>
                <w:i/>
                <w:lang w:eastAsia="en-US"/>
              </w:rPr>
              <w:t xml:space="preserve"> ali prilagodi</w:t>
            </w:r>
            <w:r w:rsidRPr="003B2277">
              <w:rPr>
                <w:rFonts w:eastAsia="Calibri" w:cs="Mangal"/>
                <w:lang w:eastAsia="en-US"/>
              </w:rPr>
              <w:t xml:space="preserve"> uporaba uvoznih dajatev, po potrebi tudi za nekatere količine ali obdobja.</w:t>
            </w:r>
            <w:r w:rsidRPr="003B2277">
              <w:rPr>
                <w:rFonts w:eastAsia="Calibri" w:cs="Mangal"/>
                <w:b/>
                <w:i/>
                <w:lang w:eastAsia="en-US"/>
              </w:rPr>
              <w:t xml:space="preserve"> Ti ukrepi se lahko nanašajo tudi na prilagoditev sistema vhodne cene za sadje in zelenjavo z začetkom posvetovanj s tretjimi državami, ki izvažajo v Evropsko unijo.</w:t>
            </w:r>
          </w:p>
        </w:tc>
      </w:tr>
      <w:tr w:rsidR="006F5BFE" w:rsidRPr="003B2277" w14:paraId="01E51827" w14:textId="77777777" w:rsidTr="005B4D60">
        <w:trPr>
          <w:jc w:val="center"/>
        </w:trPr>
        <w:tc>
          <w:tcPr>
            <w:tcW w:w="4876" w:type="dxa"/>
            <w:hideMark/>
          </w:tcPr>
          <w:p w14:paraId="1660DD36" w14:textId="77777777" w:rsidR="006F5BFE" w:rsidRPr="003B2277" w:rsidRDefault="006F5BFE" w:rsidP="005B4D60">
            <w:pPr>
              <w:spacing w:after="120"/>
              <w:rPr>
                <w:lang w:eastAsia="en-US"/>
              </w:rPr>
            </w:pPr>
            <w:r w:rsidRPr="003B2277">
              <w:rPr>
                <w:rFonts w:eastAsia="Calibri" w:cs="Mangal"/>
                <w:lang w:eastAsia="en-US"/>
              </w:rPr>
              <w:t xml:space="preserve">2. </w:t>
            </w:r>
            <w:r w:rsidRPr="003B2277">
              <w:rPr>
                <w:rFonts w:eastAsia="Calibri" w:cs="Mangal"/>
                <w:lang w:eastAsia="en-US"/>
              </w:rPr>
              <w:tab/>
              <w:t>Ukrepi iz odstavka 1 se ne uporabljajo za proizvode iz oddelka 2 dela XXIV Priloge I.</w:t>
            </w:r>
          </w:p>
        </w:tc>
        <w:tc>
          <w:tcPr>
            <w:tcW w:w="4876" w:type="dxa"/>
            <w:hideMark/>
          </w:tcPr>
          <w:p w14:paraId="1D1320FC"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Ukrepi iz odstavka 1 se ne uporabljajo za proizvode iz oddelka 2 dela XXIV Priloge I.</w:t>
            </w:r>
          </w:p>
        </w:tc>
      </w:tr>
      <w:tr w:rsidR="006F5BFE" w:rsidRPr="003B2277" w14:paraId="4D0E28C3" w14:textId="77777777" w:rsidTr="005B4D60">
        <w:trPr>
          <w:jc w:val="center"/>
        </w:trPr>
        <w:tc>
          <w:tcPr>
            <w:tcW w:w="4876" w:type="dxa"/>
            <w:hideMark/>
          </w:tcPr>
          <w:p w14:paraId="4CDC30E9" w14:textId="77777777" w:rsidR="006F5BFE" w:rsidRPr="003B2277" w:rsidRDefault="006F5BFE" w:rsidP="005B4D60">
            <w:pPr>
              <w:spacing w:after="120"/>
              <w:rPr>
                <w:lang w:eastAsia="en-US"/>
              </w:rPr>
            </w:pPr>
            <w:r w:rsidRPr="003B2277">
              <w:rPr>
                <w:rFonts w:eastAsia="Calibri" w:cs="Mangal"/>
                <w:lang w:eastAsia="en-US"/>
              </w:rPr>
              <w:t>Vendar lahko Komisija z delegiranimi akti, sprejetimi v skladu z nujnim postopkom iz člena 228, določi, da se ukrepi iz odstavka 1 uporabljajo za en ali več proizvodov iz oddelka 2 dela XXIV Priloge I.</w:t>
            </w:r>
          </w:p>
        </w:tc>
        <w:tc>
          <w:tcPr>
            <w:tcW w:w="4876" w:type="dxa"/>
            <w:hideMark/>
          </w:tcPr>
          <w:p w14:paraId="364D42F3" w14:textId="77777777" w:rsidR="006F5BFE" w:rsidRPr="003B2277" w:rsidRDefault="006F5BFE" w:rsidP="005B4D60">
            <w:pPr>
              <w:spacing w:after="120"/>
              <w:rPr>
                <w:szCs w:val="24"/>
                <w:lang w:eastAsia="en-US"/>
              </w:rPr>
            </w:pPr>
            <w:r w:rsidRPr="003B2277">
              <w:rPr>
                <w:rFonts w:eastAsia="Calibri" w:cs="Mangal"/>
                <w:lang w:eastAsia="en-US"/>
              </w:rPr>
              <w:t>Vendar lahko Komisija z delegiranimi akti, sprejetimi v skladu z nujnim postopkom iz člena 228, določi, da se ukrepi iz odstavka 1 uporabljajo za en ali več proizvodov iz oddelka 2 dela XXIV Priloge I.</w:t>
            </w:r>
          </w:p>
        </w:tc>
      </w:tr>
      <w:tr w:rsidR="006F5BFE" w:rsidRPr="003B2277" w14:paraId="66C09865" w14:textId="77777777" w:rsidTr="005B4D60">
        <w:trPr>
          <w:jc w:val="center"/>
        </w:trPr>
        <w:tc>
          <w:tcPr>
            <w:tcW w:w="4876" w:type="dxa"/>
            <w:hideMark/>
          </w:tcPr>
          <w:p w14:paraId="333E9B6E"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Komisija lahko sprejme izvedbene akte, v katerih določi postopkovna pravila in tehnična merila, ki so potrebna za uporabo ukrepov, sprejetih na podlagi odstavka 1 tega člena. Ti izvedbeni akti se sprejmejo v skladu s postopkom pregleda iz člena 229(2).</w:t>
            </w:r>
          </w:p>
        </w:tc>
        <w:tc>
          <w:tcPr>
            <w:tcW w:w="4876" w:type="dxa"/>
            <w:hideMark/>
          </w:tcPr>
          <w:p w14:paraId="03DD9598" w14:textId="10E3E33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Komisija lahko sprejme izvedbene akte, v katerih določi postopkovna pravila in tehnična merila, ki so potrebna za uporabo ukrepov, sprejetih na podlagi odstavka 1 tega člena. Ti izvedbeni akti se sprejmejo v skladu s postopkom pregleda iz člena 229(2)</w:t>
            </w:r>
            <w:r w:rsidRPr="003B2277">
              <w:rPr>
                <w:rFonts w:eastAsia="Calibri" w:cs="Mangal"/>
                <w:b/>
                <w:i/>
                <w:lang w:eastAsia="en-US"/>
              </w:rPr>
              <w:t>“</w:t>
            </w:r>
          </w:p>
        </w:tc>
      </w:tr>
    </w:tbl>
    <w:p w14:paraId="65B50271" w14:textId="77777777" w:rsidR="006F5BFE" w:rsidRPr="003B2277" w:rsidRDefault="006F5BFE" w:rsidP="006F5BFE">
      <w:pPr>
        <w:rPr>
          <w:lang w:eastAsia="en-US"/>
        </w:rPr>
      </w:pPr>
    </w:p>
    <w:p w14:paraId="6C2B8D27" w14:textId="054E6A4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149</w:t>
      </w:r>
    </w:p>
    <w:p w14:paraId="5DD304C8" w14:textId="77777777" w:rsidR="006F5BFE" w:rsidRPr="003B2277" w:rsidRDefault="006F5BFE" w:rsidP="006F5BFE"/>
    <w:p w14:paraId="036B50FD" w14:textId="77777777" w:rsidR="006F5BFE" w:rsidRPr="003B2277" w:rsidRDefault="006F5BFE" w:rsidP="006F5BFE">
      <w:pPr>
        <w:keepNext/>
        <w:rPr>
          <w:b/>
          <w:lang w:eastAsia="en-US"/>
        </w:rPr>
      </w:pPr>
      <w:r w:rsidRPr="003B2277">
        <w:rPr>
          <w:rFonts w:eastAsia="Calibri" w:cs="Mangal"/>
          <w:b/>
          <w:lang w:eastAsia="en-US"/>
        </w:rPr>
        <w:t>Predlog uredbe</w:t>
      </w:r>
    </w:p>
    <w:p w14:paraId="470EB5B4" w14:textId="29D80F84"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k</w:t>
      </w:r>
      <w:r w:rsidRPr="003B2277">
        <w:rPr>
          <w:rFonts w:eastAsia="Calibri" w:cs="Mangal"/>
          <w:b/>
          <w:lang w:eastAsia="en-US"/>
        </w:rPr>
        <w:t xml:space="preserve"> (novo)</w:t>
      </w:r>
    </w:p>
    <w:p w14:paraId="1A5D9249" w14:textId="77777777" w:rsidR="006F5BFE" w:rsidRPr="003B2277" w:rsidRDefault="006F5BFE" w:rsidP="006F5BFE">
      <w:pPr>
        <w:keepNext/>
        <w:rPr>
          <w:lang w:eastAsia="en-US"/>
        </w:rPr>
      </w:pPr>
      <w:r w:rsidRPr="003B2277">
        <w:rPr>
          <w:rFonts w:eastAsia="Calibri" w:cs="Mangal"/>
          <w:lang w:eastAsia="en-US"/>
        </w:rPr>
        <w:t>Uredba (EU) št. 1308/2013</w:t>
      </w:r>
    </w:p>
    <w:p w14:paraId="12C1B079" w14:textId="77777777" w:rsidR="006F5BFE" w:rsidRPr="003B2277" w:rsidRDefault="006F5BFE" w:rsidP="006F5BFE">
      <w:pPr>
        <w:rPr>
          <w:lang w:eastAsia="en-US"/>
        </w:rPr>
      </w:pPr>
      <w:r w:rsidRPr="003B2277">
        <w:rPr>
          <w:rFonts w:eastAsia="Calibri" w:cs="Mangal"/>
          <w:lang w:eastAsia="en-US"/>
        </w:rPr>
        <w:t>Člen 219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0B0137C" w14:textId="77777777" w:rsidTr="005B4D60">
        <w:trPr>
          <w:jc w:val="center"/>
        </w:trPr>
        <w:tc>
          <w:tcPr>
            <w:tcW w:w="9752" w:type="dxa"/>
            <w:gridSpan w:val="2"/>
          </w:tcPr>
          <w:p w14:paraId="2B9BBD0B" w14:textId="77777777" w:rsidR="006F5BFE" w:rsidRPr="003B2277" w:rsidRDefault="006F5BFE" w:rsidP="005B4D60">
            <w:pPr>
              <w:keepNext/>
            </w:pPr>
          </w:p>
        </w:tc>
      </w:tr>
      <w:tr w:rsidR="006F5BFE" w:rsidRPr="003B2277" w14:paraId="4DF1EDFE" w14:textId="77777777" w:rsidTr="005B4D60">
        <w:trPr>
          <w:jc w:val="center"/>
        </w:trPr>
        <w:tc>
          <w:tcPr>
            <w:tcW w:w="4876" w:type="dxa"/>
            <w:hideMark/>
          </w:tcPr>
          <w:p w14:paraId="4DE83045"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F90B80F" w14:textId="733F756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748F920" w14:textId="77777777" w:rsidTr="005B4D60">
        <w:trPr>
          <w:jc w:val="center"/>
        </w:trPr>
        <w:tc>
          <w:tcPr>
            <w:tcW w:w="4876" w:type="dxa"/>
          </w:tcPr>
          <w:p w14:paraId="5543FB3E" w14:textId="77777777" w:rsidR="006F5BFE" w:rsidRPr="003B2277" w:rsidRDefault="006F5BFE" w:rsidP="005B4D60">
            <w:pPr>
              <w:spacing w:after="120"/>
            </w:pPr>
          </w:p>
        </w:tc>
        <w:tc>
          <w:tcPr>
            <w:tcW w:w="4876" w:type="dxa"/>
            <w:hideMark/>
          </w:tcPr>
          <w:p w14:paraId="2C0A6ECA" w14:textId="60D802F5" w:rsidR="006F5BFE" w:rsidRPr="003B2277" w:rsidRDefault="006F5BFE" w:rsidP="00465DEA">
            <w:pPr>
              <w:spacing w:after="120"/>
              <w:rPr>
                <w:szCs w:val="24"/>
                <w:lang w:eastAsia="en-US"/>
              </w:rPr>
            </w:pPr>
            <w:r w:rsidRPr="003B2277">
              <w:rPr>
                <w:rFonts w:eastAsia="Calibri" w:cs="Mangal"/>
                <w:b/>
                <w:i/>
                <w:lang w:eastAsia="en-US"/>
              </w:rPr>
              <w:t>(26</w:t>
            </w:r>
            <w:r w:rsidR="00465DEA">
              <w:rPr>
                <w:rFonts w:eastAsia="Calibri" w:cs="Mangal"/>
                <w:b/>
                <w:i/>
                <w:lang w:eastAsia="en-US"/>
              </w:rPr>
              <w:t>k</w:t>
            </w:r>
            <w:r w:rsidRPr="003B2277">
              <w:rPr>
                <w:rFonts w:eastAsia="Calibri" w:cs="Mangal"/>
                <w:b/>
                <w:i/>
                <w:lang w:eastAsia="en-US"/>
              </w:rPr>
              <w:t>)</w:t>
            </w:r>
            <w:r w:rsidRPr="003B2277">
              <w:rPr>
                <w:rFonts w:eastAsia="Calibri" w:cs="Mangal"/>
                <w:b/>
                <w:i/>
                <w:lang w:eastAsia="en-US"/>
              </w:rPr>
              <w:tab/>
              <w:t>vstavi se naslednji člen:</w:t>
            </w:r>
          </w:p>
        </w:tc>
      </w:tr>
      <w:tr w:rsidR="006F5BFE" w:rsidRPr="003B2277" w14:paraId="0860B1AE" w14:textId="77777777" w:rsidTr="005B4D60">
        <w:trPr>
          <w:jc w:val="center"/>
        </w:trPr>
        <w:tc>
          <w:tcPr>
            <w:tcW w:w="4876" w:type="dxa"/>
          </w:tcPr>
          <w:p w14:paraId="358A0DE1" w14:textId="77777777" w:rsidR="006F5BFE" w:rsidRPr="003B2277" w:rsidRDefault="006F5BFE" w:rsidP="005B4D60">
            <w:pPr>
              <w:spacing w:after="120"/>
            </w:pPr>
          </w:p>
        </w:tc>
        <w:tc>
          <w:tcPr>
            <w:tcW w:w="4876" w:type="dxa"/>
            <w:hideMark/>
          </w:tcPr>
          <w:p w14:paraId="0C432EA2" w14:textId="77777777" w:rsidR="006F5BFE" w:rsidRPr="003B2277" w:rsidRDefault="006F5BFE" w:rsidP="005B4D60">
            <w:pPr>
              <w:spacing w:after="120"/>
              <w:rPr>
                <w:szCs w:val="24"/>
                <w:lang w:eastAsia="en-US"/>
              </w:rPr>
            </w:pPr>
            <w:r w:rsidRPr="003B2277">
              <w:rPr>
                <w:rFonts w:eastAsia="Calibri" w:cs="Mangal"/>
                <w:b/>
                <w:i/>
                <w:lang w:eastAsia="en-US"/>
              </w:rPr>
              <w:t>„Člen 219a</w:t>
            </w:r>
          </w:p>
        </w:tc>
      </w:tr>
      <w:tr w:rsidR="006F5BFE" w:rsidRPr="003B2277" w14:paraId="0A6BF0E5" w14:textId="77777777" w:rsidTr="005B4D60">
        <w:trPr>
          <w:jc w:val="center"/>
        </w:trPr>
        <w:tc>
          <w:tcPr>
            <w:tcW w:w="4876" w:type="dxa"/>
          </w:tcPr>
          <w:p w14:paraId="008D15DD" w14:textId="77777777" w:rsidR="006F5BFE" w:rsidRPr="003B2277" w:rsidRDefault="006F5BFE" w:rsidP="005B4D60">
            <w:pPr>
              <w:spacing w:after="120"/>
            </w:pPr>
          </w:p>
        </w:tc>
        <w:tc>
          <w:tcPr>
            <w:tcW w:w="4876" w:type="dxa"/>
            <w:hideMark/>
          </w:tcPr>
          <w:p w14:paraId="3F8C74DC" w14:textId="77777777" w:rsidR="006F5BFE" w:rsidRPr="003B2277" w:rsidRDefault="006F5BFE" w:rsidP="005B4D60">
            <w:pPr>
              <w:spacing w:after="120"/>
              <w:rPr>
                <w:szCs w:val="24"/>
                <w:lang w:eastAsia="en-US"/>
              </w:rPr>
            </w:pPr>
            <w:r w:rsidRPr="003B2277">
              <w:rPr>
                <w:rFonts w:eastAsia="Calibri" w:cs="Mangal"/>
                <w:b/>
                <w:i/>
                <w:lang w:eastAsia="en-US"/>
              </w:rPr>
              <w:t>Shema za zmanjšanje obsega proizvodnje</w:t>
            </w:r>
          </w:p>
        </w:tc>
      </w:tr>
      <w:tr w:rsidR="006F5BFE" w:rsidRPr="003B2277" w14:paraId="27B74C81" w14:textId="77777777" w:rsidTr="005B4D60">
        <w:trPr>
          <w:jc w:val="center"/>
        </w:trPr>
        <w:tc>
          <w:tcPr>
            <w:tcW w:w="4876" w:type="dxa"/>
          </w:tcPr>
          <w:p w14:paraId="6A053F61" w14:textId="77777777" w:rsidR="006F5BFE" w:rsidRPr="003B2277" w:rsidRDefault="006F5BFE" w:rsidP="005B4D60">
            <w:pPr>
              <w:spacing w:after="120"/>
            </w:pPr>
          </w:p>
        </w:tc>
        <w:tc>
          <w:tcPr>
            <w:tcW w:w="4876" w:type="dxa"/>
            <w:hideMark/>
          </w:tcPr>
          <w:p w14:paraId="665D634C"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V primeru resnih neravnovesij na trgu in kadar tehnike proizvodnje to omogočajo, se na Komisijo prenese pooblastilo za sprejemanje delegiranih aktov v skladu s členom 227, s katerimi se dopolni ta uredba, za dodelitev pomoči proizvajalcem v določenem sektorju iz člena 1(2), ki v določenem časovnem obdobju zmanjšajo svoje dobave v primerjavi z enakim obdobjem v prejšnjem letu.</w:t>
            </w:r>
          </w:p>
        </w:tc>
      </w:tr>
      <w:tr w:rsidR="006F5BFE" w:rsidRPr="003B2277" w14:paraId="7F34AAEE" w14:textId="77777777" w:rsidTr="005B4D60">
        <w:trPr>
          <w:jc w:val="center"/>
        </w:trPr>
        <w:tc>
          <w:tcPr>
            <w:tcW w:w="4876" w:type="dxa"/>
          </w:tcPr>
          <w:p w14:paraId="3DFEA7F0" w14:textId="77777777" w:rsidR="006F5BFE" w:rsidRPr="003B2277" w:rsidRDefault="006F5BFE" w:rsidP="005B4D60">
            <w:pPr>
              <w:spacing w:after="120"/>
            </w:pPr>
          </w:p>
        </w:tc>
        <w:tc>
          <w:tcPr>
            <w:tcW w:w="4876" w:type="dxa"/>
            <w:hideMark/>
          </w:tcPr>
          <w:p w14:paraId="6D7D6911" w14:textId="77777777" w:rsidR="006F5BFE" w:rsidRPr="003B2277" w:rsidRDefault="006F5BFE" w:rsidP="005B4D60">
            <w:pPr>
              <w:spacing w:after="120"/>
              <w:rPr>
                <w:szCs w:val="24"/>
                <w:lang w:eastAsia="en-US"/>
              </w:rPr>
            </w:pPr>
            <w:r w:rsidRPr="003B2277">
              <w:rPr>
                <w:rFonts w:eastAsia="Calibri" w:cs="Mangal"/>
                <w:b/>
                <w:i/>
                <w:lang w:eastAsia="en-US"/>
              </w:rPr>
              <w:t>Za zagotovitev učinkovitega in ustreznega izvajanja te sheme delegirani akti določajo:</w:t>
            </w:r>
          </w:p>
        </w:tc>
      </w:tr>
      <w:tr w:rsidR="006F5BFE" w:rsidRPr="003B2277" w14:paraId="0E61D2D2" w14:textId="77777777" w:rsidTr="005B4D60">
        <w:trPr>
          <w:jc w:val="center"/>
        </w:trPr>
        <w:tc>
          <w:tcPr>
            <w:tcW w:w="4876" w:type="dxa"/>
          </w:tcPr>
          <w:p w14:paraId="228E731C" w14:textId="77777777" w:rsidR="006F5BFE" w:rsidRPr="003B2277" w:rsidRDefault="006F5BFE" w:rsidP="005B4D60">
            <w:pPr>
              <w:spacing w:after="120"/>
            </w:pPr>
          </w:p>
        </w:tc>
        <w:tc>
          <w:tcPr>
            <w:tcW w:w="4876" w:type="dxa"/>
            <w:hideMark/>
          </w:tcPr>
          <w:p w14:paraId="4DE2BC62" w14:textId="77777777" w:rsidR="006F5BFE" w:rsidRPr="003B2277" w:rsidRDefault="006F5BFE" w:rsidP="005B4D60">
            <w:pPr>
              <w:spacing w:after="120"/>
              <w:rPr>
                <w:szCs w:val="24"/>
                <w:lang w:eastAsia="en-US"/>
              </w:rPr>
            </w:pPr>
            <w:r w:rsidRPr="003B2277">
              <w:rPr>
                <w:rFonts w:eastAsia="Calibri" w:cs="Mangal"/>
                <w:b/>
                <w:i/>
                <w:lang w:eastAsia="en-US"/>
              </w:rPr>
              <w:t>(a) največji mogoči skupni obseg ali količino dobave, ki se mora zmanjšati na ravni Unije v okviru sheme zmanjšanja;</w:t>
            </w:r>
          </w:p>
        </w:tc>
      </w:tr>
      <w:tr w:rsidR="006F5BFE" w:rsidRPr="003B2277" w14:paraId="518AB7B6" w14:textId="77777777" w:rsidTr="005B4D60">
        <w:trPr>
          <w:jc w:val="center"/>
        </w:trPr>
        <w:tc>
          <w:tcPr>
            <w:tcW w:w="4876" w:type="dxa"/>
          </w:tcPr>
          <w:p w14:paraId="59E1863F" w14:textId="77777777" w:rsidR="006F5BFE" w:rsidRPr="003B2277" w:rsidRDefault="006F5BFE" w:rsidP="005B4D60">
            <w:pPr>
              <w:spacing w:after="120"/>
            </w:pPr>
          </w:p>
        </w:tc>
        <w:tc>
          <w:tcPr>
            <w:tcW w:w="4876" w:type="dxa"/>
            <w:hideMark/>
          </w:tcPr>
          <w:p w14:paraId="3BE8156D" w14:textId="77777777" w:rsidR="006F5BFE" w:rsidRPr="003B2277" w:rsidRDefault="006F5BFE" w:rsidP="005B4D60">
            <w:pPr>
              <w:spacing w:after="120"/>
              <w:rPr>
                <w:szCs w:val="24"/>
                <w:lang w:eastAsia="en-US"/>
              </w:rPr>
            </w:pPr>
            <w:r w:rsidRPr="003B2277">
              <w:rPr>
                <w:rFonts w:eastAsia="Calibri" w:cs="Mangal"/>
                <w:b/>
                <w:i/>
                <w:lang w:eastAsia="en-US"/>
              </w:rPr>
              <w:t>(b) trajanje obdobja zmanjševanja, po potrebi pa tudi njegovo podaljšanje;</w:t>
            </w:r>
          </w:p>
        </w:tc>
      </w:tr>
      <w:tr w:rsidR="006F5BFE" w:rsidRPr="003B2277" w14:paraId="2CAB6AE0" w14:textId="77777777" w:rsidTr="005B4D60">
        <w:trPr>
          <w:jc w:val="center"/>
        </w:trPr>
        <w:tc>
          <w:tcPr>
            <w:tcW w:w="4876" w:type="dxa"/>
          </w:tcPr>
          <w:p w14:paraId="51B69509" w14:textId="77777777" w:rsidR="006F5BFE" w:rsidRPr="003B2277" w:rsidRDefault="006F5BFE" w:rsidP="005B4D60">
            <w:pPr>
              <w:spacing w:after="120"/>
            </w:pPr>
          </w:p>
        </w:tc>
        <w:tc>
          <w:tcPr>
            <w:tcW w:w="4876" w:type="dxa"/>
            <w:hideMark/>
          </w:tcPr>
          <w:p w14:paraId="648064E4" w14:textId="77777777" w:rsidR="006F5BFE" w:rsidRPr="003B2277" w:rsidRDefault="006F5BFE" w:rsidP="005B4D60">
            <w:pPr>
              <w:spacing w:after="120"/>
              <w:rPr>
                <w:szCs w:val="24"/>
                <w:lang w:eastAsia="en-US"/>
              </w:rPr>
            </w:pPr>
            <w:r w:rsidRPr="003B2277">
              <w:rPr>
                <w:rFonts w:eastAsia="Calibri" w:cs="Mangal"/>
                <w:b/>
                <w:i/>
                <w:lang w:eastAsia="en-US"/>
              </w:rPr>
              <w:t>(c) znesek pomoči glede na zmanjšani obseg ali količino in podrobne pogoje njenega financiranja;</w:t>
            </w:r>
          </w:p>
        </w:tc>
      </w:tr>
      <w:tr w:rsidR="006F5BFE" w:rsidRPr="003B2277" w14:paraId="4D2CB036" w14:textId="77777777" w:rsidTr="005B4D60">
        <w:trPr>
          <w:jc w:val="center"/>
        </w:trPr>
        <w:tc>
          <w:tcPr>
            <w:tcW w:w="4876" w:type="dxa"/>
          </w:tcPr>
          <w:p w14:paraId="472FEA5E" w14:textId="77777777" w:rsidR="006F5BFE" w:rsidRPr="003B2277" w:rsidRDefault="006F5BFE" w:rsidP="005B4D60">
            <w:pPr>
              <w:spacing w:after="120"/>
            </w:pPr>
          </w:p>
        </w:tc>
        <w:tc>
          <w:tcPr>
            <w:tcW w:w="4876" w:type="dxa"/>
            <w:hideMark/>
          </w:tcPr>
          <w:p w14:paraId="143EED92" w14:textId="77777777" w:rsidR="006F5BFE" w:rsidRPr="003B2277" w:rsidRDefault="006F5BFE" w:rsidP="005B4D60">
            <w:pPr>
              <w:spacing w:after="120"/>
              <w:rPr>
                <w:szCs w:val="24"/>
                <w:lang w:eastAsia="en-US"/>
              </w:rPr>
            </w:pPr>
            <w:r w:rsidRPr="003B2277">
              <w:rPr>
                <w:rFonts w:eastAsia="Calibri" w:cs="Mangal"/>
                <w:b/>
                <w:i/>
                <w:lang w:eastAsia="en-US"/>
              </w:rPr>
              <w:t>(d) merila za upravičenost vlagateljev do pomoči in sprejemljivost zahtevkov za pomoč;</w:t>
            </w:r>
          </w:p>
        </w:tc>
      </w:tr>
      <w:tr w:rsidR="006F5BFE" w:rsidRPr="003B2277" w14:paraId="6A23067A" w14:textId="77777777" w:rsidTr="005B4D60">
        <w:trPr>
          <w:jc w:val="center"/>
        </w:trPr>
        <w:tc>
          <w:tcPr>
            <w:tcW w:w="4876" w:type="dxa"/>
          </w:tcPr>
          <w:p w14:paraId="4670EDF8" w14:textId="77777777" w:rsidR="006F5BFE" w:rsidRPr="003B2277" w:rsidRDefault="006F5BFE" w:rsidP="005B4D60">
            <w:pPr>
              <w:spacing w:after="120"/>
            </w:pPr>
          </w:p>
        </w:tc>
        <w:tc>
          <w:tcPr>
            <w:tcW w:w="4876" w:type="dxa"/>
            <w:hideMark/>
          </w:tcPr>
          <w:p w14:paraId="75662193" w14:textId="77777777" w:rsidR="006F5BFE" w:rsidRPr="003B2277" w:rsidRDefault="006F5BFE" w:rsidP="005B4D60">
            <w:pPr>
              <w:spacing w:after="120"/>
              <w:rPr>
                <w:szCs w:val="24"/>
                <w:lang w:eastAsia="en-US"/>
              </w:rPr>
            </w:pPr>
            <w:r w:rsidRPr="003B2277">
              <w:rPr>
                <w:rFonts w:eastAsia="Calibri" w:cs="Mangal"/>
                <w:b/>
                <w:i/>
                <w:lang w:eastAsia="en-US"/>
              </w:rPr>
              <w:t>(e) posebne pogoje za izvajanje sheme.</w:t>
            </w:r>
          </w:p>
        </w:tc>
      </w:tr>
      <w:tr w:rsidR="006F5BFE" w:rsidRPr="003B2277" w14:paraId="26AA3FB3" w14:textId="77777777" w:rsidTr="005B4D60">
        <w:trPr>
          <w:jc w:val="center"/>
        </w:trPr>
        <w:tc>
          <w:tcPr>
            <w:tcW w:w="4876" w:type="dxa"/>
          </w:tcPr>
          <w:p w14:paraId="5CBC5CBF" w14:textId="77777777" w:rsidR="006F5BFE" w:rsidRPr="003B2277" w:rsidRDefault="006F5BFE" w:rsidP="005B4D60">
            <w:pPr>
              <w:spacing w:after="120"/>
            </w:pPr>
          </w:p>
        </w:tc>
        <w:tc>
          <w:tcPr>
            <w:tcW w:w="4876" w:type="dxa"/>
            <w:hideMark/>
          </w:tcPr>
          <w:p w14:paraId="413EF0D7"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Pomoč se dodeli na podlagi zahtevka proizvajalcev, ki ga vložijo v državi članici, v kateri imajo sedež, pri tem pa se uporabi metoda, ki jo uporablja zadevna država članica.</w:t>
            </w:r>
          </w:p>
        </w:tc>
      </w:tr>
      <w:tr w:rsidR="006F5BFE" w:rsidRPr="003B2277" w14:paraId="6A8A2F51" w14:textId="77777777" w:rsidTr="005B4D60">
        <w:trPr>
          <w:jc w:val="center"/>
        </w:trPr>
        <w:tc>
          <w:tcPr>
            <w:tcW w:w="4876" w:type="dxa"/>
          </w:tcPr>
          <w:p w14:paraId="6C5A7677" w14:textId="77777777" w:rsidR="006F5BFE" w:rsidRPr="003B2277" w:rsidRDefault="006F5BFE" w:rsidP="005B4D60">
            <w:pPr>
              <w:spacing w:after="120"/>
            </w:pPr>
          </w:p>
        </w:tc>
        <w:tc>
          <w:tcPr>
            <w:tcW w:w="4876" w:type="dxa"/>
            <w:hideMark/>
          </w:tcPr>
          <w:p w14:paraId="657F9529" w14:textId="77777777" w:rsidR="006F5BFE" w:rsidRPr="003B2277" w:rsidRDefault="006F5BFE" w:rsidP="005B4D60">
            <w:pPr>
              <w:spacing w:after="120"/>
              <w:rPr>
                <w:szCs w:val="24"/>
                <w:lang w:eastAsia="en-US"/>
              </w:rPr>
            </w:pPr>
            <w:r w:rsidRPr="003B2277">
              <w:rPr>
                <w:rFonts w:eastAsia="Calibri" w:cs="Mangal"/>
                <w:b/>
                <w:i/>
                <w:lang w:eastAsia="en-US"/>
              </w:rPr>
              <w:t>Države članice se lahko odločijo, da morajo zahtevke za pomoč za zmanjšanje v imenu proizvajalcev vložiti priznane organizacije ali zadruge, ustanovljene v skladu z nacionalnim pravom in/ali s strani posameznih proizvajalcev. V tem primeru države članice zagotovijo, da se pomoč v celoti zagotovi proizvajalcem, ki so učinkovito zmanjšali obseg dobave.“</w:t>
            </w:r>
          </w:p>
        </w:tc>
      </w:tr>
    </w:tbl>
    <w:p w14:paraId="52462611" w14:textId="77777777" w:rsidR="006F5BFE" w:rsidRPr="003B2277" w:rsidRDefault="006F5BFE" w:rsidP="006F5BFE">
      <w:pPr>
        <w:rPr>
          <w:lang w:eastAsia="en-US"/>
        </w:rPr>
      </w:pPr>
    </w:p>
    <w:p w14:paraId="682F4CBD" w14:textId="6488388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150</w:t>
      </w:r>
    </w:p>
    <w:p w14:paraId="799FE472" w14:textId="77777777" w:rsidR="006F5BFE" w:rsidRPr="003B2277" w:rsidRDefault="006F5BFE" w:rsidP="006F5BFE"/>
    <w:p w14:paraId="060BD7F0" w14:textId="77777777" w:rsidR="006F5BFE" w:rsidRPr="003B2277" w:rsidRDefault="006F5BFE" w:rsidP="006F5BFE">
      <w:pPr>
        <w:keepNext/>
        <w:rPr>
          <w:b/>
          <w:lang w:eastAsia="en-US"/>
        </w:rPr>
      </w:pPr>
      <w:r w:rsidRPr="003B2277">
        <w:rPr>
          <w:rFonts w:eastAsia="Calibri" w:cs="Mangal"/>
          <w:b/>
          <w:lang w:eastAsia="en-US"/>
        </w:rPr>
        <w:t>Predlog uredbe</w:t>
      </w:r>
    </w:p>
    <w:p w14:paraId="0F67C2AB" w14:textId="59F66032"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l</w:t>
      </w:r>
      <w:r w:rsidRPr="003B2277">
        <w:rPr>
          <w:rFonts w:eastAsia="Calibri" w:cs="Mangal"/>
          <w:b/>
          <w:lang w:eastAsia="en-US"/>
        </w:rPr>
        <w:t xml:space="preserve"> (novo)</w:t>
      </w:r>
    </w:p>
    <w:p w14:paraId="1AA3E19B" w14:textId="77777777" w:rsidR="006F5BFE" w:rsidRPr="003B2277" w:rsidRDefault="006F5BFE" w:rsidP="006F5BFE">
      <w:pPr>
        <w:keepNext/>
        <w:rPr>
          <w:lang w:eastAsia="en-US"/>
        </w:rPr>
      </w:pPr>
      <w:r w:rsidRPr="003B2277">
        <w:rPr>
          <w:rFonts w:eastAsia="Calibri" w:cs="Mangal"/>
          <w:lang w:eastAsia="en-US"/>
        </w:rPr>
        <w:t>Uredba (EU) št. 1308/2013</w:t>
      </w:r>
    </w:p>
    <w:p w14:paraId="1C12B5BA" w14:textId="77777777" w:rsidR="006F5BFE" w:rsidRPr="003B2277" w:rsidRDefault="006F5BFE" w:rsidP="006F5BFE">
      <w:pPr>
        <w:rPr>
          <w:lang w:eastAsia="en-US"/>
        </w:rPr>
      </w:pPr>
      <w:r w:rsidRPr="003B2277">
        <w:rPr>
          <w:rFonts w:eastAsia="Calibri" w:cs="Mangal"/>
          <w:lang w:eastAsia="en-US"/>
        </w:rPr>
        <w:t>Člen 219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5B26DBA" w14:textId="77777777" w:rsidTr="005B4D60">
        <w:trPr>
          <w:jc w:val="center"/>
        </w:trPr>
        <w:tc>
          <w:tcPr>
            <w:tcW w:w="9752" w:type="dxa"/>
            <w:gridSpan w:val="2"/>
          </w:tcPr>
          <w:p w14:paraId="14D25FD0" w14:textId="77777777" w:rsidR="006F5BFE" w:rsidRPr="003B2277" w:rsidRDefault="006F5BFE" w:rsidP="005B4D60">
            <w:pPr>
              <w:keepNext/>
            </w:pPr>
          </w:p>
        </w:tc>
      </w:tr>
      <w:tr w:rsidR="006F5BFE" w:rsidRPr="003B2277" w14:paraId="77FFD56D" w14:textId="77777777" w:rsidTr="005B4D60">
        <w:trPr>
          <w:jc w:val="center"/>
        </w:trPr>
        <w:tc>
          <w:tcPr>
            <w:tcW w:w="4876" w:type="dxa"/>
            <w:hideMark/>
          </w:tcPr>
          <w:p w14:paraId="0928572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BA36FAB" w14:textId="58EE595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1C0B32F" w14:textId="77777777" w:rsidTr="005B4D60">
        <w:trPr>
          <w:jc w:val="center"/>
        </w:trPr>
        <w:tc>
          <w:tcPr>
            <w:tcW w:w="4876" w:type="dxa"/>
          </w:tcPr>
          <w:p w14:paraId="2CAB9C6D" w14:textId="77777777" w:rsidR="006F5BFE" w:rsidRPr="003B2277" w:rsidRDefault="006F5BFE" w:rsidP="005B4D60">
            <w:pPr>
              <w:spacing w:after="120"/>
            </w:pPr>
          </w:p>
        </w:tc>
        <w:tc>
          <w:tcPr>
            <w:tcW w:w="4876" w:type="dxa"/>
            <w:hideMark/>
          </w:tcPr>
          <w:p w14:paraId="4E9CD5BE" w14:textId="5BD54D48" w:rsidR="006F5BFE" w:rsidRPr="003B2277" w:rsidRDefault="006F5BFE" w:rsidP="00465DEA">
            <w:pPr>
              <w:spacing w:after="120"/>
              <w:rPr>
                <w:szCs w:val="24"/>
                <w:lang w:eastAsia="en-US"/>
              </w:rPr>
            </w:pPr>
            <w:r w:rsidRPr="003B2277">
              <w:rPr>
                <w:rFonts w:eastAsia="Calibri" w:cs="Mangal"/>
                <w:b/>
                <w:i/>
                <w:lang w:eastAsia="en-US"/>
              </w:rPr>
              <w:t>(26</w:t>
            </w:r>
            <w:r w:rsidR="00465DEA">
              <w:rPr>
                <w:rFonts w:eastAsia="Calibri" w:cs="Mangal"/>
                <w:b/>
                <w:i/>
                <w:lang w:eastAsia="en-US"/>
              </w:rPr>
              <w:t>l</w:t>
            </w:r>
            <w:r w:rsidRPr="003B2277">
              <w:rPr>
                <w:rFonts w:eastAsia="Calibri" w:cs="Mangal"/>
                <w:b/>
                <w:i/>
                <w:lang w:eastAsia="en-US"/>
              </w:rPr>
              <w:t>)</w:t>
            </w:r>
            <w:r w:rsidRPr="003B2277">
              <w:rPr>
                <w:rFonts w:eastAsia="Calibri" w:cs="Mangal"/>
                <w:b/>
                <w:i/>
                <w:lang w:eastAsia="en-US"/>
              </w:rPr>
              <w:tab/>
              <w:t>vstavi se naslednji člen:</w:t>
            </w:r>
          </w:p>
        </w:tc>
      </w:tr>
      <w:tr w:rsidR="006F5BFE" w:rsidRPr="003B2277" w14:paraId="18F074F7" w14:textId="77777777" w:rsidTr="005B4D60">
        <w:trPr>
          <w:jc w:val="center"/>
        </w:trPr>
        <w:tc>
          <w:tcPr>
            <w:tcW w:w="4876" w:type="dxa"/>
          </w:tcPr>
          <w:p w14:paraId="08A71820" w14:textId="77777777" w:rsidR="006F5BFE" w:rsidRPr="003B2277" w:rsidRDefault="006F5BFE" w:rsidP="005B4D60">
            <w:pPr>
              <w:spacing w:after="120"/>
            </w:pPr>
          </w:p>
        </w:tc>
        <w:tc>
          <w:tcPr>
            <w:tcW w:w="4876" w:type="dxa"/>
            <w:hideMark/>
          </w:tcPr>
          <w:p w14:paraId="0D553575" w14:textId="77777777" w:rsidR="006F5BFE" w:rsidRPr="003B2277" w:rsidRDefault="006F5BFE" w:rsidP="005B4D60">
            <w:pPr>
              <w:spacing w:after="120"/>
              <w:rPr>
                <w:szCs w:val="24"/>
                <w:lang w:eastAsia="en-US"/>
              </w:rPr>
            </w:pPr>
            <w:r w:rsidRPr="003B2277">
              <w:rPr>
                <w:rFonts w:eastAsia="Calibri" w:cs="Mangal"/>
                <w:b/>
                <w:i/>
                <w:lang w:eastAsia="en-US"/>
              </w:rPr>
              <w:t>„Člen 219b</w:t>
            </w:r>
          </w:p>
        </w:tc>
      </w:tr>
      <w:tr w:rsidR="006F5BFE" w:rsidRPr="003B2277" w14:paraId="1A7F3ECF" w14:textId="77777777" w:rsidTr="005B4D60">
        <w:trPr>
          <w:jc w:val="center"/>
        </w:trPr>
        <w:tc>
          <w:tcPr>
            <w:tcW w:w="4876" w:type="dxa"/>
          </w:tcPr>
          <w:p w14:paraId="5BC3E8B1" w14:textId="77777777" w:rsidR="006F5BFE" w:rsidRPr="003B2277" w:rsidRDefault="006F5BFE" w:rsidP="005B4D60">
            <w:pPr>
              <w:spacing w:after="120"/>
            </w:pPr>
          </w:p>
        </w:tc>
        <w:tc>
          <w:tcPr>
            <w:tcW w:w="4876" w:type="dxa"/>
            <w:hideMark/>
          </w:tcPr>
          <w:p w14:paraId="05C2BAA7" w14:textId="77777777" w:rsidR="006F5BFE" w:rsidRPr="003B2277" w:rsidRDefault="006F5BFE" w:rsidP="005B4D60">
            <w:pPr>
              <w:spacing w:after="120"/>
              <w:rPr>
                <w:szCs w:val="24"/>
                <w:lang w:eastAsia="en-US"/>
              </w:rPr>
            </w:pPr>
            <w:r w:rsidRPr="003B2277">
              <w:rPr>
                <w:rFonts w:eastAsia="Calibri" w:cs="Mangal"/>
                <w:b/>
                <w:i/>
                <w:lang w:eastAsia="en-US"/>
              </w:rPr>
              <w:t>Ukrepi za stabilizacijo proizvodnje v obdobjih velikih motenj na trgu</w:t>
            </w:r>
          </w:p>
        </w:tc>
      </w:tr>
      <w:tr w:rsidR="006F5BFE" w:rsidRPr="003B2277" w14:paraId="0195DC3C" w14:textId="77777777" w:rsidTr="005B4D60">
        <w:trPr>
          <w:jc w:val="center"/>
        </w:trPr>
        <w:tc>
          <w:tcPr>
            <w:tcW w:w="4876" w:type="dxa"/>
          </w:tcPr>
          <w:p w14:paraId="1E995023" w14:textId="77777777" w:rsidR="006F5BFE" w:rsidRPr="003B2277" w:rsidRDefault="006F5BFE" w:rsidP="005B4D60">
            <w:pPr>
              <w:spacing w:after="120"/>
            </w:pPr>
          </w:p>
        </w:tc>
        <w:tc>
          <w:tcPr>
            <w:tcW w:w="4876" w:type="dxa"/>
            <w:hideMark/>
          </w:tcPr>
          <w:p w14:paraId="7AA40662"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Če je Komisija sprejela delegirane akte v skladu s členom 219a, je v primeru verjetnosti, da se bo resno neravnovesje na trgu nadaljevalo ali še poslabšalo, Komisija pooblaščena, da sprejme delegirane akte v skladu s členom 227, s katerimi dopolni to uredbo, za dopolnitev ukrepov v skladu s členom 219a z naložitvijo dajatev vsem proizvajalcem v sektorju iz člena 1(2), ki povečajo svojo dobavo v primerjavi z istim obdobjem prejšnjega leta:</w:t>
            </w:r>
          </w:p>
        </w:tc>
      </w:tr>
      <w:tr w:rsidR="006F5BFE" w:rsidRPr="003B2277" w14:paraId="0377CBB1" w14:textId="77777777" w:rsidTr="005B4D60">
        <w:trPr>
          <w:jc w:val="center"/>
        </w:trPr>
        <w:tc>
          <w:tcPr>
            <w:tcW w:w="4876" w:type="dxa"/>
          </w:tcPr>
          <w:p w14:paraId="6D2E9C5F" w14:textId="77777777" w:rsidR="006F5BFE" w:rsidRPr="003B2277" w:rsidRDefault="006F5BFE" w:rsidP="005B4D60">
            <w:pPr>
              <w:spacing w:after="120"/>
            </w:pPr>
          </w:p>
        </w:tc>
        <w:tc>
          <w:tcPr>
            <w:tcW w:w="4876" w:type="dxa"/>
            <w:hideMark/>
          </w:tcPr>
          <w:p w14:paraId="3031D9A8" w14:textId="77777777" w:rsidR="006F5BFE" w:rsidRPr="003B2277" w:rsidRDefault="006F5BFE" w:rsidP="005B4D60">
            <w:pPr>
              <w:spacing w:after="120"/>
              <w:rPr>
                <w:szCs w:val="24"/>
                <w:lang w:eastAsia="en-US"/>
              </w:rPr>
            </w:pPr>
            <w:r w:rsidRPr="003B2277">
              <w:rPr>
                <w:rFonts w:eastAsia="Calibri" w:cs="Mangal"/>
                <w:b/>
                <w:i/>
                <w:lang w:eastAsia="en-US"/>
              </w:rPr>
              <w:t>(a) za isto obdobje iz člena 219a na podlagi ustreznih nujnih razlogov;</w:t>
            </w:r>
          </w:p>
        </w:tc>
      </w:tr>
      <w:tr w:rsidR="006F5BFE" w:rsidRPr="003B2277" w14:paraId="6FB41328" w14:textId="77777777" w:rsidTr="005B4D60">
        <w:trPr>
          <w:jc w:val="center"/>
        </w:trPr>
        <w:tc>
          <w:tcPr>
            <w:tcW w:w="4876" w:type="dxa"/>
          </w:tcPr>
          <w:p w14:paraId="25CDE79F" w14:textId="77777777" w:rsidR="006F5BFE" w:rsidRPr="003B2277" w:rsidRDefault="006F5BFE" w:rsidP="005B4D60">
            <w:pPr>
              <w:spacing w:after="120"/>
            </w:pPr>
          </w:p>
        </w:tc>
        <w:tc>
          <w:tcPr>
            <w:tcW w:w="4876" w:type="dxa"/>
            <w:hideMark/>
          </w:tcPr>
          <w:p w14:paraId="673B7994" w14:textId="77777777" w:rsidR="006F5BFE" w:rsidRPr="003B2277" w:rsidRDefault="006F5BFE" w:rsidP="005B4D60">
            <w:pPr>
              <w:spacing w:after="120"/>
              <w:rPr>
                <w:szCs w:val="24"/>
                <w:lang w:eastAsia="en-US"/>
              </w:rPr>
            </w:pPr>
            <w:r w:rsidRPr="003B2277">
              <w:rPr>
                <w:rFonts w:eastAsia="Calibri" w:cs="Mangal"/>
                <w:b/>
                <w:i/>
                <w:lang w:eastAsia="en-US"/>
              </w:rPr>
              <w:t>(b) za novo obdobje zmanjšanja, če sodelovanje proizvajalcev iz člena 219a ni zadoščalo za ponovno uravnoteženje trga.</w:t>
            </w:r>
          </w:p>
        </w:tc>
      </w:tr>
      <w:tr w:rsidR="006F5BFE" w:rsidRPr="003B2277" w14:paraId="7A886F87" w14:textId="77777777" w:rsidTr="005B4D60">
        <w:trPr>
          <w:jc w:val="center"/>
        </w:trPr>
        <w:tc>
          <w:tcPr>
            <w:tcW w:w="4876" w:type="dxa"/>
          </w:tcPr>
          <w:p w14:paraId="6A4FD10D" w14:textId="77777777" w:rsidR="006F5BFE" w:rsidRPr="003B2277" w:rsidRDefault="006F5BFE" w:rsidP="005B4D60">
            <w:pPr>
              <w:spacing w:after="120"/>
            </w:pPr>
          </w:p>
        </w:tc>
        <w:tc>
          <w:tcPr>
            <w:tcW w:w="4876" w:type="dxa"/>
            <w:hideMark/>
          </w:tcPr>
          <w:p w14:paraId="1313D2BE"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Ob uvedbi ukrepa iz odstavka 1 Komisija upošteva razvoj proizvodnih stroškov, predvsem vhodnih stroškov.</w:t>
            </w:r>
          </w:p>
        </w:tc>
      </w:tr>
      <w:tr w:rsidR="006F5BFE" w:rsidRPr="003B2277" w14:paraId="5035491D" w14:textId="77777777" w:rsidTr="005B4D60">
        <w:trPr>
          <w:jc w:val="center"/>
        </w:trPr>
        <w:tc>
          <w:tcPr>
            <w:tcW w:w="4876" w:type="dxa"/>
          </w:tcPr>
          <w:p w14:paraId="5F2B8A33" w14:textId="77777777" w:rsidR="006F5BFE" w:rsidRPr="003B2277" w:rsidRDefault="006F5BFE" w:rsidP="005B4D60">
            <w:pPr>
              <w:spacing w:after="120"/>
            </w:pPr>
          </w:p>
        </w:tc>
        <w:tc>
          <w:tcPr>
            <w:tcW w:w="4876" w:type="dxa"/>
            <w:hideMark/>
          </w:tcPr>
          <w:p w14:paraId="24619F9E"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Za zagotovitev učinkovitega in ustreznega izvajanja te sheme se Komisiji podelijo pooblastila, da v skladu s členom 227 sprejme delegirane akte za dopolnitev te uredbe, da se določi:</w:t>
            </w:r>
          </w:p>
        </w:tc>
      </w:tr>
      <w:tr w:rsidR="006F5BFE" w:rsidRPr="003B2277" w14:paraId="6405A3C0" w14:textId="77777777" w:rsidTr="005B4D60">
        <w:trPr>
          <w:jc w:val="center"/>
        </w:trPr>
        <w:tc>
          <w:tcPr>
            <w:tcW w:w="4876" w:type="dxa"/>
          </w:tcPr>
          <w:p w14:paraId="2742B9C6" w14:textId="77777777" w:rsidR="006F5BFE" w:rsidRPr="003B2277" w:rsidRDefault="006F5BFE" w:rsidP="005B4D60">
            <w:pPr>
              <w:spacing w:after="120"/>
            </w:pPr>
          </w:p>
        </w:tc>
        <w:tc>
          <w:tcPr>
            <w:tcW w:w="4876" w:type="dxa"/>
            <w:hideMark/>
          </w:tcPr>
          <w:p w14:paraId="45DDAB69" w14:textId="77777777" w:rsidR="006F5BFE" w:rsidRPr="003B2277" w:rsidRDefault="006F5BFE" w:rsidP="005B4D60">
            <w:pPr>
              <w:spacing w:after="120"/>
              <w:rPr>
                <w:szCs w:val="24"/>
                <w:lang w:eastAsia="en-US"/>
              </w:rPr>
            </w:pPr>
            <w:r w:rsidRPr="003B2277">
              <w:rPr>
                <w:rFonts w:eastAsia="Calibri" w:cs="Mangal"/>
                <w:b/>
                <w:i/>
                <w:lang w:eastAsia="en-US"/>
              </w:rPr>
              <w:t>(a) znesek dajatev in pogoje, ki jih urejajo, za proizvajalce, ki povečajo svoj obseg proizvodnje v obdobju zmanjšanja;</w:t>
            </w:r>
          </w:p>
        </w:tc>
      </w:tr>
      <w:tr w:rsidR="006F5BFE" w:rsidRPr="003B2277" w14:paraId="44D295E3" w14:textId="77777777" w:rsidTr="005B4D60">
        <w:trPr>
          <w:jc w:val="center"/>
        </w:trPr>
        <w:tc>
          <w:tcPr>
            <w:tcW w:w="4876" w:type="dxa"/>
          </w:tcPr>
          <w:p w14:paraId="4767D6F7" w14:textId="77777777" w:rsidR="006F5BFE" w:rsidRPr="003B2277" w:rsidRDefault="006F5BFE" w:rsidP="005B4D60">
            <w:pPr>
              <w:spacing w:after="120"/>
            </w:pPr>
          </w:p>
        </w:tc>
        <w:tc>
          <w:tcPr>
            <w:tcW w:w="4876" w:type="dxa"/>
            <w:hideMark/>
          </w:tcPr>
          <w:p w14:paraId="75AE8FE1" w14:textId="77777777" w:rsidR="006F5BFE" w:rsidRPr="003B2277" w:rsidRDefault="006F5BFE" w:rsidP="005B4D60">
            <w:pPr>
              <w:spacing w:after="120"/>
              <w:rPr>
                <w:szCs w:val="24"/>
                <w:lang w:eastAsia="en-US"/>
              </w:rPr>
            </w:pPr>
            <w:r w:rsidRPr="003B2277">
              <w:rPr>
                <w:rFonts w:eastAsia="Calibri" w:cs="Mangal"/>
                <w:b/>
                <w:i/>
                <w:lang w:eastAsia="en-US"/>
              </w:rPr>
              <w:t>(b) posebne pogoje za izvajanje in dopolnitev te sheme s shemo zmanjšanja obsega proizvodnje iz člena 219a.</w:t>
            </w:r>
          </w:p>
        </w:tc>
      </w:tr>
      <w:tr w:rsidR="006F5BFE" w:rsidRPr="003B2277" w14:paraId="3242A51D" w14:textId="77777777" w:rsidTr="005B4D60">
        <w:trPr>
          <w:jc w:val="center"/>
        </w:trPr>
        <w:tc>
          <w:tcPr>
            <w:tcW w:w="4876" w:type="dxa"/>
          </w:tcPr>
          <w:p w14:paraId="5DCCF5B6" w14:textId="77777777" w:rsidR="006F5BFE" w:rsidRPr="003B2277" w:rsidRDefault="006F5BFE" w:rsidP="005B4D60">
            <w:pPr>
              <w:spacing w:after="120"/>
            </w:pPr>
          </w:p>
        </w:tc>
        <w:tc>
          <w:tcPr>
            <w:tcW w:w="4876" w:type="dxa"/>
            <w:hideMark/>
          </w:tcPr>
          <w:p w14:paraId="1AFB3590" w14:textId="77777777" w:rsidR="006F5BFE" w:rsidRPr="003B2277" w:rsidRDefault="006F5BFE" w:rsidP="005B4D60">
            <w:pPr>
              <w:spacing w:after="120"/>
              <w:rPr>
                <w:szCs w:val="24"/>
                <w:lang w:eastAsia="en-US"/>
              </w:rPr>
            </w:pPr>
            <w:r w:rsidRPr="003B2277">
              <w:rPr>
                <w:rFonts w:eastAsia="Calibri" w:cs="Mangal"/>
                <w:b/>
                <w:i/>
                <w:lang w:eastAsia="en-US"/>
              </w:rPr>
              <w:t>4.</w:t>
            </w:r>
            <w:r w:rsidRPr="003B2277">
              <w:rPr>
                <w:rFonts w:eastAsia="Calibri" w:cs="Mangal"/>
                <w:b/>
                <w:i/>
                <w:lang w:eastAsia="en-US"/>
              </w:rPr>
              <w:tab/>
              <w:t>Te ukrepe lahko po potrebi spremljajo drugi ukrepi iz te uredbe, zlasti ukrepi iz člena 222.“</w:t>
            </w:r>
          </w:p>
        </w:tc>
      </w:tr>
    </w:tbl>
    <w:p w14:paraId="41C50E2B" w14:textId="10291501" w:rsidR="006F5BFE" w:rsidRDefault="006F5BFE" w:rsidP="006F5BFE">
      <w:pPr>
        <w:rPr>
          <w:lang w:eastAsia="en-US"/>
        </w:rPr>
      </w:pPr>
    </w:p>
    <w:p w14:paraId="1317700D" w14:textId="11BB7082" w:rsidR="004E4D6B" w:rsidRDefault="004E4D6B" w:rsidP="006F5BFE">
      <w:pPr>
        <w:rPr>
          <w:lang w:eastAsia="en-US"/>
        </w:rPr>
      </w:pPr>
    </w:p>
    <w:p w14:paraId="1B0BAB1E" w14:textId="310FB001" w:rsidR="004E4D6B" w:rsidRPr="00C64557" w:rsidRDefault="008C7773" w:rsidP="004E4D6B">
      <w:pPr>
        <w:pStyle w:val="AmNumberTabs0"/>
      </w:pPr>
      <w:r>
        <w:t>Sprememba</w:t>
      </w:r>
      <w:r w:rsidR="004E4D6B" w:rsidRPr="00C64557">
        <w:tab/>
      </w:r>
      <w:r w:rsidR="004E4D6B" w:rsidRPr="00C64557">
        <w:tab/>
        <w:t>247</w:t>
      </w:r>
    </w:p>
    <w:p w14:paraId="29B0532D" w14:textId="77777777" w:rsidR="004E4D6B" w:rsidRPr="00C64557" w:rsidRDefault="004E4D6B" w:rsidP="004E4D6B">
      <w:pPr>
        <w:pStyle w:val="NormalBold12b"/>
      </w:pPr>
      <w:r w:rsidRPr="00C64557">
        <w:t>Predlog uredbe</w:t>
      </w:r>
    </w:p>
    <w:p w14:paraId="6C739E71" w14:textId="514675A2" w:rsidR="004E4D6B" w:rsidRPr="00C64557" w:rsidRDefault="00465DEA" w:rsidP="004E4D6B">
      <w:pPr>
        <w:pStyle w:val="NormalBold"/>
      </w:pPr>
      <w:r>
        <w:t>Člen 1 – odstavek 1 – točka 26 m</w:t>
      </w:r>
      <w:r w:rsidR="004E4D6B" w:rsidRPr="00C64557">
        <w:t xml:space="preserve"> (novo)</w:t>
      </w:r>
    </w:p>
    <w:p w14:paraId="2A923EA0" w14:textId="77777777" w:rsidR="004E4D6B" w:rsidRPr="00C64557" w:rsidRDefault="004E4D6B" w:rsidP="004E4D6B">
      <w:r w:rsidRPr="00C64557">
        <w:t>Uredba (EU) 1308/2013</w:t>
      </w:r>
    </w:p>
    <w:p w14:paraId="4779576B" w14:textId="77777777" w:rsidR="004E4D6B" w:rsidRPr="00C64557" w:rsidRDefault="004E4D6B" w:rsidP="004E4D6B">
      <w:r w:rsidRPr="00C64557">
        <w:t>Člen 220</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C64557" w14:paraId="58767A86" w14:textId="77777777" w:rsidTr="00D056A8">
        <w:trPr>
          <w:jc w:val="center"/>
        </w:trPr>
        <w:tc>
          <w:tcPr>
            <w:tcW w:w="9752" w:type="dxa"/>
            <w:gridSpan w:val="2"/>
          </w:tcPr>
          <w:p w14:paraId="151B6ECD" w14:textId="77777777" w:rsidR="004E4D6B" w:rsidRPr="00C64557" w:rsidRDefault="004E4D6B" w:rsidP="00D056A8">
            <w:pPr>
              <w:keepNext/>
            </w:pPr>
          </w:p>
        </w:tc>
      </w:tr>
      <w:tr w:rsidR="004E4D6B" w:rsidRPr="00C64557" w14:paraId="6612BFDA" w14:textId="77777777" w:rsidTr="00D056A8">
        <w:trPr>
          <w:jc w:val="center"/>
        </w:trPr>
        <w:tc>
          <w:tcPr>
            <w:tcW w:w="4876" w:type="dxa"/>
          </w:tcPr>
          <w:p w14:paraId="54474E88" w14:textId="77777777" w:rsidR="004E4D6B" w:rsidRPr="00C64557" w:rsidRDefault="004E4D6B" w:rsidP="00D056A8">
            <w:pPr>
              <w:pStyle w:val="AmColumnHeading"/>
              <w:keepNext/>
            </w:pPr>
            <w:r w:rsidRPr="00C64557">
              <w:t>Veljavno besedilo</w:t>
            </w:r>
          </w:p>
        </w:tc>
        <w:tc>
          <w:tcPr>
            <w:tcW w:w="4876" w:type="dxa"/>
          </w:tcPr>
          <w:p w14:paraId="4E9C87CE" w14:textId="4681F2E6" w:rsidR="004E4D6B" w:rsidRPr="00C64557" w:rsidRDefault="008C7773" w:rsidP="00D056A8">
            <w:pPr>
              <w:pStyle w:val="AmColumnHeading"/>
              <w:keepNext/>
            </w:pPr>
            <w:r>
              <w:t>Sprememba</w:t>
            </w:r>
          </w:p>
        </w:tc>
      </w:tr>
      <w:tr w:rsidR="004E4D6B" w:rsidRPr="00C64557" w14:paraId="38CD3BCA" w14:textId="77777777" w:rsidTr="00D056A8">
        <w:trPr>
          <w:jc w:val="center"/>
        </w:trPr>
        <w:tc>
          <w:tcPr>
            <w:tcW w:w="4876" w:type="dxa"/>
          </w:tcPr>
          <w:p w14:paraId="7856FC1D" w14:textId="77777777" w:rsidR="004E4D6B" w:rsidRPr="00C64557" w:rsidRDefault="004E4D6B" w:rsidP="00D056A8">
            <w:pPr>
              <w:pStyle w:val="Normal6"/>
            </w:pPr>
          </w:p>
        </w:tc>
        <w:tc>
          <w:tcPr>
            <w:tcW w:w="4876" w:type="dxa"/>
          </w:tcPr>
          <w:p w14:paraId="3C12D048" w14:textId="64F75C5A" w:rsidR="004E4D6B" w:rsidRPr="00C64557" w:rsidRDefault="00465DEA" w:rsidP="00D056A8">
            <w:pPr>
              <w:pStyle w:val="Normal6"/>
              <w:rPr>
                <w:szCs w:val="24"/>
              </w:rPr>
            </w:pPr>
            <w:r>
              <w:rPr>
                <w:b/>
                <w:i/>
              </w:rPr>
              <w:t>(26m</w:t>
            </w:r>
            <w:r w:rsidR="004E4D6B" w:rsidRPr="00C64557">
              <w:rPr>
                <w:b/>
                <w:i/>
              </w:rPr>
              <w:t>)</w:t>
            </w:r>
            <w:r w:rsidR="004E4D6B" w:rsidRPr="00C64557">
              <w:rPr>
                <w:b/>
                <w:i/>
              </w:rPr>
              <w:tab/>
              <w:t>Člen 220 se nadomesti z naslednjim:</w:t>
            </w:r>
          </w:p>
        </w:tc>
      </w:tr>
      <w:tr w:rsidR="004E4D6B" w:rsidRPr="00C64557" w14:paraId="68FC0CAB" w14:textId="77777777" w:rsidTr="00D056A8">
        <w:trPr>
          <w:jc w:val="center"/>
        </w:trPr>
        <w:tc>
          <w:tcPr>
            <w:tcW w:w="4876" w:type="dxa"/>
          </w:tcPr>
          <w:p w14:paraId="347B81DC" w14:textId="77777777" w:rsidR="004E4D6B" w:rsidRPr="00C64557" w:rsidRDefault="004E4D6B" w:rsidP="00D056A8">
            <w:pPr>
              <w:pStyle w:val="Normal6"/>
              <w:jc w:val="center"/>
            </w:pPr>
            <w:r w:rsidRPr="00C64557">
              <w:t>Člen 220</w:t>
            </w:r>
          </w:p>
        </w:tc>
        <w:tc>
          <w:tcPr>
            <w:tcW w:w="4876" w:type="dxa"/>
          </w:tcPr>
          <w:p w14:paraId="0131A7B9" w14:textId="77777777" w:rsidR="004E4D6B" w:rsidRPr="00C64557" w:rsidRDefault="004E4D6B" w:rsidP="00D056A8">
            <w:pPr>
              <w:pStyle w:val="Normal6"/>
              <w:rPr>
                <w:szCs w:val="24"/>
              </w:rPr>
            </w:pPr>
            <w:r w:rsidRPr="00C64557">
              <w:t>Člen 220</w:t>
            </w:r>
          </w:p>
        </w:tc>
      </w:tr>
      <w:tr w:rsidR="004E4D6B" w:rsidRPr="00C64557" w14:paraId="2BBD286D" w14:textId="77777777" w:rsidTr="00D056A8">
        <w:trPr>
          <w:jc w:val="center"/>
        </w:trPr>
        <w:tc>
          <w:tcPr>
            <w:tcW w:w="4876" w:type="dxa"/>
          </w:tcPr>
          <w:p w14:paraId="287ED943" w14:textId="77777777" w:rsidR="004E4D6B" w:rsidRPr="00C64557" w:rsidRDefault="004E4D6B" w:rsidP="00D056A8">
            <w:pPr>
              <w:pStyle w:val="Normal6"/>
            </w:pPr>
            <w:r w:rsidRPr="00C64557">
              <w:t>Ukrepi v zvezi z boleznimi živali in izgubo zaupanja potrošnikov zaradi tveganja za zdravje ljudi, živali ali rastlin</w:t>
            </w:r>
          </w:p>
        </w:tc>
        <w:tc>
          <w:tcPr>
            <w:tcW w:w="4876" w:type="dxa"/>
          </w:tcPr>
          <w:p w14:paraId="256195D1" w14:textId="77777777" w:rsidR="004E4D6B" w:rsidRPr="00C64557" w:rsidRDefault="004E4D6B" w:rsidP="00D056A8">
            <w:pPr>
              <w:pStyle w:val="Normal6"/>
              <w:rPr>
                <w:szCs w:val="24"/>
              </w:rPr>
            </w:pPr>
            <w:r w:rsidRPr="00C64557">
              <w:t xml:space="preserve">Ukrepi v zvezi z boleznimi živali </w:t>
            </w:r>
            <w:r w:rsidRPr="00C64557">
              <w:rPr>
                <w:b/>
                <w:i/>
              </w:rPr>
              <w:t>in rastlin</w:t>
            </w:r>
            <w:r w:rsidRPr="00C64557">
              <w:t xml:space="preserve"> </w:t>
            </w:r>
            <w:r w:rsidRPr="00C64557">
              <w:rPr>
                <w:b/>
                <w:i/>
              </w:rPr>
              <w:t>ter rastlinskimi škodljivci</w:t>
            </w:r>
            <w:r w:rsidRPr="00C64557">
              <w:t xml:space="preserve"> in izgubo zaupanja potrošnikov zaradi tveganja za zdravje ljudi, živali ali rastlin</w:t>
            </w:r>
          </w:p>
        </w:tc>
      </w:tr>
      <w:tr w:rsidR="004E4D6B" w:rsidRPr="00C64557" w14:paraId="4AD0E916" w14:textId="77777777" w:rsidTr="00D056A8">
        <w:trPr>
          <w:jc w:val="center"/>
        </w:trPr>
        <w:tc>
          <w:tcPr>
            <w:tcW w:w="4876" w:type="dxa"/>
          </w:tcPr>
          <w:p w14:paraId="12C4AB9A" w14:textId="77777777" w:rsidR="004E4D6B" w:rsidRPr="00C64557" w:rsidRDefault="004E4D6B" w:rsidP="00D056A8">
            <w:pPr>
              <w:pStyle w:val="Normal6"/>
            </w:pPr>
            <w:r w:rsidRPr="00C64557">
              <w:t>1.</w:t>
            </w:r>
            <w:r w:rsidRPr="00C64557">
              <w:tab/>
              <w:t>Komisija lahko sprejme izvedbene akte, s katerimi sprejme izredne podporne ukrepi za prizadeti trg, da se upoštevajo:</w:t>
            </w:r>
          </w:p>
        </w:tc>
        <w:tc>
          <w:tcPr>
            <w:tcW w:w="4876" w:type="dxa"/>
          </w:tcPr>
          <w:p w14:paraId="1DF7E9CC" w14:textId="77777777" w:rsidR="004E4D6B" w:rsidRPr="00C64557" w:rsidRDefault="004E4D6B" w:rsidP="00D056A8">
            <w:pPr>
              <w:pStyle w:val="Normal6"/>
              <w:rPr>
                <w:szCs w:val="24"/>
              </w:rPr>
            </w:pPr>
            <w:r w:rsidRPr="00C64557">
              <w:t>1.</w:t>
            </w:r>
            <w:r w:rsidRPr="00C64557">
              <w:tab/>
              <w:t>Komisija lahko sprejme izvedbene akte, s katerimi sprejme izredne podporne ukrepi za prizadeti trg, da se upoštevajo:</w:t>
            </w:r>
          </w:p>
        </w:tc>
      </w:tr>
      <w:tr w:rsidR="004E4D6B" w:rsidRPr="00C64557" w14:paraId="2332BC7A" w14:textId="77777777" w:rsidTr="00D056A8">
        <w:trPr>
          <w:jc w:val="center"/>
        </w:trPr>
        <w:tc>
          <w:tcPr>
            <w:tcW w:w="4876" w:type="dxa"/>
          </w:tcPr>
          <w:p w14:paraId="4B8AD0C0" w14:textId="77777777" w:rsidR="004E4D6B" w:rsidRPr="00C64557" w:rsidRDefault="004E4D6B" w:rsidP="00D056A8">
            <w:pPr>
              <w:pStyle w:val="Normal6"/>
            </w:pPr>
            <w:r w:rsidRPr="00C64557">
              <w:t>(a)</w:t>
            </w:r>
            <w:r w:rsidRPr="00C64557">
              <w:tab/>
              <w:t>trgovinske omejitve znotraj Unije in s tretjimi državami, ki lahko izhajajo iz uporabe ukrepov za boj proti širjenju bolezni živali, in</w:t>
            </w:r>
          </w:p>
        </w:tc>
        <w:tc>
          <w:tcPr>
            <w:tcW w:w="4876" w:type="dxa"/>
          </w:tcPr>
          <w:p w14:paraId="277734D6" w14:textId="77777777" w:rsidR="004E4D6B" w:rsidRPr="00C64557" w:rsidRDefault="004E4D6B" w:rsidP="00D056A8">
            <w:pPr>
              <w:pStyle w:val="Normal6"/>
              <w:rPr>
                <w:szCs w:val="24"/>
              </w:rPr>
            </w:pPr>
            <w:r w:rsidRPr="00C64557">
              <w:t>(a)</w:t>
            </w:r>
            <w:r w:rsidRPr="00C64557">
              <w:tab/>
              <w:t xml:space="preserve">trgovinske omejitve znotraj Unije in s tretjimi državami, ki lahko izhajajo iz uporabe ukrepov za boj proti širjenju bolezni živali </w:t>
            </w:r>
            <w:r w:rsidRPr="00C64557">
              <w:rPr>
                <w:b/>
                <w:i/>
              </w:rPr>
              <w:t>oziroma širjenju bolezni rastlin ali rastlinskih škodljivcev</w:t>
            </w:r>
            <w:r w:rsidRPr="00C64557">
              <w:t>, in</w:t>
            </w:r>
          </w:p>
        </w:tc>
      </w:tr>
      <w:tr w:rsidR="004E4D6B" w:rsidRPr="00C64557" w14:paraId="0322CDF5" w14:textId="77777777" w:rsidTr="00D056A8">
        <w:trPr>
          <w:jc w:val="center"/>
        </w:trPr>
        <w:tc>
          <w:tcPr>
            <w:tcW w:w="4876" w:type="dxa"/>
          </w:tcPr>
          <w:p w14:paraId="6C7559C7" w14:textId="77777777" w:rsidR="004E4D6B" w:rsidRPr="00C64557" w:rsidRDefault="004E4D6B" w:rsidP="00D056A8">
            <w:pPr>
              <w:pStyle w:val="Normal6"/>
            </w:pPr>
            <w:r w:rsidRPr="00C64557">
              <w:t>(b)</w:t>
            </w:r>
            <w:r w:rsidRPr="00C64557">
              <w:tab/>
              <w:t>resne motnje na trgu, ki so neposredno povezane z izgubo zaupanja potrošnikov zaradi tveganja za zdravje ljudi, živali ali rastlin in nevarnosti bolezni.</w:t>
            </w:r>
          </w:p>
        </w:tc>
        <w:tc>
          <w:tcPr>
            <w:tcW w:w="4876" w:type="dxa"/>
          </w:tcPr>
          <w:p w14:paraId="6D020FBE" w14:textId="77777777" w:rsidR="004E4D6B" w:rsidRPr="00C64557" w:rsidRDefault="004E4D6B" w:rsidP="00D056A8">
            <w:pPr>
              <w:pStyle w:val="Normal6"/>
              <w:rPr>
                <w:szCs w:val="24"/>
              </w:rPr>
            </w:pPr>
            <w:r w:rsidRPr="00C64557">
              <w:t>(b)</w:t>
            </w:r>
            <w:r w:rsidRPr="00C64557">
              <w:tab/>
              <w:t>resne motnje na trgu, ki so neposredno povezane z izgubo zaupanja potrošnikov zaradi tveganja za zdravje ljudi, živali ali rastlin in nevarnosti bolezni.</w:t>
            </w:r>
          </w:p>
        </w:tc>
      </w:tr>
      <w:tr w:rsidR="004E4D6B" w:rsidRPr="00C64557" w14:paraId="540F17B5" w14:textId="77777777" w:rsidTr="00D056A8">
        <w:trPr>
          <w:jc w:val="center"/>
        </w:trPr>
        <w:tc>
          <w:tcPr>
            <w:tcW w:w="4876" w:type="dxa"/>
          </w:tcPr>
          <w:p w14:paraId="6943F310" w14:textId="77777777" w:rsidR="004E4D6B" w:rsidRPr="00C64557" w:rsidRDefault="004E4D6B" w:rsidP="00D056A8">
            <w:pPr>
              <w:pStyle w:val="Normal6"/>
            </w:pPr>
            <w:r w:rsidRPr="00C64557">
              <w:t>Ti izvedbeni akti se sprejmejo v skladu s postopkom pregleda iz člena 229(2).</w:t>
            </w:r>
          </w:p>
        </w:tc>
        <w:tc>
          <w:tcPr>
            <w:tcW w:w="4876" w:type="dxa"/>
          </w:tcPr>
          <w:p w14:paraId="6ED09C75" w14:textId="77777777" w:rsidR="004E4D6B" w:rsidRPr="00C64557" w:rsidRDefault="004E4D6B" w:rsidP="00D056A8">
            <w:pPr>
              <w:pStyle w:val="Normal6"/>
              <w:rPr>
                <w:szCs w:val="24"/>
              </w:rPr>
            </w:pPr>
            <w:r w:rsidRPr="00C64557">
              <w:t>Ti izvedbeni akti se sprejmejo v skladu s postopkom pregleda iz člena 229(2).</w:t>
            </w:r>
          </w:p>
        </w:tc>
      </w:tr>
      <w:tr w:rsidR="004E4D6B" w:rsidRPr="00C64557" w14:paraId="4C786CAA" w14:textId="77777777" w:rsidTr="00D056A8">
        <w:trPr>
          <w:jc w:val="center"/>
        </w:trPr>
        <w:tc>
          <w:tcPr>
            <w:tcW w:w="4876" w:type="dxa"/>
          </w:tcPr>
          <w:p w14:paraId="620D6779" w14:textId="77777777" w:rsidR="004E4D6B" w:rsidRPr="00C64557" w:rsidRDefault="004E4D6B" w:rsidP="00D056A8">
            <w:pPr>
              <w:pStyle w:val="Normal6"/>
            </w:pPr>
            <w:r w:rsidRPr="00C64557">
              <w:t>2.</w:t>
            </w:r>
            <w:r w:rsidRPr="00C64557">
              <w:tab/>
              <w:t xml:space="preserve">Ukrepi iz odstavka 1 se uporabljajo </w:t>
            </w:r>
            <w:r w:rsidRPr="00C64557">
              <w:rPr>
                <w:b/>
                <w:i/>
              </w:rPr>
              <w:t>za</w:t>
            </w:r>
            <w:r w:rsidRPr="00C64557">
              <w:rPr>
                <w:b/>
              </w:rPr>
              <w:t xml:space="preserve"> </w:t>
            </w:r>
            <w:r w:rsidRPr="00C64557">
              <w:rPr>
                <w:b/>
                <w:i/>
              </w:rPr>
              <w:t>katerega koli od naslednjih sektorjev:</w:t>
            </w:r>
          </w:p>
        </w:tc>
        <w:tc>
          <w:tcPr>
            <w:tcW w:w="4876" w:type="dxa"/>
          </w:tcPr>
          <w:p w14:paraId="37477C4D" w14:textId="77777777" w:rsidR="004E4D6B" w:rsidRPr="00C64557" w:rsidRDefault="004E4D6B" w:rsidP="00D056A8">
            <w:pPr>
              <w:pStyle w:val="Normal6"/>
              <w:rPr>
                <w:szCs w:val="24"/>
              </w:rPr>
            </w:pPr>
            <w:r w:rsidRPr="00C64557">
              <w:t>2.</w:t>
            </w:r>
            <w:r w:rsidRPr="00C64557">
              <w:tab/>
              <w:t>Ukrepi iz odstavka 1 se uporabljajo za vse druge kmetijske proizvode, razen proizvodov, ki so navedeni v oddelku 2 dela XXIV Priloge I.</w:t>
            </w:r>
          </w:p>
        </w:tc>
      </w:tr>
      <w:tr w:rsidR="004E4D6B" w:rsidRPr="00C64557" w14:paraId="49CCC225" w14:textId="77777777" w:rsidTr="00D056A8">
        <w:trPr>
          <w:jc w:val="center"/>
        </w:trPr>
        <w:tc>
          <w:tcPr>
            <w:tcW w:w="4876" w:type="dxa"/>
          </w:tcPr>
          <w:p w14:paraId="42ED95AB" w14:textId="77777777" w:rsidR="004E4D6B" w:rsidRPr="00C64557" w:rsidRDefault="004E4D6B" w:rsidP="00D056A8">
            <w:pPr>
              <w:pStyle w:val="Normal6a"/>
            </w:pPr>
            <w:r w:rsidRPr="00C64557">
              <w:rPr>
                <w:b/>
                <w:i/>
              </w:rPr>
              <w:t>(a)</w:t>
            </w:r>
            <w:r w:rsidRPr="00C64557">
              <w:rPr>
                <w:b/>
                <w:i/>
              </w:rPr>
              <w:tab/>
              <w:t>govejega in telečjega mesa;</w:t>
            </w:r>
          </w:p>
        </w:tc>
        <w:tc>
          <w:tcPr>
            <w:tcW w:w="4876" w:type="dxa"/>
          </w:tcPr>
          <w:p w14:paraId="2F9387C8" w14:textId="77777777" w:rsidR="004E4D6B" w:rsidRPr="00C64557" w:rsidRDefault="004E4D6B" w:rsidP="00D056A8">
            <w:pPr>
              <w:pStyle w:val="Normal6a"/>
            </w:pPr>
          </w:p>
        </w:tc>
      </w:tr>
      <w:tr w:rsidR="004E4D6B" w:rsidRPr="00C64557" w14:paraId="24176D13" w14:textId="77777777" w:rsidTr="00D056A8">
        <w:trPr>
          <w:jc w:val="center"/>
        </w:trPr>
        <w:tc>
          <w:tcPr>
            <w:tcW w:w="4876" w:type="dxa"/>
          </w:tcPr>
          <w:p w14:paraId="4F40F203" w14:textId="77777777" w:rsidR="004E4D6B" w:rsidRPr="00C64557" w:rsidRDefault="004E4D6B" w:rsidP="00D056A8">
            <w:pPr>
              <w:pStyle w:val="Normal6a"/>
            </w:pPr>
            <w:r w:rsidRPr="00C64557">
              <w:rPr>
                <w:b/>
                <w:i/>
              </w:rPr>
              <w:t>(b)</w:t>
            </w:r>
            <w:r w:rsidRPr="00C64557">
              <w:rPr>
                <w:b/>
                <w:i/>
              </w:rPr>
              <w:tab/>
              <w:t>mleka in mlečnih proizvodov;</w:t>
            </w:r>
          </w:p>
        </w:tc>
        <w:tc>
          <w:tcPr>
            <w:tcW w:w="4876" w:type="dxa"/>
          </w:tcPr>
          <w:p w14:paraId="09913E80" w14:textId="77777777" w:rsidR="004E4D6B" w:rsidRPr="00C64557" w:rsidRDefault="004E4D6B" w:rsidP="00D056A8">
            <w:pPr>
              <w:pStyle w:val="Normal6a"/>
            </w:pPr>
          </w:p>
        </w:tc>
      </w:tr>
      <w:tr w:rsidR="004E4D6B" w:rsidRPr="00C64557" w14:paraId="1F30E146" w14:textId="77777777" w:rsidTr="00D056A8">
        <w:trPr>
          <w:jc w:val="center"/>
        </w:trPr>
        <w:tc>
          <w:tcPr>
            <w:tcW w:w="4876" w:type="dxa"/>
          </w:tcPr>
          <w:p w14:paraId="31C02AB3" w14:textId="77777777" w:rsidR="004E4D6B" w:rsidRPr="00C64557" w:rsidRDefault="004E4D6B" w:rsidP="00D056A8">
            <w:pPr>
              <w:pStyle w:val="Normal6a"/>
            </w:pPr>
            <w:r w:rsidRPr="00C64557">
              <w:rPr>
                <w:b/>
                <w:i/>
              </w:rPr>
              <w:t>(c)</w:t>
            </w:r>
            <w:r w:rsidRPr="00C64557">
              <w:rPr>
                <w:b/>
                <w:i/>
              </w:rPr>
              <w:tab/>
              <w:t>prašičjega mesa;</w:t>
            </w:r>
          </w:p>
        </w:tc>
        <w:tc>
          <w:tcPr>
            <w:tcW w:w="4876" w:type="dxa"/>
          </w:tcPr>
          <w:p w14:paraId="3432E2BB" w14:textId="77777777" w:rsidR="004E4D6B" w:rsidRPr="00C64557" w:rsidRDefault="004E4D6B" w:rsidP="00D056A8">
            <w:pPr>
              <w:pStyle w:val="Normal6a"/>
            </w:pPr>
          </w:p>
        </w:tc>
      </w:tr>
      <w:tr w:rsidR="004E4D6B" w:rsidRPr="00C64557" w14:paraId="24FC5A2A" w14:textId="77777777" w:rsidTr="00D056A8">
        <w:trPr>
          <w:jc w:val="center"/>
        </w:trPr>
        <w:tc>
          <w:tcPr>
            <w:tcW w:w="4876" w:type="dxa"/>
          </w:tcPr>
          <w:p w14:paraId="313EFCE4" w14:textId="77777777" w:rsidR="004E4D6B" w:rsidRPr="00C64557" w:rsidRDefault="004E4D6B" w:rsidP="00D056A8">
            <w:pPr>
              <w:pStyle w:val="Normal6a"/>
            </w:pPr>
            <w:r w:rsidRPr="00C64557">
              <w:rPr>
                <w:b/>
                <w:i/>
              </w:rPr>
              <w:t>(d)</w:t>
            </w:r>
            <w:r w:rsidRPr="00C64557">
              <w:rPr>
                <w:b/>
                <w:i/>
              </w:rPr>
              <w:tab/>
              <w:t>ovčjega in kozjega mesa;</w:t>
            </w:r>
          </w:p>
        </w:tc>
        <w:tc>
          <w:tcPr>
            <w:tcW w:w="4876" w:type="dxa"/>
          </w:tcPr>
          <w:p w14:paraId="58789516" w14:textId="77777777" w:rsidR="004E4D6B" w:rsidRPr="00C64557" w:rsidRDefault="004E4D6B" w:rsidP="00D056A8">
            <w:pPr>
              <w:pStyle w:val="Normal6a"/>
            </w:pPr>
          </w:p>
        </w:tc>
      </w:tr>
      <w:tr w:rsidR="004E4D6B" w:rsidRPr="00C64557" w14:paraId="56E8DA13" w14:textId="77777777" w:rsidTr="00D056A8">
        <w:trPr>
          <w:jc w:val="center"/>
        </w:trPr>
        <w:tc>
          <w:tcPr>
            <w:tcW w:w="4876" w:type="dxa"/>
          </w:tcPr>
          <w:p w14:paraId="001BC9B0" w14:textId="77777777" w:rsidR="004E4D6B" w:rsidRPr="00C64557" w:rsidRDefault="004E4D6B" w:rsidP="00D056A8">
            <w:pPr>
              <w:pStyle w:val="Normal6a"/>
            </w:pPr>
            <w:r w:rsidRPr="00C64557">
              <w:rPr>
                <w:b/>
                <w:i/>
              </w:rPr>
              <w:t>(e)</w:t>
            </w:r>
            <w:r w:rsidRPr="00C64557">
              <w:rPr>
                <w:b/>
                <w:i/>
              </w:rPr>
              <w:tab/>
              <w:t>jajc;</w:t>
            </w:r>
          </w:p>
        </w:tc>
        <w:tc>
          <w:tcPr>
            <w:tcW w:w="4876" w:type="dxa"/>
          </w:tcPr>
          <w:p w14:paraId="451522E7" w14:textId="77777777" w:rsidR="004E4D6B" w:rsidRPr="00C64557" w:rsidRDefault="004E4D6B" w:rsidP="00D056A8">
            <w:pPr>
              <w:pStyle w:val="Normal6a"/>
            </w:pPr>
          </w:p>
        </w:tc>
      </w:tr>
      <w:tr w:rsidR="004E4D6B" w:rsidRPr="00C64557" w14:paraId="0A6515E8" w14:textId="77777777" w:rsidTr="00D056A8">
        <w:trPr>
          <w:jc w:val="center"/>
        </w:trPr>
        <w:tc>
          <w:tcPr>
            <w:tcW w:w="4876" w:type="dxa"/>
          </w:tcPr>
          <w:p w14:paraId="3E02F12E" w14:textId="77777777" w:rsidR="004E4D6B" w:rsidRPr="00C64557" w:rsidRDefault="004E4D6B" w:rsidP="00D056A8">
            <w:pPr>
              <w:pStyle w:val="Normal6a"/>
            </w:pPr>
            <w:r w:rsidRPr="00C64557">
              <w:rPr>
                <w:b/>
                <w:i/>
              </w:rPr>
              <w:t>(f)</w:t>
            </w:r>
            <w:r w:rsidRPr="00C64557">
              <w:rPr>
                <w:b/>
                <w:i/>
              </w:rPr>
              <w:tab/>
              <w:t>perutnine.</w:t>
            </w:r>
          </w:p>
        </w:tc>
        <w:tc>
          <w:tcPr>
            <w:tcW w:w="4876" w:type="dxa"/>
          </w:tcPr>
          <w:p w14:paraId="11EB493B" w14:textId="77777777" w:rsidR="004E4D6B" w:rsidRPr="00C64557" w:rsidRDefault="004E4D6B" w:rsidP="00D056A8">
            <w:pPr>
              <w:pStyle w:val="Normal6a"/>
            </w:pPr>
          </w:p>
        </w:tc>
      </w:tr>
      <w:tr w:rsidR="004E4D6B" w:rsidRPr="00C64557" w14:paraId="0F78A360" w14:textId="77777777" w:rsidTr="00D056A8">
        <w:trPr>
          <w:jc w:val="center"/>
        </w:trPr>
        <w:tc>
          <w:tcPr>
            <w:tcW w:w="4876" w:type="dxa"/>
          </w:tcPr>
          <w:p w14:paraId="630624F8" w14:textId="77777777" w:rsidR="004E4D6B" w:rsidRPr="00C64557" w:rsidRDefault="004E4D6B" w:rsidP="00D056A8">
            <w:pPr>
              <w:pStyle w:val="Normal6"/>
              <w:rPr>
                <w:b/>
                <w:i/>
              </w:rPr>
            </w:pPr>
            <w:r w:rsidRPr="00C64557">
              <w:rPr>
                <w:b/>
                <w:i/>
              </w:rPr>
              <w:t>Ukrepi iz točke (b) prvega pododstavka odstavka 1 v zvezi z izgubo zaupanja potrošnikov zaradi tveganja za zdravje ljudi ali rastlin se uporabljajo tudi</w:t>
            </w:r>
            <w:r w:rsidRPr="00C64557">
              <w:t xml:space="preserve"> za vse druge kmetijske proizvode, razen proizvodov, ki so navedeni v oddelku 2 dela XXIV Priloge I.</w:t>
            </w:r>
          </w:p>
        </w:tc>
        <w:tc>
          <w:tcPr>
            <w:tcW w:w="4876" w:type="dxa"/>
          </w:tcPr>
          <w:p w14:paraId="7DC52711" w14:textId="77777777" w:rsidR="004E4D6B" w:rsidRPr="00C64557" w:rsidRDefault="004E4D6B" w:rsidP="00D056A8">
            <w:pPr>
              <w:pStyle w:val="Normal6"/>
            </w:pPr>
          </w:p>
        </w:tc>
      </w:tr>
      <w:tr w:rsidR="004E4D6B" w:rsidRPr="00C64557" w14:paraId="3327F25B" w14:textId="77777777" w:rsidTr="00D056A8">
        <w:trPr>
          <w:jc w:val="center"/>
        </w:trPr>
        <w:tc>
          <w:tcPr>
            <w:tcW w:w="4876" w:type="dxa"/>
          </w:tcPr>
          <w:p w14:paraId="22205871" w14:textId="77777777" w:rsidR="004E4D6B" w:rsidRPr="00C64557" w:rsidRDefault="004E4D6B" w:rsidP="00D056A8">
            <w:pPr>
              <w:pStyle w:val="Normal6"/>
            </w:pPr>
            <w:r w:rsidRPr="00C64557">
              <w:t xml:space="preserve">Na Komisijo se prenese pooblastilo za sprejemanje delegiranih aktov v skladu z nujnim postopkom iz člena 228, s katerimi razširi seznam proizvodov iz </w:t>
            </w:r>
            <w:r w:rsidRPr="00C64557">
              <w:rPr>
                <w:b/>
                <w:i/>
              </w:rPr>
              <w:t>prvih dveh pododstavkov</w:t>
            </w:r>
            <w:r w:rsidRPr="00C64557">
              <w:t xml:space="preserve"> tega odstavka.</w:t>
            </w:r>
          </w:p>
        </w:tc>
        <w:tc>
          <w:tcPr>
            <w:tcW w:w="4876" w:type="dxa"/>
          </w:tcPr>
          <w:p w14:paraId="4DEDB43A" w14:textId="77777777" w:rsidR="004E4D6B" w:rsidRPr="00C64557" w:rsidRDefault="004E4D6B" w:rsidP="00D056A8">
            <w:pPr>
              <w:pStyle w:val="Normal6"/>
              <w:rPr>
                <w:szCs w:val="24"/>
              </w:rPr>
            </w:pPr>
            <w:r w:rsidRPr="00C64557">
              <w:t xml:space="preserve">Na Komisijo se prenese pooblastilo za sprejemanje delegiranih aktov v skladu z nujnim postopkom iz člena 228, s katerimi razširi seznam proizvodov iz </w:t>
            </w:r>
            <w:r w:rsidRPr="00C64557">
              <w:rPr>
                <w:b/>
                <w:i/>
              </w:rPr>
              <w:t>prvega pododstavka</w:t>
            </w:r>
            <w:r w:rsidRPr="00C64557">
              <w:t xml:space="preserve"> tega odstavka.</w:t>
            </w:r>
          </w:p>
        </w:tc>
      </w:tr>
      <w:tr w:rsidR="004E4D6B" w:rsidRPr="00C64557" w14:paraId="765C577A" w14:textId="77777777" w:rsidTr="00D056A8">
        <w:trPr>
          <w:jc w:val="center"/>
        </w:trPr>
        <w:tc>
          <w:tcPr>
            <w:tcW w:w="4876" w:type="dxa"/>
          </w:tcPr>
          <w:p w14:paraId="1E896C5F" w14:textId="77777777" w:rsidR="004E4D6B" w:rsidRPr="00C64557" w:rsidRDefault="004E4D6B" w:rsidP="00D056A8">
            <w:pPr>
              <w:pStyle w:val="Normal6"/>
            </w:pPr>
            <w:r w:rsidRPr="00C64557">
              <w:t>3.</w:t>
            </w:r>
            <w:r w:rsidRPr="00C64557">
              <w:tab/>
              <w:t>Ukrepi iz odstavka 1 se sprejmejo na zahtevo zadevne države članice.</w:t>
            </w:r>
          </w:p>
        </w:tc>
        <w:tc>
          <w:tcPr>
            <w:tcW w:w="4876" w:type="dxa"/>
          </w:tcPr>
          <w:p w14:paraId="190F2DCA" w14:textId="77777777" w:rsidR="004E4D6B" w:rsidRPr="00C64557" w:rsidRDefault="004E4D6B" w:rsidP="00D056A8">
            <w:pPr>
              <w:pStyle w:val="Normal6"/>
              <w:rPr>
                <w:szCs w:val="24"/>
              </w:rPr>
            </w:pPr>
            <w:r w:rsidRPr="00C64557">
              <w:t>3.</w:t>
            </w:r>
            <w:r w:rsidRPr="00C64557">
              <w:tab/>
              <w:t>Ukrepi iz odstavka 1 se sprejmejo na zahtevo zadevne države članice.</w:t>
            </w:r>
          </w:p>
        </w:tc>
      </w:tr>
      <w:tr w:rsidR="004E4D6B" w:rsidRPr="00C64557" w14:paraId="05A113FB" w14:textId="77777777" w:rsidTr="00D056A8">
        <w:trPr>
          <w:jc w:val="center"/>
        </w:trPr>
        <w:tc>
          <w:tcPr>
            <w:tcW w:w="4876" w:type="dxa"/>
          </w:tcPr>
          <w:p w14:paraId="4F94CCE5" w14:textId="77777777" w:rsidR="004E4D6B" w:rsidRPr="00C64557" w:rsidRDefault="004E4D6B" w:rsidP="00D056A8">
            <w:pPr>
              <w:pStyle w:val="Normal6"/>
            </w:pPr>
            <w:r w:rsidRPr="00C64557">
              <w:t>4.</w:t>
            </w:r>
            <w:r w:rsidRPr="00C64557">
              <w:tab/>
              <w:t xml:space="preserve"> Ukrepi iz točke (a) prvega pododstavka odstavka 1 se lahko sprejmejo samo, če zadevna država članica hitro sprejme </w:t>
            </w:r>
            <w:r w:rsidRPr="00C64557">
              <w:rPr>
                <w:b/>
                <w:i/>
              </w:rPr>
              <w:t>veterinarsko-sanitarne</w:t>
            </w:r>
            <w:r w:rsidRPr="00C64557">
              <w:t xml:space="preserve"> ukrepe za zajezitev bolezni, ter samo v obsegu in za časovno obdobje, ki sta nujno potrebna za podporo zadevnemu trgu.</w:t>
            </w:r>
          </w:p>
        </w:tc>
        <w:tc>
          <w:tcPr>
            <w:tcW w:w="4876" w:type="dxa"/>
          </w:tcPr>
          <w:p w14:paraId="1A85447C" w14:textId="77777777" w:rsidR="004E4D6B" w:rsidRPr="00C64557" w:rsidRDefault="004E4D6B" w:rsidP="00D056A8">
            <w:pPr>
              <w:pStyle w:val="Normal6"/>
              <w:rPr>
                <w:szCs w:val="24"/>
              </w:rPr>
            </w:pPr>
            <w:r w:rsidRPr="00C64557">
              <w:t>4.</w:t>
            </w:r>
            <w:r w:rsidRPr="00C64557">
              <w:tab/>
              <w:t xml:space="preserve">Ukrepi iz točke (a) prvega pododstavka odstavka 1 se lahko sprejmejo samo, če zadevna država članica hitro sprejme </w:t>
            </w:r>
            <w:r w:rsidRPr="00C64557">
              <w:rPr>
                <w:b/>
                <w:i/>
              </w:rPr>
              <w:t>zdravstvene, veterinarske in fitosanitarne</w:t>
            </w:r>
            <w:r w:rsidRPr="00C64557">
              <w:t xml:space="preserve"> ukrepe za zajezitev bolezni </w:t>
            </w:r>
            <w:r w:rsidRPr="00C64557">
              <w:rPr>
                <w:b/>
                <w:i/>
              </w:rPr>
              <w:t>oziroma za</w:t>
            </w:r>
            <w:r w:rsidRPr="00C64557">
              <w:rPr>
                <w:b/>
              </w:rPr>
              <w:t xml:space="preserve"> </w:t>
            </w:r>
            <w:r w:rsidRPr="00C64557">
              <w:rPr>
                <w:b/>
                <w:i/>
              </w:rPr>
              <w:t>spremljanje, nadzor ali izkoreninjenje škodljivcev</w:t>
            </w:r>
            <w:r w:rsidRPr="00C64557">
              <w:t>, ter samo v obsegu in za časovno obdobje, ki sta nujno potrebna za podporo zadevnemu trgu.</w:t>
            </w:r>
          </w:p>
        </w:tc>
      </w:tr>
      <w:tr w:rsidR="004E4D6B" w:rsidRPr="00C64557" w14:paraId="2A5AE9AF" w14:textId="77777777" w:rsidTr="00D056A8">
        <w:trPr>
          <w:jc w:val="center"/>
        </w:trPr>
        <w:tc>
          <w:tcPr>
            <w:tcW w:w="4876" w:type="dxa"/>
          </w:tcPr>
          <w:p w14:paraId="0F8829E0" w14:textId="77777777" w:rsidR="004E4D6B" w:rsidRPr="00C64557" w:rsidRDefault="004E4D6B" w:rsidP="00D056A8">
            <w:pPr>
              <w:pStyle w:val="Normal6"/>
            </w:pPr>
            <w:r w:rsidRPr="00C64557">
              <w:t>5.</w:t>
            </w:r>
            <w:r w:rsidRPr="00C64557">
              <w:tab/>
              <w:t>Unija zagotovi delno financiranje v višini 50 % stroškov, ki jih krijejo države članice za ukrepe iz odstavka 1.</w:t>
            </w:r>
          </w:p>
        </w:tc>
        <w:tc>
          <w:tcPr>
            <w:tcW w:w="4876" w:type="dxa"/>
          </w:tcPr>
          <w:p w14:paraId="75BB37DC" w14:textId="77777777" w:rsidR="004E4D6B" w:rsidRPr="00C64557" w:rsidRDefault="004E4D6B" w:rsidP="00D056A8">
            <w:pPr>
              <w:pStyle w:val="Normal6"/>
              <w:rPr>
                <w:szCs w:val="24"/>
              </w:rPr>
            </w:pPr>
            <w:r w:rsidRPr="00C64557">
              <w:t>5.</w:t>
            </w:r>
            <w:r w:rsidRPr="00C64557">
              <w:tab/>
              <w:t>Unija zagotovi delno financiranje v višini 50 % stroškov, ki jih krijejo države članice za ukrepe iz odstavka 1.</w:t>
            </w:r>
          </w:p>
        </w:tc>
      </w:tr>
      <w:tr w:rsidR="004E4D6B" w:rsidRPr="00C64557" w14:paraId="69FBEB91" w14:textId="77777777" w:rsidTr="00D056A8">
        <w:trPr>
          <w:jc w:val="center"/>
        </w:trPr>
        <w:tc>
          <w:tcPr>
            <w:tcW w:w="4876" w:type="dxa"/>
          </w:tcPr>
          <w:p w14:paraId="7CC3B4AA" w14:textId="77777777" w:rsidR="004E4D6B" w:rsidRPr="00C64557" w:rsidRDefault="004E4D6B" w:rsidP="00D056A8">
            <w:pPr>
              <w:pStyle w:val="Normal6"/>
            </w:pPr>
            <w:r w:rsidRPr="00C64557">
              <w:t>Vendar pa Unija za sektorje govejega in telečjega mesa, mleka in mlečnih proizvodov, prašičjega mesa ter ovčjega in kozjega mesa za boj proti slinavki in parkljevki zagotovi delno financiranje v višini 60 % takih stroškov.</w:t>
            </w:r>
          </w:p>
        </w:tc>
        <w:tc>
          <w:tcPr>
            <w:tcW w:w="4876" w:type="dxa"/>
          </w:tcPr>
          <w:p w14:paraId="7AF6D2A5" w14:textId="77777777" w:rsidR="004E4D6B" w:rsidRPr="00C64557" w:rsidRDefault="004E4D6B" w:rsidP="00D056A8">
            <w:pPr>
              <w:pStyle w:val="Normal6"/>
              <w:rPr>
                <w:szCs w:val="24"/>
              </w:rPr>
            </w:pPr>
            <w:r w:rsidRPr="00C64557">
              <w:t>Vendar pa Unija za sektorje govejega in telečjega mesa, mleka in mlečnih proizvodov, prašičjega mesa ter ovčjega in kozjega mesa za boj proti slinavki in parkljevki zagotovi delno financiranje v višini 60 % takih stroškov.</w:t>
            </w:r>
          </w:p>
        </w:tc>
      </w:tr>
      <w:tr w:rsidR="004E4D6B" w:rsidRPr="00C64557" w14:paraId="2654DFB6" w14:textId="77777777" w:rsidTr="00D056A8">
        <w:trPr>
          <w:jc w:val="center"/>
        </w:trPr>
        <w:tc>
          <w:tcPr>
            <w:tcW w:w="4876" w:type="dxa"/>
          </w:tcPr>
          <w:p w14:paraId="0088FB9C" w14:textId="77777777" w:rsidR="004E4D6B" w:rsidRPr="00C64557" w:rsidRDefault="004E4D6B" w:rsidP="00D056A8">
            <w:pPr>
              <w:pStyle w:val="Normal6"/>
            </w:pPr>
            <w:r w:rsidRPr="00C64557">
              <w:t>6.</w:t>
            </w:r>
            <w:r w:rsidRPr="00C64557">
              <w:tab/>
              <w:t>Države članice zagotovijo, da primeri, ko proizvajalci prispevajo k stroškom, ki jih krijejo države članice, ne povzročajo izkrivljanja konkurence med proizvajalci v različnih državah članicah.</w:t>
            </w:r>
          </w:p>
        </w:tc>
        <w:tc>
          <w:tcPr>
            <w:tcW w:w="4876" w:type="dxa"/>
          </w:tcPr>
          <w:p w14:paraId="222952A9" w14:textId="77777777" w:rsidR="004E4D6B" w:rsidRPr="00C64557" w:rsidRDefault="004E4D6B" w:rsidP="00D056A8">
            <w:pPr>
              <w:pStyle w:val="Normal6"/>
              <w:rPr>
                <w:szCs w:val="24"/>
              </w:rPr>
            </w:pPr>
            <w:r w:rsidRPr="00C64557">
              <w:t>6.</w:t>
            </w:r>
            <w:r w:rsidRPr="00C64557">
              <w:tab/>
              <w:t>Države članice zagotovijo, da primeri, ko proizvajalci prispevajo k stroškom, ki jih krijejo države članice, ne povzročajo izkrivljanja konkurence med proizvajalci v različnih državah članicah.</w:t>
            </w:r>
            <w:r w:rsidRPr="00C64557">
              <w:rPr>
                <w:b/>
                <w:i/>
              </w:rPr>
              <w:t>“</w:t>
            </w:r>
          </w:p>
        </w:tc>
      </w:tr>
    </w:tbl>
    <w:p w14:paraId="5ED7E226" w14:textId="77777777" w:rsidR="004E4D6B" w:rsidRPr="003B2277" w:rsidRDefault="004E4D6B" w:rsidP="006F5BFE">
      <w:pPr>
        <w:rPr>
          <w:lang w:eastAsia="en-US"/>
        </w:rPr>
      </w:pPr>
    </w:p>
    <w:p w14:paraId="3FBD7025" w14:textId="4AE6D39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151</w:t>
      </w:r>
    </w:p>
    <w:p w14:paraId="61842430" w14:textId="77777777" w:rsidR="006F5BFE" w:rsidRPr="003B2277" w:rsidRDefault="006F5BFE" w:rsidP="006F5BFE"/>
    <w:p w14:paraId="256D4318" w14:textId="77777777" w:rsidR="006F5BFE" w:rsidRPr="003B2277" w:rsidRDefault="006F5BFE" w:rsidP="006F5BFE">
      <w:pPr>
        <w:keepNext/>
        <w:rPr>
          <w:b/>
          <w:lang w:eastAsia="en-US"/>
        </w:rPr>
      </w:pPr>
      <w:r w:rsidRPr="003B2277">
        <w:rPr>
          <w:rFonts w:eastAsia="Calibri" w:cs="Mangal"/>
          <w:b/>
          <w:lang w:eastAsia="en-US"/>
        </w:rPr>
        <w:t>Predlog uredbe</w:t>
      </w:r>
    </w:p>
    <w:p w14:paraId="6BB3BAA5" w14:textId="2102AB4F"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n</w:t>
      </w:r>
      <w:r w:rsidRPr="003B2277">
        <w:rPr>
          <w:rFonts w:eastAsia="Calibri" w:cs="Mangal"/>
          <w:b/>
          <w:lang w:eastAsia="en-US"/>
        </w:rPr>
        <w:t xml:space="preserve"> (novo)</w:t>
      </w:r>
    </w:p>
    <w:p w14:paraId="690C3E5B" w14:textId="77777777" w:rsidR="006F5BFE" w:rsidRPr="003B2277" w:rsidRDefault="006F5BFE" w:rsidP="006F5BFE">
      <w:pPr>
        <w:keepNext/>
        <w:rPr>
          <w:lang w:eastAsia="en-US"/>
        </w:rPr>
      </w:pPr>
      <w:r w:rsidRPr="003B2277">
        <w:rPr>
          <w:rFonts w:eastAsia="Calibri" w:cs="Mangal"/>
          <w:lang w:eastAsia="en-US"/>
        </w:rPr>
        <w:t>Uredba (EU) št. 1308/2013</w:t>
      </w:r>
    </w:p>
    <w:p w14:paraId="15C110FD" w14:textId="11905CEC" w:rsidR="006F5BFE" w:rsidRPr="003B2277" w:rsidRDefault="006F5BFE" w:rsidP="006F5BFE">
      <w:pPr>
        <w:rPr>
          <w:lang w:eastAsia="en-US"/>
        </w:rPr>
      </w:pPr>
      <w:r w:rsidRPr="003B2277">
        <w:rPr>
          <w:rFonts w:eastAsia="Calibri" w:cs="Mangal"/>
          <w:lang w:eastAsia="en-US"/>
        </w:rPr>
        <w:t xml:space="preserve">Del V – poglavje I – </w:t>
      </w:r>
      <w:r w:rsidR="00E10C2E" w:rsidRPr="003B2277">
        <w:rPr>
          <w:rFonts w:eastAsia="Calibri" w:cs="Mangal"/>
          <w:lang w:eastAsia="en-US"/>
        </w:rPr>
        <w:t xml:space="preserve">oddelek </w:t>
      </w:r>
      <w:r w:rsidRPr="003B2277">
        <w:rPr>
          <w:rFonts w:eastAsia="Calibri" w:cs="Mangal"/>
          <w:lang w:eastAsia="en-US"/>
        </w:rPr>
        <w:t>4 – naslov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CD364E8" w14:textId="77777777" w:rsidTr="005B4D60">
        <w:trPr>
          <w:jc w:val="center"/>
        </w:trPr>
        <w:tc>
          <w:tcPr>
            <w:tcW w:w="9752" w:type="dxa"/>
            <w:gridSpan w:val="2"/>
          </w:tcPr>
          <w:p w14:paraId="2AB56AEA" w14:textId="77777777" w:rsidR="006F5BFE" w:rsidRPr="003B2277" w:rsidRDefault="006F5BFE" w:rsidP="005B4D60">
            <w:pPr>
              <w:keepNext/>
            </w:pPr>
          </w:p>
        </w:tc>
      </w:tr>
      <w:tr w:rsidR="006F5BFE" w:rsidRPr="003B2277" w14:paraId="4899AE58" w14:textId="77777777" w:rsidTr="005B4D60">
        <w:trPr>
          <w:jc w:val="center"/>
        </w:trPr>
        <w:tc>
          <w:tcPr>
            <w:tcW w:w="4876" w:type="dxa"/>
            <w:hideMark/>
          </w:tcPr>
          <w:p w14:paraId="24D2E037"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8F05FD8" w14:textId="1451534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70E6911" w14:textId="77777777" w:rsidTr="005B4D60">
        <w:trPr>
          <w:jc w:val="center"/>
        </w:trPr>
        <w:tc>
          <w:tcPr>
            <w:tcW w:w="4876" w:type="dxa"/>
          </w:tcPr>
          <w:p w14:paraId="4AC24DBE" w14:textId="77777777" w:rsidR="006F5BFE" w:rsidRPr="003B2277" w:rsidRDefault="006F5BFE" w:rsidP="005B4D60">
            <w:pPr>
              <w:spacing w:after="120"/>
            </w:pPr>
          </w:p>
        </w:tc>
        <w:tc>
          <w:tcPr>
            <w:tcW w:w="4876" w:type="dxa"/>
            <w:hideMark/>
          </w:tcPr>
          <w:p w14:paraId="1B2D61D2" w14:textId="7E72BB9B" w:rsidR="006F5BFE" w:rsidRPr="003B2277" w:rsidRDefault="006F5BFE" w:rsidP="00465DEA">
            <w:pPr>
              <w:spacing w:after="120"/>
              <w:rPr>
                <w:b/>
                <w:i/>
                <w:szCs w:val="24"/>
                <w:lang w:eastAsia="en-US"/>
              </w:rPr>
            </w:pPr>
            <w:r w:rsidRPr="003B2277">
              <w:rPr>
                <w:rFonts w:eastAsia="Calibri" w:cs="Mangal"/>
                <w:b/>
                <w:i/>
                <w:lang w:eastAsia="en-US"/>
              </w:rPr>
              <w:t>(26</w:t>
            </w:r>
            <w:r w:rsidR="00465DEA">
              <w:rPr>
                <w:rFonts w:eastAsia="Calibri" w:cs="Mangal"/>
                <w:b/>
                <w:i/>
                <w:lang w:eastAsia="en-US"/>
              </w:rPr>
              <w:t>n</w:t>
            </w:r>
            <w:r w:rsidRPr="003B2277">
              <w:rPr>
                <w:rFonts w:eastAsia="Calibri" w:cs="Mangal"/>
                <w:b/>
                <w:i/>
                <w:lang w:eastAsia="en-US"/>
              </w:rPr>
              <w:t>)</w:t>
            </w:r>
            <w:r w:rsidRPr="003B2277">
              <w:rPr>
                <w:rFonts w:eastAsia="Calibri" w:cs="Mangal"/>
                <w:b/>
                <w:i/>
                <w:lang w:eastAsia="en-US"/>
              </w:rPr>
              <w:tab/>
              <w:t>v oddelku 4 se naslov nadomesti z naslednjim:</w:t>
            </w:r>
          </w:p>
        </w:tc>
      </w:tr>
      <w:tr w:rsidR="006F5BFE" w:rsidRPr="003B2277" w14:paraId="420BA83D" w14:textId="77777777" w:rsidTr="005B4D60">
        <w:trPr>
          <w:jc w:val="center"/>
        </w:trPr>
        <w:tc>
          <w:tcPr>
            <w:tcW w:w="4876" w:type="dxa"/>
            <w:hideMark/>
          </w:tcPr>
          <w:p w14:paraId="3EE1785C" w14:textId="77777777" w:rsidR="006F5BFE" w:rsidRPr="003B2277" w:rsidRDefault="006F5BFE" w:rsidP="005B4D60">
            <w:pPr>
              <w:spacing w:after="120"/>
              <w:rPr>
                <w:lang w:eastAsia="en-US"/>
              </w:rPr>
            </w:pPr>
            <w:r w:rsidRPr="003B2277">
              <w:rPr>
                <w:rFonts w:eastAsia="Calibri" w:cs="Mangal"/>
                <w:lang w:eastAsia="en-US"/>
              </w:rPr>
              <w:t xml:space="preserve">Sporazumi in odločitve </w:t>
            </w:r>
            <w:r w:rsidRPr="003B2277">
              <w:rPr>
                <w:rFonts w:eastAsia="Calibri" w:cs="Mangal"/>
                <w:b/>
                <w:i/>
                <w:lang w:eastAsia="en-US"/>
              </w:rPr>
              <w:t>v obdobjih hudih neravnovesij</w:t>
            </w:r>
            <w:r w:rsidRPr="003B2277">
              <w:rPr>
                <w:rFonts w:eastAsia="Calibri" w:cs="Mangal"/>
                <w:lang w:eastAsia="en-US"/>
              </w:rPr>
              <w:t xml:space="preserve"> na trgih</w:t>
            </w:r>
          </w:p>
        </w:tc>
        <w:tc>
          <w:tcPr>
            <w:tcW w:w="4876" w:type="dxa"/>
            <w:hideMark/>
          </w:tcPr>
          <w:p w14:paraId="6AD32A53" w14:textId="77777777" w:rsidR="006F5BFE" w:rsidRPr="003B2277" w:rsidRDefault="006F5BFE" w:rsidP="005B4D60">
            <w:pPr>
              <w:spacing w:after="120"/>
              <w:rPr>
                <w:szCs w:val="24"/>
                <w:lang w:eastAsia="en-US"/>
              </w:rPr>
            </w:pPr>
            <w:r w:rsidRPr="003B2277">
              <w:rPr>
                <w:rFonts w:eastAsia="Calibri" w:cs="Mangal"/>
                <w:lang w:eastAsia="en-US"/>
              </w:rPr>
              <w:t xml:space="preserve">Sporazumi in odločitve </w:t>
            </w:r>
            <w:r w:rsidRPr="003B2277">
              <w:rPr>
                <w:rFonts w:eastAsia="Calibri" w:cs="Mangal"/>
                <w:b/>
                <w:i/>
                <w:lang w:eastAsia="en-US"/>
              </w:rPr>
              <w:t>za preprečitev motenj na trgu in odpravo hudega neravnovesja</w:t>
            </w:r>
            <w:r w:rsidRPr="003B2277">
              <w:rPr>
                <w:rFonts w:eastAsia="Calibri" w:cs="Mangal"/>
                <w:lang w:eastAsia="en-US"/>
              </w:rPr>
              <w:t xml:space="preserve"> na trgih</w:t>
            </w:r>
          </w:p>
        </w:tc>
      </w:tr>
    </w:tbl>
    <w:p w14:paraId="0573EE16" w14:textId="77777777" w:rsidR="006F5BFE" w:rsidRPr="003B2277" w:rsidRDefault="006F5BFE" w:rsidP="006F5BFE">
      <w:pPr>
        <w:rPr>
          <w:lang w:eastAsia="en-US"/>
        </w:rPr>
      </w:pPr>
    </w:p>
    <w:p w14:paraId="4B818401" w14:textId="0EF3ABF3"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152</w:t>
      </w:r>
    </w:p>
    <w:p w14:paraId="42B1F52D" w14:textId="77777777" w:rsidR="006F5BFE" w:rsidRPr="003B2277" w:rsidRDefault="006F5BFE" w:rsidP="006F5BFE"/>
    <w:p w14:paraId="40179EE2" w14:textId="77777777" w:rsidR="006F5BFE" w:rsidRPr="003B2277" w:rsidRDefault="006F5BFE" w:rsidP="006F5BFE">
      <w:pPr>
        <w:keepNext/>
        <w:rPr>
          <w:b/>
          <w:lang w:eastAsia="en-US"/>
        </w:rPr>
      </w:pPr>
      <w:r w:rsidRPr="003B2277">
        <w:rPr>
          <w:rFonts w:eastAsia="Calibri" w:cs="Mangal"/>
          <w:b/>
          <w:lang w:eastAsia="en-US"/>
        </w:rPr>
        <w:t>Predlog uredbe</w:t>
      </w:r>
    </w:p>
    <w:p w14:paraId="65370E47" w14:textId="55FE5B4F" w:rsidR="006F5BFE" w:rsidRPr="003B2277" w:rsidRDefault="006F5BFE" w:rsidP="006F5BFE">
      <w:pPr>
        <w:rPr>
          <w:b/>
          <w:lang w:eastAsia="en-US"/>
        </w:rPr>
      </w:pPr>
      <w:r w:rsidRPr="003B2277">
        <w:rPr>
          <w:rFonts w:eastAsia="Calibri" w:cs="Mangal"/>
          <w:b/>
          <w:lang w:eastAsia="en-US"/>
        </w:rPr>
        <w:t xml:space="preserve">Člen 1 – odstavek 1 – točka 26 </w:t>
      </w:r>
      <w:r w:rsidR="00465DEA">
        <w:rPr>
          <w:rFonts w:eastAsia="Calibri" w:cs="Mangal"/>
          <w:b/>
          <w:lang w:eastAsia="en-US"/>
        </w:rPr>
        <w:t>o</w:t>
      </w:r>
      <w:r w:rsidR="00465DEA" w:rsidRPr="003B2277">
        <w:rPr>
          <w:rFonts w:eastAsia="Calibri" w:cs="Mangal"/>
          <w:b/>
          <w:lang w:eastAsia="en-US"/>
        </w:rPr>
        <w:t xml:space="preserve"> </w:t>
      </w:r>
      <w:r w:rsidRPr="003B2277">
        <w:rPr>
          <w:rFonts w:eastAsia="Calibri" w:cs="Mangal"/>
          <w:b/>
          <w:lang w:eastAsia="en-US"/>
        </w:rPr>
        <w:t>(novo)</w:t>
      </w:r>
    </w:p>
    <w:p w14:paraId="0C2BB341" w14:textId="77777777" w:rsidR="006F5BFE" w:rsidRPr="003B2277" w:rsidRDefault="006F5BFE" w:rsidP="006F5BFE">
      <w:pPr>
        <w:keepNext/>
        <w:rPr>
          <w:lang w:eastAsia="en-US"/>
        </w:rPr>
      </w:pPr>
      <w:r w:rsidRPr="003B2277">
        <w:rPr>
          <w:rFonts w:eastAsia="Calibri" w:cs="Mangal"/>
          <w:lang w:eastAsia="en-US"/>
        </w:rPr>
        <w:t>Uredba (EU) št. 1308/2013</w:t>
      </w:r>
    </w:p>
    <w:p w14:paraId="038888F4" w14:textId="77777777" w:rsidR="006F5BFE" w:rsidRPr="003B2277" w:rsidRDefault="006F5BFE" w:rsidP="006F5BFE">
      <w:pPr>
        <w:rPr>
          <w:lang w:eastAsia="en-US"/>
        </w:rPr>
      </w:pPr>
      <w:r w:rsidRPr="003B2277">
        <w:rPr>
          <w:rFonts w:eastAsia="Calibri" w:cs="Mangal"/>
          <w:lang w:eastAsia="en-US"/>
        </w:rPr>
        <w:t>Člen 222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4AFE355" w14:textId="77777777" w:rsidTr="005B4D60">
        <w:trPr>
          <w:jc w:val="center"/>
        </w:trPr>
        <w:tc>
          <w:tcPr>
            <w:tcW w:w="9752" w:type="dxa"/>
            <w:gridSpan w:val="2"/>
          </w:tcPr>
          <w:p w14:paraId="27FA9EEE" w14:textId="77777777" w:rsidR="006F5BFE" w:rsidRPr="003B2277" w:rsidRDefault="006F5BFE" w:rsidP="005B4D60">
            <w:pPr>
              <w:keepNext/>
            </w:pPr>
          </w:p>
        </w:tc>
      </w:tr>
      <w:tr w:rsidR="006F5BFE" w:rsidRPr="003B2277" w14:paraId="7366D43E" w14:textId="77777777" w:rsidTr="005B4D60">
        <w:trPr>
          <w:jc w:val="center"/>
        </w:trPr>
        <w:tc>
          <w:tcPr>
            <w:tcW w:w="4876" w:type="dxa"/>
            <w:hideMark/>
          </w:tcPr>
          <w:p w14:paraId="7AB109AB"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4CCE47F" w14:textId="351839C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D1FF52A" w14:textId="77777777" w:rsidTr="005B4D60">
        <w:trPr>
          <w:jc w:val="center"/>
        </w:trPr>
        <w:tc>
          <w:tcPr>
            <w:tcW w:w="4876" w:type="dxa"/>
          </w:tcPr>
          <w:p w14:paraId="4AE95552" w14:textId="77777777" w:rsidR="006F5BFE" w:rsidRPr="003B2277" w:rsidRDefault="006F5BFE" w:rsidP="005B4D60">
            <w:pPr>
              <w:spacing w:after="120"/>
            </w:pPr>
          </w:p>
        </w:tc>
        <w:tc>
          <w:tcPr>
            <w:tcW w:w="4876" w:type="dxa"/>
            <w:hideMark/>
          </w:tcPr>
          <w:p w14:paraId="747AFBEF" w14:textId="1A01C35D" w:rsidR="006F5BFE" w:rsidRPr="003B2277" w:rsidRDefault="006F5BFE" w:rsidP="00465DEA">
            <w:pPr>
              <w:spacing w:after="120"/>
              <w:rPr>
                <w:szCs w:val="24"/>
                <w:lang w:eastAsia="en-US"/>
              </w:rPr>
            </w:pPr>
            <w:r w:rsidRPr="003B2277">
              <w:rPr>
                <w:rFonts w:eastAsia="Calibri" w:cs="Mangal"/>
                <w:b/>
                <w:i/>
                <w:lang w:eastAsia="en-US"/>
              </w:rPr>
              <w:t>(</w:t>
            </w:r>
            <w:r w:rsidR="00465DEA">
              <w:rPr>
                <w:rFonts w:eastAsia="Calibri" w:cs="Mangal"/>
                <w:b/>
                <w:i/>
                <w:lang w:eastAsia="en-US"/>
              </w:rPr>
              <w:t>26o</w:t>
            </w:r>
            <w:r w:rsidRPr="003B2277">
              <w:rPr>
                <w:rFonts w:eastAsia="Calibri" w:cs="Mangal"/>
                <w:b/>
                <w:i/>
                <w:lang w:eastAsia="en-US"/>
              </w:rPr>
              <w:t>)</w:t>
            </w:r>
            <w:r w:rsidRPr="003B2277">
              <w:rPr>
                <w:rFonts w:eastAsia="Calibri" w:cs="Mangal"/>
                <w:b/>
                <w:i/>
                <w:lang w:eastAsia="en-US"/>
              </w:rPr>
              <w:tab/>
              <w:t>člen 222 se nadomesti z naslednjim:</w:t>
            </w:r>
          </w:p>
        </w:tc>
      </w:tr>
      <w:tr w:rsidR="006F5BFE" w:rsidRPr="003B2277" w14:paraId="0FEB1A1F" w14:textId="77777777" w:rsidTr="005B4D60">
        <w:trPr>
          <w:jc w:val="center"/>
        </w:trPr>
        <w:tc>
          <w:tcPr>
            <w:tcW w:w="4876" w:type="dxa"/>
            <w:hideMark/>
          </w:tcPr>
          <w:p w14:paraId="3E0D111E" w14:textId="77777777" w:rsidR="006F5BFE" w:rsidRPr="003B2277" w:rsidRDefault="006F5BFE" w:rsidP="005B4D60">
            <w:pPr>
              <w:spacing w:after="120"/>
              <w:rPr>
                <w:lang w:eastAsia="en-US"/>
              </w:rPr>
            </w:pPr>
            <w:r w:rsidRPr="003B2277">
              <w:rPr>
                <w:rFonts w:eastAsia="Calibri" w:cs="Mangal"/>
                <w:lang w:eastAsia="en-US"/>
              </w:rPr>
              <w:t>Člen 222</w:t>
            </w:r>
          </w:p>
        </w:tc>
        <w:tc>
          <w:tcPr>
            <w:tcW w:w="4876" w:type="dxa"/>
            <w:hideMark/>
          </w:tcPr>
          <w:p w14:paraId="165682F8" w14:textId="77777777" w:rsidR="006F5BFE" w:rsidRPr="003B2277" w:rsidRDefault="006F5BFE" w:rsidP="005B4D60">
            <w:pPr>
              <w:spacing w:after="120"/>
              <w:rPr>
                <w:szCs w:val="24"/>
                <w:lang w:eastAsia="en-US"/>
              </w:rPr>
            </w:pPr>
            <w:r w:rsidRPr="003B2277">
              <w:rPr>
                <w:rFonts w:eastAsia="Calibri" w:cs="Mangal"/>
                <w:lang w:eastAsia="en-US"/>
              </w:rPr>
              <w:t>Člen 222</w:t>
            </w:r>
          </w:p>
        </w:tc>
      </w:tr>
      <w:tr w:rsidR="006F5BFE" w:rsidRPr="003B2277" w14:paraId="05A7685A" w14:textId="77777777" w:rsidTr="005B4D60">
        <w:trPr>
          <w:jc w:val="center"/>
        </w:trPr>
        <w:tc>
          <w:tcPr>
            <w:tcW w:w="4876" w:type="dxa"/>
            <w:hideMark/>
          </w:tcPr>
          <w:p w14:paraId="4955C950" w14:textId="77777777" w:rsidR="006F5BFE" w:rsidRPr="003B2277" w:rsidRDefault="006F5BFE" w:rsidP="005B4D60">
            <w:pPr>
              <w:spacing w:after="120"/>
              <w:rPr>
                <w:lang w:eastAsia="en-US"/>
              </w:rPr>
            </w:pPr>
            <w:r w:rsidRPr="003B2277">
              <w:rPr>
                <w:rFonts w:eastAsia="Calibri" w:cs="Mangal"/>
                <w:lang w:eastAsia="en-US"/>
              </w:rPr>
              <w:t>Uporaba člena 101(1) PDEU</w:t>
            </w:r>
          </w:p>
        </w:tc>
        <w:tc>
          <w:tcPr>
            <w:tcW w:w="4876" w:type="dxa"/>
            <w:hideMark/>
          </w:tcPr>
          <w:p w14:paraId="7B18E8C9" w14:textId="77777777" w:rsidR="006F5BFE" w:rsidRPr="003B2277" w:rsidRDefault="006F5BFE" w:rsidP="005B4D60">
            <w:pPr>
              <w:spacing w:after="120"/>
              <w:rPr>
                <w:szCs w:val="24"/>
                <w:lang w:eastAsia="en-US"/>
              </w:rPr>
            </w:pPr>
            <w:r w:rsidRPr="003B2277">
              <w:rPr>
                <w:rFonts w:eastAsia="Calibri" w:cs="Mangal"/>
                <w:lang w:eastAsia="en-US"/>
              </w:rPr>
              <w:t>Uporaba člena 101(1) PDEU</w:t>
            </w:r>
          </w:p>
        </w:tc>
      </w:tr>
      <w:tr w:rsidR="006F5BFE" w:rsidRPr="003B2277" w14:paraId="09174E8B" w14:textId="77777777" w:rsidTr="005B4D60">
        <w:trPr>
          <w:jc w:val="center"/>
        </w:trPr>
        <w:tc>
          <w:tcPr>
            <w:tcW w:w="4876" w:type="dxa"/>
            <w:hideMark/>
          </w:tcPr>
          <w:p w14:paraId="025AE598"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 xml:space="preserve">Komisija lahko </w:t>
            </w:r>
            <w:r w:rsidRPr="003B2277">
              <w:rPr>
                <w:rFonts w:eastAsia="Calibri" w:cs="Mangal"/>
                <w:b/>
                <w:i/>
                <w:lang w:eastAsia="en-US"/>
              </w:rPr>
              <w:t>v obdobjih</w:t>
            </w:r>
            <w:r w:rsidRPr="003B2277">
              <w:rPr>
                <w:rFonts w:eastAsia="Calibri" w:cs="Mangal"/>
                <w:lang w:eastAsia="en-US"/>
              </w:rPr>
              <w:t xml:space="preserve"> hudega neravnovesja na trgih sprejme izvedbene akte, s katerimi določi, da </w:t>
            </w:r>
            <w:r w:rsidRPr="003B2277">
              <w:rPr>
                <w:rFonts w:eastAsia="Calibri" w:cs="Mangal"/>
                <w:b/>
                <w:i/>
                <w:lang w:eastAsia="en-US"/>
              </w:rPr>
              <w:t xml:space="preserve">se </w:t>
            </w:r>
            <w:r w:rsidRPr="003B2277">
              <w:rPr>
                <w:rFonts w:eastAsia="Calibri" w:cs="Mangal"/>
                <w:lang w:eastAsia="en-US"/>
              </w:rPr>
              <w:t xml:space="preserve">člen 101(1) PDEU ne </w:t>
            </w:r>
            <w:r w:rsidRPr="003B2277">
              <w:rPr>
                <w:rFonts w:eastAsia="Calibri" w:cs="Mangal"/>
                <w:b/>
                <w:i/>
                <w:lang w:eastAsia="en-US"/>
              </w:rPr>
              <w:t>uporablja</w:t>
            </w:r>
            <w:r w:rsidRPr="003B2277">
              <w:rPr>
                <w:rFonts w:eastAsia="Calibri" w:cs="Mangal"/>
                <w:lang w:eastAsia="en-US"/>
              </w:rPr>
              <w:t xml:space="preserve"> za sporazume in odločitve kmetov, združenj kmetov ali združenj teh združenj ali priznanih organizacij proizvajalcev, </w:t>
            </w:r>
            <w:r w:rsidRPr="003B2277">
              <w:rPr>
                <w:rFonts w:eastAsia="Calibri" w:cs="Mangal"/>
                <w:b/>
                <w:i/>
                <w:lang w:eastAsia="en-US"/>
              </w:rPr>
              <w:t>združenj priznanih organizacij proizvajalcev</w:t>
            </w:r>
            <w:r w:rsidRPr="003B2277">
              <w:rPr>
                <w:rFonts w:eastAsia="Calibri" w:cs="Mangal"/>
                <w:lang w:eastAsia="en-US"/>
              </w:rPr>
              <w:t xml:space="preserve"> in priznanih medpanožnih organizacij iz katerega koli sektorja iz člena 1(2) te uredbe, pod pogojem, da takšni sporazumi in odločitve ne ogrožajo pravilnega delovanja notranjega trga, so namenjeni izključno stabilizaciji zadevnega sektorja in spadajo v eno ali več naslednjih kategorij:</w:t>
            </w:r>
          </w:p>
        </w:tc>
        <w:tc>
          <w:tcPr>
            <w:tcW w:w="4876" w:type="dxa"/>
            <w:hideMark/>
          </w:tcPr>
          <w:p w14:paraId="7426A1BA"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 xml:space="preserve">Komisija lahko </w:t>
            </w:r>
            <w:r w:rsidRPr="003B2277">
              <w:rPr>
                <w:rFonts w:eastAsia="Calibri" w:cs="Mangal"/>
                <w:b/>
                <w:i/>
                <w:lang w:eastAsia="en-US"/>
              </w:rPr>
              <w:t>za preprečitev motenj na trgu in odpravo</w:t>
            </w:r>
            <w:r w:rsidRPr="003B2277">
              <w:rPr>
                <w:rFonts w:eastAsia="Calibri" w:cs="Mangal"/>
                <w:lang w:eastAsia="en-US"/>
              </w:rPr>
              <w:t xml:space="preserve"> hudega neravnovesja na trgih </w:t>
            </w:r>
            <w:r w:rsidRPr="003B2277">
              <w:rPr>
                <w:rFonts w:eastAsia="Calibri" w:cs="Mangal"/>
                <w:b/>
                <w:i/>
                <w:lang w:eastAsia="en-US"/>
              </w:rPr>
              <w:t xml:space="preserve">v skladu s členom 219 </w:t>
            </w:r>
            <w:r w:rsidRPr="003B2277">
              <w:rPr>
                <w:rFonts w:eastAsia="Calibri" w:cs="Mangal"/>
                <w:lang w:eastAsia="en-US"/>
              </w:rPr>
              <w:t xml:space="preserve">sprejme izvedbene akte, s katerimi določi, da člen 101(1) PDEU ne </w:t>
            </w:r>
            <w:r w:rsidRPr="003B2277">
              <w:rPr>
                <w:rFonts w:eastAsia="Calibri" w:cs="Mangal"/>
                <w:b/>
                <w:i/>
                <w:lang w:eastAsia="en-US"/>
              </w:rPr>
              <w:t>velja</w:t>
            </w:r>
            <w:r w:rsidRPr="003B2277">
              <w:rPr>
                <w:rFonts w:eastAsia="Calibri" w:cs="Mangal"/>
                <w:lang w:eastAsia="en-US"/>
              </w:rPr>
              <w:t xml:space="preserve"> za sporazume in odločitve kmetov, združenj kmetov ali združenj teh združenj ali priznanih organizacij proizvajalcev, </w:t>
            </w:r>
            <w:r w:rsidRPr="003B2277">
              <w:rPr>
                <w:rFonts w:eastAsia="Calibri" w:cs="Mangal"/>
                <w:b/>
                <w:i/>
                <w:lang w:eastAsia="en-US"/>
              </w:rPr>
              <w:t>njihovih združenj</w:t>
            </w:r>
            <w:r w:rsidRPr="003B2277">
              <w:rPr>
                <w:rFonts w:eastAsia="Calibri" w:cs="Mangal"/>
                <w:lang w:eastAsia="en-US"/>
              </w:rPr>
              <w:t xml:space="preserve"> in priznanih medpanožnih organizacij iz katerega koli sektorja iz člena 1(2) te uredbe, pod pogojem, da takšni sporazumi in odločitve ne ogrožajo pravilnega delovanja notranjega trga, so namenjeni izključno stabilizaciji zadevnega sektorja in spadajo v eno ali več naslednjih kategorij: </w:t>
            </w:r>
          </w:p>
        </w:tc>
      </w:tr>
      <w:tr w:rsidR="006F5BFE" w:rsidRPr="003B2277" w14:paraId="4F1C3160" w14:textId="77777777" w:rsidTr="005B4D60">
        <w:trPr>
          <w:jc w:val="center"/>
        </w:trPr>
        <w:tc>
          <w:tcPr>
            <w:tcW w:w="4876" w:type="dxa"/>
          </w:tcPr>
          <w:p w14:paraId="5E2CD92D" w14:textId="77777777" w:rsidR="006F5BFE" w:rsidRPr="003B2277" w:rsidRDefault="006F5BFE" w:rsidP="005B4D60">
            <w:pPr>
              <w:spacing w:after="120"/>
              <w:rPr>
                <w:lang w:eastAsia="en-US"/>
              </w:rPr>
            </w:pPr>
            <w:r w:rsidRPr="003B2277">
              <w:rPr>
                <w:rFonts w:eastAsia="Calibri" w:cs="Mangal"/>
                <w:lang w:eastAsia="en-US"/>
              </w:rPr>
              <w:t>(a) umik s trga ali brezplačna distribucija njihovih proizvodov;</w:t>
            </w:r>
          </w:p>
        </w:tc>
        <w:tc>
          <w:tcPr>
            <w:tcW w:w="4876" w:type="dxa"/>
          </w:tcPr>
          <w:p w14:paraId="79947367" w14:textId="77777777" w:rsidR="006F5BFE" w:rsidRPr="003B2277" w:rsidRDefault="006F5BFE" w:rsidP="005B4D60">
            <w:pPr>
              <w:spacing w:after="120"/>
              <w:rPr>
                <w:lang w:eastAsia="en-US"/>
              </w:rPr>
            </w:pPr>
            <w:r w:rsidRPr="003B2277">
              <w:rPr>
                <w:rFonts w:eastAsia="Calibri" w:cs="Mangal"/>
                <w:lang w:eastAsia="en-US"/>
              </w:rPr>
              <w:t>(a) umik s trga ali brezplačna distribucija njihovih proizvodov;</w:t>
            </w:r>
          </w:p>
        </w:tc>
      </w:tr>
      <w:tr w:rsidR="006F5BFE" w:rsidRPr="003B2277" w14:paraId="6CDC0066" w14:textId="77777777" w:rsidTr="005B4D60">
        <w:trPr>
          <w:jc w:val="center"/>
        </w:trPr>
        <w:tc>
          <w:tcPr>
            <w:tcW w:w="4876" w:type="dxa"/>
          </w:tcPr>
          <w:p w14:paraId="079F0C91" w14:textId="77777777" w:rsidR="006F5BFE" w:rsidRPr="003B2277" w:rsidRDefault="006F5BFE" w:rsidP="005B4D60">
            <w:pPr>
              <w:spacing w:after="120"/>
              <w:rPr>
                <w:lang w:eastAsia="en-US"/>
              </w:rPr>
            </w:pPr>
            <w:r w:rsidRPr="003B2277">
              <w:rPr>
                <w:rFonts w:eastAsia="Calibri" w:cs="Mangal"/>
                <w:lang w:eastAsia="en-US"/>
              </w:rPr>
              <w:t>(b) predelava in obdelava;</w:t>
            </w:r>
          </w:p>
        </w:tc>
        <w:tc>
          <w:tcPr>
            <w:tcW w:w="4876" w:type="dxa"/>
          </w:tcPr>
          <w:p w14:paraId="7BB1BE3C" w14:textId="77777777" w:rsidR="006F5BFE" w:rsidRPr="003B2277" w:rsidRDefault="006F5BFE" w:rsidP="005B4D60">
            <w:pPr>
              <w:spacing w:after="120"/>
              <w:rPr>
                <w:lang w:eastAsia="en-US"/>
              </w:rPr>
            </w:pPr>
            <w:r w:rsidRPr="003B2277">
              <w:rPr>
                <w:rFonts w:eastAsia="Calibri" w:cs="Mangal"/>
                <w:lang w:eastAsia="en-US"/>
              </w:rPr>
              <w:t>(b) predelava in obdelava;</w:t>
            </w:r>
          </w:p>
        </w:tc>
      </w:tr>
      <w:tr w:rsidR="006F5BFE" w:rsidRPr="003B2277" w14:paraId="75938FA0" w14:textId="77777777" w:rsidTr="005B4D60">
        <w:trPr>
          <w:jc w:val="center"/>
        </w:trPr>
        <w:tc>
          <w:tcPr>
            <w:tcW w:w="4876" w:type="dxa"/>
          </w:tcPr>
          <w:p w14:paraId="4F084BF4" w14:textId="77777777" w:rsidR="006F5BFE" w:rsidRPr="003B2277" w:rsidRDefault="006F5BFE" w:rsidP="005B4D60">
            <w:pPr>
              <w:spacing w:after="120"/>
              <w:rPr>
                <w:lang w:eastAsia="en-US"/>
              </w:rPr>
            </w:pPr>
            <w:r w:rsidRPr="003B2277">
              <w:rPr>
                <w:rFonts w:eastAsia="Calibri" w:cs="Mangal"/>
                <w:lang w:eastAsia="en-US"/>
              </w:rPr>
              <w:t>(c) skladiščenje s strani zasebnih izvajalcev;</w:t>
            </w:r>
          </w:p>
        </w:tc>
        <w:tc>
          <w:tcPr>
            <w:tcW w:w="4876" w:type="dxa"/>
          </w:tcPr>
          <w:p w14:paraId="0C56B612" w14:textId="77777777" w:rsidR="006F5BFE" w:rsidRPr="003B2277" w:rsidRDefault="006F5BFE" w:rsidP="005B4D60">
            <w:pPr>
              <w:spacing w:after="120"/>
              <w:rPr>
                <w:lang w:eastAsia="en-US"/>
              </w:rPr>
            </w:pPr>
            <w:r w:rsidRPr="003B2277">
              <w:rPr>
                <w:rFonts w:eastAsia="Calibri" w:cs="Mangal"/>
                <w:lang w:eastAsia="en-US"/>
              </w:rPr>
              <w:t>(c) skladiščenje s strani zasebnih izvajalcev;</w:t>
            </w:r>
          </w:p>
        </w:tc>
      </w:tr>
      <w:tr w:rsidR="006F5BFE" w:rsidRPr="003B2277" w14:paraId="5FB55EFA" w14:textId="77777777" w:rsidTr="005B4D60">
        <w:trPr>
          <w:jc w:val="center"/>
        </w:trPr>
        <w:tc>
          <w:tcPr>
            <w:tcW w:w="4876" w:type="dxa"/>
          </w:tcPr>
          <w:p w14:paraId="38F9EB15" w14:textId="77777777" w:rsidR="006F5BFE" w:rsidRPr="003B2277" w:rsidRDefault="006F5BFE" w:rsidP="005B4D60">
            <w:pPr>
              <w:spacing w:after="120"/>
              <w:rPr>
                <w:lang w:eastAsia="en-US"/>
              </w:rPr>
            </w:pPr>
            <w:r w:rsidRPr="003B2277">
              <w:rPr>
                <w:rFonts w:eastAsia="Calibri" w:cs="Mangal"/>
                <w:lang w:eastAsia="en-US"/>
              </w:rPr>
              <w:t>(d) ukrepi skupne promocije;</w:t>
            </w:r>
          </w:p>
        </w:tc>
        <w:tc>
          <w:tcPr>
            <w:tcW w:w="4876" w:type="dxa"/>
          </w:tcPr>
          <w:p w14:paraId="66BC4524" w14:textId="77777777" w:rsidR="006F5BFE" w:rsidRPr="003B2277" w:rsidRDefault="006F5BFE" w:rsidP="005B4D60">
            <w:pPr>
              <w:spacing w:after="120"/>
              <w:rPr>
                <w:lang w:eastAsia="en-US"/>
              </w:rPr>
            </w:pPr>
            <w:r w:rsidRPr="003B2277">
              <w:rPr>
                <w:rFonts w:eastAsia="Calibri" w:cs="Mangal"/>
                <w:lang w:eastAsia="en-US"/>
              </w:rPr>
              <w:t>(d) ukrepi skupne promocije;</w:t>
            </w:r>
          </w:p>
        </w:tc>
      </w:tr>
      <w:tr w:rsidR="006F5BFE" w:rsidRPr="003B2277" w14:paraId="54C35BF2" w14:textId="77777777" w:rsidTr="005B4D60">
        <w:trPr>
          <w:jc w:val="center"/>
        </w:trPr>
        <w:tc>
          <w:tcPr>
            <w:tcW w:w="4876" w:type="dxa"/>
          </w:tcPr>
          <w:p w14:paraId="4C09820C" w14:textId="77777777" w:rsidR="006F5BFE" w:rsidRPr="003B2277" w:rsidRDefault="006F5BFE" w:rsidP="005B4D60">
            <w:pPr>
              <w:spacing w:after="120"/>
              <w:rPr>
                <w:lang w:eastAsia="en-US"/>
              </w:rPr>
            </w:pPr>
            <w:r w:rsidRPr="003B2277">
              <w:rPr>
                <w:rFonts w:eastAsia="Calibri" w:cs="Mangal"/>
                <w:lang w:eastAsia="en-US"/>
              </w:rPr>
              <w:t>(e) sporazumi o zahtevah glede kakovosti;</w:t>
            </w:r>
          </w:p>
        </w:tc>
        <w:tc>
          <w:tcPr>
            <w:tcW w:w="4876" w:type="dxa"/>
          </w:tcPr>
          <w:p w14:paraId="23CEEF69" w14:textId="77777777" w:rsidR="006F5BFE" w:rsidRPr="003B2277" w:rsidRDefault="006F5BFE" w:rsidP="005B4D60">
            <w:pPr>
              <w:spacing w:after="120"/>
              <w:rPr>
                <w:lang w:eastAsia="en-US"/>
              </w:rPr>
            </w:pPr>
            <w:r w:rsidRPr="003B2277">
              <w:rPr>
                <w:rFonts w:eastAsia="Calibri" w:cs="Mangal"/>
                <w:lang w:eastAsia="en-US"/>
              </w:rPr>
              <w:t>(e) sporazumi o zahtevah glede kakovosti;</w:t>
            </w:r>
          </w:p>
        </w:tc>
      </w:tr>
      <w:tr w:rsidR="006F5BFE" w:rsidRPr="003B2277" w14:paraId="41D8A53E" w14:textId="77777777" w:rsidTr="005B4D60">
        <w:trPr>
          <w:jc w:val="center"/>
        </w:trPr>
        <w:tc>
          <w:tcPr>
            <w:tcW w:w="4876" w:type="dxa"/>
          </w:tcPr>
          <w:p w14:paraId="65AB33B8" w14:textId="77777777" w:rsidR="006F5BFE" w:rsidRPr="003B2277" w:rsidRDefault="006F5BFE" w:rsidP="005B4D60">
            <w:pPr>
              <w:spacing w:after="120"/>
              <w:rPr>
                <w:lang w:eastAsia="en-US"/>
              </w:rPr>
            </w:pPr>
            <w:r w:rsidRPr="003B2277">
              <w:rPr>
                <w:rFonts w:eastAsia="Calibri" w:cs="Mangal"/>
                <w:lang w:eastAsia="en-US"/>
              </w:rPr>
              <w:t>(f) skupni nakup vložkov, potrebnih za preprečevanje širjenja škodljivcev in bolezni živali in rastlin v Uniji, ali vložkov, potrebnih za odpravo posledic naravnih nesreč v Uniji;</w:t>
            </w:r>
          </w:p>
        </w:tc>
        <w:tc>
          <w:tcPr>
            <w:tcW w:w="4876" w:type="dxa"/>
          </w:tcPr>
          <w:p w14:paraId="73EC0DC1" w14:textId="77777777" w:rsidR="006F5BFE" w:rsidRPr="003B2277" w:rsidRDefault="006F5BFE" w:rsidP="005B4D60">
            <w:pPr>
              <w:spacing w:after="120"/>
              <w:rPr>
                <w:lang w:eastAsia="en-US"/>
              </w:rPr>
            </w:pPr>
            <w:r w:rsidRPr="003B2277">
              <w:rPr>
                <w:rFonts w:eastAsia="Calibri" w:cs="Mangal"/>
                <w:lang w:eastAsia="en-US"/>
              </w:rPr>
              <w:t>(f) skupni nakup vložkov, potrebnih za preprečevanje širjenja škodljivcev in bolezni živali in rastlin v Uniji, ali vložkov, potrebnih za odpravo posledic naravnih nesreč v Uniji;</w:t>
            </w:r>
          </w:p>
        </w:tc>
      </w:tr>
      <w:tr w:rsidR="006F5BFE" w:rsidRPr="003B2277" w14:paraId="479341C3" w14:textId="77777777" w:rsidTr="005B4D60">
        <w:trPr>
          <w:jc w:val="center"/>
        </w:trPr>
        <w:tc>
          <w:tcPr>
            <w:tcW w:w="4876" w:type="dxa"/>
          </w:tcPr>
          <w:p w14:paraId="2F480661" w14:textId="77777777" w:rsidR="006F5BFE" w:rsidRPr="003B2277" w:rsidRDefault="006F5BFE" w:rsidP="005B4D60">
            <w:pPr>
              <w:spacing w:after="120"/>
              <w:rPr>
                <w:lang w:eastAsia="en-US"/>
              </w:rPr>
            </w:pPr>
            <w:r w:rsidRPr="003B2277">
              <w:rPr>
                <w:rFonts w:eastAsia="Calibri" w:cs="Mangal"/>
                <w:lang w:eastAsia="en-US"/>
              </w:rPr>
              <w:t>(g) začasno načrtovanje proizvodnje, ob upoštevanju posebne narave proizvodnega ciklusa.</w:t>
            </w:r>
          </w:p>
        </w:tc>
        <w:tc>
          <w:tcPr>
            <w:tcW w:w="4876" w:type="dxa"/>
          </w:tcPr>
          <w:p w14:paraId="79297C52" w14:textId="77777777" w:rsidR="006F5BFE" w:rsidRPr="003B2277" w:rsidRDefault="006F5BFE" w:rsidP="005B4D60">
            <w:pPr>
              <w:spacing w:after="120"/>
              <w:rPr>
                <w:lang w:eastAsia="en-US"/>
              </w:rPr>
            </w:pPr>
            <w:r w:rsidRPr="003B2277">
              <w:rPr>
                <w:rFonts w:eastAsia="Calibri" w:cs="Mangal"/>
                <w:lang w:eastAsia="en-US"/>
              </w:rPr>
              <w:t>(g) začasno načrtovanje proizvodnje, ob upoštevanju posebne narave proizvodnega ciklusa.</w:t>
            </w:r>
          </w:p>
        </w:tc>
      </w:tr>
      <w:tr w:rsidR="006F5BFE" w:rsidRPr="003B2277" w14:paraId="13602CB5" w14:textId="77777777" w:rsidTr="005B4D60">
        <w:trPr>
          <w:jc w:val="center"/>
        </w:trPr>
        <w:tc>
          <w:tcPr>
            <w:tcW w:w="4876" w:type="dxa"/>
          </w:tcPr>
          <w:p w14:paraId="774EA5EF" w14:textId="77777777" w:rsidR="006F5BFE" w:rsidRPr="003B2277" w:rsidRDefault="006F5BFE" w:rsidP="005B4D60">
            <w:pPr>
              <w:spacing w:after="120"/>
              <w:rPr>
                <w:lang w:eastAsia="en-US"/>
              </w:rPr>
            </w:pPr>
            <w:r w:rsidRPr="003B2277">
              <w:rPr>
                <w:rFonts w:eastAsia="Calibri" w:cs="Mangal"/>
                <w:lang w:eastAsia="en-US"/>
              </w:rPr>
              <w:t>Komisija v izvedbenih aktih navede vsebinsko in geografsko področje uporabe tega odstopanja in glede na odstavek 3 obdobje trajanja odstopanja. Ti izvedbeni akti se sprejmejo v skladu s postopkom pregleda iz člena 229(2).</w:t>
            </w:r>
          </w:p>
        </w:tc>
        <w:tc>
          <w:tcPr>
            <w:tcW w:w="4876" w:type="dxa"/>
          </w:tcPr>
          <w:p w14:paraId="1F40C8B3" w14:textId="77777777" w:rsidR="006F5BFE" w:rsidRPr="003B2277" w:rsidRDefault="006F5BFE" w:rsidP="005B4D60">
            <w:pPr>
              <w:spacing w:after="120"/>
              <w:rPr>
                <w:lang w:eastAsia="en-US"/>
              </w:rPr>
            </w:pPr>
            <w:r w:rsidRPr="003B2277">
              <w:rPr>
                <w:rFonts w:eastAsia="Calibri" w:cs="Mangal"/>
                <w:lang w:eastAsia="en-US"/>
              </w:rPr>
              <w:t>Komisija v izvedbenih aktih navede vsebinsko in geografsko področje uporabe tega odstopanja in glede na odstavek 3 obdobje trajanja odstopanja. Ti izvedbeni akti se sprejmejo v skladu s postopkom pregleda iz člena 229(2).</w:t>
            </w:r>
          </w:p>
        </w:tc>
      </w:tr>
      <w:tr w:rsidR="006F5BFE" w:rsidRPr="003B2277" w14:paraId="6C8E6753" w14:textId="77777777" w:rsidTr="005B4D60">
        <w:trPr>
          <w:jc w:val="center"/>
        </w:trPr>
        <w:tc>
          <w:tcPr>
            <w:tcW w:w="4876" w:type="dxa"/>
          </w:tcPr>
          <w:p w14:paraId="6B9FDFA3" w14:textId="77777777" w:rsidR="006F5BFE" w:rsidRPr="003B2277" w:rsidRDefault="006F5BFE" w:rsidP="005B4D60">
            <w:pPr>
              <w:spacing w:after="120"/>
            </w:pPr>
          </w:p>
        </w:tc>
        <w:tc>
          <w:tcPr>
            <w:tcW w:w="4876" w:type="dxa"/>
            <w:hideMark/>
          </w:tcPr>
          <w:p w14:paraId="6F535FC8" w14:textId="77777777" w:rsidR="006F5BFE" w:rsidRPr="003B2277" w:rsidRDefault="006F5BFE" w:rsidP="005B4D60">
            <w:pPr>
              <w:spacing w:after="120"/>
              <w:rPr>
                <w:szCs w:val="24"/>
                <w:lang w:eastAsia="en-US"/>
              </w:rPr>
            </w:pPr>
            <w:r w:rsidRPr="003B2277">
              <w:rPr>
                <w:rFonts w:eastAsia="Calibri" w:cs="Mangal"/>
                <w:b/>
                <w:i/>
                <w:lang w:eastAsia="en-US"/>
              </w:rPr>
              <w:t>1a.</w:t>
            </w:r>
            <w:r w:rsidRPr="003B2277">
              <w:rPr>
                <w:rFonts w:eastAsia="Calibri" w:cs="Mangal"/>
                <w:b/>
                <w:i/>
                <w:lang w:eastAsia="en-US"/>
              </w:rPr>
              <w:tab/>
              <w:t>Sporazumi in odločitve, ki jih priznane organizacije proizvajalcev ali priznana združenja organizacij proizvajalcev ali priznane medpanožne organizacije sprejmejo v skladu z odstavkom 1, so lahko razširjeni v skladu s členom 164 in pod pogoji, ki jih določi država članica. Razširitev pravil ne sme presegati časovnega okvira iz odstavka 3.</w:t>
            </w:r>
          </w:p>
        </w:tc>
      </w:tr>
      <w:tr w:rsidR="006F5BFE" w:rsidRPr="003B2277" w14:paraId="12A8F91A" w14:textId="77777777" w:rsidTr="005B4D60">
        <w:trPr>
          <w:jc w:val="center"/>
        </w:trPr>
        <w:tc>
          <w:tcPr>
            <w:tcW w:w="4876" w:type="dxa"/>
          </w:tcPr>
          <w:p w14:paraId="2E1EDC1B"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 xml:space="preserve">Sporazumi in odločitve iz odstavka 1 veljajo največ šest mesecev. </w:t>
            </w:r>
          </w:p>
        </w:tc>
        <w:tc>
          <w:tcPr>
            <w:tcW w:w="4876" w:type="dxa"/>
            <w:hideMark/>
          </w:tcPr>
          <w:p w14:paraId="70EEC282"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 xml:space="preserve">Sporazumi in odločitve iz odstavka 1 veljajo največ šest mesecev. </w:t>
            </w:r>
          </w:p>
        </w:tc>
      </w:tr>
      <w:tr w:rsidR="006F5BFE" w:rsidRPr="003B2277" w14:paraId="467D50D5" w14:textId="77777777" w:rsidTr="005B4D60">
        <w:trPr>
          <w:jc w:val="center"/>
        </w:trPr>
        <w:tc>
          <w:tcPr>
            <w:tcW w:w="4876" w:type="dxa"/>
          </w:tcPr>
          <w:p w14:paraId="7769284B" w14:textId="77777777" w:rsidR="006F5BFE" w:rsidRPr="003B2277" w:rsidRDefault="006F5BFE" w:rsidP="005B4D60">
            <w:pPr>
              <w:spacing w:after="120"/>
              <w:rPr>
                <w:lang w:eastAsia="en-US"/>
              </w:rPr>
            </w:pPr>
            <w:r w:rsidRPr="003B2277">
              <w:rPr>
                <w:rFonts w:eastAsia="Calibri" w:cs="Mangal"/>
                <w:lang w:eastAsia="en-US"/>
              </w:rPr>
              <w:t>Vendar lahko Komisija sprejme izvedbene akte, s katerimi odobri veljavnost takih sporazumov in odločitev največ za nadaljnjih šest mesecev. Ti izvedbeni akti se sprejmejo v skladu s postopkom pregleda iz člena 229(2).</w:t>
            </w:r>
          </w:p>
        </w:tc>
        <w:tc>
          <w:tcPr>
            <w:tcW w:w="4876" w:type="dxa"/>
          </w:tcPr>
          <w:p w14:paraId="183BBAE3" w14:textId="6A497617" w:rsidR="006F5BFE" w:rsidRPr="003B2277" w:rsidRDefault="006F5BFE" w:rsidP="005B4D60">
            <w:pPr>
              <w:spacing w:after="120"/>
              <w:rPr>
                <w:lang w:eastAsia="en-US"/>
              </w:rPr>
            </w:pPr>
            <w:r w:rsidRPr="003B2277">
              <w:rPr>
                <w:rFonts w:eastAsia="Calibri" w:cs="Mangal"/>
                <w:lang w:eastAsia="en-US"/>
              </w:rPr>
              <w:t>Vendar lahko Komisija sprejme izvedbene akte, s katerimi odobri veljavnost takih sporazumov in odločitev največ za nadaljnjih šest mesecev. Ti izvedbeni akti se sprejmejo v skladu s postopkom pregleda iz člena 229(2).</w:t>
            </w:r>
            <w:r w:rsidRPr="003B2277">
              <w:rPr>
                <w:rFonts w:eastAsia="Calibri" w:cs="Mangal"/>
                <w:b/>
                <w:i/>
                <w:lang w:eastAsia="en-US"/>
              </w:rPr>
              <w:t>“</w:t>
            </w:r>
          </w:p>
        </w:tc>
      </w:tr>
    </w:tbl>
    <w:p w14:paraId="2EE7960A" w14:textId="77777777" w:rsidR="006F5BFE" w:rsidRPr="003B2277" w:rsidRDefault="006F5BFE" w:rsidP="006F5BFE">
      <w:pPr>
        <w:rPr>
          <w:lang w:eastAsia="en-US"/>
        </w:rPr>
      </w:pPr>
    </w:p>
    <w:p w14:paraId="0573C7F7" w14:textId="146FEA1C" w:rsidR="006F5BFE" w:rsidRDefault="006F5BFE" w:rsidP="006F5BFE"/>
    <w:p w14:paraId="354EECD0" w14:textId="5C7632AE" w:rsidR="004E4D6B" w:rsidRPr="003D5166" w:rsidRDefault="008C7773" w:rsidP="004E4D6B">
      <w:pPr>
        <w:pStyle w:val="AmNumberTabs0"/>
      </w:pPr>
      <w:r>
        <w:t>Sprememba</w:t>
      </w:r>
      <w:r w:rsidR="004E4D6B" w:rsidRPr="003D5166">
        <w:tab/>
      </w:r>
      <w:r w:rsidR="004E4D6B" w:rsidRPr="003D5166">
        <w:tab/>
        <w:t>248</w:t>
      </w:r>
    </w:p>
    <w:p w14:paraId="2FDFB08B" w14:textId="77777777" w:rsidR="004E4D6B" w:rsidRPr="003D5166" w:rsidRDefault="004E4D6B" w:rsidP="004E4D6B">
      <w:pPr>
        <w:pStyle w:val="NormalBold12b"/>
      </w:pPr>
      <w:r w:rsidRPr="003D5166">
        <w:t>Predlog uredbe</w:t>
      </w:r>
    </w:p>
    <w:p w14:paraId="33849B30" w14:textId="16D9E19D" w:rsidR="004E4D6B" w:rsidRPr="003D5166" w:rsidRDefault="00465DEA" w:rsidP="004E4D6B">
      <w:pPr>
        <w:pStyle w:val="NormalBold"/>
      </w:pPr>
      <w:r>
        <w:t>Člen 1 – odstavek 1 – točka 26 p</w:t>
      </w:r>
      <w:r w:rsidR="004E4D6B" w:rsidRPr="003D5166">
        <w:t xml:space="preserve"> (novo)</w:t>
      </w:r>
    </w:p>
    <w:p w14:paraId="0142605A" w14:textId="77777777" w:rsidR="004E4D6B" w:rsidRPr="003D5166" w:rsidRDefault="004E4D6B" w:rsidP="004E4D6B">
      <w:r w:rsidRPr="003D5166">
        <w:t>Uredba (EU) 1308/2013</w:t>
      </w:r>
    </w:p>
    <w:p w14:paraId="6A76FCFD" w14:textId="77777777" w:rsidR="004E4D6B" w:rsidRPr="003D5166" w:rsidRDefault="004E4D6B" w:rsidP="004E4D6B">
      <w:r w:rsidRPr="003D5166">
        <w:t>Člen 222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3D5166" w14:paraId="7AAAE2DF" w14:textId="77777777" w:rsidTr="00D056A8">
        <w:trPr>
          <w:jc w:val="center"/>
        </w:trPr>
        <w:tc>
          <w:tcPr>
            <w:tcW w:w="9752" w:type="dxa"/>
            <w:gridSpan w:val="2"/>
          </w:tcPr>
          <w:p w14:paraId="71D45AC3" w14:textId="77777777" w:rsidR="004E4D6B" w:rsidRPr="003D5166" w:rsidRDefault="004E4D6B" w:rsidP="00D056A8">
            <w:pPr>
              <w:keepNext/>
            </w:pPr>
          </w:p>
        </w:tc>
      </w:tr>
      <w:tr w:rsidR="004E4D6B" w:rsidRPr="003D5166" w14:paraId="7646F85D" w14:textId="77777777" w:rsidTr="00D056A8">
        <w:trPr>
          <w:jc w:val="center"/>
        </w:trPr>
        <w:tc>
          <w:tcPr>
            <w:tcW w:w="4876" w:type="dxa"/>
          </w:tcPr>
          <w:p w14:paraId="08CE84EB" w14:textId="77777777" w:rsidR="004E4D6B" w:rsidRPr="003D5166" w:rsidRDefault="004E4D6B" w:rsidP="00D056A8">
            <w:pPr>
              <w:pStyle w:val="AmColumnHeading"/>
              <w:keepNext/>
            </w:pPr>
            <w:r w:rsidRPr="003D5166">
              <w:t>Besedilo, ki ga predlaga Komisija</w:t>
            </w:r>
          </w:p>
        </w:tc>
        <w:tc>
          <w:tcPr>
            <w:tcW w:w="4876" w:type="dxa"/>
          </w:tcPr>
          <w:p w14:paraId="75CDE13E" w14:textId="69D8CDBB" w:rsidR="004E4D6B" w:rsidRPr="003D5166" w:rsidRDefault="008C7773" w:rsidP="00D056A8">
            <w:pPr>
              <w:pStyle w:val="AmColumnHeading"/>
              <w:keepNext/>
            </w:pPr>
            <w:r>
              <w:t>Sprememba</w:t>
            </w:r>
          </w:p>
        </w:tc>
      </w:tr>
      <w:tr w:rsidR="004E4D6B" w:rsidRPr="003D5166" w14:paraId="725B2C51" w14:textId="77777777" w:rsidTr="00D056A8">
        <w:trPr>
          <w:jc w:val="center"/>
        </w:trPr>
        <w:tc>
          <w:tcPr>
            <w:tcW w:w="4876" w:type="dxa"/>
          </w:tcPr>
          <w:p w14:paraId="1BB2F6E8" w14:textId="77777777" w:rsidR="004E4D6B" w:rsidRPr="003D5166" w:rsidRDefault="004E4D6B" w:rsidP="00D056A8">
            <w:pPr>
              <w:pStyle w:val="Normal6a"/>
            </w:pPr>
          </w:p>
        </w:tc>
        <w:tc>
          <w:tcPr>
            <w:tcW w:w="4876" w:type="dxa"/>
          </w:tcPr>
          <w:p w14:paraId="3BB6E425" w14:textId="5B748BBC" w:rsidR="004E4D6B" w:rsidRPr="003D5166" w:rsidRDefault="00465DEA" w:rsidP="00D056A8">
            <w:pPr>
              <w:pStyle w:val="Normal6"/>
              <w:rPr>
                <w:szCs w:val="24"/>
              </w:rPr>
            </w:pPr>
            <w:r>
              <w:rPr>
                <w:b/>
                <w:i/>
              </w:rPr>
              <w:t>(26p</w:t>
            </w:r>
            <w:r w:rsidR="004E4D6B" w:rsidRPr="003D5166">
              <w:rPr>
                <w:b/>
                <w:i/>
              </w:rPr>
              <w:t>)</w:t>
            </w:r>
            <w:r w:rsidR="004E4D6B" w:rsidRPr="003D5166">
              <w:rPr>
                <w:b/>
                <w:i/>
              </w:rPr>
              <w:tab/>
              <w:t>vstavi se naslednji člen:</w:t>
            </w:r>
          </w:p>
        </w:tc>
      </w:tr>
      <w:tr w:rsidR="004E4D6B" w:rsidRPr="003D5166" w14:paraId="327E46CD" w14:textId="77777777" w:rsidTr="00D056A8">
        <w:trPr>
          <w:jc w:val="center"/>
        </w:trPr>
        <w:tc>
          <w:tcPr>
            <w:tcW w:w="4876" w:type="dxa"/>
          </w:tcPr>
          <w:p w14:paraId="2EC00734" w14:textId="77777777" w:rsidR="004E4D6B" w:rsidRPr="003D5166" w:rsidRDefault="004E4D6B" w:rsidP="00D056A8">
            <w:pPr>
              <w:pStyle w:val="Normal6a"/>
            </w:pPr>
          </w:p>
        </w:tc>
        <w:tc>
          <w:tcPr>
            <w:tcW w:w="4876" w:type="dxa"/>
          </w:tcPr>
          <w:p w14:paraId="17E11F66" w14:textId="77777777" w:rsidR="004E4D6B" w:rsidRPr="003D5166" w:rsidRDefault="004E4D6B" w:rsidP="00D056A8">
            <w:pPr>
              <w:pStyle w:val="Normal6"/>
              <w:rPr>
                <w:szCs w:val="24"/>
              </w:rPr>
            </w:pPr>
            <w:r w:rsidRPr="003D5166">
              <w:rPr>
                <w:b/>
                <w:i/>
              </w:rPr>
              <w:t xml:space="preserve">„Člen 222a </w:t>
            </w:r>
          </w:p>
        </w:tc>
      </w:tr>
      <w:tr w:rsidR="004E4D6B" w:rsidRPr="003D5166" w14:paraId="71491CEC" w14:textId="77777777" w:rsidTr="00D056A8">
        <w:trPr>
          <w:jc w:val="center"/>
        </w:trPr>
        <w:tc>
          <w:tcPr>
            <w:tcW w:w="4876" w:type="dxa"/>
          </w:tcPr>
          <w:p w14:paraId="316EE989" w14:textId="77777777" w:rsidR="004E4D6B" w:rsidRPr="003D5166" w:rsidRDefault="004E4D6B" w:rsidP="00D056A8">
            <w:pPr>
              <w:pStyle w:val="Normal6a"/>
            </w:pPr>
          </w:p>
        </w:tc>
        <w:tc>
          <w:tcPr>
            <w:tcW w:w="4876" w:type="dxa"/>
          </w:tcPr>
          <w:p w14:paraId="0701F60E" w14:textId="77777777" w:rsidR="004E4D6B" w:rsidRPr="003D5166" w:rsidRDefault="004E4D6B" w:rsidP="00D056A8">
            <w:pPr>
              <w:pStyle w:val="Normal6"/>
              <w:rPr>
                <w:szCs w:val="24"/>
              </w:rPr>
            </w:pPr>
            <w:r w:rsidRPr="003D5166">
              <w:rPr>
                <w:b/>
                <w:i/>
              </w:rPr>
              <w:t>Načrti za spremljanje in obvladovanje motenj na trgu</w:t>
            </w:r>
          </w:p>
        </w:tc>
      </w:tr>
      <w:tr w:rsidR="004E4D6B" w:rsidRPr="003D5166" w14:paraId="324A8B83" w14:textId="77777777" w:rsidTr="00D056A8">
        <w:trPr>
          <w:jc w:val="center"/>
        </w:trPr>
        <w:tc>
          <w:tcPr>
            <w:tcW w:w="4876" w:type="dxa"/>
          </w:tcPr>
          <w:p w14:paraId="1CE77F86" w14:textId="77777777" w:rsidR="004E4D6B" w:rsidRPr="003D5166" w:rsidRDefault="004E4D6B" w:rsidP="00D056A8">
            <w:pPr>
              <w:pStyle w:val="Normal6a"/>
            </w:pPr>
          </w:p>
        </w:tc>
        <w:tc>
          <w:tcPr>
            <w:tcW w:w="4876" w:type="dxa"/>
          </w:tcPr>
          <w:p w14:paraId="7813FFD5" w14:textId="77777777" w:rsidR="004E4D6B" w:rsidRPr="003D5166" w:rsidRDefault="004E4D6B" w:rsidP="00D056A8">
            <w:pPr>
              <w:pStyle w:val="Normal6"/>
              <w:rPr>
                <w:szCs w:val="24"/>
              </w:rPr>
            </w:pPr>
            <w:r w:rsidRPr="003D5166">
              <w:rPr>
                <w:b/>
                <w:i/>
              </w:rPr>
              <w:t>1.</w:t>
            </w:r>
            <w:r w:rsidRPr="003D5166">
              <w:rPr>
                <w:b/>
                <w:i/>
              </w:rPr>
              <w:tab/>
              <w:t>Za doseganje ciljev SKP iz člena 39 PDEU, zlasti posebnega cilja stabilizacije trga iz točke (b) člena 1a te uredbe, Komisija pripravi načrte za spremljanje in obvladovanje motenj na trgu, v katerih opredeli svojo intervencijsko strategijo za vsak kmetijski proizvod iz člena 1 te uredbe.</w:t>
            </w:r>
          </w:p>
        </w:tc>
      </w:tr>
      <w:tr w:rsidR="004E4D6B" w:rsidRPr="003D5166" w14:paraId="67296820" w14:textId="77777777" w:rsidTr="00D056A8">
        <w:trPr>
          <w:jc w:val="center"/>
        </w:trPr>
        <w:tc>
          <w:tcPr>
            <w:tcW w:w="4876" w:type="dxa"/>
          </w:tcPr>
          <w:p w14:paraId="70D6E140" w14:textId="77777777" w:rsidR="004E4D6B" w:rsidRPr="003D5166" w:rsidRDefault="004E4D6B" w:rsidP="00D056A8">
            <w:pPr>
              <w:pStyle w:val="Normal6a"/>
            </w:pPr>
          </w:p>
        </w:tc>
        <w:tc>
          <w:tcPr>
            <w:tcW w:w="4876" w:type="dxa"/>
          </w:tcPr>
          <w:p w14:paraId="7E8C4B15" w14:textId="77777777" w:rsidR="004E4D6B" w:rsidRPr="003D5166" w:rsidRDefault="004E4D6B" w:rsidP="00D056A8">
            <w:pPr>
              <w:pStyle w:val="Normal6"/>
              <w:rPr>
                <w:szCs w:val="24"/>
              </w:rPr>
            </w:pPr>
            <w:r w:rsidRPr="003D5166">
              <w:rPr>
                <w:b/>
                <w:i/>
              </w:rPr>
              <w:t>2.</w:t>
            </w:r>
            <w:r w:rsidRPr="003D5166">
              <w:rPr>
                <w:b/>
                <w:i/>
              </w:rPr>
              <w:tab/>
              <w:t>Intervencijska strategija Komisije temelji na delu evropske opazovalnice kmetijskih trgov iz člena 218a, vključno z mehanizmom zgodnjega opozarjanja iz člena 218b.</w:t>
            </w:r>
          </w:p>
        </w:tc>
      </w:tr>
      <w:tr w:rsidR="004E4D6B" w:rsidRPr="003D5166" w14:paraId="47B5CE93" w14:textId="77777777" w:rsidTr="00D056A8">
        <w:trPr>
          <w:jc w:val="center"/>
        </w:trPr>
        <w:tc>
          <w:tcPr>
            <w:tcW w:w="4876" w:type="dxa"/>
          </w:tcPr>
          <w:p w14:paraId="3A8C8B70" w14:textId="77777777" w:rsidR="004E4D6B" w:rsidRPr="003D5166" w:rsidRDefault="004E4D6B" w:rsidP="00D056A8">
            <w:pPr>
              <w:pStyle w:val="Normal6a"/>
            </w:pPr>
          </w:p>
        </w:tc>
        <w:tc>
          <w:tcPr>
            <w:tcW w:w="4876" w:type="dxa"/>
          </w:tcPr>
          <w:p w14:paraId="3CCE0C2C" w14:textId="77777777" w:rsidR="004E4D6B" w:rsidRPr="003D5166" w:rsidRDefault="004E4D6B" w:rsidP="00D056A8">
            <w:pPr>
              <w:pStyle w:val="Normal6"/>
              <w:rPr>
                <w:szCs w:val="24"/>
              </w:rPr>
            </w:pPr>
            <w:r w:rsidRPr="003D5166">
              <w:rPr>
                <w:b/>
                <w:i/>
              </w:rPr>
              <w:t>3.</w:t>
            </w:r>
            <w:r w:rsidRPr="003D5166">
              <w:rPr>
                <w:b/>
                <w:i/>
              </w:rPr>
              <w:tab/>
              <w:t>Če pride do motenj na trgu, Komisija pravočasno in učinkovito uporabi izredne ukrepe iz poglavja I dela V, kadar so primerni poleg ukrepov tržne intervencije iz naslova I dela II, da bi se hitro povrnilo ravnovesje na zadevnem trgu, obenem pa zagotovili najustreznejši odzivi za posamezne sektorje.</w:t>
            </w:r>
          </w:p>
        </w:tc>
      </w:tr>
      <w:tr w:rsidR="004E4D6B" w:rsidRPr="003D5166" w14:paraId="6F6B3ABF" w14:textId="77777777" w:rsidTr="00D056A8">
        <w:trPr>
          <w:jc w:val="center"/>
        </w:trPr>
        <w:tc>
          <w:tcPr>
            <w:tcW w:w="4876" w:type="dxa"/>
          </w:tcPr>
          <w:p w14:paraId="24C2A808" w14:textId="77777777" w:rsidR="004E4D6B" w:rsidRPr="003D5166" w:rsidRDefault="004E4D6B" w:rsidP="00D056A8">
            <w:pPr>
              <w:pStyle w:val="Normal6a"/>
            </w:pPr>
          </w:p>
        </w:tc>
        <w:tc>
          <w:tcPr>
            <w:tcW w:w="4876" w:type="dxa"/>
          </w:tcPr>
          <w:p w14:paraId="5AB51172" w14:textId="77777777" w:rsidR="004E4D6B" w:rsidRPr="003D5166" w:rsidRDefault="004E4D6B" w:rsidP="00D056A8">
            <w:pPr>
              <w:pStyle w:val="Normal6"/>
              <w:rPr>
                <w:szCs w:val="24"/>
              </w:rPr>
            </w:pPr>
            <w:r w:rsidRPr="003D5166">
              <w:rPr>
                <w:b/>
                <w:i/>
              </w:rPr>
              <w:t>4.</w:t>
            </w:r>
            <w:r w:rsidRPr="003D5166">
              <w:rPr>
                <w:b/>
                <w:i/>
              </w:rPr>
              <w:tab/>
              <w:t>Komisija vzpostavi okvir smotrnosti, ki omogoča sporočanje, spremljanje in ocenjevanje načrtov za spremljanje in obvladovanje motenj na trgu med njihovim izvajanjem.</w:t>
            </w:r>
          </w:p>
        </w:tc>
      </w:tr>
      <w:tr w:rsidR="004E4D6B" w:rsidRPr="003D5166" w14:paraId="4540F357" w14:textId="77777777" w:rsidTr="00D056A8">
        <w:trPr>
          <w:jc w:val="center"/>
        </w:trPr>
        <w:tc>
          <w:tcPr>
            <w:tcW w:w="4876" w:type="dxa"/>
          </w:tcPr>
          <w:p w14:paraId="7FB9A6A5" w14:textId="77777777" w:rsidR="004E4D6B" w:rsidRPr="003D5166" w:rsidRDefault="004E4D6B" w:rsidP="00D056A8">
            <w:pPr>
              <w:pStyle w:val="Normal6a"/>
            </w:pPr>
          </w:p>
        </w:tc>
        <w:tc>
          <w:tcPr>
            <w:tcW w:w="4876" w:type="dxa"/>
          </w:tcPr>
          <w:p w14:paraId="103B127D" w14:textId="77777777" w:rsidR="004E4D6B" w:rsidRPr="003D5166" w:rsidRDefault="004E4D6B" w:rsidP="00D056A8">
            <w:pPr>
              <w:pStyle w:val="Normal6"/>
              <w:rPr>
                <w:szCs w:val="24"/>
              </w:rPr>
            </w:pPr>
            <w:r w:rsidRPr="003D5166">
              <w:rPr>
                <w:b/>
                <w:i/>
              </w:rPr>
              <w:t>5.</w:t>
            </w:r>
            <w:r w:rsidRPr="003D5166">
              <w:rPr>
                <w:b/>
                <w:i/>
              </w:rPr>
              <w:tab/>
              <w:t>Komisija do 30. novembra vsako leto objavi poročilo o izvajanju načrtov za spremljanje in obvladovanje motenj na trgu ter izboljšave svoje intervencijske strategije.</w:t>
            </w:r>
          </w:p>
        </w:tc>
      </w:tr>
      <w:tr w:rsidR="004E4D6B" w:rsidRPr="003D5166" w14:paraId="45ED4107" w14:textId="77777777" w:rsidTr="00D056A8">
        <w:trPr>
          <w:jc w:val="center"/>
        </w:trPr>
        <w:tc>
          <w:tcPr>
            <w:tcW w:w="4876" w:type="dxa"/>
          </w:tcPr>
          <w:p w14:paraId="67C437B4" w14:textId="77777777" w:rsidR="004E4D6B" w:rsidRPr="003D5166" w:rsidRDefault="004E4D6B" w:rsidP="00D056A8">
            <w:pPr>
              <w:pStyle w:val="Normal6a"/>
            </w:pPr>
          </w:p>
        </w:tc>
        <w:tc>
          <w:tcPr>
            <w:tcW w:w="4876" w:type="dxa"/>
          </w:tcPr>
          <w:p w14:paraId="6D99F231" w14:textId="77777777" w:rsidR="004E4D6B" w:rsidRPr="003D5166" w:rsidRDefault="004E4D6B" w:rsidP="00D056A8">
            <w:pPr>
              <w:pStyle w:val="Normal6"/>
              <w:rPr>
                <w:szCs w:val="24"/>
              </w:rPr>
            </w:pPr>
            <w:r w:rsidRPr="003D5166">
              <w:rPr>
                <w:b/>
                <w:i/>
              </w:rPr>
              <w:t>Poročilo se vsako leto predloži Evropskemu parlamentu in Svetu, njegov cilj pa je pregledati uspešnost načrta glede na učinek, uspešnost, učinkovitost in skladnost orodij iz te uredbe, ter oceniti, kako Komisija izvršuje svoje pristojnosti in proračun v zvezi s spremljanjem, preprečevanjem in obvladovanjem motenj na trgu.“</w:t>
            </w:r>
          </w:p>
        </w:tc>
      </w:tr>
    </w:tbl>
    <w:p w14:paraId="2474F104" w14:textId="77777777" w:rsidR="004E4D6B" w:rsidRPr="003B2277" w:rsidRDefault="004E4D6B" w:rsidP="006F5BFE"/>
    <w:p w14:paraId="4A6DBA6F" w14:textId="77777777" w:rsidR="004E4D6B" w:rsidRDefault="004E4D6B"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6E960E76" w14:textId="2ADFD0E0" w:rsidR="004E4D6B" w:rsidRPr="00E277AE" w:rsidRDefault="008C7773" w:rsidP="004E4D6B">
      <w:pPr>
        <w:pStyle w:val="AmNumberTabs0"/>
      </w:pPr>
      <w:r>
        <w:t>Sprememba</w:t>
      </w:r>
      <w:r w:rsidR="004E4D6B" w:rsidRPr="00E277AE">
        <w:tab/>
      </w:r>
      <w:r w:rsidR="004E4D6B" w:rsidRPr="00E277AE">
        <w:tab/>
        <w:t>249</w:t>
      </w:r>
    </w:p>
    <w:p w14:paraId="0DB5B26A" w14:textId="77777777" w:rsidR="004E4D6B" w:rsidRPr="00E277AE" w:rsidRDefault="004E4D6B" w:rsidP="004E4D6B">
      <w:pPr>
        <w:pStyle w:val="NormalBold12b"/>
      </w:pPr>
      <w:r w:rsidRPr="00E277AE">
        <w:t>Predlog uredbe</w:t>
      </w:r>
    </w:p>
    <w:p w14:paraId="0E8A5591" w14:textId="7B20C14E" w:rsidR="004E4D6B" w:rsidRPr="00E277AE" w:rsidRDefault="00465DEA" w:rsidP="004E4D6B">
      <w:pPr>
        <w:pStyle w:val="NormalBold"/>
      </w:pPr>
      <w:r>
        <w:t>Člen 1 – odstavek 1 – točka 26 q</w:t>
      </w:r>
      <w:r w:rsidR="004E4D6B" w:rsidRPr="00E277AE">
        <w:t xml:space="preserve"> (novo)</w:t>
      </w:r>
    </w:p>
    <w:p w14:paraId="6C0152F8" w14:textId="77777777" w:rsidR="004E4D6B" w:rsidRPr="00E277AE" w:rsidRDefault="004E4D6B" w:rsidP="004E4D6B">
      <w:r w:rsidRPr="00E277AE">
        <w:t>Uredba (EU) št. 1308/2013</w:t>
      </w:r>
    </w:p>
    <w:p w14:paraId="09D8F63F" w14:textId="77777777" w:rsidR="004E4D6B" w:rsidRPr="00E277AE" w:rsidRDefault="004E4D6B" w:rsidP="004E4D6B">
      <w:r w:rsidRPr="00E277AE">
        <w:t>Člen 223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4E4D6B" w:rsidRPr="00E277AE" w14:paraId="31661993" w14:textId="77777777" w:rsidTr="00D056A8">
        <w:trPr>
          <w:jc w:val="center"/>
        </w:trPr>
        <w:tc>
          <w:tcPr>
            <w:tcW w:w="9752" w:type="dxa"/>
            <w:gridSpan w:val="2"/>
          </w:tcPr>
          <w:p w14:paraId="636B95FE" w14:textId="77777777" w:rsidR="004E4D6B" w:rsidRPr="00E277AE" w:rsidRDefault="004E4D6B" w:rsidP="00D056A8">
            <w:pPr>
              <w:keepNext/>
            </w:pPr>
          </w:p>
        </w:tc>
      </w:tr>
      <w:tr w:rsidR="004E4D6B" w:rsidRPr="00E277AE" w14:paraId="0749924E" w14:textId="77777777" w:rsidTr="00D056A8">
        <w:trPr>
          <w:jc w:val="center"/>
        </w:trPr>
        <w:tc>
          <w:tcPr>
            <w:tcW w:w="4876" w:type="dxa"/>
          </w:tcPr>
          <w:p w14:paraId="34EFF040" w14:textId="77777777" w:rsidR="004E4D6B" w:rsidRPr="00E277AE" w:rsidRDefault="004E4D6B" w:rsidP="00D056A8">
            <w:pPr>
              <w:pStyle w:val="AmColumnHeading"/>
              <w:keepNext/>
            </w:pPr>
            <w:r w:rsidRPr="00E277AE">
              <w:t>Veljavno besedilo</w:t>
            </w:r>
          </w:p>
        </w:tc>
        <w:tc>
          <w:tcPr>
            <w:tcW w:w="4876" w:type="dxa"/>
          </w:tcPr>
          <w:p w14:paraId="73E0848A" w14:textId="0F2C5F25" w:rsidR="004E4D6B" w:rsidRPr="00E277AE" w:rsidRDefault="008C7773" w:rsidP="00D056A8">
            <w:pPr>
              <w:pStyle w:val="AmColumnHeading"/>
              <w:keepNext/>
            </w:pPr>
            <w:r>
              <w:t>Sprememba</w:t>
            </w:r>
          </w:p>
        </w:tc>
      </w:tr>
      <w:tr w:rsidR="004E4D6B" w:rsidRPr="00E277AE" w14:paraId="02CDF5C8" w14:textId="77777777" w:rsidTr="00D056A8">
        <w:trPr>
          <w:jc w:val="center"/>
        </w:trPr>
        <w:tc>
          <w:tcPr>
            <w:tcW w:w="4876" w:type="dxa"/>
          </w:tcPr>
          <w:p w14:paraId="2C7E6AAB" w14:textId="77777777" w:rsidR="004E4D6B" w:rsidRPr="00E277AE" w:rsidRDefault="004E4D6B" w:rsidP="00D056A8">
            <w:pPr>
              <w:pStyle w:val="Normal6"/>
            </w:pPr>
          </w:p>
        </w:tc>
        <w:tc>
          <w:tcPr>
            <w:tcW w:w="4876" w:type="dxa"/>
          </w:tcPr>
          <w:p w14:paraId="08CEDBAB" w14:textId="652DBBCD" w:rsidR="004E4D6B" w:rsidRPr="00E277AE" w:rsidRDefault="00465DEA" w:rsidP="00D056A8">
            <w:pPr>
              <w:pStyle w:val="Normal6"/>
              <w:rPr>
                <w:szCs w:val="24"/>
              </w:rPr>
            </w:pPr>
            <w:r>
              <w:rPr>
                <w:b/>
                <w:i/>
              </w:rPr>
              <w:t>(26q</w:t>
            </w:r>
            <w:r w:rsidR="004E4D6B" w:rsidRPr="00E277AE">
              <w:rPr>
                <w:b/>
                <w:i/>
              </w:rPr>
              <w:t>)</w:t>
            </w:r>
            <w:r w:rsidR="004E4D6B" w:rsidRPr="00E277AE">
              <w:rPr>
                <w:b/>
                <w:i/>
              </w:rPr>
              <w:tab/>
              <w:t>člen 223 se nadomesti z naslednjim:</w:t>
            </w:r>
          </w:p>
        </w:tc>
      </w:tr>
      <w:tr w:rsidR="004E4D6B" w:rsidRPr="00E277AE" w14:paraId="79A57B7F" w14:textId="77777777" w:rsidTr="00D056A8">
        <w:trPr>
          <w:jc w:val="center"/>
        </w:trPr>
        <w:tc>
          <w:tcPr>
            <w:tcW w:w="4876" w:type="dxa"/>
          </w:tcPr>
          <w:p w14:paraId="325AB826" w14:textId="77777777" w:rsidR="004E4D6B" w:rsidRPr="00E277AE" w:rsidRDefault="004E4D6B" w:rsidP="00D056A8">
            <w:pPr>
              <w:pStyle w:val="Normal6"/>
            </w:pPr>
            <w:r w:rsidRPr="00FD1F1B">
              <w:t>Člen</w:t>
            </w:r>
            <w:r w:rsidRPr="00E277AE">
              <w:t xml:space="preserve"> 223</w:t>
            </w:r>
          </w:p>
        </w:tc>
        <w:tc>
          <w:tcPr>
            <w:tcW w:w="4876" w:type="dxa"/>
          </w:tcPr>
          <w:p w14:paraId="5D575003" w14:textId="77777777" w:rsidR="004E4D6B" w:rsidRPr="00E277AE" w:rsidRDefault="004E4D6B" w:rsidP="00D056A8">
            <w:pPr>
              <w:pStyle w:val="Normal6"/>
              <w:rPr>
                <w:szCs w:val="24"/>
              </w:rPr>
            </w:pPr>
            <w:r w:rsidRPr="00E277AE">
              <w:rPr>
                <w:b/>
                <w:i/>
              </w:rPr>
              <w:t>„</w:t>
            </w:r>
            <w:r w:rsidRPr="00FD1F1B">
              <w:t>Člen</w:t>
            </w:r>
            <w:r w:rsidRPr="00E277AE">
              <w:t xml:space="preserve"> 223</w:t>
            </w:r>
          </w:p>
        </w:tc>
      </w:tr>
      <w:tr w:rsidR="004E4D6B" w:rsidRPr="00E277AE" w14:paraId="68D18EB7" w14:textId="77777777" w:rsidTr="00D056A8">
        <w:trPr>
          <w:jc w:val="center"/>
        </w:trPr>
        <w:tc>
          <w:tcPr>
            <w:tcW w:w="4876" w:type="dxa"/>
          </w:tcPr>
          <w:p w14:paraId="5C7FB35E" w14:textId="77777777" w:rsidR="004E4D6B" w:rsidRPr="00E277AE" w:rsidRDefault="004E4D6B" w:rsidP="00D056A8">
            <w:pPr>
              <w:pStyle w:val="Normal6"/>
            </w:pPr>
            <w:r w:rsidRPr="00E277AE">
              <w:t>Zahteve glede obveščanja</w:t>
            </w:r>
          </w:p>
        </w:tc>
        <w:tc>
          <w:tcPr>
            <w:tcW w:w="4876" w:type="dxa"/>
          </w:tcPr>
          <w:p w14:paraId="2A10FD48" w14:textId="77777777" w:rsidR="004E4D6B" w:rsidRPr="00E277AE" w:rsidRDefault="004E4D6B" w:rsidP="00D056A8">
            <w:pPr>
              <w:pStyle w:val="Normal6"/>
              <w:rPr>
                <w:szCs w:val="24"/>
              </w:rPr>
            </w:pPr>
            <w:r w:rsidRPr="00E277AE">
              <w:t>Zahteve glede obveščanja</w:t>
            </w:r>
          </w:p>
        </w:tc>
      </w:tr>
      <w:tr w:rsidR="004E4D6B" w:rsidRPr="00E277AE" w14:paraId="0E74693F" w14:textId="77777777" w:rsidTr="00D056A8">
        <w:trPr>
          <w:jc w:val="center"/>
        </w:trPr>
        <w:tc>
          <w:tcPr>
            <w:tcW w:w="4876" w:type="dxa"/>
          </w:tcPr>
          <w:p w14:paraId="4A5D0155" w14:textId="77777777" w:rsidR="004E4D6B" w:rsidRPr="00E277AE" w:rsidRDefault="004E4D6B" w:rsidP="00D056A8">
            <w:pPr>
              <w:pStyle w:val="Normal6"/>
            </w:pPr>
            <w:r w:rsidRPr="00E277AE">
              <w:t>1.</w:t>
            </w:r>
            <w:r w:rsidRPr="00E277AE">
              <w:tab/>
              <w:t>Komisija lahko za namene uporabe te uredbe, spremljanja, analiziranja in upravljanja trga kmetijskih proizvodov, zagotavljanja preglednosti trga, pravilnega delovanja ukrepov SKP, preverjanja, kontrole, spremljanja, vrednotenja in revizije ukrepov SKP in izpolnjevanja zahtev iz mednarodnih sporazumov, sklenjenih v skladu s PDEU, vključno z zahtevami po uradnem obveščanju na podlagi teh sporazumov, v skladu s postopkom iz odstavka 2 sprejme potrebne ukrepe v zvezi z obveščanjem s strani podjetij, držav članic in tretjih držav. Pri tem upošteva potrebe po podatkih in sinergije med potencialnimi viri podatkov.</w:t>
            </w:r>
          </w:p>
        </w:tc>
        <w:tc>
          <w:tcPr>
            <w:tcW w:w="4876" w:type="dxa"/>
          </w:tcPr>
          <w:p w14:paraId="6D090792" w14:textId="77777777" w:rsidR="004E4D6B" w:rsidRPr="00E277AE" w:rsidRDefault="004E4D6B" w:rsidP="00D056A8">
            <w:pPr>
              <w:pStyle w:val="Normal6"/>
              <w:rPr>
                <w:szCs w:val="24"/>
              </w:rPr>
            </w:pPr>
            <w:r w:rsidRPr="00E277AE">
              <w:t>1.</w:t>
            </w:r>
            <w:r w:rsidRPr="00E277AE">
              <w:tab/>
              <w:t>Komisija lahko za namene uporabe te uredbe, spremljanja, analiziranja in upravljanja trga kmetijskih proizvodov, zagotavljanja preglednosti trga, pravilnega delovanja ukrepov SKP, preverjanja, kontrole, spremljanja, vrednotenja in revizije ukrepov SKP in izpolnjevanja zahtev iz mednarodnih sporazumov, sklenjenih v skladu s PDEU, vključno z zahtevami po uradnem obveščanju na podlagi teh sporazumov, v skladu s postopkom iz odstavka 2 sprejme potrebne ukrepe v zvezi z obveščanjem s strani podjetij, držav članic in tretjih držav. Pri tem upošteva potrebe po podatkih in sinergije med potencialnimi viri podatkov.</w:t>
            </w:r>
          </w:p>
        </w:tc>
      </w:tr>
      <w:tr w:rsidR="004E4D6B" w:rsidRPr="00E277AE" w14:paraId="1C77AA98" w14:textId="77777777" w:rsidTr="00D056A8">
        <w:trPr>
          <w:jc w:val="center"/>
        </w:trPr>
        <w:tc>
          <w:tcPr>
            <w:tcW w:w="4876" w:type="dxa"/>
          </w:tcPr>
          <w:p w14:paraId="22F65D72" w14:textId="77777777" w:rsidR="004E4D6B" w:rsidRPr="00E277AE" w:rsidRDefault="004E4D6B" w:rsidP="00D056A8">
            <w:pPr>
              <w:pStyle w:val="Normal6"/>
            </w:pPr>
            <w:r w:rsidRPr="00E277AE">
              <w:t>Pridobljene informacije se lahko posredujejo ali dajo na voljo mednarodnim organizacijam in pristojnim organom tretjih držav ter se lahko objavijo ob upoštevanju varstva osebnih podatkov in zakonitega interesa podjetij, da se varujejo njihove poslovne skrivnosti, vključno s cenami.</w:t>
            </w:r>
          </w:p>
        </w:tc>
        <w:tc>
          <w:tcPr>
            <w:tcW w:w="4876" w:type="dxa"/>
          </w:tcPr>
          <w:p w14:paraId="606BA3CC" w14:textId="77777777" w:rsidR="004E4D6B" w:rsidRPr="00E277AE" w:rsidRDefault="004E4D6B" w:rsidP="00D056A8">
            <w:pPr>
              <w:pStyle w:val="Normal6"/>
              <w:rPr>
                <w:szCs w:val="24"/>
              </w:rPr>
            </w:pPr>
            <w:r w:rsidRPr="00E277AE">
              <w:t>Pridobljene informacije se lahko posredujejo ali dajo na voljo mednarodnim organizacijam</w:t>
            </w:r>
            <w:r w:rsidRPr="00E277AE">
              <w:rPr>
                <w:b/>
                <w:i/>
              </w:rPr>
              <w:t>, evropskemu organu</w:t>
            </w:r>
            <w:r w:rsidRPr="00E277AE">
              <w:t xml:space="preserve"> in</w:t>
            </w:r>
            <w:r w:rsidRPr="00E277AE">
              <w:rPr>
                <w:b/>
                <w:i/>
              </w:rPr>
              <w:t xml:space="preserve"> nacionalnim organom za vrednostne papirje in trge ter</w:t>
            </w:r>
            <w:r w:rsidRPr="00E277AE">
              <w:t xml:space="preserve"> pristojnim organom tretjih držav ter se lahko objavijo ob upoštevanju varstva osebnih podatkov in zakonitega interesa podjetij, da se varujejo njihove poslovne skrivnosti, vključno s cenami.</w:t>
            </w:r>
          </w:p>
        </w:tc>
      </w:tr>
      <w:tr w:rsidR="004E4D6B" w:rsidRPr="00E277AE" w14:paraId="5E823707" w14:textId="77777777" w:rsidTr="00D056A8">
        <w:trPr>
          <w:jc w:val="center"/>
        </w:trPr>
        <w:tc>
          <w:tcPr>
            <w:tcW w:w="4876" w:type="dxa"/>
          </w:tcPr>
          <w:p w14:paraId="35D848C2" w14:textId="77777777" w:rsidR="004E4D6B" w:rsidRPr="00E277AE" w:rsidRDefault="004E4D6B" w:rsidP="00D056A8">
            <w:pPr>
              <w:pStyle w:val="Normal6"/>
            </w:pPr>
          </w:p>
        </w:tc>
        <w:tc>
          <w:tcPr>
            <w:tcW w:w="4876" w:type="dxa"/>
          </w:tcPr>
          <w:p w14:paraId="456C1584" w14:textId="77777777" w:rsidR="004E4D6B" w:rsidRPr="00E277AE" w:rsidRDefault="004E4D6B" w:rsidP="00D056A8">
            <w:pPr>
              <w:pStyle w:val="Normal6"/>
            </w:pPr>
            <w:r w:rsidRPr="00E277AE">
              <w:rPr>
                <w:b/>
                <w:i/>
              </w:rPr>
              <w:t>Da bi zagotovili preglednost na trgu kmetijskih proizvodov in predvsem na trgih izvedenih finančnih instrumentov za kmetijske surovine, Komisija prek skupne ureditve kmetijskih trgov sodeluje z nacionalnimi organi za finančni trg, ki so v skladu z Uredbo (EU) 596/2014 (uredba o zlorabi trga) in Direktivo 2014/57/EU (direktiva o zlorabi trga) pristojni za nadzor in kontrolo izvedenih finančnih instrumentov za kmetijske surovine, da ti lahko ustrezno izpolnjujejo svoje naloge.</w:t>
            </w:r>
          </w:p>
        </w:tc>
      </w:tr>
      <w:tr w:rsidR="004E4D6B" w:rsidRPr="00E277AE" w14:paraId="7E6AF1BA" w14:textId="77777777" w:rsidTr="00D056A8">
        <w:trPr>
          <w:jc w:val="center"/>
        </w:trPr>
        <w:tc>
          <w:tcPr>
            <w:tcW w:w="4876" w:type="dxa"/>
          </w:tcPr>
          <w:p w14:paraId="4485EBB9" w14:textId="77777777" w:rsidR="004E4D6B" w:rsidRPr="00E277AE" w:rsidRDefault="004E4D6B" w:rsidP="00D056A8">
            <w:pPr>
              <w:pStyle w:val="Normal6"/>
            </w:pPr>
            <w:r w:rsidRPr="00E277AE">
              <w:t>2.</w:t>
            </w:r>
            <w:r w:rsidRPr="00E277AE">
              <w:tab/>
              <w:t>Da se zagotovi celovitost informacijskih sistemov ter pristnost in čitljivost posredovanih dokumentov in povezanih podatkov, se na Komisijo prenese pooblastilo za sprejemanje delegiranih aktov v skladu s členom 227, s katerimi določi:</w:t>
            </w:r>
          </w:p>
        </w:tc>
        <w:tc>
          <w:tcPr>
            <w:tcW w:w="4876" w:type="dxa"/>
          </w:tcPr>
          <w:p w14:paraId="60B0EC6D" w14:textId="77777777" w:rsidR="004E4D6B" w:rsidRPr="00E277AE" w:rsidRDefault="004E4D6B" w:rsidP="00D056A8">
            <w:pPr>
              <w:pStyle w:val="Normal6"/>
              <w:rPr>
                <w:szCs w:val="24"/>
              </w:rPr>
            </w:pPr>
            <w:r w:rsidRPr="00E277AE">
              <w:t>2.</w:t>
            </w:r>
            <w:r w:rsidRPr="00E277AE">
              <w:tab/>
              <w:t>Da se zagotovi celovitost informacijskih sistemov ter pristnost in čitljivost posredovanih dokumentov in povezanih podatkov, se na Komisijo prenese pooblastilo za sprejemanje delegiranih aktov v skladu s členom 227, s katerimi določi:</w:t>
            </w:r>
          </w:p>
        </w:tc>
      </w:tr>
      <w:tr w:rsidR="004E4D6B" w:rsidRPr="00E277AE" w14:paraId="38936590" w14:textId="77777777" w:rsidTr="00D056A8">
        <w:trPr>
          <w:jc w:val="center"/>
        </w:trPr>
        <w:tc>
          <w:tcPr>
            <w:tcW w:w="4876" w:type="dxa"/>
          </w:tcPr>
          <w:p w14:paraId="67C86E7E" w14:textId="77777777" w:rsidR="004E4D6B" w:rsidRPr="00E277AE" w:rsidRDefault="004E4D6B" w:rsidP="00D056A8">
            <w:pPr>
              <w:pStyle w:val="Normal6"/>
            </w:pPr>
            <w:r w:rsidRPr="00E277AE">
              <w:t>(a)</w:t>
            </w:r>
            <w:r w:rsidRPr="00E277AE">
              <w:tab/>
              <w:t>naravo in vrsto informacij, ki se uradno sporočajo;</w:t>
            </w:r>
          </w:p>
        </w:tc>
        <w:tc>
          <w:tcPr>
            <w:tcW w:w="4876" w:type="dxa"/>
          </w:tcPr>
          <w:p w14:paraId="0F43D6C8" w14:textId="77777777" w:rsidR="004E4D6B" w:rsidRPr="00E277AE" w:rsidRDefault="004E4D6B" w:rsidP="00D056A8">
            <w:pPr>
              <w:pStyle w:val="Normal6"/>
              <w:rPr>
                <w:szCs w:val="24"/>
              </w:rPr>
            </w:pPr>
            <w:r w:rsidRPr="00E277AE">
              <w:t>(a)</w:t>
            </w:r>
            <w:r w:rsidRPr="00E277AE">
              <w:tab/>
              <w:t>naravo in vrsto informacij, ki se uradno sporočajo;</w:t>
            </w:r>
          </w:p>
        </w:tc>
      </w:tr>
      <w:tr w:rsidR="004E4D6B" w:rsidRPr="00E277AE" w14:paraId="64CFC1E5" w14:textId="77777777" w:rsidTr="00D056A8">
        <w:trPr>
          <w:jc w:val="center"/>
        </w:trPr>
        <w:tc>
          <w:tcPr>
            <w:tcW w:w="4876" w:type="dxa"/>
          </w:tcPr>
          <w:p w14:paraId="09AC13EA" w14:textId="77777777" w:rsidR="004E4D6B" w:rsidRPr="00E277AE" w:rsidRDefault="004E4D6B" w:rsidP="00D056A8">
            <w:pPr>
              <w:pStyle w:val="Normal6"/>
            </w:pPr>
            <w:r w:rsidRPr="00E277AE">
              <w:t>(b)</w:t>
            </w:r>
            <w:r w:rsidRPr="00E277AE">
              <w:tab/>
              <w:t>kategorije podatkov, ki se obdelujejo, in najdaljša obdobja hrambe ter namen obdelave, zlasti v primeru objave teh podatkov in njihovega posredovanja tretjim državam;</w:t>
            </w:r>
          </w:p>
        </w:tc>
        <w:tc>
          <w:tcPr>
            <w:tcW w:w="4876" w:type="dxa"/>
          </w:tcPr>
          <w:p w14:paraId="2984C03E" w14:textId="77777777" w:rsidR="004E4D6B" w:rsidRPr="00E277AE" w:rsidRDefault="004E4D6B" w:rsidP="00D056A8">
            <w:pPr>
              <w:pStyle w:val="Normal6"/>
              <w:rPr>
                <w:szCs w:val="24"/>
              </w:rPr>
            </w:pPr>
            <w:r w:rsidRPr="00E277AE">
              <w:t>(b)</w:t>
            </w:r>
            <w:r w:rsidRPr="00E277AE">
              <w:tab/>
              <w:t>kategorije podatkov, ki se obdelujejo, in najdaljša obdobja hrambe ter namen obdelave, zlasti v primeru objave teh podatkov in njihovega posredovanja tretjim državam;</w:t>
            </w:r>
          </w:p>
        </w:tc>
      </w:tr>
      <w:tr w:rsidR="004E4D6B" w:rsidRPr="00E277AE" w14:paraId="602C3C24" w14:textId="77777777" w:rsidTr="00D056A8">
        <w:trPr>
          <w:jc w:val="center"/>
        </w:trPr>
        <w:tc>
          <w:tcPr>
            <w:tcW w:w="4876" w:type="dxa"/>
          </w:tcPr>
          <w:p w14:paraId="114E50F3" w14:textId="77777777" w:rsidR="004E4D6B" w:rsidRPr="00E277AE" w:rsidRDefault="004E4D6B" w:rsidP="00D056A8">
            <w:pPr>
              <w:pStyle w:val="Normal6"/>
            </w:pPr>
            <w:r w:rsidRPr="00E277AE">
              <w:t>(c)</w:t>
            </w:r>
            <w:r w:rsidRPr="00E277AE">
              <w:tab/>
              <w:t>pravicami dostopa do razpoložljivih informacij ali informacijskih sistemov;</w:t>
            </w:r>
          </w:p>
        </w:tc>
        <w:tc>
          <w:tcPr>
            <w:tcW w:w="4876" w:type="dxa"/>
          </w:tcPr>
          <w:p w14:paraId="04843D31" w14:textId="77777777" w:rsidR="004E4D6B" w:rsidRPr="00E277AE" w:rsidRDefault="004E4D6B" w:rsidP="00D056A8">
            <w:pPr>
              <w:pStyle w:val="Normal6"/>
              <w:rPr>
                <w:szCs w:val="24"/>
              </w:rPr>
            </w:pPr>
            <w:r w:rsidRPr="00E277AE">
              <w:t>(c)</w:t>
            </w:r>
            <w:r w:rsidRPr="00E277AE">
              <w:tab/>
              <w:t>pravicami dostopa do razpoložljivih informacij ali informacijskih sistemov;</w:t>
            </w:r>
          </w:p>
        </w:tc>
      </w:tr>
      <w:tr w:rsidR="004E4D6B" w:rsidRPr="00E277AE" w14:paraId="04B39E48" w14:textId="77777777" w:rsidTr="00D056A8">
        <w:trPr>
          <w:jc w:val="center"/>
        </w:trPr>
        <w:tc>
          <w:tcPr>
            <w:tcW w:w="4876" w:type="dxa"/>
          </w:tcPr>
          <w:p w14:paraId="1C0C2BE3" w14:textId="77777777" w:rsidR="004E4D6B" w:rsidRPr="00E277AE" w:rsidRDefault="004E4D6B" w:rsidP="00D056A8">
            <w:pPr>
              <w:pStyle w:val="Normal6"/>
            </w:pPr>
            <w:r w:rsidRPr="00E277AE">
              <w:t>(d) pogoje objavljanja informacij.</w:t>
            </w:r>
          </w:p>
        </w:tc>
        <w:tc>
          <w:tcPr>
            <w:tcW w:w="4876" w:type="dxa"/>
          </w:tcPr>
          <w:p w14:paraId="19FC7224" w14:textId="77777777" w:rsidR="004E4D6B" w:rsidRPr="00E277AE" w:rsidRDefault="004E4D6B" w:rsidP="00D056A8">
            <w:pPr>
              <w:pStyle w:val="Normal6"/>
            </w:pPr>
            <w:r w:rsidRPr="00E277AE">
              <w:t>(d) pogoje objavljanja informacij.</w:t>
            </w:r>
          </w:p>
        </w:tc>
      </w:tr>
      <w:tr w:rsidR="004E4D6B" w:rsidRPr="00E277AE" w14:paraId="3303A379" w14:textId="77777777" w:rsidTr="00D056A8">
        <w:trPr>
          <w:jc w:val="center"/>
        </w:trPr>
        <w:tc>
          <w:tcPr>
            <w:tcW w:w="4876" w:type="dxa"/>
          </w:tcPr>
          <w:p w14:paraId="79CBE367" w14:textId="77777777" w:rsidR="004E4D6B" w:rsidRPr="00E277AE" w:rsidRDefault="004E4D6B" w:rsidP="00D056A8">
            <w:pPr>
              <w:pStyle w:val="Normal6"/>
            </w:pPr>
          </w:p>
        </w:tc>
        <w:tc>
          <w:tcPr>
            <w:tcW w:w="4876" w:type="dxa"/>
          </w:tcPr>
          <w:p w14:paraId="1DDFEFEA" w14:textId="77777777" w:rsidR="004E4D6B" w:rsidRPr="00E277AE" w:rsidRDefault="004E4D6B" w:rsidP="00D056A8">
            <w:pPr>
              <w:pStyle w:val="Normal6"/>
            </w:pPr>
            <w:r w:rsidRPr="00E277AE">
              <w:rPr>
                <w:b/>
                <w:i/>
              </w:rPr>
              <w:t>2a.</w:t>
            </w:r>
            <w:r w:rsidRPr="00E277AE">
              <w:rPr>
                <w:b/>
                <w:i/>
              </w:rPr>
              <w:tab/>
              <w:t>Za zagotovitev zadostne preglednosti trga in ob ustreznem upoštevanju poslovne skrivnosti lahko Komisija v skladu s postopkom iz odstavka 2 sprejme ukrepe, s katerimi se od udeležencev na trgih, zlasti na nepreglednih trgih, zahteva, da svoje transakcije opravijo prek elektronske platforme za trgovanje.</w:t>
            </w:r>
          </w:p>
        </w:tc>
      </w:tr>
      <w:tr w:rsidR="004E4D6B" w:rsidRPr="00E277AE" w14:paraId="5E7E3177" w14:textId="77777777" w:rsidTr="00D056A8">
        <w:trPr>
          <w:jc w:val="center"/>
        </w:trPr>
        <w:tc>
          <w:tcPr>
            <w:tcW w:w="4876" w:type="dxa"/>
          </w:tcPr>
          <w:p w14:paraId="2DA32D07" w14:textId="77777777" w:rsidR="004E4D6B" w:rsidRPr="00E277AE" w:rsidRDefault="004E4D6B" w:rsidP="00D056A8">
            <w:pPr>
              <w:pStyle w:val="Normal6"/>
            </w:pPr>
            <w:r w:rsidRPr="00E277AE">
              <w:t>3.</w:t>
            </w:r>
            <w:r w:rsidRPr="00E277AE">
              <w:tab/>
              <w:t>Komisija sprejme izvedbene akte, s katerimi določi ukrepe, ki so potrebni za uporabo tega člena, vključno z:</w:t>
            </w:r>
          </w:p>
        </w:tc>
        <w:tc>
          <w:tcPr>
            <w:tcW w:w="4876" w:type="dxa"/>
          </w:tcPr>
          <w:p w14:paraId="680337BD" w14:textId="77777777" w:rsidR="004E4D6B" w:rsidRPr="00E277AE" w:rsidRDefault="004E4D6B" w:rsidP="00D056A8">
            <w:pPr>
              <w:pStyle w:val="Normal6"/>
              <w:rPr>
                <w:szCs w:val="24"/>
              </w:rPr>
            </w:pPr>
            <w:r w:rsidRPr="00E277AE">
              <w:t>3.</w:t>
            </w:r>
            <w:r w:rsidRPr="00E277AE">
              <w:tab/>
              <w:t>Komisija sprejme izvedbene akte, s katerimi določi ukrepe, ki so potrebni za uporabo tega člena, vključno z:</w:t>
            </w:r>
          </w:p>
        </w:tc>
      </w:tr>
      <w:tr w:rsidR="004E4D6B" w:rsidRPr="00E277AE" w14:paraId="02A5AC12" w14:textId="77777777" w:rsidTr="00D056A8">
        <w:trPr>
          <w:jc w:val="center"/>
        </w:trPr>
        <w:tc>
          <w:tcPr>
            <w:tcW w:w="4876" w:type="dxa"/>
          </w:tcPr>
          <w:p w14:paraId="2A3C79F9" w14:textId="77777777" w:rsidR="004E4D6B" w:rsidRPr="00E277AE" w:rsidRDefault="004E4D6B" w:rsidP="00D056A8">
            <w:pPr>
              <w:pStyle w:val="Normal6"/>
            </w:pPr>
            <w:r w:rsidRPr="00E277AE">
              <w:t>(a)</w:t>
            </w:r>
            <w:r w:rsidRPr="00E277AE">
              <w:tab/>
              <w:t>metodami uradnega obveščanja;</w:t>
            </w:r>
          </w:p>
        </w:tc>
        <w:tc>
          <w:tcPr>
            <w:tcW w:w="4876" w:type="dxa"/>
          </w:tcPr>
          <w:p w14:paraId="6D2013D4" w14:textId="77777777" w:rsidR="004E4D6B" w:rsidRPr="00E277AE" w:rsidRDefault="004E4D6B" w:rsidP="00D056A8">
            <w:pPr>
              <w:pStyle w:val="Normal6"/>
              <w:rPr>
                <w:szCs w:val="24"/>
              </w:rPr>
            </w:pPr>
            <w:r w:rsidRPr="00E277AE">
              <w:t>(a)</w:t>
            </w:r>
            <w:r w:rsidRPr="00E277AE">
              <w:tab/>
              <w:t>metodami uradnega obveščanja;</w:t>
            </w:r>
          </w:p>
        </w:tc>
      </w:tr>
      <w:tr w:rsidR="004E4D6B" w:rsidRPr="00E277AE" w14:paraId="4BCB392E" w14:textId="77777777" w:rsidTr="00D056A8">
        <w:trPr>
          <w:jc w:val="center"/>
        </w:trPr>
        <w:tc>
          <w:tcPr>
            <w:tcW w:w="4876" w:type="dxa"/>
          </w:tcPr>
          <w:p w14:paraId="28C6F25A" w14:textId="77777777" w:rsidR="004E4D6B" w:rsidRPr="00E277AE" w:rsidRDefault="004E4D6B" w:rsidP="00D056A8">
            <w:pPr>
              <w:pStyle w:val="Normal6"/>
            </w:pPr>
            <w:r w:rsidRPr="00E277AE">
              <w:t>(b)</w:t>
            </w:r>
            <w:r w:rsidRPr="00E277AE">
              <w:tab/>
              <w:t>pravili o informacijah, ki se uradno sporočajo;</w:t>
            </w:r>
          </w:p>
        </w:tc>
        <w:tc>
          <w:tcPr>
            <w:tcW w:w="4876" w:type="dxa"/>
          </w:tcPr>
          <w:p w14:paraId="734C28EE" w14:textId="77777777" w:rsidR="004E4D6B" w:rsidRPr="00E277AE" w:rsidRDefault="004E4D6B" w:rsidP="00D056A8">
            <w:pPr>
              <w:pStyle w:val="Normal6"/>
              <w:rPr>
                <w:szCs w:val="24"/>
              </w:rPr>
            </w:pPr>
            <w:r w:rsidRPr="00E277AE">
              <w:t>(b)</w:t>
            </w:r>
            <w:r w:rsidRPr="00E277AE">
              <w:tab/>
              <w:t>pravili o informacijah, ki se uradno sporočajo;</w:t>
            </w:r>
          </w:p>
        </w:tc>
      </w:tr>
      <w:tr w:rsidR="004E4D6B" w:rsidRPr="00E277AE" w14:paraId="46541E58" w14:textId="77777777" w:rsidTr="00D056A8">
        <w:trPr>
          <w:jc w:val="center"/>
        </w:trPr>
        <w:tc>
          <w:tcPr>
            <w:tcW w:w="4876" w:type="dxa"/>
          </w:tcPr>
          <w:p w14:paraId="4E5D8A54" w14:textId="77777777" w:rsidR="004E4D6B" w:rsidRPr="00E277AE" w:rsidRDefault="004E4D6B" w:rsidP="00D056A8">
            <w:pPr>
              <w:pStyle w:val="Normal6"/>
            </w:pPr>
            <w:r w:rsidRPr="00E277AE">
              <w:t>(c)</w:t>
            </w:r>
            <w:r w:rsidRPr="00E277AE">
              <w:tab/>
              <w:t>ureditvami za upravljanje informacij, ki se uradno sporočajo, ter za vsebino, obliko, časovni okvir, pogostnost in roke za uradna obvestila;</w:t>
            </w:r>
          </w:p>
        </w:tc>
        <w:tc>
          <w:tcPr>
            <w:tcW w:w="4876" w:type="dxa"/>
          </w:tcPr>
          <w:p w14:paraId="75909294" w14:textId="77777777" w:rsidR="004E4D6B" w:rsidRPr="00E277AE" w:rsidRDefault="004E4D6B" w:rsidP="00D056A8">
            <w:pPr>
              <w:pStyle w:val="Normal6"/>
              <w:rPr>
                <w:szCs w:val="24"/>
              </w:rPr>
            </w:pPr>
            <w:r w:rsidRPr="00E277AE">
              <w:t>(c)</w:t>
            </w:r>
            <w:r w:rsidRPr="00E277AE">
              <w:tab/>
              <w:t>ureditvami za upravljanje informacij, ki se uradno sporočajo, ter za vsebino, obliko, časovni okvir, pogostnost in roke za uradna obvestila;</w:t>
            </w:r>
          </w:p>
        </w:tc>
      </w:tr>
      <w:tr w:rsidR="004E4D6B" w:rsidRPr="00E277AE" w14:paraId="494757FD" w14:textId="77777777" w:rsidTr="00D056A8">
        <w:trPr>
          <w:jc w:val="center"/>
        </w:trPr>
        <w:tc>
          <w:tcPr>
            <w:tcW w:w="4876" w:type="dxa"/>
          </w:tcPr>
          <w:p w14:paraId="241CE312" w14:textId="77777777" w:rsidR="004E4D6B" w:rsidRPr="00E277AE" w:rsidRDefault="004E4D6B" w:rsidP="00D056A8">
            <w:pPr>
              <w:pStyle w:val="Normal6"/>
            </w:pPr>
            <w:r w:rsidRPr="00E277AE">
              <w:t>(d)</w:t>
            </w:r>
            <w:r w:rsidRPr="00E277AE">
              <w:tab/>
              <w:t>ureditvami za posredovanje ali dajanje na voljo informacij in dokumentov državam članicam, mednarodnim organizacijam in pristojnim organom v tretjih državah ali javnosti ob upoštevanju varstva osebnih podatkov in zakonitega interesa podjetij, da se varujejo njihove poslovne skrivnosti.</w:t>
            </w:r>
          </w:p>
        </w:tc>
        <w:tc>
          <w:tcPr>
            <w:tcW w:w="4876" w:type="dxa"/>
          </w:tcPr>
          <w:p w14:paraId="033FFFDC" w14:textId="77777777" w:rsidR="004E4D6B" w:rsidRPr="00E277AE" w:rsidRDefault="004E4D6B" w:rsidP="00D056A8">
            <w:pPr>
              <w:pStyle w:val="Normal6"/>
              <w:rPr>
                <w:szCs w:val="24"/>
              </w:rPr>
            </w:pPr>
            <w:r w:rsidRPr="00E277AE">
              <w:t>(d)</w:t>
            </w:r>
            <w:r w:rsidRPr="00E277AE">
              <w:tab/>
              <w:t>ureditvami za posredovanje ali dajanje na voljo informacij in dokumentov državam članicam, mednarodnim organizacijam in pristojnim organom v tretjih državah ali javnosti ob upoštevanju varstva osebnih podatkov in zakonitega interesa podjetij, da se varujejo njihove poslovne skrivnosti.</w:t>
            </w:r>
          </w:p>
        </w:tc>
      </w:tr>
      <w:tr w:rsidR="004E4D6B" w:rsidRPr="00E277AE" w14:paraId="097E05D9" w14:textId="77777777" w:rsidTr="00D056A8">
        <w:trPr>
          <w:jc w:val="center"/>
        </w:trPr>
        <w:tc>
          <w:tcPr>
            <w:tcW w:w="4876" w:type="dxa"/>
          </w:tcPr>
          <w:p w14:paraId="5107602D" w14:textId="77777777" w:rsidR="004E4D6B" w:rsidRPr="00E277AE" w:rsidRDefault="004E4D6B" w:rsidP="00D056A8">
            <w:pPr>
              <w:pStyle w:val="Normal6"/>
            </w:pPr>
            <w:r w:rsidRPr="00E277AE">
              <w:t>Ti izvedbeni akti se sprejmejo v skladu s postopkom pregleda iz člena</w:t>
            </w:r>
            <w:r w:rsidRPr="00E277AE">
              <w:rPr>
                <w:b/>
                <w:i/>
              </w:rPr>
              <w:t xml:space="preserve"> </w:t>
            </w:r>
            <w:r w:rsidRPr="00E277AE">
              <w:t>229(2).</w:t>
            </w:r>
          </w:p>
        </w:tc>
        <w:tc>
          <w:tcPr>
            <w:tcW w:w="4876" w:type="dxa"/>
          </w:tcPr>
          <w:p w14:paraId="230171F8" w14:textId="77777777" w:rsidR="004E4D6B" w:rsidRPr="00E277AE" w:rsidRDefault="004E4D6B" w:rsidP="00D056A8">
            <w:pPr>
              <w:pStyle w:val="Normal6"/>
              <w:rPr>
                <w:szCs w:val="24"/>
              </w:rPr>
            </w:pPr>
            <w:r w:rsidRPr="00E277AE">
              <w:t>Ti izvedbeni akti se sprejmejo v skladu s postopkom pregleda iz člena</w:t>
            </w:r>
            <w:r w:rsidRPr="00E277AE">
              <w:rPr>
                <w:b/>
                <w:i/>
              </w:rPr>
              <w:t> </w:t>
            </w:r>
            <w:r w:rsidRPr="00E277AE">
              <w:t>229(2).</w:t>
            </w:r>
            <w:r w:rsidRPr="00E277AE">
              <w:rPr>
                <w:b/>
                <w:i/>
              </w:rPr>
              <w:t>“</w:t>
            </w:r>
          </w:p>
        </w:tc>
      </w:tr>
    </w:tbl>
    <w:p w14:paraId="2D485BD7" w14:textId="3BE3E55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155</w:t>
      </w:r>
    </w:p>
    <w:p w14:paraId="4BF7FF87" w14:textId="77777777" w:rsidR="006F5BFE" w:rsidRPr="003B2277" w:rsidRDefault="006F5BFE" w:rsidP="006F5BFE"/>
    <w:p w14:paraId="0412AF45" w14:textId="77777777" w:rsidR="006F5BFE" w:rsidRPr="003B2277" w:rsidRDefault="006F5BFE" w:rsidP="006F5BFE">
      <w:pPr>
        <w:keepNext/>
        <w:rPr>
          <w:b/>
          <w:lang w:eastAsia="en-US"/>
        </w:rPr>
      </w:pPr>
      <w:r w:rsidRPr="003B2277">
        <w:rPr>
          <w:rFonts w:eastAsia="Calibri" w:cs="Mangal"/>
          <w:b/>
          <w:lang w:eastAsia="en-US"/>
        </w:rPr>
        <w:t>Predlog uredbe</w:t>
      </w:r>
    </w:p>
    <w:p w14:paraId="5BDA99A5" w14:textId="77777777" w:rsidR="006F5BFE" w:rsidRPr="003B2277" w:rsidRDefault="006F5BFE" w:rsidP="006F5BFE">
      <w:pPr>
        <w:rPr>
          <w:b/>
          <w:lang w:eastAsia="en-US"/>
        </w:rPr>
      </w:pPr>
      <w:r w:rsidRPr="003B2277">
        <w:rPr>
          <w:rFonts w:eastAsia="Calibri" w:cs="Mangal"/>
          <w:b/>
          <w:lang w:eastAsia="en-US"/>
        </w:rPr>
        <w:t>Člen 1 – odstavek 1 – točka 27</w:t>
      </w:r>
    </w:p>
    <w:p w14:paraId="6C4535E4" w14:textId="77777777" w:rsidR="006F5BFE" w:rsidRPr="003B2277" w:rsidRDefault="006F5BFE" w:rsidP="006F5BFE">
      <w:pPr>
        <w:keepNext/>
        <w:rPr>
          <w:lang w:eastAsia="en-US"/>
        </w:rPr>
      </w:pPr>
      <w:r w:rsidRPr="003B2277">
        <w:rPr>
          <w:rFonts w:eastAsia="Calibri" w:cs="Mangal"/>
          <w:lang w:eastAsia="en-US"/>
        </w:rPr>
        <w:t>Uredba (EU) št. 1308/2013</w:t>
      </w:r>
    </w:p>
    <w:p w14:paraId="36315BB2" w14:textId="1F443E94" w:rsidR="006F5BFE" w:rsidRPr="003B2277" w:rsidRDefault="006F5BFE" w:rsidP="006F5BFE">
      <w:pPr>
        <w:rPr>
          <w:lang w:eastAsia="en-US"/>
        </w:rPr>
      </w:pPr>
      <w:r w:rsidRPr="003B2277">
        <w:rPr>
          <w:rFonts w:eastAsia="Calibri" w:cs="Mangal"/>
          <w:lang w:eastAsia="en-US"/>
        </w:rPr>
        <w:t>Člen 225 – točke a do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968FADD" w14:textId="77777777" w:rsidTr="005B4D60">
        <w:trPr>
          <w:jc w:val="center"/>
        </w:trPr>
        <w:tc>
          <w:tcPr>
            <w:tcW w:w="9752" w:type="dxa"/>
            <w:gridSpan w:val="2"/>
          </w:tcPr>
          <w:p w14:paraId="1E979CD9" w14:textId="77777777" w:rsidR="006F5BFE" w:rsidRPr="003B2277" w:rsidRDefault="006F5BFE" w:rsidP="005B4D60">
            <w:pPr>
              <w:keepNext/>
            </w:pPr>
          </w:p>
        </w:tc>
      </w:tr>
      <w:tr w:rsidR="006F5BFE" w:rsidRPr="003B2277" w14:paraId="296EB62D" w14:textId="77777777" w:rsidTr="005B4D60">
        <w:trPr>
          <w:jc w:val="center"/>
        </w:trPr>
        <w:tc>
          <w:tcPr>
            <w:tcW w:w="4876" w:type="dxa"/>
            <w:hideMark/>
          </w:tcPr>
          <w:p w14:paraId="0B6CB57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479A2FD" w14:textId="30E1111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9027274" w14:textId="77777777" w:rsidTr="005B4D60">
        <w:trPr>
          <w:jc w:val="center"/>
        </w:trPr>
        <w:tc>
          <w:tcPr>
            <w:tcW w:w="4876" w:type="dxa"/>
            <w:hideMark/>
          </w:tcPr>
          <w:p w14:paraId="174FB644" w14:textId="77777777" w:rsidR="006F5BFE" w:rsidRPr="003B2277" w:rsidRDefault="006F5BFE" w:rsidP="005B4D60">
            <w:pPr>
              <w:spacing w:after="120"/>
              <w:rPr>
                <w:lang w:eastAsia="en-US"/>
              </w:rPr>
            </w:pPr>
            <w:r w:rsidRPr="003B2277">
              <w:rPr>
                <w:rFonts w:eastAsia="Calibri" w:cs="Mangal"/>
                <w:b/>
                <w:i/>
                <w:lang w:eastAsia="en-US"/>
              </w:rPr>
              <w:t>(27)</w:t>
            </w:r>
            <w:r w:rsidRPr="003B2277">
              <w:rPr>
                <w:rFonts w:eastAsia="Calibri" w:cs="Mangal"/>
                <w:b/>
                <w:i/>
                <w:lang w:eastAsia="en-US"/>
              </w:rPr>
              <w:tab/>
              <w:t>v členu 225 se točke od (a) do (d) črtajo;</w:t>
            </w:r>
          </w:p>
        </w:tc>
        <w:tc>
          <w:tcPr>
            <w:tcW w:w="4876" w:type="dxa"/>
            <w:hideMark/>
          </w:tcPr>
          <w:p w14:paraId="681000FA" w14:textId="77777777" w:rsidR="006F5BFE" w:rsidRPr="003B2277" w:rsidRDefault="006F5BFE" w:rsidP="005B4D60">
            <w:pPr>
              <w:spacing w:after="120"/>
              <w:rPr>
                <w:szCs w:val="24"/>
                <w:lang w:eastAsia="en-US"/>
              </w:rPr>
            </w:pPr>
            <w:r w:rsidRPr="003B2277">
              <w:rPr>
                <w:rFonts w:eastAsia="Calibri" w:cs="Mangal"/>
                <w:b/>
                <w:i/>
                <w:lang w:eastAsia="en-US"/>
              </w:rPr>
              <w:t>črtano</w:t>
            </w:r>
          </w:p>
        </w:tc>
      </w:tr>
    </w:tbl>
    <w:p w14:paraId="7DED9ABD" w14:textId="77777777" w:rsidR="006F5BFE" w:rsidRPr="003B2277" w:rsidRDefault="006F5BFE" w:rsidP="006F5BFE">
      <w:pPr>
        <w:rPr>
          <w:lang w:eastAsia="en-US"/>
        </w:rPr>
      </w:pPr>
    </w:p>
    <w:p w14:paraId="1F563342" w14:textId="455A8AA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156</w:t>
      </w:r>
    </w:p>
    <w:p w14:paraId="48F92259" w14:textId="77777777" w:rsidR="006F5BFE" w:rsidRPr="003B2277" w:rsidRDefault="006F5BFE" w:rsidP="006F5BFE"/>
    <w:p w14:paraId="18A79317" w14:textId="77777777" w:rsidR="006F5BFE" w:rsidRPr="003B2277" w:rsidRDefault="006F5BFE" w:rsidP="006F5BFE">
      <w:pPr>
        <w:keepNext/>
        <w:rPr>
          <w:b/>
          <w:lang w:eastAsia="en-US"/>
        </w:rPr>
      </w:pPr>
      <w:r w:rsidRPr="003B2277">
        <w:rPr>
          <w:rFonts w:eastAsia="Calibri" w:cs="Mangal"/>
          <w:b/>
          <w:lang w:eastAsia="en-US"/>
        </w:rPr>
        <w:t>Predlog uredbe</w:t>
      </w:r>
    </w:p>
    <w:p w14:paraId="6FC29C44" w14:textId="77777777" w:rsidR="006F5BFE" w:rsidRPr="003B2277" w:rsidRDefault="006F5BFE" w:rsidP="006F5BFE">
      <w:pPr>
        <w:rPr>
          <w:b/>
          <w:lang w:eastAsia="en-US"/>
        </w:rPr>
      </w:pPr>
      <w:r w:rsidRPr="003B2277">
        <w:rPr>
          <w:rFonts w:eastAsia="Calibri" w:cs="Mangal"/>
          <w:b/>
          <w:lang w:eastAsia="en-US"/>
        </w:rPr>
        <w:t>Člen 1 – odstavek 1 – točka 27 a (novo)</w:t>
      </w:r>
    </w:p>
    <w:p w14:paraId="17F1BE6A" w14:textId="77777777" w:rsidR="006F5BFE" w:rsidRPr="003B2277" w:rsidRDefault="006F5BFE" w:rsidP="006F5BFE">
      <w:pPr>
        <w:keepNext/>
        <w:rPr>
          <w:lang w:eastAsia="en-US"/>
        </w:rPr>
      </w:pPr>
      <w:r w:rsidRPr="003B2277">
        <w:rPr>
          <w:rFonts w:eastAsia="Calibri" w:cs="Mangal"/>
          <w:lang w:eastAsia="en-US"/>
        </w:rPr>
        <w:t>Uredba (EU) št. 1308/2013</w:t>
      </w:r>
    </w:p>
    <w:p w14:paraId="30229697" w14:textId="77777777" w:rsidR="006F5BFE" w:rsidRPr="003B2277" w:rsidRDefault="006F5BFE" w:rsidP="006F5BFE">
      <w:pPr>
        <w:rPr>
          <w:lang w:eastAsia="en-US"/>
        </w:rPr>
      </w:pPr>
      <w:r w:rsidRPr="003B2277">
        <w:rPr>
          <w:rFonts w:eastAsia="Calibri" w:cs="Mangal"/>
          <w:lang w:eastAsia="en-US"/>
        </w:rPr>
        <w:t>Člen 225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760499A" w14:textId="77777777" w:rsidTr="005B4D60">
        <w:trPr>
          <w:jc w:val="center"/>
        </w:trPr>
        <w:tc>
          <w:tcPr>
            <w:tcW w:w="9752" w:type="dxa"/>
            <w:gridSpan w:val="2"/>
          </w:tcPr>
          <w:p w14:paraId="39F7ED88" w14:textId="77777777" w:rsidR="006F5BFE" w:rsidRPr="003B2277" w:rsidRDefault="006F5BFE" w:rsidP="005B4D60">
            <w:pPr>
              <w:keepNext/>
            </w:pPr>
          </w:p>
        </w:tc>
      </w:tr>
      <w:tr w:rsidR="006F5BFE" w:rsidRPr="003B2277" w14:paraId="7C789C09" w14:textId="77777777" w:rsidTr="005B4D60">
        <w:trPr>
          <w:jc w:val="center"/>
        </w:trPr>
        <w:tc>
          <w:tcPr>
            <w:tcW w:w="4876" w:type="dxa"/>
            <w:hideMark/>
          </w:tcPr>
          <w:p w14:paraId="43F498EC"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99B78DE" w14:textId="05CE640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BE9BC56" w14:textId="77777777" w:rsidTr="005B4D60">
        <w:trPr>
          <w:jc w:val="center"/>
        </w:trPr>
        <w:tc>
          <w:tcPr>
            <w:tcW w:w="4876" w:type="dxa"/>
          </w:tcPr>
          <w:p w14:paraId="3A06F8BC" w14:textId="77777777" w:rsidR="006F5BFE" w:rsidRPr="003B2277" w:rsidRDefault="006F5BFE" w:rsidP="005B4D60">
            <w:pPr>
              <w:spacing w:after="120"/>
            </w:pPr>
          </w:p>
        </w:tc>
        <w:tc>
          <w:tcPr>
            <w:tcW w:w="4876" w:type="dxa"/>
            <w:hideMark/>
          </w:tcPr>
          <w:p w14:paraId="38811AB1" w14:textId="77777777" w:rsidR="006F5BFE" w:rsidRPr="003B2277" w:rsidRDefault="006F5BFE" w:rsidP="005B4D60">
            <w:pPr>
              <w:spacing w:after="120"/>
              <w:rPr>
                <w:szCs w:val="24"/>
                <w:lang w:eastAsia="en-US"/>
              </w:rPr>
            </w:pPr>
            <w:r w:rsidRPr="003B2277">
              <w:rPr>
                <w:rFonts w:eastAsia="Calibri" w:cs="Mangal"/>
                <w:b/>
                <w:i/>
                <w:lang w:eastAsia="en-US"/>
              </w:rPr>
              <w:t>(27a)</w:t>
            </w:r>
            <w:r w:rsidRPr="003B2277">
              <w:rPr>
                <w:rFonts w:eastAsia="Calibri" w:cs="Mangal"/>
                <w:b/>
                <w:i/>
                <w:lang w:eastAsia="en-US"/>
              </w:rPr>
              <w:tab/>
              <w:t>člen 225 se nadomesti z naslednjim:</w:t>
            </w:r>
          </w:p>
        </w:tc>
      </w:tr>
      <w:tr w:rsidR="006F5BFE" w:rsidRPr="003B2277" w14:paraId="21D74B4D" w14:textId="77777777" w:rsidTr="005B4D60">
        <w:trPr>
          <w:jc w:val="center"/>
        </w:trPr>
        <w:tc>
          <w:tcPr>
            <w:tcW w:w="4876" w:type="dxa"/>
          </w:tcPr>
          <w:p w14:paraId="60EB0662" w14:textId="77777777" w:rsidR="006F5BFE" w:rsidRPr="003B2277" w:rsidRDefault="006F5BFE" w:rsidP="005B4D60">
            <w:pPr>
              <w:spacing w:after="120"/>
              <w:rPr>
                <w:lang w:eastAsia="en-US"/>
              </w:rPr>
            </w:pPr>
            <w:r w:rsidRPr="003B2277">
              <w:rPr>
                <w:rFonts w:eastAsia="Calibri" w:cs="Mangal"/>
                <w:lang w:eastAsia="en-US"/>
              </w:rPr>
              <w:t>Člen 225</w:t>
            </w:r>
          </w:p>
        </w:tc>
        <w:tc>
          <w:tcPr>
            <w:tcW w:w="4876" w:type="dxa"/>
          </w:tcPr>
          <w:p w14:paraId="3360C0F5" w14:textId="77777777" w:rsidR="006F5BFE" w:rsidRPr="003B2277" w:rsidRDefault="006F5BFE" w:rsidP="005B4D60">
            <w:pPr>
              <w:spacing w:after="120"/>
              <w:rPr>
                <w:lang w:eastAsia="en-US"/>
              </w:rPr>
            </w:pPr>
            <w:r w:rsidRPr="003B2277">
              <w:rPr>
                <w:rFonts w:eastAsia="Calibri" w:cs="Mangal"/>
                <w:lang w:eastAsia="en-US"/>
              </w:rPr>
              <w:t>Člen 225</w:t>
            </w:r>
          </w:p>
        </w:tc>
      </w:tr>
      <w:tr w:rsidR="006F5BFE" w:rsidRPr="003B2277" w14:paraId="048360D1" w14:textId="77777777" w:rsidTr="005B4D60">
        <w:trPr>
          <w:jc w:val="center"/>
        </w:trPr>
        <w:tc>
          <w:tcPr>
            <w:tcW w:w="4876" w:type="dxa"/>
          </w:tcPr>
          <w:p w14:paraId="5B7089B6" w14:textId="77777777" w:rsidR="006F5BFE" w:rsidRPr="003B2277" w:rsidRDefault="006F5BFE" w:rsidP="005B4D60">
            <w:pPr>
              <w:spacing w:after="120"/>
              <w:rPr>
                <w:lang w:eastAsia="en-US"/>
              </w:rPr>
            </w:pPr>
            <w:r w:rsidRPr="003B2277">
              <w:rPr>
                <w:rFonts w:eastAsia="Calibri" w:cs="Mangal"/>
                <w:lang w:eastAsia="en-US"/>
              </w:rPr>
              <w:t>Obveznost poročanja Komisije</w:t>
            </w:r>
          </w:p>
        </w:tc>
        <w:tc>
          <w:tcPr>
            <w:tcW w:w="4876" w:type="dxa"/>
          </w:tcPr>
          <w:p w14:paraId="075FE290" w14:textId="77777777" w:rsidR="006F5BFE" w:rsidRPr="003B2277" w:rsidRDefault="006F5BFE" w:rsidP="005B4D60">
            <w:pPr>
              <w:spacing w:after="120"/>
              <w:rPr>
                <w:lang w:eastAsia="en-US"/>
              </w:rPr>
            </w:pPr>
            <w:r w:rsidRPr="003B2277">
              <w:rPr>
                <w:rFonts w:eastAsia="Calibri" w:cs="Mangal"/>
                <w:lang w:eastAsia="en-US"/>
              </w:rPr>
              <w:t>Obveznost poročanja Komisije</w:t>
            </w:r>
          </w:p>
        </w:tc>
      </w:tr>
      <w:tr w:rsidR="006F5BFE" w:rsidRPr="003B2277" w14:paraId="77C1E1E8" w14:textId="77777777" w:rsidTr="005B4D60">
        <w:trPr>
          <w:jc w:val="center"/>
        </w:trPr>
        <w:tc>
          <w:tcPr>
            <w:tcW w:w="4876" w:type="dxa"/>
            <w:hideMark/>
          </w:tcPr>
          <w:p w14:paraId="3F25F5BC" w14:textId="77777777" w:rsidR="006F5BFE" w:rsidRPr="003B2277" w:rsidRDefault="006F5BFE" w:rsidP="005B4D60">
            <w:pPr>
              <w:spacing w:after="120"/>
              <w:rPr>
                <w:lang w:eastAsia="en-US"/>
              </w:rPr>
            </w:pPr>
            <w:r w:rsidRPr="003B2277">
              <w:rPr>
                <w:rFonts w:eastAsia="Calibri" w:cs="Mangal"/>
                <w:lang w:eastAsia="en-US"/>
              </w:rPr>
              <w:t>Komisija Evropskemu parlamentu in Svetu predloži poročilo:</w:t>
            </w:r>
          </w:p>
        </w:tc>
        <w:tc>
          <w:tcPr>
            <w:tcW w:w="4876" w:type="dxa"/>
            <w:hideMark/>
          </w:tcPr>
          <w:p w14:paraId="2E5115E6" w14:textId="769F8DC8" w:rsidR="006F5BFE" w:rsidRPr="003B2277" w:rsidRDefault="00B73FD4" w:rsidP="005B4D60">
            <w:pPr>
              <w:spacing w:after="120"/>
              <w:rPr>
                <w:szCs w:val="24"/>
                <w:lang w:eastAsia="en-US"/>
              </w:rPr>
            </w:pPr>
            <w:r w:rsidRPr="003B2277">
              <w:rPr>
                <w:rFonts w:eastAsia="Calibri" w:cs="Mangal"/>
                <w:b/>
                <w:i/>
                <w:lang w:eastAsia="en-US"/>
              </w:rPr>
              <w:t>„</w:t>
            </w:r>
            <w:r w:rsidR="006F5BFE" w:rsidRPr="003B2277">
              <w:rPr>
                <w:rFonts w:eastAsia="Calibri" w:cs="Mangal"/>
                <w:lang w:eastAsia="en-US"/>
              </w:rPr>
              <w:t>Komisija Evropskemu parlamentu in Svetu predloži poročilo:</w:t>
            </w:r>
          </w:p>
        </w:tc>
      </w:tr>
      <w:tr w:rsidR="006F5BFE" w:rsidRPr="003B2277" w14:paraId="6205B2B4" w14:textId="77777777" w:rsidTr="005B4D60">
        <w:trPr>
          <w:jc w:val="center"/>
        </w:trPr>
        <w:tc>
          <w:tcPr>
            <w:tcW w:w="4876" w:type="dxa"/>
          </w:tcPr>
          <w:p w14:paraId="64047AD0" w14:textId="77777777" w:rsidR="006F5BFE" w:rsidRPr="003B2277" w:rsidRDefault="006F5BFE" w:rsidP="005B4D60">
            <w:pPr>
              <w:spacing w:after="120"/>
              <w:rPr>
                <w:lang w:eastAsia="en-US"/>
              </w:rPr>
            </w:pPr>
            <w:r w:rsidRPr="003B2277">
              <w:rPr>
                <w:rFonts w:eastAsia="Calibri" w:cs="Mangal"/>
                <w:b/>
                <w:i/>
                <w:lang w:eastAsia="en-US"/>
              </w:rPr>
              <w:t>(a)</w:t>
            </w:r>
            <w:r w:rsidRPr="003B2277">
              <w:rPr>
                <w:rFonts w:eastAsia="Calibri" w:cs="Mangal"/>
                <w:lang w:eastAsia="en-US"/>
              </w:rPr>
              <w:t xml:space="preserve"> </w:t>
            </w:r>
            <w:r w:rsidRPr="003B2277">
              <w:rPr>
                <w:rFonts w:eastAsia="Calibri" w:cs="Mangal"/>
                <w:b/>
                <w:i/>
                <w:lang w:eastAsia="en-US"/>
              </w:rPr>
              <w:t>vsake tri leta in prvič do 21. decembrom 2016 o izvajanju ukrepov v zvezi s sektorjem čebelarstva, kakor določajo členi od 55, 56 in 57, vključno o novostih v zvezi s sistemom za identifikacijo čebeljih panjev;</w:t>
            </w:r>
          </w:p>
        </w:tc>
        <w:tc>
          <w:tcPr>
            <w:tcW w:w="4876" w:type="dxa"/>
          </w:tcPr>
          <w:p w14:paraId="1AE86F62" w14:textId="77777777" w:rsidR="006F5BFE" w:rsidRPr="003B2277" w:rsidRDefault="006F5BFE" w:rsidP="005B4D60">
            <w:pPr>
              <w:spacing w:after="120"/>
            </w:pPr>
          </w:p>
        </w:tc>
      </w:tr>
      <w:tr w:rsidR="006F5BFE" w:rsidRPr="003B2277" w14:paraId="249B50DE" w14:textId="77777777" w:rsidTr="005B4D60">
        <w:trPr>
          <w:jc w:val="center"/>
        </w:trPr>
        <w:tc>
          <w:tcPr>
            <w:tcW w:w="4876" w:type="dxa"/>
            <w:hideMark/>
          </w:tcPr>
          <w:p w14:paraId="0FA594C3" w14:textId="77777777" w:rsidR="006F5BFE" w:rsidRPr="003B2277" w:rsidRDefault="006F5BFE" w:rsidP="005B4D60">
            <w:pPr>
              <w:spacing w:after="120"/>
              <w:rPr>
                <w:lang w:eastAsia="en-US"/>
              </w:rPr>
            </w:pPr>
            <w:r w:rsidRPr="003B2277">
              <w:rPr>
                <w:rFonts w:eastAsia="Calibri" w:cs="Mangal"/>
                <w:lang w:eastAsia="en-US"/>
              </w:rPr>
              <w:t xml:space="preserve">(b) </w:t>
            </w:r>
            <w:r w:rsidRPr="003B2277">
              <w:rPr>
                <w:rFonts w:eastAsia="Calibri" w:cs="Mangal"/>
                <w:b/>
                <w:i/>
                <w:lang w:eastAsia="en-US"/>
              </w:rPr>
              <w:t>do 30. junija 2014</w:t>
            </w:r>
            <w:r w:rsidRPr="003B2277">
              <w:rPr>
                <w:rFonts w:eastAsia="Calibri" w:cs="Mangal"/>
                <w:lang w:eastAsia="en-US"/>
              </w:rPr>
              <w:t xml:space="preserve"> in </w:t>
            </w:r>
            <w:r w:rsidRPr="003B2277">
              <w:rPr>
                <w:rFonts w:eastAsia="Calibri" w:cs="Mangal"/>
                <w:b/>
                <w:i/>
                <w:lang w:eastAsia="en-US"/>
              </w:rPr>
              <w:t>tudi</w:t>
            </w:r>
            <w:r w:rsidRPr="003B2277">
              <w:rPr>
                <w:rFonts w:eastAsia="Calibri" w:cs="Mangal"/>
                <w:lang w:eastAsia="en-US"/>
              </w:rPr>
              <w:t xml:space="preserve"> do </w:t>
            </w:r>
            <w:r w:rsidRPr="003B2277">
              <w:rPr>
                <w:rFonts w:eastAsia="Calibri" w:cs="Mangal"/>
                <w:b/>
                <w:i/>
                <w:lang w:eastAsia="en-US"/>
              </w:rPr>
              <w:t>31</w:t>
            </w:r>
            <w:r w:rsidRPr="003B2277">
              <w:rPr>
                <w:rFonts w:eastAsia="Calibri" w:cs="Mangal"/>
                <w:lang w:eastAsia="en-US"/>
              </w:rPr>
              <w:t xml:space="preserve">. </w:t>
            </w:r>
            <w:r w:rsidRPr="003B2277">
              <w:rPr>
                <w:rFonts w:eastAsia="Calibri" w:cs="Mangal"/>
                <w:b/>
                <w:i/>
                <w:lang w:eastAsia="en-US"/>
              </w:rPr>
              <w:t>decembra 2018</w:t>
            </w:r>
            <w:r w:rsidRPr="003B2277">
              <w:rPr>
                <w:rFonts w:eastAsia="Calibri" w:cs="Mangal"/>
                <w:lang w:eastAsia="en-US"/>
              </w:rPr>
              <w:t xml:space="preserve"> o razvoju razmer na trgu v sektorju mleka in mlečnih proizvodov ter zlasti o izvajanju členov 148 do 151, člena </w:t>
            </w:r>
            <w:r w:rsidRPr="003B2277">
              <w:rPr>
                <w:rFonts w:eastAsia="Calibri" w:cs="Mangal"/>
                <w:b/>
                <w:i/>
                <w:lang w:eastAsia="en-US"/>
              </w:rPr>
              <w:t>152(3)</w:t>
            </w:r>
            <w:r w:rsidRPr="003B2277">
              <w:rPr>
                <w:rFonts w:eastAsia="Calibri" w:cs="Mangal"/>
                <w:lang w:eastAsia="en-US"/>
              </w:rPr>
              <w:t xml:space="preserve"> in člena 157</w:t>
            </w:r>
            <w:r w:rsidRPr="003B2277">
              <w:rPr>
                <w:rFonts w:eastAsia="Calibri" w:cs="Mangal"/>
                <w:b/>
                <w:i/>
                <w:lang w:eastAsia="en-US"/>
              </w:rPr>
              <w:t>(3)</w:t>
            </w:r>
            <w:r w:rsidRPr="003B2277">
              <w:rPr>
                <w:rFonts w:eastAsia="Calibri" w:cs="Mangal"/>
                <w:lang w:eastAsia="en-US"/>
              </w:rPr>
              <w:t>, pri čemer se zlasti ocenijo učinki na proizvajalce mleka in proizvodnjo mleka v regijah z omejenimi možnostmi v povezavi s splošnim ciljem ohranjanja proizvodnje v takih regijah, in navedejo morebitne spodbude za kmete, da sklenejo sporazume o skupni proizvodnji; poročilu se priložijo ustrezni predlogi;</w:t>
            </w:r>
          </w:p>
        </w:tc>
        <w:tc>
          <w:tcPr>
            <w:tcW w:w="4876" w:type="dxa"/>
            <w:hideMark/>
          </w:tcPr>
          <w:p w14:paraId="5E48A97F" w14:textId="77777777" w:rsidR="006F5BFE" w:rsidRPr="003B2277" w:rsidRDefault="006F5BFE" w:rsidP="005B4D60">
            <w:pPr>
              <w:spacing w:after="120"/>
              <w:rPr>
                <w:szCs w:val="24"/>
                <w:lang w:eastAsia="en-US"/>
              </w:rPr>
            </w:pPr>
            <w:r w:rsidRPr="003B2277">
              <w:rPr>
                <w:rFonts w:eastAsia="Calibri" w:cs="Mangal"/>
                <w:lang w:eastAsia="en-US"/>
              </w:rPr>
              <w:t xml:space="preserve">(b) </w:t>
            </w:r>
            <w:r w:rsidRPr="003B2277">
              <w:rPr>
                <w:rFonts w:eastAsia="Calibri" w:cs="Mangal"/>
                <w:b/>
                <w:i/>
                <w:lang w:eastAsia="en-US"/>
              </w:rPr>
              <w:t>vsaka štiri leta</w:t>
            </w:r>
            <w:r w:rsidRPr="003B2277">
              <w:rPr>
                <w:rFonts w:eastAsia="Calibri" w:cs="Mangal"/>
                <w:lang w:eastAsia="en-US"/>
              </w:rPr>
              <w:t xml:space="preserve"> in </w:t>
            </w:r>
            <w:r w:rsidRPr="003B2277">
              <w:rPr>
                <w:rFonts w:eastAsia="Calibri" w:cs="Mangal"/>
                <w:b/>
                <w:i/>
                <w:lang w:eastAsia="en-US"/>
              </w:rPr>
              <w:t>prvič</w:t>
            </w:r>
            <w:r w:rsidRPr="003B2277">
              <w:rPr>
                <w:rFonts w:eastAsia="Calibri" w:cs="Mangal"/>
                <w:lang w:eastAsia="en-US"/>
              </w:rPr>
              <w:t xml:space="preserve"> do </w:t>
            </w:r>
            <w:r w:rsidRPr="003B2277">
              <w:rPr>
                <w:rFonts w:eastAsia="Calibri" w:cs="Mangal"/>
                <w:b/>
                <w:i/>
                <w:lang w:eastAsia="en-US"/>
              </w:rPr>
              <w:t>30</w:t>
            </w:r>
            <w:r w:rsidRPr="003B2277">
              <w:rPr>
                <w:rFonts w:eastAsia="Calibri" w:cs="Mangal"/>
                <w:lang w:eastAsia="en-US"/>
              </w:rPr>
              <w:t xml:space="preserve">. </w:t>
            </w:r>
            <w:r w:rsidRPr="003B2277">
              <w:rPr>
                <w:rFonts w:eastAsia="Calibri" w:cs="Mangal"/>
                <w:b/>
                <w:i/>
                <w:lang w:eastAsia="en-US"/>
              </w:rPr>
              <w:t>junija 2022</w:t>
            </w:r>
            <w:r w:rsidRPr="003B2277">
              <w:rPr>
                <w:rFonts w:eastAsia="Calibri" w:cs="Mangal"/>
                <w:lang w:eastAsia="en-US"/>
              </w:rPr>
              <w:t xml:space="preserve"> o razvoju razmer na trgu v sektorju mleka in mlečnih proizvodov ter zlasti o izvajanju členov 148 do 151, člena </w:t>
            </w:r>
            <w:r w:rsidRPr="003B2277">
              <w:rPr>
                <w:rFonts w:eastAsia="Calibri" w:cs="Mangal"/>
                <w:b/>
                <w:i/>
                <w:lang w:eastAsia="en-US"/>
              </w:rPr>
              <w:t>161</w:t>
            </w:r>
            <w:r w:rsidRPr="003B2277">
              <w:rPr>
                <w:rFonts w:eastAsia="Calibri" w:cs="Mangal"/>
                <w:lang w:eastAsia="en-US"/>
              </w:rPr>
              <w:t xml:space="preserve"> in člena 157, pri čemer se zlasti ocenijo učinki na proizvajalce mleka in proizvodnjo mleka v regijah z omejenimi možnostmi v povezavi s splošnim ciljem ohranjanja proizvodnje v takih regijah, in navedejo morebitne spodbude za kmete, da sklenejo sporazume o skupni proizvodnji; poročilu se priložijo ustrezni predlogi;</w:t>
            </w:r>
          </w:p>
        </w:tc>
      </w:tr>
      <w:tr w:rsidR="006F5BFE" w:rsidRPr="003B2277" w14:paraId="48104953" w14:textId="77777777" w:rsidTr="005B4D60">
        <w:trPr>
          <w:jc w:val="center"/>
        </w:trPr>
        <w:tc>
          <w:tcPr>
            <w:tcW w:w="4876" w:type="dxa"/>
          </w:tcPr>
          <w:p w14:paraId="757A256B" w14:textId="77777777" w:rsidR="006F5BFE" w:rsidRPr="003B2277" w:rsidRDefault="006F5BFE" w:rsidP="005B4D60">
            <w:pPr>
              <w:spacing w:after="120"/>
              <w:rPr>
                <w:lang w:eastAsia="en-US"/>
              </w:rPr>
            </w:pPr>
            <w:r w:rsidRPr="003B2277">
              <w:rPr>
                <w:rFonts w:eastAsia="Calibri" w:cs="Mangal"/>
                <w:b/>
                <w:i/>
                <w:lang w:eastAsia="en-US"/>
              </w:rPr>
              <w:t>(c) do 31. decembra 2014 o možnosti razširitve šolskih shem na oljčno olje in namizne oljke;</w:t>
            </w:r>
          </w:p>
        </w:tc>
        <w:tc>
          <w:tcPr>
            <w:tcW w:w="4876" w:type="dxa"/>
          </w:tcPr>
          <w:p w14:paraId="69FA72BA" w14:textId="77777777" w:rsidR="006F5BFE" w:rsidRPr="003B2277" w:rsidRDefault="006F5BFE" w:rsidP="005B4D60">
            <w:pPr>
              <w:spacing w:after="120"/>
              <w:rPr>
                <w:b/>
                <w:i/>
              </w:rPr>
            </w:pPr>
          </w:p>
        </w:tc>
      </w:tr>
      <w:tr w:rsidR="006F5BFE" w:rsidRPr="003B2277" w14:paraId="7A897B3F" w14:textId="77777777" w:rsidTr="005B4D60">
        <w:trPr>
          <w:jc w:val="center"/>
        </w:trPr>
        <w:tc>
          <w:tcPr>
            <w:tcW w:w="4876" w:type="dxa"/>
            <w:hideMark/>
          </w:tcPr>
          <w:p w14:paraId="33D9C361" w14:textId="77777777" w:rsidR="006F5BFE" w:rsidRPr="003B2277" w:rsidRDefault="006F5BFE" w:rsidP="005B4D60">
            <w:pPr>
              <w:spacing w:after="120"/>
              <w:rPr>
                <w:lang w:eastAsia="en-US"/>
              </w:rPr>
            </w:pPr>
            <w:r w:rsidRPr="003B2277">
              <w:rPr>
                <w:rFonts w:eastAsia="Calibri" w:cs="Mangal"/>
                <w:lang w:eastAsia="en-US"/>
              </w:rPr>
              <w:t xml:space="preserve">(d) do 31. decembra </w:t>
            </w:r>
            <w:r w:rsidRPr="003B2277">
              <w:rPr>
                <w:rFonts w:eastAsia="Calibri" w:cs="Mangal"/>
                <w:b/>
                <w:i/>
                <w:lang w:eastAsia="en-US"/>
              </w:rPr>
              <w:t>2017</w:t>
            </w:r>
            <w:r w:rsidRPr="003B2277">
              <w:rPr>
                <w:rFonts w:eastAsia="Calibri" w:cs="Mangal"/>
                <w:lang w:eastAsia="en-US"/>
              </w:rPr>
              <w:t xml:space="preserve"> o uporabi pravil konkurence v kmetijskem sektorju v vseh državah članicah, zlasti o izvajanju členov 209 in 210 ter </w:t>
            </w:r>
            <w:r w:rsidRPr="003B2277">
              <w:rPr>
                <w:rFonts w:eastAsia="Calibri" w:cs="Mangal"/>
                <w:b/>
                <w:i/>
                <w:lang w:eastAsia="en-US"/>
              </w:rPr>
              <w:t>členov 169, 170 in 171 v zadevnih sektorjih</w:t>
            </w:r>
            <w:r w:rsidRPr="003B2277">
              <w:rPr>
                <w:rFonts w:eastAsia="Calibri" w:cs="Mangal"/>
                <w:lang w:eastAsia="en-US"/>
              </w:rPr>
              <w:t>;</w:t>
            </w:r>
          </w:p>
        </w:tc>
        <w:tc>
          <w:tcPr>
            <w:tcW w:w="4876" w:type="dxa"/>
            <w:hideMark/>
          </w:tcPr>
          <w:p w14:paraId="44292BFE" w14:textId="77777777" w:rsidR="006F5BFE" w:rsidRPr="003B2277" w:rsidRDefault="006F5BFE" w:rsidP="005B4D60">
            <w:pPr>
              <w:spacing w:after="120"/>
              <w:rPr>
                <w:szCs w:val="24"/>
                <w:lang w:eastAsia="en-US"/>
              </w:rPr>
            </w:pPr>
            <w:r w:rsidRPr="003B2277">
              <w:rPr>
                <w:rFonts w:eastAsia="Calibri" w:cs="Mangal"/>
                <w:lang w:eastAsia="en-US"/>
              </w:rPr>
              <w:t xml:space="preserve">(d) do 31. decembra </w:t>
            </w:r>
            <w:r w:rsidRPr="003B2277">
              <w:rPr>
                <w:rFonts w:eastAsia="Calibri" w:cs="Mangal"/>
                <w:b/>
                <w:i/>
                <w:lang w:eastAsia="en-US"/>
              </w:rPr>
              <w:t>2021 in nato vsaka tri leta</w:t>
            </w:r>
            <w:r w:rsidRPr="003B2277">
              <w:rPr>
                <w:rFonts w:eastAsia="Calibri" w:cs="Mangal"/>
                <w:lang w:eastAsia="en-US"/>
              </w:rPr>
              <w:t xml:space="preserve"> o uporabi pravil konkurence v kmetijskem sektorju v vseh državah članicah, zlasti o izvajanju členov 209 in 210 ter </w:t>
            </w:r>
            <w:r w:rsidRPr="003B2277">
              <w:rPr>
                <w:rFonts w:eastAsia="Calibri" w:cs="Mangal"/>
                <w:b/>
                <w:i/>
                <w:lang w:eastAsia="en-US"/>
              </w:rPr>
              <w:t>člena 152</w:t>
            </w:r>
            <w:r w:rsidRPr="003B2277">
              <w:rPr>
                <w:rFonts w:eastAsia="Calibri" w:cs="Mangal"/>
                <w:lang w:eastAsia="en-US"/>
              </w:rPr>
              <w:t>;</w:t>
            </w:r>
          </w:p>
        </w:tc>
      </w:tr>
      <w:tr w:rsidR="006F5BFE" w:rsidRPr="003B2277" w14:paraId="2ABF7B87" w14:textId="77777777" w:rsidTr="005B4D60">
        <w:trPr>
          <w:jc w:val="center"/>
        </w:trPr>
        <w:tc>
          <w:tcPr>
            <w:tcW w:w="4876" w:type="dxa"/>
            <w:hideMark/>
          </w:tcPr>
          <w:p w14:paraId="074A2723" w14:textId="77777777" w:rsidR="006F5BFE" w:rsidRPr="003B2277" w:rsidRDefault="006F5BFE" w:rsidP="005B4D60">
            <w:pPr>
              <w:spacing w:after="120"/>
            </w:pPr>
          </w:p>
        </w:tc>
        <w:tc>
          <w:tcPr>
            <w:tcW w:w="4876" w:type="dxa"/>
            <w:hideMark/>
          </w:tcPr>
          <w:p w14:paraId="42CC17F2" w14:textId="77777777" w:rsidR="006F5BFE" w:rsidRPr="003B2277" w:rsidRDefault="006F5BFE" w:rsidP="005B4D60">
            <w:pPr>
              <w:spacing w:after="120"/>
              <w:rPr>
                <w:szCs w:val="24"/>
                <w:lang w:eastAsia="en-US"/>
              </w:rPr>
            </w:pPr>
            <w:r w:rsidRPr="003B2277">
              <w:rPr>
                <w:rFonts w:eastAsia="Calibri" w:cs="Mangal"/>
                <w:b/>
                <w:i/>
                <w:lang w:eastAsia="en-US"/>
              </w:rPr>
              <w:t>(da) do 30. junija 2021 o strategiji Komisije za učinkovito uporabo določb uredbe za preprečevanje in obvladovanje kriz na notranjih kmetijskih trgih, do katerih bi lahko prišlo zaradi izstopa Združenega kraljestva iz Unije;</w:t>
            </w:r>
          </w:p>
        </w:tc>
      </w:tr>
      <w:tr w:rsidR="006F5BFE" w:rsidRPr="003B2277" w14:paraId="4F5BF6DF" w14:textId="77777777" w:rsidTr="005B4D60">
        <w:trPr>
          <w:jc w:val="center"/>
        </w:trPr>
        <w:tc>
          <w:tcPr>
            <w:tcW w:w="4876" w:type="dxa"/>
          </w:tcPr>
          <w:p w14:paraId="0EF2B101" w14:textId="77777777" w:rsidR="006F5BFE" w:rsidRPr="003B2277" w:rsidRDefault="006F5BFE" w:rsidP="005B4D60">
            <w:pPr>
              <w:spacing w:after="120"/>
            </w:pPr>
          </w:p>
        </w:tc>
        <w:tc>
          <w:tcPr>
            <w:tcW w:w="4876" w:type="dxa"/>
            <w:hideMark/>
          </w:tcPr>
          <w:p w14:paraId="0F7D275E" w14:textId="77777777" w:rsidR="006F5BFE" w:rsidRPr="003B2277" w:rsidRDefault="006F5BFE" w:rsidP="005B4D60">
            <w:pPr>
              <w:spacing w:after="120"/>
              <w:rPr>
                <w:szCs w:val="24"/>
                <w:lang w:eastAsia="en-US"/>
              </w:rPr>
            </w:pPr>
            <w:r w:rsidRPr="003B2277">
              <w:rPr>
                <w:rFonts w:eastAsia="Calibri" w:cs="Mangal"/>
                <w:b/>
                <w:i/>
                <w:lang w:eastAsia="en-US"/>
              </w:rPr>
              <w:t>(db) do 31. decembra 2021 o opazovalnicah trgov, vzpostavljenih v skladu s členom 218a, in odzivih Komisije na njihova obvestila ter uporabi orodij za obvladovanje kriz, zlasti v skladu s členi 219, 219a, 219b, 220, 221 in 222;</w:t>
            </w:r>
          </w:p>
        </w:tc>
      </w:tr>
      <w:tr w:rsidR="006F5BFE" w:rsidRPr="003B2277" w14:paraId="3CE768CF" w14:textId="77777777" w:rsidTr="005B4D60">
        <w:trPr>
          <w:jc w:val="center"/>
        </w:trPr>
        <w:tc>
          <w:tcPr>
            <w:tcW w:w="4876" w:type="dxa"/>
          </w:tcPr>
          <w:p w14:paraId="161AABEC" w14:textId="77777777" w:rsidR="006F5BFE" w:rsidRPr="003B2277" w:rsidRDefault="006F5BFE" w:rsidP="005B4D60">
            <w:pPr>
              <w:spacing w:after="120"/>
            </w:pPr>
          </w:p>
        </w:tc>
        <w:tc>
          <w:tcPr>
            <w:tcW w:w="4876" w:type="dxa"/>
            <w:hideMark/>
          </w:tcPr>
          <w:p w14:paraId="18422739" w14:textId="77777777" w:rsidR="006F5BFE" w:rsidRPr="003B2277" w:rsidRDefault="006F5BFE" w:rsidP="005B4D60">
            <w:pPr>
              <w:spacing w:after="120"/>
              <w:rPr>
                <w:szCs w:val="24"/>
                <w:lang w:eastAsia="en-US"/>
              </w:rPr>
            </w:pPr>
            <w:r w:rsidRPr="003B2277">
              <w:rPr>
                <w:rFonts w:eastAsia="Calibri" w:cs="Mangal"/>
                <w:b/>
                <w:i/>
                <w:lang w:eastAsia="en-US"/>
              </w:rPr>
              <w:t>(dc) do 31. decembra 2021 o potencialu novih informacijskih in komunikacijskih tehnologij za posodobitev odnosov Komisije z nacionalnimi organi in podjetji, zlasti da bi se zagotovila večja preglednost trgov;</w:t>
            </w:r>
          </w:p>
        </w:tc>
      </w:tr>
      <w:tr w:rsidR="006F5BFE" w:rsidRPr="003B2277" w14:paraId="261E7082" w14:textId="77777777" w:rsidTr="005B4D60">
        <w:trPr>
          <w:jc w:val="center"/>
        </w:trPr>
        <w:tc>
          <w:tcPr>
            <w:tcW w:w="4876" w:type="dxa"/>
          </w:tcPr>
          <w:p w14:paraId="14ACA265" w14:textId="77777777" w:rsidR="006F5BFE" w:rsidRPr="003B2277" w:rsidRDefault="006F5BFE" w:rsidP="005B4D60">
            <w:pPr>
              <w:spacing w:after="120"/>
              <w:rPr>
                <w:lang w:eastAsia="en-US"/>
              </w:rPr>
            </w:pPr>
            <w:r w:rsidRPr="003B2277">
              <w:rPr>
                <w:rFonts w:eastAsia="Calibri" w:cs="Mangal"/>
                <w:lang w:eastAsia="en-US"/>
              </w:rPr>
              <w:t>(e) do 31. julija 2023 o uporabi meril za dodelitev iz člena 23a(2);</w:t>
            </w:r>
          </w:p>
        </w:tc>
        <w:tc>
          <w:tcPr>
            <w:tcW w:w="4876" w:type="dxa"/>
          </w:tcPr>
          <w:p w14:paraId="3DDEC453" w14:textId="77777777" w:rsidR="006F5BFE" w:rsidRPr="003B2277" w:rsidRDefault="006F5BFE" w:rsidP="005B4D60">
            <w:pPr>
              <w:spacing w:after="120"/>
              <w:rPr>
                <w:lang w:eastAsia="en-US"/>
              </w:rPr>
            </w:pPr>
            <w:r w:rsidRPr="003B2277">
              <w:rPr>
                <w:rFonts w:eastAsia="Calibri" w:cs="Mangal"/>
                <w:lang w:eastAsia="en-US"/>
              </w:rPr>
              <w:t>(e) do 31. julija 2023 o uporabi meril za dodelitev iz člena 23a(2);</w:t>
            </w:r>
          </w:p>
        </w:tc>
      </w:tr>
      <w:tr w:rsidR="006F5BFE" w:rsidRPr="003B2277" w14:paraId="55E5BD23" w14:textId="77777777" w:rsidTr="005B4D60">
        <w:trPr>
          <w:jc w:val="center"/>
        </w:trPr>
        <w:tc>
          <w:tcPr>
            <w:tcW w:w="4876" w:type="dxa"/>
            <w:hideMark/>
          </w:tcPr>
          <w:p w14:paraId="78CEE239" w14:textId="77777777" w:rsidR="006F5BFE" w:rsidRPr="003B2277" w:rsidRDefault="006F5BFE" w:rsidP="005B4D60">
            <w:pPr>
              <w:spacing w:after="120"/>
              <w:rPr>
                <w:lang w:eastAsia="en-US"/>
              </w:rPr>
            </w:pPr>
            <w:r w:rsidRPr="003B2277">
              <w:rPr>
                <w:rFonts w:eastAsia="Calibri" w:cs="Mangal"/>
                <w:lang w:eastAsia="en-US"/>
              </w:rPr>
              <w:t>(f) do 31. julija 2023 o učinku prenosov iz člena 23a(4) na učinkovitost šolske sheme v zvezi z razdeljevanjem šolskega sadja in zelenjave ter šolskega mleka.</w:t>
            </w:r>
          </w:p>
        </w:tc>
        <w:tc>
          <w:tcPr>
            <w:tcW w:w="4876" w:type="dxa"/>
            <w:hideMark/>
          </w:tcPr>
          <w:p w14:paraId="33C98AFC" w14:textId="18216EA9" w:rsidR="006F5BFE" w:rsidRPr="003B2277" w:rsidRDefault="006F5BFE" w:rsidP="005B4D60">
            <w:pPr>
              <w:spacing w:after="120"/>
              <w:rPr>
                <w:szCs w:val="24"/>
                <w:lang w:eastAsia="en-US"/>
              </w:rPr>
            </w:pPr>
            <w:r w:rsidRPr="003B2277">
              <w:rPr>
                <w:rFonts w:eastAsia="Calibri" w:cs="Mangal"/>
                <w:lang w:eastAsia="en-US"/>
              </w:rPr>
              <w:t>(f) do 31. julija 2023 o učinku prenosov iz člena 23a(4) na učinkovitost šolske sheme v zvezi z razdeljevanjem šolskega sadja in zelenjave ter šolskega mleka.</w:t>
            </w:r>
            <w:r w:rsidRPr="003B2277">
              <w:rPr>
                <w:rFonts w:eastAsia="Calibri" w:cs="Mangal"/>
                <w:b/>
                <w:i/>
                <w:lang w:eastAsia="en-US"/>
              </w:rPr>
              <w:t>“</w:t>
            </w:r>
          </w:p>
        </w:tc>
      </w:tr>
    </w:tbl>
    <w:p w14:paraId="33207FE3" w14:textId="77777777" w:rsidR="006F5BFE" w:rsidRPr="003B2277" w:rsidRDefault="006F5BFE" w:rsidP="006F5BFE">
      <w:pPr>
        <w:rPr>
          <w:lang w:eastAsia="en-US"/>
        </w:rPr>
      </w:pPr>
    </w:p>
    <w:p w14:paraId="00D6EA74" w14:textId="59E12DAC"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157</w:t>
      </w:r>
    </w:p>
    <w:p w14:paraId="4FED2674" w14:textId="77777777" w:rsidR="006F5BFE" w:rsidRPr="003B2277" w:rsidRDefault="006F5BFE" w:rsidP="006F5BFE"/>
    <w:p w14:paraId="57E90077" w14:textId="77777777" w:rsidR="006F5BFE" w:rsidRPr="003B2277" w:rsidRDefault="006F5BFE" w:rsidP="006F5BFE">
      <w:pPr>
        <w:keepNext/>
        <w:rPr>
          <w:b/>
          <w:lang w:eastAsia="en-US"/>
        </w:rPr>
      </w:pPr>
      <w:r w:rsidRPr="003B2277">
        <w:rPr>
          <w:rFonts w:eastAsia="Calibri" w:cs="Mangal"/>
          <w:b/>
          <w:lang w:eastAsia="en-US"/>
        </w:rPr>
        <w:t>Predlog uredbe</w:t>
      </w:r>
    </w:p>
    <w:p w14:paraId="20C3AFBF" w14:textId="77777777" w:rsidR="006F5BFE" w:rsidRPr="003B2277" w:rsidRDefault="006F5BFE" w:rsidP="006F5BFE">
      <w:pPr>
        <w:rPr>
          <w:b/>
          <w:lang w:eastAsia="en-US"/>
        </w:rPr>
      </w:pPr>
      <w:r w:rsidRPr="003B2277">
        <w:rPr>
          <w:rFonts w:eastAsia="Calibri" w:cs="Mangal"/>
          <w:b/>
          <w:lang w:eastAsia="en-US"/>
        </w:rPr>
        <w:t>Člen 1 – odstavek 1 – točka 28 a (novo)</w:t>
      </w:r>
    </w:p>
    <w:p w14:paraId="0E39F60D" w14:textId="77777777" w:rsidR="006F5BFE" w:rsidRPr="003B2277" w:rsidRDefault="006F5BFE" w:rsidP="006F5BFE">
      <w:pPr>
        <w:keepNext/>
        <w:rPr>
          <w:lang w:eastAsia="en-US"/>
        </w:rPr>
      </w:pPr>
      <w:r w:rsidRPr="003B2277">
        <w:rPr>
          <w:rFonts w:eastAsia="Calibri" w:cs="Mangal"/>
          <w:lang w:eastAsia="en-US"/>
        </w:rPr>
        <w:t>Uredba (EU) št. 1308/2013</w:t>
      </w:r>
    </w:p>
    <w:p w14:paraId="60A10505" w14:textId="559F1A64" w:rsidR="006F5BFE" w:rsidRPr="003B2277" w:rsidRDefault="006F5BFE" w:rsidP="006F5BFE">
      <w:pPr>
        <w:rPr>
          <w:lang w:eastAsia="en-US"/>
        </w:rPr>
      </w:pPr>
      <w:r w:rsidRPr="003B2277">
        <w:rPr>
          <w:rFonts w:eastAsia="Calibri" w:cs="Mangal"/>
          <w:lang w:eastAsia="en-US"/>
        </w:rPr>
        <w:t xml:space="preserve">Priloga I – del IX – tabela </w:t>
      </w:r>
      <w:r w:rsidR="00B73FD4" w:rsidRPr="003B2277">
        <w:rPr>
          <w:rFonts w:eastAsia="Calibri" w:cs="Mangal"/>
          <w:lang w:eastAsia="en-US"/>
        </w:rPr>
        <w:t xml:space="preserve">1 </w:t>
      </w:r>
      <w:r w:rsidRPr="003B2277">
        <w:rPr>
          <w:rFonts w:eastAsia="Calibri" w:cs="Mangal"/>
          <w:lang w:eastAsia="en-US"/>
        </w:rPr>
        <w:t>– vrstica 9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26E0CB6" w14:textId="77777777" w:rsidTr="005B4D60">
        <w:trPr>
          <w:jc w:val="center"/>
        </w:trPr>
        <w:tc>
          <w:tcPr>
            <w:tcW w:w="9752" w:type="dxa"/>
            <w:gridSpan w:val="2"/>
          </w:tcPr>
          <w:p w14:paraId="1C4A88C7" w14:textId="77777777" w:rsidR="006F5BFE" w:rsidRPr="003B2277" w:rsidRDefault="006F5BFE" w:rsidP="005B4D60">
            <w:pPr>
              <w:keepNext/>
            </w:pPr>
          </w:p>
        </w:tc>
      </w:tr>
      <w:tr w:rsidR="006F5BFE" w:rsidRPr="003B2277" w14:paraId="7B940C0F" w14:textId="77777777" w:rsidTr="005B4D60">
        <w:trPr>
          <w:jc w:val="center"/>
        </w:trPr>
        <w:tc>
          <w:tcPr>
            <w:tcW w:w="4876" w:type="dxa"/>
            <w:hideMark/>
          </w:tcPr>
          <w:p w14:paraId="02EA9AD5"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7D428277" w14:textId="2EA20F5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0ED6DE9" w14:textId="77777777" w:rsidTr="005B4D60">
        <w:trPr>
          <w:jc w:val="center"/>
        </w:trPr>
        <w:tc>
          <w:tcPr>
            <w:tcW w:w="4876" w:type="dxa"/>
          </w:tcPr>
          <w:p w14:paraId="799FA3E4" w14:textId="77777777" w:rsidR="006F5BFE" w:rsidRPr="003B2277" w:rsidRDefault="006F5BFE" w:rsidP="005B4D60">
            <w:pPr>
              <w:spacing w:after="120"/>
            </w:pPr>
          </w:p>
        </w:tc>
        <w:tc>
          <w:tcPr>
            <w:tcW w:w="4876" w:type="dxa"/>
            <w:hideMark/>
          </w:tcPr>
          <w:p w14:paraId="7C5F592F" w14:textId="2E19B3E3" w:rsidR="006F5BFE" w:rsidRPr="003B2277" w:rsidRDefault="006F5BFE" w:rsidP="00B73FD4">
            <w:pPr>
              <w:spacing w:after="120"/>
              <w:rPr>
                <w:szCs w:val="24"/>
                <w:lang w:eastAsia="en-US"/>
              </w:rPr>
            </w:pPr>
            <w:r w:rsidRPr="003B2277">
              <w:rPr>
                <w:rFonts w:eastAsia="Calibri" w:cs="Mangal"/>
                <w:b/>
                <w:i/>
                <w:lang w:eastAsia="en-US"/>
              </w:rPr>
              <w:t>(28a)</w:t>
            </w:r>
            <w:r w:rsidRPr="003B2277">
              <w:rPr>
                <w:rFonts w:eastAsia="Calibri" w:cs="Mangal"/>
                <w:b/>
                <w:i/>
                <w:lang w:eastAsia="en-US"/>
              </w:rPr>
              <w:tab/>
              <w:t xml:space="preserve">v delu IX Priloge I </w:t>
            </w:r>
            <w:r w:rsidR="00B73FD4" w:rsidRPr="003B2277">
              <w:rPr>
                <w:rFonts w:eastAsia="Calibri" w:cs="Mangal"/>
                <w:b/>
                <w:i/>
                <w:lang w:eastAsia="en-US"/>
              </w:rPr>
              <w:t xml:space="preserve">se </w:t>
            </w:r>
            <w:r w:rsidRPr="003B2277">
              <w:rPr>
                <w:rFonts w:eastAsia="Calibri" w:cs="Mangal"/>
                <w:b/>
                <w:i/>
                <w:lang w:eastAsia="en-US"/>
              </w:rPr>
              <w:t xml:space="preserve">v tabelo </w:t>
            </w:r>
            <w:r w:rsidR="00B73FD4" w:rsidRPr="003B2277">
              <w:rPr>
                <w:rFonts w:eastAsia="Calibri" w:cs="Mangal"/>
                <w:b/>
                <w:i/>
                <w:lang w:eastAsia="en-US"/>
              </w:rPr>
              <w:t xml:space="preserve">vstavi </w:t>
            </w:r>
            <w:r w:rsidRPr="003B2277">
              <w:rPr>
                <w:rFonts w:eastAsia="Calibri" w:cs="Mangal"/>
                <w:b/>
                <w:i/>
                <w:lang w:eastAsia="en-US"/>
              </w:rPr>
              <w:t>nova vrstica za vrstico „ex 07 09“:</w:t>
            </w:r>
          </w:p>
        </w:tc>
      </w:tr>
      <w:tr w:rsidR="006F5BFE" w:rsidRPr="003B2277" w14:paraId="7316E3A6" w14:textId="77777777" w:rsidTr="005B4D60">
        <w:trPr>
          <w:jc w:val="center"/>
        </w:trPr>
        <w:tc>
          <w:tcPr>
            <w:tcW w:w="4876" w:type="dxa"/>
          </w:tcPr>
          <w:p w14:paraId="5F9E7E00" w14:textId="77777777" w:rsidR="006F5BFE" w:rsidRPr="003B2277" w:rsidRDefault="006F5BFE" w:rsidP="005B4D60">
            <w:pPr>
              <w:spacing w:after="120"/>
            </w:pPr>
          </w:p>
        </w:tc>
        <w:tc>
          <w:tcPr>
            <w:tcW w:w="4876" w:type="dxa"/>
            <w:hideMark/>
          </w:tcPr>
          <w:p w14:paraId="5E54B7AA" w14:textId="77777777" w:rsidR="006F5BFE" w:rsidRPr="003B2277" w:rsidRDefault="006F5BFE" w:rsidP="005B4D60">
            <w:pPr>
              <w:spacing w:after="120"/>
              <w:rPr>
                <w:szCs w:val="24"/>
                <w:lang w:eastAsia="en-US"/>
              </w:rPr>
            </w:pPr>
            <w:r w:rsidRPr="003B2277">
              <w:rPr>
                <w:rFonts w:eastAsia="Calibri" w:cs="Mangal"/>
                <w:b/>
                <w:i/>
                <w:lang w:eastAsia="en-US"/>
              </w:rPr>
              <w:t>„0709 60 99</w:t>
            </w:r>
          </w:p>
        </w:tc>
      </w:tr>
      <w:tr w:rsidR="006F5BFE" w:rsidRPr="003B2277" w14:paraId="79E8B56F" w14:textId="77777777" w:rsidTr="005B4D60">
        <w:trPr>
          <w:jc w:val="center"/>
        </w:trPr>
        <w:tc>
          <w:tcPr>
            <w:tcW w:w="4876" w:type="dxa"/>
          </w:tcPr>
          <w:p w14:paraId="502850EA" w14:textId="77777777" w:rsidR="006F5BFE" w:rsidRPr="003B2277" w:rsidRDefault="006F5BFE" w:rsidP="005B4D60">
            <w:pPr>
              <w:spacing w:after="120"/>
            </w:pPr>
          </w:p>
        </w:tc>
        <w:tc>
          <w:tcPr>
            <w:tcW w:w="4876" w:type="dxa"/>
            <w:hideMark/>
          </w:tcPr>
          <w:p w14:paraId="35B4F35B" w14:textId="77777777" w:rsidR="006F5BFE" w:rsidRPr="003B2277" w:rsidRDefault="006F5BFE" w:rsidP="005B4D60">
            <w:pPr>
              <w:spacing w:after="120"/>
              <w:rPr>
                <w:szCs w:val="24"/>
                <w:lang w:eastAsia="en-US"/>
              </w:rPr>
            </w:pPr>
            <w:r w:rsidRPr="003B2277">
              <w:rPr>
                <w:rFonts w:eastAsia="Calibri" w:cs="Mangal"/>
                <w:b/>
                <w:i/>
                <w:lang w:eastAsia="en-US"/>
              </w:rPr>
              <w:t>Druga paprika (pekoča paprika – nepekoča paprika)“</w:t>
            </w:r>
          </w:p>
        </w:tc>
      </w:tr>
    </w:tbl>
    <w:p w14:paraId="6F85592F" w14:textId="77777777" w:rsidR="006F5BFE" w:rsidRPr="003B2277" w:rsidRDefault="006F5BFE" w:rsidP="006F5BFE">
      <w:pPr>
        <w:rPr>
          <w:lang w:eastAsia="en-US"/>
        </w:rPr>
      </w:pPr>
    </w:p>
    <w:p w14:paraId="0438D39A" w14:textId="5ECAE953" w:rsidR="00D056A8" w:rsidRDefault="00D056A8"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4A206ED2" w14:textId="33939F52" w:rsidR="00D056A8" w:rsidRPr="00954A65" w:rsidRDefault="008C7773" w:rsidP="00D056A8">
      <w:pPr>
        <w:pStyle w:val="AmNumberTabs0"/>
      </w:pPr>
      <w:r>
        <w:t>Sprememba</w:t>
      </w:r>
      <w:r w:rsidR="00D056A8" w:rsidRPr="00954A65">
        <w:tab/>
      </w:r>
      <w:r w:rsidR="00D056A8" w:rsidRPr="00954A65">
        <w:tab/>
        <w:t>250</w:t>
      </w:r>
    </w:p>
    <w:p w14:paraId="59484188" w14:textId="77777777" w:rsidR="00D056A8" w:rsidRPr="00954A65" w:rsidRDefault="00D056A8" w:rsidP="00D056A8">
      <w:pPr>
        <w:pStyle w:val="NormalBold12b"/>
      </w:pPr>
      <w:r w:rsidRPr="00954A65">
        <w:t>Predlog uredbe</w:t>
      </w:r>
    </w:p>
    <w:p w14:paraId="4406F70A" w14:textId="77777777" w:rsidR="00D056A8" w:rsidRPr="00954A65" w:rsidRDefault="00D056A8" w:rsidP="00D056A8">
      <w:pPr>
        <w:pStyle w:val="NormalBold"/>
      </w:pPr>
      <w:r w:rsidRPr="00954A65">
        <w:t>Člen 1 – odstavek 1 – točka 28 a (novo)</w:t>
      </w:r>
    </w:p>
    <w:p w14:paraId="5A402568" w14:textId="77777777" w:rsidR="00D056A8" w:rsidRPr="00954A65" w:rsidRDefault="00D056A8" w:rsidP="00D056A8">
      <w:r w:rsidRPr="00954A65">
        <w:t>Uredba (EU) št. 1308/2013</w:t>
      </w:r>
    </w:p>
    <w:p w14:paraId="69E7DA66" w14:textId="77777777" w:rsidR="00D056A8" w:rsidRPr="00954A65" w:rsidRDefault="00D056A8" w:rsidP="00D056A8">
      <w:r w:rsidRPr="00954A65">
        <w:t>Priloga I – del XXXIII a (novo)</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056A8" w:rsidRPr="00954A65" w14:paraId="1E85F7CA" w14:textId="77777777" w:rsidTr="00D056A8">
        <w:trPr>
          <w:jc w:val="center"/>
        </w:trPr>
        <w:tc>
          <w:tcPr>
            <w:tcW w:w="9752" w:type="dxa"/>
            <w:gridSpan w:val="2"/>
          </w:tcPr>
          <w:p w14:paraId="7EB2702A" w14:textId="77777777" w:rsidR="00D056A8" w:rsidRPr="00954A65" w:rsidRDefault="00D056A8" w:rsidP="00D056A8">
            <w:pPr>
              <w:keepNext/>
            </w:pPr>
          </w:p>
        </w:tc>
      </w:tr>
      <w:tr w:rsidR="00D056A8" w:rsidRPr="00954A65" w14:paraId="2072CEC1" w14:textId="77777777" w:rsidTr="00D056A8">
        <w:trPr>
          <w:jc w:val="center"/>
        </w:trPr>
        <w:tc>
          <w:tcPr>
            <w:tcW w:w="4876" w:type="dxa"/>
          </w:tcPr>
          <w:p w14:paraId="147FD607" w14:textId="77777777" w:rsidR="00D056A8" w:rsidRPr="00954A65" w:rsidRDefault="00D056A8" w:rsidP="00D056A8">
            <w:pPr>
              <w:pStyle w:val="AmColumnHeading"/>
              <w:keepNext/>
            </w:pPr>
            <w:r w:rsidRPr="00954A65">
              <w:t>Besedilo, ki ga predlaga Komisija</w:t>
            </w:r>
          </w:p>
        </w:tc>
        <w:tc>
          <w:tcPr>
            <w:tcW w:w="4876" w:type="dxa"/>
          </w:tcPr>
          <w:p w14:paraId="074295A0" w14:textId="4753E7BC" w:rsidR="00D056A8" w:rsidRPr="00954A65" w:rsidRDefault="008C7773" w:rsidP="00D056A8">
            <w:pPr>
              <w:pStyle w:val="AmColumnHeading"/>
              <w:keepNext/>
            </w:pPr>
            <w:r>
              <w:t>Sprememba</w:t>
            </w:r>
          </w:p>
        </w:tc>
      </w:tr>
      <w:tr w:rsidR="00D056A8" w:rsidRPr="00954A65" w14:paraId="315A3517" w14:textId="77777777" w:rsidTr="00D056A8">
        <w:trPr>
          <w:jc w:val="center"/>
        </w:trPr>
        <w:tc>
          <w:tcPr>
            <w:tcW w:w="4876" w:type="dxa"/>
          </w:tcPr>
          <w:p w14:paraId="6F727B5B" w14:textId="77777777" w:rsidR="00D056A8" w:rsidRPr="00954A65" w:rsidRDefault="00D056A8" w:rsidP="00D056A8">
            <w:pPr>
              <w:pStyle w:val="Normal6a"/>
            </w:pPr>
          </w:p>
        </w:tc>
        <w:tc>
          <w:tcPr>
            <w:tcW w:w="4876" w:type="dxa"/>
          </w:tcPr>
          <w:p w14:paraId="15F34992" w14:textId="77777777" w:rsidR="00D056A8" w:rsidRPr="00954A65" w:rsidRDefault="00D056A8" w:rsidP="00D056A8">
            <w:pPr>
              <w:pStyle w:val="Normal6"/>
              <w:rPr>
                <w:szCs w:val="24"/>
              </w:rPr>
            </w:pPr>
            <w:r w:rsidRPr="00954A65">
              <w:rPr>
                <w:b/>
                <w:i/>
              </w:rPr>
              <w:t>(28a)</w:t>
            </w:r>
            <w:r w:rsidRPr="00954A65">
              <w:rPr>
                <w:b/>
                <w:i/>
              </w:rPr>
              <w:tab/>
              <w:t>v Prilogi I se vstavi naslednji del:</w:t>
            </w:r>
          </w:p>
        </w:tc>
      </w:tr>
      <w:tr w:rsidR="00D056A8" w:rsidRPr="00954A65" w14:paraId="265E25E0" w14:textId="77777777" w:rsidTr="00D056A8">
        <w:trPr>
          <w:jc w:val="center"/>
        </w:trPr>
        <w:tc>
          <w:tcPr>
            <w:tcW w:w="4876" w:type="dxa"/>
          </w:tcPr>
          <w:p w14:paraId="6CB37F08" w14:textId="77777777" w:rsidR="00D056A8" w:rsidRPr="00954A65" w:rsidRDefault="00D056A8" w:rsidP="00D056A8">
            <w:pPr>
              <w:pStyle w:val="Normal6a"/>
            </w:pPr>
          </w:p>
        </w:tc>
        <w:tc>
          <w:tcPr>
            <w:tcW w:w="4876" w:type="dxa"/>
          </w:tcPr>
          <w:p w14:paraId="3D1D4147" w14:textId="77777777" w:rsidR="00D056A8" w:rsidRPr="00954A65" w:rsidRDefault="00D056A8" w:rsidP="00D056A8">
            <w:pPr>
              <w:pStyle w:val="Normal6"/>
              <w:rPr>
                <w:szCs w:val="24"/>
              </w:rPr>
            </w:pPr>
            <w:r w:rsidRPr="00954A65">
              <w:rPr>
                <w:b/>
                <w:i/>
              </w:rPr>
              <w:t>„DEL XXIIIa</w:t>
            </w:r>
          </w:p>
        </w:tc>
      </w:tr>
      <w:tr w:rsidR="00D056A8" w:rsidRPr="00954A65" w14:paraId="150F4F2F" w14:textId="77777777" w:rsidTr="00D056A8">
        <w:trPr>
          <w:jc w:val="center"/>
        </w:trPr>
        <w:tc>
          <w:tcPr>
            <w:tcW w:w="4876" w:type="dxa"/>
          </w:tcPr>
          <w:p w14:paraId="04DFB721" w14:textId="77777777" w:rsidR="00D056A8" w:rsidRPr="00954A65" w:rsidRDefault="00D056A8" w:rsidP="00D056A8">
            <w:pPr>
              <w:pStyle w:val="Normal6a"/>
            </w:pPr>
          </w:p>
        </w:tc>
        <w:tc>
          <w:tcPr>
            <w:tcW w:w="4876" w:type="dxa"/>
          </w:tcPr>
          <w:p w14:paraId="15811BAC" w14:textId="77777777" w:rsidR="00D056A8" w:rsidRPr="00954A65" w:rsidRDefault="00D056A8" w:rsidP="00D056A8">
            <w:pPr>
              <w:pStyle w:val="Normal6"/>
              <w:rPr>
                <w:szCs w:val="24"/>
              </w:rPr>
            </w:pPr>
            <w:r w:rsidRPr="00954A65">
              <w:rPr>
                <w:b/>
                <w:i/>
              </w:rPr>
              <w:t>Živalski genski proizvodi</w:t>
            </w:r>
          </w:p>
        </w:tc>
      </w:tr>
      <w:tr w:rsidR="00D056A8" w:rsidRPr="00954A65" w14:paraId="6CF9D93B" w14:textId="77777777" w:rsidTr="00D056A8">
        <w:trPr>
          <w:jc w:val="center"/>
        </w:trPr>
        <w:tc>
          <w:tcPr>
            <w:tcW w:w="4876" w:type="dxa"/>
          </w:tcPr>
          <w:p w14:paraId="075D6C4F" w14:textId="77777777" w:rsidR="00D056A8" w:rsidRPr="00954A65" w:rsidRDefault="00D056A8" w:rsidP="00D056A8">
            <w:pPr>
              <w:pStyle w:val="Normal6a"/>
            </w:pPr>
          </w:p>
        </w:tc>
        <w:tc>
          <w:tcPr>
            <w:tcW w:w="4876" w:type="dxa"/>
          </w:tcPr>
          <w:p w14:paraId="2610C8F3" w14:textId="77777777" w:rsidR="00D056A8" w:rsidRPr="00954A65" w:rsidRDefault="00D056A8" w:rsidP="00D056A8">
            <w:pPr>
              <w:pStyle w:val="Normal6"/>
              <w:rPr>
                <w:szCs w:val="24"/>
              </w:rPr>
            </w:pPr>
            <w:r w:rsidRPr="00954A65">
              <w:rPr>
                <w:b/>
                <w:i/>
              </w:rPr>
              <w:t>01012100 – Čistopasemski plemenski konji</w:t>
            </w:r>
          </w:p>
        </w:tc>
      </w:tr>
      <w:tr w:rsidR="00D056A8" w:rsidRPr="00954A65" w14:paraId="7D2714D4" w14:textId="77777777" w:rsidTr="00D056A8">
        <w:trPr>
          <w:jc w:val="center"/>
        </w:trPr>
        <w:tc>
          <w:tcPr>
            <w:tcW w:w="4876" w:type="dxa"/>
          </w:tcPr>
          <w:p w14:paraId="480FAD29" w14:textId="77777777" w:rsidR="00D056A8" w:rsidRPr="00954A65" w:rsidRDefault="00D056A8" w:rsidP="00D056A8">
            <w:pPr>
              <w:pStyle w:val="Normal6a"/>
            </w:pPr>
          </w:p>
        </w:tc>
        <w:tc>
          <w:tcPr>
            <w:tcW w:w="4876" w:type="dxa"/>
          </w:tcPr>
          <w:p w14:paraId="1C72DA22" w14:textId="77777777" w:rsidR="00D056A8" w:rsidRPr="00954A65" w:rsidRDefault="00D056A8" w:rsidP="00D056A8">
            <w:pPr>
              <w:pStyle w:val="Normal6"/>
              <w:rPr>
                <w:szCs w:val="24"/>
              </w:rPr>
            </w:pPr>
            <w:r w:rsidRPr="00954A65">
              <w:rPr>
                <w:b/>
                <w:i/>
              </w:rPr>
              <w:t>010221 – Čistopasemsko plemensko govedo</w:t>
            </w:r>
          </w:p>
        </w:tc>
      </w:tr>
      <w:tr w:rsidR="00D056A8" w:rsidRPr="00954A65" w14:paraId="5880DEDC" w14:textId="77777777" w:rsidTr="00D056A8">
        <w:trPr>
          <w:jc w:val="center"/>
        </w:trPr>
        <w:tc>
          <w:tcPr>
            <w:tcW w:w="4876" w:type="dxa"/>
          </w:tcPr>
          <w:p w14:paraId="5F56F7FC" w14:textId="77777777" w:rsidR="00D056A8" w:rsidRPr="00954A65" w:rsidRDefault="00D056A8" w:rsidP="00D056A8">
            <w:pPr>
              <w:pStyle w:val="Normal6a"/>
            </w:pPr>
          </w:p>
        </w:tc>
        <w:tc>
          <w:tcPr>
            <w:tcW w:w="4876" w:type="dxa"/>
          </w:tcPr>
          <w:p w14:paraId="267458D6" w14:textId="77777777" w:rsidR="00D056A8" w:rsidRPr="00954A65" w:rsidRDefault="00D056A8" w:rsidP="00D056A8">
            <w:pPr>
              <w:pStyle w:val="Normal6"/>
              <w:rPr>
                <w:szCs w:val="24"/>
              </w:rPr>
            </w:pPr>
            <w:r w:rsidRPr="00954A65">
              <w:rPr>
                <w:b/>
                <w:i/>
              </w:rPr>
              <w:t>01022110 – Čistopasemsko plemensko govedo (telice)</w:t>
            </w:r>
          </w:p>
        </w:tc>
      </w:tr>
      <w:tr w:rsidR="00D056A8" w:rsidRPr="00954A65" w14:paraId="028558BD" w14:textId="77777777" w:rsidTr="00D056A8">
        <w:trPr>
          <w:jc w:val="center"/>
        </w:trPr>
        <w:tc>
          <w:tcPr>
            <w:tcW w:w="4876" w:type="dxa"/>
          </w:tcPr>
          <w:p w14:paraId="62F284F2" w14:textId="77777777" w:rsidR="00D056A8" w:rsidRPr="00954A65" w:rsidRDefault="00D056A8" w:rsidP="00D056A8">
            <w:pPr>
              <w:pStyle w:val="Normal6a"/>
            </w:pPr>
          </w:p>
        </w:tc>
        <w:tc>
          <w:tcPr>
            <w:tcW w:w="4876" w:type="dxa"/>
          </w:tcPr>
          <w:p w14:paraId="0CE32EC1" w14:textId="77777777" w:rsidR="00D056A8" w:rsidRPr="00954A65" w:rsidRDefault="00D056A8" w:rsidP="00D056A8">
            <w:pPr>
              <w:pStyle w:val="Normal6"/>
              <w:rPr>
                <w:szCs w:val="24"/>
              </w:rPr>
            </w:pPr>
            <w:r w:rsidRPr="00954A65">
              <w:rPr>
                <w:b/>
                <w:i/>
              </w:rPr>
              <w:t>01022190 – Čistopasemsko plemensko govedo (ki ni zajeto v okviru 01012110 ali 01012130)</w:t>
            </w:r>
          </w:p>
        </w:tc>
      </w:tr>
      <w:tr w:rsidR="00D056A8" w:rsidRPr="00954A65" w14:paraId="37A01F12" w14:textId="77777777" w:rsidTr="00D056A8">
        <w:trPr>
          <w:jc w:val="center"/>
        </w:trPr>
        <w:tc>
          <w:tcPr>
            <w:tcW w:w="4876" w:type="dxa"/>
          </w:tcPr>
          <w:p w14:paraId="50AA0E18" w14:textId="77777777" w:rsidR="00D056A8" w:rsidRPr="00954A65" w:rsidRDefault="00D056A8" w:rsidP="00D056A8">
            <w:pPr>
              <w:pStyle w:val="Normal6a"/>
            </w:pPr>
          </w:p>
        </w:tc>
        <w:tc>
          <w:tcPr>
            <w:tcW w:w="4876" w:type="dxa"/>
          </w:tcPr>
          <w:p w14:paraId="26EB9AD8" w14:textId="77777777" w:rsidR="00D056A8" w:rsidRPr="00954A65" w:rsidRDefault="00D056A8" w:rsidP="00D056A8">
            <w:pPr>
              <w:pStyle w:val="Normal6"/>
              <w:rPr>
                <w:szCs w:val="24"/>
              </w:rPr>
            </w:pPr>
            <w:r w:rsidRPr="00954A65">
              <w:rPr>
                <w:b/>
                <w:i/>
              </w:rPr>
              <w:t>01023100 – Čistopasemski plemenski bivoli</w:t>
            </w:r>
          </w:p>
        </w:tc>
      </w:tr>
      <w:tr w:rsidR="00D056A8" w:rsidRPr="00954A65" w14:paraId="31C1C8BB" w14:textId="77777777" w:rsidTr="00D056A8">
        <w:trPr>
          <w:jc w:val="center"/>
        </w:trPr>
        <w:tc>
          <w:tcPr>
            <w:tcW w:w="4876" w:type="dxa"/>
          </w:tcPr>
          <w:p w14:paraId="14D4BDC6" w14:textId="77777777" w:rsidR="00D056A8" w:rsidRPr="00954A65" w:rsidRDefault="00D056A8" w:rsidP="00D056A8">
            <w:pPr>
              <w:pStyle w:val="Normal6a"/>
            </w:pPr>
          </w:p>
        </w:tc>
        <w:tc>
          <w:tcPr>
            <w:tcW w:w="4876" w:type="dxa"/>
          </w:tcPr>
          <w:p w14:paraId="40810C4D" w14:textId="77777777" w:rsidR="00D056A8" w:rsidRPr="00954A65" w:rsidRDefault="00D056A8" w:rsidP="00D056A8">
            <w:pPr>
              <w:pStyle w:val="Normal6"/>
              <w:rPr>
                <w:szCs w:val="24"/>
              </w:rPr>
            </w:pPr>
            <w:r w:rsidRPr="00954A65">
              <w:rPr>
                <w:b/>
                <w:i/>
              </w:rPr>
              <w:t>01029020 – Čistopasemsko živo plemensko govedo, ki ni zajeto v okviru 010221 ali 01023100</w:t>
            </w:r>
          </w:p>
        </w:tc>
      </w:tr>
      <w:tr w:rsidR="00D056A8" w:rsidRPr="00954A65" w14:paraId="0DB9C2CC" w14:textId="77777777" w:rsidTr="00D056A8">
        <w:trPr>
          <w:jc w:val="center"/>
        </w:trPr>
        <w:tc>
          <w:tcPr>
            <w:tcW w:w="4876" w:type="dxa"/>
          </w:tcPr>
          <w:p w14:paraId="723E70D8" w14:textId="77777777" w:rsidR="00D056A8" w:rsidRPr="00954A65" w:rsidRDefault="00D056A8" w:rsidP="00D056A8">
            <w:pPr>
              <w:pStyle w:val="Normal6a"/>
            </w:pPr>
          </w:p>
        </w:tc>
        <w:tc>
          <w:tcPr>
            <w:tcW w:w="4876" w:type="dxa"/>
          </w:tcPr>
          <w:p w14:paraId="607BF02C" w14:textId="77777777" w:rsidR="00D056A8" w:rsidRPr="00954A65" w:rsidRDefault="00D056A8" w:rsidP="00D056A8">
            <w:pPr>
              <w:pStyle w:val="Normal6"/>
              <w:rPr>
                <w:szCs w:val="24"/>
              </w:rPr>
            </w:pPr>
            <w:r w:rsidRPr="00954A65">
              <w:rPr>
                <w:b/>
                <w:i/>
              </w:rPr>
              <w:t>01031000 – Čistopasemski plemenski živi prašiči</w:t>
            </w:r>
          </w:p>
        </w:tc>
      </w:tr>
      <w:tr w:rsidR="00D056A8" w:rsidRPr="00954A65" w14:paraId="114D15F1" w14:textId="77777777" w:rsidTr="00D056A8">
        <w:trPr>
          <w:jc w:val="center"/>
        </w:trPr>
        <w:tc>
          <w:tcPr>
            <w:tcW w:w="4876" w:type="dxa"/>
          </w:tcPr>
          <w:p w14:paraId="2A72B46C" w14:textId="77777777" w:rsidR="00D056A8" w:rsidRPr="00954A65" w:rsidRDefault="00D056A8" w:rsidP="00D056A8">
            <w:pPr>
              <w:pStyle w:val="Normal6a"/>
            </w:pPr>
          </w:p>
        </w:tc>
        <w:tc>
          <w:tcPr>
            <w:tcW w:w="4876" w:type="dxa"/>
          </w:tcPr>
          <w:p w14:paraId="0D806270" w14:textId="77777777" w:rsidR="00D056A8" w:rsidRPr="00954A65" w:rsidRDefault="00D056A8" w:rsidP="00D056A8">
            <w:pPr>
              <w:pStyle w:val="Normal6"/>
              <w:rPr>
                <w:szCs w:val="24"/>
              </w:rPr>
            </w:pPr>
            <w:r w:rsidRPr="00954A65">
              <w:rPr>
                <w:b/>
                <w:i/>
              </w:rPr>
              <w:t>01041010 – Čistopasemske plemenske žive ovce</w:t>
            </w:r>
          </w:p>
        </w:tc>
      </w:tr>
      <w:tr w:rsidR="00D056A8" w:rsidRPr="00954A65" w14:paraId="18B889D1" w14:textId="77777777" w:rsidTr="00D056A8">
        <w:trPr>
          <w:jc w:val="center"/>
        </w:trPr>
        <w:tc>
          <w:tcPr>
            <w:tcW w:w="4876" w:type="dxa"/>
          </w:tcPr>
          <w:p w14:paraId="554F7B51" w14:textId="77777777" w:rsidR="00D056A8" w:rsidRPr="00954A65" w:rsidRDefault="00D056A8" w:rsidP="00D056A8">
            <w:pPr>
              <w:pStyle w:val="Normal6a"/>
            </w:pPr>
          </w:p>
        </w:tc>
        <w:tc>
          <w:tcPr>
            <w:tcW w:w="4876" w:type="dxa"/>
          </w:tcPr>
          <w:p w14:paraId="653AB82D" w14:textId="77777777" w:rsidR="00D056A8" w:rsidRPr="00954A65" w:rsidRDefault="00D056A8" w:rsidP="00D056A8">
            <w:pPr>
              <w:pStyle w:val="Normal6"/>
              <w:rPr>
                <w:szCs w:val="24"/>
              </w:rPr>
            </w:pPr>
            <w:r w:rsidRPr="00954A65">
              <w:rPr>
                <w:b/>
                <w:i/>
              </w:rPr>
              <w:t>01051111 – Kokoši vrste Gallus domesticus: kokoši iz matične jate (plemenske), nesnice</w:t>
            </w:r>
          </w:p>
        </w:tc>
      </w:tr>
      <w:tr w:rsidR="00D056A8" w:rsidRPr="00954A65" w14:paraId="08F011F6" w14:textId="77777777" w:rsidTr="00D056A8">
        <w:trPr>
          <w:jc w:val="center"/>
        </w:trPr>
        <w:tc>
          <w:tcPr>
            <w:tcW w:w="4876" w:type="dxa"/>
          </w:tcPr>
          <w:p w14:paraId="7A8BC6E0" w14:textId="77777777" w:rsidR="00D056A8" w:rsidRPr="00954A65" w:rsidRDefault="00D056A8" w:rsidP="00D056A8">
            <w:pPr>
              <w:pStyle w:val="Normal6a"/>
            </w:pPr>
          </w:p>
        </w:tc>
        <w:tc>
          <w:tcPr>
            <w:tcW w:w="4876" w:type="dxa"/>
          </w:tcPr>
          <w:p w14:paraId="5F59892B" w14:textId="77777777" w:rsidR="00D056A8" w:rsidRPr="00954A65" w:rsidRDefault="00D056A8" w:rsidP="00D056A8">
            <w:pPr>
              <w:pStyle w:val="Normal6"/>
              <w:rPr>
                <w:szCs w:val="24"/>
              </w:rPr>
            </w:pPr>
            <w:r w:rsidRPr="00954A65">
              <w:rPr>
                <w:b/>
                <w:i/>
              </w:rPr>
              <w:t>01051119 – Kokoši vrste Gallus domesticus: kokoši iz matične jate (plemenske), ki niso 01051111</w:t>
            </w:r>
          </w:p>
        </w:tc>
      </w:tr>
      <w:tr w:rsidR="00D056A8" w:rsidRPr="00954A65" w14:paraId="6AF20208" w14:textId="77777777" w:rsidTr="00D056A8">
        <w:trPr>
          <w:jc w:val="center"/>
        </w:trPr>
        <w:tc>
          <w:tcPr>
            <w:tcW w:w="4876" w:type="dxa"/>
          </w:tcPr>
          <w:p w14:paraId="7CEDCDF3" w14:textId="77777777" w:rsidR="00D056A8" w:rsidRPr="00954A65" w:rsidRDefault="00D056A8" w:rsidP="00D056A8">
            <w:pPr>
              <w:pStyle w:val="Normal6a"/>
            </w:pPr>
          </w:p>
        </w:tc>
        <w:tc>
          <w:tcPr>
            <w:tcW w:w="4876" w:type="dxa"/>
          </w:tcPr>
          <w:p w14:paraId="4A02DD56" w14:textId="77777777" w:rsidR="00D056A8" w:rsidRPr="00954A65" w:rsidRDefault="00D056A8" w:rsidP="00D056A8">
            <w:pPr>
              <w:pStyle w:val="Normal6"/>
              <w:rPr>
                <w:szCs w:val="24"/>
              </w:rPr>
            </w:pPr>
            <w:r w:rsidRPr="00954A65">
              <w:rPr>
                <w:b/>
                <w:i/>
              </w:rPr>
              <w:t>010641 – Čistopasemske žive čebelje matice vrste Apis mellifera</w:t>
            </w:r>
          </w:p>
        </w:tc>
      </w:tr>
      <w:tr w:rsidR="00D056A8" w:rsidRPr="00954A65" w14:paraId="4EDDD70F" w14:textId="77777777" w:rsidTr="00D056A8">
        <w:trPr>
          <w:jc w:val="center"/>
        </w:trPr>
        <w:tc>
          <w:tcPr>
            <w:tcW w:w="4876" w:type="dxa"/>
          </w:tcPr>
          <w:p w14:paraId="6144EC48" w14:textId="77777777" w:rsidR="00D056A8" w:rsidRPr="00954A65" w:rsidRDefault="00D056A8" w:rsidP="00D056A8">
            <w:pPr>
              <w:pStyle w:val="Normal6a"/>
            </w:pPr>
          </w:p>
        </w:tc>
        <w:tc>
          <w:tcPr>
            <w:tcW w:w="4876" w:type="dxa"/>
          </w:tcPr>
          <w:p w14:paraId="2C297E45" w14:textId="77777777" w:rsidR="00D056A8" w:rsidRPr="00954A65" w:rsidRDefault="00D056A8" w:rsidP="00D056A8">
            <w:pPr>
              <w:pStyle w:val="Normal6"/>
              <w:rPr>
                <w:szCs w:val="24"/>
              </w:rPr>
            </w:pPr>
            <w:r w:rsidRPr="00954A65">
              <w:rPr>
                <w:b/>
                <w:i/>
              </w:rPr>
              <w:t>04071100 – Oplojena jajca za valitev perutnine vrste Gallus domesticus</w:t>
            </w:r>
          </w:p>
        </w:tc>
      </w:tr>
      <w:tr w:rsidR="00D056A8" w:rsidRPr="00954A65" w14:paraId="30EF27F5" w14:textId="77777777" w:rsidTr="00D056A8">
        <w:trPr>
          <w:jc w:val="center"/>
        </w:trPr>
        <w:tc>
          <w:tcPr>
            <w:tcW w:w="4876" w:type="dxa"/>
          </w:tcPr>
          <w:p w14:paraId="2F904AEB" w14:textId="77777777" w:rsidR="00D056A8" w:rsidRPr="00954A65" w:rsidRDefault="00D056A8" w:rsidP="00D056A8">
            <w:pPr>
              <w:pStyle w:val="Normal6a"/>
            </w:pPr>
          </w:p>
        </w:tc>
        <w:tc>
          <w:tcPr>
            <w:tcW w:w="4876" w:type="dxa"/>
          </w:tcPr>
          <w:p w14:paraId="4D96E57F" w14:textId="77777777" w:rsidR="00D056A8" w:rsidRPr="00954A65" w:rsidRDefault="00D056A8" w:rsidP="00D056A8">
            <w:pPr>
              <w:pStyle w:val="Normal6"/>
              <w:rPr>
                <w:szCs w:val="24"/>
              </w:rPr>
            </w:pPr>
            <w:r w:rsidRPr="00954A65">
              <w:rPr>
                <w:b/>
                <w:i/>
              </w:rPr>
              <w:t>040719 – Oplojena jajca za valitev perutnine, ki niso 04071100</w:t>
            </w:r>
          </w:p>
        </w:tc>
      </w:tr>
      <w:tr w:rsidR="00D056A8" w:rsidRPr="00954A65" w14:paraId="0931A343" w14:textId="77777777" w:rsidTr="00D056A8">
        <w:trPr>
          <w:jc w:val="center"/>
        </w:trPr>
        <w:tc>
          <w:tcPr>
            <w:tcW w:w="4876" w:type="dxa"/>
          </w:tcPr>
          <w:p w14:paraId="61DCAE47" w14:textId="77777777" w:rsidR="00D056A8" w:rsidRPr="00954A65" w:rsidRDefault="00D056A8" w:rsidP="00D056A8">
            <w:pPr>
              <w:pStyle w:val="Normal6a"/>
            </w:pPr>
          </w:p>
        </w:tc>
        <w:tc>
          <w:tcPr>
            <w:tcW w:w="4876" w:type="dxa"/>
          </w:tcPr>
          <w:p w14:paraId="6A16D68C" w14:textId="77777777" w:rsidR="00D056A8" w:rsidRPr="00954A65" w:rsidRDefault="00D056A8" w:rsidP="00D056A8">
            <w:pPr>
              <w:pStyle w:val="Normal6"/>
              <w:rPr>
                <w:szCs w:val="24"/>
              </w:rPr>
            </w:pPr>
            <w:r w:rsidRPr="00954A65">
              <w:rPr>
                <w:b/>
                <w:i/>
              </w:rPr>
              <w:t xml:space="preserve">04071911 – Oplojena jajca puranov ali gosi za valitev </w:t>
            </w:r>
          </w:p>
        </w:tc>
      </w:tr>
      <w:tr w:rsidR="00D056A8" w:rsidRPr="00954A65" w14:paraId="652B2DE8" w14:textId="77777777" w:rsidTr="00D056A8">
        <w:trPr>
          <w:jc w:val="center"/>
        </w:trPr>
        <w:tc>
          <w:tcPr>
            <w:tcW w:w="4876" w:type="dxa"/>
          </w:tcPr>
          <w:p w14:paraId="5050F21E" w14:textId="77777777" w:rsidR="00D056A8" w:rsidRPr="00954A65" w:rsidRDefault="00D056A8" w:rsidP="00D056A8">
            <w:pPr>
              <w:pStyle w:val="Normal6a"/>
            </w:pPr>
          </w:p>
        </w:tc>
        <w:tc>
          <w:tcPr>
            <w:tcW w:w="4876" w:type="dxa"/>
          </w:tcPr>
          <w:p w14:paraId="4C654C41" w14:textId="77777777" w:rsidR="00D056A8" w:rsidRPr="00954A65" w:rsidRDefault="00D056A8" w:rsidP="00D056A8">
            <w:pPr>
              <w:pStyle w:val="Normal6"/>
              <w:rPr>
                <w:szCs w:val="24"/>
              </w:rPr>
            </w:pPr>
            <w:r w:rsidRPr="00954A65">
              <w:rPr>
                <w:b/>
                <w:i/>
              </w:rPr>
              <w:t>04071919 – Oplojena jajca za valitev perutnine, ki niso vrste Gallus domesticus, purani ali gosi</w:t>
            </w:r>
          </w:p>
        </w:tc>
      </w:tr>
      <w:tr w:rsidR="00D056A8" w:rsidRPr="00954A65" w14:paraId="74C4ADDC" w14:textId="77777777" w:rsidTr="00D056A8">
        <w:trPr>
          <w:jc w:val="center"/>
        </w:trPr>
        <w:tc>
          <w:tcPr>
            <w:tcW w:w="4876" w:type="dxa"/>
          </w:tcPr>
          <w:p w14:paraId="448D0462" w14:textId="77777777" w:rsidR="00D056A8" w:rsidRPr="00954A65" w:rsidRDefault="00D056A8" w:rsidP="00D056A8">
            <w:pPr>
              <w:pStyle w:val="Normal6a"/>
            </w:pPr>
          </w:p>
        </w:tc>
        <w:tc>
          <w:tcPr>
            <w:tcW w:w="4876" w:type="dxa"/>
          </w:tcPr>
          <w:p w14:paraId="70EDFB0A" w14:textId="77777777" w:rsidR="00D056A8" w:rsidRPr="00954A65" w:rsidRDefault="00D056A8" w:rsidP="00D056A8">
            <w:pPr>
              <w:pStyle w:val="Normal6"/>
              <w:rPr>
                <w:szCs w:val="24"/>
              </w:rPr>
            </w:pPr>
            <w:r w:rsidRPr="00954A65">
              <w:rPr>
                <w:b/>
                <w:i/>
              </w:rPr>
              <w:t>04071990 – Oplojena jajca za valitev, ki niso perutnina</w:t>
            </w:r>
          </w:p>
        </w:tc>
      </w:tr>
      <w:tr w:rsidR="00D056A8" w:rsidRPr="00954A65" w14:paraId="1AAD76CC" w14:textId="77777777" w:rsidTr="00D056A8">
        <w:trPr>
          <w:jc w:val="center"/>
        </w:trPr>
        <w:tc>
          <w:tcPr>
            <w:tcW w:w="4876" w:type="dxa"/>
          </w:tcPr>
          <w:p w14:paraId="384EBB3F" w14:textId="77777777" w:rsidR="00D056A8" w:rsidRPr="00954A65" w:rsidRDefault="00D056A8" w:rsidP="00D056A8">
            <w:pPr>
              <w:pStyle w:val="Normal6a"/>
            </w:pPr>
          </w:p>
        </w:tc>
        <w:tc>
          <w:tcPr>
            <w:tcW w:w="4876" w:type="dxa"/>
          </w:tcPr>
          <w:p w14:paraId="3F723023" w14:textId="77777777" w:rsidR="00D056A8" w:rsidRPr="00954A65" w:rsidRDefault="00D056A8" w:rsidP="00D056A8">
            <w:pPr>
              <w:pStyle w:val="Normal6"/>
              <w:rPr>
                <w:szCs w:val="24"/>
              </w:rPr>
            </w:pPr>
            <w:r w:rsidRPr="00954A65">
              <w:rPr>
                <w:b/>
                <w:i/>
              </w:rPr>
              <w:t>05111000 – Bikovo seme</w:t>
            </w:r>
          </w:p>
        </w:tc>
      </w:tr>
      <w:tr w:rsidR="00D056A8" w:rsidRPr="00954A65" w14:paraId="15A39652" w14:textId="77777777" w:rsidTr="00D056A8">
        <w:trPr>
          <w:jc w:val="center"/>
        </w:trPr>
        <w:tc>
          <w:tcPr>
            <w:tcW w:w="4876" w:type="dxa"/>
          </w:tcPr>
          <w:p w14:paraId="0BB33FE9" w14:textId="77777777" w:rsidR="00D056A8" w:rsidRPr="00954A65" w:rsidRDefault="00D056A8" w:rsidP="00D056A8">
            <w:pPr>
              <w:pStyle w:val="Normal6a"/>
            </w:pPr>
          </w:p>
        </w:tc>
        <w:tc>
          <w:tcPr>
            <w:tcW w:w="4876" w:type="dxa"/>
          </w:tcPr>
          <w:p w14:paraId="76A79247" w14:textId="77777777" w:rsidR="00D056A8" w:rsidRPr="00954A65" w:rsidRDefault="00D056A8" w:rsidP="00D056A8">
            <w:pPr>
              <w:pStyle w:val="Normal6"/>
              <w:rPr>
                <w:szCs w:val="24"/>
              </w:rPr>
            </w:pPr>
            <w:r w:rsidRPr="00954A65">
              <w:rPr>
                <w:b/>
                <w:i/>
              </w:rPr>
              <w:t>05119985 – Proizvodi živalskega izvora, ki niso navedeni ali zajeti na drugem mestu, ki niso 05111000 (zlasti seme sesalcev, ki ni bikovo seme, jajčne celice in zarodki sesalcev)“</w:t>
            </w:r>
          </w:p>
        </w:tc>
      </w:tr>
    </w:tbl>
    <w:p w14:paraId="391E020C" w14:textId="77777777" w:rsidR="006F5BFE" w:rsidRPr="003B2277" w:rsidRDefault="006F5BFE" w:rsidP="006F5BFE">
      <w:pPr>
        <w:rPr>
          <w:lang w:eastAsia="en-US"/>
        </w:rPr>
      </w:pPr>
    </w:p>
    <w:p w14:paraId="4F41533C" w14:textId="167896F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159</w:t>
      </w:r>
    </w:p>
    <w:p w14:paraId="18230C93" w14:textId="77777777" w:rsidR="006F5BFE" w:rsidRPr="003B2277" w:rsidRDefault="006F5BFE" w:rsidP="006F5BFE"/>
    <w:p w14:paraId="13A62CD6" w14:textId="77777777" w:rsidR="006F5BFE" w:rsidRPr="003B2277" w:rsidRDefault="006F5BFE" w:rsidP="006F5BFE">
      <w:pPr>
        <w:keepNext/>
        <w:rPr>
          <w:b/>
          <w:lang w:eastAsia="en-US"/>
        </w:rPr>
      </w:pPr>
      <w:r w:rsidRPr="003B2277">
        <w:rPr>
          <w:rFonts w:eastAsia="Calibri" w:cs="Mangal"/>
          <w:b/>
          <w:lang w:eastAsia="en-US"/>
        </w:rPr>
        <w:t>Predlog uredbe</w:t>
      </w:r>
    </w:p>
    <w:p w14:paraId="6912C184" w14:textId="77777777" w:rsidR="006F5BFE" w:rsidRPr="003B2277" w:rsidRDefault="006F5BFE" w:rsidP="006F5BFE">
      <w:pPr>
        <w:rPr>
          <w:b/>
          <w:lang w:eastAsia="en-US"/>
        </w:rPr>
      </w:pPr>
      <w:r w:rsidRPr="003B2277">
        <w:rPr>
          <w:rFonts w:eastAsia="Calibri" w:cs="Mangal"/>
          <w:b/>
          <w:lang w:eastAsia="en-US"/>
        </w:rPr>
        <w:t>Člen 1 – odstavek 1 – točka 29 a (novo)</w:t>
      </w:r>
    </w:p>
    <w:p w14:paraId="0F96D280" w14:textId="77777777" w:rsidR="006F5BFE" w:rsidRPr="003B2277" w:rsidRDefault="006F5BFE" w:rsidP="006F5BFE">
      <w:pPr>
        <w:keepNext/>
        <w:rPr>
          <w:lang w:eastAsia="en-US"/>
        </w:rPr>
      </w:pPr>
      <w:r w:rsidRPr="003B2277">
        <w:rPr>
          <w:rFonts w:eastAsia="Calibri" w:cs="Mangal"/>
          <w:lang w:eastAsia="en-US"/>
        </w:rPr>
        <w:t>Uredba (EU) št. 1308/2013</w:t>
      </w:r>
    </w:p>
    <w:p w14:paraId="28164168" w14:textId="77777777" w:rsidR="006F5BFE" w:rsidRPr="003B2277" w:rsidRDefault="006F5BFE" w:rsidP="006F5BFE">
      <w:pPr>
        <w:rPr>
          <w:lang w:eastAsia="en-US"/>
        </w:rPr>
      </w:pPr>
      <w:r w:rsidRPr="003B2277">
        <w:rPr>
          <w:rFonts w:eastAsia="Calibri" w:cs="Mangal"/>
          <w:lang w:eastAsia="en-US"/>
        </w:rPr>
        <w:t>Priloga II – del IX</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1E4F2E5" w14:textId="77777777" w:rsidTr="005B4D60">
        <w:trPr>
          <w:jc w:val="center"/>
        </w:trPr>
        <w:tc>
          <w:tcPr>
            <w:tcW w:w="9752" w:type="dxa"/>
            <w:gridSpan w:val="2"/>
          </w:tcPr>
          <w:p w14:paraId="78D80280" w14:textId="77777777" w:rsidR="006F5BFE" w:rsidRPr="003B2277" w:rsidRDefault="006F5BFE" w:rsidP="005B4D60">
            <w:pPr>
              <w:keepNext/>
            </w:pPr>
          </w:p>
        </w:tc>
      </w:tr>
      <w:tr w:rsidR="006F5BFE" w:rsidRPr="003B2277" w14:paraId="709F6C94" w14:textId="77777777" w:rsidTr="005B4D60">
        <w:trPr>
          <w:jc w:val="center"/>
        </w:trPr>
        <w:tc>
          <w:tcPr>
            <w:tcW w:w="4876" w:type="dxa"/>
            <w:hideMark/>
          </w:tcPr>
          <w:p w14:paraId="1747018D"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A134735" w14:textId="2B43916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93059BC" w14:textId="77777777" w:rsidTr="005B4D60">
        <w:trPr>
          <w:jc w:val="center"/>
        </w:trPr>
        <w:tc>
          <w:tcPr>
            <w:tcW w:w="4876" w:type="dxa"/>
          </w:tcPr>
          <w:p w14:paraId="2F15700A" w14:textId="77777777" w:rsidR="006F5BFE" w:rsidRPr="003B2277" w:rsidRDefault="006F5BFE" w:rsidP="005B4D60">
            <w:pPr>
              <w:spacing w:after="120"/>
            </w:pPr>
          </w:p>
        </w:tc>
        <w:tc>
          <w:tcPr>
            <w:tcW w:w="4876" w:type="dxa"/>
            <w:hideMark/>
          </w:tcPr>
          <w:p w14:paraId="6477F64A" w14:textId="7F9C8A73" w:rsidR="006F5BFE" w:rsidRPr="003B2277" w:rsidRDefault="006F5BFE" w:rsidP="00B73FD4">
            <w:pPr>
              <w:spacing w:after="120"/>
              <w:rPr>
                <w:szCs w:val="24"/>
                <w:lang w:eastAsia="en-US"/>
              </w:rPr>
            </w:pPr>
            <w:r w:rsidRPr="003B2277">
              <w:rPr>
                <w:rFonts w:eastAsia="Calibri" w:cs="Mangal"/>
                <w:b/>
                <w:i/>
                <w:lang w:eastAsia="en-US"/>
              </w:rPr>
              <w:t>(29a)</w:t>
            </w:r>
            <w:r w:rsidRPr="003B2277">
              <w:rPr>
                <w:rFonts w:eastAsia="Calibri" w:cs="Mangal"/>
                <w:b/>
                <w:i/>
                <w:lang w:eastAsia="en-US"/>
              </w:rPr>
              <w:tab/>
            </w:r>
            <w:r w:rsidR="00E10C2E" w:rsidRPr="003B2277">
              <w:rPr>
                <w:rFonts w:eastAsia="Calibri" w:cs="Mangal"/>
                <w:b/>
                <w:i/>
                <w:lang w:eastAsia="en-US"/>
              </w:rPr>
              <w:t>d</w:t>
            </w:r>
            <w:r w:rsidR="00B73FD4" w:rsidRPr="003B2277">
              <w:rPr>
                <w:rFonts w:eastAsia="Calibri" w:cs="Mangal"/>
                <w:b/>
                <w:i/>
                <w:lang w:eastAsia="en-US"/>
              </w:rPr>
              <w:t>el IX Priloge I</w:t>
            </w:r>
            <w:r w:rsidR="00B73FD4" w:rsidRPr="003B2277">
              <w:rPr>
                <w:b/>
                <w:i/>
              </w:rPr>
              <w:t>I se nadomesti z naslednjim:</w:t>
            </w:r>
          </w:p>
        </w:tc>
      </w:tr>
      <w:tr w:rsidR="006F5BFE" w:rsidRPr="003B2277" w14:paraId="14EC5B06" w14:textId="77777777" w:rsidTr="005B4D60">
        <w:trPr>
          <w:jc w:val="center"/>
        </w:trPr>
        <w:tc>
          <w:tcPr>
            <w:tcW w:w="4876" w:type="dxa"/>
          </w:tcPr>
          <w:p w14:paraId="7EEF6DDD" w14:textId="77777777" w:rsidR="006F5BFE" w:rsidRPr="003B2277" w:rsidRDefault="006F5BFE" w:rsidP="005B4D60">
            <w:pPr>
              <w:spacing w:after="120"/>
              <w:rPr>
                <w:lang w:eastAsia="en-US"/>
              </w:rPr>
            </w:pPr>
            <w:r w:rsidRPr="003B2277">
              <w:rPr>
                <w:rFonts w:eastAsia="Calibri" w:cs="Mangal"/>
                <w:lang w:eastAsia="en-US"/>
              </w:rPr>
              <w:t>1. Med pomeni med iz Direktive Sveta 2001/110 ES, kar velja tudi za glavne vrste medu.</w:t>
            </w:r>
          </w:p>
        </w:tc>
        <w:tc>
          <w:tcPr>
            <w:tcW w:w="4876" w:type="dxa"/>
          </w:tcPr>
          <w:p w14:paraId="4256BF0E" w14:textId="77777777" w:rsidR="006F5BFE" w:rsidRPr="003B2277" w:rsidRDefault="006F5BFE" w:rsidP="005B4D60">
            <w:pPr>
              <w:spacing w:after="120"/>
              <w:rPr>
                <w:lang w:eastAsia="en-US"/>
              </w:rPr>
            </w:pPr>
            <w:r w:rsidRPr="003B2277">
              <w:rPr>
                <w:rFonts w:eastAsia="Calibri" w:cs="Mangal"/>
                <w:b/>
                <w:i/>
                <w:lang w:eastAsia="en-US"/>
              </w:rPr>
              <w:t>„</w:t>
            </w:r>
            <w:r w:rsidRPr="003B2277">
              <w:rPr>
                <w:rFonts w:eastAsia="Calibri" w:cs="Mangal"/>
                <w:lang w:eastAsia="en-US"/>
              </w:rPr>
              <w:t>1. Med pomeni med iz Direktive Sveta 2001/110 ES, kar velja tudi za glavne vrste medu.</w:t>
            </w:r>
          </w:p>
        </w:tc>
      </w:tr>
      <w:tr w:rsidR="006F5BFE" w:rsidRPr="003B2277" w14:paraId="30885F05" w14:textId="77777777" w:rsidTr="005B4D60">
        <w:trPr>
          <w:jc w:val="center"/>
        </w:trPr>
        <w:tc>
          <w:tcPr>
            <w:tcW w:w="4876" w:type="dxa"/>
          </w:tcPr>
          <w:p w14:paraId="4A6CADFA" w14:textId="77777777" w:rsidR="006F5BFE" w:rsidRPr="003B2277" w:rsidRDefault="006F5BFE" w:rsidP="005B4D60">
            <w:pPr>
              <w:spacing w:after="120"/>
              <w:rPr>
                <w:lang w:eastAsia="en-US"/>
              </w:rPr>
            </w:pPr>
            <w:r w:rsidRPr="003B2277">
              <w:rPr>
                <w:rFonts w:eastAsia="Calibri" w:cs="Mangal"/>
                <w:lang w:eastAsia="en-US"/>
              </w:rPr>
              <w:t>2. „Čebelarski proizvodi“ pomeni med, čebelji vosek, matični mleček, propolis ali cvetni prah.</w:t>
            </w:r>
          </w:p>
        </w:tc>
        <w:tc>
          <w:tcPr>
            <w:tcW w:w="4876" w:type="dxa"/>
          </w:tcPr>
          <w:p w14:paraId="465B1D85" w14:textId="77777777" w:rsidR="006F5BFE" w:rsidRPr="003B2277" w:rsidRDefault="006F5BFE" w:rsidP="005B4D60">
            <w:pPr>
              <w:spacing w:after="120"/>
              <w:rPr>
                <w:szCs w:val="24"/>
                <w:lang w:eastAsia="en-US"/>
              </w:rPr>
            </w:pPr>
            <w:r w:rsidRPr="003B2277">
              <w:rPr>
                <w:rFonts w:eastAsia="Calibri" w:cs="Mangal"/>
                <w:lang w:eastAsia="en-US"/>
              </w:rPr>
              <w:t>2. „Čebelarski proizvodi“ pomeni med, čebelji vosek, matični mleček, propolis ali cvetni prah.</w:t>
            </w:r>
          </w:p>
        </w:tc>
      </w:tr>
      <w:tr w:rsidR="006F5BFE" w:rsidRPr="003B2277" w14:paraId="6E5C070A" w14:textId="77777777" w:rsidTr="005B4D60">
        <w:trPr>
          <w:jc w:val="center"/>
        </w:trPr>
        <w:tc>
          <w:tcPr>
            <w:tcW w:w="4876" w:type="dxa"/>
          </w:tcPr>
          <w:p w14:paraId="7AB20546" w14:textId="77777777" w:rsidR="006F5BFE" w:rsidRPr="003B2277" w:rsidRDefault="006F5BFE" w:rsidP="005B4D60">
            <w:pPr>
              <w:spacing w:after="120"/>
            </w:pPr>
          </w:p>
        </w:tc>
        <w:tc>
          <w:tcPr>
            <w:tcW w:w="4876" w:type="dxa"/>
            <w:hideMark/>
          </w:tcPr>
          <w:p w14:paraId="1A81530E" w14:textId="77777777" w:rsidR="006F5BFE" w:rsidRPr="003B2277" w:rsidRDefault="006F5BFE" w:rsidP="005B4D60">
            <w:pPr>
              <w:spacing w:after="120"/>
              <w:rPr>
                <w:szCs w:val="24"/>
                <w:lang w:eastAsia="en-US"/>
              </w:rPr>
            </w:pPr>
            <w:r w:rsidRPr="003B2277">
              <w:rPr>
                <w:rFonts w:eastAsia="Calibri" w:cs="Mangal"/>
                <w:b/>
                <w:i/>
                <w:lang w:eastAsia="en-US"/>
              </w:rPr>
              <w:t>„(2a) „Čebelji vosek“ je snov, ki nastane le z izločanjem iz voskovnih žlez čebel delavk vrste Apis mellifera in se uporablja pri gradnji čebeljih panjev.</w:t>
            </w:r>
          </w:p>
        </w:tc>
      </w:tr>
      <w:tr w:rsidR="006F5BFE" w:rsidRPr="003B2277" w14:paraId="2D78B1E0" w14:textId="77777777" w:rsidTr="005B4D60">
        <w:trPr>
          <w:jc w:val="center"/>
        </w:trPr>
        <w:tc>
          <w:tcPr>
            <w:tcW w:w="4876" w:type="dxa"/>
          </w:tcPr>
          <w:p w14:paraId="5B870B5C" w14:textId="77777777" w:rsidR="006F5BFE" w:rsidRPr="003B2277" w:rsidRDefault="006F5BFE" w:rsidP="005B4D60">
            <w:pPr>
              <w:spacing w:after="120"/>
            </w:pPr>
          </w:p>
        </w:tc>
        <w:tc>
          <w:tcPr>
            <w:tcW w:w="4876" w:type="dxa"/>
            <w:hideMark/>
          </w:tcPr>
          <w:p w14:paraId="66CBA4A8" w14:textId="77777777" w:rsidR="006F5BFE" w:rsidRPr="003B2277" w:rsidRDefault="006F5BFE" w:rsidP="005B4D60">
            <w:pPr>
              <w:spacing w:after="120"/>
              <w:rPr>
                <w:szCs w:val="24"/>
                <w:lang w:eastAsia="en-US"/>
              </w:rPr>
            </w:pPr>
            <w:r w:rsidRPr="003B2277">
              <w:rPr>
                <w:rFonts w:eastAsia="Calibri" w:cs="Mangal"/>
                <w:b/>
                <w:i/>
                <w:lang w:eastAsia="en-US"/>
              </w:rPr>
              <w:t>(2b) „Matični mleček‟ pomeni mešanico izločkov krmilnih in čeljustnih žlez čebel delavk brez dodatkov. Ta snov je hrana za matico v fazi ličinke in odrasli dobi. Je svež, čist, naraven in neobdelan proizvod. Gre za neobdelano in naravno hrano, nepredelano (razen filtracije) in brez dodatkov. Barva, okus in kemična sestava matičnega mlečka so odvisni od absorpcije in predelave čebel, ki se v času proizvodnje matičnega mlečka hranijo z naslednjima vrstama hrane:</w:t>
            </w:r>
          </w:p>
        </w:tc>
      </w:tr>
      <w:tr w:rsidR="006F5BFE" w:rsidRPr="003B2277" w14:paraId="00D7A836" w14:textId="77777777" w:rsidTr="005B4D60">
        <w:trPr>
          <w:jc w:val="center"/>
        </w:trPr>
        <w:tc>
          <w:tcPr>
            <w:tcW w:w="4876" w:type="dxa"/>
          </w:tcPr>
          <w:p w14:paraId="0A4CA6FC" w14:textId="77777777" w:rsidR="006F5BFE" w:rsidRPr="003B2277" w:rsidRDefault="006F5BFE" w:rsidP="005B4D60">
            <w:pPr>
              <w:spacing w:after="120"/>
            </w:pPr>
          </w:p>
        </w:tc>
        <w:tc>
          <w:tcPr>
            <w:tcW w:w="4876" w:type="dxa"/>
            <w:hideMark/>
          </w:tcPr>
          <w:p w14:paraId="39AEC566" w14:textId="77777777" w:rsidR="006F5BFE" w:rsidRPr="003B2277" w:rsidRDefault="006F5BFE" w:rsidP="005B4D60">
            <w:pPr>
              <w:spacing w:after="120"/>
              <w:rPr>
                <w:szCs w:val="24"/>
                <w:lang w:eastAsia="en-US"/>
              </w:rPr>
            </w:pPr>
            <w:r w:rsidRPr="003B2277">
              <w:rPr>
                <w:rFonts w:eastAsia="Calibri" w:cs="Mangal"/>
                <w:b/>
                <w:i/>
                <w:lang w:eastAsia="en-US"/>
              </w:rPr>
              <w:t>vrsta 1: matični mleček čebel, ki se prehranjujejo izključno z medom, nektarjem in cvetnim prahom;</w:t>
            </w:r>
          </w:p>
        </w:tc>
      </w:tr>
      <w:tr w:rsidR="006F5BFE" w:rsidRPr="003B2277" w14:paraId="5E2CD30E" w14:textId="77777777" w:rsidTr="005B4D60">
        <w:trPr>
          <w:jc w:val="center"/>
        </w:trPr>
        <w:tc>
          <w:tcPr>
            <w:tcW w:w="4876" w:type="dxa"/>
          </w:tcPr>
          <w:p w14:paraId="6C5CBE09" w14:textId="77777777" w:rsidR="006F5BFE" w:rsidRPr="003B2277" w:rsidRDefault="006F5BFE" w:rsidP="005B4D60">
            <w:pPr>
              <w:spacing w:after="120"/>
            </w:pPr>
          </w:p>
        </w:tc>
        <w:tc>
          <w:tcPr>
            <w:tcW w:w="4876" w:type="dxa"/>
            <w:hideMark/>
          </w:tcPr>
          <w:p w14:paraId="3CF355BC" w14:textId="77777777" w:rsidR="006F5BFE" w:rsidRPr="003B2277" w:rsidRDefault="006F5BFE" w:rsidP="005B4D60">
            <w:pPr>
              <w:spacing w:after="120"/>
              <w:rPr>
                <w:szCs w:val="24"/>
                <w:lang w:eastAsia="en-US"/>
              </w:rPr>
            </w:pPr>
            <w:r w:rsidRPr="003B2277">
              <w:rPr>
                <w:rFonts w:eastAsia="Calibri" w:cs="Mangal"/>
                <w:b/>
                <w:i/>
                <w:lang w:eastAsia="en-US"/>
              </w:rPr>
              <w:t>vrsta 2: matični mleček čebel, ki se prehranjujejo z medom, nektarjem in cvetnim prahom ter drugo hrano (proteini, ogljikovi hidrati).</w:t>
            </w:r>
          </w:p>
        </w:tc>
      </w:tr>
      <w:tr w:rsidR="006F5BFE" w:rsidRPr="003B2277" w14:paraId="73962104" w14:textId="77777777" w:rsidTr="005B4D60">
        <w:trPr>
          <w:jc w:val="center"/>
        </w:trPr>
        <w:tc>
          <w:tcPr>
            <w:tcW w:w="4876" w:type="dxa"/>
          </w:tcPr>
          <w:p w14:paraId="78A99E0B" w14:textId="77777777" w:rsidR="006F5BFE" w:rsidRPr="003B2277" w:rsidRDefault="006F5BFE" w:rsidP="005B4D60">
            <w:pPr>
              <w:spacing w:after="120"/>
            </w:pPr>
          </w:p>
        </w:tc>
        <w:tc>
          <w:tcPr>
            <w:tcW w:w="4876" w:type="dxa"/>
            <w:hideMark/>
          </w:tcPr>
          <w:p w14:paraId="1E2103A9" w14:textId="77777777" w:rsidR="006F5BFE" w:rsidRPr="003B2277" w:rsidRDefault="006F5BFE" w:rsidP="005B4D60">
            <w:pPr>
              <w:spacing w:after="120"/>
              <w:rPr>
                <w:szCs w:val="24"/>
                <w:lang w:eastAsia="en-US"/>
              </w:rPr>
            </w:pPr>
            <w:r w:rsidRPr="003B2277">
              <w:rPr>
                <w:rFonts w:eastAsia="Calibri" w:cs="Mangal"/>
                <w:b/>
                <w:i/>
                <w:lang w:eastAsia="en-US"/>
              </w:rPr>
              <w:t>(2c) „Propolis“ je smola izključno naravnega in rastlinskega izvora, ki jo nabirajo čebele delavke vrste Apis mellifera z nekaterih rastlin in ji dodajo svoje izločke (predvsem vosek in slino). Ta smola se uporablja predvsem kot zaščita panja.</w:t>
            </w:r>
          </w:p>
        </w:tc>
      </w:tr>
      <w:tr w:rsidR="006F5BFE" w:rsidRPr="003B2277" w14:paraId="7CC43178" w14:textId="77777777" w:rsidTr="005B4D60">
        <w:trPr>
          <w:jc w:val="center"/>
        </w:trPr>
        <w:tc>
          <w:tcPr>
            <w:tcW w:w="4876" w:type="dxa"/>
          </w:tcPr>
          <w:p w14:paraId="617D8040" w14:textId="77777777" w:rsidR="006F5BFE" w:rsidRPr="003B2277" w:rsidRDefault="006F5BFE" w:rsidP="005B4D60">
            <w:pPr>
              <w:spacing w:after="120"/>
            </w:pPr>
          </w:p>
        </w:tc>
        <w:tc>
          <w:tcPr>
            <w:tcW w:w="4876" w:type="dxa"/>
            <w:hideMark/>
          </w:tcPr>
          <w:p w14:paraId="26AE0360" w14:textId="77777777" w:rsidR="006F5BFE" w:rsidRPr="003B2277" w:rsidRDefault="006F5BFE" w:rsidP="005B4D60">
            <w:pPr>
              <w:spacing w:after="120"/>
              <w:rPr>
                <w:szCs w:val="24"/>
                <w:lang w:eastAsia="en-US"/>
              </w:rPr>
            </w:pPr>
            <w:r w:rsidRPr="003B2277">
              <w:rPr>
                <w:rFonts w:eastAsia="Calibri" w:cs="Mangal"/>
                <w:b/>
                <w:i/>
                <w:lang w:eastAsia="en-US"/>
              </w:rPr>
              <w:t>(2d) „Zrna cvetnega prahu (peleti)“ so zbrana zrna cvetnega prahu, ki ga nabirajo čebele delavke vrste Apis mellifera ter ga zbijajo z zadnjimi nogami z uporabo medu in/ali nektarja in čebeljih izločkov. Je vir proteinov za čebeljo družino in je naraven proizvod brez dodatkov, ki se pridobiva na žrelu panja.</w:t>
            </w:r>
          </w:p>
        </w:tc>
      </w:tr>
      <w:tr w:rsidR="006F5BFE" w:rsidRPr="003B2277" w14:paraId="58068961" w14:textId="77777777" w:rsidTr="005B4D60">
        <w:trPr>
          <w:jc w:val="center"/>
        </w:trPr>
        <w:tc>
          <w:tcPr>
            <w:tcW w:w="4876" w:type="dxa"/>
          </w:tcPr>
          <w:p w14:paraId="0DAAC042" w14:textId="77777777" w:rsidR="006F5BFE" w:rsidRPr="003B2277" w:rsidRDefault="006F5BFE" w:rsidP="005B4D60">
            <w:pPr>
              <w:spacing w:after="120"/>
            </w:pPr>
          </w:p>
        </w:tc>
        <w:tc>
          <w:tcPr>
            <w:tcW w:w="4876" w:type="dxa"/>
            <w:hideMark/>
          </w:tcPr>
          <w:p w14:paraId="6A9E5A99" w14:textId="77777777" w:rsidR="006F5BFE" w:rsidRPr="003B2277" w:rsidRDefault="006F5BFE" w:rsidP="005B4D60">
            <w:pPr>
              <w:spacing w:after="120"/>
              <w:rPr>
                <w:szCs w:val="24"/>
                <w:lang w:eastAsia="en-US"/>
              </w:rPr>
            </w:pPr>
            <w:r w:rsidRPr="003B2277">
              <w:rPr>
                <w:rFonts w:eastAsia="Calibri" w:cs="Mangal"/>
                <w:b/>
                <w:i/>
                <w:lang w:eastAsia="en-US"/>
              </w:rPr>
              <w:t>(2e) „Izkopanec“ ali „čebelji kruhek“ so zrna cvetnega prahu, ki jih čebele prekrijejo v celici čebeljega panja, nato pa se naravno obdelajo, tako da vsebujejo encime in komenzalne mikroorganizme. Čebele krmilke ga uporabljajo za hranjenje zalege. Ne sme vsebovati dodatkov, razen voska celic satja.</w:t>
            </w:r>
          </w:p>
        </w:tc>
      </w:tr>
      <w:tr w:rsidR="006F5BFE" w:rsidRPr="003B2277" w14:paraId="7FACB5E5" w14:textId="77777777" w:rsidTr="005B4D60">
        <w:trPr>
          <w:jc w:val="center"/>
        </w:trPr>
        <w:tc>
          <w:tcPr>
            <w:tcW w:w="4876" w:type="dxa"/>
          </w:tcPr>
          <w:p w14:paraId="0DD13A5D" w14:textId="77777777" w:rsidR="006F5BFE" w:rsidRPr="003B2277" w:rsidRDefault="006F5BFE" w:rsidP="005B4D60">
            <w:pPr>
              <w:spacing w:after="120"/>
            </w:pPr>
          </w:p>
        </w:tc>
        <w:tc>
          <w:tcPr>
            <w:tcW w:w="4876" w:type="dxa"/>
            <w:hideMark/>
          </w:tcPr>
          <w:p w14:paraId="2EB8B962" w14:textId="2B16D3D9" w:rsidR="006F5BFE" w:rsidRPr="003B2277" w:rsidRDefault="006F5BFE" w:rsidP="005B4D60">
            <w:pPr>
              <w:spacing w:after="120"/>
              <w:rPr>
                <w:szCs w:val="24"/>
                <w:lang w:eastAsia="en-US"/>
              </w:rPr>
            </w:pPr>
            <w:r w:rsidRPr="003B2277">
              <w:rPr>
                <w:rFonts w:eastAsia="Calibri" w:cs="Mangal"/>
                <w:b/>
                <w:i/>
                <w:lang w:eastAsia="en-US"/>
              </w:rPr>
              <w:t>(2f) „Čebelji strup“ je izloček strupne žleze čebel, ki ščitijo panj pred napadalci.“</w:t>
            </w:r>
          </w:p>
        </w:tc>
      </w:tr>
    </w:tbl>
    <w:p w14:paraId="4D03590F" w14:textId="77777777" w:rsidR="006F5BFE" w:rsidRPr="003B2277" w:rsidRDefault="006F5BFE" w:rsidP="006F5BFE">
      <w:pPr>
        <w:rPr>
          <w:lang w:eastAsia="en-US"/>
        </w:rPr>
      </w:pPr>
    </w:p>
    <w:p w14:paraId="147C84B2" w14:textId="5A2E5EA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160</w:t>
      </w:r>
    </w:p>
    <w:p w14:paraId="07FB57E4" w14:textId="77777777" w:rsidR="006F5BFE" w:rsidRPr="003B2277" w:rsidRDefault="006F5BFE" w:rsidP="006F5BFE"/>
    <w:p w14:paraId="50677448" w14:textId="77777777" w:rsidR="006F5BFE" w:rsidRPr="003B2277" w:rsidRDefault="006F5BFE" w:rsidP="006F5BFE">
      <w:pPr>
        <w:keepNext/>
        <w:rPr>
          <w:b/>
          <w:lang w:eastAsia="en-US"/>
        </w:rPr>
      </w:pPr>
      <w:r w:rsidRPr="003B2277">
        <w:rPr>
          <w:rFonts w:eastAsia="Calibri" w:cs="Mangal"/>
          <w:b/>
          <w:lang w:eastAsia="en-US"/>
        </w:rPr>
        <w:t>Predlog uredbe</w:t>
      </w:r>
    </w:p>
    <w:p w14:paraId="2BE4DFAD" w14:textId="77777777" w:rsidR="006F5BFE" w:rsidRPr="003B2277" w:rsidRDefault="006F5BFE" w:rsidP="006F5BFE">
      <w:pPr>
        <w:rPr>
          <w:b/>
          <w:lang w:eastAsia="en-US"/>
        </w:rPr>
      </w:pPr>
      <w:r w:rsidRPr="003B2277">
        <w:rPr>
          <w:rFonts w:eastAsia="Calibri" w:cs="Mangal"/>
          <w:b/>
          <w:lang w:eastAsia="en-US"/>
        </w:rPr>
        <w:t>Člen 1 – odstavek 1 – točka 30 – točka b</w:t>
      </w:r>
    </w:p>
    <w:p w14:paraId="0665AA72" w14:textId="77777777" w:rsidR="006F5BFE" w:rsidRPr="003B2277" w:rsidRDefault="006F5BFE" w:rsidP="006F5BFE">
      <w:pPr>
        <w:keepNext/>
        <w:rPr>
          <w:lang w:eastAsia="en-US"/>
        </w:rPr>
      </w:pPr>
      <w:r w:rsidRPr="003B2277">
        <w:rPr>
          <w:rFonts w:eastAsia="Calibri" w:cs="Mangal"/>
          <w:lang w:eastAsia="en-US"/>
        </w:rPr>
        <w:t>Uredba (EU) št. 1308/2013</w:t>
      </w:r>
    </w:p>
    <w:p w14:paraId="05488C8B" w14:textId="77777777" w:rsidR="006F5BFE" w:rsidRPr="003B2277" w:rsidRDefault="006F5BFE" w:rsidP="006F5BFE">
      <w:pPr>
        <w:rPr>
          <w:lang w:eastAsia="en-US"/>
        </w:rPr>
      </w:pPr>
      <w:r w:rsidRPr="003B2277">
        <w:rPr>
          <w:rFonts w:eastAsia="Calibri" w:cs="Mangal"/>
          <w:lang w:eastAsia="en-US"/>
        </w:rPr>
        <w:t>Priloga III – del B – točka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87D077D" w14:textId="77777777" w:rsidTr="005B4D60">
        <w:trPr>
          <w:jc w:val="center"/>
        </w:trPr>
        <w:tc>
          <w:tcPr>
            <w:tcW w:w="9752" w:type="dxa"/>
            <w:gridSpan w:val="2"/>
          </w:tcPr>
          <w:p w14:paraId="4B445BA8" w14:textId="77777777" w:rsidR="006F5BFE" w:rsidRPr="003B2277" w:rsidRDefault="006F5BFE" w:rsidP="005B4D60">
            <w:pPr>
              <w:keepNext/>
            </w:pPr>
          </w:p>
        </w:tc>
      </w:tr>
      <w:tr w:rsidR="006F5BFE" w:rsidRPr="003B2277" w14:paraId="0B45BA07" w14:textId="77777777" w:rsidTr="005B4D60">
        <w:trPr>
          <w:jc w:val="center"/>
        </w:trPr>
        <w:tc>
          <w:tcPr>
            <w:tcW w:w="4876" w:type="dxa"/>
            <w:hideMark/>
          </w:tcPr>
          <w:p w14:paraId="0F94F684"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0C1F0F4" w14:textId="3FF13F7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31A3D5D" w14:textId="77777777" w:rsidTr="005B4D60">
        <w:trPr>
          <w:jc w:val="center"/>
        </w:trPr>
        <w:tc>
          <w:tcPr>
            <w:tcW w:w="4876" w:type="dxa"/>
            <w:hideMark/>
          </w:tcPr>
          <w:p w14:paraId="0CFE5BEA" w14:textId="77777777" w:rsidR="006F5BFE" w:rsidRPr="003B2277" w:rsidRDefault="006F5BFE" w:rsidP="005B4D60">
            <w:pPr>
              <w:spacing w:after="120"/>
              <w:rPr>
                <w:lang w:eastAsia="en-US"/>
              </w:rPr>
            </w:pPr>
            <w:r w:rsidRPr="003B2277">
              <w:rPr>
                <w:rFonts w:eastAsia="Calibri" w:cs="Mangal"/>
                <w:b/>
                <w:i/>
                <w:lang w:eastAsia="en-US"/>
              </w:rPr>
              <w:t>(b)</w:t>
            </w:r>
            <w:r w:rsidRPr="003B2277">
              <w:rPr>
                <w:rFonts w:eastAsia="Calibri" w:cs="Mangal"/>
                <w:b/>
                <w:i/>
                <w:lang w:eastAsia="en-US"/>
              </w:rPr>
              <w:tab/>
              <w:t>v delu B se oddelek I črta;</w:t>
            </w:r>
          </w:p>
        </w:tc>
        <w:tc>
          <w:tcPr>
            <w:tcW w:w="4876" w:type="dxa"/>
            <w:hideMark/>
          </w:tcPr>
          <w:p w14:paraId="1518CA6C" w14:textId="77777777" w:rsidR="006F5BFE" w:rsidRPr="003B2277" w:rsidRDefault="006F5BFE" w:rsidP="005B4D60">
            <w:pPr>
              <w:spacing w:after="120"/>
              <w:rPr>
                <w:szCs w:val="24"/>
                <w:lang w:eastAsia="en-US"/>
              </w:rPr>
            </w:pPr>
            <w:r w:rsidRPr="003B2277">
              <w:rPr>
                <w:rFonts w:eastAsia="Calibri" w:cs="Mangal"/>
                <w:b/>
                <w:i/>
                <w:lang w:eastAsia="en-US"/>
              </w:rPr>
              <w:t>črtano</w:t>
            </w:r>
          </w:p>
        </w:tc>
      </w:tr>
    </w:tbl>
    <w:p w14:paraId="50B11876" w14:textId="77777777" w:rsidR="006F5BFE" w:rsidRPr="003B2277" w:rsidRDefault="006F5BFE" w:rsidP="006F5BFE">
      <w:pPr>
        <w:rPr>
          <w:lang w:eastAsia="en-US"/>
        </w:rPr>
      </w:pPr>
    </w:p>
    <w:p w14:paraId="3504547D" w14:textId="251DD26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161</w:t>
      </w:r>
    </w:p>
    <w:p w14:paraId="022A0F4A" w14:textId="77777777" w:rsidR="006F5BFE" w:rsidRPr="003B2277" w:rsidRDefault="006F5BFE" w:rsidP="006F5BFE"/>
    <w:p w14:paraId="22992F20" w14:textId="77777777" w:rsidR="006F5BFE" w:rsidRPr="003B2277" w:rsidRDefault="006F5BFE" w:rsidP="006F5BFE">
      <w:pPr>
        <w:keepNext/>
        <w:rPr>
          <w:b/>
          <w:lang w:eastAsia="en-US"/>
        </w:rPr>
      </w:pPr>
      <w:r w:rsidRPr="003B2277">
        <w:rPr>
          <w:rFonts w:eastAsia="Calibri" w:cs="Mangal"/>
          <w:b/>
          <w:lang w:eastAsia="en-US"/>
        </w:rPr>
        <w:t>Predlog uredbe</w:t>
      </w:r>
    </w:p>
    <w:p w14:paraId="69B19CAA" w14:textId="77777777" w:rsidR="006F5BFE" w:rsidRPr="003B2277" w:rsidRDefault="006F5BFE" w:rsidP="006F5BFE">
      <w:pPr>
        <w:rPr>
          <w:b/>
          <w:lang w:eastAsia="en-US"/>
        </w:rPr>
      </w:pPr>
      <w:r w:rsidRPr="003B2277">
        <w:rPr>
          <w:rFonts w:eastAsia="Calibri" w:cs="Mangal"/>
          <w:b/>
          <w:lang w:eastAsia="en-US"/>
        </w:rPr>
        <w:t>Člen 1 – odstavek 1 – točka 31 a (novo)</w:t>
      </w:r>
    </w:p>
    <w:p w14:paraId="5DD425E2" w14:textId="77777777" w:rsidR="006F5BFE" w:rsidRPr="003B2277" w:rsidRDefault="006F5BFE" w:rsidP="006F5BFE">
      <w:pPr>
        <w:keepNext/>
        <w:rPr>
          <w:lang w:eastAsia="en-US"/>
        </w:rPr>
      </w:pPr>
      <w:r w:rsidRPr="003B2277">
        <w:rPr>
          <w:rFonts w:eastAsia="Calibri" w:cs="Mangal"/>
          <w:lang w:eastAsia="en-US"/>
        </w:rPr>
        <w:t>Uredba (EU) št. 1308/2013</w:t>
      </w:r>
    </w:p>
    <w:p w14:paraId="2EBE402B" w14:textId="77777777" w:rsidR="006F5BFE" w:rsidRPr="003B2277" w:rsidRDefault="006F5BFE" w:rsidP="006F5BFE">
      <w:pPr>
        <w:rPr>
          <w:lang w:eastAsia="en-US"/>
        </w:rPr>
      </w:pPr>
      <w:r w:rsidRPr="003B2277">
        <w:rPr>
          <w:rFonts w:eastAsia="Calibri" w:cs="Mangal"/>
          <w:lang w:eastAsia="en-US"/>
        </w:rPr>
        <w:t>Priloga VII – del I – naslov</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76FD934" w14:textId="77777777" w:rsidTr="005B4D60">
        <w:trPr>
          <w:jc w:val="center"/>
        </w:trPr>
        <w:tc>
          <w:tcPr>
            <w:tcW w:w="9752" w:type="dxa"/>
            <w:gridSpan w:val="2"/>
          </w:tcPr>
          <w:p w14:paraId="53B08F21" w14:textId="77777777" w:rsidR="006F5BFE" w:rsidRPr="003B2277" w:rsidRDefault="006F5BFE" w:rsidP="005B4D60">
            <w:pPr>
              <w:keepNext/>
            </w:pPr>
          </w:p>
        </w:tc>
      </w:tr>
      <w:tr w:rsidR="006F5BFE" w:rsidRPr="003B2277" w14:paraId="7A1BDD1C" w14:textId="77777777" w:rsidTr="005B4D60">
        <w:trPr>
          <w:jc w:val="center"/>
        </w:trPr>
        <w:tc>
          <w:tcPr>
            <w:tcW w:w="4876" w:type="dxa"/>
            <w:hideMark/>
          </w:tcPr>
          <w:p w14:paraId="58EC6F2A"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1717ED8" w14:textId="041D055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332AD46" w14:textId="77777777" w:rsidTr="005B4D60">
        <w:trPr>
          <w:jc w:val="center"/>
        </w:trPr>
        <w:tc>
          <w:tcPr>
            <w:tcW w:w="4876" w:type="dxa"/>
          </w:tcPr>
          <w:p w14:paraId="19FE87AB" w14:textId="77777777" w:rsidR="006F5BFE" w:rsidRPr="003B2277" w:rsidRDefault="006F5BFE" w:rsidP="005B4D60">
            <w:pPr>
              <w:spacing w:after="120"/>
            </w:pPr>
          </w:p>
        </w:tc>
        <w:tc>
          <w:tcPr>
            <w:tcW w:w="4876" w:type="dxa"/>
            <w:hideMark/>
          </w:tcPr>
          <w:p w14:paraId="54A759F3" w14:textId="77777777" w:rsidR="006F5BFE" w:rsidRPr="003B2277" w:rsidRDefault="006F5BFE" w:rsidP="005B4D60">
            <w:pPr>
              <w:spacing w:after="120"/>
              <w:rPr>
                <w:szCs w:val="24"/>
                <w:lang w:eastAsia="en-US"/>
              </w:rPr>
            </w:pPr>
            <w:r w:rsidRPr="003B2277">
              <w:rPr>
                <w:rFonts w:eastAsia="Calibri" w:cs="Mangal"/>
                <w:b/>
                <w:i/>
                <w:lang w:eastAsia="en-US"/>
              </w:rPr>
              <w:t>(31a)</w:t>
            </w:r>
            <w:r w:rsidRPr="003B2277">
              <w:rPr>
                <w:rFonts w:eastAsia="Calibri" w:cs="Mangal"/>
                <w:b/>
                <w:i/>
                <w:lang w:eastAsia="en-US"/>
              </w:rPr>
              <w:tab/>
              <w:t>v delu I Priloge VII se naslov nadomesti z naslednjim:</w:t>
            </w:r>
          </w:p>
        </w:tc>
      </w:tr>
      <w:tr w:rsidR="006F5BFE" w:rsidRPr="003B2277" w14:paraId="70B3EFBA" w14:textId="77777777" w:rsidTr="005B4D60">
        <w:trPr>
          <w:jc w:val="center"/>
        </w:trPr>
        <w:tc>
          <w:tcPr>
            <w:tcW w:w="4876" w:type="dxa"/>
            <w:hideMark/>
          </w:tcPr>
          <w:p w14:paraId="3A2E22C8" w14:textId="77777777" w:rsidR="006F5BFE" w:rsidRPr="003B2277" w:rsidRDefault="006F5BFE" w:rsidP="005B4D60">
            <w:pPr>
              <w:spacing w:after="120"/>
              <w:rPr>
                <w:lang w:eastAsia="en-US"/>
              </w:rPr>
            </w:pPr>
            <w:r w:rsidRPr="003B2277">
              <w:rPr>
                <w:rFonts w:eastAsia="Calibri" w:cs="Mangal"/>
                <w:b/>
                <w:i/>
                <w:lang w:eastAsia="en-US"/>
              </w:rPr>
              <w:t>DEL I</w:t>
            </w:r>
          </w:p>
        </w:tc>
        <w:tc>
          <w:tcPr>
            <w:tcW w:w="4876" w:type="dxa"/>
            <w:hideMark/>
          </w:tcPr>
          <w:p w14:paraId="16F93005"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DEL I</w:t>
            </w:r>
          </w:p>
        </w:tc>
      </w:tr>
      <w:tr w:rsidR="006F5BFE" w:rsidRPr="003B2277" w14:paraId="119045BA" w14:textId="77777777" w:rsidTr="005B4D60">
        <w:trPr>
          <w:jc w:val="center"/>
        </w:trPr>
        <w:tc>
          <w:tcPr>
            <w:tcW w:w="4876" w:type="dxa"/>
            <w:hideMark/>
          </w:tcPr>
          <w:p w14:paraId="4200B073" w14:textId="77777777" w:rsidR="006F5BFE" w:rsidRPr="003B2277" w:rsidRDefault="006F5BFE" w:rsidP="005B4D60">
            <w:pPr>
              <w:spacing w:after="120"/>
              <w:rPr>
                <w:lang w:eastAsia="en-US"/>
              </w:rPr>
            </w:pPr>
            <w:r w:rsidRPr="003B2277">
              <w:rPr>
                <w:rFonts w:eastAsia="Calibri" w:cs="Mangal"/>
                <w:lang w:eastAsia="en-US"/>
              </w:rPr>
              <w:t xml:space="preserve">Meso goveda, </w:t>
            </w:r>
            <w:r w:rsidRPr="003B2277">
              <w:rPr>
                <w:rFonts w:eastAsia="Calibri" w:cs="Mangal"/>
                <w:b/>
                <w:i/>
                <w:lang w:eastAsia="en-US"/>
              </w:rPr>
              <w:t>starega</w:t>
            </w:r>
            <w:r w:rsidRPr="003B2277">
              <w:rPr>
                <w:rFonts w:eastAsia="Calibri" w:cs="Mangal"/>
                <w:lang w:eastAsia="en-US"/>
              </w:rPr>
              <w:t xml:space="preserve"> manj kot dvanajst </w:t>
            </w:r>
            <w:r w:rsidRPr="003B2277">
              <w:rPr>
                <w:rFonts w:eastAsia="Calibri" w:cs="Mangal"/>
                <w:b/>
                <w:i/>
                <w:lang w:eastAsia="en-US"/>
              </w:rPr>
              <w:t>mesecev</w:t>
            </w:r>
          </w:p>
        </w:tc>
        <w:tc>
          <w:tcPr>
            <w:tcW w:w="4876" w:type="dxa"/>
            <w:hideMark/>
          </w:tcPr>
          <w:p w14:paraId="2F7E0B9D" w14:textId="77777777" w:rsidR="006F5BFE" w:rsidRPr="003B2277" w:rsidRDefault="006F5BFE" w:rsidP="005B4D60">
            <w:pPr>
              <w:spacing w:after="120"/>
              <w:rPr>
                <w:szCs w:val="24"/>
                <w:lang w:eastAsia="en-US"/>
              </w:rPr>
            </w:pPr>
            <w:r w:rsidRPr="003B2277">
              <w:rPr>
                <w:rFonts w:eastAsia="Calibri" w:cs="Mangal"/>
                <w:lang w:eastAsia="en-US"/>
              </w:rPr>
              <w:t>Meso goveda</w:t>
            </w:r>
            <w:r w:rsidRPr="003B2277">
              <w:rPr>
                <w:rFonts w:eastAsia="Calibri" w:cs="Mangal"/>
                <w:b/>
                <w:i/>
                <w:lang w:eastAsia="en-US"/>
              </w:rPr>
              <w:t xml:space="preserve"> in ovac</w:t>
            </w:r>
            <w:r w:rsidRPr="003B2277">
              <w:rPr>
                <w:rFonts w:eastAsia="Calibri" w:cs="Mangal"/>
                <w:lang w:eastAsia="en-US"/>
              </w:rPr>
              <w:t xml:space="preserve">, </w:t>
            </w:r>
            <w:r w:rsidRPr="003B2277">
              <w:rPr>
                <w:rFonts w:eastAsia="Calibri" w:cs="Mangal"/>
                <w:b/>
                <w:i/>
                <w:lang w:eastAsia="en-US"/>
              </w:rPr>
              <w:t>starih</w:t>
            </w:r>
            <w:r w:rsidRPr="003B2277">
              <w:rPr>
                <w:rFonts w:eastAsia="Calibri" w:cs="Mangal"/>
                <w:lang w:eastAsia="en-US"/>
              </w:rPr>
              <w:t xml:space="preserve"> manj kot dvanajst </w:t>
            </w:r>
            <w:r w:rsidRPr="003B2277">
              <w:rPr>
                <w:rFonts w:eastAsia="Calibri" w:cs="Mangal"/>
                <w:b/>
                <w:i/>
                <w:lang w:eastAsia="en-US"/>
              </w:rPr>
              <w:t>mesecev“</w:t>
            </w:r>
          </w:p>
        </w:tc>
      </w:tr>
    </w:tbl>
    <w:p w14:paraId="4919D7E8" w14:textId="77777777" w:rsidR="006F5BFE" w:rsidRPr="003B2277" w:rsidRDefault="006F5BFE" w:rsidP="006F5BFE">
      <w:pPr>
        <w:rPr>
          <w:lang w:eastAsia="en-US"/>
        </w:rPr>
      </w:pPr>
    </w:p>
    <w:p w14:paraId="7F7CC435" w14:textId="6862D19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162</w:t>
      </w:r>
    </w:p>
    <w:p w14:paraId="708018CA" w14:textId="77777777" w:rsidR="006F5BFE" w:rsidRPr="003B2277" w:rsidRDefault="006F5BFE" w:rsidP="006F5BFE"/>
    <w:p w14:paraId="7D44012E" w14:textId="77777777" w:rsidR="006F5BFE" w:rsidRPr="003B2277" w:rsidRDefault="006F5BFE" w:rsidP="006F5BFE">
      <w:pPr>
        <w:keepNext/>
        <w:rPr>
          <w:b/>
          <w:lang w:eastAsia="en-US"/>
        </w:rPr>
      </w:pPr>
      <w:r w:rsidRPr="003B2277">
        <w:rPr>
          <w:rFonts w:eastAsia="Calibri" w:cs="Mangal"/>
          <w:b/>
          <w:lang w:eastAsia="en-US"/>
        </w:rPr>
        <w:t>Predlog uredbe</w:t>
      </w:r>
    </w:p>
    <w:p w14:paraId="34EE2F08" w14:textId="77777777" w:rsidR="006F5BFE" w:rsidRPr="003B2277" w:rsidRDefault="006F5BFE" w:rsidP="006F5BFE">
      <w:pPr>
        <w:rPr>
          <w:b/>
          <w:lang w:eastAsia="en-US"/>
        </w:rPr>
      </w:pPr>
      <w:r w:rsidRPr="003B2277">
        <w:rPr>
          <w:rFonts w:eastAsia="Calibri" w:cs="Mangal"/>
          <w:b/>
          <w:lang w:eastAsia="en-US"/>
        </w:rPr>
        <w:t>Člen 1 – odstavek 1 – točka 31 b (novo)</w:t>
      </w:r>
    </w:p>
    <w:p w14:paraId="308F2059" w14:textId="77777777" w:rsidR="006F5BFE" w:rsidRPr="003B2277" w:rsidRDefault="006F5BFE" w:rsidP="006F5BFE">
      <w:pPr>
        <w:keepNext/>
        <w:rPr>
          <w:lang w:eastAsia="en-US"/>
        </w:rPr>
      </w:pPr>
      <w:r w:rsidRPr="003B2277">
        <w:rPr>
          <w:rFonts w:eastAsia="Calibri" w:cs="Mangal"/>
          <w:lang w:eastAsia="en-US"/>
        </w:rPr>
        <w:t>Uredba (EU) št. 1308/2013</w:t>
      </w:r>
    </w:p>
    <w:p w14:paraId="7DD8B305" w14:textId="77777777" w:rsidR="006F5BFE" w:rsidRPr="003B2277" w:rsidRDefault="006F5BFE" w:rsidP="006F5BFE">
      <w:pPr>
        <w:rPr>
          <w:lang w:eastAsia="en-US"/>
        </w:rPr>
      </w:pPr>
      <w:r w:rsidRPr="003B2277">
        <w:rPr>
          <w:rFonts w:eastAsia="Calibri" w:cs="Mangal"/>
          <w:lang w:eastAsia="en-US"/>
        </w:rPr>
        <w:t>Priloga VII – del I – oddelek 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2959407" w14:textId="77777777" w:rsidTr="005B4D60">
        <w:trPr>
          <w:jc w:val="center"/>
        </w:trPr>
        <w:tc>
          <w:tcPr>
            <w:tcW w:w="9752" w:type="dxa"/>
            <w:gridSpan w:val="2"/>
          </w:tcPr>
          <w:p w14:paraId="7D58CBF6" w14:textId="77777777" w:rsidR="006F5BFE" w:rsidRPr="003B2277" w:rsidRDefault="006F5BFE" w:rsidP="005B4D60">
            <w:pPr>
              <w:keepNext/>
            </w:pPr>
          </w:p>
        </w:tc>
      </w:tr>
      <w:tr w:rsidR="006F5BFE" w:rsidRPr="003B2277" w14:paraId="300C0D3A" w14:textId="77777777" w:rsidTr="005B4D60">
        <w:trPr>
          <w:jc w:val="center"/>
        </w:trPr>
        <w:tc>
          <w:tcPr>
            <w:tcW w:w="4876" w:type="dxa"/>
            <w:hideMark/>
          </w:tcPr>
          <w:p w14:paraId="4F5CAD87"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179FDD8" w14:textId="320F78C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4A8A3CC" w14:textId="77777777" w:rsidTr="005B4D60">
        <w:trPr>
          <w:jc w:val="center"/>
        </w:trPr>
        <w:tc>
          <w:tcPr>
            <w:tcW w:w="4876" w:type="dxa"/>
          </w:tcPr>
          <w:p w14:paraId="59644807" w14:textId="77777777" w:rsidR="006F5BFE" w:rsidRPr="003B2277" w:rsidRDefault="006F5BFE" w:rsidP="005B4D60">
            <w:pPr>
              <w:spacing w:after="120"/>
            </w:pPr>
          </w:p>
        </w:tc>
        <w:tc>
          <w:tcPr>
            <w:tcW w:w="4876" w:type="dxa"/>
            <w:hideMark/>
          </w:tcPr>
          <w:p w14:paraId="772C2C33" w14:textId="77777777" w:rsidR="006F5BFE" w:rsidRPr="003B2277" w:rsidRDefault="006F5BFE" w:rsidP="005B4D60">
            <w:pPr>
              <w:spacing w:after="120"/>
              <w:rPr>
                <w:szCs w:val="24"/>
                <w:lang w:eastAsia="en-US"/>
              </w:rPr>
            </w:pPr>
            <w:r w:rsidRPr="003B2277">
              <w:rPr>
                <w:rFonts w:eastAsia="Calibri" w:cs="Mangal"/>
                <w:b/>
                <w:i/>
                <w:lang w:eastAsia="en-US"/>
              </w:rPr>
              <w:t>(31b)</w:t>
            </w:r>
            <w:r w:rsidRPr="003B2277">
              <w:rPr>
                <w:rFonts w:eastAsia="Calibri" w:cs="Mangal"/>
                <w:b/>
                <w:i/>
                <w:lang w:eastAsia="en-US"/>
              </w:rPr>
              <w:tab/>
              <w:t>v delu I Priloge VII se oddelek II nadomesti z naslednjim:</w:t>
            </w:r>
          </w:p>
        </w:tc>
      </w:tr>
      <w:tr w:rsidR="006F5BFE" w:rsidRPr="003B2277" w14:paraId="20672F70" w14:textId="77777777" w:rsidTr="005B4D60">
        <w:trPr>
          <w:jc w:val="center"/>
        </w:trPr>
        <w:tc>
          <w:tcPr>
            <w:tcW w:w="4876" w:type="dxa"/>
            <w:hideMark/>
          </w:tcPr>
          <w:p w14:paraId="04A0D24F" w14:textId="77777777" w:rsidR="006F5BFE" w:rsidRPr="003B2277" w:rsidRDefault="006F5BFE" w:rsidP="005B4D60">
            <w:pPr>
              <w:spacing w:after="120"/>
              <w:rPr>
                <w:lang w:eastAsia="en-US"/>
              </w:rPr>
            </w:pPr>
            <w:r w:rsidRPr="003B2277">
              <w:rPr>
                <w:rFonts w:eastAsia="Calibri" w:cs="Mangal"/>
                <w:lang w:eastAsia="en-US"/>
              </w:rPr>
              <w:t xml:space="preserve">II. Razvrščanje goveda, </w:t>
            </w:r>
            <w:r w:rsidRPr="003B2277">
              <w:rPr>
                <w:rFonts w:eastAsia="Calibri" w:cs="Mangal"/>
                <w:b/>
                <w:i/>
                <w:lang w:eastAsia="en-US"/>
              </w:rPr>
              <w:t>starega</w:t>
            </w:r>
            <w:r w:rsidRPr="003B2277">
              <w:rPr>
                <w:rFonts w:eastAsia="Calibri" w:cs="Mangal"/>
                <w:lang w:eastAsia="en-US"/>
              </w:rPr>
              <w:t xml:space="preserve"> manj kot dvanajst mesecev, v klavnici</w:t>
            </w:r>
          </w:p>
        </w:tc>
        <w:tc>
          <w:tcPr>
            <w:tcW w:w="4876" w:type="dxa"/>
          </w:tcPr>
          <w:p w14:paraId="28B0C44B" w14:textId="77777777" w:rsidR="006F5BFE" w:rsidRPr="003B2277" w:rsidRDefault="006F5BFE" w:rsidP="005B4D60">
            <w:pPr>
              <w:spacing w:after="120"/>
              <w:rPr>
                <w:szCs w:val="24"/>
                <w:lang w:eastAsia="en-US"/>
              </w:rPr>
            </w:pPr>
            <w:r w:rsidRPr="003B2277">
              <w:rPr>
                <w:rFonts w:eastAsia="Calibri" w:cs="Mangal"/>
                <w:b/>
                <w:i/>
                <w:lang w:eastAsia="en-US"/>
              </w:rPr>
              <w:t>„II.</w:t>
            </w:r>
            <w:r w:rsidRPr="003B2277">
              <w:rPr>
                <w:rFonts w:eastAsia="Calibri" w:cs="Mangal"/>
                <w:lang w:eastAsia="en-US"/>
              </w:rPr>
              <w:t xml:space="preserve"> Razvrščanje goveda</w:t>
            </w:r>
            <w:r w:rsidRPr="003B2277">
              <w:rPr>
                <w:rFonts w:eastAsia="Calibri" w:cs="Mangal"/>
                <w:b/>
                <w:i/>
                <w:lang w:eastAsia="en-US"/>
              </w:rPr>
              <w:t xml:space="preserve"> in ovac</w:t>
            </w:r>
            <w:r w:rsidRPr="003B2277">
              <w:rPr>
                <w:rFonts w:eastAsia="Calibri" w:cs="Mangal"/>
                <w:lang w:eastAsia="en-US"/>
              </w:rPr>
              <w:t xml:space="preserve">, </w:t>
            </w:r>
            <w:r w:rsidRPr="003B2277">
              <w:rPr>
                <w:rFonts w:eastAsia="Calibri" w:cs="Mangal"/>
                <w:b/>
                <w:i/>
                <w:lang w:eastAsia="en-US"/>
              </w:rPr>
              <w:t>starih</w:t>
            </w:r>
            <w:r w:rsidRPr="003B2277">
              <w:rPr>
                <w:rFonts w:eastAsia="Calibri" w:cs="Mangal"/>
                <w:lang w:eastAsia="en-US"/>
              </w:rPr>
              <w:t xml:space="preserve"> manj kot dvanajst mesecev, v klavnici</w:t>
            </w:r>
          </w:p>
        </w:tc>
      </w:tr>
      <w:tr w:rsidR="006F5BFE" w:rsidRPr="003B2277" w14:paraId="54FD4835" w14:textId="77777777" w:rsidTr="005B4D60">
        <w:trPr>
          <w:jc w:val="center"/>
        </w:trPr>
        <w:tc>
          <w:tcPr>
            <w:tcW w:w="4876" w:type="dxa"/>
            <w:hideMark/>
          </w:tcPr>
          <w:p w14:paraId="3193AC63" w14:textId="77777777" w:rsidR="006F5BFE" w:rsidRPr="003B2277" w:rsidRDefault="006F5BFE" w:rsidP="005B4D60">
            <w:pPr>
              <w:spacing w:after="120"/>
              <w:rPr>
                <w:lang w:eastAsia="en-US"/>
              </w:rPr>
            </w:pPr>
            <w:r w:rsidRPr="003B2277">
              <w:rPr>
                <w:rFonts w:eastAsia="Calibri" w:cs="Mangal"/>
                <w:lang w:eastAsia="en-US"/>
              </w:rPr>
              <w:t>Izvajalci ob zakolu vsa goveda, stara manj kot dvanajst mesecev, pod nadzorom pristojnega organa razvrstijo v eno od naslednjih dveh kategorij:</w:t>
            </w:r>
          </w:p>
        </w:tc>
        <w:tc>
          <w:tcPr>
            <w:tcW w:w="4876" w:type="dxa"/>
          </w:tcPr>
          <w:p w14:paraId="09491D7F" w14:textId="77777777" w:rsidR="006F5BFE" w:rsidRPr="003B2277" w:rsidRDefault="006F5BFE" w:rsidP="005B4D60">
            <w:pPr>
              <w:spacing w:after="120"/>
              <w:rPr>
                <w:szCs w:val="24"/>
                <w:lang w:eastAsia="en-US"/>
              </w:rPr>
            </w:pPr>
            <w:r w:rsidRPr="003B2277">
              <w:rPr>
                <w:rFonts w:eastAsia="Calibri" w:cs="Mangal"/>
                <w:lang w:eastAsia="en-US"/>
              </w:rPr>
              <w:t>Izvajalci ob zakolu vsa goveda, stara manj kot dvanajst mesecev, pod nadzorom pristojnega organa razvrstijo v eno od naslednjih dveh kategorij:</w:t>
            </w:r>
          </w:p>
        </w:tc>
      </w:tr>
      <w:tr w:rsidR="006F5BFE" w:rsidRPr="003B2277" w14:paraId="64704466" w14:textId="77777777" w:rsidTr="005B4D60">
        <w:trPr>
          <w:jc w:val="center"/>
        </w:trPr>
        <w:tc>
          <w:tcPr>
            <w:tcW w:w="4876" w:type="dxa"/>
            <w:hideMark/>
          </w:tcPr>
          <w:p w14:paraId="13C80681" w14:textId="77777777" w:rsidR="006F5BFE" w:rsidRPr="003B2277" w:rsidRDefault="006F5BFE" w:rsidP="005B4D60">
            <w:pPr>
              <w:spacing w:after="120"/>
              <w:rPr>
                <w:lang w:eastAsia="en-US"/>
              </w:rPr>
            </w:pPr>
            <w:r w:rsidRPr="003B2277">
              <w:rPr>
                <w:rFonts w:eastAsia="Calibri" w:cs="Mangal"/>
                <w:lang w:eastAsia="en-US"/>
              </w:rPr>
              <w:t>(A) kategorija V: govedo, staro manj kot osem mesecev.</w:t>
            </w:r>
          </w:p>
        </w:tc>
        <w:tc>
          <w:tcPr>
            <w:tcW w:w="4876" w:type="dxa"/>
          </w:tcPr>
          <w:p w14:paraId="7BAE2FE4" w14:textId="77777777" w:rsidR="006F5BFE" w:rsidRPr="003B2277" w:rsidRDefault="006F5BFE" w:rsidP="005B4D60">
            <w:pPr>
              <w:spacing w:after="120"/>
              <w:rPr>
                <w:szCs w:val="24"/>
                <w:lang w:eastAsia="en-US"/>
              </w:rPr>
            </w:pPr>
            <w:r w:rsidRPr="003B2277">
              <w:rPr>
                <w:rFonts w:eastAsia="Calibri" w:cs="Mangal"/>
                <w:lang w:eastAsia="en-US"/>
              </w:rPr>
              <w:t>(A) kategorija V: govedo, staro manj kot osem mesecev.</w:t>
            </w:r>
          </w:p>
        </w:tc>
      </w:tr>
      <w:tr w:rsidR="006F5BFE" w:rsidRPr="003B2277" w14:paraId="15C352FF" w14:textId="77777777" w:rsidTr="005B4D60">
        <w:trPr>
          <w:jc w:val="center"/>
        </w:trPr>
        <w:tc>
          <w:tcPr>
            <w:tcW w:w="4876" w:type="dxa"/>
            <w:hideMark/>
          </w:tcPr>
          <w:p w14:paraId="41FCDF96" w14:textId="77777777" w:rsidR="006F5BFE" w:rsidRPr="003B2277" w:rsidRDefault="006F5BFE" w:rsidP="005B4D60">
            <w:pPr>
              <w:spacing w:after="120"/>
              <w:rPr>
                <w:lang w:eastAsia="en-US"/>
              </w:rPr>
            </w:pPr>
            <w:r w:rsidRPr="003B2277">
              <w:rPr>
                <w:rFonts w:eastAsia="Calibri" w:cs="Mangal"/>
                <w:lang w:eastAsia="en-US"/>
              </w:rPr>
              <w:t>Identifikacijska črka kategorije: V;</w:t>
            </w:r>
          </w:p>
        </w:tc>
        <w:tc>
          <w:tcPr>
            <w:tcW w:w="4876" w:type="dxa"/>
          </w:tcPr>
          <w:p w14:paraId="1D1A51DD" w14:textId="77777777" w:rsidR="006F5BFE" w:rsidRPr="003B2277" w:rsidRDefault="006F5BFE" w:rsidP="005B4D60">
            <w:pPr>
              <w:spacing w:after="120"/>
              <w:rPr>
                <w:szCs w:val="24"/>
                <w:lang w:eastAsia="en-US"/>
              </w:rPr>
            </w:pPr>
            <w:r w:rsidRPr="003B2277">
              <w:rPr>
                <w:rFonts w:eastAsia="Calibri" w:cs="Mangal"/>
                <w:lang w:eastAsia="en-US"/>
              </w:rPr>
              <w:t>Identifikacijska črka kategorije: V;</w:t>
            </w:r>
          </w:p>
        </w:tc>
      </w:tr>
      <w:tr w:rsidR="006F5BFE" w:rsidRPr="003B2277" w14:paraId="253B6429" w14:textId="77777777" w:rsidTr="005B4D60">
        <w:trPr>
          <w:jc w:val="center"/>
        </w:trPr>
        <w:tc>
          <w:tcPr>
            <w:tcW w:w="4876" w:type="dxa"/>
            <w:hideMark/>
          </w:tcPr>
          <w:p w14:paraId="0153AD99" w14:textId="77777777" w:rsidR="006F5BFE" w:rsidRPr="003B2277" w:rsidRDefault="006F5BFE" w:rsidP="005B4D60">
            <w:pPr>
              <w:spacing w:after="120"/>
              <w:rPr>
                <w:lang w:eastAsia="en-US"/>
              </w:rPr>
            </w:pPr>
            <w:r w:rsidRPr="003B2277">
              <w:rPr>
                <w:rFonts w:eastAsia="Calibri" w:cs="Mangal"/>
                <w:lang w:eastAsia="en-US"/>
              </w:rPr>
              <w:t>(B) kategorija Z: govedo, staro od osem mesecev do manj kot 12 mesecev.</w:t>
            </w:r>
          </w:p>
        </w:tc>
        <w:tc>
          <w:tcPr>
            <w:tcW w:w="4876" w:type="dxa"/>
          </w:tcPr>
          <w:p w14:paraId="02377976" w14:textId="77777777" w:rsidR="006F5BFE" w:rsidRPr="003B2277" w:rsidRDefault="006F5BFE" w:rsidP="005B4D60">
            <w:pPr>
              <w:spacing w:after="120"/>
              <w:rPr>
                <w:szCs w:val="24"/>
                <w:lang w:eastAsia="en-US"/>
              </w:rPr>
            </w:pPr>
            <w:r w:rsidRPr="003B2277">
              <w:rPr>
                <w:rFonts w:eastAsia="Calibri" w:cs="Mangal"/>
                <w:lang w:eastAsia="en-US"/>
              </w:rPr>
              <w:t>(B) kategorija Z: govedo, staro od osem mesecev do manj kot 12 mesecev.</w:t>
            </w:r>
          </w:p>
        </w:tc>
      </w:tr>
      <w:tr w:rsidR="006F5BFE" w:rsidRPr="003B2277" w14:paraId="59DA4906" w14:textId="77777777" w:rsidTr="005B4D60">
        <w:trPr>
          <w:jc w:val="center"/>
        </w:trPr>
        <w:tc>
          <w:tcPr>
            <w:tcW w:w="4876" w:type="dxa"/>
            <w:hideMark/>
          </w:tcPr>
          <w:p w14:paraId="727E3206" w14:textId="77777777" w:rsidR="006F5BFE" w:rsidRPr="003B2277" w:rsidRDefault="006F5BFE" w:rsidP="005B4D60">
            <w:pPr>
              <w:spacing w:after="120"/>
              <w:rPr>
                <w:lang w:eastAsia="en-US"/>
              </w:rPr>
            </w:pPr>
            <w:r w:rsidRPr="003B2277">
              <w:rPr>
                <w:rFonts w:eastAsia="Calibri" w:cs="Mangal"/>
                <w:lang w:eastAsia="en-US"/>
              </w:rPr>
              <w:t>Identifikacijska črka kategorije: Z.</w:t>
            </w:r>
          </w:p>
        </w:tc>
        <w:tc>
          <w:tcPr>
            <w:tcW w:w="4876" w:type="dxa"/>
          </w:tcPr>
          <w:p w14:paraId="6E51F96A" w14:textId="77777777" w:rsidR="006F5BFE" w:rsidRPr="003B2277" w:rsidRDefault="006F5BFE" w:rsidP="005B4D60">
            <w:pPr>
              <w:spacing w:after="120"/>
              <w:rPr>
                <w:szCs w:val="24"/>
                <w:lang w:eastAsia="en-US"/>
              </w:rPr>
            </w:pPr>
            <w:r w:rsidRPr="003B2277">
              <w:rPr>
                <w:rFonts w:eastAsia="Calibri" w:cs="Mangal"/>
                <w:lang w:eastAsia="en-US"/>
              </w:rPr>
              <w:t>Identifikacijska črka kategorije: Z.</w:t>
            </w:r>
          </w:p>
        </w:tc>
      </w:tr>
      <w:tr w:rsidR="006F5BFE" w:rsidRPr="003B2277" w14:paraId="66D2244D" w14:textId="77777777" w:rsidTr="005B4D60">
        <w:trPr>
          <w:jc w:val="center"/>
        </w:trPr>
        <w:tc>
          <w:tcPr>
            <w:tcW w:w="4876" w:type="dxa"/>
          </w:tcPr>
          <w:p w14:paraId="26304C37" w14:textId="77777777" w:rsidR="006F5BFE" w:rsidRPr="003B2277" w:rsidRDefault="006F5BFE" w:rsidP="005B4D60">
            <w:pPr>
              <w:spacing w:after="120"/>
            </w:pPr>
          </w:p>
        </w:tc>
        <w:tc>
          <w:tcPr>
            <w:tcW w:w="4876" w:type="dxa"/>
            <w:hideMark/>
          </w:tcPr>
          <w:p w14:paraId="25E89613" w14:textId="77777777" w:rsidR="006F5BFE" w:rsidRPr="003B2277" w:rsidRDefault="006F5BFE" w:rsidP="005B4D60">
            <w:pPr>
              <w:spacing w:after="120"/>
              <w:rPr>
                <w:szCs w:val="24"/>
                <w:lang w:eastAsia="en-US"/>
              </w:rPr>
            </w:pPr>
            <w:r w:rsidRPr="003B2277">
              <w:rPr>
                <w:rFonts w:eastAsia="Calibri" w:cs="Mangal"/>
                <w:b/>
                <w:i/>
                <w:lang w:eastAsia="en-US"/>
              </w:rPr>
              <w:t>Izvajalci ob zakolu vse ovce, stare manj kot dvanajst mesecev, pod nadzorom pristojnega organa razvrstijo v naslednjo kategorijo: kategorija A: trupi ovac, starih manj kot dvanajst mesecev.</w:t>
            </w:r>
          </w:p>
        </w:tc>
      </w:tr>
      <w:tr w:rsidR="006F5BFE" w:rsidRPr="003B2277" w14:paraId="7F7A9DA6" w14:textId="77777777" w:rsidTr="005B4D60">
        <w:trPr>
          <w:jc w:val="center"/>
        </w:trPr>
        <w:tc>
          <w:tcPr>
            <w:tcW w:w="4876" w:type="dxa"/>
          </w:tcPr>
          <w:p w14:paraId="26C7902A" w14:textId="77777777" w:rsidR="006F5BFE" w:rsidRPr="003B2277" w:rsidRDefault="006F5BFE" w:rsidP="005B4D60">
            <w:pPr>
              <w:spacing w:after="120"/>
            </w:pPr>
          </w:p>
        </w:tc>
        <w:tc>
          <w:tcPr>
            <w:tcW w:w="4876" w:type="dxa"/>
            <w:hideMark/>
          </w:tcPr>
          <w:p w14:paraId="50F26E34" w14:textId="77777777" w:rsidR="006F5BFE" w:rsidRPr="003B2277" w:rsidRDefault="006F5BFE" w:rsidP="005B4D60">
            <w:pPr>
              <w:spacing w:after="120"/>
              <w:rPr>
                <w:szCs w:val="24"/>
                <w:lang w:eastAsia="en-US"/>
              </w:rPr>
            </w:pPr>
            <w:r w:rsidRPr="003B2277">
              <w:rPr>
                <w:rFonts w:eastAsia="Calibri" w:cs="Mangal"/>
                <w:b/>
                <w:i/>
                <w:lang w:eastAsia="en-US"/>
              </w:rPr>
              <w:t>Identifikacijska črka kategorije A.</w:t>
            </w:r>
          </w:p>
        </w:tc>
      </w:tr>
      <w:tr w:rsidR="006F5BFE" w:rsidRPr="003B2277" w14:paraId="69387107" w14:textId="77777777" w:rsidTr="005B4D60">
        <w:trPr>
          <w:jc w:val="center"/>
        </w:trPr>
        <w:tc>
          <w:tcPr>
            <w:tcW w:w="4876" w:type="dxa"/>
          </w:tcPr>
          <w:p w14:paraId="1DFEE490" w14:textId="77777777" w:rsidR="006F5BFE" w:rsidRPr="003B2277" w:rsidRDefault="006F5BFE" w:rsidP="005B4D60">
            <w:pPr>
              <w:spacing w:after="120"/>
              <w:rPr>
                <w:lang w:eastAsia="en-US"/>
              </w:rPr>
            </w:pPr>
            <w:r w:rsidRPr="003B2277">
              <w:rPr>
                <w:rFonts w:eastAsia="Calibri" w:cs="Mangal"/>
                <w:lang w:eastAsia="en-US"/>
              </w:rPr>
              <w:t xml:space="preserve">To razvrščanje se opravi na podlagi informacij iz potnega lista, s katerim </w:t>
            </w:r>
            <w:r w:rsidRPr="003B2277">
              <w:rPr>
                <w:rFonts w:eastAsia="Calibri" w:cs="Mangal"/>
                <w:b/>
                <w:i/>
                <w:lang w:eastAsia="en-US"/>
              </w:rPr>
              <w:t>je opremljeno</w:t>
            </w:r>
            <w:r w:rsidRPr="003B2277">
              <w:rPr>
                <w:rFonts w:eastAsia="Calibri" w:cs="Mangal"/>
                <w:lang w:eastAsia="en-US"/>
              </w:rPr>
              <w:t xml:space="preserve"> govedo, oziroma, če to ni mogoče, na podlagi podatkov iz računalniške baze podatkov iz člena 5 Uredbe (ES) št. 1760/2000 Evropskega parlamenta in Sveta</w:t>
            </w:r>
            <w:r w:rsidRPr="003B2277">
              <w:rPr>
                <w:rFonts w:eastAsia="Calibri" w:cs="Mangal"/>
                <w:vertAlign w:val="superscript"/>
                <w:lang w:eastAsia="en-US"/>
              </w:rPr>
              <w:t>32.</w:t>
            </w:r>
          </w:p>
        </w:tc>
        <w:tc>
          <w:tcPr>
            <w:tcW w:w="4876" w:type="dxa"/>
            <w:hideMark/>
          </w:tcPr>
          <w:p w14:paraId="56933A82" w14:textId="77777777" w:rsidR="006F5BFE" w:rsidRPr="003B2277" w:rsidRDefault="006F5BFE" w:rsidP="005B4D60">
            <w:pPr>
              <w:spacing w:after="120"/>
              <w:rPr>
                <w:szCs w:val="24"/>
                <w:lang w:eastAsia="en-US"/>
              </w:rPr>
            </w:pPr>
            <w:r w:rsidRPr="003B2277">
              <w:rPr>
                <w:rFonts w:eastAsia="Calibri" w:cs="Mangal"/>
                <w:lang w:eastAsia="en-US"/>
              </w:rPr>
              <w:t xml:space="preserve">To razvrščanje se opravi na podlagi informacij iz potnega lista, s katerim </w:t>
            </w:r>
            <w:r w:rsidRPr="003B2277">
              <w:rPr>
                <w:rFonts w:eastAsia="Calibri" w:cs="Mangal"/>
                <w:b/>
                <w:i/>
                <w:lang w:eastAsia="en-US"/>
              </w:rPr>
              <w:t>so opremljeni</w:t>
            </w:r>
            <w:r w:rsidRPr="003B2277">
              <w:rPr>
                <w:rFonts w:eastAsia="Calibri" w:cs="Mangal"/>
                <w:lang w:eastAsia="en-US"/>
              </w:rPr>
              <w:t xml:space="preserve"> govedo</w:t>
            </w:r>
            <w:r w:rsidRPr="003B2277">
              <w:rPr>
                <w:rFonts w:eastAsia="Calibri" w:cs="Mangal"/>
                <w:b/>
                <w:i/>
                <w:lang w:eastAsia="en-US"/>
              </w:rPr>
              <w:t xml:space="preserve"> in ovce</w:t>
            </w:r>
            <w:r w:rsidRPr="003B2277">
              <w:rPr>
                <w:rFonts w:eastAsia="Calibri" w:cs="Mangal"/>
                <w:lang w:eastAsia="en-US"/>
              </w:rPr>
              <w:t>, oziroma, če to ni mogoče, na podlagi podatkov iz računalniške baze podatkov iz člena 5 Uredbe (ES) št. 1760/2000 Evropskega parlamenta in Sveta</w:t>
            </w:r>
            <w:r w:rsidRPr="003B2277">
              <w:rPr>
                <w:rFonts w:eastAsia="Calibri" w:cs="Mangal"/>
                <w:vertAlign w:val="superscript"/>
                <w:lang w:eastAsia="en-US"/>
              </w:rPr>
              <w:t>32</w:t>
            </w:r>
            <w:r w:rsidRPr="003B2277">
              <w:rPr>
                <w:rFonts w:eastAsia="Calibri" w:cs="Mangal"/>
                <w:lang w:eastAsia="en-US"/>
              </w:rPr>
              <w:t>.</w:t>
            </w:r>
          </w:p>
        </w:tc>
      </w:tr>
      <w:tr w:rsidR="006F5BFE" w:rsidRPr="003B2277" w14:paraId="6A7531E6" w14:textId="77777777" w:rsidTr="005B4D60">
        <w:trPr>
          <w:jc w:val="center"/>
        </w:trPr>
        <w:tc>
          <w:tcPr>
            <w:tcW w:w="4876" w:type="dxa"/>
          </w:tcPr>
          <w:p w14:paraId="355517A6" w14:textId="77777777" w:rsidR="006F5BFE" w:rsidRPr="003B2277" w:rsidRDefault="006F5BFE" w:rsidP="005B4D60">
            <w:pPr>
              <w:spacing w:after="120"/>
            </w:pPr>
          </w:p>
        </w:tc>
        <w:tc>
          <w:tcPr>
            <w:tcW w:w="4876" w:type="dxa"/>
            <w:hideMark/>
          </w:tcPr>
          <w:p w14:paraId="1C7909AF" w14:textId="77777777" w:rsidR="006F5BFE" w:rsidRPr="003B2277" w:rsidRDefault="006F5BFE" w:rsidP="005B4D60">
            <w:pPr>
              <w:spacing w:after="120"/>
              <w:rPr>
                <w:szCs w:val="24"/>
                <w:lang w:eastAsia="en-US"/>
              </w:rPr>
            </w:pPr>
            <w:r w:rsidRPr="003B2277">
              <w:rPr>
                <w:rFonts w:eastAsia="Calibri" w:cs="Mangal"/>
                <w:b/>
                <w:i/>
                <w:lang w:eastAsia="en-US"/>
              </w:rPr>
              <w:t>Pogoji iz te točke se ne uporabljajo za meso goveda, za katerega je bila označba porekla ali geografska označba, zaščitena v skladu z Uredbo (EU) št. 1151/2012, registrirana pred 29. junijem 2007.</w:t>
            </w:r>
          </w:p>
        </w:tc>
      </w:tr>
      <w:tr w:rsidR="006F5BFE" w:rsidRPr="003B2277" w14:paraId="4FAFBD73" w14:textId="77777777" w:rsidTr="005B4D60">
        <w:trPr>
          <w:jc w:val="center"/>
        </w:trPr>
        <w:tc>
          <w:tcPr>
            <w:tcW w:w="4876" w:type="dxa"/>
          </w:tcPr>
          <w:p w14:paraId="2D082EA8" w14:textId="77777777" w:rsidR="006F5BFE" w:rsidRPr="003B2277" w:rsidRDefault="006F5BFE" w:rsidP="005B4D60">
            <w:pPr>
              <w:spacing w:after="120"/>
              <w:rPr>
                <w:lang w:eastAsia="en-US"/>
              </w:rPr>
            </w:pPr>
            <w:r w:rsidRPr="003B2277">
              <w:rPr>
                <w:rFonts w:eastAsia="Calibri" w:cs="Mangal"/>
                <w:b/>
                <w:i/>
                <w:lang w:eastAsia="en-US"/>
              </w:rPr>
              <w:t>__________________</w:t>
            </w:r>
          </w:p>
        </w:tc>
        <w:tc>
          <w:tcPr>
            <w:tcW w:w="4876" w:type="dxa"/>
          </w:tcPr>
          <w:p w14:paraId="2DF29E4D" w14:textId="77777777" w:rsidR="006F5BFE" w:rsidRPr="003B2277" w:rsidRDefault="006F5BFE" w:rsidP="005B4D60">
            <w:pPr>
              <w:spacing w:after="120"/>
              <w:rPr>
                <w:b/>
                <w:i/>
                <w:lang w:eastAsia="en-US"/>
              </w:rPr>
            </w:pPr>
            <w:r w:rsidRPr="003B2277">
              <w:rPr>
                <w:rFonts w:eastAsia="Calibri" w:cs="Mangal"/>
                <w:b/>
                <w:i/>
                <w:lang w:eastAsia="en-US"/>
              </w:rPr>
              <w:t>__________________</w:t>
            </w:r>
          </w:p>
        </w:tc>
      </w:tr>
      <w:tr w:rsidR="006F5BFE" w:rsidRPr="003B2277" w14:paraId="3086FB35" w14:textId="77777777" w:rsidTr="005B4D60">
        <w:trPr>
          <w:jc w:val="center"/>
        </w:trPr>
        <w:tc>
          <w:tcPr>
            <w:tcW w:w="4876" w:type="dxa"/>
          </w:tcPr>
          <w:p w14:paraId="2403B793" w14:textId="77777777" w:rsidR="006F5BFE" w:rsidRPr="003B2277" w:rsidRDefault="005F2E57" w:rsidP="005B4D60">
            <w:pPr>
              <w:spacing w:after="120"/>
              <w:rPr>
                <w:szCs w:val="24"/>
                <w:lang w:eastAsia="en-US"/>
              </w:rPr>
            </w:pPr>
            <w:hyperlink r:id="rId10" w:anchor="src.E0041" w:history="1">
              <w:r w:rsidR="006F5BFE" w:rsidRPr="003B2277">
                <w:rPr>
                  <w:rFonts w:eastAsia="Calibri" w:cs="Mangal"/>
                  <w:szCs w:val="24"/>
                  <w:vertAlign w:val="superscript"/>
                  <w:lang w:eastAsia="en-US"/>
                </w:rPr>
                <w:t>32</w:t>
              </w:r>
            </w:hyperlink>
            <w:r w:rsidR="006F5BFE" w:rsidRPr="003B2277">
              <w:rPr>
                <w:rFonts w:ascii="Calibri" w:eastAsia="Calibri" w:hAnsi="Calibri" w:cs="Mangal"/>
                <w:sz w:val="22"/>
                <w:szCs w:val="22"/>
                <w:lang w:eastAsia="en-US"/>
              </w:rPr>
              <w:t xml:space="preserve"> Uredba (ES) št. 1760/2000 Evropskega parlamenta in Sveta z dne 17. julija 2000 o uvedbi sistema za identifikacijo in registracijo govedi ter o označevanju govejega mesa in proizvodov iz govejega mesa (UL L 204, 11.8.2000, str. 1).</w:t>
            </w:r>
          </w:p>
        </w:tc>
        <w:tc>
          <w:tcPr>
            <w:tcW w:w="4876" w:type="dxa"/>
          </w:tcPr>
          <w:p w14:paraId="3DA6513A" w14:textId="25C9F125" w:rsidR="006F5BFE" w:rsidRPr="003B2277" w:rsidRDefault="005F2E57" w:rsidP="005B4D60">
            <w:pPr>
              <w:spacing w:after="120"/>
              <w:rPr>
                <w:b/>
                <w:i/>
                <w:lang w:eastAsia="en-US"/>
              </w:rPr>
            </w:pPr>
            <w:hyperlink r:id="rId11" w:anchor="src.E0041" w:history="1">
              <w:r w:rsidR="006F5BFE" w:rsidRPr="003B2277">
                <w:rPr>
                  <w:rFonts w:eastAsia="Calibri" w:cs="Mangal"/>
                  <w:szCs w:val="24"/>
                  <w:vertAlign w:val="superscript"/>
                  <w:lang w:eastAsia="en-US"/>
                </w:rPr>
                <w:t>32</w:t>
              </w:r>
            </w:hyperlink>
            <w:r w:rsidR="006F5BFE" w:rsidRPr="003B2277">
              <w:rPr>
                <w:rFonts w:ascii="Calibri" w:eastAsia="Calibri" w:hAnsi="Calibri" w:cs="Mangal"/>
                <w:sz w:val="22"/>
                <w:szCs w:val="22"/>
                <w:lang w:eastAsia="en-US"/>
              </w:rPr>
              <w:t xml:space="preserve"> Uredba (ES) št. 1760/2000 Evropskega parlamenta in Sveta z dne 17. julija 2000 o uvedbi sistema za identifikacijo in registracijo govedi ter o označevanju govejega mesa in proizvodov iz govejega mesa (UL L 204, 11.8.2000, str. 1).</w:t>
            </w:r>
            <w:r w:rsidR="006F5BFE" w:rsidRPr="003B2277">
              <w:rPr>
                <w:rFonts w:eastAsia="Calibri" w:cs="Mangal"/>
                <w:b/>
                <w:i/>
                <w:lang w:eastAsia="en-US"/>
              </w:rPr>
              <w:t>“</w:t>
            </w:r>
          </w:p>
        </w:tc>
      </w:tr>
    </w:tbl>
    <w:p w14:paraId="0CC56B02" w14:textId="77777777" w:rsidR="006F5BFE" w:rsidRPr="003B2277" w:rsidRDefault="006F5BFE" w:rsidP="006F5BFE">
      <w:pPr>
        <w:rPr>
          <w:lang w:eastAsia="en-US"/>
        </w:rPr>
      </w:pPr>
    </w:p>
    <w:p w14:paraId="0CA6E413" w14:textId="16994BD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163</w:t>
      </w:r>
    </w:p>
    <w:p w14:paraId="79887727" w14:textId="77777777" w:rsidR="006F5BFE" w:rsidRPr="003B2277" w:rsidRDefault="006F5BFE" w:rsidP="006F5BFE"/>
    <w:p w14:paraId="03501399" w14:textId="77777777" w:rsidR="006F5BFE" w:rsidRPr="003B2277" w:rsidRDefault="006F5BFE" w:rsidP="006F5BFE">
      <w:pPr>
        <w:keepNext/>
        <w:rPr>
          <w:b/>
          <w:lang w:eastAsia="en-US"/>
        </w:rPr>
      </w:pPr>
      <w:r w:rsidRPr="003B2277">
        <w:rPr>
          <w:rFonts w:eastAsia="Calibri" w:cs="Mangal"/>
          <w:b/>
          <w:lang w:eastAsia="en-US"/>
        </w:rPr>
        <w:t>Predlog uredbe</w:t>
      </w:r>
    </w:p>
    <w:p w14:paraId="320C94F2" w14:textId="77777777" w:rsidR="006F5BFE" w:rsidRPr="003B2277" w:rsidRDefault="006F5BFE" w:rsidP="006F5BFE">
      <w:pPr>
        <w:rPr>
          <w:b/>
          <w:lang w:eastAsia="en-US"/>
        </w:rPr>
      </w:pPr>
      <w:r w:rsidRPr="003B2277">
        <w:rPr>
          <w:rFonts w:eastAsia="Calibri" w:cs="Mangal"/>
          <w:b/>
          <w:lang w:eastAsia="en-US"/>
        </w:rPr>
        <w:t>Člen 1 – odstavek 1 – točka 31 c (novo)</w:t>
      </w:r>
    </w:p>
    <w:p w14:paraId="27BAE2E2" w14:textId="77777777" w:rsidR="006F5BFE" w:rsidRPr="003B2277" w:rsidRDefault="006F5BFE" w:rsidP="006F5BFE">
      <w:pPr>
        <w:keepNext/>
        <w:rPr>
          <w:lang w:eastAsia="en-US"/>
        </w:rPr>
      </w:pPr>
      <w:r w:rsidRPr="003B2277">
        <w:rPr>
          <w:rFonts w:eastAsia="Calibri" w:cs="Mangal"/>
          <w:lang w:eastAsia="en-US"/>
        </w:rPr>
        <w:t>Uredba (EU) št. 1308/2013</w:t>
      </w:r>
    </w:p>
    <w:p w14:paraId="479EAFD9" w14:textId="77777777" w:rsidR="006F5BFE" w:rsidRPr="003B2277" w:rsidRDefault="006F5BFE" w:rsidP="006F5BFE">
      <w:pPr>
        <w:rPr>
          <w:lang w:eastAsia="en-US"/>
        </w:rPr>
      </w:pPr>
      <w:r w:rsidRPr="003B2277">
        <w:rPr>
          <w:rFonts w:eastAsia="Calibri" w:cs="Mangal"/>
          <w:lang w:eastAsia="en-US"/>
        </w:rPr>
        <w:t>Priloga VII – del I – oddelek 3 – točka 1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B2F1BD9" w14:textId="77777777" w:rsidTr="005B4D60">
        <w:trPr>
          <w:jc w:val="center"/>
        </w:trPr>
        <w:tc>
          <w:tcPr>
            <w:tcW w:w="9752" w:type="dxa"/>
            <w:gridSpan w:val="2"/>
          </w:tcPr>
          <w:p w14:paraId="2DCCF711" w14:textId="77777777" w:rsidR="006F5BFE" w:rsidRPr="003B2277" w:rsidRDefault="006F5BFE" w:rsidP="005B4D60">
            <w:pPr>
              <w:keepNext/>
            </w:pPr>
          </w:p>
        </w:tc>
      </w:tr>
      <w:tr w:rsidR="006F5BFE" w:rsidRPr="003B2277" w14:paraId="029E62B1" w14:textId="77777777" w:rsidTr="005B4D60">
        <w:trPr>
          <w:jc w:val="center"/>
        </w:trPr>
        <w:tc>
          <w:tcPr>
            <w:tcW w:w="4876" w:type="dxa"/>
            <w:hideMark/>
          </w:tcPr>
          <w:p w14:paraId="494C110C"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636E290" w14:textId="11FFB0B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8BCCDFB" w14:textId="77777777" w:rsidTr="005B4D60">
        <w:trPr>
          <w:jc w:val="center"/>
        </w:trPr>
        <w:tc>
          <w:tcPr>
            <w:tcW w:w="4876" w:type="dxa"/>
          </w:tcPr>
          <w:p w14:paraId="113CD282" w14:textId="77777777" w:rsidR="006F5BFE" w:rsidRPr="003B2277" w:rsidRDefault="006F5BFE" w:rsidP="005B4D60">
            <w:pPr>
              <w:spacing w:after="120"/>
            </w:pPr>
          </w:p>
        </w:tc>
        <w:tc>
          <w:tcPr>
            <w:tcW w:w="4876" w:type="dxa"/>
            <w:hideMark/>
          </w:tcPr>
          <w:p w14:paraId="65646D2A" w14:textId="77777777" w:rsidR="006F5BFE" w:rsidRPr="003B2277" w:rsidRDefault="006F5BFE" w:rsidP="005B4D60">
            <w:pPr>
              <w:spacing w:after="120"/>
              <w:rPr>
                <w:szCs w:val="24"/>
                <w:lang w:eastAsia="en-US"/>
              </w:rPr>
            </w:pPr>
            <w:r w:rsidRPr="003B2277">
              <w:rPr>
                <w:rFonts w:eastAsia="Calibri" w:cs="Mangal"/>
                <w:b/>
                <w:i/>
                <w:lang w:eastAsia="en-US"/>
              </w:rPr>
              <w:t>(31c)</w:t>
            </w:r>
            <w:r w:rsidRPr="003B2277">
              <w:rPr>
                <w:rFonts w:eastAsia="Calibri" w:cs="Mangal"/>
                <w:b/>
                <w:i/>
                <w:lang w:eastAsia="en-US"/>
              </w:rPr>
              <w:tab/>
              <w:t>v oddelku III dela I Priloge VII se vstavi naslednji odstavek:</w:t>
            </w:r>
          </w:p>
        </w:tc>
      </w:tr>
      <w:tr w:rsidR="006F5BFE" w:rsidRPr="003B2277" w14:paraId="1C2DE514" w14:textId="77777777" w:rsidTr="005B4D60">
        <w:trPr>
          <w:jc w:val="center"/>
        </w:trPr>
        <w:tc>
          <w:tcPr>
            <w:tcW w:w="4876" w:type="dxa"/>
          </w:tcPr>
          <w:p w14:paraId="5E36FB56" w14:textId="77777777" w:rsidR="006F5BFE" w:rsidRPr="003B2277" w:rsidRDefault="006F5BFE" w:rsidP="005B4D60">
            <w:pPr>
              <w:spacing w:after="120"/>
            </w:pPr>
          </w:p>
        </w:tc>
        <w:tc>
          <w:tcPr>
            <w:tcW w:w="4876" w:type="dxa"/>
            <w:hideMark/>
          </w:tcPr>
          <w:p w14:paraId="7E54F452" w14:textId="77777777" w:rsidR="006F5BFE" w:rsidRPr="003B2277" w:rsidRDefault="006F5BFE" w:rsidP="005B4D60">
            <w:pPr>
              <w:spacing w:after="120"/>
              <w:rPr>
                <w:szCs w:val="24"/>
                <w:lang w:eastAsia="en-US"/>
              </w:rPr>
            </w:pPr>
            <w:r w:rsidRPr="003B2277">
              <w:rPr>
                <w:rFonts w:eastAsia="Calibri" w:cs="Mangal"/>
                <w:b/>
                <w:i/>
                <w:lang w:eastAsia="en-US"/>
              </w:rPr>
              <w:t>„(1a).</w:t>
            </w:r>
            <w:r w:rsidRPr="003B2277">
              <w:rPr>
                <w:rFonts w:eastAsia="Calibri" w:cs="Mangal"/>
                <w:b/>
                <w:i/>
                <w:lang w:eastAsia="en-US"/>
              </w:rPr>
              <w:tab/>
              <w:t>Meso ovac, starih manj kot dvanajst mesecev, se v državah članicah trži samo pod naslednjo(-imi) prodajno(-imi) oznako(-ami), določeno(-imi) za vsako državo članico:</w:t>
            </w:r>
          </w:p>
        </w:tc>
      </w:tr>
      <w:tr w:rsidR="006F5BFE" w:rsidRPr="003B2277" w14:paraId="4CE2096E" w14:textId="77777777" w:rsidTr="005B4D60">
        <w:trPr>
          <w:jc w:val="center"/>
        </w:trPr>
        <w:tc>
          <w:tcPr>
            <w:tcW w:w="4876" w:type="dxa"/>
          </w:tcPr>
          <w:p w14:paraId="27B9EA56" w14:textId="77777777" w:rsidR="006F5BFE" w:rsidRPr="003B2277" w:rsidRDefault="006F5BFE" w:rsidP="005B4D60">
            <w:pPr>
              <w:spacing w:after="120"/>
            </w:pPr>
          </w:p>
        </w:tc>
        <w:tc>
          <w:tcPr>
            <w:tcW w:w="4876" w:type="dxa"/>
            <w:hideMark/>
          </w:tcPr>
          <w:p w14:paraId="225FB651" w14:textId="77777777" w:rsidR="006F5BFE" w:rsidRPr="003B2277" w:rsidRDefault="006F5BFE" w:rsidP="005B4D60">
            <w:pPr>
              <w:spacing w:after="120"/>
              <w:rPr>
                <w:szCs w:val="24"/>
                <w:lang w:eastAsia="en-US"/>
              </w:rPr>
            </w:pPr>
            <w:r w:rsidRPr="003B2277">
              <w:rPr>
                <w:rFonts w:eastAsia="Calibri" w:cs="Mangal"/>
                <w:b/>
                <w:i/>
                <w:lang w:eastAsia="en-US"/>
              </w:rPr>
              <w:t>država trženja;</w:t>
            </w:r>
          </w:p>
        </w:tc>
      </w:tr>
      <w:tr w:rsidR="006F5BFE" w:rsidRPr="003B2277" w14:paraId="13FE53AC" w14:textId="77777777" w:rsidTr="005B4D60">
        <w:trPr>
          <w:jc w:val="center"/>
        </w:trPr>
        <w:tc>
          <w:tcPr>
            <w:tcW w:w="4876" w:type="dxa"/>
          </w:tcPr>
          <w:p w14:paraId="1690B028" w14:textId="77777777" w:rsidR="006F5BFE" w:rsidRPr="003B2277" w:rsidRDefault="006F5BFE" w:rsidP="005B4D60">
            <w:pPr>
              <w:spacing w:after="120"/>
            </w:pPr>
          </w:p>
        </w:tc>
        <w:tc>
          <w:tcPr>
            <w:tcW w:w="4876" w:type="dxa"/>
            <w:hideMark/>
          </w:tcPr>
          <w:p w14:paraId="47C2B749" w14:textId="77777777" w:rsidR="006F5BFE" w:rsidRPr="003B2277" w:rsidRDefault="006F5BFE" w:rsidP="005B4D60">
            <w:pPr>
              <w:spacing w:after="120"/>
              <w:rPr>
                <w:szCs w:val="24"/>
                <w:lang w:eastAsia="en-US"/>
              </w:rPr>
            </w:pPr>
            <w:r w:rsidRPr="003B2277">
              <w:rPr>
                <w:rFonts w:eastAsia="Calibri" w:cs="Mangal"/>
                <w:b/>
                <w:i/>
                <w:lang w:eastAsia="en-US"/>
              </w:rPr>
              <w:t>prodajne oznake, ki jih je treba uporabiti.“</w:t>
            </w:r>
          </w:p>
        </w:tc>
      </w:tr>
    </w:tbl>
    <w:p w14:paraId="1EDCB365" w14:textId="77777777" w:rsidR="006F5BFE" w:rsidRPr="003B2277" w:rsidRDefault="006F5BFE" w:rsidP="006F5BFE">
      <w:pPr>
        <w:rPr>
          <w:lang w:eastAsia="en-US"/>
        </w:rPr>
      </w:pPr>
    </w:p>
    <w:p w14:paraId="13DAEF3A" w14:textId="192AC04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164</w:t>
      </w:r>
    </w:p>
    <w:p w14:paraId="51184D20" w14:textId="77777777" w:rsidR="006F5BFE" w:rsidRPr="003B2277" w:rsidRDefault="006F5BFE" w:rsidP="006F5BFE"/>
    <w:p w14:paraId="2C53A249" w14:textId="77777777" w:rsidR="006F5BFE" w:rsidRPr="003B2277" w:rsidRDefault="006F5BFE" w:rsidP="006F5BFE">
      <w:pPr>
        <w:keepNext/>
        <w:rPr>
          <w:b/>
          <w:lang w:eastAsia="en-US"/>
        </w:rPr>
      </w:pPr>
      <w:r w:rsidRPr="003B2277">
        <w:rPr>
          <w:rFonts w:eastAsia="Calibri" w:cs="Mangal"/>
          <w:b/>
          <w:lang w:eastAsia="en-US"/>
        </w:rPr>
        <w:t>Predlog uredbe</w:t>
      </w:r>
    </w:p>
    <w:p w14:paraId="1F85A64F" w14:textId="77777777" w:rsidR="006F5BFE" w:rsidRPr="003B2277" w:rsidRDefault="006F5BFE" w:rsidP="006F5BFE">
      <w:pPr>
        <w:rPr>
          <w:b/>
          <w:lang w:eastAsia="en-US"/>
        </w:rPr>
      </w:pPr>
      <w:r w:rsidRPr="003B2277">
        <w:rPr>
          <w:rFonts w:eastAsia="Calibri" w:cs="Mangal"/>
          <w:b/>
          <w:lang w:eastAsia="en-US"/>
        </w:rPr>
        <w:t>Člen 1 – odstavek 1 – točka 31 d (novo)</w:t>
      </w:r>
    </w:p>
    <w:p w14:paraId="6549EBBB" w14:textId="77777777" w:rsidR="006F5BFE" w:rsidRPr="003B2277" w:rsidRDefault="006F5BFE" w:rsidP="006F5BFE">
      <w:pPr>
        <w:keepNext/>
        <w:rPr>
          <w:lang w:eastAsia="en-US"/>
        </w:rPr>
      </w:pPr>
      <w:r w:rsidRPr="003B2277">
        <w:rPr>
          <w:rFonts w:eastAsia="Calibri" w:cs="Mangal"/>
          <w:lang w:eastAsia="en-US"/>
        </w:rPr>
        <w:t>Uredba (EU) št. 1308/2013</w:t>
      </w:r>
    </w:p>
    <w:p w14:paraId="5FE54644" w14:textId="77777777" w:rsidR="006F5BFE" w:rsidRPr="003B2277" w:rsidRDefault="006F5BFE" w:rsidP="006F5BFE">
      <w:pPr>
        <w:rPr>
          <w:lang w:eastAsia="en-US"/>
        </w:rPr>
      </w:pPr>
      <w:r w:rsidRPr="003B2277">
        <w:rPr>
          <w:rFonts w:eastAsia="Calibri" w:cs="Mangal"/>
          <w:lang w:eastAsia="en-US"/>
        </w:rPr>
        <w:t>Priloga VII – del I – oddelek III – točka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7666167" w14:textId="77777777" w:rsidTr="005B4D60">
        <w:trPr>
          <w:jc w:val="center"/>
        </w:trPr>
        <w:tc>
          <w:tcPr>
            <w:tcW w:w="9752" w:type="dxa"/>
            <w:gridSpan w:val="2"/>
          </w:tcPr>
          <w:p w14:paraId="79C576AA" w14:textId="77777777" w:rsidR="006F5BFE" w:rsidRPr="003B2277" w:rsidRDefault="006F5BFE" w:rsidP="005B4D60">
            <w:pPr>
              <w:keepNext/>
            </w:pPr>
          </w:p>
        </w:tc>
      </w:tr>
      <w:tr w:rsidR="006F5BFE" w:rsidRPr="003B2277" w14:paraId="257D06D9" w14:textId="77777777" w:rsidTr="005B4D60">
        <w:trPr>
          <w:jc w:val="center"/>
        </w:trPr>
        <w:tc>
          <w:tcPr>
            <w:tcW w:w="4876" w:type="dxa"/>
            <w:hideMark/>
          </w:tcPr>
          <w:p w14:paraId="1DB379D2"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955391F" w14:textId="1820652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3B455A3" w14:textId="77777777" w:rsidTr="005B4D60">
        <w:trPr>
          <w:jc w:val="center"/>
        </w:trPr>
        <w:tc>
          <w:tcPr>
            <w:tcW w:w="4876" w:type="dxa"/>
          </w:tcPr>
          <w:p w14:paraId="487C693B" w14:textId="77777777" w:rsidR="006F5BFE" w:rsidRPr="003B2277" w:rsidRDefault="006F5BFE" w:rsidP="005B4D60">
            <w:pPr>
              <w:spacing w:after="120"/>
            </w:pPr>
          </w:p>
        </w:tc>
        <w:tc>
          <w:tcPr>
            <w:tcW w:w="4876" w:type="dxa"/>
            <w:hideMark/>
          </w:tcPr>
          <w:p w14:paraId="67DDD153" w14:textId="77777777" w:rsidR="006F5BFE" w:rsidRPr="003B2277" w:rsidRDefault="006F5BFE" w:rsidP="005B4D60">
            <w:pPr>
              <w:spacing w:after="120"/>
              <w:rPr>
                <w:szCs w:val="24"/>
                <w:lang w:eastAsia="en-US"/>
              </w:rPr>
            </w:pPr>
            <w:r w:rsidRPr="003B2277">
              <w:rPr>
                <w:rFonts w:eastAsia="Calibri" w:cs="Mangal"/>
                <w:b/>
                <w:i/>
                <w:lang w:eastAsia="en-US"/>
              </w:rPr>
              <w:t>(31d)</w:t>
            </w:r>
            <w:r w:rsidRPr="003B2277">
              <w:rPr>
                <w:rFonts w:eastAsia="Calibri" w:cs="Mangal"/>
                <w:b/>
                <w:i/>
                <w:lang w:eastAsia="en-US"/>
              </w:rPr>
              <w:tab/>
              <w:t>v oddelku III dela I Priloge VII se točka 3 nadomesti z naslednjim:</w:t>
            </w:r>
          </w:p>
        </w:tc>
      </w:tr>
      <w:tr w:rsidR="006F5BFE" w:rsidRPr="003B2277" w14:paraId="73EEE1A4" w14:textId="77777777" w:rsidTr="005B4D60">
        <w:trPr>
          <w:jc w:val="center"/>
        </w:trPr>
        <w:tc>
          <w:tcPr>
            <w:tcW w:w="4876" w:type="dxa"/>
            <w:hideMark/>
          </w:tcPr>
          <w:p w14:paraId="78462B0C" w14:textId="77777777" w:rsidR="006F5BFE" w:rsidRPr="003B2277" w:rsidRDefault="006F5BFE" w:rsidP="005B4D60">
            <w:pPr>
              <w:spacing w:after="120"/>
              <w:rPr>
                <w:lang w:eastAsia="en-US"/>
              </w:rPr>
            </w:pPr>
            <w:r w:rsidRPr="003B2277">
              <w:rPr>
                <w:rFonts w:eastAsia="Calibri" w:cs="Mangal"/>
                <w:lang w:eastAsia="en-US"/>
              </w:rPr>
              <w:t xml:space="preserve">3. Prodajne oznake, navedene za </w:t>
            </w:r>
            <w:r w:rsidRPr="003B2277">
              <w:rPr>
                <w:rFonts w:eastAsia="Calibri" w:cs="Mangal"/>
                <w:b/>
                <w:i/>
                <w:lang w:eastAsia="en-US"/>
              </w:rPr>
              <w:t>kategorijo</w:t>
            </w:r>
            <w:r w:rsidRPr="003B2277">
              <w:rPr>
                <w:rFonts w:eastAsia="Calibri" w:cs="Mangal"/>
                <w:lang w:eastAsia="en-US"/>
              </w:rPr>
              <w:t xml:space="preserve"> V v tabeli pod točko A iz odstavka 1, in vsa nova imena, izpeljana iz teh prodajnih oznak, se uporabljajo le, če so izpolnjene vse zahteve iz te priloge.</w:t>
            </w:r>
          </w:p>
        </w:tc>
        <w:tc>
          <w:tcPr>
            <w:tcW w:w="4876" w:type="dxa"/>
            <w:hideMark/>
          </w:tcPr>
          <w:p w14:paraId="36EE6D96"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3. Prodajne oznake, navedene za </w:t>
            </w:r>
            <w:r w:rsidRPr="003B2277">
              <w:rPr>
                <w:rFonts w:eastAsia="Calibri" w:cs="Mangal"/>
                <w:b/>
                <w:i/>
                <w:lang w:eastAsia="en-US"/>
              </w:rPr>
              <w:t>govedo kategorije</w:t>
            </w:r>
            <w:r w:rsidRPr="003B2277">
              <w:rPr>
                <w:rFonts w:eastAsia="Calibri" w:cs="Mangal"/>
                <w:lang w:eastAsia="en-US"/>
              </w:rPr>
              <w:t xml:space="preserve"> V</w:t>
            </w:r>
            <w:r w:rsidRPr="003B2277">
              <w:rPr>
                <w:rFonts w:eastAsia="Calibri" w:cs="Mangal"/>
                <w:b/>
                <w:i/>
                <w:lang w:eastAsia="en-US"/>
              </w:rPr>
              <w:t xml:space="preserve"> in ovce kategorije A</w:t>
            </w:r>
            <w:r w:rsidRPr="003B2277">
              <w:rPr>
                <w:rFonts w:eastAsia="Calibri" w:cs="Mangal"/>
                <w:lang w:eastAsia="en-US"/>
              </w:rPr>
              <w:t xml:space="preserve"> v tabeli pod točko A iz odstavka 1, in vsa nova imena, izpeljana iz teh prodajnih oznak, se uporabljajo le, če so izpolnjene vse zahteve iz te priloge.</w:t>
            </w:r>
          </w:p>
        </w:tc>
      </w:tr>
      <w:tr w:rsidR="006F5BFE" w:rsidRPr="003B2277" w14:paraId="59D6265E" w14:textId="77777777" w:rsidTr="005B4D60">
        <w:trPr>
          <w:jc w:val="center"/>
        </w:trPr>
        <w:tc>
          <w:tcPr>
            <w:tcW w:w="4876" w:type="dxa"/>
            <w:hideMark/>
          </w:tcPr>
          <w:p w14:paraId="2E533BBA" w14:textId="77777777" w:rsidR="006F5BFE" w:rsidRPr="003B2277" w:rsidRDefault="006F5BFE" w:rsidP="005B4D60">
            <w:pPr>
              <w:spacing w:after="120"/>
              <w:rPr>
                <w:lang w:eastAsia="en-US"/>
              </w:rPr>
            </w:pPr>
            <w:r w:rsidRPr="003B2277">
              <w:rPr>
                <w:rFonts w:eastAsia="Calibri" w:cs="Mangal"/>
                <w:lang w:eastAsia="en-US"/>
              </w:rPr>
              <w:t>Predvsem se izrazi „veau“, „telecí“, „Kalb“, „μοσχάρι“, „ternera“, „kalv“, „veal“, „vitello“, „vitella“, „kalf“, „vitela“ in „teletina“ ne uporabijo v prodajni oznaki in ne navedejo na etiketi mesa iz goveda, starega več kot dvanajst mesecev.</w:t>
            </w:r>
          </w:p>
        </w:tc>
        <w:tc>
          <w:tcPr>
            <w:tcW w:w="4876" w:type="dxa"/>
            <w:hideMark/>
          </w:tcPr>
          <w:p w14:paraId="4A271ED1" w14:textId="77777777" w:rsidR="006F5BFE" w:rsidRPr="003B2277" w:rsidRDefault="006F5BFE" w:rsidP="005B4D60">
            <w:pPr>
              <w:spacing w:after="120"/>
              <w:rPr>
                <w:szCs w:val="24"/>
                <w:lang w:eastAsia="en-US"/>
              </w:rPr>
            </w:pPr>
            <w:r w:rsidRPr="003B2277">
              <w:rPr>
                <w:rFonts w:eastAsia="Calibri" w:cs="Mangal"/>
                <w:lang w:eastAsia="en-US"/>
              </w:rPr>
              <w:t>Predvsem se izrazi „veau“, „telecí“, „Kalb“, „μοσχάρι“, „ternera“, „kalv“, „veal“, „vitello“, „vitella“, „kalf“, „vitela“ in „teletina“ ne uporabijo v prodajni oznaki in ne navedejo na etiketi mesa iz goveda, starega več kot dvanajst mesecev.</w:t>
            </w:r>
          </w:p>
        </w:tc>
      </w:tr>
      <w:tr w:rsidR="006F5BFE" w:rsidRPr="003B2277" w14:paraId="34C2DC31" w14:textId="77777777" w:rsidTr="005B4D60">
        <w:trPr>
          <w:jc w:val="center"/>
        </w:trPr>
        <w:tc>
          <w:tcPr>
            <w:tcW w:w="4876" w:type="dxa"/>
          </w:tcPr>
          <w:p w14:paraId="078ADA50" w14:textId="77777777" w:rsidR="006F5BFE" w:rsidRPr="003B2277" w:rsidRDefault="006F5BFE" w:rsidP="005B4D60">
            <w:pPr>
              <w:spacing w:after="120"/>
            </w:pPr>
          </w:p>
        </w:tc>
        <w:tc>
          <w:tcPr>
            <w:tcW w:w="4876" w:type="dxa"/>
            <w:hideMark/>
          </w:tcPr>
          <w:p w14:paraId="74E5F3B2" w14:textId="4F34CC97" w:rsidR="006F5BFE" w:rsidRPr="003B2277" w:rsidRDefault="006F5BFE" w:rsidP="005B4D60">
            <w:pPr>
              <w:spacing w:after="120"/>
              <w:rPr>
                <w:szCs w:val="24"/>
                <w:lang w:eastAsia="en-US"/>
              </w:rPr>
            </w:pPr>
            <w:r w:rsidRPr="003B2277">
              <w:rPr>
                <w:rFonts w:eastAsia="Calibri" w:cs="Mangal"/>
                <w:b/>
                <w:i/>
                <w:lang w:eastAsia="en-US"/>
              </w:rPr>
              <w:t>Podobno se izraz „jagnje“ ne uporablja v prodajni oznaki ali na oznaki mesa ovac, starih več kot 12 mesecev.“</w:t>
            </w:r>
          </w:p>
        </w:tc>
      </w:tr>
    </w:tbl>
    <w:p w14:paraId="32860643" w14:textId="77777777" w:rsidR="006F5BFE" w:rsidRPr="003B2277" w:rsidRDefault="006F5BFE" w:rsidP="006F5BFE">
      <w:pPr>
        <w:spacing w:before="240"/>
        <w:jc w:val="center"/>
        <w:rPr>
          <w:i/>
          <w:lang w:eastAsia="en-US"/>
        </w:rPr>
      </w:pPr>
    </w:p>
    <w:p w14:paraId="5AAB1699" w14:textId="77777777" w:rsidR="006F5BFE" w:rsidRPr="003B2277" w:rsidRDefault="006F5BFE" w:rsidP="006F5BFE">
      <w:pPr>
        <w:rPr>
          <w:lang w:eastAsia="en-US"/>
        </w:rPr>
      </w:pPr>
    </w:p>
    <w:p w14:paraId="324A5A50" w14:textId="77777777" w:rsidR="006F5BFE" w:rsidRPr="003B2277" w:rsidRDefault="006F5BFE" w:rsidP="006F5BFE">
      <w:pPr>
        <w:rPr>
          <w:lang w:eastAsia="en-US"/>
        </w:rPr>
      </w:pPr>
    </w:p>
    <w:p w14:paraId="16317D7B" w14:textId="4599D520" w:rsidR="00D056A8" w:rsidRDefault="00D056A8"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330329E9" w14:textId="5A79A6B2" w:rsidR="00D056A8" w:rsidRPr="00465DEA" w:rsidRDefault="008C7773" w:rsidP="00D056A8">
      <w:pPr>
        <w:pStyle w:val="AmNumberTabs0"/>
      </w:pPr>
      <w:r w:rsidRPr="00FD1F1B">
        <w:t>Sprememba</w:t>
      </w:r>
      <w:r w:rsidR="00D056A8" w:rsidRPr="00465DEA">
        <w:tab/>
      </w:r>
      <w:r w:rsidR="00D056A8" w:rsidRPr="00465DEA">
        <w:tab/>
        <w:t>278</w:t>
      </w:r>
    </w:p>
    <w:p w14:paraId="1B6BA404" w14:textId="77777777" w:rsidR="00D056A8" w:rsidRPr="00465DEA" w:rsidRDefault="00D056A8" w:rsidP="00D056A8">
      <w:pPr>
        <w:pStyle w:val="NormalBold12b"/>
      </w:pPr>
      <w:r w:rsidRPr="00465DEA">
        <w:t>Predlog uredbe</w:t>
      </w:r>
    </w:p>
    <w:p w14:paraId="0B7FF52A" w14:textId="77777777" w:rsidR="00D056A8" w:rsidRPr="00465DEA" w:rsidRDefault="00D056A8" w:rsidP="00D056A8">
      <w:pPr>
        <w:pStyle w:val="NormalBold"/>
        <w:rPr>
          <w:rFonts w:eastAsiaTheme="majorEastAsia"/>
        </w:rPr>
      </w:pPr>
      <w:r w:rsidRPr="00465DEA">
        <w:t>Člen 1 – odstavek 1 – točka 33 a (novo)</w:t>
      </w:r>
    </w:p>
    <w:p w14:paraId="46ECF937" w14:textId="77777777" w:rsidR="00D056A8" w:rsidRPr="00465DEA" w:rsidRDefault="00D056A8" w:rsidP="00D056A8">
      <w:r w:rsidRPr="00465DEA">
        <w:t>Uredba (EU) št. 1308/2013</w:t>
      </w:r>
    </w:p>
    <w:p w14:paraId="0C218C39" w14:textId="77777777" w:rsidR="00D056A8" w:rsidRPr="00465DEA" w:rsidRDefault="00D056A8" w:rsidP="00D056A8">
      <w:r w:rsidRPr="00465DEA">
        <w:t>Priloga VII – del II – točka 3 – točka a</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D056A8" w:rsidRPr="00465DEA" w14:paraId="599DD8A1" w14:textId="77777777" w:rsidTr="00D056A8">
        <w:trPr>
          <w:jc w:val="center"/>
        </w:trPr>
        <w:tc>
          <w:tcPr>
            <w:tcW w:w="9752" w:type="dxa"/>
            <w:gridSpan w:val="2"/>
          </w:tcPr>
          <w:p w14:paraId="7E0D26FE" w14:textId="77777777" w:rsidR="00D056A8" w:rsidRPr="00465DEA" w:rsidRDefault="00D056A8" w:rsidP="00D056A8">
            <w:pPr>
              <w:keepNext/>
            </w:pPr>
          </w:p>
        </w:tc>
      </w:tr>
      <w:tr w:rsidR="00D056A8" w:rsidRPr="00465DEA" w14:paraId="6FA5DE0E" w14:textId="77777777" w:rsidTr="00D056A8">
        <w:trPr>
          <w:jc w:val="center"/>
        </w:trPr>
        <w:tc>
          <w:tcPr>
            <w:tcW w:w="4876" w:type="dxa"/>
          </w:tcPr>
          <w:p w14:paraId="178C8A28" w14:textId="77777777" w:rsidR="00D056A8" w:rsidRPr="00465DEA" w:rsidRDefault="00D056A8" w:rsidP="00D056A8">
            <w:pPr>
              <w:pStyle w:val="AmColumnHeading"/>
              <w:keepNext/>
            </w:pPr>
            <w:r w:rsidRPr="00465DEA">
              <w:t>Veljavno besedilo</w:t>
            </w:r>
          </w:p>
        </w:tc>
        <w:tc>
          <w:tcPr>
            <w:tcW w:w="4876" w:type="dxa"/>
          </w:tcPr>
          <w:p w14:paraId="059CE911" w14:textId="0D9E7A6E" w:rsidR="00D056A8" w:rsidRPr="00465DEA" w:rsidRDefault="008C7773" w:rsidP="00D056A8">
            <w:pPr>
              <w:pStyle w:val="AmColumnHeading"/>
              <w:keepNext/>
            </w:pPr>
            <w:r w:rsidRPr="00FD1F1B">
              <w:t>Sprememba</w:t>
            </w:r>
          </w:p>
        </w:tc>
      </w:tr>
      <w:tr w:rsidR="00D056A8" w:rsidRPr="00465DEA" w14:paraId="467C58C2" w14:textId="77777777" w:rsidTr="00D056A8">
        <w:trPr>
          <w:jc w:val="center"/>
        </w:trPr>
        <w:tc>
          <w:tcPr>
            <w:tcW w:w="4876" w:type="dxa"/>
          </w:tcPr>
          <w:p w14:paraId="4944B7B8" w14:textId="77777777" w:rsidR="00D056A8" w:rsidRPr="00465DEA" w:rsidRDefault="00D056A8" w:rsidP="00D056A8">
            <w:pPr>
              <w:pStyle w:val="Normal6a"/>
            </w:pPr>
          </w:p>
        </w:tc>
        <w:tc>
          <w:tcPr>
            <w:tcW w:w="4876" w:type="dxa"/>
          </w:tcPr>
          <w:p w14:paraId="6C48F8C4" w14:textId="77777777" w:rsidR="00D056A8" w:rsidRPr="00465DEA" w:rsidRDefault="00D056A8" w:rsidP="00D056A8">
            <w:pPr>
              <w:pStyle w:val="Normal6"/>
              <w:rPr>
                <w:szCs w:val="24"/>
              </w:rPr>
            </w:pPr>
            <w:r w:rsidRPr="00465DEA">
              <w:rPr>
                <w:b/>
                <w:i/>
              </w:rPr>
              <w:t>(33a)</w:t>
            </w:r>
            <w:r w:rsidRPr="00465DEA">
              <w:rPr>
                <w:b/>
                <w:i/>
              </w:rPr>
              <w:tab/>
              <w:t>v točki 3 dela II Priloge VII se točka (b) nadomesti z naslednjim:</w:t>
            </w:r>
          </w:p>
        </w:tc>
      </w:tr>
      <w:tr w:rsidR="00D056A8" w:rsidRPr="00465DEA" w14:paraId="563D817B" w14:textId="77777777" w:rsidTr="00D056A8">
        <w:trPr>
          <w:jc w:val="center"/>
        </w:trPr>
        <w:tc>
          <w:tcPr>
            <w:tcW w:w="4876" w:type="dxa"/>
          </w:tcPr>
          <w:p w14:paraId="2B65F780" w14:textId="4D754AC4" w:rsidR="00D056A8" w:rsidRPr="00465DEA" w:rsidRDefault="00465DEA">
            <w:pPr>
              <w:pStyle w:val="Normal6a"/>
            </w:pPr>
            <w:r w:rsidRPr="00465DEA">
              <w:t xml:space="preserve">„(a) </w:t>
            </w:r>
            <w:r w:rsidRPr="00465DEA">
              <w:tab/>
            </w:r>
            <w:r w:rsidRPr="00FD1F1B">
              <w:rPr>
                <w:b/>
                <w:i/>
              </w:rPr>
              <w:t>katerega dejanski delež</w:t>
            </w:r>
            <w:r w:rsidRPr="00465DEA">
              <w:t xml:space="preserve"> alkohola je najmanj 15 vol. % in največ 22 vol. %;</w:t>
            </w:r>
          </w:p>
        </w:tc>
        <w:tc>
          <w:tcPr>
            <w:tcW w:w="4876" w:type="dxa"/>
          </w:tcPr>
          <w:p w14:paraId="01D4A7FF" w14:textId="77777777" w:rsidR="00D056A8" w:rsidRPr="00465DEA" w:rsidRDefault="00D056A8" w:rsidP="00D056A8">
            <w:pPr>
              <w:pStyle w:val="Normal6"/>
              <w:rPr>
                <w:szCs w:val="24"/>
              </w:rPr>
            </w:pPr>
            <w:r w:rsidRPr="00465DEA">
              <w:rPr>
                <w:b/>
                <w:i/>
              </w:rPr>
              <w:t xml:space="preserve">„(a) </w:t>
            </w:r>
            <w:r w:rsidRPr="00465DEA">
              <w:rPr>
                <w:b/>
                <w:i/>
              </w:rPr>
              <w:tab/>
              <w:t xml:space="preserve">z dejanskim deležem </w:t>
            </w:r>
            <w:r w:rsidRPr="00FD1F1B">
              <w:t>alkohola najmanj 15 vol. % in največ 22 vol. %.</w:t>
            </w:r>
            <w:r w:rsidRPr="00465DEA">
              <w:rPr>
                <w:b/>
                <w:i/>
              </w:rPr>
              <w:t xml:space="preserve"> Izjemoma in za vina, ki se starajo dlje, se lahko te omejitve razlikujejo pri nekaterih likerskih vinih z registriranim poreklom ali geografsko označbo s seznama, ki ga je Komisija določila z delegiranim aktom, sprejetim v skladu s členom 75(2), če:</w:t>
            </w:r>
          </w:p>
        </w:tc>
      </w:tr>
      <w:tr w:rsidR="00D056A8" w:rsidRPr="00465DEA" w14:paraId="081F3058" w14:textId="77777777" w:rsidTr="00D056A8">
        <w:trPr>
          <w:jc w:val="center"/>
        </w:trPr>
        <w:tc>
          <w:tcPr>
            <w:tcW w:w="4876" w:type="dxa"/>
          </w:tcPr>
          <w:p w14:paraId="109D2D19" w14:textId="77777777" w:rsidR="00D056A8" w:rsidRPr="00465DEA" w:rsidRDefault="00D056A8" w:rsidP="00D056A8">
            <w:pPr>
              <w:pStyle w:val="Normal6a"/>
            </w:pPr>
          </w:p>
        </w:tc>
        <w:tc>
          <w:tcPr>
            <w:tcW w:w="4876" w:type="dxa"/>
          </w:tcPr>
          <w:p w14:paraId="78D7C14A" w14:textId="77777777" w:rsidR="00D056A8" w:rsidRPr="00465DEA" w:rsidRDefault="00D056A8" w:rsidP="00D056A8">
            <w:pPr>
              <w:pStyle w:val="Normal6"/>
              <w:rPr>
                <w:szCs w:val="24"/>
              </w:rPr>
            </w:pPr>
            <w:r w:rsidRPr="00465DEA">
              <w:rPr>
                <w:b/>
                <w:i/>
              </w:rPr>
              <w:t>– vina, namenjena staranju, ustrezajo opredelitvi likerskih vin ter</w:t>
            </w:r>
          </w:p>
        </w:tc>
      </w:tr>
      <w:tr w:rsidR="00D056A8" w:rsidRPr="004928C1" w14:paraId="1EFB2FC9" w14:textId="77777777" w:rsidTr="00D056A8">
        <w:trPr>
          <w:jc w:val="center"/>
        </w:trPr>
        <w:tc>
          <w:tcPr>
            <w:tcW w:w="4876" w:type="dxa"/>
          </w:tcPr>
          <w:p w14:paraId="2F8E4835" w14:textId="77777777" w:rsidR="00D056A8" w:rsidRPr="00465DEA" w:rsidRDefault="00D056A8" w:rsidP="00D056A8">
            <w:pPr>
              <w:pStyle w:val="Normal6a"/>
            </w:pPr>
          </w:p>
        </w:tc>
        <w:tc>
          <w:tcPr>
            <w:tcW w:w="4876" w:type="dxa"/>
          </w:tcPr>
          <w:p w14:paraId="0074E17D" w14:textId="77777777" w:rsidR="00D056A8" w:rsidRPr="004928C1" w:rsidRDefault="00D056A8" w:rsidP="00D056A8">
            <w:pPr>
              <w:pStyle w:val="Normal6"/>
              <w:rPr>
                <w:szCs w:val="24"/>
              </w:rPr>
            </w:pPr>
            <w:r w:rsidRPr="00465DEA">
              <w:rPr>
                <w:b/>
                <w:i/>
              </w:rPr>
              <w:t>– dejanski delež alkohola staranih vin ni manj kot 14 vol. %;“</w:t>
            </w:r>
          </w:p>
        </w:tc>
      </w:tr>
    </w:tbl>
    <w:p w14:paraId="39920CD5" w14:textId="77777777" w:rsidR="00D056A8" w:rsidRDefault="00D056A8"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69778EAB" w14:textId="3B49B85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166</w:t>
      </w:r>
    </w:p>
    <w:p w14:paraId="2AA92DA2" w14:textId="77777777" w:rsidR="006F5BFE" w:rsidRPr="003B2277" w:rsidRDefault="006F5BFE" w:rsidP="006F5BFE"/>
    <w:p w14:paraId="37486ED4" w14:textId="77777777" w:rsidR="006F5BFE" w:rsidRPr="003B2277" w:rsidRDefault="006F5BFE" w:rsidP="006F5BFE">
      <w:pPr>
        <w:keepNext/>
        <w:rPr>
          <w:b/>
          <w:lang w:eastAsia="en-US"/>
        </w:rPr>
      </w:pPr>
      <w:r w:rsidRPr="003B2277">
        <w:rPr>
          <w:rFonts w:eastAsia="Calibri" w:cs="Mangal"/>
          <w:b/>
          <w:lang w:eastAsia="en-US"/>
        </w:rPr>
        <w:t>Predlog uredbe</w:t>
      </w:r>
    </w:p>
    <w:p w14:paraId="70D07FB9" w14:textId="77777777" w:rsidR="006F5BFE" w:rsidRPr="003B2277" w:rsidRDefault="006F5BFE" w:rsidP="006F5BFE">
      <w:pPr>
        <w:rPr>
          <w:b/>
          <w:lang w:eastAsia="en-US"/>
        </w:rPr>
      </w:pPr>
      <w:r w:rsidRPr="003B2277">
        <w:rPr>
          <w:rFonts w:eastAsia="Calibri" w:cs="Mangal"/>
          <w:b/>
          <w:lang w:eastAsia="en-US"/>
        </w:rPr>
        <w:t>Člen 1 – odstavek 1 – točka 32</w:t>
      </w:r>
    </w:p>
    <w:p w14:paraId="09C0CBB4" w14:textId="77777777" w:rsidR="006F5BFE" w:rsidRPr="003B2277" w:rsidRDefault="006F5BFE" w:rsidP="006F5BFE">
      <w:pPr>
        <w:keepNext/>
        <w:rPr>
          <w:lang w:eastAsia="en-US"/>
        </w:rPr>
      </w:pPr>
      <w:r w:rsidRPr="003B2277">
        <w:rPr>
          <w:rFonts w:eastAsia="Calibri" w:cs="Mangal"/>
          <w:lang w:eastAsia="en-US"/>
        </w:rPr>
        <w:t>Uredba (EU) št. 1308/2013</w:t>
      </w:r>
    </w:p>
    <w:p w14:paraId="445376A8" w14:textId="77777777" w:rsidR="006F5BFE" w:rsidRPr="003B2277" w:rsidRDefault="006F5BFE" w:rsidP="006F5BFE">
      <w:pPr>
        <w:rPr>
          <w:lang w:eastAsia="en-US"/>
        </w:rPr>
      </w:pPr>
      <w:r w:rsidRPr="003B2277">
        <w:rPr>
          <w:rFonts w:eastAsia="Calibri" w:cs="Mangal"/>
          <w:lang w:eastAsia="en-US"/>
        </w:rPr>
        <w:t>Priloga VII – del II – točka 18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A34B46F" w14:textId="77777777" w:rsidTr="005B4D60">
        <w:trPr>
          <w:jc w:val="center"/>
        </w:trPr>
        <w:tc>
          <w:tcPr>
            <w:tcW w:w="9752" w:type="dxa"/>
            <w:gridSpan w:val="2"/>
          </w:tcPr>
          <w:p w14:paraId="50FBE2B2" w14:textId="77777777" w:rsidR="006F5BFE" w:rsidRPr="003B2277" w:rsidRDefault="006F5BFE" w:rsidP="005B4D60">
            <w:pPr>
              <w:keepNext/>
            </w:pPr>
          </w:p>
        </w:tc>
      </w:tr>
      <w:tr w:rsidR="006F5BFE" w:rsidRPr="003B2277" w14:paraId="4A377C0F" w14:textId="77777777" w:rsidTr="005B4D60">
        <w:trPr>
          <w:jc w:val="center"/>
        </w:trPr>
        <w:tc>
          <w:tcPr>
            <w:tcW w:w="4876" w:type="dxa"/>
            <w:hideMark/>
          </w:tcPr>
          <w:p w14:paraId="02FAE42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E0ED613" w14:textId="36D7D54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CAB9442" w14:textId="77777777" w:rsidTr="005B4D60">
        <w:trPr>
          <w:jc w:val="center"/>
        </w:trPr>
        <w:tc>
          <w:tcPr>
            <w:tcW w:w="4876" w:type="dxa"/>
            <w:hideMark/>
          </w:tcPr>
          <w:p w14:paraId="4D9F1E3F" w14:textId="77777777" w:rsidR="006F5BFE" w:rsidRPr="003B2277" w:rsidRDefault="006F5BFE" w:rsidP="005B4D60">
            <w:pPr>
              <w:spacing w:after="120"/>
              <w:rPr>
                <w:lang w:eastAsia="en-US"/>
              </w:rPr>
            </w:pPr>
            <w:r w:rsidRPr="003B2277">
              <w:rPr>
                <w:rFonts w:eastAsia="Calibri" w:cs="Mangal"/>
                <w:lang w:eastAsia="en-US"/>
              </w:rPr>
              <w:t>(18)</w:t>
            </w:r>
            <w:r w:rsidRPr="003B2277">
              <w:rPr>
                <w:rFonts w:eastAsia="Calibri" w:cs="Mangal"/>
                <w:lang w:eastAsia="en-US"/>
              </w:rPr>
              <w:tab/>
            </w:r>
            <w:r w:rsidRPr="003B2277">
              <w:rPr>
                <w:rFonts w:eastAsia="Calibri" w:cs="Mangal"/>
                <w:b/>
                <w:i/>
                <w:lang w:eastAsia="en-US"/>
              </w:rPr>
              <w:t>Izraz ‚dealkoholizirano‘ se lahko uporablja v kombinaciji z imenom proizvodov</w:t>
            </w:r>
            <w:r w:rsidRPr="003B2277">
              <w:rPr>
                <w:rFonts w:eastAsia="Calibri" w:cs="Mangal"/>
                <w:lang w:eastAsia="en-US"/>
              </w:rPr>
              <w:t xml:space="preserve"> vinske trte</w:t>
            </w:r>
            <w:r w:rsidRPr="003B2277">
              <w:rPr>
                <w:rFonts w:eastAsia="Calibri" w:cs="Mangal"/>
                <w:b/>
                <w:i/>
                <w:lang w:eastAsia="en-US"/>
              </w:rPr>
              <w:t xml:space="preserve"> iz točk 1 in 4 do 9</w:t>
            </w:r>
            <w:r w:rsidRPr="003B2277">
              <w:rPr>
                <w:rFonts w:eastAsia="Calibri" w:cs="Mangal"/>
                <w:lang w:eastAsia="en-US"/>
              </w:rPr>
              <w:t xml:space="preserve">, </w:t>
            </w:r>
            <w:r w:rsidRPr="003B2277">
              <w:rPr>
                <w:rFonts w:eastAsia="Calibri" w:cs="Mangal"/>
                <w:b/>
                <w:i/>
                <w:lang w:eastAsia="en-US"/>
              </w:rPr>
              <w:t>kadar</w:t>
            </w:r>
            <w:r w:rsidRPr="003B2277">
              <w:rPr>
                <w:rFonts w:eastAsia="Calibri" w:cs="Mangal"/>
                <w:lang w:eastAsia="en-US"/>
              </w:rPr>
              <w:t>:</w:t>
            </w:r>
          </w:p>
        </w:tc>
        <w:tc>
          <w:tcPr>
            <w:tcW w:w="4876" w:type="dxa"/>
            <w:hideMark/>
          </w:tcPr>
          <w:p w14:paraId="6C5825B5" w14:textId="77777777" w:rsidR="006F5BFE" w:rsidRPr="003B2277" w:rsidRDefault="006F5BFE" w:rsidP="005B4D60">
            <w:pPr>
              <w:spacing w:after="120"/>
              <w:rPr>
                <w:szCs w:val="24"/>
                <w:lang w:eastAsia="en-US"/>
              </w:rPr>
            </w:pPr>
            <w:r w:rsidRPr="003B2277">
              <w:rPr>
                <w:rFonts w:eastAsia="Calibri" w:cs="Mangal"/>
                <w:lang w:eastAsia="en-US"/>
              </w:rPr>
              <w:t>(18)</w:t>
            </w:r>
            <w:r w:rsidRPr="003B2277">
              <w:rPr>
                <w:rFonts w:eastAsia="Calibri" w:cs="Mangal"/>
                <w:lang w:eastAsia="en-US"/>
              </w:rPr>
              <w:tab/>
            </w:r>
            <w:r w:rsidRPr="003B2277">
              <w:rPr>
                <w:rFonts w:eastAsia="Calibri" w:cs="Mangal"/>
                <w:b/>
                <w:i/>
                <w:lang w:eastAsia="en-US"/>
              </w:rPr>
              <w:t>„Dealkoholizirano“ vino ali „dealkoholizirano (ime kategorije proizvoda</w:t>
            </w:r>
            <w:r w:rsidRPr="003B2277">
              <w:rPr>
                <w:rFonts w:eastAsia="Calibri" w:cs="Mangal"/>
                <w:lang w:eastAsia="en-US"/>
              </w:rPr>
              <w:t xml:space="preserve"> vinske trte</w:t>
            </w:r>
            <w:r w:rsidRPr="003B2277">
              <w:rPr>
                <w:rFonts w:eastAsia="Calibri" w:cs="Mangal"/>
                <w:b/>
                <w:i/>
                <w:lang w:eastAsia="en-US"/>
              </w:rPr>
              <w:t>, uporabljene za njegovo proizvodnjo)“ pomeni proizvod</w:t>
            </w:r>
            <w:r w:rsidRPr="003B2277">
              <w:rPr>
                <w:rFonts w:eastAsia="Calibri" w:cs="Mangal"/>
                <w:lang w:eastAsia="en-US"/>
              </w:rPr>
              <w:t xml:space="preserve">, </w:t>
            </w:r>
            <w:r w:rsidRPr="003B2277">
              <w:rPr>
                <w:rFonts w:eastAsia="Calibri" w:cs="Mangal"/>
                <w:b/>
                <w:i/>
                <w:lang w:eastAsia="en-US"/>
              </w:rPr>
              <w:t>ki</w:t>
            </w:r>
            <w:r w:rsidRPr="003B2277">
              <w:rPr>
                <w:rFonts w:eastAsia="Calibri" w:cs="Mangal"/>
                <w:lang w:eastAsia="en-US"/>
              </w:rPr>
              <w:t>:</w:t>
            </w:r>
          </w:p>
        </w:tc>
      </w:tr>
    </w:tbl>
    <w:p w14:paraId="2D635310" w14:textId="77777777" w:rsidR="006F5BFE" w:rsidRPr="003B2277" w:rsidRDefault="006F5BFE" w:rsidP="006F5BFE">
      <w:pPr>
        <w:rPr>
          <w:lang w:eastAsia="en-US"/>
        </w:rPr>
      </w:pPr>
    </w:p>
    <w:p w14:paraId="5676514C" w14:textId="111DC31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167</w:t>
      </w:r>
    </w:p>
    <w:p w14:paraId="1419AB33" w14:textId="77777777" w:rsidR="006F5BFE" w:rsidRPr="003B2277" w:rsidRDefault="006F5BFE" w:rsidP="006F5BFE"/>
    <w:p w14:paraId="37C98E28" w14:textId="77777777" w:rsidR="006F5BFE" w:rsidRPr="003B2277" w:rsidRDefault="006F5BFE" w:rsidP="006F5BFE">
      <w:pPr>
        <w:keepNext/>
        <w:rPr>
          <w:b/>
          <w:lang w:eastAsia="en-US"/>
        </w:rPr>
      </w:pPr>
      <w:r w:rsidRPr="003B2277">
        <w:rPr>
          <w:rFonts w:eastAsia="Calibri" w:cs="Mangal"/>
          <w:b/>
          <w:lang w:eastAsia="en-US"/>
        </w:rPr>
        <w:t>Predlog uredbe</w:t>
      </w:r>
    </w:p>
    <w:p w14:paraId="4A5F6B13" w14:textId="77777777" w:rsidR="006F5BFE" w:rsidRPr="003B2277" w:rsidRDefault="006F5BFE" w:rsidP="006F5BFE">
      <w:pPr>
        <w:rPr>
          <w:b/>
          <w:lang w:eastAsia="en-US"/>
        </w:rPr>
      </w:pPr>
      <w:r w:rsidRPr="003B2277">
        <w:rPr>
          <w:rFonts w:eastAsia="Calibri" w:cs="Mangal"/>
          <w:b/>
          <w:lang w:eastAsia="en-US"/>
        </w:rPr>
        <w:t>Člen 1 – odstavek 1 – točka 32</w:t>
      </w:r>
    </w:p>
    <w:p w14:paraId="499B89E0" w14:textId="77777777" w:rsidR="006F5BFE" w:rsidRPr="003B2277" w:rsidRDefault="006F5BFE" w:rsidP="006F5BFE">
      <w:pPr>
        <w:keepNext/>
        <w:rPr>
          <w:lang w:eastAsia="en-US"/>
        </w:rPr>
      </w:pPr>
      <w:r w:rsidRPr="003B2277">
        <w:rPr>
          <w:rFonts w:eastAsia="Calibri" w:cs="Mangal"/>
          <w:lang w:eastAsia="en-US"/>
        </w:rPr>
        <w:t>Uredba (EU) št. 1308/2013</w:t>
      </w:r>
    </w:p>
    <w:p w14:paraId="6F052546" w14:textId="77777777" w:rsidR="006F5BFE" w:rsidRPr="003B2277" w:rsidRDefault="006F5BFE" w:rsidP="006F5BFE">
      <w:pPr>
        <w:rPr>
          <w:lang w:eastAsia="en-US"/>
        </w:rPr>
      </w:pPr>
      <w:r w:rsidRPr="003B2277">
        <w:rPr>
          <w:rFonts w:eastAsia="Calibri" w:cs="Mangal"/>
          <w:lang w:eastAsia="en-US"/>
        </w:rPr>
        <w:t>Priloga VII – del II – točka 18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D609F04" w14:textId="77777777" w:rsidTr="005B4D60">
        <w:trPr>
          <w:jc w:val="center"/>
        </w:trPr>
        <w:tc>
          <w:tcPr>
            <w:tcW w:w="9752" w:type="dxa"/>
            <w:gridSpan w:val="2"/>
          </w:tcPr>
          <w:p w14:paraId="3373D289" w14:textId="77777777" w:rsidR="006F5BFE" w:rsidRPr="003B2277" w:rsidRDefault="006F5BFE" w:rsidP="005B4D60">
            <w:pPr>
              <w:keepNext/>
            </w:pPr>
          </w:p>
        </w:tc>
      </w:tr>
      <w:tr w:rsidR="006F5BFE" w:rsidRPr="003B2277" w14:paraId="66A79366" w14:textId="77777777" w:rsidTr="005B4D60">
        <w:trPr>
          <w:jc w:val="center"/>
        </w:trPr>
        <w:tc>
          <w:tcPr>
            <w:tcW w:w="4876" w:type="dxa"/>
            <w:hideMark/>
          </w:tcPr>
          <w:p w14:paraId="7EC16711"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C9BF8E0" w14:textId="3DD0EE1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8AE6F79" w14:textId="77777777" w:rsidTr="005B4D60">
        <w:trPr>
          <w:jc w:val="center"/>
        </w:trPr>
        <w:tc>
          <w:tcPr>
            <w:tcW w:w="4876" w:type="dxa"/>
            <w:hideMark/>
          </w:tcPr>
          <w:p w14:paraId="45CE8AB8" w14:textId="77777777" w:rsidR="006F5BFE" w:rsidRPr="003B2277" w:rsidRDefault="006F5BFE" w:rsidP="005B4D60">
            <w:pPr>
              <w:spacing w:after="120"/>
              <w:rPr>
                <w:lang w:eastAsia="en-US"/>
              </w:rPr>
            </w:pPr>
            <w:r w:rsidRPr="003B2277">
              <w:rPr>
                <w:rFonts w:eastAsia="Calibri" w:cs="Mangal"/>
                <w:lang w:eastAsia="en-US"/>
              </w:rPr>
              <w:t>(b)</w:t>
            </w:r>
            <w:r w:rsidRPr="003B2277">
              <w:rPr>
                <w:rFonts w:eastAsia="Calibri" w:cs="Mangal"/>
                <w:lang w:eastAsia="en-US"/>
              </w:rPr>
              <w:tab/>
              <w:t xml:space="preserve">je bila na proizvodu izvedena dealkoholizacija v skladu s </w:t>
            </w:r>
            <w:r w:rsidRPr="003B2277">
              <w:rPr>
                <w:rFonts w:eastAsia="Calibri" w:cs="Mangal"/>
                <w:b/>
                <w:i/>
                <w:lang w:eastAsia="en-US"/>
              </w:rPr>
              <w:t>postopki</w:t>
            </w:r>
            <w:r w:rsidRPr="003B2277">
              <w:rPr>
                <w:rFonts w:eastAsia="Calibri" w:cs="Mangal"/>
                <w:lang w:eastAsia="en-US"/>
              </w:rPr>
              <w:t xml:space="preserve"> iz oddelka E dela I Priloge VIII</w:t>
            </w:r>
            <w:r w:rsidRPr="003B2277">
              <w:rPr>
                <w:rFonts w:eastAsia="Calibri" w:cs="Mangal"/>
                <w:b/>
                <w:i/>
                <w:lang w:eastAsia="en-US"/>
              </w:rPr>
              <w:t>;</w:t>
            </w:r>
            <w:r w:rsidRPr="003B2277">
              <w:rPr>
                <w:rFonts w:eastAsia="Calibri" w:cs="Mangal"/>
                <w:lang w:eastAsia="en-US"/>
              </w:rPr>
              <w:t xml:space="preserve"> ter</w:t>
            </w:r>
          </w:p>
        </w:tc>
        <w:tc>
          <w:tcPr>
            <w:tcW w:w="4876" w:type="dxa"/>
            <w:hideMark/>
          </w:tcPr>
          <w:p w14:paraId="1FAC8671" w14:textId="77777777" w:rsidR="006F5BFE" w:rsidRPr="003B2277" w:rsidRDefault="006F5BFE" w:rsidP="005B4D60">
            <w:pPr>
              <w:spacing w:after="120"/>
              <w:rPr>
                <w:szCs w:val="24"/>
                <w:lang w:eastAsia="en-US"/>
              </w:rPr>
            </w:pPr>
            <w:r w:rsidRPr="003B2277">
              <w:rPr>
                <w:rFonts w:eastAsia="Calibri" w:cs="Mangal"/>
                <w:lang w:eastAsia="en-US"/>
              </w:rPr>
              <w:t>(b)</w:t>
            </w:r>
            <w:r w:rsidRPr="003B2277">
              <w:rPr>
                <w:rFonts w:eastAsia="Calibri" w:cs="Mangal"/>
                <w:lang w:eastAsia="en-US"/>
              </w:rPr>
              <w:tab/>
              <w:t xml:space="preserve">je bila na proizvodu izvedena dealkoholizacija v skladu s </w:t>
            </w:r>
            <w:r w:rsidRPr="003B2277">
              <w:rPr>
                <w:rFonts w:eastAsia="Calibri" w:cs="Mangal"/>
                <w:b/>
                <w:i/>
                <w:lang w:eastAsia="en-US"/>
              </w:rPr>
              <w:t>pogoji</w:t>
            </w:r>
            <w:r w:rsidRPr="003B2277">
              <w:rPr>
                <w:rFonts w:eastAsia="Calibri" w:cs="Mangal"/>
                <w:lang w:eastAsia="en-US"/>
              </w:rPr>
              <w:t xml:space="preserve"> iz oddelka E dela I Priloge VIII ter</w:t>
            </w:r>
          </w:p>
        </w:tc>
      </w:tr>
    </w:tbl>
    <w:p w14:paraId="16F7474E" w14:textId="77777777" w:rsidR="006F5BFE" w:rsidRPr="003B2277" w:rsidRDefault="006F5BFE" w:rsidP="006F5BFE">
      <w:pPr>
        <w:rPr>
          <w:lang w:eastAsia="en-US"/>
        </w:rPr>
      </w:pPr>
    </w:p>
    <w:p w14:paraId="277746B7" w14:textId="134BBC4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168</w:t>
      </w:r>
    </w:p>
    <w:p w14:paraId="25E0A9FB" w14:textId="77777777" w:rsidR="006F5BFE" w:rsidRPr="003B2277" w:rsidRDefault="006F5BFE" w:rsidP="006F5BFE"/>
    <w:p w14:paraId="36E5D14F" w14:textId="77777777" w:rsidR="006F5BFE" w:rsidRPr="003B2277" w:rsidRDefault="006F5BFE" w:rsidP="006F5BFE">
      <w:pPr>
        <w:keepNext/>
        <w:rPr>
          <w:b/>
          <w:lang w:eastAsia="en-US"/>
        </w:rPr>
      </w:pPr>
      <w:r w:rsidRPr="003B2277">
        <w:rPr>
          <w:rFonts w:eastAsia="Calibri" w:cs="Mangal"/>
          <w:b/>
          <w:lang w:eastAsia="en-US"/>
        </w:rPr>
        <w:t>Predlog uredbe</w:t>
      </w:r>
    </w:p>
    <w:p w14:paraId="299B9659" w14:textId="77777777" w:rsidR="006F5BFE" w:rsidRPr="003B2277" w:rsidRDefault="006F5BFE" w:rsidP="006F5BFE">
      <w:pPr>
        <w:rPr>
          <w:b/>
          <w:lang w:eastAsia="en-US"/>
        </w:rPr>
      </w:pPr>
      <w:r w:rsidRPr="003B2277">
        <w:rPr>
          <w:rFonts w:eastAsia="Calibri" w:cs="Mangal"/>
          <w:b/>
          <w:lang w:eastAsia="en-US"/>
        </w:rPr>
        <w:t>Člen 1 – odstavek 1 – točka 32</w:t>
      </w:r>
    </w:p>
    <w:p w14:paraId="50E39538" w14:textId="77777777" w:rsidR="006F5BFE" w:rsidRPr="003B2277" w:rsidRDefault="006F5BFE" w:rsidP="006F5BFE">
      <w:pPr>
        <w:keepNext/>
        <w:rPr>
          <w:lang w:eastAsia="en-US"/>
        </w:rPr>
      </w:pPr>
      <w:r w:rsidRPr="003B2277">
        <w:rPr>
          <w:rFonts w:eastAsia="Calibri" w:cs="Mangal"/>
          <w:lang w:eastAsia="en-US"/>
        </w:rPr>
        <w:t>Uredba (EU) št. 1308/2013</w:t>
      </w:r>
    </w:p>
    <w:p w14:paraId="45E06AB9" w14:textId="77777777" w:rsidR="006F5BFE" w:rsidRPr="003B2277" w:rsidRDefault="006F5BFE" w:rsidP="006F5BFE">
      <w:pPr>
        <w:rPr>
          <w:lang w:eastAsia="en-US"/>
        </w:rPr>
      </w:pPr>
      <w:r w:rsidRPr="003B2277">
        <w:rPr>
          <w:rFonts w:eastAsia="Calibri" w:cs="Mangal"/>
          <w:lang w:eastAsia="en-US"/>
        </w:rPr>
        <w:t>Priloga VII – del II – točka 19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EB1AEF1" w14:textId="77777777" w:rsidTr="005B4D60">
        <w:trPr>
          <w:jc w:val="center"/>
        </w:trPr>
        <w:tc>
          <w:tcPr>
            <w:tcW w:w="9752" w:type="dxa"/>
            <w:gridSpan w:val="2"/>
          </w:tcPr>
          <w:p w14:paraId="4D6B0BD4" w14:textId="77777777" w:rsidR="006F5BFE" w:rsidRPr="003B2277" w:rsidRDefault="006F5BFE" w:rsidP="005B4D60">
            <w:pPr>
              <w:keepNext/>
            </w:pPr>
          </w:p>
        </w:tc>
      </w:tr>
      <w:tr w:rsidR="006F5BFE" w:rsidRPr="003B2277" w14:paraId="0270D71D" w14:textId="77777777" w:rsidTr="005B4D60">
        <w:trPr>
          <w:jc w:val="center"/>
        </w:trPr>
        <w:tc>
          <w:tcPr>
            <w:tcW w:w="4876" w:type="dxa"/>
            <w:hideMark/>
          </w:tcPr>
          <w:p w14:paraId="21910EBF"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4EF7BE5" w14:textId="5B83DA2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0AF9CDB" w14:textId="77777777" w:rsidTr="005B4D60">
        <w:trPr>
          <w:jc w:val="center"/>
        </w:trPr>
        <w:tc>
          <w:tcPr>
            <w:tcW w:w="4876" w:type="dxa"/>
            <w:hideMark/>
          </w:tcPr>
          <w:p w14:paraId="3DF91B9F" w14:textId="77777777" w:rsidR="006F5BFE" w:rsidRPr="003B2277" w:rsidRDefault="006F5BFE" w:rsidP="005B4D60">
            <w:pPr>
              <w:spacing w:after="120"/>
              <w:rPr>
                <w:lang w:eastAsia="en-US"/>
              </w:rPr>
            </w:pPr>
            <w:r w:rsidRPr="003B2277">
              <w:rPr>
                <w:rFonts w:eastAsia="Calibri" w:cs="Mangal"/>
                <w:lang w:eastAsia="en-US"/>
              </w:rPr>
              <w:t>(19)</w:t>
            </w:r>
            <w:r w:rsidRPr="003B2277">
              <w:rPr>
                <w:rFonts w:eastAsia="Calibri" w:cs="Mangal"/>
                <w:lang w:eastAsia="en-US"/>
              </w:rPr>
              <w:tab/>
            </w:r>
            <w:r w:rsidRPr="003B2277">
              <w:rPr>
                <w:rFonts w:eastAsia="Calibri" w:cs="Mangal"/>
                <w:b/>
                <w:i/>
                <w:lang w:eastAsia="en-US"/>
              </w:rPr>
              <w:t>Izraz ‚delno dealkoholizirano‘ se lahko uporablja v kombinaciji z imenom proizvodov</w:t>
            </w:r>
            <w:r w:rsidRPr="003B2277">
              <w:rPr>
                <w:rFonts w:eastAsia="Calibri" w:cs="Mangal"/>
                <w:lang w:eastAsia="en-US"/>
              </w:rPr>
              <w:t xml:space="preserve"> vinske trte</w:t>
            </w:r>
            <w:r w:rsidRPr="003B2277">
              <w:rPr>
                <w:rFonts w:eastAsia="Calibri" w:cs="Mangal"/>
                <w:b/>
                <w:i/>
                <w:lang w:eastAsia="en-US"/>
              </w:rPr>
              <w:t xml:space="preserve"> iz točk 1 in 4 do 9</w:t>
            </w:r>
            <w:r w:rsidRPr="003B2277">
              <w:rPr>
                <w:rFonts w:eastAsia="Calibri" w:cs="Mangal"/>
                <w:lang w:eastAsia="en-US"/>
              </w:rPr>
              <w:t xml:space="preserve">, </w:t>
            </w:r>
            <w:r w:rsidRPr="003B2277">
              <w:rPr>
                <w:rFonts w:eastAsia="Calibri" w:cs="Mangal"/>
                <w:b/>
                <w:i/>
                <w:lang w:eastAsia="en-US"/>
              </w:rPr>
              <w:t>kadar</w:t>
            </w:r>
            <w:r w:rsidRPr="003B2277">
              <w:rPr>
                <w:rFonts w:eastAsia="Calibri" w:cs="Mangal"/>
                <w:lang w:eastAsia="en-US"/>
              </w:rPr>
              <w:t>:</w:t>
            </w:r>
          </w:p>
        </w:tc>
        <w:tc>
          <w:tcPr>
            <w:tcW w:w="4876" w:type="dxa"/>
            <w:hideMark/>
          </w:tcPr>
          <w:p w14:paraId="18A5836D" w14:textId="77777777" w:rsidR="006F5BFE" w:rsidRPr="003B2277" w:rsidRDefault="006F5BFE" w:rsidP="005B4D60">
            <w:pPr>
              <w:spacing w:after="120"/>
              <w:rPr>
                <w:szCs w:val="24"/>
                <w:lang w:eastAsia="en-US"/>
              </w:rPr>
            </w:pPr>
            <w:r w:rsidRPr="003B2277">
              <w:rPr>
                <w:rFonts w:eastAsia="Calibri" w:cs="Mangal"/>
                <w:lang w:eastAsia="en-US"/>
              </w:rPr>
              <w:t>(19)</w:t>
            </w:r>
            <w:r w:rsidRPr="003B2277">
              <w:rPr>
                <w:rFonts w:eastAsia="Calibri" w:cs="Mangal"/>
                <w:lang w:eastAsia="en-US"/>
              </w:rPr>
              <w:tab/>
            </w:r>
            <w:r w:rsidRPr="003B2277">
              <w:rPr>
                <w:rFonts w:eastAsia="Calibri" w:cs="Mangal"/>
                <w:b/>
                <w:i/>
                <w:lang w:eastAsia="en-US"/>
              </w:rPr>
              <w:t>„Delno dealkoholizirano vino“ ali „delno dealkoholizirano (ime kategorije proizvoda</w:t>
            </w:r>
            <w:r w:rsidRPr="003B2277">
              <w:rPr>
                <w:rFonts w:eastAsia="Calibri" w:cs="Mangal"/>
                <w:lang w:eastAsia="en-US"/>
              </w:rPr>
              <w:t xml:space="preserve"> vinske trte</w:t>
            </w:r>
            <w:r w:rsidRPr="003B2277">
              <w:rPr>
                <w:rFonts w:eastAsia="Calibri" w:cs="Mangal"/>
                <w:b/>
                <w:i/>
                <w:lang w:eastAsia="en-US"/>
              </w:rPr>
              <w:t>, uporabljenega za njegovo proizvodnjo)“ pomeni proizvod</w:t>
            </w:r>
            <w:r w:rsidRPr="003B2277">
              <w:rPr>
                <w:rFonts w:eastAsia="Calibri" w:cs="Mangal"/>
                <w:lang w:eastAsia="en-US"/>
              </w:rPr>
              <w:t xml:space="preserve">, </w:t>
            </w:r>
            <w:r w:rsidRPr="003B2277">
              <w:rPr>
                <w:rFonts w:eastAsia="Calibri" w:cs="Mangal"/>
                <w:b/>
                <w:i/>
                <w:lang w:eastAsia="en-US"/>
              </w:rPr>
              <w:t>ki</w:t>
            </w:r>
            <w:r w:rsidRPr="003B2277">
              <w:rPr>
                <w:rFonts w:eastAsia="Calibri" w:cs="Mangal"/>
                <w:lang w:eastAsia="en-US"/>
              </w:rPr>
              <w:t>:</w:t>
            </w:r>
          </w:p>
        </w:tc>
      </w:tr>
    </w:tbl>
    <w:p w14:paraId="0C213024" w14:textId="77777777" w:rsidR="006F5BFE" w:rsidRPr="003B2277" w:rsidRDefault="006F5BFE" w:rsidP="006F5BFE">
      <w:pPr>
        <w:rPr>
          <w:lang w:eastAsia="en-US"/>
        </w:rPr>
      </w:pPr>
    </w:p>
    <w:p w14:paraId="7040797E" w14:textId="6C54A72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169</w:t>
      </w:r>
    </w:p>
    <w:p w14:paraId="7481BB40" w14:textId="77777777" w:rsidR="006F5BFE" w:rsidRPr="003B2277" w:rsidRDefault="006F5BFE" w:rsidP="006F5BFE"/>
    <w:p w14:paraId="2FF9766B" w14:textId="77777777" w:rsidR="006F5BFE" w:rsidRPr="003B2277" w:rsidRDefault="006F5BFE" w:rsidP="006F5BFE">
      <w:pPr>
        <w:keepNext/>
        <w:rPr>
          <w:b/>
          <w:lang w:eastAsia="en-US"/>
        </w:rPr>
      </w:pPr>
      <w:r w:rsidRPr="003B2277">
        <w:rPr>
          <w:rFonts w:eastAsia="Calibri" w:cs="Mangal"/>
          <w:b/>
          <w:lang w:eastAsia="en-US"/>
        </w:rPr>
        <w:t>Predlog uredbe</w:t>
      </w:r>
    </w:p>
    <w:p w14:paraId="1040BD91" w14:textId="77777777" w:rsidR="006F5BFE" w:rsidRPr="003B2277" w:rsidRDefault="006F5BFE" w:rsidP="006F5BFE">
      <w:pPr>
        <w:rPr>
          <w:b/>
          <w:lang w:eastAsia="en-US"/>
        </w:rPr>
      </w:pPr>
      <w:r w:rsidRPr="003B2277">
        <w:rPr>
          <w:rFonts w:eastAsia="Calibri" w:cs="Mangal"/>
          <w:b/>
          <w:lang w:eastAsia="en-US"/>
        </w:rPr>
        <w:t>Člen 1 – odstavek 1 – točka 32</w:t>
      </w:r>
    </w:p>
    <w:p w14:paraId="1EB51D39" w14:textId="77777777" w:rsidR="006F5BFE" w:rsidRPr="003B2277" w:rsidRDefault="006F5BFE" w:rsidP="006F5BFE">
      <w:pPr>
        <w:keepNext/>
        <w:rPr>
          <w:lang w:eastAsia="en-US"/>
        </w:rPr>
      </w:pPr>
      <w:r w:rsidRPr="003B2277">
        <w:rPr>
          <w:rFonts w:eastAsia="Calibri" w:cs="Mangal"/>
          <w:lang w:eastAsia="en-US"/>
        </w:rPr>
        <w:t>Uredba (EU) št. 1308/2013</w:t>
      </w:r>
    </w:p>
    <w:p w14:paraId="252EDA5E" w14:textId="77777777" w:rsidR="006F5BFE" w:rsidRPr="003B2277" w:rsidRDefault="006F5BFE" w:rsidP="006F5BFE">
      <w:pPr>
        <w:rPr>
          <w:lang w:eastAsia="en-US"/>
        </w:rPr>
      </w:pPr>
      <w:r w:rsidRPr="003B2277">
        <w:rPr>
          <w:rFonts w:eastAsia="Calibri" w:cs="Mangal"/>
          <w:lang w:eastAsia="en-US"/>
        </w:rPr>
        <w:t>Priloga VII – del II – točka 19 – točka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1787C9" w14:textId="77777777" w:rsidTr="005B4D60">
        <w:trPr>
          <w:jc w:val="center"/>
        </w:trPr>
        <w:tc>
          <w:tcPr>
            <w:tcW w:w="9752" w:type="dxa"/>
            <w:gridSpan w:val="2"/>
          </w:tcPr>
          <w:p w14:paraId="117C06A4" w14:textId="77777777" w:rsidR="006F5BFE" w:rsidRPr="003B2277" w:rsidRDefault="006F5BFE" w:rsidP="005B4D60">
            <w:pPr>
              <w:keepNext/>
            </w:pPr>
          </w:p>
        </w:tc>
      </w:tr>
      <w:tr w:rsidR="006F5BFE" w:rsidRPr="003B2277" w14:paraId="5B25C790" w14:textId="77777777" w:rsidTr="005B4D60">
        <w:trPr>
          <w:jc w:val="center"/>
        </w:trPr>
        <w:tc>
          <w:tcPr>
            <w:tcW w:w="4876" w:type="dxa"/>
            <w:hideMark/>
          </w:tcPr>
          <w:p w14:paraId="47C10B6D"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3E03388" w14:textId="069DDB6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5C27D3B" w14:textId="77777777" w:rsidTr="005B4D60">
        <w:trPr>
          <w:jc w:val="center"/>
        </w:trPr>
        <w:tc>
          <w:tcPr>
            <w:tcW w:w="4876" w:type="dxa"/>
            <w:hideMark/>
          </w:tcPr>
          <w:p w14:paraId="5365D360" w14:textId="77777777" w:rsidR="006F5BFE" w:rsidRPr="003B2277" w:rsidRDefault="006F5BFE" w:rsidP="005B4D60">
            <w:pPr>
              <w:spacing w:after="120"/>
              <w:rPr>
                <w:lang w:eastAsia="en-US"/>
              </w:rPr>
            </w:pPr>
            <w:r w:rsidRPr="003B2277">
              <w:rPr>
                <w:rFonts w:eastAsia="Calibri" w:cs="Mangal"/>
                <w:lang w:eastAsia="en-US"/>
              </w:rPr>
              <w:t>(b)</w:t>
            </w:r>
            <w:r w:rsidRPr="003B2277">
              <w:rPr>
                <w:rFonts w:eastAsia="Calibri" w:cs="Mangal"/>
                <w:lang w:eastAsia="en-US"/>
              </w:rPr>
              <w:tab/>
              <w:t xml:space="preserve">je bila na proizvodu izvedena dealkoholizacija v skladu s </w:t>
            </w:r>
            <w:r w:rsidRPr="003B2277">
              <w:rPr>
                <w:rFonts w:eastAsia="Calibri" w:cs="Mangal"/>
                <w:b/>
                <w:i/>
                <w:lang w:eastAsia="en-US"/>
              </w:rPr>
              <w:t>postopki</w:t>
            </w:r>
            <w:r w:rsidRPr="003B2277">
              <w:rPr>
                <w:rFonts w:eastAsia="Calibri" w:cs="Mangal"/>
                <w:lang w:eastAsia="en-US"/>
              </w:rPr>
              <w:t xml:space="preserve"> iz oddelka E dela I Priloge VIII</w:t>
            </w:r>
            <w:r w:rsidRPr="003B2277">
              <w:rPr>
                <w:rFonts w:eastAsia="Calibri" w:cs="Mangal"/>
                <w:b/>
                <w:i/>
                <w:lang w:eastAsia="en-US"/>
              </w:rPr>
              <w:t>;</w:t>
            </w:r>
            <w:r w:rsidRPr="003B2277">
              <w:rPr>
                <w:rFonts w:eastAsia="Calibri" w:cs="Mangal"/>
                <w:lang w:eastAsia="en-US"/>
              </w:rPr>
              <w:t xml:space="preserve"> ter</w:t>
            </w:r>
          </w:p>
        </w:tc>
        <w:tc>
          <w:tcPr>
            <w:tcW w:w="4876" w:type="dxa"/>
            <w:hideMark/>
          </w:tcPr>
          <w:p w14:paraId="046AF194" w14:textId="77777777" w:rsidR="006F5BFE" w:rsidRPr="003B2277" w:rsidRDefault="006F5BFE" w:rsidP="005B4D60">
            <w:pPr>
              <w:spacing w:after="120"/>
              <w:rPr>
                <w:szCs w:val="24"/>
                <w:lang w:eastAsia="en-US"/>
              </w:rPr>
            </w:pPr>
            <w:r w:rsidRPr="003B2277">
              <w:rPr>
                <w:rFonts w:eastAsia="Calibri" w:cs="Mangal"/>
                <w:lang w:eastAsia="en-US"/>
              </w:rPr>
              <w:t>(b)</w:t>
            </w:r>
            <w:r w:rsidRPr="003B2277">
              <w:rPr>
                <w:rFonts w:eastAsia="Calibri" w:cs="Mangal"/>
                <w:lang w:eastAsia="en-US"/>
              </w:rPr>
              <w:tab/>
              <w:t xml:space="preserve">je bila na proizvodu izvedena dealkoholizacija v skladu s </w:t>
            </w:r>
            <w:r w:rsidRPr="003B2277">
              <w:rPr>
                <w:rFonts w:eastAsia="Calibri" w:cs="Mangal"/>
                <w:b/>
                <w:i/>
                <w:lang w:eastAsia="en-US"/>
              </w:rPr>
              <w:t>pogoji</w:t>
            </w:r>
            <w:r w:rsidRPr="003B2277">
              <w:rPr>
                <w:rFonts w:eastAsia="Calibri" w:cs="Mangal"/>
                <w:lang w:eastAsia="en-US"/>
              </w:rPr>
              <w:t xml:space="preserve"> iz oddelka E dela I Priloge VIII ter</w:t>
            </w:r>
          </w:p>
        </w:tc>
      </w:tr>
    </w:tbl>
    <w:p w14:paraId="614AF854" w14:textId="77777777" w:rsidR="006F5BFE" w:rsidRPr="003B2277" w:rsidRDefault="006F5BFE" w:rsidP="006F5BFE">
      <w:pPr>
        <w:rPr>
          <w:lang w:eastAsia="en-US"/>
        </w:rPr>
      </w:pPr>
    </w:p>
    <w:p w14:paraId="14259BB0" w14:textId="70F72D5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170</w:t>
      </w:r>
    </w:p>
    <w:p w14:paraId="01D27B5E" w14:textId="77777777" w:rsidR="006F5BFE" w:rsidRPr="003B2277" w:rsidRDefault="006F5BFE" w:rsidP="006F5BFE"/>
    <w:p w14:paraId="02D3831E" w14:textId="77777777" w:rsidR="006F5BFE" w:rsidRPr="003B2277" w:rsidRDefault="006F5BFE" w:rsidP="006F5BFE">
      <w:pPr>
        <w:keepNext/>
        <w:rPr>
          <w:b/>
          <w:lang w:eastAsia="en-US"/>
        </w:rPr>
      </w:pPr>
      <w:r w:rsidRPr="003B2277">
        <w:rPr>
          <w:rFonts w:eastAsia="Calibri" w:cs="Mangal"/>
          <w:b/>
          <w:lang w:eastAsia="en-US"/>
        </w:rPr>
        <w:t>Predlog uredbe</w:t>
      </w:r>
    </w:p>
    <w:p w14:paraId="0759D1B3" w14:textId="77777777" w:rsidR="006F5BFE" w:rsidRPr="003B2277" w:rsidRDefault="006F5BFE" w:rsidP="006F5BFE">
      <w:pPr>
        <w:rPr>
          <w:b/>
          <w:lang w:eastAsia="en-US"/>
        </w:rPr>
      </w:pPr>
      <w:r w:rsidRPr="003B2277">
        <w:rPr>
          <w:rFonts w:eastAsia="Calibri" w:cs="Mangal"/>
          <w:b/>
          <w:lang w:eastAsia="en-US"/>
        </w:rPr>
        <w:t>Člen 1 – odstavek 1 – točka 32</w:t>
      </w:r>
    </w:p>
    <w:p w14:paraId="1BCE6231" w14:textId="77777777" w:rsidR="006F5BFE" w:rsidRPr="003B2277" w:rsidRDefault="006F5BFE" w:rsidP="006F5BFE">
      <w:pPr>
        <w:keepNext/>
        <w:rPr>
          <w:lang w:eastAsia="en-US"/>
        </w:rPr>
      </w:pPr>
      <w:r w:rsidRPr="003B2277">
        <w:rPr>
          <w:rFonts w:eastAsia="Calibri" w:cs="Mangal"/>
          <w:lang w:eastAsia="en-US"/>
        </w:rPr>
        <w:t>Uredba (EU) št. 1308/2013</w:t>
      </w:r>
    </w:p>
    <w:p w14:paraId="5799BD6C" w14:textId="77777777" w:rsidR="006F5BFE" w:rsidRPr="003B2277" w:rsidRDefault="006F5BFE" w:rsidP="006F5BFE">
      <w:pPr>
        <w:rPr>
          <w:lang w:eastAsia="en-US"/>
        </w:rPr>
      </w:pPr>
      <w:r w:rsidRPr="003B2277">
        <w:rPr>
          <w:rFonts w:eastAsia="Calibri" w:cs="Mangal"/>
          <w:lang w:eastAsia="en-US"/>
        </w:rPr>
        <w:t>Priloga VII – del II – točka 19 – točka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F97CFEC" w14:textId="77777777" w:rsidTr="005B4D60">
        <w:trPr>
          <w:jc w:val="center"/>
        </w:trPr>
        <w:tc>
          <w:tcPr>
            <w:tcW w:w="9752" w:type="dxa"/>
            <w:gridSpan w:val="2"/>
          </w:tcPr>
          <w:p w14:paraId="4004B4C5" w14:textId="77777777" w:rsidR="006F5BFE" w:rsidRPr="003B2277" w:rsidRDefault="006F5BFE" w:rsidP="005B4D60">
            <w:pPr>
              <w:keepNext/>
            </w:pPr>
          </w:p>
        </w:tc>
      </w:tr>
      <w:tr w:rsidR="006F5BFE" w:rsidRPr="003B2277" w14:paraId="4A4D9E7E" w14:textId="77777777" w:rsidTr="005B4D60">
        <w:trPr>
          <w:jc w:val="center"/>
        </w:trPr>
        <w:tc>
          <w:tcPr>
            <w:tcW w:w="4876" w:type="dxa"/>
            <w:hideMark/>
          </w:tcPr>
          <w:p w14:paraId="4E1048DB"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1C7D545" w14:textId="55949ABC"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FFAF733" w14:textId="77777777" w:rsidTr="005B4D60">
        <w:trPr>
          <w:jc w:val="center"/>
        </w:trPr>
        <w:tc>
          <w:tcPr>
            <w:tcW w:w="4876" w:type="dxa"/>
            <w:hideMark/>
          </w:tcPr>
          <w:p w14:paraId="1EC62D3B" w14:textId="77777777" w:rsidR="006F5BFE" w:rsidRPr="003B2277" w:rsidRDefault="006F5BFE" w:rsidP="005B4D60">
            <w:pPr>
              <w:spacing w:after="120"/>
              <w:rPr>
                <w:lang w:eastAsia="en-US"/>
              </w:rPr>
            </w:pPr>
            <w:r w:rsidRPr="003B2277">
              <w:rPr>
                <w:rFonts w:eastAsia="Calibri" w:cs="Mangal"/>
                <w:lang w:eastAsia="en-US"/>
              </w:rPr>
              <w:t>(c)</w:t>
            </w:r>
            <w:r w:rsidRPr="003B2277">
              <w:rPr>
                <w:rFonts w:eastAsia="Calibri" w:cs="Mangal"/>
                <w:lang w:eastAsia="en-US"/>
              </w:rPr>
              <w:tab/>
              <w:t>ima proizvod skupni delež alkohola več kot 0,5 vol. % in je njegov skupni delež alkohola po postopkih iz oddelka E dela I Priloge VIII zmanjšan za več kot 20 % vol. v primerjavi z njegovim začetnim skupnim deležem alkohola.</w:t>
            </w:r>
            <w:r w:rsidRPr="003B2277">
              <w:rPr>
                <w:rFonts w:eastAsia="Calibri" w:cs="Mangal"/>
                <w:b/>
                <w:i/>
                <w:lang w:eastAsia="en-US"/>
              </w:rPr>
              <w:t>“;</w:t>
            </w:r>
          </w:p>
        </w:tc>
        <w:tc>
          <w:tcPr>
            <w:tcW w:w="4876" w:type="dxa"/>
            <w:hideMark/>
          </w:tcPr>
          <w:p w14:paraId="33C1E1AA" w14:textId="77777777" w:rsidR="006F5BFE" w:rsidRPr="003B2277" w:rsidRDefault="006F5BFE" w:rsidP="005B4D60">
            <w:pPr>
              <w:spacing w:after="120"/>
              <w:rPr>
                <w:szCs w:val="24"/>
                <w:lang w:eastAsia="en-US"/>
              </w:rPr>
            </w:pPr>
            <w:r w:rsidRPr="003B2277">
              <w:rPr>
                <w:rFonts w:eastAsia="Calibri" w:cs="Mangal"/>
                <w:lang w:eastAsia="en-US"/>
              </w:rPr>
              <w:t>(c)</w:t>
            </w:r>
            <w:r w:rsidRPr="003B2277">
              <w:rPr>
                <w:rFonts w:eastAsia="Calibri" w:cs="Mangal"/>
                <w:lang w:eastAsia="en-US"/>
              </w:rPr>
              <w:tab/>
              <w:t xml:space="preserve">ima proizvod skupni delež alkohola </w:t>
            </w:r>
            <w:r w:rsidRPr="003B2277">
              <w:rPr>
                <w:rFonts w:eastAsia="Calibri" w:cs="Mangal"/>
                <w:b/>
                <w:i/>
                <w:lang w:eastAsia="en-US"/>
              </w:rPr>
              <w:t xml:space="preserve">manj kot 8,5 vol. % in </w:t>
            </w:r>
            <w:r w:rsidRPr="003B2277">
              <w:rPr>
                <w:rFonts w:eastAsia="Calibri" w:cs="Mangal"/>
                <w:lang w:eastAsia="en-US"/>
              </w:rPr>
              <w:t xml:space="preserve">več kot 0,5 vol. % in je njegov skupni delež alkohola po postopkih iz oddelka E dela I Priloge VIII zmanjšan za več kot 20 % vol. v primerjavi z njegovim začetnim skupnim deležem alkohola. </w:t>
            </w:r>
          </w:p>
        </w:tc>
      </w:tr>
    </w:tbl>
    <w:p w14:paraId="49EA1B18" w14:textId="77777777" w:rsidR="006F5BFE" w:rsidRPr="003B2277" w:rsidRDefault="006F5BFE" w:rsidP="006F5BFE">
      <w:pPr>
        <w:rPr>
          <w:lang w:eastAsia="en-US"/>
        </w:rPr>
      </w:pPr>
    </w:p>
    <w:p w14:paraId="351E5112" w14:textId="4100F6A3"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171</w:t>
      </w:r>
    </w:p>
    <w:p w14:paraId="6718E1D9" w14:textId="77777777" w:rsidR="006F5BFE" w:rsidRPr="003B2277" w:rsidRDefault="006F5BFE" w:rsidP="006F5BFE"/>
    <w:p w14:paraId="409D3885" w14:textId="77777777" w:rsidR="006F5BFE" w:rsidRPr="003B2277" w:rsidRDefault="006F5BFE" w:rsidP="006F5BFE">
      <w:pPr>
        <w:keepNext/>
        <w:rPr>
          <w:b/>
          <w:lang w:eastAsia="en-US"/>
        </w:rPr>
      </w:pPr>
      <w:r w:rsidRPr="003B2277">
        <w:rPr>
          <w:rFonts w:eastAsia="Calibri" w:cs="Mangal"/>
          <w:b/>
          <w:lang w:eastAsia="en-US"/>
        </w:rPr>
        <w:t>Predlog uredbe</w:t>
      </w:r>
    </w:p>
    <w:p w14:paraId="6A8E155D" w14:textId="77777777" w:rsidR="006F5BFE" w:rsidRPr="003B2277" w:rsidRDefault="006F5BFE" w:rsidP="006F5BFE">
      <w:pPr>
        <w:rPr>
          <w:b/>
          <w:lang w:eastAsia="en-US"/>
        </w:rPr>
      </w:pPr>
      <w:r w:rsidRPr="003B2277">
        <w:rPr>
          <w:rFonts w:eastAsia="Calibri" w:cs="Mangal"/>
          <w:b/>
          <w:lang w:eastAsia="en-US"/>
        </w:rPr>
        <w:t>Člen 1 – odstavek 1 – točka 32 a (novo)</w:t>
      </w:r>
    </w:p>
    <w:p w14:paraId="67D682D3" w14:textId="77777777" w:rsidR="006F5BFE" w:rsidRPr="003B2277" w:rsidRDefault="006F5BFE" w:rsidP="006F5BFE">
      <w:pPr>
        <w:keepNext/>
        <w:rPr>
          <w:lang w:eastAsia="en-US"/>
        </w:rPr>
      </w:pPr>
      <w:r w:rsidRPr="003B2277">
        <w:rPr>
          <w:rFonts w:eastAsia="Calibri" w:cs="Mangal"/>
          <w:lang w:eastAsia="en-US"/>
        </w:rPr>
        <w:t>Uredba (EU) št. 1308/2013</w:t>
      </w:r>
    </w:p>
    <w:p w14:paraId="2B65C407" w14:textId="77777777" w:rsidR="006F5BFE" w:rsidRPr="003B2277" w:rsidRDefault="006F5BFE" w:rsidP="006F5BFE">
      <w:pPr>
        <w:rPr>
          <w:lang w:eastAsia="en-US"/>
        </w:rPr>
      </w:pPr>
      <w:r w:rsidRPr="003B2277">
        <w:rPr>
          <w:rFonts w:eastAsia="Calibri" w:cs="Mangal"/>
          <w:lang w:eastAsia="en-US"/>
        </w:rPr>
        <w:t>Priloga VII – del III – točka 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BD38237" w14:textId="77777777" w:rsidTr="005B4D60">
        <w:trPr>
          <w:jc w:val="center"/>
        </w:trPr>
        <w:tc>
          <w:tcPr>
            <w:tcW w:w="9752" w:type="dxa"/>
            <w:gridSpan w:val="2"/>
          </w:tcPr>
          <w:p w14:paraId="7A1DFF2E" w14:textId="77777777" w:rsidR="006F5BFE" w:rsidRPr="003B2277" w:rsidRDefault="006F5BFE" w:rsidP="005B4D60">
            <w:pPr>
              <w:keepNext/>
            </w:pPr>
          </w:p>
        </w:tc>
      </w:tr>
      <w:tr w:rsidR="006F5BFE" w:rsidRPr="003B2277" w14:paraId="24FD2D86" w14:textId="77777777" w:rsidTr="005B4D60">
        <w:trPr>
          <w:jc w:val="center"/>
        </w:trPr>
        <w:tc>
          <w:tcPr>
            <w:tcW w:w="4876" w:type="dxa"/>
            <w:hideMark/>
          </w:tcPr>
          <w:p w14:paraId="2C377796"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66F375DB" w14:textId="5D02AAF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B597CA2" w14:textId="77777777" w:rsidTr="005B4D60">
        <w:trPr>
          <w:jc w:val="center"/>
        </w:trPr>
        <w:tc>
          <w:tcPr>
            <w:tcW w:w="4876" w:type="dxa"/>
          </w:tcPr>
          <w:p w14:paraId="1FC834CA" w14:textId="77777777" w:rsidR="006F5BFE" w:rsidRPr="003B2277" w:rsidRDefault="006F5BFE" w:rsidP="005B4D60">
            <w:pPr>
              <w:spacing w:after="120"/>
            </w:pPr>
          </w:p>
        </w:tc>
        <w:tc>
          <w:tcPr>
            <w:tcW w:w="4876" w:type="dxa"/>
            <w:hideMark/>
          </w:tcPr>
          <w:p w14:paraId="5E9DEB51" w14:textId="77777777" w:rsidR="006F5BFE" w:rsidRPr="003B2277" w:rsidRDefault="006F5BFE" w:rsidP="005B4D60">
            <w:pPr>
              <w:spacing w:after="120"/>
              <w:rPr>
                <w:szCs w:val="24"/>
                <w:lang w:eastAsia="en-US"/>
              </w:rPr>
            </w:pPr>
            <w:r w:rsidRPr="003B2277">
              <w:rPr>
                <w:rFonts w:eastAsia="Calibri" w:cs="Mangal"/>
                <w:b/>
                <w:i/>
                <w:lang w:eastAsia="en-US"/>
              </w:rPr>
              <w:t>(32a)</w:t>
            </w:r>
            <w:r w:rsidRPr="003B2277">
              <w:rPr>
                <w:rFonts w:eastAsia="Calibri" w:cs="Mangal"/>
                <w:b/>
                <w:i/>
                <w:lang w:eastAsia="en-US"/>
              </w:rPr>
              <w:tab/>
              <w:t>točka 5 v delu III Priloge VII se nadomesti z naslednjim:</w:t>
            </w:r>
          </w:p>
        </w:tc>
      </w:tr>
      <w:tr w:rsidR="006F5BFE" w:rsidRPr="003B2277" w14:paraId="0BDA4045" w14:textId="77777777" w:rsidTr="005B4D60">
        <w:trPr>
          <w:jc w:val="center"/>
        </w:trPr>
        <w:tc>
          <w:tcPr>
            <w:tcW w:w="4876" w:type="dxa"/>
            <w:hideMark/>
          </w:tcPr>
          <w:p w14:paraId="630F3681"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Poimenovanja iz točk 1, 2 in 3 se ne smejo uporabljati za noben izdelek, razen za izdelke iz navedene točke.</w:t>
            </w:r>
          </w:p>
        </w:tc>
        <w:tc>
          <w:tcPr>
            <w:tcW w:w="4876" w:type="dxa"/>
            <w:hideMark/>
          </w:tcPr>
          <w:p w14:paraId="59AAE32E" w14:textId="77777777" w:rsidR="006F5BFE" w:rsidRPr="003B2277" w:rsidRDefault="006F5BFE" w:rsidP="005B4D60">
            <w:pPr>
              <w:spacing w:after="120"/>
              <w:rPr>
                <w:szCs w:val="24"/>
                <w:lang w:eastAsia="en-US"/>
              </w:rPr>
            </w:pPr>
            <w:r w:rsidRPr="003B2277">
              <w:rPr>
                <w:rFonts w:eastAsia="Calibri" w:cs="Mangal"/>
                <w:lang w:eastAsia="en-US"/>
              </w:rPr>
              <w:tab/>
              <w:t>Poimenovanja iz točk 1, 2 in 3 se ne smejo uporabljati za noben izdelek, razen za izdelke iz navedene točke.</w:t>
            </w:r>
          </w:p>
        </w:tc>
      </w:tr>
      <w:tr w:rsidR="006F5BFE" w:rsidRPr="003B2277" w14:paraId="221E3C5A" w14:textId="77777777" w:rsidTr="005B4D60">
        <w:trPr>
          <w:jc w:val="center"/>
        </w:trPr>
        <w:tc>
          <w:tcPr>
            <w:tcW w:w="4876" w:type="dxa"/>
            <w:hideMark/>
          </w:tcPr>
          <w:p w14:paraId="4EE04166" w14:textId="77777777" w:rsidR="006F5BFE" w:rsidRPr="003B2277" w:rsidRDefault="006F5BFE" w:rsidP="005B4D60">
            <w:pPr>
              <w:spacing w:after="120"/>
            </w:pPr>
          </w:p>
        </w:tc>
        <w:tc>
          <w:tcPr>
            <w:tcW w:w="4876" w:type="dxa"/>
            <w:hideMark/>
          </w:tcPr>
          <w:p w14:paraId="0C39D7F3" w14:textId="77777777" w:rsidR="006F5BFE" w:rsidRPr="003B2277" w:rsidRDefault="006F5BFE" w:rsidP="005B4D60">
            <w:pPr>
              <w:spacing w:after="120"/>
              <w:rPr>
                <w:szCs w:val="24"/>
                <w:lang w:eastAsia="en-US"/>
              </w:rPr>
            </w:pPr>
            <w:r w:rsidRPr="003B2277">
              <w:rPr>
                <w:rFonts w:eastAsia="Calibri" w:cs="Mangal"/>
                <w:b/>
                <w:i/>
                <w:lang w:eastAsia="en-US"/>
              </w:rPr>
              <w:t>Poimenovanja so zaščitena tudi pred:</w:t>
            </w:r>
          </w:p>
        </w:tc>
      </w:tr>
      <w:tr w:rsidR="006F5BFE" w:rsidRPr="003B2277" w14:paraId="0E7D292E" w14:textId="77777777" w:rsidTr="005B4D60">
        <w:trPr>
          <w:jc w:val="center"/>
        </w:trPr>
        <w:tc>
          <w:tcPr>
            <w:tcW w:w="4876" w:type="dxa"/>
          </w:tcPr>
          <w:p w14:paraId="7CFE0F93" w14:textId="77777777" w:rsidR="006F5BFE" w:rsidRPr="003B2277" w:rsidRDefault="006F5BFE" w:rsidP="005B4D60">
            <w:pPr>
              <w:spacing w:after="120"/>
            </w:pPr>
          </w:p>
        </w:tc>
        <w:tc>
          <w:tcPr>
            <w:tcW w:w="4876" w:type="dxa"/>
            <w:hideMark/>
          </w:tcPr>
          <w:p w14:paraId="39A87429" w14:textId="77777777" w:rsidR="006F5BFE" w:rsidRPr="003B2277" w:rsidRDefault="006F5BFE" w:rsidP="005B4D60">
            <w:pPr>
              <w:spacing w:after="120"/>
              <w:rPr>
                <w:szCs w:val="24"/>
                <w:lang w:eastAsia="en-US"/>
              </w:rPr>
            </w:pPr>
            <w:r w:rsidRPr="003B2277">
              <w:rPr>
                <w:rFonts w:eastAsia="Calibri" w:cs="Mangal"/>
                <w:b/>
                <w:i/>
                <w:lang w:eastAsia="en-US"/>
              </w:rPr>
              <w:t>(a) vsako neposredno ali posredno komercialno rabo tega poimenovanja;</w:t>
            </w:r>
          </w:p>
        </w:tc>
      </w:tr>
      <w:tr w:rsidR="006F5BFE" w:rsidRPr="003B2277" w14:paraId="6E58BAC8" w14:textId="77777777" w:rsidTr="005B4D60">
        <w:trPr>
          <w:jc w:val="center"/>
        </w:trPr>
        <w:tc>
          <w:tcPr>
            <w:tcW w:w="4876" w:type="dxa"/>
          </w:tcPr>
          <w:p w14:paraId="72A18CD8" w14:textId="77777777" w:rsidR="006F5BFE" w:rsidRPr="003B2277" w:rsidRDefault="006F5BFE" w:rsidP="005B4D60">
            <w:pPr>
              <w:spacing w:after="120"/>
            </w:pPr>
          </w:p>
        </w:tc>
        <w:tc>
          <w:tcPr>
            <w:tcW w:w="4876" w:type="dxa"/>
            <w:hideMark/>
          </w:tcPr>
          <w:p w14:paraId="3AA53115" w14:textId="77777777" w:rsidR="006F5BFE" w:rsidRPr="003B2277" w:rsidRDefault="006F5BFE" w:rsidP="005B4D60">
            <w:pPr>
              <w:spacing w:after="120"/>
              <w:rPr>
                <w:szCs w:val="24"/>
                <w:lang w:eastAsia="en-US"/>
              </w:rPr>
            </w:pPr>
            <w:r w:rsidRPr="003B2277">
              <w:rPr>
                <w:rFonts w:eastAsia="Calibri" w:cs="Mangal"/>
                <w:b/>
                <w:i/>
                <w:lang w:eastAsia="en-US"/>
              </w:rPr>
              <w:t>(i) za primerljive ali nadomestljive izdelke, ki niso v skladu z ustrezno opredelitvijo;</w:t>
            </w:r>
          </w:p>
        </w:tc>
      </w:tr>
      <w:tr w:rsidR="006F5BFE" w:rsidRPr="003B2277" w14:paraId="7A3AC9D4" w14:textId="77777777" w:rsidTr="005B4D60">
        <w:trPr>
          <w:jc w:val="center"/>
        </w:trPr>
        <w:tc>
          <w:tcPr>
            <w:tcW w:w="4876" w:type="dxa"/>
          </w:tcPr>
          <w:p w14:paraId="5D0287C9" w14:textId="77777777" w:rsidR="006F5BFE" w:rsidRPr="003B2277" w:rsidRDefault="006F5BFE" w:rsidP="005B4D60">
            <w:pPr>
              <w:spacing w:after="120"/>
            </w:pPr>
          </w:p>
        </w:tc>
        <w:tc>
          <w:tcPr>
            <w:tcW w:w="4876" w:type="dxa"/>
            <w:hideMark/>
          </w:tcPr>
          <w:p w14:paraId="4520110C" w14:textId="77777777" w:rsidR="006F5BFE" w:rsidRPr="003B2277" w:rsidRDefault="006F5BFE" w:rsidP="005B4D60">
            <w:pPr>
              <w:spacing w:after="120"/>
              <w:rPr>
                <w:szCs w:val="24"/>
                <w:lang w:eastAsia="en-US"/>
              </w:rPr>
            </w:pPr>
            <w:r w:rsidRPr="003B2277">
              <w:rPr>
                <w:rFonts w:eastAsia="Calibri" w:cs="Mangal"/>
                <w:b/>
                <w:i/>
                <w:lang w:eastAsia="en-US"/>
              </w:rPr>
              <w:t>(ii) če taka raba izkorišča ugled poimenovanja;</w:t>
            </w:r>
          </w:p>
        </w:tc>
      </w:tr>
      <w:tr w:rsidR="006F5BFE" w:rsidRPr="003B2277" w14:paraId="091BEA20" w14:textId="77777777" w:rsidTr="005B4D60">
        <w:trPr>
          <w:jc w:val="center"/>
        </w:trPr>
        <w:tc>
          <w:tcPr>
            <w:tcW w:w="4876" w:type="dxa"/>
          </w:tcPr>
          <w:p w14:paraId="3C5DCD5E" w14:textId="77777777" w:rsidR="006F5BFE" w:rsidRPr="003B2277" w:rsidRDefault="006F5BFE" w:rsidP="005B4D60">
            <w:pPr>
              <w:spacing w:after="120"/>
            </w:pPr>
          </w:p>
        </w:tc>
        <w:tc>
          <w:tcPr>
            <w:tcW w:w="4876" w:type="dxa"/>
            <w:hideMark/>
          </w:tcPr>
          <w:p w14:paraId="759C52A8" w14:textId="77777777" w:rsidR="006F5BFE" w:rsidRPr="003B2277" w:rsidRDefault="006F5BFE" w:rsidP="005B4D60">
            <w:pPr>
              <w:spacing w:after="120"/>
              <w:rPr>
                <w:szCs w:val="24"/>
                <w:lang w:eastAsia="en-US"/>
              </w:rPr>
            </w:pPr>
            <w:r w:rsidRPr="003B2277">
              <w:rPr>
                <w:rFonts w:eastAsia="Calibri" w:cs="Mangal"/>
                <w:b/>
                <w:i/>
                <w:lang w:eastAsia="en-US"/>
              </w:rPr>
              <w:t>(b) vsako zlorabo, posnemanjem ali prikazovanjem, tudi če je sestava ali resnična narava proizvoda ali storitve navedena ali če mu je dodan izraz, kot so vrsta, tip, metoda, pristop, posnetek, okus, nadomestilo, način ali podobno;</w:t>
            </w:r>
          </w:p>
        </w:tc>
      </w:tr>
      <w:tr w:rsidR="006F5BFE" w:rsidRPr="003B2277" w14:paraId="32291C4A" w14:textId="77777777" w:rsidTr="005B4D60">
        <w:trPr>
          <w:jc w:val="center"/>
        </w:trPr>
        <w:tc>
          <w:tcPr>
            <w:tcW w:w="4876" w:type="dxa"/>
          </w:tcPr>
          <w:p w14:paraId="0EF1811B" w14:textId="77777777" w:rsidR="006F5BFE" w:rsidRPr="003B2277" w:rsidRDefault="006F5BFE" w:rsidP="005B4D60">
            <w:pPr>
              <w:spacing w:after="120"/>
            </w:pPr>
          </w:p>
        </w:tc>
        <w:tc>
          <w:tcPr>
            <w:tcW w:w="4876" w:type="dxa"/>
            <w:hideMark/>
          </w:tcPr>
          <w:p w14:paraId="61F2941E" w14:textId="77777777" w:rsidR="006F5BFE" w:rsidRPr="003B2277" w:rsidRDefault="006F5BFE" w:rsidP="005B4D60">
            <w:pPr>
              <w:spacing w:after="120"/>
              <w:rPr>
                <w:szCs w:val="24"/>
                <w:lang w:eastAsia="en-US"/>
              </w:rPr>
            </w:pPr>
            <w:r w:rsidRPr="003B2277">
              <w:rPr>
                <w:rFonts w:eastAsia="Calibri" w:cs="Mangal"/>
                <w:b/>
                <w:i/>
                <w:lang w:eastAsia="en-US"/>
              </w:rPr>
              <w:t>(c) vsemi drugimi označbami ali komercialnimi praksami, ki lahko potrošnika zavajajo glede resnične narave ali sestave proizvoda.</w:t>
            </w:r>
          </w:p>
        </w:tc>
      </w:tr>
      <w:tr w:rsidR="006F5BFE" w:rsidRPr="003B2277" w14:paraId="676B9226" w14:textId="77777777" w:rsidTr="005B4D60">
        <w:trPr>
          <w:jc w:val="center"/>
        </w:trPr>
        <w:tc>
          <w:tcPr>
            <w:tcW w:w="4876" w:type="dxa"/>
          </w:tcPr>
          <w:p w14:paraId="6E2F111B" w14:textId="77777777" w:rsidR="006F5BFE" w:rsidRPr="003B2277" w:rsidRDefault="006F5BFE" w:rsidP="005B4D60">
            <w:pPr>
              <w:spacing w:after="120"/>
              <w:rPr>
                <w:lang w:eastAsia="en-US"/>
              </w:rPr>
            </w:pPr>
            <w:r w:rsidRPr="003B2277">
              <w:rPr>
                <w:rFonts w:eastAsia="Calibri" w:cs="Mangal"/>
                <w:lang w:eastAsia="en-US"/>
              </w:rPr>
              <w:t>Ta določba pa ne velja za poimenovanja izdelkov, katerih vrsta je zaradi uveljavljene uporabe natančno poznana, in/ali kadar se poimenovanje očitno uporabi za opis značilne lastnosti izdelka.</w:t>
            </w:r>
          </w:p>
        </w:tc>
        <w:tc>
          <w:tcPr>
            <w:tcW w:w="4876" w:type="dxa"/>
            <w:hideMark/>
          </w:tcPr>
          <w:p w14:paraId="1EB02AED" w14:textId="3799A6E1" w:rsidR="006F5BFE" w:rsidRPr="003B2277" w:rsidRDefault="006F5BFE" w:rsidP="005B4D60">
            <w:pPr>
              <w:spacing w:after="120"/>
              <w:rPr>
                <w:szCs w:val="24"/>
                <w:lang w:eastAsia="en-US"/>
              </w:rPr>
            </w:pPr>
            <w:r w:rsidRPr="003B2277">
              <w:rPr>
                <w:rFonts w:eastAsia="Calibri" w:cs="Mangal"/>
                <w:lang w:eastAsia="en-US"/>
              </w:rPr>
              <w:t>Ta določba pa ne velja za poimenovanja izdelkov, katerih vrsta je zaradi uveljavljene uporabe natančno poznana, in/ali kadar se poimenovanje očitno uporabi za opis značilne lastnosti izdelka.</w:t>
            </w:r>
            <w:r w:rsidRPr="003B2277">
              <w:rPr>
                <w:rFonts w:eastAsia="Calibri" w:cs="Mangal"/>
                <w:b/>
                <w:i/>
                <w:lang w:eastAsia="en-US"/>
              </w:rPr>
              <w:t>“</w:t>
            </w:r>
          </w:p>
        </w:tc>
      </w:tr>
    </w:tbl>
    <w:p w14:paraId="24D2A3A8" w14:textId="77777777" w:rsidR="006F5BFE" w:rsidRPr="003B2277" w:rsidRDefault="006F5BFE" w:rsidP="006F5BFE">
      <w:pPr>
        <w:spacing w:before="240"/>
        <w:jc w:val="center"/>
        <w:rPr>
          <w:i/>
          <w:lang w:eastAsia="en-US"/>
        </w:rPr>
      </w:pPr>
    </w:p>
    <w:p w14:paraId="3FDD346E" w14:textId="77777777" w:rsidR="006F5BFE" w:rsidRPr="003B2277" w:rsidRDefault="006F5BFE" w:rsidP="006F5BFE">
      <w:pPr>
        <w:rPr>
          <w:lang w:eastAsia="en-US"/>
        </w:rPr>
      </w:pPr>
    </w:p>
    <w:p w14:paraId="243135FB" w14:textId="4A65F18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172</w:t>
      </w:r>
    </w:p>
    <w:p w14:paraId="0EF0A5BE" w14:textId="77777777" w:rsidR="006F5BFE" w:rsidRPr="003B2277" w:rsidRDefault="006F5BFE" w:rsidP="006F5BFE"/>
    <w:p w14:paraId="41132F68" w14:textId="77777777" w:rsidR="006F5BFE" w:rsidRPr="003B2277" w:rsidRDefault="006F5BFE" w:rsidP="006F5BFE">
      <w:pPr>
        <w:keepNext/>
        <w:rPr>
          <w:b/>
          <w:lang w:eastAsia="en-US"/>
        </w:rPr>
      </w:pPr>
      <w:r w:rsidRPr="003B2277">
        <w:rPr>
          <w:rFonts w:eastAsia="Calibri" w:cs="Mangal"/>
          <w:b/>
          <w:lang w:eastAsia="en-US"/>
        </w:rPr>
        <w:t>Predlog uredbe</w:t>
      </w:r>
    </w:p>
    <w:p w14:paraId="180E8A44" w14:textId="77777777" w:rsidR="006F5BFE" w:rsidRPr="003B2277" w:rsidRDefault="006F5BFE" w:rsidP="006F5BFE">
      <w:pPr>
        <w:rPr>
          <w:b/>
          <w:lang w:eastAsia="en-US"/>
        </w:rPr>
      </w:pPr>
      <w:r w:rsidRPr="003B2277">
        <w:rPr>
          <w:rFonts w:eastAsia="Calibri" w:cs="Mangal"/>
          <w:b/>
          <w:lang w:eastAsia="en-US"/>
        </w:rPr>
        <w:t>Člen 1 – odstavek 1 – točka 32 b (novo)</w:t>
      </w:r>
    </w:p>
    <w:p w14:paraId="00DB123F" w14:textId="77777777" w:rsidR="006F5BFE" w:rsidRPr="003B2277" w:rsidRDefault="006F5BFE" w:rsidP="006F5BFE">
      <w:pPr>
        <w:keepNext/>
        <w:rPr>
          <w:lang w:eastAsia="en-US"/>
        </w:rPr>
      </w:pPr>
      <w:r w:rsidRPr="003B2277">
        <w:rPr>
          <w:rFonts w:eastAsia="Calibri" w:cs="Mangal"/>
          <w:lang w:eastAsia="en-US"/>
        </w:rPr>
        <w:t>Uredba (EU) št. 1308/2013</w:t>
      </w:r>
    </w:p>
    <w:p w14:paraId="6F57AF8F" w14:textId="77777777" w:rsidR="006F5BFE" w:rsidRPr="003B2277" w:rsidRDefault="006F5BFE" w:rsidP="006F5BFE">
      <w:pPr>
        <w:rPr>
          <w:lang w:eastAsia="en-US"/>
        </w:rPr>
      </w:pPr>
      <w:r w:rsidRPr="003B2277">
        <w:rPr>
          <w:rFonts w:eastAsia="Calibri" w:cs="Mangal"/>
          <w:lang w:eastAsia="en-US"/>
        </w:rPr>
        <w:t>Priloga VII – Dodatek I – odstavek 1 – točka 2 – točka g</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A30C6AF" w14:textId="77777777" w:rsidTr="005B4D60">
        <w:trPr>
          <w:jc w:val="center"/>
        </w:trPr>
        <w:tc>
          <w:tcPr>
            <w:tcW w:w="9752" w:type="dxa"/>
            <w:gridSpan w:val="2"/>
          </w:tcPr>
          <w:p w14:paraId="11F6F564" w14:textId="77777777" w:rsidR="006F5BFE" w:rsidRPr="003B2277" w:rsidRDefault="006F5BFE" w:rsidP="005B4D60">
            <w:pPr>
              <w:keepNext/>
            </w:pPr>
          </w:p>
        </w:tc>
      </w:tr>
      <w:tr w:rsidR="006F5BFE" w:rsidRPr="003B2277" w14:paraId="78171AD4" w14:textId="77777777" w:rsidTr="005B4D60">
        <w:trPr>
          <w:jc w:val="center"/>
        </w:trPr>
        <w:tc>
          <w:tcPr>
            <w:tcW w:w="4876" w:type="dxa"/>
            <w:hideMark/>
          </w:tcPr>
          <w:p w14:paraId="4C42FABF"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09A3CB1" w14:textId="43F0283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0EFB955" w14:textId="77777777" w:rsidTr="005B4D60">
        <w:trPr>
          <w:jc w:val="center"/>
        </w:trPr>
        <w:tc>
          <w:tcPr>
            <w:tcW w:w="4876" w:type="dxa"/>
          </w:tcPr>
          <w:p w14:paraId="296D30A0" w14:textId="77777777" w:rsidR="006F5BFE" w:rsidRPr="003B2277" w:rsidRDefault="006F5BFE" w:rsidP="005B4D60">
            <w:pPr>
              <w:spacing w:after="120"/>
            </w:pPr>
          </w:p>
        </w:tc>
        <w:tc>
          <w:tcPr>
            <w:tcW w:w="4876" w:type="dxa"/>
            <w:hideMark/>
          </w:tcPr>
          <w:p w14:paraId="5CEF3C78" w14:textId="77777777" w:rsidR="006F5BFE" w:rsidRPr="003B2277" w:rsidRDefault="006F5BFE" w:rsidP="005B4D60">
            <w:pPr>
              <w:spacing w:after="120"/>
              <w:rPr>
                <w:szCs w:val="24"/>
                <w:lang w:eastAsia="en-US"/>
              </w:rPr>
            </w:pPr>
            <w:r w:rsidRPr="003B2277">
              <w:rPr>
                <w:rFonts w:eastAsia="Calibri" w:cs="Mangal"/>
                <w:b/>
                <w:i/>
                <w:lang w:eastAsia="en-US"/>
              </w:rPr>
              <w:tab/>
              <w:t>v točki 2 prvega odstavka dodatka I v Prilogi VII se točka (g) nadomesti z naslednjim:</w:t>
            </w:r>
          </w:p>
        </w:tc>
      </w:tr>
      <w:tr w:rsidR="006F5BFE" w:rsidRPr="003B2277" w14:paraId="4F8F0B73" w14:textId="77777777" w:rsidTr="005B4D60">
        <w:trPr>
          <w:jc w:val="center"/>
        </w:trPr>
        <w:tc>
          <w:tcPr>
            <w:tcW w:w="4876" w:type="dxa"/>
            <w:hideMark/>
          </w:tcPr>
          <w:p w14:paraId="67A5E7BD" w14:textId="77777777" w:rsidR="006F5BFE" w:rsidRPr="003B2277" w:rsidRDefault="006F5BFE" w:rsidP="005B4D60">
            <w:pPr>
              <w:spacing w:after="120"/>
              <w:rPr>
                <w:lang w:eastAsia="en-US"/>
              </w:rPr>
            </w:pPr>
            <w:r w:rsidRPr="003B2277">
              <w:rPr>
                <w:rFonts w:eastAsia="Calibri" w:cs="Mangal"/>
                <w:lang w:eastAsia="en-US"/>
              </w:rPr>
              <w:t xml:space="preserve">(g) v Romuniji: </w:t>
            </w:r>
            <w:r w:rsidRPr="003B2277">
              <w:rPr>
                <w:rFonts w:eastAsia="Calibri" w:cs="Mangal"/>
                <w:b/>
                <w:i/>
                <w:lang w:eastAsia="en-US"/>
              </w:rPr>
              <w:t>območje</w:t>
            </w:r>
            <w:r w:rsidRPr="003B2277">
              <w:rPr>
                <w:rFonts w:eastAsia="Calibri" w:cs="Mangal"/>
                <w:lang w:eastAsia="en-US"/>
              </w:rPr>
              <w:t xml:space="preserve"> Podișul Transilvaniei</w:t>
            </w:r>
            <w:r w:rsidRPr="003B2277">
              <w:rPr>
                <w:rFonts w:eastAsia="Calibri" w:cs="Mangal"/>
                <w:b/>
                <w:i/>
                <w:lang w:eastAsia="en-US"/>
              </w:rPr>
              <w:t>;</w:t>
            </w:r>
          </w:p>
        </w:tc>
        <w:tc>
          <w:tcPr>
            <w:tcW w:w="4876" w:type="dxa"/>
            <w:hideMark/>
          </w:tcPr>
          <w:p w14:paraId="62B83325"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(g) v Romuniji:</w:t>
            </w:r>
            <w:r w:rsidRPr="003B2277">
              <w:rPr>
                <w:rFonts w:eastAsia="Calibri" w:cs="Mangal"/>
                <w:b/>
                <w:i/>
                <w:lang w:eastAsia="en-US"/>
              </w:rPr>
              <w:t xml:space="preserve"> vinorodna regija</w:t>
            </w:r>
            <w:r w:rsidRPr="003B2277">
              <w:rPr>
                <w:rFonts w:eastAsia="Calibri" w:cs="Mangal"/>
                <w:lang w:eastAsia="en-US"/>
              </w:rPr>
              <w:t xml:space="preserve"> Podișul Transilvaniei</w:t>
            </w:r>
            <w:r w:rsidRPr="003B2277">
              <w:rPr>
                <w:rFonts w:eastAsia="Calibri" w:cs="Mangal"/>
                <w:b/>
                <w:i/>
                <w:lang w:eastAsia="en-US"/>
              </w:rPr>
              <w:t>“</w:t>
            </w:r>
          </w:p>
        </w:tc>
      </w:tr>
    </w:tbl>
    <w:p w14:paraId="35A14BEC" w14:textId="77777777" w:rsidR="006F5BFE" w:rsidRPr="003B2277" w:rsidRDefault="006F5BFE" w:rsidP="006F5BFE">
      <w:pPr>
        <w:rPr>
          <w:lang w:eastAsia="en-US"/>
        </w:rPr>
      </w:pPr>
    </w:p>
    <w:p w14:paraId="07EA6D5C" w14:textId="6F4424E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173</w:t>
      </w:r>
    </w:p>
    <w:p w14:paraId="477226FB" w14:textId="77777777" w:rsidR="006F5BFE" w:rsidRPr="003B2277" w:rsidRDefault="006F5BFE" w:rsidP="006F5BFE"/>
    <w:p w14:paraId="014E4CBF" w14:textId="77777777" w:rsidR="006F5BFE" w:rsidRPr="003B2277" w:rsidRDefault="006F5BFE" w:rsidP="006F5BFE">
      <w:pPr>
        <w:keepNext/>
        <w:rPr>
          <w:b/>
          <w:lang w:eastAsia="en-US"/>
        </w:rPr>
      </w:pPr>
      <w:r w:rsidRPr="003B2277">
        <w:rPr>
          <w:rFonts w:eastAsia="Calibri" w:cs="Mangal"/>
          <w:b/>
          <w:lang w:eastAsia="en-US"/>
        </w:rPr>
        <w:t>Predlog uredbe</w:t>
      </w:r>
    </w:p>
    <w:p w14:paraId="33E2DB88" w14:textId="77777777" w:rsidR="006F5BFE" w:rsidRPr="003B2277" w:rsidRDefault="006F5BFE" w:rsidP="006F5BFE">
      <w:pPr>
        <w:rPr>
          <w:b/>
          <w:lang w:eastAsia="en-US"/>
        </w:rPr>
      </w:pPr>
      <w:r w:rsidRPr="003B2277">
        <w:rPr>
          <w:rFonts w:eastAsia="Calibri" w:cs="Mangal"/>
          <w:b/>
          <w:lang w:eastAsia="en-US"/>
        </w:rPr>
        <w:t>Člen 1 – odstavek 1 – točka 32 c (novo)</w:t>
      </w:r>
    </w:p>
    <w:p w14:paraId="210CC754" w14:textId="77777777" w:rsidR="006F5BFE" w:rsidRPr="003B2277" w:rsidRDefault="006F5BFE" w:rsidP="006F5BFE">
      <w:pPr>
        <w:keepNext/>
        <w:rPr>
          <w:lang w:eastAsia="en-US"/>
        </w:rPr>
      </w:pPr>
      <w:r w:rsidRPr="003B2277">
        <w:rPr>
          <w:rFonts w:eastAsia="Calibri" w:cs="Mangal"/>
          <w:lang w:eastAsia="en-US"/>
        </w:rPr>
        <w:t>Uredba (EU) št. 1308/2013</w:t>
      </w:r>
    </w:p>
    <w:p w14:paraId="0247951C" w14:textId="77777777" w:rsidR="006F5BFE" w:rsidRPr="003B2277" w:rsidRDefault="006F5BFE" w:rsidP="006F5BFE">
      <w:pPr>
        <w:rPr>
          <w:lang w:eastAsia="en-US"/>
        </w:rPr>
      </w:pPr>
      <w:r w:rsidRPr="003B2277">
        <w:rPr>
          <w:rFonts w:eastAsia="Calibri" w:cs="Mangal"/>
          <w:lang w:eastAsia="en-US"/>
        </w:rPr>
        <w:t>Priloga VII – Dodatek I – odstavek 1 – točka 4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DF3AD24" w14:textId="77777777" w:rsidTr="005B4D60">
        <w:trPr>
          <w:jc w:val="center"/>
        </w:trPr>
        <w:tc>
          <w:tcPr>
            <w:tcW w:w="9752" w:type="dxa"/>
            <w:gridSpan w:val="2"/>
          </w:tcPr>
          <w:p w14:paraId="0F2FF5C1" w14:textId="77777777" w:rsidR="006F5BFE" w:rsidRPr="003B2277" w:rsidRDefault="006F5BFE" w:rsidP="005B4D60">
            <w:pPr>
              <w:keepNext/>
            </w:pPr>
          </w:p>
        </w:tc>
      </w:tr>
      <w:tr w:rsidR="006F5BFE" w:rsidRPr="003B2277" w14:paraId="78BB3CE1" w14:textId="77777777" w:rsidTr="005B4D60">
        <w:trPr>
          <w:jc w:val="center"/>
        </w:trPr>
        <w:tc>
          <w:tcPr>
            <w:tcW w:w="4876" w:type="dxa"/>
            <w:hideMark/>
          </w:tcPr>
          <w:p w14:paraId="484623DE"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5DADF74" w14:textId="2448274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B978891" w14:textId="77777777" w:rsidTr="005B4D60">
        <w:trPr>
          <w:jc w:val="center"/>
        </w:trPr>
        <w:tc>
          <w:tcPr>
            <w:tcW w:w="4876" w:type="dxa"/>
          </w:tcPr>
          <w:p w14:paraId="421B787A" w14:textId="77777777" w:rsidR="006F5BFE" w:rsidRPr="003B2277" w:rsidRDefault="006F5BFE" w:rsidP="005B4D60">
            <w:pPr>
              <w:spacing w:after="120"/>
            </w:pPr>
          </w:p>
        </w:tc>
        <w:tc>
          <w:tcPr>
            <w:tcW w:w="4876" w:type="dxa"/>
            <w:hideMark/>
          </w:tcPr>
          <w:p w14:paraId="32E9BA29" w14:textId="77777777" w:rsidR="006F5BFE" w:rsidRPr="003B2277" w:rsidRDefault="006F5BFE" w:rsidP="005B4D60">
            <w:pPr>
              <w:spacing w:after="120"/>
              <w:rPr>
                <w:szCs w:val="24"/>
                <w:lang w:eastAsia="en-US"/>
              </w:rPr>
            </w:pPr>
            <w:r w:rsidRPr="003B2277">
              <w:rPr>
                <w:rFonts w:eastAsia="Calibri" w:cs="Mangal"/>
                <w:b/>
                <w:i/>
                <w:lang w:eastAsia="en-US"/>
              </w:rPr>
              <w:t>(32c)</w:t>
            </w:r>
            <w:r w:rsidRPr="003B2277">
              <w:rPr>
                <w:rFonts w:eastAsia="Calibri" w:cs="Mangal"/>
                <w:b/>
                <w:i/>
                <w:lang w:eastAsia="en-US"/>
              </w:rPr>
              <w:tab/>
              <w:t>v točki 4 prvega odstavka dodatka I v Prilogi VII se točka (f) nadomesti z naslednjim:</w:t>
            </w:r>
          </w:p>
        </w:tc>
      </w:tr>
      <w:tr w:rsidR="006F5BFE" w:rsidRPr="003B2277" w14:paraId="6CABC92B" w14:textId="77777777" w:rsidTr="005B4D60">
        <w:trPr>
          <w:jc w:val="center"/>
        </w:trPr>
        <w:tc>
          <w:tcPr>
            <w:tcW w:w="4876" w:type="dxa"/>
            <w:hideMark/>
          </w:tcPr>
          <w:p w14:paraId="0F5EFC12" w14:textId="77777777" w:rsidR="006F5BFE" w:rsidRPr="003B2277" w:rsidRDefault="006F5BFE" w:rsidP="005B4D60">
            <w:pPr>
              <w:spacing w:after="120"/>
              <w:rPr>
                <w:lang w:eastAsia="en-US"/>
              </w:rPr>
            </w:pPr>
            <w:r w:rsidRPr="003B2277">
              <w:rPr>
                <w:rFonts w:eastAsia="Calibri" w:cs="Mangal"/>
                <w:lang w:eastAsia="en-US"/>
              </w:rPr>
              <w:t xml:space="preserve">(f) </w:t>
            </w:r>
            <w:r w:rsidRPr="003B2277">
              <w:rPr>
                <w:rFonts w:eastAsia="Calibri" w:cs="Mangal"/>
                <w:b/>
                <w:i/>
                <w:lang w:eastAsia="en-US"/>
              </w:rPr>
              <w:t>v Romuniji: površine, zasajene z vinsko trto v naslednjih regijah:</w:t>
            </w:r>
          </w:p>
        </w:tc>
        <w:tc>
          <w:tcPr>
            <w:tcW w:w="4876" w:type="dxa"/>
            <w:hideMark/>
          </w:tcPr>
          <w:p w14:paraId="49F8E667" w14:textId="77777777" w:rsidR="006F5BFE" w:rsidRPr="003B2277" w:rsidRDefault="006F5BFE" w:rsidP="005B4D60">
            <w:pPr>
              <w:spacing w:after="120"/>
              <w:rPr>
                <w:szCs w:val="24"/>
                <w:lang w:eastAsia="en-US"/>
              </w:rPr>
            </w:pPr>
            <w:r w:rsidRPr="003B2277">
              <w:rPr>
                <w:rFonts w:eastAsia="Calibri" w:cs="Mangal"/>
                <w:lang w:eastAsia="en-US"/>
              </w:rPr>
              <w:t xml:space="preserve"> </w:t>
            </w:r>
          </w:p>
        </w:tc>
      </w:tr>
      <w:tr w:rsidR="006F5BFE" w:rsidRPr="003B2277" w14:paraId="4D14D983" w14:textId="77777777" w:rsidTr="005B4D60">
        <w:trPr>
          <w:jc w:val="center"/>
        </w:trPr>
        <w:tc>
          <w:tcPr>
            <w:tcW w:w="4876" w:type="dxa"/>
          </w:tcPr>
          <w:p w14:paraId="155168F7" w14:textId="77777777" w:rsidR="006F5BFE" w:rsidRPr="003B2277" w:rsidRDefault="006F5BFE" w:rsidP="005B4D60">
            <w:pPr>
              <w:spacing w:after="120"/>
              <w:rPr>
                <w:lang w:eastAsia="en-US"/>
              </w:rPr>
            </w:pPr>
            <w:r w:rsidRPr="003B2277">
              <w:rPr>
                <w:rFonts w:eastAsia="Calibri" w:cs="Mangal"/>
                <w:lang w:eastAsia="en-US"/>
              </w:rPr>
              <w:t xml:space="preserve">Dealurile Buzăului, Dealu Mare, Severinului in Plaiurile Drâncei, Colinele Dobrogei, Terasele Dunării, </w:t>
            </w:r>
            <w:r w:rsidRPr="003B2277">
              <w:rPr>
                <w:rFonts w:eastAsia="Calibri" w:cs="Mangal"/>
                <w:b/>
                <w:i/>
                <w:lang w:eastAsia="en-US"/>
              </w:rPr>
              <w:t>južna vinska</w:t>
            </w:r>
            <w:r w:rsidRPr="003B2277">
              <w:rPr>
                <w:rFonts w:eastAsia="Calibri" w:cs="Mangal"/>
                <w:lang w:eastAsia="en-US"/>
              </w:rPr>
              <w:t xml:space="preserve"> regija</w:t>
            </w:r>
            <w:r w:rsidRPr="003B2277">
              <w:rPr>
                <w:rFonts w:eastAsia="Calibri" w:cs="Mangal"/>
                <w:b/>
                <w:i/>
                <w:lang w:eastAsia="en-US"/>
              </w:rPr>
              <w:t>, vključno s peščenimi in drugimi ugodnimi območji</w:t>
            </w:r>
            <w:r w:rsidRPr="003B2277">
              <w:rPr>
                <w:rFonts w:eastAsia="Calibri" w:cs="Mangal"/>
                <w:lang w:eastAsia="en-US"/>
              </w:rPr>
              <w:t>;</w:t>
            </w:r>
          </w:p>
        </w:tc>
        <w:tc>
          <w:tcPr>
            <w:tcW w:w="4876" w:type="dxa"/>
          </w:tcPr>
          <w:p w14:paraId="6F348666" w14:textId="1CA3E067" w:rsidR="006F5BFE" w:rsidRPr="003B2277" w:rsidRDefault="006F5BFE" w:rsidP="005B4D60">
            <w:pPr>
              <w:spacing w:after="120"/>
              <w:rPr>
                <w:lang w:eastAsia="en-US"/>
              </w:rPr>
            </w:pPr>
            <w:r w:rsidRPr="003B2277">
              <w:rPr>
                <w:rFonts w:eastAsia="Calibri" w:cs="Mangal"/>
                <w:lang w:eastAsia="en-US"/>
              </w:rPr>
              <w:t xml:space="preserve">Dealurile Buzăului, </w:t>
            </w:r>
            <w:r w:rsidRPr="003B2277">
              <w:rPr>
                <w:rFonts w:eastAsia="Calibri" w:cs="Mangal"/>
                <w:b/>
                <w:i/>
                <w:lang w:eastAsia="en-US"/>
              </w:rPr>
              <w:t xml:space="preserve">Munteniei in Olteniei, </w:t>
            </w:r>
            <w:r w:rsidRPr="003B2277">
              <w:rPr>
                <w:rFonts w:eastAsia="Calibri" w:cs="Mangal"/>
                <w:lang w:eastAsia="en-US"/>
              </w:rPr>
              <w:t xml:space="preserve">Dealu Mare, Severinului in Plaiurile Drâncei, Colinele Dobrogei, Terasele Dunării, </w:t>
            </w:r>
            <w:r w:rsidRPr="003B2277">
              <w:rPr>
                <w:rFonts w:eastAsia="Calibri" w:cs="Mangal"/>
                <w:b/>
                <w:i/>
                <w:lang w:eastAsia="en-US"/>
              </w:rPr>
              <w:t>peščena</w:t>
            </w:r>
            <w:r w:rsidRPr="003B2277">
              <w:rPr>
                <w:rFonts w:eastAsia="Calibri" w:cs="Mangal"/>
                <w:lang w:eastAsia="en-US"/>
              </w:rPr>
              <w:t xml:space="preserve"> regija</w:t>
            </w:r>
            <w:r w:rsidRPr="003B2277">
              <w:rPr>
                <w:rFonts w:eastAsia="Calibri" w:cs="Mangal"/>
                <w:b/>
                <w:i/>
                <w:lang w:eastAsia="en-US"/>
              </w:rPr>
              <w:t xml:space="preserve"> ter druga ugodna območja na jugu države</w:t>
            </w:r>
            <w:r w:rsidRPr="003B2277">
              <w:rPr>
                <w:rFonts w:eastAsia="Calibri" w:cs="Mangal"/>
                <w:lang w:eastAsia="en-US"/>
              </w:rPr>
              <w:t>;</w:t>
            </w:r>
            <w:r w:rsidRPr="003B2277">
              <w:rPr>
                <w:rFonts w:eastAsia="Calibri" w:cs="Mangal"/>
                <w:b/>
                <w:i/>
                <w:lang w:eastAsia="en-US"/>
              </w:rPr>
              <w:t>“</w:t>
            </w:r>
          </w:p>
        </w:tc>
      </w:tr>
    </w:tbl>
    <w:p w14:paraId="16E7F2D8" w14:textId="77777777" w:rsidR="006F5BFE" w:rsidRPr="003B2277" w:rsidRDefault="006F5BFE" w:rsidP="006F5BFE">
      <w:pPr>
        <w:rPr>
          <w:lang w:eastAsia="en-US"/>
        </w:rPr>
      </w:pPr>
    </w:p>
    <w:p w14:paraId="5B5C132C" w14:textId="7F17B0B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174</w:t>
      </w:r>
    </w:p>
    <w:p w14:paraId="76585C7E" w14:textId="77777777" w:rsidR="006F5BFE" w:rsidRPr="003B2277" w:rsidRDefault="006F5BFE" w:rsidP="006F5BFE"/>
    <w:p w14:paraId="36E141FD" w14:textId="77777777" w:rsidR="006F5BFE" w:rsidRPr="003B2277" w:rsidRDefault="006F5BFE" w:rsidP="006F5BFE">
      <w:pPr>
        <w:keepNext/>
        <w:rPr>
          <w:b/>
          <w:lang w:eastAsia="en-US"/>
        </w:rPr>
      </w:pPr>
      <w:r w:rsidRPr="003B2277">
        <w:rPr>
          <w:rFonts w:eastAsia="Calibri" w:cs="Mangal"/>
          <w:b/>
          <w:lang w:eastAsia="en-US"/>
        </w:rPr>
        <w:t>Predlog uredbe</w:t>
      </w:r>
    </w:p>
    <w:p w14:paraId="7AAD5642" w14:textId="77777777" w:rsidR="006F5BFE" w:rsidRPr="003B2277" w:rsidRDefault="006F5BFE" w:rsidP="006F5BFE">
      <w:pPr>
        <w:rPr>
          <w:b/>
          <w:lang w:eastAsia="en-US"/>
        </w:rPr>
      </w:pPr>
      <w:r w:rsidRPr="003B2277">
        <w:rPr>
          <w:rFonts w:eastAsia="Calibri" w:cs="Mangal"/>
          <w:b/>
          <w:lang w:eastAsia="en-US"/>
        </w:rPr>
        <w:t>Člen 1 – odstavek 1 – točka 33 a (novo)</w:t>
      </w:r>
    </w:p>
    <w:p w14:paraId="66D30987" w14:textId="77777777" w:rsidR="006F5BFE" w:rsidRPr="003B2277" w:rsidRDefault="006F5BFE" w:rsidP="006F5BFE">
      <w:pPr>
        <w:keepNext/>
        <w:rPr>
          <w:lang w:eastAsia="en-US"/>
        </w:rPr>
      </w:pPr>
      <w:r w:rsidRPr="003B2277">
        <w:rPr>
          <w:rFonts w:eastAsia="Calibri" w:cs="Mangal"/>
          <w:lang w:eastAsia="en-US"/>
        </w:rPr>
        <w:t>Uredba (EU) št. 1308/2013</w:t>
      </w:r>
    </w:p>
    <w:p w14:paraId="49215B15" w14:textId="77777777" w:rsidR="006F5BFE" w:rsidRPr="003B2277" w:rsidRDefault="006F5BFE" w:rsidP="006F5BFE">
      <w:pPr>
        <w:rPr>
          <w:lang w:eastAsia="en-US"/>
        </w:rPr>
      </w:pPr>
      <w:r w:rsidRPr="003B2277">
        <w:rPr>
          <w:rFonts w:eastAsia="Calibri" w:cs="Mangal"/>
          <w:lang w:eastAsia="en-US"/>
        </w:rPr>
        <w:t>Priloga X – točka XI – odstavek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E649792" w14:textId="77777777" w:rsidTr="005B4D60">
        <w:trPr>
          <w:jc w:val="center"/>
        </w:trPr>
        <w:tc>
          <w:tcPr>
            <w:tcW w:w="9752" w:type="dxa"/>
            <w:gridSpan w:val="2"/>
          </w:tcPr>
          <w:p w14:paraId="1FB002B5" w14:textId="77777777" w:rsidR="006F5BFE" w:rsidRPr="003B2277" w:rsidRDefault="006F5BFE" w:rsidP="005B4D60">
            <w:pPr>
              <w:keepNext/>
            </w:pPr>
          </w:p>
        </w:tc>
      </w:tr>
      <w:tr w:rsidR="006F5BFE" w:rsidRPr="003B2277" w14:paraId="0F3E51BD" w14:textId="77777777" w:rsidTr="005B4D60">
        <w:trPr>
          <w:jc w:val="center"/>
        </w:trPr>
        <w:tc>
          <w:tcPr>
            <w:tcW w:w="4876" w:type="dxa"/>
            <w:hideMark/>
          </w:tcPr>
          <w:p w14:paraId="34179042"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0706141D" w14:textId="4AE3928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33B5853" w14:textId="77777777" w:rsidTr="005B4D60">
        <w:trPr>
          <w:jc w:val="center"/>
        </w:trPr>
        <w:tc>
          <w:tcPr>
            <w:tcW w:w="4876" w:type="dxa"/>
          </w:tcPr>
          <w:p w14:paraId="64D271C9" w14:textId="77777777" w:rsidR="006F5BFE" w:rsidRPr="003B2277" w:rsidRDefault="006F5BFE" w:rsidP="005B4D60">
            <w:pPr>
              <w:spacing w:after="120"/>
            </w:pPr>
          </w:p>
        </w:tc>
        <w:tc>
          <w:tcPr>
            <w:tcW w:w="4876" w:type="dxa"/>
            <w:hideMark/>
          </w:tcPr>
          <w:p w14:paraId="786419B6" w14:textId="77777777" w:rsidR="006F5BFE" w:rsidRPr="003B2277" w:rsidRDefault="006F5BFE" w:rsidP="005B4D60">
            <w:pPr>
              <w:spacing w:after="120"/>
              <w:rPr>
                <w:szCs w:val="24"/>
                <w:lang w:eastAsia="en-US"/>
              </w:rPr>
            </w:pPr>
            <w:r w:rsidRPr="003B2277">
              <w:rPr>
                <w:rFonts w:eastAsia="Calibri" w:cs="Mangal"/>
                <w:b/>
                <w:i/>
                <w:lang w:eastAsia="en-US"/>
              </w:rPr>
              <w:t>(33a)</w:t>
            </w:r>
            <w:r w:rsidRPr="003B2277">
              <w:rPr>
                <w:rFonts w:eastAsia="Calibri" w:cs="Mangal"/>
                <w:b/>
                <w:i/>
                <w:lang w:eastAsia="en-US"/>
              </w:rPr>
              <w:tab/>
              <w:t>v točki XI Priloge X se odstavek 1 nadomesti z naslednjim:</w:t>
            </w:r>
          </w:p>
        </w:tc>
      </w:tr>
      <w:tr w:rsidR="006F5BFE" w:rsidRPr="003B2277" w14:paraId="3C9DF5FB" w14:textId="77777777" w:rsidTr="005B4D60">
        <w:trPr>
          <w:jc w:val="center"/>
        </w:trPr>
        <w:tc>
          <w:tcPr>
            <w:tcW w:w="4876" w:type="dxa"/>
            <w:hideMark/>
          </w:tcPr>
          <w:p w14:paraId="06B82FB6"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Panožni sporazumi, navedeni v točki 6 oddelka A dela II Priloge II, predvidevajo arbitražno klavzulo.</w:t>
            </w:r>
          </w:p>
        </w:tc>
        <w:tc>
          <w:tcPr>
            <w:tcW w:w="4876" w:type="dxa"/>
            <w:hideMark/>
          </w:tcPr>
          <w:p w14:paraId="630B1E80" w14:textId="55E4A104"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 xml:space="preserve">Panožni sporazumi, navedeni v točki 6 oddelka A dela II Priloge II, predvidevajo </w:t>
            </w:r>
            <w:r w:rsidRPr="003B2277">
              <w:rPr>
                <w:rFonts w:eastAsia="Calibri" w:cs="Mangal"/>
                <w:b/>
                <w:i/>
                <w:lang w:eastAsia="en-US"/>
              </w:rPr>
              <w:t xml:space="preserve">spravni mehanizem in/ali mehanizem za mediacijo ter </w:t>
            </w:r>
            <w:r w:rsidRPr="003B2277">
              <w:rPr>
                <w:rFonts w:eastAsia="Calibri" w:cs="Mangal"/>
                <w:lang w:eastAsia="en-US"/>
              </w:rPr>
              <w:t>arbitražno klavzulo.</w:t>
            </w:r>
            <w:r w:rsidRPr="003B2277">
              <w:rPr>
                <w:rFonts w:eastAsia="Calibri" w:cs="Mangal"/>
                <w:b/>
                <w:i/>
                <w:lang w:eastAsia="en-US"/>
              </w:rPr>
              <w:t>“</w:t>
            </w:r>
          </w:p>
        </w:tc>
      </w:tr>
    </w:tbl>
    <w:p w14:paraId="7CC21B07" w14:textId="77777777" w:rsidR="006F5BFE" w:rsidRPr="003B2277" w:rsidRDefault="006F5BFE" w:rsidP="006F5BFE">
      <w:pPr>
        <w:rPr>
          <w:lang w:eastAsia="en-US"/>
        </w:rPr>
      </w:pPr>
    </w:p>
    <w:p w14:paraId="3D93CFFB" w14:textId="177A3A6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175</w:t>
      </w:r>
    </w:p>
    <w:p w14:paraId="6A9EB483" w14:textId="77777777" w:rsidR="006F5BFE" w:rsidRPr="003B2277" w:rsidRDefault="006F5BFE" w:rsidP="006F5BFE"/>
    <w:p w14:paraId="657FE7BE" w14:textId="77777777" w:rsidR="006F5BFE" w:rsidRPr="003B2277" w:rsidRDefault="006F5BFE" w:rsidP="006F5BFE">
      <w:pPr>
        <w:keepNext/>
        <w:rPr>
          <w:b/>
          <w:lang w:eastAsia="en-US"/>
        </w:rPr>
      </w:pPr>
      <w:r w:rsidRPr="003B2277">
        <w:rPr>
          <w:rFonts w:eastAsia="Calibri" w:cs="Mangal"/>
          <w:b/>
          <w:lang w:eastAsia="en-US"/>
        </w:rPr>
        <w:t>Predlog uredbe</w:t>
      </w:r>
    </w:p>
    <w:p w14:paraId="76EA6246" w14:textId="77777777" w:rsidR="006F5BFE" w:rsidRPr="003B2277" w:rsidRDefault="006F5BFE" w:rsidP="006F5BFE">
      <w:pPr>
        <w:rPr>
          <w:b/>
          <w:lang w:eastAsia="en-US"/>
        </w:rPr>
      </w:pPr>
      <w:r w:rsidRPr="003B2277">
        <w:rPr>
          <w:rFonts w:eastAsia="Calibri" w:cs="Mangal"/>
          <w:b/>
          <w:lang w:eastAsia="en-US"/>
        </w:rPr>
        <w:t>Člen 1 – odstavek 1 – točka 33 b (novo)</w:t>
      </w:r>
    </w:p>
    <w:p w14:paraId="18C91A1B" w14:textId="77777777" w:rsidR="006F5BFE" w:rsidRPr="003B2277" w:rsidRDefault="006F5BFE" w:rsidP="006F5BFE">
      <w:pPr>
        <w:keepNext/>
        <w:rPr>
          <w:lang w:eastAsia="en-US"/>
        </w:rPr>
      </w:pPr>
      <w:r w:rsidRPr="003B2277">
        <w:rPr>
          <w:rFonts w:eastAsia="Calibri" w:cs="Mangal"/>
          <w:lang w:eastAsia="en-US"/>
        </w:rPr>
        <w:t>Uredba (EU) št. 1308/2013</w:t>
      </w:r>
    </w:p>
    <w:p w14:paraId="75FB4F41" w14:textId="77777777" w:rsidR="006F5BFE" w:rsidRPr="003B2277" w:rsidRDefault="006F5BFE" w:rsidP="006F5BFE">
      <w:pPr>
        <w:rPr>
          <w:lang w:eastAsia="en-US"/>
        </w:rPr>
      </w:pPr>
      <w:r w:rsidRPr="003B2277">
        <w:rPr>
          <w:rFonts w:eastAsia="Calibri" w:cs="Mangal"/>
          <w:lang w:eastAsia="en-US"/>
        </w:rPr>
        <w:t>Priloga X – točka XI – točka 4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BED989A" w14:textId="77777777" w:rsidTr="005B4D60">
        <w:trPr>
          <w:jc w:val="center"/>
        </w:trPr>
        <w:tc>
          <w:tcPr>
            <w:tcW w:w="9752" w:type="dxa"/>
            <w:gridSpan w:val="2"/>
          </w:tcPr>
          <w:p w14:paraId="451C5B76" w14:textId="77777777" w:rsidR="006F5BFE" w:rsidRPr="003B2277" w:rsidRDefault="006F5BFE" w:rsidP="005B4D60">
            <w:pPr>
              <w:keepNext/>
            </w:pPr>
          </w:p>
        </w:tc>
      </w:tr>
      <w:tr w:rsidR="006F5BFE" w:rsidRPr="003B2277" w14:paraId="3E1F1C4F" w14:textId="77777777" w:rsidTr="005B4D60">
        <w:trPr>
          <w:jc w:val="center"/>
        </w:trPr>
        <w:tc>
          <w:tcPr>
            <w:tcW w:w="4876" w:type="dxa"/>
            <w:hideMark/>
          </w:tcPr>
          <w:p w14:paraId="15044AE0"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0B941D3" w14:textId="471FAC6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08D9984" w14:textId="77777777" w:rsidTr="005B4D60">
        <w:trPr>
          <w:jc w:val="center"/>
        </w:trPr>
        <w:tc>
          <w:tcPr>
            <w:tcW w:w="4876" w:type="dxa"/>
          </w:tcPr>
          <w:p w14:paraId="4A8DE8AD" w14:textId="77777777" w:rsidR="006F5BFE" w:rsidRPr="003B2277" w:rsidRDefault="006F5BFE" w:rsidP="005B4D60">
            <w:pPr>
              <w:spacing w:after="120"/>
            </w:pPr>
          </w:p>
        </w:tc>
        <w:tc>
          <w:tcPr>
            <w:tcW w:w="4876" w:type="dxa"/>
            <w:hideMark/>
          </w:tcPr>
          <w:p w14:paraId="412416DB" w14:textId="77777777" w:rsidR="006F5BFE" w:rsidRPr="003B2277" w:rsidRDefault="006F5BFE" w:rsidP="005B4D60">
            <w:pPr>
              <w:spacing w:after="120"/>
              <w:rPr>
                <w:szCs w:val="24"/>
                <w:lang w:eastAsia="en-US"/>
              </w:rPr>
            </w:pPr>
            <w:r w:rsidRPr="003B2277">
              <w:rPr>
                <w:rFonts w:eastAsia="Calibri" w:cs="Mangal"/>
                <w:b/>
                <w:i/>
                <w:lang w:eastAsia="en-US"/>
              </w:rPr>
              <w:t>(33b)</w:t>
            </w:r>
            <w:r w:rsidRPr="003B2277">
              <w:rPr>
                <w:rFonts w:eastAsia="Calibri" w:cs="Mangal"/>
                <w:b/>
                <w:i/>
                <w:lang w:eastAsia="en-US"/>
              </w:rPr>
              <w:tab/>
              <w:t>v točki XI Priloge X se vstavi naslednja točka:</w:t>
            </w:r>
          </w:p>
        </w:tc>
      </w:tr>
      <w:tr w:rsidR="006F5BFE" w:rsidRPr="003B2277" w14:paraId="5128CFAE" w14:textId="77777777" w:rsidTr="005B4D60">
        <w:trPr>
          <w:jc w:val="center"/>
        </w:trPr>
        <w:tc>
          <w:tcPr>
            <w:tcW w:w="4876" w:type="dxa"/>
          </w:tcPr>
          <w:p w14:paraId="73471B24" w14:textId="77777777" w:rsidR="006F5BFE" w:rsidRPr="003B2277" w:rsidRDefault="006F5BFE" w:rsidP="005B4D60">
            <w:pPr>
              <w:spacing w:after="120"/>
            </w:pPr>
          </w:p>
        </w:tc>
        <w:tc>
          <w:tcPr>
            <w:tcW w:w="4876" w:type="dxa"/>
            <w:hideMark/>
          </w:tcPr>
          <w:p w14:paraId="09E92B25" w14:textId="77777777" w:rsidR="006F5BFE" w:rsidRPr="003B2277" w:rsidRDefault="006F5BFE" w:rsidP="005B4D60">
            <w:pPr>
              <w:spacing w:after="120"/>
              <w:rPr>
                <w:szCs w:val="24"/>
                <w:lang w:eastAsia="en-US"/>
              </w:rPr>
            </w:pPr>
            <w:r w:rsidRPr="003B2277">
              <w:rPr>
                <w:rFonts w:eastAsia="Calibri" w:cs="Mangal"/>
                <w:b/>
                <w:i/>
                <w:lang w:eastAsia="en-US"/>
              </w:rPr>
              <w:t>„4a.</w:t>
            </w:r>
            <w:r w:rsidRPr="003B2277">
              <w:rPr>
                <w:rFonts w:eastAsia="Calibri" w:cs="Mangal"/>
                <w:b/>
                <w:i/>
                <w:lang w:eastAsia="en-US"/>
              </w:rPr>
              <w:tab/>
              <w:t>Podjetje za proizvodnjo sladkorja in zadevni prodajalci sladkorne pese se lahko dogovorijo za klavzulo o porazdelitvi vrednosti, vključno s tržnimi bonusi in izgubami, v kateri določijo, kako se razvoj relevantnih tržnih cen na trgu sladkorja ali drugih trgih primarnih proizvodov porazdeli med njimi.“</w:t>
            </w:r>
          </w:p>
        </w:tc>
      </w:tr>
    </w:tbl>
    <w:p w14:paraId="25B42A9E" w14:textId="77777777" w:rsidR="006F5BFE" w:rsidRPr="003B2277" w:rsidRDefault="006F5BFE" w:rsidP="006F5BFE">
      <w:pPr>
        <w:rPr>
          <w:lang w:eastAsia="en-US"/>
        </w:rPr>
      </w:pPr>
    </w:p>
    <w:p w14:paraId="0BD3B22A" w14:textId="2525D89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176</w:t>
      </w:r>
    </w:p>
    <w:p w14:paraId="5366A2AA" w14:textId="77777777" w:rsidR="006F5BFE" w:rsidRPr="003B2277" w:rsidRDefault="006F5BFE" w:rsidP="006F5BFE"/>
    <w:p w14:paraId="237B3072" w14:textId="77777777" w:rsidR="006F5BFE" w:rsidRPr="003B2277" w:rsidRDefault="006F5BFE" w:rsidP="006F5BFE">
      <w:pPr>
        <w:keepNext/>
        <w:rPr>
          <w:b/>
          <w:lang w:eastAsia="en-US"/>
        </w:rPr>
      </w:pPr>
      <w:r w:rsidRPr="003B2277">
        <w:rPr>
          <w:rFonts w:eastAsia="Calibri" w:cs="Mangal"/>
          <w:b/>
          <w:lang w:eastAsia="en-US"/>
        </w:rPr>
        <w:t>Predlog uredbe</w:t>
      </w:r>
    </w:p>
    <w:p w14:paraId="47FE5357" w14:textId="77777777" w:rsidR="006F5BFE" w:rsidRPr="003B2277" w:rsidRDefault="006F5BFE" w:rsidP="006F5BFE">
      <w:pPr>
        <w:rPr>
          <w:b/>
          <w:lang w:eastAsia="en-US"/>
        </w:rPr>
      </w:pPr>
      <w:r w:rsidRPr="003B2277">
        <w:rPr>
          <w:rFonts w:eastAsia="Calibri" w:cs="Mangal"/>
          <w:b/>
          <w:lang w:eastAsia="en-US"/>
        </w:rPr>
        <w:t>Člen 1 – odstavek 1 – točka 33 c (novo)</w:t>
      </w:r>
    </w:p>
    <w:p w14:paraId="02D006DA" w14:textId="77777777" w:rsidR="006F5BFE" w:rsidRPr="003B2277" w:rsidRDefault="006F5BFE" w:rsidP="006F5BFE">
      <w:pPr>
        <w:keepNext/>
        <w:rPr>
          <w:lang w:eastAsia="en-US"/>
        </w:rPr>
      </w:pPr>
      <w:r w:rsidRPr="003B2277">
        <w:rPr>
          <w:rFonts w:eastAsia="Calibri" w:cs="Mangal"/>
          <w:lang w:eastAsia="en-US"/>
        </w:rPr>
        <w:t>Uredba (EU) št. 1308/2013</w:t>
      </w:r>
    </w:p>
    <w:p w14:paraId="01A38F4C" w14:textId="77777777" w:rsidR="006F5BFE" w:rsidRPr="003B2277" w:rsidRDefault="006F5BFE" w:rsidP="006F5BFE">
      <w:pPr>
        <w:rPr>
          <w:lang w:eastAsia="en-US"/>
        </w:rPr>
      </w:pPr>
      <w:r w:rsidRPr="003B2277">
        <w:rPr>
          <w:rFonts w:eastAsia="Calibri" w:cs="Mangal"/>
          <w:lang w:eastAsia="en-US"/>
        </w:rPr>
        <w:t>Priloga XI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20D8D17" w14:textId="77777777" w:rsidTr="005B4D60">
        <w:trPr>
          <w:jc w:val="center"/>
        </w:trPr>
        <w:tc>
          <w:tcPr>
            <w:tcW w:w="9752" w:type="dxa"/>
            <w:gridSpan w:val="2"/>
          </w:tcPr>
          <w:p w14:paraId="7ABD0FA1" w14:textId="77777777" w:rsidR="006F5BFE" w:rsidRPr="003B2277" w:rsidRDefault="006F5BFE" w:rsidP="005B4D60">
            <w:pPr>
              <w:keepNext/>
            </w:pPr>
          </w:p>
        </w:tc>
      </w:tr>
      <w:tr w:rsidR="006F5BFE" w:rsidRPr="003B2277" w14:paraId="3B839213" w14:textId="77777777" w:rsidTr="005B4D60">
        <w:trPr>
          <w:jc w:val="center"/>
        </w:trPr>
        <w:tc>
          <w:tcPr>
            <w:tcW w:w="4876" w:type="dxa"/>
            <w:hideMark/>
          </w:tcPr>
          <w:p w14:paraId="1CEA90E3"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DC50CA9" w14:textId="37F2E54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2DD2B97" w14:textId="77777777" w:rsidTr="005B4D60">
        <w:trPr>
          <w:jc w:val="center"/>
        </w:trPr>
        <w:tc>
          <w:tcPr>
            <w:tcW w:w="4876" w:type="dxa"/>
          </w:tcPr>
          <w:p w14:paraId="4187C549" w14:textId="77777777" w:rsidR="006F5BFE" w:rsidRPr="003B2277" w:rsidRDefault="006F5BFE" w:rsidP="005B4D60">
            <w:pPr>
              <w:spacing w:after="120"/>
            </w:pPr>
          </w:p>
        </w:tc>
        <w:tc>
          <w:tcPr>
            <w:tcW w:w="4876" w:type="dxa"/>
            <w:hideMark/>
          </w:tcPr>
          <w:p w14:paraId="10A847F5" w14:textId="77777777" w:rsidR="006F5BFE" w:rsidRPr="003B2277" w:rsidRDefault="006F5BFE" w:rsidP="005B4D60">
            <w:pPr>
              <w:spacing w:after="120"/>
              <w:rPr>
                <w:szCs w:val="24"/>
                <w:lang w:eastAsia="en-US"/>
              </w:rPr>
            </w:pPr>
            <w:r w:rsidRPr="003B2277">
              <w:rPr>
                <w:rFonts w:eastAsia="Calibri" w:cs="Mangal"/>
                <w:b/>
                <w:i/>
                <w:lang w:eastAsia="en-US"/>
              </w:rPr>
              <w:t>(33c)</w:t>
            </w:r>
            <w:r w:rsidRPr="003B2277">
              <w:rPr>
                <w:rFonts w:eastAsia="Calibri" w:cs="Mangal"/>
                <w:b/>
                <w:i/>
                <w:lang w:eastAsia="en-US"/>
              </w:rPr>
              <w:tab/>
              <w:t>Priloga XI se črta</w:t>
            </w:r>
          </w:p>
        </w:tc>
      </w:tr>
    </w:tbl>
    <w:p w14:paraId="7775BFE1" w14:textId="77777777" w:rsidR="006F5BFE" w:rsidRPr="003B2277" w:rsidRDefault="006F5BFE" w:rsidP="006F5BFE">
      <w:pPr>
        <w:rPr>
          <w:lang w:eastAsia="en-US"/>
        </w:rPr>
      </w:pPr>
    </w:p>
    <w:p w14:paraId="7B4F043C" w14:textId="7C52DF7B"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177</w:t>
      </w:r>
    </w:p>
    <w:p w14:paraId="21626869" w14:textId="77777777" w:rsidR="006F5BFE" w:rsidRPr="003B2277" w:rsidRDefault="006F5BFE" w:rsidP="006F5BFE"/>
    <w:p w14:paraId="574C4C4D" w14:textId="77777777" w:rsidR="006F5BFE" w:rsidRPr="003B2277" w:rsidRDefault="006F5BFE" w:rsidP="006F5BFE">
      <w:pPr>
        <w:keepNext/>
        <w:rPr>
          <w:b/>
          <w:lang w:eastAsia="en-US"/>
        </w:rPr>
      </w:pPr>
      <w:r w:rsidRPr="003B2277">
        <w:rPr>
          <w:rFonts w:eastAsia="Calibri" w:cs="Mangal"/>
          <w:b/>
          <w:lang w:eastAsia="en-US"/>
        </w:rPr>
        <w:t>Predlog uredbe</w:t>
      </w:r>
    </w:p>
    <w:p w14:paraId="2517FCBE" w14:textId="77777777" w:rsidR="006F5BFE" w:rsidRPr="003B2277" w:rsidRDefault="006F5BFE" w:rsidP="006F5BFE">
      <w:pPr>
        <w:rPr>
          <w:b/>
          <w:lang w:eastAsia="en-US"/>
        </w:rPr>
      </w:pPr>
      <w:r w:rsidRPr="003B2277">
        <w:rPr>
          <w:rFonts w:eastAsia="Calibri" w:cs="Mangal"/>
          <w:b/>
          <w:lang w:eastAsia="en-US"/>
        </w:rPr>
        <w:t>Člen 1 – odstavek 1 – točka 33 d (novo)</w:t>
      </w:r>
    </w:p>
    <w:p w14:paraId="2447C58A" w14:textId="77777777" w:rsidR="006F5BFE" w:rsidRPr="003B2277" w:rsidRDefault="006F5BFE" w:rsidP="006F5BFE">
      <w:pPr>
        <w:keepNext/>
        <w:rPr>
          <w:lang w:eastAsia="en-US"/>
        </w:rPr>
      </w:pPr>
      <w:r w:rsidRPr="003B2277">
        <w:rPr>
          <w:rFonts w:eastAsia="Calibri" w:cs="Mangal"/>
          <w:lang w:eastAsia="en-US"/>
        </w:rPr>
        <w:t>Uredba (EU) št. 1308/2013</w:t>
      </w:r>
    </w:p>
    <w:p w14:paraId="707201AB" w14:textId="77777777" w:rsidR="006F5BFE" w:rsidRPr="003B2277" w:rsidRDefault="006F5BFE" w:rsidP="006F5BFE">
      <w:pPr>
        <w:rPr>
          <w:lang w:eastAsia="en-US"/>
        </w:rPr>
      </w:pPr>
      <w:r w:rsidRPr="003B2277">
        <w:rPr>
          <w:rFonts w:eastAsia="Calibri" w:cs="Mangal"/>
          <w:lang w:eastAsia="en-US"/>
        </w:rPr>
        <w:t>Priloga XII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3165974" w14:textId="77777777" w:rsidTr="005B4D60">
        <w:trPr>
          <w:jc w:val="center"/>
        </w:trPr>
        <w:tc>
          <w:tcPr>
            <w:tcW w:w="9752" w:type="dxa"/>
            <w:gridSpan w:val="2"/>
          </w:tcPr>
          <w:p w14:paraId="60B6E259" w14:textId="77777777" w:rsidR="006F5BFE" w:rsidRPr="003B2277" w:rsidRDefault="006F5BFE" w:rsidP="005B4D60">
            <w:pPr>
              <w:keepNext/>
            </w:pPr>
          </w:p>
        </w:tc>
      </w:tr>
      <w:tr w:rsidR="006F5BFE" w:rsidRPr="003B2277" w14:paraId="02A2F7E7" w14:textId="77777777" w:rsidTr="005B4D60">
        <w:trPr>
          <w:jc w:val="center"/>
        </w:trPr>
        <w:tc>
          <w:tcPr>
            <w:tcW w:w="4876" w:type="dxa"/>
            <w:hideMark/>
          </w:tcPr>
          <w:p w14:paraId="6B72B145"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A07A71E" w14:textId="12547A3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5F58D42" w14:textId="77777777" w:rsidTr="005B4D60">
        <w:trPr>
          <w:jc w:val="center"/>
        </w:trPr>
        <w:tc>
          <w:tcPr>
            <w:tcW w:w="4876" w:type="dxa"/>
          </w:tcPr>
          <w:p w14:paraId="410D0FC4" w14:textId="77777777" w:rsidR="006F5BFE" w:rsidRPr="003B2277" w:rsidRDefault="006F5BFE" w:rsidP="005B4D60">
            <w:pPr>
              <w:spacing w:after="120"/>
            </w:pPr>
          </w:p>
        </w:tc>
        <w:tc>
          <w:tcPr>
            <w:tcW w:w="4876" w:type="dxa"/>
            <w:hideMark/>
          </w:tcPr>
          <w:p w14:paraId="2D22AA8C" w14:textId="77777777" w:rsidR="006F5BFE" w:rsidRPr="003B2277" w:rsidRDefault="006F5BFE" w:rsidP="005B4D60">
            <w:pPr>
              <w:spacing w:after="120"/>
              <w:rPr>
                <w:szCs w:val="24"/>
                <w:lang w:eastAsia="en-US"/>
              </w:rPr>
            </w:pPr>
            <w:r w:rsidRPr="003B2277">
              <w:rPr>
                <w:rFonts w:eastAsia="Calibri" w:cs="Mangal"/>
                <w:b/>
                <w:i/>
                <w:lang w:eastAsia="en-US"/>
              </w:rPr>
              <w:t>(33d)</w:t>
            </w:r>
            <w:r w:rsidRPr="003B2277">
              <w:rPr>
                <w:rFonts w:eastAsia="Calibri" w:cs="Mangal"/>
                <w:b/>
                <w:i/>
                <w:lang w:eastAsia="en-US"/>
              </w:rPr>
              <w:tab/>
              <w:t>Priloga XII se črta.</w:t>
            </w:r>
          </w:p>
        </w:tc>
      </w:tr>
    </w:tbl>
    <w:p w14:paraId="1BCEE832" w14:textId="77777777" w:rsidR="006F5BFE" w:rsidRPr="003B2277" w:rsidRDefault="006F5BFE" w:rsidP="006F5BFE">
      <w:pPr>
        <w:rPr>
          <w:lang w:eastAsia="en-US"/>
        </w:rPr>
      </w:pPr>
    </w:p>
    <w:p w14:paraId="6BAE8B8C" w14:textId="4A2138B5"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178</w:t>
      </w:r>
    </w:p>
    <w:p w14:paraId="222C5B58" w14:textId="77777777" w:rsidR="006F5BFE" w:rsidRPr="003B2277" w:rsidRDefault="006F5BFE" w:rsidP="006F5BFE"/>
    <w:p w14:paraId="1AB8FE96" w14:textId="77777777" w:rsidR="006F5BFE" w:rsidRPr="003B2277" w:rsidRDefault="006F5BFE" w:rsidP="006F5BFE">
      <w:pPr>
        <w:keepNext/>
        <w:rPr>
          <w:b/>
          <w:lang w:eastAsia="en-US"/>
        </w:rPr>
      </w:pPr>
      <w:r w:rsidRPr="003B2277">
        <w:rPr>
          <w:rFonts w:eastAsia="Calibri" w:cs="Mangal"/>
          <w:b/>
          <w:lang w:eastAsia="en-US"/>
        </w:rPr>
        <w:t>Predlog uredbe</w:t>
      </w:r>
    </w:p>
    <w:p w14:paraId="460B7C23" w14:textId="77777777" w:rsidR="006F5BFE" w:rsidRPr="003B2277" w:rsidRDefault="006F5BFE" w:rsidP="006F5BFE">
      <w:pPr>
        <w:rPr>
          <w:b/>
          <w:lang w:eastAsia="en-US"/>
        </w:rPr>
      </w:pPr>
      <w:r w:rsidRPr="003B2277">
        <w:rPr>
          <w:rFonts w:eastAsia="Calibri" w:cs="Mangal"/>
          <w:b/>
          <w:lang w:eastAsia="en-US"/>
        </w:rPr>
        <w:t>Člen 1 – odstavek 1 – točka 33 e (novo)</w:t>
      </w:r>
    </w:p>
    <w:p w14:paraId="41A614AB" w14:textId="77777777" w:rsidR="006F5BFE" w:rsidRPr="003B2277" w:rsidRDefault="006F5BFE" w:rsidP="006F5BFE">
      <w:pPr>
        <w:keepNext/>
        <w:rPr>
          <w:lang w:eastAsia="en-US"/>
        </w:rPr>
      </w:pPr>
      <w:r w:rsidRPr="003B2277">
        <w:rPr>
          <w:rFonts w:eastAsia="Calibri" w:cs="Mangal"/>
          <w:lang w:eastAsia="en-US"/>
        </w:rPr>
        <w:t>Uredba (EU) št. 1308/2013</w:t>
      </w:r>
    </w:p>
    <w:p w14:paraId="1B73C8AD" w14:textId="77777777" w:rsidR="006F5BFE" w:rsidRPr="003B2277" w:rsidRDefault="006F5BFE" w:rsidP="006F5BFE">
      <w:pPr>
        <w:rPr>
          <w:lang w:eastAsia="en-US"/>
        </w:rPr>
      </w:pPr>
      <w:r w:rsidRPr="003B2277">
        <w:rPr>
          <w:rFonts w:eastAsia="Calibri" w:cs="Mangal"/>
          <w:lang w:eastAsia="en-US"/>
        </w:rPr>
        <w:t>Priloga XIII</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8D27762" w14:textId="77777777" w:rsidTr="005B4D60">
        <w:trPr>
          <w:jc w:val="center"/>
        </w:trPr>
        <w:tc>
          <w:tcPr>
            <w:tcW w:w="9752" w:type="dxa"/>
            <w:gridSpan w:val="2"/>
          </w:tcPr>
          <w:p w14:paraId="43E6658C" w14:textId="77777777" w:rsidR="006F5BFE" w:rsidRPr="003B2277" w:rsidRDefault="006F5BFE" w:rsidP="005B4D60">
            <w:pPr>
              <w:keepNext/>
            </w:pPr>
          </w:p>
        </w:tc>
      </w:tr>
      <w:tr w:rsidR="006F5BFE" w:rsidRPr="003B2277" w14:paraId="4B59B93D" w14:textId="77777777" w:rsidTr="005B4D60">
        <w:trPr>
          <w:jc w:val="center"/>
        </w:trPr>
        <w:tc>
          <w:tcPr>
            <w:tcW w:w="4876" w:type="dxa"/>
            <w:hideMark/>
          </w:tcPr>
          <w:p w14:paraId="3D3AEE67"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8D8AC61" w14:textId="7789675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1280098" w14:textId="77777777" w:rsidTr="005B4D60">
        <w:trPr>
          <w:jc w:val="center"/>
        </w:trPr>
        <w:tc>
          <w:tcPr>
            <w:tcW w:w="4876" w:type="dxa"/>
          </w:tcPr>
          <w:p w14:paraId="4C24353F" w14:textId="77777777" w:rsidR="006F5BFE" w:rsidRPr="003B2277" w:rsidRDefault="006F5BFE" w:rsidP="005B4D60">
            <w:pPr>
              <w:spacing w:after="120"/>
            </w:pPr>
          </w:p>
        </w:tc>
        <w:tc>
          <w:tcPr>
            <w:tcW w:w="4876" w:type="dxa"/>
            <w:hideMark/>
          </w:tcPr>
          <w:p w14:paraId="241B94CB" w14:textId="77777777" w:rsidR="006F5BFE" w:rsidRPr="003B2277" w:rsidRDefault="006F5BFE" w:rsidP="005B4D60">
            <w:pPr>
              <w:spacing w:after="120"/>
              <w:rPr>
                <w:szCs w:val="24"/>
                <w:lang w:eastAsia="en-US"/>
              </w:rPr>
            </w:pPr>
            <w:r w:rsidRPr="003B2277">
              <w:rPr>
                <w:rFonts w:eastAsia="Calibri" w:cs="Mangal"/>
                <w:b/>
                <w:i/>
                <w:lang w:eastAsia="en-US"/>
              </w:rPr>
              <w:t>(33e)</w:t>
            </w:r>
            <w:r w:rsidRPr="003B2277">
              <w:rPr>
                <w:rFonts w:eastAsia="Calibri" w:cs="Mangal"/>
                <w:b/>
                <w:i/>
                <w:lang w:eastAsia="en-US"/>
              </w:rPr>
              <w:tab/>
              <w:t>Priloga XIII se črta.</w:t>
            </w:r>
          </w:p>
        </w:tc>
      </w:tr>
    </w:tbl>
    <w:p w14:paraId="01402EC6" w14:textId="77777777" w:rsidR="006F5BFE" w:rsidRPr="003B2277" w:rsidRDefault="006F5BFE" w:rsidP="006F5BFE">
      <w:pPr>
        <w:rPr>
          <w:lang w:eastAsia="en-US"/>
        </w:rPr>
      </w:pPr>
    </w:p>
    <w:p w14:paraId="164F0333" w14:textId="6D4DA06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179</w:t>
      </w:r>
    </w:p>
    <w:p w14:paraId="703A87E1" w14:textId="77777777" w:rsidR="006F5BFE" w:rsidRPr="003B2277" w:rsidRDefault="006F5BFE" w:rsidP="006F5BFE"/>
    <w:p w14:paraId="107BAB9B" w14:textId="77777777" w:rsidR="006F5BFE" w:rsidRPr="003B2277" w:rsidRDefault="006F5BFE" w:rsidP="006F5BFE">
      <w:pPr>
        <w:keepNext/>
        <w:rPr>
          <w:b/>
          <w:lang w:eastAsia="en-US"/>
        </w:rPr>
      </w:pPr>
      <w:r w:rsidRPr="003B2277">
        <w:rPr>
          <w:rFonts w:eastAsia="Calibri" w:cs="Mangal"/>
          <w:b/>
          <w:lang w:eastAsia="en-US"/>
        </w:rPr>
        <w:t>Predlog uredbe</w:t>
      </w:r>
    </w:p>
    <w:p w14:paraId="7373018B" w14:textId="77777777" w:rsidR="006F5BFE" w:rsidRPr="003B2277" w:rsidRDefault="006F5BFE" w:rsidP="006F5BFE">
      <w:pPr>
        <w:rPr>
          <w:b/>
          <w:lang w:eastAsia="en-US"/>
        </w:rPr>
      </w:pPr>
      <w:r w:rsidRPr="003B2277">
        <w:rPr>
          <w:rFonts w:eastAsia="Calibri" w:cs="Mangal"/>
          <w:b/>
          <w:lang w:eastAsia="en-US"/>
        </w:rPr>
        <w:t>Člen 2 – odstavek 1 – točka -1 (novo)</w:t>
      </w:r>
    </w:p>
    <w:p w14:paraId="1E0F2018" w14:textId="77777777" w:rsidR="006F5BFE" w:rsidRPr="003B2277" w:rsidRDefault="006F5BFE" w:rsidP="006F5BFE">
      <w:pPr>
        <w:keepNext/>
        <w:rPr>
          <w:lang w:eastAsia="en-US"/>
        </w:rPr>
      </w:pPr>
      <w:r w:rsidRPr="003B2277">
        <w:rPr>
          <w:rFonts w:eastAsia="Calibri" w:cs="Mangal"/>
          <w:lang w:eastAsia="en-US"/>
        </w:rPr>
        <w:t>Uredba (EU) št. 1151/2012</w:t>
      </w:r>
    </w:p>
    <w:p w14:paraId="454EF017" w14:textId="77777777" w:rsidR="006F5BFE" w:rsidRPr="003B2277" w:rsidRDefault="006F5BFE" w:rsidP="006F5BFE">
      <w:pPr>
        <w:rPr>
          <w:lang w:eastAsia="en-US"/>
        </w:rPr>
      </w:pPr>
      <w:r w:rsidRPr="003B2277">
        <w:rPr>
          <w:rFonts w:eastAsia="Calibri" w:cs="Mangal"/>
          <w:lang w:eastAsia="en-US"/>
        </w:rPr>
        <w:t>Člen 1 – odstavek 2 – točka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EC86C73" w14:textId="77777777" w:rsidTr="005B4D60">
        <w:trPr>
          <w:jc w:val="center"/>
        </w:trPr>
        <w:tc>
          <w:tcPr>
            <w:tcW w:w="9752" w:type="dxa"/>
            <w:gridSpan w:val="2"/>
          </w:tcPr>
          <w:p w14:paraId="005D851D" w14:textId="77777777" w:rsidR="006F5BFE" w:rsidRPr="003B2277" w:rsidRDefault="006F5BFE" w:rsidP="005B4D60">
            <w:pPr>
              <w:keepNext/>
            </w:pPr>
          </w:p>
        </w:tc>
      </w:tr>
      <w:tr w:rsidR="006F5BFE" w:rsidRPr="003B2277" w14:paraId="6FCAD598" w14:textId="77777777" w:rsidTr="005B4D60">
        <w:trPr>
          <w:jc w:val="center"/>
        </w:trPr>
        <w:tc>
          <w:tcPr>
            <w:tcW w:w="4876" w:type="dxa"/>
            <w:hideMark/>
          </w:tcPr>
          <w:p w14:paraId="09F53320"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EB70F18" w14:textId="10556E7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2DC9413" w14:textId="77777777" w:rsidTr="005B4D60">
        <w:trPr>
          <w:jc w:val="center"/>
        </w:trPr>
        <w:tc>
          <w:tcPr>
            <w:tcW w:w="4876" w:type="dxa"/>
          </w:tcPr>
          <w:p w14:paraId="53712C2B" w14:textId="77777777" w:rsidR="006F5BFE" w:rsidRPr="003B2277" w:rsidRDefault="006F5BFE" w:rsidP="005B4D60">
            <w:pPr>
              <w:spacing w:after="120"/>
            </w:pPr>
          </w:p>
        </w:tc>
        <w:tc>
          <w:tcPr>
            <w:tcW w:w="4876" w:type="dxa"/>
            <w:hideMark/>
          </w:tcPr>
          <w:p w14:paraId="37B84284"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v členu 1(2) se točka (b) nadomesti z naslednjim:</w:t>
            </w:r>
          </w:p>
        </w:tc>
      </w:tr>
      <w:tr w:rsidR="006F5BFE" w:rsidRPr="003B2277" w14:paraId="46CF99AE" w14:textId="77777777" w:rsidTr="005B4D60">
        <w:trPr>
          <w:jc w:val="center"/>
        </w:trPr>
        <w:tc>
          <w:tcPr>
            <w:tcW w:w="4876" w:type="dxa"/>
            <w:hideMark/>
          </w:tcPr>
          <w:p w14:paraId="532979BD" w14:textId="77777777" w:rsidR="006F5BFE" w:rsidRPr="003B2277" w:rsidRDefault="006F5BFE" w:rsidP="005B4D60">
            <w:pPr>
              <w:spacing w:after="120"/>
              <w:rPr>
                <w:lang w:eastAsia="en-US"/>
              </w:rPr>
            </w:pPr>
            <w:r w:rsidRPr="003B2277">
              <w:rPr>
                <w:rFonts w:eastAsia="Calibri" w:cs="Mangal"/>
                <w:lang w:eastAsia="en-US"/>
              </w:rPr>
              <w:t>(b) z lastnostmi dodane vrednosti, pridobljenimi z načini kmetovanja ali predelave, ki se uporabljajo pri njihovi proizvodnji, ali ustvarjenimi zaradi kraja njihove proizvodnje ali trženja.</w:t>
            </w:r>
          </w:p>
        </w:tc>
        <w:tc>
          <w:tcPr>
            <w:tcW w:w="4876" w:type="dxa"/>
            <w:hideMark/>
          </w:tcPr>
          <w:p w14:paraId="79302385" w14:textId="3F01E8E0"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(b) z lastnostmi dodane vrednosti, pridobljenimi z načini kmetovanja ali predelave, ki se uporabljajo pri njihovi proizvodnji, ali ustvarjenimi zaradi kraja njihove proizvodnje ali trženja</w:t>
            </w:r>
            <w:r w:rsidRPr="003B2277">
              <w:rPr>
                <w:rFonts w:eastAsia="Calibri" w:cs="Mangal"/>
                <w:b/>
                <w:i/>
                <w:lang w:eastAsia="en-US"/>
              </w:rPr>
              <w:t>, in z njihovim prispevkom k trajnostnemu razvoju, če je primerno</w:t>
            </w:r>
            <w:r w:rsidRPr="003B2277">
              <w:rPr>
                <w:rFonts w:eastAsia="Calibri" w:cs="Mangal"/>
                <w:lang w:eastAsia="en-US"/>
              </w:rPr>
              <w:t>.</w:t>
            </w:r>
            <w:r w:rsidRPr="003B2277">
              <w:rPr>
                <w:rFonts w:eastAsia="Calibri" w:cs="Mangal"/>
                <w:b/>
                <w:i/>
                <w:lang w:eastAsia="en-US"/>
              </w:rPr>
              <w:t>“</w:t>
            </w:r>
          </w:p>
        </w:tc>
      </w:tr>
    </w:tbl>
    <w:p w14:paraId="246A6D1D" w14:textId="77777777" w:rsidR="006F7099" w:rsidRDefault="006F7099"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21E8B7F8" w14:textId="0159B58E" w:rsidR="006F7099" w:rsidRPr="003C1AE9" w:rsidRDefault="008C7773" w:rsidP="006F7099">
      <w:pPr>
        <w:pStyle w:val="AmNumberTabs0"/>
      </w:pPr>
      <w:r>
        <w:t>Sprememba</w:t>
      </w:r>
      <w:r w:rsidR="006F7099" w:rsidRPr="003C1AE9">
        <w:tab/>
      </w:r>
      <w:r w:rsidR="006F7099" w:rsidRPr="003C1AE9">
        <w:tab/>
        <w:t>251</w:t>
      </w:r>
    </w:p>
    <w:p w14:paraId="77E6750A" w14:textId="77777777" w:rsidR="006F7099" w:rsidRPr="003C1AE9" w:rsidRDefault="006F7099" w:rsidP="006F7099">
      <w:pPr>
        <w:pStyle w:val="NormalBold12b"/>
      </w:pPr>
      <w:r w:rsidRPr="003C1AE9">
        <w:t>Predlog uredbe</w:t>
      </w:r>
    </w:p>
    <w:p w14:paraId="5F24F991" w14:textId="77777777" w:rsidR="006F7099" w:rsidRPr="003C1AE9" w:rsidRDefault="006F7099" w:rsidP="006F7099">
      <w:pPr>
        <w:pStyle w:val="NormalBold"/>
      </w:pPr>
      <w:r w:rsidRPr="003C1AE9">
        <w:t>Člen 2 – odstavek 1 – točka 2</w:t>
      </w:r>
    </w:p>
    <w:p w14:paraId="2887101C" w14:textId="77777777" w:rsidR="006F7099" w:rsidRPr="003C1AE9" w:rsidRDefault="006F7099" w:rsidP="006F7099">
      <w:r w:rsidRPr="003C1AE9">
        <w:t>Uredba (EU) št. 1151/2012</w:t>
      </w:r>
    </w:p>
    <w:p w14:paraId="6081D33E" w14:textId="77777777" w:rsidR="006F7099" w:rsidRPr="003C1AE9" w:rsidRDefault="006F7099" w:rsidP="006F7099">
      <w:r w:rsidRPr="003C1AE9">
        <w:t>Člen 5</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F7099" w:rsidRPr="003C1AE9" w14:paraId="4A471D05" w14:textId="77777777" w:rsidTr="005809F6">
        <w:trPr>
          <w:jc w:val="center"/>
        </w:trPr>
        <w:tc>
          <w:tcPr>
            <w:tcW w:w="9752" w:type="dxa"/>
            <w:gridSpan w:val="2"/>
          </w:tcPr>
          <w:p w14:paraId="6F91DFE4" w14:textId="77777777" w:rsidR="006F7099" w:rsidRPr="003C1AE9" w:rsidRDefault="006F7099" w:rsidP="005809F6">
            <w:pPr>
              <w:keepNext/>
            </w:pPr>
          </w:p>
        </w:tc>
      </w:tr>
      <w:tr w:rsidR="006F7099" w:rsidRPr="003C1AE9" w14:paraId="497443BA" w14:textId="77777777" w:rsidTr="005809F6">
        <w:trPr>
          <w:jc w:val="center"/>
        </w:trPr>
        <w:tc>
          <w:tcPr>
            <w:tcW w:w="4876" w:type="dxa"/>
          </w:tcPr>
          <w:p w14:paraId="253137F0" w14:textId="3AE58BE5" w:rsidR="006F7099" w:rsidRPr="003C1AE9" w:rsidRDefault="00465DEA" w:rsidP="005809F6">
            <w:pPr>
              <w:pStyle w:val="AmColumnHeading"/>
              <w:keepNext/>
            </w:pPr>
            <w:r>
              <w:t>Veljavno besedilo</w:t>
            </w:r>
          </w:p>
        </w:tc>
        <w:tc>
          <w:tcPr>
            <w:tcW w:w="4876" w:type="dxa"/>
          </w:tcPr>
          <w:p w14:paraId="6C3BB3F9" w14:textId="53C2A5A0" w:rsidR="006F7099" w:rsidRPr="003C1AE9" w:rsidRDefault="008C7773" w:rsidP="005809F6">
            <w:pPr>
              <w:pStyle w:val="AmColumnHeading"/>
              <w:keepNext/>
            </w:pPr>
            <w:r>
              <w:t>Sprememba</w:t>
            </w:r>
          </w:p>
        </w:tc>
      </w:tr>
      <w:tr w:rsidR="006F7099" w:rsidRPr="003C1AE9" w14:paraId="57350DDB" w14:textId="77777777" w:rsidTr="005809F6">
        <w:trPr>
          <w:jc w:val="center"/>
        </w:trPr>
        <w:tc>
          <w:tcPr>
            <w:tcW w:w="4876" w:type="dxa"/>
          </w:tcPr>
          <w:p w14:paraId="0C57228C" w14:textId="77777777" w:rsidR="006F7099" w:rsidRPr="003C1AE9" w:rsidRDefault="006F7099" w:rsidP="005809F6">
            <w:pPr>
              <w:pStyle w:val="Normal6"/>
            </w:pPr>
          </w:p>
        </w:tc>
        <w:tc>
          <w:tcPr>
            <w:tcW w:w="4876" w:type="dxa"/>
          </w:tcPr>
          <w:p w14:paraId="05D4FE86" w14:textId="77777777" w:rsidR="006F7099" w:rsidRPr="003C1AE9" w:rsidRDefault="006F7099" w:rsidP="005809F6">
            <w:pPr>
              <w:pStyle w:val="Normal6"/>
              <w:rPr>
                <w:szCs w:val="24"/>
              </w:rPr>
            </w:pPr>
            <w:r w:rsidRPr="003C1AE9">
              <w:rPr>
                <w:b/>
                <w:i/>
              </w:rPr>
              <w:t>(2)</w:t>
            </w:r>
            <w:r w:rsidRPr="003C1AE9">
              <w:rPr>
                <w:b/>
                <w:i/>
              </w:rPr>
              <w:tab/>
              <w:t>člen 5 se nadomesti z naslednjim:</w:t>
            </w:r>
          </w:p>
        </w:tc>
      </w:tr>
      <w:tr w:rsidR="006F7099" w:rsidRPr="003C1AE9" w14:paraId="7B0C8191" w14:textId="77777777" w:rsidTr="005809F6">
        <w:trPr>
          <w:jc w:val="center"/>
        </w:trPr>
        <w:tc>
          <w:tcPr>
            <w:tcW w:w="4876" w:type="dxa"/>
          </w:tcPr>
          <w:p w14:paraId="296166B9" w14:textId="77777777" w:rsidR="006F7099" w:rsidRPr="003C1AE9" w:rsidRDefault="006F7099" w:rsidP="005809F6">
            <w:pPr>
              <w:pStyle w:val="Normal6"/>
            </w:pPr>
            <w:r w:rsidRPr="003C1AE9">
              <w:rPr>
                <w:b/>
                <w:i/>
              </w:rPr>
              <w:t>Člen</w:t>
            </w:r>
            <w:r w:rsidRPr="003C1AE9">
              <w:t xml:space="preserve"> 5</w:t>
            </w:r>
          </w:p>
        </w:tc>
        <w:tc>
          <w:tcPr>
            <w:tcW w:w="4876" w:type="dxa"/>
          </w:tcPr>
          <w:p w14:paraId="18AE8AB8" w14:textId="77777777" w:rsidR="006F7099" w:rsidRPr="003C1AE9" w:rsidRDefault="006F7099" w:rsidP="005809F6">
            <w:pPr>
              <w:pStyle w:val="Normal6"/>
              <w:rPr>
                <w:szCs w:val="24"/>
              </w:rPr>
            </w:pPr>
            <w:r w:rsidRPr="003C1AE9">
              <w:rPr>
                <w:b/>
                <w:i/>
              </w:rPr>
              <w:t>„Člen</w:t>
            </w:r>
            <w:r w:rsidRPr="003C1AE9">
              <w:t xml:space="preserve"> 5</w:t>
            </w:r>
          </w:p>
        </w:tc>
      </w:tr>
      <w:tr w:rsidR="006F7099" w:rsidRPr="003C1AE9" w14:paraId="19F9C968" w14:textId="77777777" w:rsidTr="005809F6">
        <w:trPr>
          <w:jc w:val="center"/>
        </w:trPr>
        <w:tc>
          <w:tcPr>
            <w:tcW w:w="4876" w:type="dxa"/>
          </w:tcPr>
          <w:p w14:paraId="29D397E1" w14:textId="77777777" w:rsidR="006F7099" w:rsidRPr="003C1AE9" w:rsidRDefault="006F7099" w:rsidP="005809F6">
            <w:pPr>
              <w:pStyle w:val="Normal6"/>
            </w:pPr>
            <w:r w:rsidRPr="003C1AE9">
              <w:t>Zahteve za označbe porekla in geografske označbe</w:t>
            </w:r>
          </w:p>
        </w:tc>
        <w:tc>
          <w:tcPr>
            <w:tcW w:w="4876" w:type="dxa"/>
          </w:tcPr>
          <w:p w14:paraId="3576647C" w14:textId="77777777" w:rsidR="006F7099" w:rsidRPr="003C1AE9" w:rsidRDefault="006F7099" w:rsidP="005809F6">
            <w:pPr>
              <w:pStyle w:val="Normal6"/>
              <w:rPr>
                <w:szCs w:val="24"/>
              </w:rPr>
            </w:pPr>
            <w:r w:rsidRPr="003C1AE9">
              <w:t>Zahteve za označbe porekla in geografske označbe</w:t>
            </w:r>
          </w:p>
        </w:tc>
      </w:tr>
      <w:tr w:rsidR="006F7099" w:rsidRPr="003C1AE9" w14:paraId="5C57A3AC" w14:textId="77777777" w:rsidTr="005809F6">
        <w:trPr>
          <w:jc w:val="center"/>
        </w:trPr>
        <w:tc>
          <w:tcPr>
            <w:tcW w:w="4876" w:type="dxa"/>
          </w:tcPr>
          <w:p w14:paraId="1EB064E3" w14:textId="77777777" w:rsidR="006F7099" w:rsidRPr="003C1AE9" w:rsidRDefault="006F7099" w:rsidP="005809F6">
            <w:pPr>
              <w:pStyle w:val="Normal6"/>
            </w:pPr>
            <w:r w:rsidRPr="003C1AE9">
              <w:t>1.</w:t>
            </w:r>
            <w:r w:rsidRPr="003C1AE9">
              <w:tab/>
              <w:t>Za namen te uredbe je „označba porekla“ ime, ki opredeljuje proizvod:</w:t>
            </w:r>
          </w:p>
        </w:tc>
        <w:tc>
          <w:tcPr>
            <w:tcW w:w="4876" w:type="dxa"/>
          </w:tcPr>
          <w:p w14:paraId="701B2497" w14:textId="77777777" w:rsidR="006F7099" w:rsidRPr="003C1AE9" w:rsidRDefault="006F7099" w:rsidP="005809F6">
            <w:pPr>
              <w:pStyle w:val="Normal6"/>
              <w:rPr>
                <w:szCs w:val="24"/>
              </w:rPr>
            </w:pPr>
            <w:r w:rsidRPr="003C1AE9">
              <w:t>1.</w:t>
            </w:r>
            <w:r w:rsidRPr="003C1AE9">
              <w:tab/>
              <w:t>Za namen te uredbe je „označba porekla“ ime, ki opredeljuje proizvod:</w:t>
            </w:r>
          </w:p>
        </w:tc>
      </w:tr>
      <w:tr w:rsidR="006F7099" w:rsidRPr="003C1AE9" w14:paraId="09D237BF" w14:textId="77777777" w:rsidTr="005809F6">
        <w:trPr>
          <w:jc w:val="center"/>
        </w:trPr>
        <w:tc>
          <w:tcPr>
            <w:tcW w:w="4876" w:type="dxa"/>
          </w:tcPr>
          <w:p w14:paraId="292EF034" w14:textId="77777777" w:rsidR="006F7099" w:rsidRPr="003C1AE9" w:rsidRDefault="006F7099" w:rsidP="005809F6">
            <w:pPr>
              <w:pStyle w:val="Normal6"/>
            </w:pPr>
            <w:r w:rsidRPr="003C1AE9">
              <w:t>(a)</w:t>
            </w:r>
            <w:r w:rsidRPr="003C1AE9">
              <w:tab/>
              <w:t xml:space="preserve">s poreklom iz specifičnega kraja, regije ali </w:t>
            </w:r>
            <w:r w:rsidRPr="003C1AE9">
              <w:rPr>
                <w:b/>
                <w:i/>
              </w:rPr>
              <w:t>izjemoma</w:t>
            </w:r>
            <w:r w:rsidRPr="003C1AE9">
              <w:t xml:space="preserve"> države;</w:t>
            </w:r>
          </w:p>
        </w:tc>
        <w:tc>
          <w:tcPr>
            <w:tcW w:w="4876" w:type="dxa"/>
          </w:tcPr>
          <w:p w14:paraId="08C1B1E4" w14:textId="77777777" w:rsidR="006F7099" w:rsidRPr="003C1AE9" w:rsidRDefault="006F7099" w:rsidP="005809F6">
            <w:pPr>
              <w:pStyle w:val="Normal6"/>
              <w:rPr>
                <w:szCs w:val="24"/>
              </w:rPr>
            </w:pPr>
            <w:r w:rsidRPr="003C1AE9">
              <w:t>(a)</w:t>
            </w:r>
            <w:r w:rsidRPr="003C1AE9">
              <w:tab/>
              <w:t xml:space="preserve">s poreklom iz specifičnega kraja, regije ali </w:t>
            </w:r>
            <w:r w:rsidRPr="003C1AE9">
              <w:rPr>
                <w:b/>
                <w:i/>
              </w:rPr>
              <w:t>v izjemnih primerih</w:t>
            </w:r>
            <w:r w:rsidRPr="003C1AE9">
              <w:t xml:space="preserve"> države</w:t>
            </w:r>
            <w:r w:rsidRPr="003C1AE9">
              <w:rPr>
                <w:b/>
                <w:i/>
              </w:rPr>
              <w:t xml:space="preserve"> ali ime, ki se tradicionalno uporablja v določenem kraju</w:t>
            </w:r>
            <w:r w:rsidRPr="003C1AE9">
              <w:t>;</w:t>
            </w:r>
          </w:p>
        </w:tc>
      </w:tr>
      <w:tr w:rsidR="006F7099" w:rsidRPr="003C1AE9" w14:paraId="35E305C9" w14:textId="77777777" w:rsidTr="005809F6">
        <w:trPr>
          <w:jc w:val="center"/>
        </w:trPr>
        <w:tc>
          <w:tcPr>
            <w:tcW w:w="4876" w:type="dxa"/>
          </w:tcPr>
          <w:p w14:paraId="60B14B8A" w14:textId="77777777" w:rsidR="006F7099" w:rsidRPr="003C1AE9" w:rsidRDefault="006F7099" w:rsidP="005809F6">
            <w:pPr>
              <w:pStyle w:val="Normal6"/>
            </w:pPr>
            <w:r w:rsidRPr="003C1AE9">
              <w:t>(b)</w:t>
            </w:r>
            <w:r w:rsidRPr="003C1AE9">
              <w:tab/>
              <w:t xml:space="preserve">katerega kakovost ali značilnosti so pretežno ali izključno posledica določenega geografskega okolja z njegovimi </w:t>
            </w:r>
            <w:r w:rsidRPr="003C1AE9">
              <w:rPr>
                <w:b/>
                <w:i/>
              </w:rPr>
              <w:t xml:space="preserve">lastnimi </w:t>
            </w:r>
            <w:r w:rsidRPr="003C1AE9">
              <w:t xml:space="preserve">naravnimi in človeškimi dejavniki </w:t>
            </w:r>
            <w:r w:rsidRPr="003C1AE9">
              <w:rPr>
                <w:b/>
                <w:i/>
              </w:rPr>
              <w:t>ter</w:t>
            </w:r>
          </w:p>
        </w:tc>
        <w:tc>
          <w:tcPr>
            <w:tcW w:w="4876" w:type="dxa"/>
          </w:tcPr>
          <w:p w14:paraId="0CABCCF8" w14:textId="77777777" w:rsidR="006F7099" w:rsidRPr="003C1AE9" w:rsidRDefault="006F7099" w:rsidP="005809F6">
            <w:pPr>
              <w:pStyle w:val="Normal6"/>
              <w:rPr>
                <w:szCs w:val="24"/>
              </w:rPr>
            </w:pPr>
            <w:r w:rsidRPr="003C1AE9">
              <w:t>(b)</w:t>
            </w:r>
            <w:r w:rsidRPr="003C1AE9">
              <w:tab/>
              <w:t>katerega kakovost ali značilnosti so pretežno ali izključno posledica določenega geografskega okolja z njegovimi naravnimi</w:t>
            </w:r>
            <w:r w:rsidRPr="003C1AE9">
              <w:rPr>
                <w:b/>
                <w:i/>
              </w:rPr>
              <w:t xml:space="preserve"> dejavniki</w:t>
            </w:r>
            <w:r w:rsidRPr="003C1AE9">
              <w:t xml:space="preserve"> in človeškimi dejavniki</w:t>
            </w:r>
            <w:r w:rsidRPr="003C1AE9">
              <w:rPr>
                <w:b/>
                <w:i/>
              </w:rPr>
              <w:t>;</w:t>
            </w:r>
          </w:p>
        </w:tc>
      </w:tr>
      <w:tr w:rsidR="006F7099" w:rsidRPr="003C1AE9" w14:paraId="5B833C80" w14:textId="77777777" w:rsidTr="005809F6">
        <w:trPr>
          <w:jc w:val="center"/>
        </w:trPr>
        <w:tc>
          <w:tcPr>
            <w:tcW w:w="4876" w:type="dxa"/>
          </w:tcPr>
          <w:p w14:paraId="6161B2A1" w14:textId="77777777" w:rsidR="006F7099" w:rsidRPr="003C1AE9" w:rsidRDefault="006F7099" w:rsidP="005809F6">
            <w:pPr>
              <w:pStyle w:val="Normal6"/>
            </w:pPr>
            <w:r w:rsidRPr="003C1AE9">
              <w:t>(c)</w:t>
            </w:r>
            <w:r w:rsidRPr="003C1AE9">
              <w:tab/>
              <w:t>katerega vse faze proizvodnje potekajo na opredeljenem geografskem območju.</w:t>
            </w:r>
          </w:p>
        </w:tc>
        <w:tc>
          <w:tcPr>
            <w:tcW w:w="4876" w:type="dxa"/>
          </w:tcPr>
          <w:p w14:paraId="7C0EB6AE" w14:textId="77777777" w:rsidR="006F7099" w:rsidRPr="003C1AE9" w:rsidRDefault="006F7099" w:rsidP="005809F6">
            <w:pPr>
              <w:pStyle w:val="Normal6"/>
              <w:rPr>
                <w:szCs w:val="24"/>
              </w:rPr>
            </w:pPr>
            <w:r w:rsidRPr="003C1AE9">
              <w:t>(c)</w:t>
            </w:r>
            <w:r w:rsidRPr="003C1AE9">
              <w:tab/>
              <w:t>katerega vse faze proizvodnje potekajo na opredeljenem geografskem območju.</w:t>
            </w:r>
          </w:p>
        </w:tc>
      </w:tr>
      <w:tr w:rsidR="006F7099" w:rsidRPr="003C1AE9" w14:paraId="271ACA93" w14:textId="77777777" w:rsidTr="005809F6">
        <w:trPr>
          <w:jc w:val="center"/>
        </w:trPr>
        <w:tc>
          <w:tcPr>
            <w:tcW w:w="4876" w:type="dxa"/>
          </w:tcPr>
          <w:p w14:paraId="54B4EE1D" w14:textId="77777777" w:rsidR="006F7099" w:rsidRPr="003C1AE9" w:rsidRDefault="006F7099" w:rsidP="005809F6">
            <w:pPr>
              <w:pStyle w:val="Normal6"/>
            </w:pPr>
            <w:r w:rsidRPr="003C1AE9">
              <w:t>2.</w:t>
            </w:r>
            <w:r w:rsidRPr="003C1AE9">
              <w:tab/>
              <w:t>Za namen te uredbe je „geografska označba“ ime, ki opredeljuje proizvod:</w:t>
            </w:r>
          </w:p>
        </w:tc>
        <w:tc>
          <w:tcPr>
            <w:tcW w:w="4876" w:type="dxa"/>
          </w:tcPr>
          <w:p w14:paraId="3C1FB2CA" w14:textId="77777777" w:rsidR="006F7099" w:rsidRPr="003C1AE9" w:rsidRDefault="006F7099" w:rsidP="005809F6">
            <w:pPr>
              <w:pStyle w:val="Normal6"/>
              <w:rPr>
                <w:szCs w:val="24"/>
              </w:rPr>
            </w:pPr>
            <w:r w:rsidRPr="003C1AE9">
              <w:t>2.</w:t>
            </w:r>
            <w:r w:rsidRPr="003C1AE9">
              <w:tab/>
              <w:t>Za namen te uredbe je „geografska označba“ ime, ki opredeljuje proizvod:</w:t>
            </w:r>
          </w:p>
        </w:tc>
      </w:tr>
      <w:tr w:rsidR="006F7099" w:rsidRPr="003C1AE9" w14:paraId="4840555D" w14:textId="77777777" w:rsidTr="005809F6">
        <w:trPr>
          <w:jc w:val="center"/>
        </w:trPr>
        <w:tc>
          <w:tcPr>
            <w:tcW w:w="4876" w:type="dxa"/>
          </w:tcPr>
          <w:p w14:paraId="49DA1F0D" w14:textId="77777777" w:rsidR="006F7099" w:rsidRPr="003C1AE9" w:rsidRDefault="006F7099" w:rsidP="005809F6">
            <w:pPr>
              <w:pStyle w:val="Normal6"/>
            </w:pPr>
            <w:r w:rsidRPr="003C1AE9">
              <w:t>(a)</w:t>
            </w:r>
            <w:r w:rsidRPr="003C1AE9">
              <w:tab/>
              <w:t>s poreklom iz specifičnega kraja, regije ali države;</w:t>
            </w:r>
          </w:p>
        </w:tc>
        <w:tc>
          <w:tcPr>
            <w:tcW w:w="4876" w:type="dxa"/>
          </w:tcPr>
          <w:p w14:paraId="4FE611A9" w14:textId="77777777" w:rsidR="006F7099" w:rsidRPr="003C1AE9" w:rsidRDefault="006F7099" w:rsidP="005809F6">
            <w:pPr>
              <w:pStyle w:val="Normal6"/>
              <w:rPr>
                <w:szCs w:val="24"/>
              </w:rPr>
            </w:pPr>
            <w:r w:rsidRPr="003C1AE9">
              <w:t>(a)</w:t>
            </w:r>
            <w:r w:rsidRPr="003C1AE9">
              <w:tab/>
              <w:t>s poreklom iz specifičnega kraja, regije ali države</w:t>
            </w:r>
            <w:r w:rsidRPr="003C1AE9">
              <w:rPr>
                <w:b/>
                <w:i/>
              </w:rPr>
              <w:t xml:space="preserve"> ali ime, ki se tradicionalno uporablja v določenem kraju</w:t>
            </w:r>
            <w:r w:rsidRPr="003C1AE9">
              <w:t>;</w:t>
            </w:r>
          </w:p>
        </w:tc>
      </w:tr>
      <w:tr w:rsidR="006F7099" w:rsidRPr="003C1AE9" w14:paraId="5F018197" w14:textId="77777777" w:rsidTr="005809F6">
        <w:trPr>
          <w:jc w:val="center"/>
        </w:trPr>
        <w:tc>
          <w:tcPr>
            <w:tcW w:w="4876" w:type="dxa"/>
          </w:tcPr>
          <w:p w14:paraId="6717A9DF" w14:textId="77777777" w:rsidR="006F7099" w:rsidRPr="003C1AE9" w:rsidRDefault="006F7099" w:rsidP="005809F6">
            <w:pPr>
              <w:pStyle w:val="Normal6"/>
            </w:pPr>
            <w:r w:rsidRPr="003C1AE9">
              <w:t>(b)</w:t>
            </w:r>
            <w:r w:rsidRPr="003C1AE9">
              <w:tab/>
              <w:t>katerega določeno kakovost, sloves ali drugo značilnost je mogoče pripisati predvsem njegovemu geografskemu poreklu ter</w:t>
            </w:r>
          </w:p>
        </w:tc>
        <w:tc>
          <w:tcPr>
            <w:tcW w:w="4876" w:type="dxa"/>
          </w:tcPr>
          <w:p w14:paraId="11DCCF18" w14:textId="77777777" w:rsidR="006F7099" w:rsidRPr="003C1AE9" w:rsidRDefault="006F7099" w:rsidP="005809F6">
            <w:pPr>
              <w:pStyle w:val="Normal6"/>
              <w:rPr>
                <w:szCs w:val="24"/>
              </w:rPr>
            </w:pPr>
            <w:r w:rsidRPr="003C1AE9">
              <w:t>(b)</w:t>
            </w:r>
            <w:r w:rsidRPr="003C1AE9">
              <w:tab/>
              <w:t>katerega določeno kakovost, sloves ali drugo značilnost je mogoče pripisati predvsem njegovemu geografskemu poreklu ter</w:t>
            </w:r>
          </w:p>
        </w:tc>
      </w:tr>
      <w:tr w:rsidR="006F7099" w:rsidRPr="003C1AE9" w14:paraId="7453CE10" w14:textId="77777777" w:rsidTr="005809F6">
        <w:trPr>
          <w:jc w:val="center"/>
        </w:trPr>
        <w:tc>
          <w:tcPr>
            <w:tcW w:w="4876" w:type="dxa"/>
          </w:tcPr>
          <w:p w14:paraId="57D56EB2" w14:textId="77777777" w:rsidR="006F7099" w:rsidRPr="003C1AE9" w:rsidRDefault="006F7099" w:rsidP="005809F6">
            <w:pPr>
              <w:pStyle w:val="Normal6"/>
            </w:pPr>
            <w:r w:rsidRPr="003C1AE9">
              <w:t>(c)</w:t>
            </w:r>
            <w:r w:rsidRPr="003C1AE9">
              <w:tab/>
              <w:t>katerega najmanj ena faza proizvodnje poteka na opredeljenem geografskem območju.</w:t>
            </w:r>
          </w:p>
        </w:tc>
        <w:tc>
          <w:tcPr>
            <w:tcW w:w="4876" w:type="dxa"/>
          </w:tcPr>
          <w:p w14:paraId="320491A2" w14:textId="77777777" w:rsidR="006F7099" w:rsidRPr="003C1AE9" w:rsidRDefault="006F7099" w:rsidP="005809F6">
            <w:pPr>
              <w:pStyle w:val="Normal6"/>
              <w:rPr>
                <w:szCs w:val="24"/>
              </w:rPr>
            </w:pPr>
            <w:r w:rsidRPr="003C1AE9">
              <w:t>(c)</w:t>
            </w:r>
            <w:r w:rsidRPr="003C1AE9">
              <w:tab/>
              <w:t>katerega najmanj ena faza proizvodnje poteka na opredeljenem geografskem območju.</w:t>
            </w:r>
          </w:p>
        </w:tc>
      </w:tr>
      <w:tr w:rsidR="006F7099" w:rsidRPr="003C1AE9" w14:paraId="79E5F8F0" w14:textId="77777777" w:rsidTr="005809F6">
        <w:trPr>
          <w:jc w:val="center"/>
        </w:trPr>
        <w:tc>
          <w:tcPr>
            <w:tcW w:w="4876" w:type="dxa"/>
          </w:tcPr>
          <w:p w14:paraId="4E153053" w14:textId="77777777" w:rsidR="006F7099" w:rsidRPr="003C1AE9" w:rsidRDefault="006F7099" w:rsidP="005809F6">
            <w:pPr>
              <w:pStyle w:val="Normal6"/>
            </w:pPr>
            <w:r w:rsidRPr="003C1AE9">
              <w:t>3.</w:t>
            </w:r>
            <w:r w:rsidRPr="003C1AE9">
              <w:tab/>
              <w:t>Ne glede na odstavek 1 se določena imena obravnavajo kot označbe porekla, čeprav izhajajo surovine zadevnih proizvodov iz geografskega območja, ki je večje ali različno od opredeljenega geografskega območja, pod pogojem, da:</w:t>
            </w:r>
          </w:p>
        </w:tc>
        <w:tc>
          <w:tcPr>
            <w:tcW w:w="4876" w:type="dxa"/>
          </w:tcPr>
          <w:p w14:paraId="1DEBCB61" w14:textId="77777777" w:rsidR="006F7099" w:rsidRPr="003C1AE9" w:rsidRDefault="006F7099" w:rsidP="005809F6">
            <w:pPr>
              <w:pStyle w:val="Normal6"/>
              <w:rPr>
                <w:szCs w:val="24"/>
              </w:rPr>
            </w:pPr>
            <w:r w:rsidRPr="003C1AE9">
              <w:t>3.</w:t>
            </w:r>
            <w:r w:rsidRPr="003C1AE9">
              <w:tab/>
              <w:t>Ne glede na odstavek 1 se določena imena obravnavajo kot označbe porekla, čeprav izhajajo surovine zadevnih proizvodov iz geografskega območja, ki je večje ali različno od opredeljenega geografskega območja, pod pogojem, da:</w:t>
            </w:r>
          </w:p>
        </w:tc>
      </w:tr>
      <w:tr w:rsidR="006F7099" w:rsidRPr="003C1AE9" w14:paraId="7622668A" w14:textId="77777777" w:rsidTr="005809F6">
        <w:trPr>
          <w:jc w:val="center"/>
        </w:trPr>
        <w:tc>
          <w:tcPr>
            <w:tcW w:w="4876" w:type="dxa"/>
          </w:tcPr>
          <w:p w14:paraId="068C11F1" w14:textId="77777777" w:rsidR="006F7099" w:rsidRPr="003C1AE9" w:rsidRDefault="006F7099" w:rsidP="005809F6">
            <w:pPr>
              <w:pStyle w:val="Normal6"/>
            </w:pPr>
            <w:r w:rsidRPr="003C1AE9">
              <w:t>(a)</w:t>
            </w:r>
            <w:r w:rsidRPr="003C1AE9">
              <w:tab/>
              <w:t>je območje, na katerem se pridobivajo surovine, opredeljeno;</w:t>
            </w:r>
          </w:p>
        </w:tc>
        <w:tc>
          <w:tcPr>
            <w:tcW w:w="4876" w:type="dxa"/>
          </w:tcPr>
          <w:p w14:paraId="4698FCAE" w14:textId="77777777" w:rsidR="006F7099" w:rsidRPr="003C1AE9" w:rsidRDefault="006F7099" w:rsidP="005809F6">
            <w:pPr>
              <w:pStyle w:val="Normal6"/>
              <w:rPr>
                <w:szCs w:val="24"/>
              </w:rPr>
            </w:pPr>
            <w:r w:rsidRPr="003C1AE9">
              <w:t>(a)</w:t>
            </w:r>
            <w:r w:rsidRPr="003C1AE9">
              <w:tab/>
              <w:t>je območje, na katerem se pridobivajo surovine, opredeljeno;</w:t>
            </w:r>
          </w:p>
        </w:tc>
      </w:tr>
      <w:tr w:rsidR="006F7099" w:rsidRPr="003C1AE9" w14:paraId="46843EA4" w14:textId="77777777" w:rsidTr="005809F6">
        <w:trPr>
          <w:jc w:val="center"/>
        </w:trPr>
        <w:tc>
          <w:tcPr>
            <w:tcW w:w="4876" w:type="dxa"/>
          </w:tcPr>
          <w:p w14:paraId="20C4B957" w14:textId="77777777" w:rsidR="006F7099" w:rsidRPr="003C1AE9" w:rsidRDefault="006F7099" w:rsidP="005809F6">
            <w:pPr>
              <w:pStyle w:val="Normal6"/>
            </w:pPr>
            <w:r w:rsidRPr="003C1AE9">
              <w:t>(b)</w:t>
            </w:r>
            <w:r w:rsidRPr="003C1AE9">
              <w:tab/>
              <w:t>obstajajo posebni pogoji za pridobivanje surovin;</w:t>
            </w:r>
          </w:p>
        </w:tc>
        <w:tc>
          <w:tcPr>
            <w:tcW w:w="4876" w:type="dxa"/>
          </w:tcPr>
          <w:p w14:paraId="3607062A" w14:textId="77777777" w:rsidR="006F7099" w:rsidRPr="003C1AE9" w:rsidRDefault="006F7099" w:rsidP="005809F6">
            <w:pPr>
              <w:pStyle w:val="Normal6"/>
              <w:rPr>
                <w:szCs w:val="24"/>
              </w:rPr>
            </w:pPr>
            <w:r w:rsidRPr="003C1AE9">
              <w:t>(b)</w:t>
            </w:r>
            <w:r w:rsidRPr="003C1AE9">
              <w:tab/>
              <w:t>obstajajo posebni pogoji za pridobivanje surovin;</w:t>
            </w:r>
          </w:p>
        </w:tc>
      </w:tr>
      <w:tr w:rsidR="006F7099" w:rsidRPr="003C1AE9" w14:paraId="3CE7DBBC" w14:textId="77777777" w:rsidTr="005809F6">
        <w:trPr>
          <w:jc w:val="center"/>
        </w:trPr>
        <w:tc>
          <w:tcPr>
            <w:tcW w:w="4876" w:type="dxa"/>
          </w:tcPr>
          <w:p w14:paraId="5A63FB0F" w14:textId="77777777" w:rsidR="006F7099" w:rsidRPr="003C1AE9" w:rsidRDefault="006F7099" w:rsidP="005809F6">
            <w:pPr>
              <w:pStyle w:val="Normal6"/>
            </w:pPr>
            <w:r w:rsidRPr="003C1AE9">
              <w:t>(c)</w:t>
            </w:r>
            <w:r w:rsidRPr="003C1AE9">
              <w:tab/>
              <w:t>so vzpostavljene ureditve nadzora, ki zagotavljajo upoštevanje pogojev iz točke (b); in</w:t>
            </w:r>
          </w:p>
        </w:tc>
        <w:tc>
          <w:tcPr>
            <w:tcW w:w="4876" w:type="dxa"/>
          </w:tcPr>
          <w:p w14:paraId="48A3545A" w14:textId="77777777" w:rsidR="006F7099" w:rsidRPr="003C1AE9" w:rsidRDefault="006F7099" w:rsidP="005809F6">
            <w:pPr>
              <w:pStyle w:val="Normal6"/>
              <w:rPr>
                <w:szCs w:val="24"/>
              </w:rPr>
            </w:pPr>
            <w:r w:rsidRPr="003C1AE9">
              <w:t>(c)</w:t>
            </w:r>
            <w:r w:rsidRPr="003C1AE9">
              <w:tab/>
              <w:t>so vzpostavljene ureditve nadzora, ki zagotavljajo upoštevanje pogojev iz točke (b); in</w:t>
            </w:r>
          </w:p>
        </w:tc>
      </w:tr>
      <w:tr w:rsidR="006F7099" w:rsidRPr="003C1AE9" w14:paraId="691F8B85" w14:textId="77777777" w:rsidTr="005809F6">
        <w:trPr>
          <w:jc w:val="center"/>
        </w:trPr>
        <w:tc>
          <w:tcPr>
            <w:tcW w:w="4876" w:type="dxa"/>
          </w:tcPr>
          <w:p w14:paraId="25E58960" w14:textId="77777777" w:rsidR="006F7099" w:rsidRPr="003C1AE9" w:rsidRDefault="006F7099" w:rsidP="005809F6">
            <w:pPr>
              <w:pStyle w:val="Normal6"/>
            </w:pPr>
            <w:r w:rsidRPr="003C1AE9">
              <w:t>(d)</w:t>
            </w:r>
            <w:r w:rsidRPr="003C1AE9">
              <w:tab/>
              <w:t>so bile zadevne označbe porekla priznane kot označbe porekla v državi porekla pred 1. majem 2004.</w:t>
            </w:r>
          </w:p>
        </w:tc>
        <w:tc>
          <w:tcPr>
            <w:tcW w:w="4876" w:type="dxa"/>
          </w:tcPr>
          <w:p w14:paraId="71D3E5B0" w14:textId="77777777" w:rsidR="006F7099" w:rsidRPr="003C1AE9" w:rsidRDefault="006F7099" w:rsidP="005809F6">
            <w:pPr>
              <w:pStyle w:val="Normal6"/>
              <w:rPr>
                <w:szCs w:val="24"/>
              </w:rPr>
            </w:pPr>
            <w:r w:rsidRPr="003C1AE9">
              <w:t>(d)</w:t>
            </w:r>
            <w:r w:rsidRPr="003C1AE9">
              <w:tab/>
              <w:t>so bile zadevne označbe porekla priznane kot označbe porekla v državi porekla pred 1. majem 2004.</w:t>
            </w:r>
          </w:p>
        </w:tc>
      </w:tr>
      <w:tr w:rsidR="006F7099" w:rsidRPr="003C1AE9" w14:paraId="667FB23E" w14:textId="77777777" w:rsidTr="005809F6">
        <w:trPr>
          <w:jc w:val="center"/>
        </w:trPr>
        <w:tc>
          <w:tcPr>
            <w:tcW w:w="4876" w:type="dxa"/>
          </w:tcPr>
          <w:p w14:paraId="7A384D72" w14:textId="77777777" w:rsidR="006F7099" w:rsidRPr="003C1AE9" w:rsidRDefault="006F7099" w:rsidP="005809F6">
            <w:pPr>
              <w:pStyle w:val="Normal6"/>
            </w:pPr>
            <w:r w:rsidRPr="003C1AE9">
              <w:t>Za namen tega odstavka se kot surovine štejejo le žive živali, meso in mleko.</w:t>
            </w:r>
          </w:p>
        </w:tc>
        <w:tc>
          <w:tcPr>
            <w:tcW w:w="4876" w:type="dxa"/>
          </w:tcPr>
          <w:p w14:paraId="5D001057" w14:textId="77777777" w:rsidR="006F7099" w:rsidRPr="003C1AE9" w:rsidRDefault="006F7099" w:rsidP="005809F6">
            <w:pPr>
              <w:pStyle w:val="Normal6"/>
              <w:rPr>
                <w:szCs w:val="24"/>
              </w:rPr>
            </w:pPr>
            <w:r w:rsidRPr="003C1AE9">
              <w:t>Za namen tega odstavka se kot surovine štejejo le žive živali, meso in mleko.</w:t>
            </w:r>
          </w:p>
        </w:tc>
      </w:tr>
      <w:tr w:rsidR="006F7099" w:rsidRPr="003C1AE9" w14:paraId="250DC996" w14:textId="77777777" w:rsidTr="005809F6">
        <w:trPr>
          <w:jc w:val="center"/>
        </w:trPr>
        <w:tc>
          <w:tcPr>
            <w:tcW w:w="4876" w:type="dxa"/>
          </w:tcPr>
          <w:p w14:paraId="4BE5F028" w14:textId="77777777" w:rsidR="006F7099" w:rsidRPr="003C1AE9" w:rsidRDefault="006F7099" w:rsidP="005809F6">
            <w:pPr>
              <w:pStyle w:val="Normal6"/>
            </w:pPr>
            <w:r w:rsidRPr="003C1AE9">
              <w:t>4.</w:t>
            </w:r>
            <w:r w:rsidRPr="003C1AE9">
              <w:tab/>
              <w:t>Da bi upoštevali posebne lastnosti proizvodnje proizvodov živalskega izvora, se na Komisijo v skladu s členom 56 prenese pooblastilo za sprejemanje delegiranih aktov o omejitvah in odstopanjih glede izvora krme v primeru označbe porekla.</w:t>
            </w:r>
          </w:p>
        </w:tc>
        <w:tc>
          <w:tcPr>
            <w:tcW w:w="4876" w:type="dxa"/>
          </w:tcPr>
          <w:p w14:paraId="4F3AFD21" w14:textId="77777777" w:rsidR="006F7099" w:rsidRPr="003C1AE9" w:rsidRDefault="006F7099" w:rsidP="005809F6">
            <w:pPr>
              <w:pStyle w:val="Normal6"/>
              <w:rPr>
                <w:szCs w:val="24"/>
              </w:rPr>
            </w:pPr>
            <w:r w:rsidRPr="003C1AE9">
              <w:t>4.</w:t>
            </w:r>
            <w:r w:rsidRPr="003C1AE9">
              <w:tab/>
              <w:t>Da bi upoštevali posebne lastnosti proizvodnje proizvodov živalskega izvora, se na Komisijo v skladu s členom 56 prenese pooblastilo za sprejemanje delegiranih aktov o omejitvah in odstopanjih glede izvora krme v primeru označbe porekla.</w:t>
            </w:r>
          </w:p>
        </w:tc>
      </w:tr>
      <w:tr w:rsidR="006F7099" w:rsidRPr="003C1AE9" w14:paraId="51062BE8" w14:textId="77777777" w:rsidTr="005809F6">
        <w:trPr>
          <w:jc w:val="center"/>
        </w:trPr>
        <w:tc>
          <w:tcPr>
            <w:tcW w:w="4876" w:type="dxa"/>
          </w:tcPr>
          <w:p w14:paraId="1CFB36DE" w14:textId="77777777" w:rsidR="006F7099" w:rsidRPr="003C1AE9" w:rsidRDefault="006F7099" w:rsidP="005809F6">
            <w:pPr>
              <w:pStyle w:val="Normal6"/>
            </w:pPr>
            <w:r w:rsidRPr="003C1AE9">
              <w:t>Da bi poleg tega upoštevali tudi posebne lastnosti nekaterih proizvodov ali območij, se na Komisijo v skladu s členom 56 prenese pooblastilo za sprejemanje delegiranih aktov o omejitvah in odstopanjih glede zakola živih živali ali izvora surovin.</w:t>
            </w:r>
          </w:p>
        </w:tc>
        <w:tc>
          <w:tcPr>
            <w:tcW w:w="4876" w:type="dxa"/>
          </w:tcPr>
          <w:p w14:paraId="6C749F0A" w14:textId="77777777" w:rsidR="006F7099" w:rsidRPr="003C1AE9" w:rsidRDefault="006F7099" w:rsidP="005809F6">
            <w:pPr>
              <w:pStyle w:val="Normal6"/>
              <w:rPr>
                <w:szCs w:val="24"/>
              </w:rPr>
            </w:pPr>
            <w:r w:rsidRPr="003C1AE9">
              <w:t>Da bi poleg tega upoštevali tudi posebne lastnosti nekaterih proizvodov ali območij, se na Komisijo v skladu s členom 56 prenese pooblastilo za sprejemanje delegiranih aktov o omejitvah in odstopanjih glede zakola živih živali ali izvora surovin.</w:t>
            </w:r>
          </w:p>
        </w:tc>
      </w:tr>
      <w:tr w:rsidR="006F7099" w:rsidRPr="003C1AE9" w14:paraId="6AF4459F" w14:textId="77777777" w:rsidTr="005809F6">
        <w:trPr>
          <w:jc w:val="center"/>
        </w:trPr>
        <w:tc>
          <w:tcPr>
            <w:tcW w:w="4876" w:type="dxa"/>
          </w:tcPr>
          <w:p w14:paraId="74CF450F" w14:textId="77777777" w:rsidR="006F7099" w:rsidRPr="003C1AE9" w:rsidRDefault="006F7099" w:rsidP="005809F6">
            <w:pPr>
              <w:pStyle w:val="Normal6"/>
            </w:pPr>
            <w:r w:rsidRPr="003C1AE9">
              <w:t>Pri teh omejitvah in odstopanjih se na podlagi objektivnih meril upošteva kakovost ali uporaba ter priznano znanje in izkušnje ali naravni dejavniki.</w:t>
            </w:r>
          </w:p>
        </w:tc>
        <w:tc>
          <w:tcPr>
            <w:tcW w:w="4876" w:type="dxa"/>
          </w:tcPr>
          <w:p w14:paraId="4E995239" w14:textId="77777777" w:rsidR="006F7099" w:rsidRPr="003C1AE9" w:rsidRDefault="006F7099" w:rsidP="005809F6">
            <w:pPr>
              <w:pStyle w:val="Normal6"/>
              <w:rPr>
                <w:szCs w:val="24"/>
              </w:rPr>
            </w:pPr>
            <w:r w:rsidRPr="003C1AE9">
              <w:t>Pri teh omejitvah in odstopanjih se na podlagi objektivnih meril upošteva kakovost ali uporaba ter priznano znanje in izkušnje ali naravni dejavniki.</w:t>
            </w:r>
            <w:r w:rsidRPr="003C1AE9">
              <w:rPr>
                <w:b/>
                <w:i/>
              </w:rPr>
              <w:t>“</w:t>
            </w:r>
          </w:p>
        </w:tc>
      </w:tr>
    </w:tbl>
    <w:p w14:paraId="0F01DA12" w14:textId="1FB9E94C"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182</w:t>
      </w:r>
    </w:p>
    <w:p w14:paraId="55179A56" w14:textId="77777777" w:rsidR="006F5BFE" w:rsidRPr="003B2277" w:rsidRDefault="006F5BFE" w:rsidP="006F5BFE">
      <w:pPr>
        <w:spacing w:before="240"/>
        <w:rPr>
          <w:b/>
          <w:lang w:eastAsia="en-US"/>
        </w:rPr>
      </w:pPr>
      <w:r w:rsidRPr="003B2277">
        <w:rPr>
          <w:rFonts w:eastAsia="Calibri" w:cs="Mangal"/>
          <w:b/>
          <w:lang w:eastAsia="en-US"/>
        </w:rPr>
        <w:t>Predlog uredbe</w:t>
      </w:r>
    </w:p>
    <w:p w14:paraId="0588BF1F" w14:textId="2B3EC277" w:rsidR="006F5BFE" w:rsidRPr="003B2277" w:rsidRDefault="006F5BFE" w:rsidP="006F5BFE">
      <w:pPr>
        <w:rPr>
          <w:b/>
          <w:lang w:eastAsia="en-US"/>
        </w:rPr>
      </w:pPr>
      <w:r w:rsidRPr="003B2277">
        <w:rPr>
          <w:rFonts w:eastAsia="Calibri" w:cs="Mangal"/>
          <w:b/>
          <w:lang w:eastAsia="en-US"/>
        </w:rPr>
        <w:t xml:space="preserve">Člen 2 – odstavek 1 – točka 2 </w:t>
      </w:r>
      <w:r w:rsidR="00465DEA">
        <w:rPr>
          <w:rFonts w:eastAsia="Calibri" w:cs="Mangal"/>
          <w:b/>
          <w:lang w:eastAsia="en-US"/>
        </w:rPr>
        <w:t>a</w:t>
      </w:r>
      <w:r w:rsidRPr="003B2277">
        <w:rPr>
          <w:rFonts w:eastAsia="Calibri" w:cs="Mangal"/>
          <w:b/>
          <w:lang w:eastAsia="en-US"/>
        </w:rPr>
        <w:t xml:space="preserve"> (novo)</w:t>
      </w:r>
    </w:p>
    <w:p w14:paraId="6A18AE9F" w14:textId="77777777" w:rsidR="006F5BFE" w:rsidRPr="003B2277" w:rsidRDefault="006F5BFE" w:rsidP="006F5BFE">
      <w:pPr>
        <w:keepNext/>
        <w:rPr>
          <w:lang w:eastAsia="en-US"/>
        </w:rPr>
      </w:pPr>
      <w:r w:rsidRPr="003B2277">
        <w:rPr>
          <w:rFonts w:eastAsia="Calibri" w:cs="Mangal"/>
          <w:lang w:eastAsia="en-US"/>
        </w:rPr>
        <w:t>Uredba (EU) št. 1151/2012</w:t>
      </w:r>
    </w:p>
    <w:p w14:paraId="4FF009F7" w14:textId="77777777" w:rsidR="006F5BFE" w:rsidRPr="003B2277" w:rsidRDefault="006F5BFE" w:rsidP="006F5BFE">
      <w:pPr>
        <w:rPr>
          <w:lang w:eastAsia="en-US"/>
        </w:rPr>
      </w:pPr>
      <w:r w:rsidRPr="003B2277">
        <w:rPr>
          <w:rFonts w:eastAsia="Calibri" w:cs="Mangal"/>
          <w:lang w:eastAsia="en-US"/>
        </w:rPr>
        <w:t>Člen 6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2F0BACF" w14:textId="77777777" w:rsidTr="005B4D60">
        <w:trPr>
          <w:jc w:val="center"/>
        </w:trPr>
        <w:tc>
          <w:tcPr>
            <w:tcW w:w="9752" w:type="dxa"/>
            <w:gridSpan w:val="2"/>
          </w:tcPr>
          <w:p w14:paraId="46BB1A67" w14:textId="77777777" w:rsidR="006F5BFE" w:rsidRPr="003B2277" w:rsidRDefault="006F5BFE" w:rsidP="005B4D60">
            <w:pPr>
              <w:keepNext/>
            </w:pPr>
          </w:p>
        </w:tc>
      </w:tr>
      <w:tr w:rsidR="006F5BFE" w:rsidRPr="003B2277" w14:paraId="22C892AD" w14:textId="77777777" w:rsidTr="005B4D60">
        <w:trPr>
          <w:jc w:val="center"/>
        </w:trPr>
        <w:tc>
          <w:tcPr>
            <w:tcW w:w="4876" w:type="dxa"/>
            <w:hideMark/>
          </w:tcPr>
          <w:p w14:paraId="383B656D"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9AED259" w14:textId="09E38AE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C4870C4" w14:textId="77777777" w:rsidTr="005B4D60">
        <w:trPr>
          <w:jc w:val="center"/>
        </w:trPr>
        <w:tc>
          <w:tcPr>
            <w:tcW w:w="4876" w:type="dxa"/>
          </w:tcPr>
          <w:p w14:paraId="03AFB15F" w14:textId="77777777" w:rsidR="006F5BFE" w:rsidRPr="003B2277" w:rsidRDefault="006F5BFE" w:rsidP="005B4D60">
            <w:pPr>
              <w:spacing w:after="120"/>
            </w:pPr>
          </w:p>
        </w:tc>
        <w:tc>
          <w:tcPr>
            <w:tcW w:w="4876" w:type="dxa"/>
            <w:hideMark/>
          </w:tcPr>
          <w:p w14:paraId="063437AC" w14:textId="21B7149E" w:rsidR="006F5BFE" w:rsidRPr="003B2277" w:rsidRDefault="006F5BFE" w:rsidP="00465DEA">
            <w:pPr>
              <w:spacing w:after="120"/>
              <w:rPr>
                <w:szCs w:val="24"/>
                <w:lang w:eastAsia="en-US"/>
              </w:rPr>
            </w:pPr>
            <w:r w:rsidRPr="003B2277">
              <w:rPr>
                <w:rFonts w:eastAsia="Calibri" w:cs="Mangal"/>
                <w:b/>
                <w:i/>
                <w:lang w:eastAsia="en-US"/>
              </w:rPr>
              <w:t>(</w:t>
            </w:r>
            <w:r w:rsidR="00465DEA" w:rsidRPr="003B2277">
              <w:rPr>
                <w:rFonts w:eastAsia="Calibri" w:cs="Mangal"/>
                <w:b/>
                <w:i/>
                <w:lang w:eastAsia="en-US"/>
              </w:rPr>
              <w:t>2</w:t>
            </w:r>
            <w:r w:rsidR="00465DEA">
              <w:rPr>
                <w:rFonts w:eastAsia="Calibri" w:cs="Mangal"/>
                <w:b/>
                <w:i/>
                <w:lang w:eastAsia="en-US"/>
              </w:rPr>
              <w:t>a</w:t>
            </w:r>
            <w:r w:rsidRPr="003B2277">
              <w:rPr>
                <w:rFonts w:eastAsia="Calibri" w:cs="Mangal"/>
                <w:b/>
                <w:i/>
                <w:lang w:eastAsia="en-US"/>
              </w:rPr>
              <w:t>)</w:t>
            </w:r>
            <w:r w:rsidRPr="003B2277">
              <w:rPr>
                <w:rFonts w:eastAsia="Calibri" w:cs="Mangal"/>
                <w:b/>
                <w:i/>
                <w:lang w:eastAsia="en-US"/>
              </w:rPr>
              <w:tab/>
              <w:t>v členu 6 se odstavek 2 nadomesti z naslednjim:</w:t>
            </w:r>
          </w:p>
        </w:tc>
      </w:tr>
      <w:tr w:rsidR="006F5BFE" w:rsidRPr="003B2277" w14:paraId="3508290D" w14:textId="77777777" w:rsidTr="005B4D60">
        <w:trPr>
          <w:jc w:val="center"/>
        </w:trPr>
        <w:tc>
          <w:tcPr>
            <w:tcW w:w="4876" w:type="dxa"/>
            <w:hideMark/>
          </w:tcPr>
          <w:p w14:paraId="221ADA49"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Imena ni mogoče registrirati kot označbo porekla ali geografsko označbo, če je v nasprotju z imenom rastlinske sorte ali živalske pasme in bi lahko potrošnika zavajalo glede pravega porekla proizvoda.</w:t>
            </w:r>
          </w:p>
        </w:tc>
        <w:tc>
          <w:tcPr>
            <w:tcW w:w="4876" w:type="dxa"/>
            <w:hideMark/>
          </w:tcPr>
          <w:p w14:paraId="7B34D624"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2.</w:t>
            </w:r>
            <w:r w:rsidRPr="003B2277">
              <w:rPr>
                <w:rFonts w:eastAsia="Calibri" w:cs="Mangal"/>
                <w:lang w:eastAsia="en-US"/>
              </w:rPr>
              <w:tab/>
              <w:t>Imena ni mogoče registrirati kot označbo porekla ali geografsko označbo, če je v nasprotju z imenom rastlinske sorte ali živalske pasme in bi lahko potrošnika zavajalo glede pravega porekla proizvoda</w:t>
            </w:r>
            <w:r w:rsidRPr="003B2277">
              <w:rPr>
                <w:rFonts w:eastAsia="Calibri" w:cs="Mangal"/>
                <w:b/>
                <w:i/>
                <w:lang w:eastAsia="en-US"/>
              </w:rPr>
              <w:t xml:space="preserve"> ali povzročilo zamenjavo med proizvodi z registriranim imenom in to sorto ali pasmo</w:t>
            </w:r>
            <w:r w:rsidRPr="003B2277">
              <w:rPr>
                <w:rFonts w:eastAsia="Calibri" w:cs="Mangal"/>
                <w:lang w:eastAsia="en-US"/>
              </w:rPr>
              <w:t>.</w:t>
            </w:r>
          </w:p>
        </w:tc>
      </w:tr>
      <w:tr w:rsidR="006F5BFE" w:rsidRPr="003B2277" w14:paraId="2D324B9F" w14:textId="77777777" w:rsidTr="005B4D60">
        <w:trPr>
          <w:jc w:val="center"/>
        </w:trPr>
        <w:tc>
          <w:tcPr>
            <w:tcW w:w="4876" w:type="dxa"/>
          </w:tcPr>
          <w:p w14:paraId="151BA8DF" w14:textId="77777777" w:rsidR="006F5BFE" w:rsidRPr="003B2277" w:rsidRDefault="006F5BFE" w:rsidP="005B4D60">
            <w:pPr>
              <w:spacing w:after="120"/>
            </w:pPr>
          </w:p>
        </w:tc>
        <w:tc>
          <w:tcPr>
            <w:tcW w:w="4876" w:type="dxa"/>
            <w:hideMark/>
          </w:tcPr>
          <w:p w14:paraId="612A41FC" w14:textId="77777777" w:rsidR="006F5BFE" w:rsidRPr="003B2277" w:rsidRDefault="006F5BFE" w:rsidP="005B4D60">
            <w:pPr>
              <w:spacing w:after="120"/>
              <w:rPr>
                <w:szCs w:val="24"/>
                <w:lang w:eastAsia="en-US"/>
              </w:rPr>
            </w:pPr>
            <w:r w:rsidRPr="003B2277">
              <w:rPr>
                <w:rFonts w:eastAsia="Calibri" w:cs="Mangal"/>
                <w:b/>
                <w:i/>
                <w:lang w:eastAsia="en-US"/>
              </w:rPr>
              <w:t>Upoštevajo se zlasti naslednji elementi:</w:t>
            </w:r>
          </w:p>
        </w:tc>
      </w:tr>
      <w:tr w:rsidR="006F5BFE" w:rsidRPr="003B2277" w14:paraId="2FEEC63F" w14:textId="77777777" w:rsidTr="005B4D60">
        <w:trPr>
          <w:jc w:val="center"/>
        </w:trPr>
        <w:tc>
          <w:tcPr>
            <w:tcW w:w="4876" w:type="dxa"/>
          </w:tcPr>
          <w:p w14:paraId="7D8BDBE3" w14:textId="77777777" w:rsidR="006F5BFE" w:rsidRPr="003B2277" w:rsidRDefault="006F5BFE" w:rsidP="005B4D60">
            <w:pPr>
              <w:spacing w:after="120"/>
            </w:pPr>
          </w:p>
        </w:tc>
        <w:tc>
          <w:tcPr>
            <w:tcW w:w="4876" w:type="dxa"/>
            <w:hideMark/>
          </w:tcPr>
          <w:p w14:paraId="797F9E74" w14:textId="77777777" w:rsidR="006F5BFE" w:rsidRPr="003B2277" w:rsidRDefault="006F5BFE" w:rsidP="005B4D60">
            <w:pPr>
              <w:spacing w:after="120"/>
              <w:rPr>
                <w:szCs w:val="24"/>
                <w:lang w:eastAsia="en-US"/>
              </w:rPr>
            </w:pPr>
            <w:r w:rsidRPr="003B2277">
              <w:rPr>
                <w:rFonts w:eastAsia="Calibri" w:cs="Mangal"/>
                <w:b/>
                <w:i/>
                <w:lang w:eastAsia="en-US"/>
              </w:rPr>
              <w:t>(a) dejanska uporaba imena rastlinske sorte ali živalske pasme v prodajnem poimenovanju;</w:t>
            </w:r>
          </w:p>
        </w:tc>
      </w:tr>
      <w:tr w:rsidR="006F5BFE" w:rsidRPr="003B2277" w14:paraId="24D189AF" w14:textId="77777777" w:rsidTr="005B4D60">
        <w:trPr>
          <w:jc w:val="center"/>
        </w:trPr>
        <w:tc>
          <w:tcPr>
            <w:tcW w:w="4876" w:type="dxa"/>
          </w:tcPr>
          <w:p w14:paraId="76382D55" w14:textId="77777777" w:rsidR="006F5BFE" w:rsidRPr="003B2277" w:rsidRDefault="006F5BFE" w:rsidP="005B4D60">
            <w:pPr>
              <w:spacing w:after="120"/>
            </w:pPr>
          </w:p>
        </w:tc>
        <w:tc>
          <w:tcPr>
            <w:tcW w:w="4876" w:type="dxa"/>
            <w:hideMark/>
          </w:tcPr>
          <w:p w14:paraId="64301CE6" w14:textId="77777777" w:rsidR="006F5BFE" w:rsidRPr="003B2277" w:rsidRDefault="006F5BFE" w:rsidP="005B4D60">
            <w:pPr>
              <w:spacing w:after="120"/>
              <w:rPr>
                <w:szCs w:val="24"/>
                <w:lang w:eastAsia="en-US"/>
              </w:rPr>
            </w:pPr>
            <w:r w:rsidRPr="003B2277">
              <w:rPr>
                <w:rFonts w:eastAsia="Calibri" w:cs="Mangal"/>
                <w:b/>
                <w:i/>
                <w:lang w:eastAsia="en-US"/>
              </w:rPr>
              <w:t>(b) homonim, ki bi nastal z registracijo;</w:t>
            </w:r>
          </w:p>
        </w:tc>
      </w:tr>
      <w:tr w:rsidR="006F5BFE" w:rsidRPr="003B2277" w14:paraId="6B5DF7D3" w14:textId="77777777" w:rsidTr="005B4D60">
        <w:trPr>
          <w:jc w:val="center"/>
        </w:trPr>
        <w:tc>
          <w:tcPr>
            <w:tcW w:w="4876" w:type="dxa"/>
          </w:tcPr>
          <w:p w14:paraId="159BC828" w14:textId="77777777" w:rsidR="006F5BFE" w:rsidRPr="003B2277" w:rsidRDefault="006F5BFE" w:rsidP="005B4D60">
            <w:pPr>
              <w:spacing w:after="120"/>
            </w:pPr>
          </w:p>
        </w:tc>
        <w:tc>
          <w:tcPr>
            <w:tcW w:w="4876" w:type="dxa"/>
            <w:hideMark/>
          </w:tcPr>
          <w:p w14:paraId="145A683F" w14:textId="77777777" w:rsidR="006F5BFE" w:rsidRPr="003B2277" w:rsidRDefault="006F5BFE" w:rsidP="005B4D60">
            <w:pPr>
              <w:spacing w:after="120"/>
              <w:rPr>
                <w:szCs w:val="24"/>
                <w:lang w:eastAsia="en-US"/>
              </w:rPr>
            </w:pPr>
            <w:r w:rsidRPr="003B2277">
              <w:rPr>
                <w:rFonts w:eastAsia="Calibri" w:cs="Mangal"/>
                <w:b/>
                <w:i/>
                <w:lang w:eastAsia="en-US"/>
              </w:rPr>
              <w:t>(c) razširitev uporabe rastlinske sorte ali živalske pasme zunaj njenega območja izvora.“</w:t>
            </w:r>
          </w:p>
        </w:tc>
      </w:tr>
    </w:tbl>
    <w:p w14:paraId="7F7E0D68" w14:textId="77777777" w:rsidR="006F7099" w:rsidRDefault="006F7099"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21D54CF6" w14:textId="05407E99" w:rsidR="006F7099" w:rsidRPr="003F0980" w:rsidRDefault="008C7773" w:rsidP="006F7099">
      <w:pPr>
        <w:pStyle w:val="AmNumberTabs0"/>
      </w:pPr>
      <w:r>
        <w:t>Sprememba</w:t>
      </w:r>
      <w:r w:rsidR="006F7099" w:rsidRPr="003F0980">
        <w:tab/>
      </w:r>
      <w:r w:rsidR="006F7099" w:rsidRPr="003F0980">
        <w:tab/>
        <w:t>252</w:t>
      </w:r>
    </w:p>
    <w:p w14:paraId="0EF64EB7" w14:textId="77777777" w:rsidR="006F7099" w:rsidRPr="003F0980" w:rsidRDefault="006F7099" w:rsidP="006F7099">
      <w:pPr>
        <w:pStyle w:val="NormalBold12b"/>
      </w:pPr>
      <w:r w:rsidRPr="003F0980">
        <w:t>Predlog uredbe</w:t>
      </w:r>
    </w:p>
    <w:p w14:paraId="1A3671B0" w14:textId="77777777" w:rsidR="006F7099" w:rsidRPr="003F0980" w:rsidRDefault="006F7099" w:rsidP="006F7099">
      <w:pPr>
        <w:pStyle w:val="NormalBold"/>
      </w:pPr>
      <w:r w:rsidRPr="003F0980">
        <w:t>Člen 2 – odstavek 1 – točka 3</w:t>
      </w:r>
    </w:p>
    <w:p w14:paraId="35B4310C" w14:textId="77777777" w:rsidR="006F7099" w:rsidRPr="003F0980" w:rsidRDefault="006F7099" w:rsidP="006F7099">
      <w:r w:rsidRPr="003F0980">
        <w:t>Uredba (EU) št. 1151/2012</w:t>
      </w:r>
    </w:p>
    <w:p w14:paraId="5CCA7778" w14:textId="77777777" w:rsidR="006F7099" w:rsidRPr="003F0980" w:rsidRDefault="006F7099" w:rsidP="006F7099">
      <w:r w:rsidRPr="003F0980">
        <w:t>Člen 7</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F7099" w:rsidRPr="003F0980" w14:paraId="27903AB0" w14:textId="77777777" w:rsidTr="005809F6">
        <w:trPr>
          <w:jc w:val="center"/>
        </w:trPr>
        <w:tc>
          <w:tcPr>
            <w:tcW w:w="9752" w:type="dxa"/>
            <w:gridSpan w:val="2"/>
          </w:tcPr>
          <w:p w14:paraId="5E5615D3" w14:textId="77777777" w:rsidR="006F7099" w:rsidRPr="003F0980" w:rsidRDefault="006F7099" w:rsidP="005809F6">
            <w:pPr>
              <w:keepNext/>
            </w:pPr>
          </w:p>
        </w:tc>
      </w:tr>
      <w:tr w:rsidR="006F7099" w:rsidRPr="003F0980" w14:paraId="4FD0F4E3" w14:textId="77777777" w:rsidTr="005809F6">
        <w:trPr>
          <w:jc w:val="center"/>
        </w:trPr>
        <w:tc>
          <w:tcPr>
            <w:tcW w:w="4876" w:type="dxa"/>
          </w:tcPr>
          <w:p w14:paraId="63282F27" w14:textId="72A2F46C" w:rsidR="006F7099" w:rsidRPr="003F0980" w:rsidRDefault="00465DEA" w:rsidP="005809F6">
            <w:pPr>
              <w:pStyle w:val="AmColumnHeading"/>
              <w:keepNext/>
            </w:pPr>
            <w:r>
              <w:t>Veljavno besedilo</w:t>
            </w:r>
          </w:p>
        </w:tc>
        <w:tc>
          <w:tcPr>
            <w:tcW w:w="4876" w:type="dxa"/>
          </w:tcPr>
          <w:p w14:paraId="17A5D45F" w14:textId="020D9F6A" w:rsidR="006F7099" w:rsidRPr="003F0980" w:rsidRDefault="008C7773" w:rsidP="005809F6">
            <w:pPr>
              <w:pStyle w:val="AmColumnHeading"/>
              <w:keepNext/>
            </w:pPr>
            <w:r>
              <w:t>Sprememba</w:t>
            </w:r>
          </w:p>
        </w:tc>
      </w:tr>
      <w:tr w:rsidR="006F7099" w:rsidRPr="003F0980" w14:paraId="40FA69FA" w14:textId="77777777" w:rsidTr="005809F6">
        <w:trPr>
          <w:jc w:val="center"/>
        </w:trPr>
        <w:tc>
          <w:tcPr>
            <w:tcW w:w="4876" w:type="dxa"/>
          </w:tcPr>
          <w:p w14:paraId="1E4F8108" w14:textId="77777777" w:rsidR="006F7099" w:rsidRPr="003F0980" w:rsidRDefault="006F7099" w:rsidP="005809F6">
            <w:pPr>
              <w:pStyle w:val="Normal6"/>
            </w:pPr>
          </w:p>
        </w:tc>
        <w:tc>
          <w:tcPr>
            <w:tcW w:w="4876" w:type="dxa"/>
          </w:tcPr>
          <w:p w14:paraId="6B15DE34" w14:textId="77777777" w:rsidR="006F7099" w:rsidRPr="003F0980" w:rsidRDefault="006F7099" w:rsidP="005809F6">
            <w:pPr>
              <w:pStyle w:val="Normal6"/>
              <w:rPr>
                <w:szCs w:val="24"/>
              </w:rPr>
            </w:pPr>
            <w:r w:rsidRPr="003F0980">
              <w:rPr>
                <w:b/>
                <w:i/>
              </w:rPr>
              <w:t>(3)</w:t>
            </w:r>
            <w:r w:rsidRPr="003F0980">
              <w:rPr>
                <w:b/>
                <w:i/>
              </w:rPr>
              <w:tab/>
              <w:t>člen 7 se nadomesti z naslednjim:</w:t>
            </w:r>
          </w:p>
        </w:tc>
      </w:tr>
      <w:tr w:rsidR="006F7099" w:rsidRPr="003F0980" w14:paraId="60E26DCE" w14:textId="77777777" w:rsidTr="005809F6">
        <w:trPr>
          <w:jc w:val="center"/>
        </w:trPr>
        <w:tc>
          <w:tcPr>
            <w:tcW w:w="4876" w:type="dxa"/>
          </w:tcPr>
          <w:p w14:paraId="61C063AD" w14:textId="77777777" w:rsidR="006F7099" w:rsidRPr="003F0980" w:rsidRDefault="006F7099" w:rsidP="005809F6">
            <w:pPr>
              <w:pStyle w:val="Normal6"/>
              <w:jc w:val="center"/>
            </w:pPr>
            <w:r w:rsidRPr="00FD1F1B">
              <w:t>Člen</w:t>
            </w:r>
            <w:r w:rsidRPr="003F0980">
              <w:t xml:space="preserve"> 7</w:t>
            </w:r>
          </w:p>
        </w:tc>
        <w:tc>
          <w:tcPr>
            <w:tcW w:w="4876" w:type="dxa"/>
          </w:tcPr>
          <w:p w14:paraId="2CBCC51B" w14:textId="77777777" w:rsidR="006F7099" w:rsidRPr="003F0980" w:rsidRDefault="006F7099" w:rsidP="005809F6">
            <w:pPr>
              <w:pStyle w:val="Normal6"/>
              <w:rPr>
                <w:szCs w:val="24"/>
              </w:rPr>
            </w:pPr>
            <w:r w:rsidRPr="003F0980">
              <w:rPr>
                <w:b/>
                <w:i/>
              </w:rPr>
              <w:t>„</w:t>
            </w:r>
            <w:r w:rsidRPr="00FD1F1B">
              <w:t>Člen</w:t>
            </w:r>
            <w:r w:rsidRPr="003F0980">
              <w:t xml:space="preserve"> 7</w:t>
            </w:r>
          </w:p>
        </w:tc>
      </w:tr>
      <w:tr w:rsidR="006F7099" w:rsidRPr="003F0980" w14:paraId="34F044EB" w14:textId="77777777" w:rsidTr="005809F6">
        <w:trPr>
          <w:jc w:val="center"/>
        </w:trPr>
        <w:tc>
          <w:tcPr>
            <w:tcW w:w="4876" w:type="dxa"/>
          </w:tcPr>
          <w:p w14:paraId="699B5F3C" w14:textId="77777777" w:rsidR="006F7099" w:rsidRPr="003F0980" w:rsidRDefault="006F7099" w:rsidP="005809F6">
            <w:pPr>
              <w:pStyle w:val="Normal6"/>
            </w:pPr>
            <w:r w:rsidRPr="003F0980">
              <w:t>Specifikacija proizvoda</w:t>
            </w:r>
          </w:p>
        </w:tc>
        <w:tc>
          <w:tcPr>
            <w:tcW w:w="4876" w:type="dxa"/>
          </w:tcPr>
          <w:p w14:paraId="08A1741D" w14:textId="77777777" w:rsidR="006F7099" w:rsidRPr="003F0980" w:rsidRDefault="006F7099" w:rsidP="005809F6">
            <w:pPr>
              <w:pStyle w:val="Normal6"/>
              <w:rPr>
                <w:szCs w:val="24"/>
              </w:rPr>
            </w:pPr>
            <w:r w:rsidRPr="003F0980">
              <w:t>Specifikacija proizvoda</w:t>
            </w:r>
          </w:p>
        </w:tc>
      </w:tr>
      <w:tr w:rsidR="006F7099" w:rsidRPr="003F0980" w14:paraId="5304EC3B" w14:textId="77777777" w:rsidTr="005809F6">
        <w:trPr>
          <w:jc w:val="center"/>
        </w:trPr>
        <w:tc>
          <w:tcPr>
            <w:tcW w:w="4876" w:type="dxa"/>
          </w:tcPr>
          <w:p w14:paraId="0090B0AF" w14:textId="77777777" w:rsidR="006F7099" w:rsidRPr="003F0980" w:rsidRDefault="006F7099" w:rsidP="005809F6">
            <w:pPr>
              <w:pStyle w:val="Normal6"/>
            </w:pPr>
            <w:r w:rsidRPr="003F0980">
              <w:t>1.</w:t>
            </w:r>
            <w:r w:rsidRPr="003F0980">
              <w:tab/>
              <w:t>Zaščitena označba porekla ali zaščitena geografska označba je v skladu s specifikacijo, ki vključuje vsaj:</w:t>
            </w:r>
          </w:p>
        </w:tc>
        <w:tc>
          <w:tcPr>
            <w:tcW w:w="4876" w:type="dxa"/>
          </w:tcPr>
          <w:p w14:paraId="49D6DDB9" w14:textId="77777777" w:rsidR="006F7099" w:rsidRPr="003F0980" w:rsidRDefault="006F7099" w:rsidP="005809F6">
            <w:pPr>
              <w:pStyle w:val="Normal6"/>
              <w:rPr>
                <w:szCs w:val="24"/>
              </w:rPr>
            </w:pPr>
            <w:r w:rsidRPr="003F0980">
              <w:t>1.</w:t>
            </w:r>
            <w:r w:rsidRPr="003F0980">
              <w:tab/>
              <w:t>Zaščitena označba porekla ali zaščitena geografska označba je v skladu s specifikacijo, ki vključuje vsaj:</w:t>
            </w:r>
          </w:p>
        </w:tc>
      </w:tr>
      <w:tr w:rsidR="006F7099" w:rsidRPr="003F0980" w14:paraId="5F8BDD0D" w14:textId="77777777" w:rsidTr="005809F6">
        <w:trPr>
          <w:jc w:val="center"/>
        </w:trPr>
        <w:tc>
          <w:tcPr>
            <w:tcW w:w="4876" w:type="dxa"/>
          </w:tcPr>
          <w:p w14:paraId="7EE7798F" w14:textId="77777777" w:rsidR="006F7099" w:rsidRPr="003F0980" w:rsidRDefault="006F7099" w:rsidP="005809F6">
            <w:pPr>
              <w:pStyle w:val="Normal6"/>
            </w:pPr>
            <w:r w:rsidRPr="003F0980">
              <w:t>(a)</w:t>
            </w:r>
            <w:r w:rsidRPr="003F0980">
              <w:tab/>
              <w:t>ime, ki se zaščiti kot označba porekla ali geografska označba, kot se uporablja pri trgovanju ali v skupnem jeziku, in le v jezikih, ki se uporabljajo ali so se v preteklosti uporabljali za opis specifičnega proizvoda na opredeljenem geografskem območju;</w:t>
            </w:r>
          </w:p>
        </w:tc>
        <w:tc>
          <w:tcPr>
            <w:tcW w:w="4876" w:type="dxa"/>
          </w:tcPr>
          <w:p w14:paraId="112F52E5" w14:textId="77777777" w:rsidR="006F7099" w:rsidRPr="003F0980" w:rsidRDefault="006F7099" w:rsidP="005809F6">
            <w:pPr>
              <w:pStyle w:val="Normal6"/>
              <w:rPr>
                <w:szCs w:val="24"/>
              </w:rPr>
            </w:pPr>
            <w:r w:rsidRPr="003F0980">
              <w:t>(a)</w:t>
            </w:r>
            <w:r w:rsidRPr="003F0980">
              <w:tab/>
              <w:t>ime, ki se zaščiti kot označba porekla ali geografska označba, kot se uporablja pri trgovanju ali v skupnem jeziku, in le v jezikih, ki se uporabljajo ali so se v preteklosti uporabljali za opis specifičnega proizvoda na opredeljenem geografskem območju;</w:t>
            </w:r>
          </w:p>
        </w:tc>
      </w:tr>
      <w:tr w:rsidR="006F7099" w:rsidRPr="003F0980" w14:paraId="418B03DF" w14:textId="77777777" w:rsidTr="005809F6">
        <w:trPr>
          <w:jc w:val="center"/>
        </w:trPr>
        <w:tc>
          <w:tcPr>
            <w:tcW w:w="4876" w:type="dxa"/>
          </w:tcPr>
          <w:p w14:paraId="13AC2EF7" w14:textId="77777777" w:rsidR="006F7099" w:rsidRPr="003F0980" w:rsidRDefault="006F7099" w:rsidP="005809F6">
            <w:pPr>
              <w:pStyle w:val="Normal6"/>
            </w:pPr>
            <w:r w:rsidRPr="003F0980">
              <w:t>(b)</w:t>
            </w:r>
            <w:r w:rsidRPr="003F0980">
              <w:tab/>
              <w:t>opis proizvoda, vključno s surovinami, če je potrebno, ter glavnimi fizikalnimi, kemijskimi, mikrobiološkimi ali organoleptičnimi značilnostmi proizvoda;</w:t>
            </w:r>
          </w:p>
        </w:tc>
        <w:tc>
          <w:tcPr>
            <w:tcW w:w="4876" w:type="dxa"/>
          </w:tcPr>
          <w:p w14:paraId="4F927B24" w14:textId="77777777" w:rsidR="006F7099" w:rsidRPr="003F0980" w:rsidRDefault="006F7099" w:rsidP="005809F6">
            <w:pPr>
              <w:pStyle w:val="Normal6"/>
              <w:rPr>
                <w:szCs w:val="24"/>
              </w:rPr>
            </w:pPr>
            <w:r w:rsidRPr="003F0980">
              <w:t>(b)</w:t>
            </w:r>
            <w:r w:rsidRPr="003F0980">
              <w:tab/>
              <w:t>opis proizvoda, vključno s surovinami, če je potrebno, ter glavnimi fizikalnimi, kemijskimi, mikrobiološkimi ali organoleptičnimi značilnostmi proizvoda;</w:t>
            </w:r>
          </w:p>
        </w:tc>
      </w:tr>
      <w:tr w:rsidR="006F7099" w:rsidRPr="003F0980" w14:paraId="0ACC449B" w14:textId="77777777" w:rsidTr="005809F6">
        <w:trPr>
          <w:jc w:val="center"/>
        </w:trPr>
        <w:tc>
          <w:tcPr>
            <w:tcW w:w="4876" w:type="dxa"/>
          </w:tcPr>
          <w:p w14:paraId="0D205C27" w14:textId="77777777" w:rsidR="006F7099" w:rsidRPr="003F0980" w:rsidRDefault="006F7099" w:rsidP="005809F6">
            <w:pPr>
              <w:pStyle w:val="Normal6"/>
            </w:pPr>
            <w:r w:rsidRPr="003F0980">
              <w:t>(c)</w:t>
            </w:r>
            <w:r w:rsidRPr="003F0980">
              <w:tab/>
              <w:t>opredelitev geografskega območja, omejenega glede na povezavo iz točke (f)(i) ali (ii) tega odstavka, in po potrebi podatke, ki dokazujejo izpolnjevanje zahtev iz člena 5(3);</w:t>
            </w:r>
          </w:p>
        </w:tc>
        <w:tc>
          <w:tcPr>
            <w:tcW w:w="4876" w:type="dxa"/>
          </w:tcPr>
          <w:p w14:paraId="2D7C0B5A" w14:textId="77777777" w:rsidR="006F7099" w:rsidRPr="003F0980" w:rsidRDefault="006F7099" w:rsidP="005809F6">
            <w:pPr>
              <w:pStyle w:val="Normal6"/>
              <w:rPr>
                <w:szCs w:val="24"/>
              </w:rPr>
            </w:pPr>
            <w:r w:rsidRPr="003F0980">
              <w:t>(c)</w:t>
            </w:r>
            <w:r w:rsidRPr="003F0980">
              <w:tab/>
              <w:t>opredelitev geografskega območja, omejenega glede na povezavo iz točke (f)(i) ali (ii) tega odstavka, in po potrebi podatke, ki dokazujejo izpolnjevanje zahtev iz člena 5(3);</w:t>
            </w:r>
          </w:p>
        </w:tc>
      </w:tr>
      <w:tr w:rsidR="006F7099" w:rsidRPr="003F0980" w14:paraId="318A2174" w14:textId="77777777" w:rsidTr="005809F6">
        <w:trPr>
          <w:jc w:val="center"/>
        </w:trPr>
        <w:tc>
          <w:tcPr>
            <w:tcW w:w="4876" w:type="dxa"/>
          </w:tcPr>
          <w:p w14:paraId="597097AB" w14:textId="77777777" w:rsidR="006F7099" w:rsidRPr="003F0980" w:rsidRDefault="006F7099" w:rsidP="005809F6">
            <w:pPr>
              <w:pStyle w:val="Normal6"/>
            </w:pPr>
            <w:r w:rsidRPr="003F0980">
              <w:t>(d)</w:t>
            </w:r>
            <w:r w:rsidRPr="003F0980">
              <w:tab/>
            </w:r>
            <w:r w:rsidRPr="003F0980">
              <w:rPr>
                <w:b/>
                <w:i/>
              </w:rPr>
              <w:t>dokazila o tem</w:t>
            </w:r>
            <w:r w:rsidRPr="003F0980">
              <w:t xml:space="preserve">, da proizvod izvira iz opredeljenega geografskega območja iz člena 5(1) </w:t>
            </w:r>
            <w:r w:rsidRPr="003F0980">
              <w:rPr>
                <w:b/>
                <w:i/>
              </w:rPr>
              <w:t>ali</w:t>
            </w:r>
            <w:r w:rsidRPr="003F0980">
              <w:t xml:space="preserve"> (2);</w:t>
            </w:r>
          </w:p>
        </w:tc>
        <w:tc>
          <w:tcPr>
            <w:tcW w:w="4876" w:type="dxa"/>
          </w:tcPr>
          <w:p w14:paraId="4F775F26" w14:textId="77777777" w:rsidR="006F7099" w:rsidRPr="003F0980" w:rsidRDefault="006F7099" w:rsidP="005809F6">
            <w:pPr>
              <w:pStyle w:val="Normal6"/>
              <w:rPr>
                <w:szCs w:val="24"/>
              </w:rPr>
            </w:pPr>
            <w:r w:rsidRPr="003F0980">
              <w:t>(d)</w:t>
            </w:r>
            <w:r w:rsidRPr="003F0980">
              <w:tab/>
            </w:r>
            <w:r w:rsidRPr="003F0980">
              <w:rPr>
                <w:b/>
                <w:i/>
              </w:rPr>
              <w:t>elemente sledljivosti, ki dokazujejo</w:t>
            </w:r>
            <w:r w:rsidRPr="003F0980">
              <w:t xml:space="preserve">, da proizvod izvira iz opredeljenega geografskega območja iz člena 5(1) </w:t>
            </w:r>
            <w:r w:rsidRPr="003F0980">
              <w:rPr>
                <w:b/>
                <w:i/>
              </w:rPr>
              <w:t>in</w:t>
            </w:r>
            <w:r w:rsidRPr="003F0980">
              <w:t xml:space="preserve"> (2);</w:t>
            </w:r>
          </w:p>
        </w:tc>
      </w:tr>
      <w:tr w:rsidR="006F7099" w:rsidRPr="003F0980" w14:paraId="33220FB8" w14:textId="77777777" w:rsidTr="005809F6">
        <w:trPr>
          <w:jc w:val="center"/>
        </w:trPr>
        <w:tc>
          <w:tcPr>
            <w:tcW w:w="4876" w:type="dxa"/>
          </w:tcPr>
          <w:p w14:paraId="1B322128" w14:textId="77777777" w:rsidR="006F7099" w:rsidRPr="003F0980" w:rsidRDefault="006F7099" w:rsidP="005809F6">
            <w:pPr>
              <w:pStyle w:val="Normal6"/>
            </w:pPr>
            <w:r w:rsidRPr="003F0980">
              <w:t>(e)</w:t>
            </w:r>
            <w:r w:rsidRPr="003F0980">
              <w:tab/>
              <w:t xml:space="preserve">opis metode pridobivanja proizvoda </w:t>
            </w:r>
            <w:r w:rsidRPr="003F0980">
              <w:rPr>
                <w:b/>
                <w:i/>
              </w:rPr>
              <w:t>ter</w:t>
            </w:r>
            <w:r w:rsidRPr="003F0980">
              <w:t>, kjer je to primerno, pristnih in nespremenljivih lokalnih metod kakor tudi informacije o pakiranju, če tako določi skupina vložnikov in zadostno utemelji za posamezni proizvod, da je treba pakiranje opraviti na opredeljenem geografskem območju zaradi zaščite kakovosti ali zagotavljanja porekla ali nadzora, ob upoštevanju prava Unije zlasti s področja prostega pretoka blaga in prostega opravljanja storitev;</w:t>
            </w:r>
          </w:p>
        </w:tc>
        <w:tc>
          <w:tcPr>
            <w:tcW w:w="4876" w:type="dxa"/>
          </w:tcPr>
          <w:p w14:paraId="6D2EAFFB" w14:textId="77777777" w:rsidR="006F7099" w:rsidRPr="003F0980" w:rsidRDefault="006F7099" w:rsidP="005809F6">
            <w:pPr>
              <w:pStyle w:val="Normal6"/>
              <w:rPr>
                <w:szCs w:val="24"/>
              </w:rPr>
            </w:pPr>
            <w:r w:rsidRPr="003F0980">
              <w:t>(e)</w:t>
            </w:r>
            <w:r w:rsidRPr="003F0980">
              <w:tab/>
              <w:t xml:space="preserve">opis metode pridobivanja proizvoda </w:t>
            </w:r>
            <w:r w:rsidRPr="003F0980">
              <w:rPr>
                <w:b/>
                <w:i/>
              </w:rPr>
              <w:t>in</w:t>
            </w:r>
            <w:r w:rsidRPr="003F0980">
              <w:t>, kjer je to primerno,</w:t>
            </w:r>
            <w:r w:rsidRPr="003F0980">
              <w:rPr>
                <w:b/>
                <w:i/>
              </w:rPr>
              <w:t xml:space="preserve"> njegovega prispevka k trajnostnemu razvoju ter</w:t>
            </w:r>
            <w:r w:rsidRPr="003F0980">
              <w:t xml:space="preserve"> pristnih in nespremenljivih lokalnih metod kakor tudi informacije o pakiranju, če tako določi skupina vložnikov in zadostno utemelji za posamezni proizvod, da je treba pakiranje opraviti na opredeljenem geografskem območju zaradi zaščite kakovosti ali zagotavljanja porekla ali nadzora, ob upoštevanju prava Unije zlasti s področja prostega pretoka blaga in prostega opravljanja storitev;</w:t>
            </w:r>
          </w:p>
        </w:tc>
      </w:tr>
      <w:tr w:rsidR="006F7099" w:rsidRPr="003F0980" w14:paraId="618C5704" w14:textId="77777777" w:rsidTr="005809F6">
        <w:trPr>
          <w:jc w:val="center"/>
        </w:trPr>
        <w:tc>
          <w:tcPr>
            <w:tcW w:w="4876" w:type="dxa"/>
          </w:tcPr>
          <w:p w14:paraId="3CC1D019" w14:textId="77777777" w:rsidR="006F7099" w:rsidRPr="003F0980" w:rsidRDefault="006F7099" w:rsidP="005809F6">
            <w:pPr>
              <w:pStyle w:val="Normal6"/>
            </w:pPr>
            <w:r w:rsidRPr="003F0980">
              <w:t>(f)</w:t>
            </w:r>
            <w:r w:rsidRPr="003F0980">
              <w:tab/>
              <w:t>podatke, ki dokazujejo:</w:t>
            </w:r>
          </w:p>
        </w:tc>
        <w:tc>
          <w:tcPr>
            <w:tcW w:w="4876" w:type="dxa"/>
          </w:tcPr>
          <w:p w14:paraId="72592925" w14:textId="77777777" w:rsidR="006F7099" w:rsidRPr="003F0980" w:rsidRDefault="006F7099" w:rsidP="005809F6">
            <w:pPr>
              <w:pStyle w:val="Normal6"/>
              <w:rPr>
                <w:szCs w:val="24"/>
              </w:rPr>
            </w:pPr>
            <w:r w:rsidRPr="003F0980">
              <w:t>(f)</w:t>
            </w:r>
            <w:r w:rsidRPr="003F0980">
              <w:tab/>
              <w:t>podatke, ki dokazujejo:</w:t>
            </w:r>
          </w:p>
        </w:tc>
      </w:tr>
      <w:tr w:rsidR="006F7099" w:rsidRPr="003F0980" w14:paraId="103E9B5F" w14:textId="77777777" w:rsidTr="005809F6">
        <w:trPr>
          <w:jc w:val="center"/>
        </w:trPr>
        <w:tc>
          <w:tcPr>
            <w:tcW w:w="4876" w:type="dxa"/>
          </w:tcPr>
          <w:p w14:paraId="5FF327EA" w14:textId="77777777" w:rsidR="006F7099" w:rsidRPr="003F0980" w:rsidRDefault="006F7099" w:rsidP="005809F6">
            <w:pPr>
              <w:pStyle w:val="Normal6"/>
            </w:pPr>
            <w:r w:rsidRPr="003F0980">
              <w:t>(i)</w:t>
            </w:r>
            <w:r w:rsidRPr="003F0980">
              <w:tab/>
            </w:r>
            <w:r w:rsidRPr="003F0980">
              <w:rPr>
                <w:b/>
                <w:i/>
              </w:rPr>
              <w:t>povezavo</w:t>
            </w:r>
            <w:r w:rsidRPr="003F0980">
              <w:t xml:space="preserve"> med kakovostjo ali značilnostmi proizvoda in geografskim okoljem iz člena 5(1) ali</w:t>
            </w:r>
            <w:r w:rsidRPr="003F0980">
              <w:rPr>
                <w:b/>
                <w:i/>
              </w:rPr>
              <w:t>,</w:t>
            </w:r>
          </w:p>
        </w:tc>
        <w:tc>
          <w:tcPr>
            <w:tcW w:w="4876" w:type="dxa"/>
          </w:tcPr>
          <w:p w14:paraId="0E4F38B1" w14:textId="77777777" w:rsidR="006F7099" w:rsidRPr="003F0980" w:rsidRDefault="006F7099" w:rsidP="005809F6">
            <w:pPr>
              <w:pStyle w:val="Normal6"/>
              <w:rPr>
                <w:szCs w:val="24"/>
              </w:rPr>
            </w:pPr>
            <w:r w:rsidRPr="003F0980">
              <w:t>(i)</w:t>
            </w:r>
            <w:r w:rsidRPr="003F0980">
              <w:tab/>
            </w:r>
            <w:r w:rsidRPr="003F0980">
              <w:rPr>
                <w:b/>
                <w:i/>
              </w:rPr>
              <w:t>kar zadeva zaščiteno označbo porekla povezavo</w:t>
            </w:r>
            <w:r w:rsidRPr="003F0980">
              <w:t xml:space="preserve"> med kakovostjo ali značilnostmi proizvoda in geografskim okoljem iz člena 5(1) ali</w:t>
            </w:r>
          </w:p>
        </w:tc>
      </w:tr>
      <w:tr w:rsidR="006F7099" w:rsidRPr="003F0980" w14:paraId="2A76A671" w14:textId="77777777" w:rsidTr="005809F6">
        <w:trPr>
          <w:jc w:val="center"/>
        </w:trPr>
        <w:tc>
          <w:tcPr>
            <w:tcW w:w="4876" w:type="dxa"/>
          </w:tcPr>
          <w:p w14:paraId="4CDB4069" w14:textId="77777777" w:rsidR="006F7099" w:rsidRPr="003F0980" w:rsidRDefault="006F7099" w:rsidP="005809F6">
            <w:pPr>
              <w:pStyle w:val="Normal6"/>
            </w:pPr>
            <w:r w:rsidRPr="003F0980">
              <w:t>(ii)</w:t>
            </w:r>
            <w:r w:rsidRPr="003F0980">
              <w:tab/>
            </w:r>
            <w:r w:rsidRPr="003F0980">
              <w:rPr>
                <w:b/>
                <w:i/>
              </w:rPr>
              <w:t>kjer je to ustrezno</w:t>
            </w:r>
            <w:r w:rsidRPr="003F0980">
              <w:t xml:space="preserve">, povezavo med </w:t>
            </w:r>
            <w:r w:rsidRPr="003F0980">
              <w:rPr>
                <w:b/>
                <w:i/>
              </w:rPr>
              <w:t>določeno</w:t>
            </w:r>
            <w:r w:rsidRPr="003F0980">
              <w:t xml:space="preserve"> kakovostjo, slovesom ali drugo značilnostjo proizvoda in geografskim poreklom iz člena 5(2);</w:t>
            </w:r>
          </w:p>
        </w:tc>
        <w:tc>
          <w:tcPr>
            <w:tcW w:w="4876" w:type="dxa"/>
          </w:tcPr>
          <w:p w14:paraId="1242DF21" w14:textId="77777777" w:rsidR="006F7099" w:rsidRPr="003F0980" w:rsidRDefault="006F7099" w:rsidP="005809F6">
            <w:pPr>
              <w:pStyle w:val="Normal6"/>
              <w:rPr>
                <w:szCs w:val="24"/>
              </w:rPr>
            </w:pPr>
            <w:r w:rsidRPr="003F0980">
              <w:t>(ii)</w:t>
            </w:r>
            <w:r w:rsidRPr="003F0980">
              <w:tab/>
            </w:r>
            <w:r w:rsidRPr="003F0980">
              <w:rPr>
                <w:b/>
                <w:i/>
              </w:rPr>
              <w:t>kar zadeva zaščiteno geografsko označbo</w:t>
            </w:r>
            <w:r w:rsidRPr="003F0980">
              <w:t xml:space="preserve">, povezavo med </w:t>
            </w:r>
            <w:r w:rsidRPr="003F0980">
              <w:rPr>
                <w:b/>
                <w:i/>
              </w:rPr>
              <w:t>dano</w:t>
            </w:r>
            <w:r w:rsidRPr="003F0980">
              <w:t xml:space="preserve"> kakovostjo, slovesom ali drugo značilnostjo proizvoda in geografskim poreklom iz člena 5(2);</w:t>
            </w:r>
          </w:p>
        </w:tc>
      </w:tr>
      <w:tr w:rsidR="006F7099" w:rsidRPr="003F0980" w14:paraId="73240872" w14:textId="77777777" w:rsidTr="005809F6">
        <w:trPr>
          <w:jc w:val="center"/>
        </w:trPr>
        <w:tc>
          <w:tcPr>
            <w:tcW w:w="4876" w:type="dxa"/>
          </w:tcPr>
          <w:p w14:paraId="24DC1265" w14:textId="77777777" w:rsidR="006F7099" w:rsidRPr="003F0980" w:rsidRDefault="006F7099" w:rsidP="005809F6">
            <w:pPr>
              <w:pStyle w:val="Normal6"/>
            </w:pPr>
            <w:r w:rsidRPr="003F0980">
              <w:t>(g)</w:t>
            </w:r>
            <w:r w:rsidRPr="003F0980">
              <w:tab/>
              <w:t>ime in naslov organov ali, če sta na voljo, ime in naslov organov, ki preverjajo upoštevanje določb iz specifikacije proizvoda v skladu s členom 37, ter njihove posebne naloge;</w:t>
            </w:r>
          </w:p>
        </w:tc>
        <w:tc>
          <w:tcPr>
            <w:tcW w:w="4876" w:type="dxa"/>
          </w:tcPr>
          <w:p w14:paraId="29BA8243" w14:textId="77777777" w:rsidR="006F7099" w:rsidRPr="003F0980" w:rsidRDefault="006F7099" w:rsidP="005809F6">
            <w:pPr>
              <w:pStyle w:val="Normal6"/>
              <w:rPr>
                <w:szCs w:val="24"/>
              </w:rPr>
            </w:pPr>
            <w:r w:rsidRPr="003F0980">
              <w:t>(g)</w:t>
            </w:r>
            <w:r w:rsidRPr="003F0980">
              <w:tab/>
              <w:t>ime in naslov organov ali, če sta na voljo, ime in naslov organov, ki preverjajo upoštevanje določb iz specifikacije proizvoda v skladu s členom 37, ter njihove posebne naloge;</w:t>
            </w:r>
          </w:p>
        </w:tc>
      </w:tr>
      <w:tr w:rsidR="006F7099" w:rsidRPr="003F0980" w14:paraId="18ECE7B3" w14:textId="77777777" w:rsidTr="005809F6">
        <w:trPr>
          <w:jc w:val="center"/>
        </w:trPr>
        <w:tc>
          <w:tcPr>
            <w:tcW w:w="4876" w:type="dxa"/>
          </w:tcPr>
          <w:p w14:paraId="486501E3" w14:textId="77777777" w:rsidR="006F7099" w:rsidRPr="003F0980" w:rsidRDefault="006F7099" w:rsidP="005809F6">
            <w:pPr>
              <w:pStyle w:val="Normal6"/>
            </w:pPr>
            <w:r w:rsidRPr="003F0980">
              <w:t>(h)</w:t>
            </w:r>
            <w:r w:rsidRPr="003F0980">
              <w:tab/>
              <w:t>vsa posebna pravila o označevanju zadevnega proizvoda.</w:t>
            </w:r>
          </w:p>
        </w:tc>
        <w:tc>
          <w:tcPr>
            <w:tcW w:w="4876" w:type="dxa"/>
          </w:tcPr>
          <w:p w14:paraId="660640B2" w14:textId="77777777" w:rsidR="006F7099" w:rsidRPr="003F0980" w:rsidRDefault="006F7099" w:rsidP="005809F6">
            <w:pPr>
              <w:pStyle w:val="Normal6"/>
              <w:rPr>
                <w:szCs w:val="24"/>
              </w:rPr>
            </w:pPr>
            <w:r w:rsidRPr="003F0980">
              <w:t>(h)</w:t>
            </w:r>
            <w:r w:rsidRPr="003F0980">
              <w:tab/>
              <w:t>vsa posebna pravila o označevanju zadevnega proizvoda.</w:t>
            </w:r>
          </w:p>
        </w:tc>
      </w:tr>
      <w:tr w:rsidR="006F7099" w:rsidRPr="003F0980" w14:paraId="2B43ADF2" w14:textId="77777777" w:rsidTr="005809F6">
        <w:trPr>
          <w:jc w:val="center"/>
        </w:trPr>
        <w:tc>
          <w:tcPr>
            <w:tcW w:w="4876" w:type="dxa"/>
          </w:tcPr>
          <w:p w14:paraId="53817B3E" w14:textId="77777777" w:rsidR="006F7099" w:rsidRPr="003F0980" w:rsidRDefault="006F7099" w:rsidP="005809F6">
            <w:pPr>
              <w:pStyle w:val="Normal6"/>
            </w:pPr>
            <w:r w:rsidRPr="003F0980">
              <w:t>2.</w:t>
            </w:r>
            <w:r w:rsidRPr="003F0980">
              <w:tab/>
              <w:t>Da se zagotovi, da specifikacije proizvodov vključujejo ustrezne in jedrnate informacije, se na Komisijo v skladu s členom 56 prenese pooblastilo za sprejemanje delegiranih aktov, v katerih določi pravila, ki omejujejo informacije iz specifikacij iz odstavka 1 tega člena, kadar je takšna omejitev potrebna, da se preprečijo pretirano obsežni zahtevki za registracijo.</w:t>
            </w:r>
          </w:p>
        </w:tc>
        <w:tc>
          <w:tcPr>
            <w:tcW w:w="4876" w:type="dxa"/>
          </w:tcPr>
          <w:p w14:paraId="2961E2B9" w14:textId="77777777" w:rsidR="006F7099" w:rsidRPr="003F0980" w:rsidRDefault="006F7099" w:rsidP="005809F6">
            <w:pPr>
              <w:pStyle w:val="Normal6"/>
              <w:rPr>
                <w:szCs w:val="24"/>
              </w:rPr>
            </w:pPr>
            <w:r w:rsidRPr="003F0980">
              <w:t>2.</w:t>
            </w:r>
            <w:r w:rsidRPr="003F0980">
              <w:tab/>
              <w:t>Da se zagotovi, da specifikacije proizvodov vključujejo ustrezne in jedrnate informacije, se na Komisijo v skladu s členom 56 prenese pooblastilo za sprejemanje delegiranih aktov, v katerih določi pravila, ki omejujejo informacije iz specifikacij iz odstavka 1 tega člena, kadar je takšna omejitev potrebna, da se preprečijo pretirano obsežni zahtevki za registracijo.</w:t>
            </w:r>
          </w:p>
        </w:tc>
      </w:tr>
      <w:tr w:rsidR="006F7099" w:rsidRPr="003F0980" w14:paraId="6628BF44" w14:textId="77777777" w:rsidTr="005809F6">
        <w:trPr>
          <w:jc w:val="center"/>
        </w:trPr>
        <w:tc>
          <w:tcPr>
            <w:tcW w:w="4876" w:type="dxa"/>
          </w:tcPr>
          <w:p w14:paraId="5E74F57A" w14:textId="77777777" w:rsidR="006F7099" w:rsidRPr="003F0980" w:rsidRDefault="006F7099" w:rsidP="005809F6">
            <w:pPr>
              <w:pStyle w:val="Normal6"/>
            </w:pPr>
            <w:r w:rsidRPr="003F0980">
              <w:t>Komisija lahko sprejme izvedbene akte, v katerih določi pravila o obliki specifikacije. Ti izvedbeni akti se sprejmejo v skladu s postopkom pregleda iz člena</w:t>
            </w:r>
            <w:r w:rsidRPr="003F0980">
              <w:rPr>
                <w:b/>
                <w:i/>
              </w:rPr>
              <w:t xml:space="preserve"> </w:t>
            </w:r>
            <w:r w:rsidRPr="003F0980">
              <w:t>57(2).</w:t>
            </w:r>
          </w:p>
        </w:tc>
        <w:tc>
          <w:tcPr>
            <w:tcW w:w="4876" w:type="dxa"/>
          </w:tcPr>
          <w:p w14:paraId="47FA3DFC" w14:textId="77777777" w:rsidR="006F7099" w:rsidRPr="003F0980" w:rsidRDefault="006F7099" w:rsidP="005809F6">
            <w:pPr>
              <w:pStyle w:val="Normal6"/>
              <w:rPr>
                <w:szCs w:val="24"/>
              </w:rPr>
            </w:pPr>
            <w:r w:rsidRPr="003F0980">
              <w:t>Komisija lahko sprejme izvedbene akte, v katerih določi pravila o obliki specifikacije. Ti izvedbeni akti se sprejmejo v skladu s postopkom pregleda iz člena</w:t>
            </w:r>
            <w:r w:rsidRPr="003F0980">
              <w:rPr>
                <w:b/>
                <w:i/>
              </w:rPr>
              <w:t> </w:t>
            </w:r>
            <w:r w:rsidRPr="003F0980">
              <w:t>57(2).</w:t>
            </w:r>
            <w:r w:rsidRPr="003F0980">
              <w:rPr>
                <w:b/>
                <w:i/>
              </w:rPr>
              <w:t>“</w:t>
            </w:r>
          </w:p>
        </w:tc>
      </w:tr>
    </w:tbl>
    <w:p w14:paraId="5C4466B4" w14:textId="77777777" w:rsidR="006F5BFE" w:rsidRPr="003B2277" w:rsidRDefault="006F5BFE" w:rsidP="006F5BFE">
      <w:pPr>
        <w:rPr>
          <w:lang w:eastAsia="en-US"/>
        </w:rPr>
      </w:pPr>
    </w:p>
    <w:p w14:paraId="4724F47C" w14:textId="33B8C96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185</w:t>
      </w:r>
    </w:p>
    <w:p w14:paraId="6FC424DE" w14:textId="77777777" w:rsidR="006F5BFE" w:rsidRPr="003B2277" w:rsidRDefault="006F5BFE" w:rsidP="006F5BFE"/>
    <w:p w14:paraId="52C74119" w14:textId="77777777" w:rsidR="006F5BFE" w:rsidRPr="003B2277" w:rsidRDefault="006F5BFE" w:rsidP="006F5BFE">
      <w:pPr>
        <w:keepNext/>
        <w:rPr>
          <w:b/>
          <w:lang w:eastAsia="en-US"/>
        </w:rPr>
      </w:pPr>
      <w:r w:rsidRPr="003B2277">
        <w:rPr>
          <w:rFonts w:eastAsia="Calibri" w:cs="Mangal"/>
          <w:b/>
          <w:lang w:eastAsia="en-US"/>
        </w:rPr>
        <w:t>Predlog uredbe</w:t>
      </w:r>
    </w:p>
    <w:p w14:paraId="41193E03" w14:textId="77777777" w:rsidR="006F5BFE" w:rsidRPr="003B2277" w:rsidRDefault="006F5BFE" w:rsidP="006F5BFE">
      <w:pPr>
        <w:rPr>
          <w:b/>
          <w:lang w:eastAsia="en-US"/>
        </w:rPr>
      </w:pPr>
      <w:r w:rsidRPr="003B2277">
        <w:rPr>
          <w:rFonts w:eastAsia="Calibri" w:cs="Mangal"/>
          <w:b/>
          <w:lang w:eastAsia="en-US"/>
        </w:rPr>
        <w:t>Člen 2 – odstavek 1 – točka 4 a (novo)</w:t>
      </w:r>
    </w:p>
    <w:p w14:paraId="006CE271" w14:textId="77777777" w:rsidR="006F5BFE" w:rsidRPr="003B2277" w:rsidRDefault="006F5BFE" w:rsidP="006F5BFE">
      <w:pPr>
        <w:keepNext/>
        <w:rPr>
          <w:lang w:eastAsia="en-US"/>
        </w:rPr>
      </w:pPr>
      <w:r w:rsidRPr="003B2277">
        <w:rPr>
          <w:rFonts w:eastAsia="Calibri" w:cs="Mangal"/>
          <w:lang w:eastAsia="en-US"/>
        </w:rPr>
        <w:t>Uredba (EU) št. 1151/2012</w:t>
      </w:r>
    </w:p>
    <w:p w14:paraId="6C37CB5C" w14:textId="77777777" w:rsidR="006F5BFE" w:rsidRPr="003B2277" w:rsidRDefault="006F5BFE" w:rsidP="006F5BFE">
      <w:pPr>
        <w:rPr>
          <w:lang w:eastAsia="en-US"/>
        </w:rPr>
      </w:pPr>
      <w:r w:rsidRPr="003B2277">
        <w:rPr>
          <w:rFonts w:eastAsia="Calibri" w:cs="Mangal"/>
          <w:lang w:eastAsia="en-US"/>
        </w:rPr>
        <w:t>Člen 11 – odstavek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9F62FC4" w14:textId="77777777" w:rsidTr="005B4D60">
        <w:trPr>
          <w:jc w:val="center"/>
        </w:trPr>
        <w:tc>
          <w:tcPr>
            <w:tcW w:w="9752" w:type="dxa"/>
            <w:gridSpan w:val="2"/>
          </w:tcPr>
          <w:p w14:paraId="33817F1C" w14:textId="77777777" w:rsidR="006F5BFE" w:rsidRPr="003B2277" w:rsidRDefault="006F5BFE" w:rsidP="005B4D60">
            <w:pPr>
              <w:keepNext/>
            </w:pPr>
          </w:p>
        </w:tc>
      </w:tr>
      <w:tr w:rsidR="006F5BFE" w:rsidRPr="003B2277" w14:paraId="612AA0AF" w14:textId="77777777" w:rsidTr="005B4D60">
        <w:trPr>
          <w:jc w:val="center"/>
        </w:trPr>
        <w:tc>
          <w:tcPr>
            <w:tcW w:w="4876" w:type="dxa"/>
            <w:hideMark/>
          </w:tcPr>
          <w:p w14:paraId="4493167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9D1D022" w14:textId="5312D0C0"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A6E9115" w14:textId="77777777" w:rsidTr="005B4D60">
        <w:trPr>
          <w:jc w:val="center"/>
        </w:trPr>
        <w:tc>
          <w:tcPr>
            <w:tcW w:w="4876" w:type="dxa"/>
          </w:tcPr>
          <w:p w14:paraId="3B634ED6" w14:textId="77777777" w:rsidR="006F5BFE" w:rsidRPr="003B2277" w:rsidRDefault="006F5BFE" w:rsidP="005B4D60">
            <w:pPr>
              <w:spacing w:after="120"/>
            </w:pPr>
          </w:p>
        </w:tc>
        <w:tc>
          <w:tcPr>
            <w:tcW w:w="4876" w:type="dxa"/>
            <w:hideMark/>
          </w:tcPr>
          <w:p w14:paraId="6BD44BD8" w14:textId="77777777" w:rsidR="006F5BFE" w:rsidRPr="003B2277" w:rsidRDefault="006F5BFE" w:rsidP="005B4D60">
            <w:pPr>
              <w:spacing w:after="120"/>
              <w:rPr>
                <w:szCs w:val="24"/>
                <w:lang w:eastAsia="en-US"/>
              </w:rPr>
            </w:pPr>
            <w:r w:rsidRPr="003B2277">
              <w:rPr>
                <w:rFonts w:eastAsia="Calibri" w:cs="Mangal"/>
                <w:b/>
                <w:i/>
                <w:lang w:eastAsia="en-US"/>
              </w:rPr>
              <w:t>(4a)</w:t>
            </w:r>
            <w:r w:rsidRPr="003B2277">
              <w:rPr>
                <w:rFonts w:eastAsia="Calibri" w:cs="Mangal"/>
                <w:b/>
                <w:i/>
                <w:lang w:eastAsia="en-US"/>
              </w:rPr>
              <w:tab/>
              <w:t>v členu 11 se odstavek 2 nadomesti z naslednjim:</w:t>
            </w:r>
          </w:p>
        </w:tc>
      </w:tr>
      <w:tr w:rsidR="006F5BFE" w:rsidRPr="003B2277" w14:paraId="7E7A77C8" w14:textId="77777777" w:rsidTr="005B4D60">
        <w:trPr>
          <w:jc w:val="center"/>
        </w:trPr>
        <w:tc>
          <w:tcPr>
            <w:tcW w:w="4876" w:type="dxa"/>
            <w:hideMark/>
          </w:tcPr>
          <w:p w14:paraId="0EC0B6F6"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Geografske označbe proizvodov iz tretjih držav, ki so zaščitene v Uniji v skladu z mednarodnim sporazumom, katerega pogodbenica je Unija, se lahko vpišejo v register. Taka imena se v register vpišejo kot zaščitene geografske označbe, razen če so v navedenem sporazumu posebej opredeljena kot zaščitene označbe porekla na podlagi te uredbe.</w:t>
            </w:r>
          </w:p>
        </w:tc>
        <w:tc>
          <w:tcPr>
            <w:tcW w:w="4876" w:type="dxa"/>
            <w:hideMark/>
          </w:tcPr>
          <w:p w14:paraId="1237B72A" w14:textId="603F80FD"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2.</w:t>
            </w:r>
            <w:r w:rsidRPr="003B2277">
              <w:rPr>
                <w:rFonts w:eastAsia="Calibri" w:cs="Mangal"/>
                <w:lang w:eastAsia="en-US"/>
              </w:rPr>
              <w:tab/>
              <w:t>Geografske označbe proizvodov iz tretjih držav, ki so zaščitene v Uniji v skladu z mednarodnim sporazumom, katerega pogodbenica je Unija, se lahko vpišejo v register</w:t>
            </w:r>
            <w:r w:rsidRPr="003B2277">
              <w:rPr>
                <w:rFonts w:eastAsia="Calibri" w:cs="Mangal"/>
                <w:b/>
                <w:i/>
                <w:lang w:eastAsia="en-US"/>
              </w:rPr>
              <w:t>, če je to določeno v sporazumu</w:t>
            </w:r>
            <w:r w:rsidRPr="003B2277">
              <w:rPr>
                <w:rFonts w:eastAsia="Calibri" w:cs="Mangal"/>
                <w:lang w:eastAsia="en-US"/>
              </w:rPr>
              <w:t>. Taka imena se v register vpišejo kot zaščitene geografske označbe, razen če so v navedenem sporazumu posebej opredeljena kot zaščitene označbe porekla na podlagi te uredbe.</w:t>
            </w:r>
            <w:r w:rsidRPr="003B2277">
              <w:rPr>
                <w:rFonts w:eastAsia="Calibri" w:cs="Mangal"/>
                <w:b/>
                <w:i/>
                <w:lang w:eastAsia="en-US"/>
              </w:rPr>
              <w:t>“</w:t>
            </w:r>
          </w:p>
        </w:tc>
      </w:tr>
    </w:tbl>
    <w:p w14:paraId="5BFB2C53" w14:textId="77777777" w:rsidR="006F5BFE" w:rsidRPr="003B2277" w:rsidRDefault="006F5BFE" w:rsidP="006F5BFE">
      <w:pPr>
        <w:rPr>
          <w:lang w:eastAsia="en-US"/>
        </w:rPr>
      </w:pPr>
    </w:p>
    <w:p w14:paraId="4DE05700" w14:textId="13DF444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186</w:t>
      </w:r>
    </w:p>
    <w:p w14:paraId="32767597" w14:textId="77777777" w:rsidR="006F5BFE" w:rsidRPr="003B2277" w:rsidRDefault="006F5BFE" w:rsidP="006F5BFE"/>
    <w:p w14:paraId="0589EC7D" w14:textId="77777777" w:rsidR="006F5BFE" w:rsidRPr="003B2277" w:rsidRDefault="006F5BFE" w:rsidP="006F5BFE">
      <w:pPr>
        <w:keepNext/>
        <w:rPr>
          <w:b/>
          <w:lang w:eastAsia="en-US"/>
        </w:rPr>
      </w:pPr>
      <w:r w:rsidRPr="003B2277">
        <w:rPr>
          <w:rFonts w:eastAsia="Calibri" w:cs="Mangal"/>
          <w:b/>
          <w:lang w:eastAsia="en-US"/>
        </w:rPr>
        <w:t>Predlog uredbe</w:t>
      </w:r>
    </w:p>
    <w:p w14:paraId="17422798" w14:textId="77777777" w:rsidR="006F5BFE" w:rsidRPr="003B2277" w:rsidRDefault="006F5BFE" w:rsidP="006F5BFE">
      <w:pPr>
        <w:rPr>
          <w:b/>
          <w:lang w:eastAsia="en-US"/>
        </w:rPr>
      </w:pPr>
      <w:r w:rsidRPr="003B2277">
        <w:rPr>
          <w:rFonts w:eastAsia="Calibri" w:cs="Mangal"/>
          <w:b/>
          <w:lang w:eastAsia="en-US"/>
        </w:rPr>
        <w:t>Člen 2 – odstavek 1 – točka 4 b (novo)</w:t>
      </w:r>
    </w:p>
    <w:p w14:paraId="5FF59DD3" w14:textId="77777777" w:rsidR="006F5BFE" w:rsidRPr="003B2277" w:rsidRDefault="006F5BFE" w:rsidP="006F5BFE">
      <w:pPr>
        <w:keepNext/>
        <w:rPr>
          <w:lang w:eastAsia="en-US"/>
        </w:rPr>
      </w:pPr>
      <w:r w:rsidRPr="003B2277">
        <w:rPr>
          <w:rFonts w:eastAsia="Calibri" w:cs="Mangal"/>
          <w:lang w:eastAsia="en-US"/>
        </w:rPr>
        <w:t>Uredba (EU) št. 1151/2012</w:t>
      </w:r>
    </w:p>
    <w:p w14:paraId="6CB49CEA" w14:textId="77777777" w:rsidR="006F5BFE" w:rsidRPr="003B2277" w:rsidRDefault="006F5BFE" w:rsidP="006F5BFE">
      <w:pPr>
        <w:rPr>
          <w:lang w:eastAsia="en-US"/>
        </w:rPr>
      </w:pPr>
      <w:r w:rsidRPr="003B2277">
        <w:rPr>
          <w:rFonts w:eastAsia="Calibri" w:cs="Mangal"/>
          <w:lang w:eastAsia="en-US"/>
        </w:rPr>
        <w:t>Člen 12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ED5A2CA" w14:textId="77777777" w:rsidTr="005B4D60">
        <w:trPr>
          <w:jc w:val="center"/>
        </w:trPr>
        <w:tc>
          <w:tcPr>
            <w:tcW w:w="9752" w:type="dxa"/>
            <w:gridSpan w:val="2"/>
          </w:tcPr>
          <w:p w14:paraId="67F4A11C" w14:textId="77777777" w:rsidR="006F5BFE" w:rsidRPr="003B2277" w:rsidRDefault="006F5BFE" w:rsidP="005B4D60">
            <w:pPr>
              <w:keepNext/>
            </w:pPr>
          </w:p>
        </w:tc>
      </w:tr>
      <w:tr w:rsidR="006F5BFE" w:rsidRPr="003B2277" w14:paraId="1368066A" w14:textId="77777777" w:rsidTr="005B4D60">
        <w:trPr>
          <w:jc w:val="center"/>
        </w:trPr>
        <w:tc>
          <w:tcPr>
            <w:tcW w:w="4876" w:type="dxa"/>
            <w:hideMark/>
          </w:tcPr>
          <w:p w14:paraId="54D2DD46"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87FA19E" w14:textId="774AE1D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4710EAC" w14:textId="77777777" w:rsidTr="005B4D60">
        <w:trPr>
          <w:jc w:val="center"/>
        </w:trPr>
        <w:tc>
          <w:tcPr>
            <w:tcW w:w="4876" w:type="dxa"/>
          </w:tcPr>
          <w:p w14:paraId="18CAC616" w14:textId="77777777" w:rsidR="006F5BFE" w:rsidRPr="003B2277" w:rsidRDefault="006F5BFE" w:rsidP="005B4D60">
            <w:pPr>
              <w:spacing w:after="120"/>
            </w:pPr>
          </w:p>
        </w:tc>
        <w:tc>
          <w:tcPr>
            <w:tcW w:w="4876" w:type="dxa"/>
            <w:hideMark/>
          </w:tcPr>
          <w:p w14:paraId="361DE899" w14:textId="77777777" w:rsidR="006F5BFE" w:rsidRPr="003B2277" w:rsidRDefault="006F5BFE" w:rsidP="005B4D60">
            <w:pPr>
              <w:spacing w:after="120"/>
              <w:rPr>
                <w:szCs w:val="24"/>
                <w:lang w:eastAsia="en-US"/>
              </w:rPr>
            </w:pPr>
            <w:r w:rsidRPr="003B2277">
              <w:rPr>
                <w:rFonts w:eastAsia="Calibri" w:cs="Mangal"/>
                <w:b/>
                <w:i/>
                <w:lang w:eastAsia="en-US"/>
              </w:rPr>
              <w:t>(4b)</w:t>
            </w:r>
            <w:r w:rsidRPr="003B2277">
              <w:rPr>
                <w:rFonts w:eastAsia="Calibri" w:cs="Mangal"/>
                <w:b/>
                <w:i/>
                <w:lang w:eastAsia="en-US"/>
              </w:rPr>
              <w:tab/>
              <w:t>člen 12 se nadomesti z naslednjim:</w:t>
            </w:r>
          </w:p>
        </w:tc>
      </w:tr>
      <w:tr w:rsidR="006F5BFE" w:rsidRPr="003B2277" w14:paraId="5577C6C1" w14:textId="77777777" w:rsidTr="005B4D60">
        <w:trPr>
          <w:jc w:val="center"/>
        </w:trPr>
        <w:tc>
          <w:tcPr>
            <w:tcW w:w="4876" w:type="dxa"/>
            <w:hideMark/>
          </w:tcPr>
          <w:p w14:paraId="704CB532" w14:textId="77777777" w:rsidR="006F5BFE" w:rsidRPr="003B2277" w:rsidRDefault="006F5BFE" w:rsidP="005B4D60">
            <w:pPr>
              <w:spacing w:after="120"/>
              <w:rPr>
                <w:lang w:eastAsia="en-US"/>
              </w:rPr>
            </w:pPr>
            <w:r w:rsidRPr="003B2277">
              <w:rPr>
                <w:rFonts w:eastAsia="Calibri" w:cs="Mangal"/>
                <w:lang w:eastAsia="en-US"/>
              </w:rPr>
              <w:t>Člen 12</w:t>
            </w:r>
          </w:p>
        </w:tc>
        <w:tc>
          <w:tcPr>
            <w:tcW w:w="4876" w:type="dxa"/>
            <w:hideMark/>
          </w:tcPr>
          <w:p w14:paraId="49D041C4" w14:textId="77777777" w:rsidR="006F5BFE" w:rsidRPr="003B2277" w:rsidRDefault="006F5BFE" w:rsidP="005B4D60">
            <w:pPr>
              <w:spacing w:after="120"/>
              <w:rPr>
                <w:szCs w:val="24"/>
                <w:lang w:eastAsia="en-US"/>
              </w:rPr>
            </w:pPr>
            <w:r w:rsidRPr="003B2277">
              <w:rPr>
                <w:rFonts w:eastAsia="Calibri" w:cs="Mangal"/>
                <w:b/>
                <w:i/>
                <w:lang w:eastAsia="en-US"/>
              </w:rPr>
              <w:t>„</w:t>
            </w:r>
            <w:r w:rsidRPr="00FD1F1B">
              <w:rPr>
                <w:rFonts w:eastAsia="Calibri" w:cs="Mangal"/>
                <w:lang w:eastAsia="en-US"/>
              </w:rPr>
              <w:t>Člen 12</w:t>
            </w:r>
          </w:p>
        </w:tc>
      </w:tr>
      <w:tr w:rsidR="006F5BFE" w:rsidRPr="003B2277" w14:paraId="6EFE1886" w14:textId="77777777" w:rsidTr="005B4D60">
        <w:trPr>
          <w:jc w:val="center"/>
        </w:trPr>
        <w:tc>
          <w:tcPr>
            <w:tcW w:w="4876" w:type="dxa"/>
            <w:hideMark/>
          </w:tcPr>
          <w:p w14:paraId="6F10D00C" w14:textId="77777777" w:rsidR="006F5BFE" w:rsidRPr="003B2277" w:rsidRDefault="006F5BFE" w:rsidP="005B4D60">
            <w:pPr>
              <w:spacing w:after="120"/>
              <w:rPr>
                <w:lang w:eastAsia="en-US"/>
              </w:rPr>
            </w:pPr>
            <w:r w:rsidRPr="003B2277">
              <w:rPr>
                <w:rFonts w:eastAsia="Calibri" w:cs="Mangal"/>
                <w:lang w:eastAsia="en-US"/>
              </w:rPr>
              <w:t>Imena, simboli in označbe</w:t>
            </w:r>
          </w:p>
        </w:tc>
        <w:tc>
          <w:tcPr>
            <w:tcW w:w="4876" w:type="dxa"/>
            <w:hideMark/>
          </w:tcPr>
          <w:p w14:paraId="730A58D0" w14:textId="77777777" w:rsidR="006F5BFE" w:rsidRPr="003B2277" w:rsidRDefault="006F5BFE" w:rsidP="005B4D60">
            <w:pPr>
              <w:spacing w:after="120"/>
              <w:rPr>
                <w:szCs w:val="24"/>
                <w:lang w:eastAsia="en-US"/>
              </w:rPr>
            </w:pPr>
            <w:r w:rsidRPr="003B2277">
              <w:rPr>
                <w:rFonts w:eastAsia="Calibri" w:cs="Mangal"/>
                <w:lang w:eastAsia="en-US"/>
              </w:rPr>
              <w:t>Imena, simboli in označbe</w:t>
            </w:r>
          </w:p>
        </w:tc>
      </w:tr>
      <w:tr w:rsidR="006F5BFE" w:rsidRPr="003B2277" w14:paraId="373359C7" w14:textId="77777777" w:rsidTr="005B4D60">
        <w:trPr>
          <w:jc w:val="center"/>
        </w:trPr>
        <w:tc>
          <w:tcPr>
            <w:tcW w:w="4876" w:type="dxa"/>
            <w:hideMark/>
          </w:tcPr>
          <w:p w14:paraId="24FFBB5A"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Zaščitene označbe porekla in zaščitene geografske označbe lahko uporablja vsak gospodarski subjekt, ki trži proizvod, ki je v skladu z ustrezno specifikacijo.</w:t>
            </w:r>
          </w:p>
        </w:tc>
        <w:tc>
          <w:tcPr>
            <w:tcW w:w="4876" w:type="dxa"/>
            <w:hideMark/>
          </w:tcPr>
          <w:p w14:paraId="01C32A1D"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Zaščitene označbe porekla in zaščitene geografske označbe lahko uporablja vsak gospodarski subjekt, ki trži proizvod, ki je v skladu z ustrezno specifikacijo.</w:t>
            </w:r>
          </w:p>
        </w:tc>
      </w:tr>
      <w:tr w:rsidR="006F5BFE" w:rsidRPr="003B2277" w14:paraId="78D8C1C9" w14:textId="77777777" w:rsidTr="005B4D60">
        <w:trPr>
          <w:jc w:val="center"/>
        </w:trPr>
        <w:tc>
          <w:tcPr>
            <w:tcW w:w="4876" w:type="dxa"/>
            <w:hideMark/>
          </w:tcPr>
          <w:p w14:paraId="4807E676"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Določijo se simboli Unije, ki so namenjeni obveščanju javnosti o zaščitenih označbah porekla in zaščitenih geografskih označbah.</w:t>
            </w:r>
          </w:p>
        </w:tc>
        <w:tc>
          <w:tcPr>
            <w:tcW w:w="4876" w:type="dxa"/>
            <w:hideMark/>
          </w:tcPr>
          <w:p w14:paraId="72210C10"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Določijo se simboli Unije, ki so namenjeni obveščanju javnosti o zaščitenih označbah porekla in zaščitenih geografskih označbah.</w:t>
            </w:r>
          </w:p>
        </w:tc>
      </w:tr>
      <w:tr w:rsidR="006F5BFE" w:rsidRPr="003B2277" w14:paraId="196614F1" w14:textId="77777777" w:rsidTr="005B4D60">
        <w:trPr>
          <w:jc w:val="center"/>
        </w:trPr>
        <w:tc>
          <w:tcPr>
            <w:tcW w:w="4876" w:type="dxa"/>
            <w:hideMark/>
          </w:tcPr>
          <w:p w14:paraId="2E8F4584"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V primeru proizvodov s poreklom iz Unije, ki se tržijo pod zaščiteno označbo porekla ali zaščiteno geografsko označbo, registrirano v skladu s postopki iz te uredbe, se na označevanju navedejo simboli Unije, povezani z navedenima označbama. Poleg tega bi moralo biti v istem vidnem polju navedeno tudi registrirano ime proizvoda. Na označevanju se lahko pojavita označbi „zaščitena označba porekla“ ali „zaščitena geografska označba“ ali ustrezni kratici „ZOP“ ali „ZGO“.</w:t>
            </w:r>
          </w:p>
        </w:tc>
        <w:tc>
          <w:tcPr>
            <w:tcW w:w="4876" w:type="dxa"/>
            <w:hideMark/>
          </w:tcPr>
          <w:p w14:paraId="496A986B"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V primeru proizvodov s poreklom iz Unije, ki se tržijo pod zaščiteno označbo porekla ali zaščiteno geografsko označbo, registrirano v skladu s postopki iz te uredbe, se na označevanju</w:t>
            </w:r>
            <w:r w:rsidRPr="003B2277">
              <w:rPr>
                <w:rFonts w:eastAsia="Calibri" w:cs="Mangal"/>
                <w:b/>
                <w:i/>
                <w:lang w:eastAsia="en-US"/>
              </w:rPr>
              <w:t>, v reklamnem gradivu in na dokumentih v zvezi z zadevnim proizvodom</w:t>
            </w:r>
            <w:r w:rsidRPr="003B2277">
              <w:rPr>
                <w:rFonts w:eastAsia="Calibri" w:cs="Mangal"/>
                <w:lang w:eastAsia="en-US"/>
              </w:rPr>
              <w:t xml:space="preserve"> navedejo simboli Unije, povezani z navedenima označbama. Poleg tega bi moralo biti v istem vidnem polju </w:t>
            </w:r>
            <w:r w:rsidRPr="003B2277">
              <w:rPr>
                <w:rFonts w:eastAsia="Calibri" w:cs="Mangal"/>
                <w:b/>
                <w:i/>
                <w:lang w:eastAsia="en-US"/>
              </w:rPr>
              <w:t xml:space="preserve">in na vidnem mestu jasno, čitljivo in po potrebi neizbrisno </w:t>
            </w:r>
            <w:r w:rsidRPr="003B2277">
              <w:rPr>
                <w:rFonts w:eastAsia="Calibri" w:cs="Mangal"/>
                <w:lang w:eastAsia="en-US"/>
              </w:rPr>
              <w:t>navedeno tudi registrirano ime proizvoda</w:t>
            </w:r>
            <w:r w:rsidRPr="003B2277">
              <w:rPr>
                <w:rFonts w:eastAsia="Calibri" w:cs="Mangal"/>
                <w:b/>
                <w:i/>
                <w:lang w:eastAsia="en-US"/>
              </w:rPr>
              <w:t>. Ime nikakor ne sme biti skrito, zakrito ali prekinjeno s katerim koli drugim pisnim ali slikovnim elementom ali vmesnim dokumentom</w:t>
            </w:r>
            <w:r w:rsidRPr="003B2277">
              <w:rPr>
                <w:rFonts w:eastAsia="Calibri" w:cs="Mangal"/>
                <w:lang w:eastAsia="en-US"/>
              </w:rPr>
              <w:t>. Na označevanju se lahko pojavita označbi „zaščitena označba porekla“ ali „zaščitena geografska označba“ ali ustrezni kratici „ZOP“ ali „ZGO“.</w:t>
            </w:r>
          </w:p>
        </w:tc>
      </w:tr>
      <w:tr w:rsidR="006F5BFE" w:rsidRPr="003B2277" w14:paraId="2817D18B" w14:textId="77777777" w:rsidTr="005B4D60">
        <w:trPr>
          <w:jc w:val="center"/>
        </w:trPr>
        <w:tc>
          <w:tcPr>
            <w:tcW w:w="4876" w:type="dxa"/>
            <w:hideMark/>
          </w:tcPr>
          <w:p w14:paraId="7C3E33BE"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Na označevanju se lahko navede tudi naslednje: prikaz geografskega območja porekla, kot je določeno v členu 5, ter besedilo, grafike ali simboli, ki se nanašajo na državo članico in/ali regijo, v kateri se nahaja geografsko območje porekla.</w:t>
            </w:r>
          </w:p>
        </w:tc>
        <w:tc>
          <w:tcPr>
            <w:tcW w:w="4876" w:type="dxa"/>
            <w:hideMark/>
          </w:tcPr>
          <w:p w14:paraId="79540A30"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Na označevanju se lahko navede tudi naslednje: prikaz geografskega območja porekla, kot je določeno v členu 5, ter besedilo, grafike ali simboli, ki se nanašajo na državo članico in/ali regijo, v kateri se nahaja geografsko območje porekla.</w:t>
            </w:r>
          </w:p>
        </w:tc>
      </w:tr>
      <w:tr w:rsidR="006F5BFE" w:rsidRPr="003B2277" w14:paraId="6E162204" w14:textId="77777777" w:rsidTr="005B4D60">
        <w:trPr>
          <w:jc w:val="center"/>
        </w:trPr>
        <w:tc>
          <w:tcPr>
            <w:tcW w:w="4876" w:type="dxa"/>
            <w:hideMark/>
          </w:tcPr>
          <w:p w14:paraId="34CE8FF2"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Brez poseganja v Direktivo 2000/13/ES se kolektivne geografske znamke iz člena 15 Direktive 2008/95/ES lahko uporabljajo na oznakah skupaj z zaščiteno označbo porekla ali zaščiteno geografsko označbo.</w:t>
            </w:r>
          </w:p>
        </w:tc>
        <w:tc>
          <w:tcPr>
            <w:tcW w:w="4876" w:type="dxa"/>
            <w:hideMark/>
          </w:tcPr>
          <w:p w14:paraId="73751792"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Brez poseganja v Direktivo 2000/13/ES se kolektivne geografske znamke iz člena 15 Direktive 2008/95/ES lahko uporabljajo na oznakah skupaj z zaščiteno označbo porekla ali zaščiteno geografsko označbo.</w:t>
            </w:r>
          </w:p>
        </w:tc>
      </w:tr>
      <w:tr w:rsidR="006F5BFE" w:rsidRPr="003B2277" w14:paraId="56BA7B9A" w14:textId="77777777" w:rsidTr="005B4D60">
        <w:trPr>
          <w:jc w:val="center"/>
        </w:trPr>
        <w:tc>
          <w:tcPr>
            <w:tcW w:w="4876" w:type="dxa"/>
            <w:hideMark/>
          </w:tcPr>
          <w:p w14:paraId="6223D588" w14:textId="77777777" w:rsidR="006F5BFE" w:rsidRPr="003B2277" w:rsidRDefault="006F5BFE" w:rsidP="005B4D60">
            <w:pPr>
              <w:spacing w:after="120"/>
              <w:rPr>
                <w:lang w:eastAsia="en-US"/>
              </w:rPr>
            </w:pPr>
            <w:r w:rsidRPr="003B2277">
              <w:rPr>
                <w:rFonts w:eastAsia="Calibri" w:cs="Mangal"/>
                <w:lang w:eastAsia="en-US"/>
              </w:rPr>
              <w:t>6.</w:t>
            </w:r>
            <w:r w:rsidRPr="003B2277">
              <w:rPr>
                <w:rFonts w:eastAsia="Calibri" w:cs="Mangal"/>
                <w:lang w:eastAsia="en-US"/>
              </w:rPr>
              <w:tab/>
              <w:t>V primeru proizvodov s poreklom iz tretjih držav, ki se tržijo pod imenom, vpisanim v register, se lahko na označevanju navedeta označbi iz odstavka 3 ali z njima povezani simboli Unije.</w:t>
            </w:r>
          </w:p>
        </w:tc>
        <w:tc>
          <w:tcPr>
            <w:tcW w:w="4876" w:type="dxa"/>
            <w:hideMark/>
          </w:tcPr>
          <w:p w14:paraId="13C3B9C5" w14:textId="77777777" w:rsidR="006F5BFE" w:rsidRPr="003B2277" w:rsidRDefault="006F5BFE" w:rsidP="005B4D60">
            <w:pPr>
              <w:spacing w:after="120"/>
              <w:rPr>
                <w:szCs w:val="24"/>
                <w:lang w:eastAsia="en-US"/>
              </w:rPr>
            </w:pPr>
            <w:r w:rsidRPr="003B2277">
              <w:rPr>
                <w:rFonts w:eastAsia="Calibri" w:cs="Mangal"/>
                <w:lang w:eastAsia="en-US"/>
              </w:rPr>
              <w:t>6.</w:t>
            </w:r>
            <w:r w:rsidRPr="003B2277">
              <w:rPr>
                <w:rFonts w:eastAsia="Calibri" w:cs="Mangal"/>
                <w:lang w:eastAsia="en-US"/>
              </w:rPr>
              <w:tab/>
              <w:t xml:space="preserve">V primeru proizvodov s poreklom iz tretjih držav, ki se tržijo pod imenom, vpisanim v register, se lahko na označevanju navedeta označbi iz odstavka 3 ali z njima povezani simboli Unije. </w:t>
            </w:r>
            <w:r w:rsidRPr="003B2277">
              <w:rPr>
                <w:rFonts w:eastAsia="Calibri" w:cs="Mangal"/>
                <w:b/>
                <w:i/>
                <w:lang w:eastAsia="en-US"/>
              </w:rPr>
              <w:t>V primeru proizvodov iz tretjih držav, ki so zaščiteni z mednarodnim sporazumom, katerega pogodbenica je Unija, in se ne tržijo pod imenom, vpisanim v register, se na označevanju ne navedeta označbi iz odstavka 3 ali z njima povezani simboli Unije.</w:t>
            </w:r>
          </w:p>
        </w:tc>
      </w:tr>
      <w:tr w:rsidR="006F5BFE" w:rsidRPr="003B2277" w14:paraId="39CFAE84" w14:textId="77777777" w:rsidTr="005B4D60">
        <w:trPr>
          <w:jc w:val="center"/>
        </w:trPr>
        <w:tc>
          <w:tcPr>
            <w:tcW w:w="4876" w:type="dxa"/>
            <w:hideMark/>
          </w:tcPr>
          <w:p w14:paraId="4B24B642" w14:textId="77777777" w:rsidR="006F5BFE" w:rsidRPr="003B2277" w:rsidRDefault="006F5BFE" w:rsidP="005B4D60">
            <w:pPr>
              <w:spacing w:after="120"/>
              <w:rPr>
                <w:lang w:eastAsia="en-US"/>
              </w:rPr>
            </w:pPr>
            <w:r w:rsidRPr="003B2277">
              <w:rPr>
                <w:rFonts w:eastAsia="Calibri" w:cs="Mangal"/>
                <w:lang w:eastAsia="en-US"/>
              </w:rPr>
              <w:t>7.</w:t>
            </w:r>
            <w:r w:rsidRPr="003B2277">
              <w:rPr>
                <w:rFonts w:eastAsia="Calibri" w:cs="Mangal"/>
                <w:lang w:eastAsia="en-US"/>
              </w:rPr>
              <w:tab/>
              <w:t>Da se zagotovi posredovanje ustreznih informacij potrošnikom, se na Komisijo prenese pooblastilo, da v skladu s členom 56 sprejme delegirane akte, na podlagi katerih se določijo simboli Unije.</w:t>
            </w:r>
          </w:p>
        </w:tc>
        <w:tc>
          <w:tcPr>
            <w:tcW w:w="4876" w:type="dxa"/>
            <w:hideMark/>
          </w:tcPr>
          <w:p w14:paraId="5A70F0B8" w14:textId="77777777" w:rsidR="006F5BFE" w:rsidRPr="003B2277" w:rsidRDefault="006F5BFE" w:rsidP="005B4D60">
            <w:pPr>
              <w:spacing w:after="120"/>
              <w:rPr>
                <w:szCs w:val="24"/>
                <w:lang w:eastAsia="en-US"/>
              </w:rPr>
            </w:pPr>
            <w:r w:rsidRPr="003B2277">
              <w:rPr>
                <w:rFonts w:eastAsia="Calibri" w:cs="Mangal"/>
                <w:lang w:eastAsia="en-US"/>
              </w:rPr>
              <w:t>7.</w:t>
            </w:r>
            <w:r w:rsidRPr="003B2277">
              <w:rPr>
                <w:rFonts w:eastAsia="Calibri" w:cs="Mangal"/>
                <w:lang w:eastAsia="en-US"/>
              </w:rPr>
              <w:tab/>
              <w:t>Da se zagotovi posredovanje ustreznih informacij potrošnikom, se na Komisijo prenese pooblastilo, da v skladu s členom 56 sprejme delegirane akte, na podlagi katerih se določijo simboli Unije.</w:t>
            </w:r>
          </w:p>
        </w:tc>
      </w:tr>
      <w:tr w:rsidR="006F5BFE" w:rsidRPr="003B2277" w14:paraId="12D3935B" w14:textId="77777777" w:rsidTr="005B4D60">
        <w:trPr>
          <w:jc w:val="center"/>
        </w:trPr>
        <w:tc>
          <w:tcPr>
            <w:tcW w:w="4876" w:type="dxa"/>
            <w:hideMark/>
          </w:tcPr>
          <w:p w14:paraId="6F66D877" w14:textId="77777777" w:rsidR="006F5BFE" w:rsidRPr="003B2277" w:rsidRDefault="006F5BFE" w:rsidP="005B4D60">
            <w:pPr>
              <w:spacing w:after="120"/>
              <w:rPr>
                <w:lang w:eastAsia="en-US"/>
              </w:rPr>
            </w:pPr>
            <w:r w:rsidRPr="003B2277">
              <w:rPr>
                <w:rFonts w:eastAsia="Calibri" w:cs="Mangal"/>
                <w:lang w:eastAsia="en-US"/>
              </w:rPr>
              <w:t>Komisija lahko sprejme izvedbene akte, v katerih opredeli tehnične značilnosti simbolov Unije in označb, pa tudi pravila o njihovi uporabi na proizvodih, ki se tržijo pod zaščiteno označbo porekla ali zaščiteno geografsko označbo, vključno s pravili v zvezi z uporabo ustreznih jezikovnih različic. Ti izvedbeni akti se sprejmejo v skladu s postopkom pregleda iz člena 57(2).</w:t>
            </w:r>
          </w:p>
        </w:tc>
        <w:tc>
          <w:tcPr>
            <w:tcW w:w="4876" w:type="dxa"/>
            <w:hideMark/>
          </w:tcPr>
          <w:p w14:paraId="578B3741" w14:textId="7F445F65" w:rsidR="006F5BFE" w:rsidRPr="003B2277" w:rsidRDefault="006F5BFE" w:rsidP="005B4D60">
            <w:pPr>
              <w:spacing w:after="120"/>
              <w:rPr>
                <w:szCs w:val="24"/>
                <w:lang w:eastAsia="en-US"/>
              </w:rPr>
            </w:pPr>
            <w:r w:rsidRPr="003B2277">
              <w:rPr>
                <w:rFonts w:eastAsia="Calibri" w:cs="Mangal"/>
                <w:lang w:eastAsia="en-US"/>
              </w:rPr>
              <w:t>Komisija lahko sprejme izvedbene akte, v katerih opredeli tehnične značilnosti simbolov Unije in označb, pa tudi pravila o njihovi uporabi na proizvodih, ki se tržijo pod zaščiteno označbo porekla ali zaščiteno geografsko označbo, vključno s pravili v zvezi z uporabo ustreznih jezikovnih različic. Ti izvedbeni akti se sprejmejo v skladu s postopkom pregleda iz člena 57(2).</w:t>
            </w:r>
            <w:r w:rsidRPr="003B2277">
              <w:rPr>
                <w:rFonts w:eastAsia="Calibri" w:cs="Mangal"/>
                <w:b/>
                <w:i/>
                <w:lang w:eastAsia="en-US"/>
              </w:rPr>
              <w:t>“</w:t>
            </w:r>
          </w:p>
        </w:tc>
      </w:tr>
    </w:tbl>
    <w:p w14:paraId="3F9B9B68" w14:textId="77777777" w:rsidR="00F74495" w:rsidRDefault="00F74495"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4FA5CDD5" w14:textId="7F9683E8" w:rsidR="00F74495" w:rsidRPr="00D91804" w:rsidRDefault="008C7773" w:rsidP="00F74495">
      <w:pPr>
        <w:pStyle w:val="AmNumberTabs0"/>
      </w:pPr>
      <w:r>
        <w:t>Sprememba</w:t>
      </w:r>
      <w:r w:rsidR="00F74495" w:rsidRPr="00D91804">
        <w:tab/>
      </w:r>
      <w:r w:rsidR="00F74495" w:rsidRPr="00D91804">
        <w:tab/>
        <w:t>253</w:t>
      </w:r>
    </w:p>
    <w:p w14:paraId="26D6312F" w14:textId="77777777" w:rsidR="00F74495" w:rsidRPr="00D91804" w:rsidRDefault="00F74495" w:rsidP="00F74495">
      <w:pPr>
        <w:pStyle w:val="NormalBold12b"/>
      </w:pPr>
      <w:r w:rsidRPr="00D91804">
        <w:t>Predlog uredbe</w:t>
      </w:r>
    </w:p>
    <w:p w14:paraId="02299286" w14:textId="77777777" w:rsidR="00F74495" w:rsidRPr="00D91804" w:rsidRDefault="00F74495" w:rsidP="00F74495">
      <w:pPr>
        <w:pStyle w:val="NormalBold"/>
      </w:pPr>
      <w:r w:rsidRPr="00D91804">
        <w:t>Člen 2 – odstavek 1 – točka 5</w:t>
      </w:r>
    </w:p>
    <w:p w14:paraId="0FE6C5DF" w14:textId="77777777" w:rsidR="00F74495" w:rsidRPr="00D91804" w:rsidRDefault="00F74495" w:rsidP="00F74495">
      <w:r w:rsidRPr="00D91804">
        <w:t>Uredba (EU) št. 1308/2013</w:t>
      </w:r>
    </w:p>
    <w:p w14:paraId="2341AF6B" w14:textId="77777777" w:rsidR="00F74495" w:rsidRPr="00D91804" w:rsidRDefault="00F74495" w:rsidP="00F74495">
      <w:r w:rsidRPr="00D91804">
        <w:t>Člen 13</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74495" w:rsidRPr="00D91804" w14:paraId="7765AD6C" w14:textId="77777777" w:rsidTr="005809F6">
        <w:trPr>
          <w:jc w:val="center"/>
        </w:trPr>
        <w:tc>
          <w:tcPr>
            <w:tcW w:w="9752" w:type="dxa"/>
            <w:gridSpan w:val="2"/>
          </w:tcPr>
          <w:p w14:paraId="29F35737" w14:textId="77777777" w:rsidR="00F74495" w:rsidRPr="00D91804" w:rsidRDefault="00F74495" w:rsidP="005809F6">
            <w:pPr>
              <w:keepNext/>
            </w:pPr>
          </w:p>
        </w:tc>
      </w:tr>
      <w:tr w:rsidR="00F74495" w:rsidRPr="00D91804" w14:paraId="6C82FAD7" w14:textId="77777777" w:rsidTr="005809F6">
        <w:trPr>
          <w:jc w:val="center"/>
        </w:trPr>
        <w:tc>
          <w:tcPr>
            <w:tcW w:w="4876" w:type="dxa"/>
          </w:tcPr>
          <w:p w14:paraId="12BAFD47" w14:textId="77777777" w:rsidR="00F74495" w:rsidRPr="00D91804" w:rsidRDefault="00F74495" w:rsidP="005809F6">
            <w:pPr>
              <w:pStyle w:val="AmColumnHeading"/>
              <w:keepNext/>
            </w:pPr>
            <w:r w:rsidRPr="00D91804">
              <w:t>Veljavno besedilo</w:t>
            </w:r>
          </w:p>
        </w:tc>
        <w:tc>
          <w:tcPr>
            <w:tcW w:w="4876" w:type="dxa"/>
          </w:tcPr>
          <w:p w14:paraId="2A9335C8" w14:textId="3590E76F" w:rsidR="00F74495" w:rsidRPr="00D91804" w:rsidRDefault="008C7773" w:rsidP="005809F6">
            <w:pPr>
              <w:pStyle w:val="AmColumnHeading"/>
              <w:keepNext/>
            </w:pPr>
            <w:r>
              <w:t>Sprememba</w:t>
            </w:r>
          </w:p>
        </w:tc>
      </w:tr>
      <w:tr w:rsidR="00F74495" w:rsidRPr="00D91804" w14:paraId="2494A251" w14:textId="77777777" w:rsidTr="005809F6">
        <w:trPr>
          <w:jc w:val="center"/>
        </w:trPr>
        <w:tc>
          <w:tcPr>
            <w:tcW w:w="4876" w:type="dxa"/>
          </w:tcPr>
          <w:p w14:paraId="77DE0B5B" w14:textId="77777777" w:rsidR="00F74495" w:rsidRPr="00D91804" w:rsidRDefault="00F74495" w:rsidP="005809F6">
            <w:pPr>
              <w:pStyle w:val="Normal6"/>
            </w:pPr>
          </w:p>
        </w:tc>
        <w:tc>
          <w:tcPr>
            <w:tcW w:w="4876" w:type="dxa"/>
          </w:tcPr>
          <w:p w14:paraId="1C6688A3" w14:textId="77777777" w:rsidR="00F74495" w:rsidRPr="00D91804" w:rsidRDefault="00F74495" w:rsidP="005809F6">
            <w:pPr>
              <w:pStyle w:val="Normal6"/>
              <w:rPr>
                <w:szCs w:val="24"/>
              </w:rPr>
            </w:pPr>
            <w:r w:rsidRPr="00D91804">
              <w:rPr>
                <w:b/>
                <w:i/>
              </w:rPr>
              <w:t>(5)</w:t>
            </w:r>
            <w:r w:rsidRPr="00D91804">
              <w:rPr>
                <w:b/>
                <w:i/>
              </w:rPr>
              <w:tab/>
              <w:t>člen 13 se nadomesti z naslednjim:</w:t>
            </w:r>
          </w:p>
        </w:tc>
      </w:tr>
      <w:tr w:rsidR="00F74495" w:rsidRPr="00465DEA" w14:paraId="75B4547A" w14:textId="77777777" w:rsidTr="005809F6">
        <w:trPr>
          <w:jc w:val="center"/>
        </w:trPr>
        <w:tc>
          <w:tcPr>
            <w:tcW w:w="4876" w:type="dxa"/>
          </w:tcPr>
          <w:p w14:paraId="7523D3BE" w14:textId="77777777" w:rsidR="00F74495" w:rsidRPr="00465DEA" w:rsidRDefault="00F74495" w:rsidP="005809F6">
            <w:pPr>
              <w:pStyle w:val="Normal6"/>
            </w:pPr>
            <w:r w:rsidRPr="00FD1F1B">
              <w:t xml:space="preserve">Člen </w:t>
            </w:r>
            <w:r w:rsidRPr="00465DEA">
              <w:t>13</w:t>
            </w:r>
            <w:r w:rsidRPr="00FD1F1B">
              <w:t xml:space="preserve">  </w:t>
            </w:r>
          </w:p>
        </w:tc>
        <w:tc>
          <w:tcPr>
            <w:tcW w:w="4876" w:type="dxa"/>
          </w:tcPr>
          <w:p w14:paraId="7A7F0373" w14:textId="77777777" w:rsidR="00F74495" w:rsidRPr="00465DEA" w:rsidRDefault="00F74495" w:rsidP="005809F6">
            <w:pPr>
              <w:pStyle w:val="Normal6"/>
              <w:rPr>
                <w:szCs w:val="24"/>
              </w:rPr>
            </w:pPr>
            <w:r w:rsidRPr="00FD1F1B">
              <w:t>„Člen </w:t>
            </w:r>
            <w:r w:rsidRPr="00465DEA">
              <w:t>13</w:t>
            </w:r>
          </w:p>
        </w:tc>
      </w:tr>
      <w:tr w:rsidR="00F74495" w:rsidRPr="00D91804" w14:paraId="5CA78051" w14:textId="77777777" w:rsidTr="005809F6">
        <w:trPr>
          <w:jc w:val="center"/>
        </w:trPr>
        <w:tc>
          <w:tcPr>
            <w:tcW w:w="4876" w:type="dxa"/>
          </w:tcPr>
          <w:p w14:paraId="2219B659" w14:textId="77777777" w:rsidR="00F74495" w:rsidRPr="00D91804" w:rsidRDefault="00F74495" w:rsidP="005809F6">
            <w:pPr>
              <w:pStyle w:val="Normal6"/>
            </w:pPr>
            <w:r w:rsidRPr="00D91804">
              <w:t>Zaščita</w:t>
            </w:r>
          </w:p>
        </w:tc>
        <w:tc>
          <w:tcPr>
            <w:tcW w:w="4876" w:type="dxa"/>
          </w:tcPr>
          <w:p w14:paraId="4F7528B5" w14:textId="77777777" w:rsidR="00F74495" w:rsidRPr="00D91804" w:rsidRDefault="00F74495" w:rsidP="005809F6">
            <w:pPr>
              <w:pStyle w:val="Normal6"/>
              <w:rPr>
                <w:szCs w:val="24"/>
              </w:rPr>
            </w:pPr>
            <w:r w:rsidRPr="00D91804">
              <w:t>Zaščita</w:t>
            </w:r>
          </w:p>
        </w:tc>
      </w:tr>
      <w:tr w:rsidR="00F74495" w:rsidRPr="00D91804" w14:paraId="3AE8301F" w14:textId="77777777" w:rsidTr="005809F6">
        <w:trPr>
          <w:jc w:val="center"/>
        </w:trPr>
        <w:tc>
          <w:tcPr>
            <w:tcW w:w="4876" w:type="dxa"/>
          </w:tcPr>
          <w:p w14:paraId="20F29817" w14:textId="77777777" w:rsidR="00F74495" w:rsidRPr="00D91804" w:rsidRDefault="00F74495" w:rsidP="005809F6">
            <w:pPr>
              <w:pStyle w:val="Normal6"/>
            </w:pPr>
            <w:r w:rsidRPr="00D91804">
              <w:t>1.</w:t>
            </w:r>
            <w:r w:rsidRPr="00D91804">
              <w:tab/>
              <w:t>Registrirana imena so zaščitena pred:</w:t>
            </w:r>
          </w:p>
        </w:tc>
        <w:tc>
          <w:tcPr>
            <w:tcW w:w="4876" w:type="dxa"/>
          </w:tcPr>
          <w:p w14:paraId="15C17D14" w14:textId="77777777" w:rsidR="00F74495" w:rsidRPr="00D91804" w:rsidRDefault="00F74495" w:rsidP="005809F6">
            <w:pPr>
              <w:pStyle w:val="Normal6"/>
              <w:rPr>
                <w:szCs w:val="24"/>
              </w:rPr>
            </w:pPr>
            <w:r w:rsidRPr="00D91804">
              <w:t>1.</w:t>
            </w:r>
            <w:r w:rsidRPr="00D91804">
              <w:tab/>
              <w:t>Registrirana imena so zaščitena pred:</w:t>
            </w:r>
          </w:p>
        </w:tc>
      </w:tr>
      <w:tr w:rsidR="00F74495" w:rsidRPr="00D91804" w14:paraId="19116D8B" w14:textId="77777777" w:rsidTr="005809F6">
        <w:trPr>
          <w:jc w:val="center"/>
        </w:trPr>
        <w:tc>
          <w:tcPr>
            <w:tcW w:w="4876" w:type="dxa"/>
          </w:tcPr>
          <w:p w14:paraId="788AF684" w14:textId="77777777" w:rsidR="00F74495" w:rsidRPr="00D91804" w:rsidRDefault="00F74495" w:rsidP="005809F6">
            <w:pPr>
              <w:pStyle w:val="Normal6"/>
            </w:pPr>
            <w:r w:rsidRPr="00D91804">
              <w:t>(a)</w:t>
            </w:r>
            <w:r w:rsidRPr="00D91804">
              <w:tab/>
              <w:t>vsako neposredno ali posredno komercialno rabo registriranega imena za proizvode, ki jih registracija ne zajema, če so ti proizvodi primerljivi s proizvodi, registriranimi pod zadevnim imenom, ali če se z rabo imena izkorišča sloves zaščitenega imena, tudi kadar so ti proizvodi uporabljeni kot sestavine;</w:t>
            </w:r>
          </w:p>
        </w:tc>
        <w:tc>
          <w:tcPr>
            <w:tcW w:w="4876" w:type="dxa"/>
          </w:tcPr>
          <w:p w14:paraId="06201D51" w14:textId="77777777" w:rsidR="00F74495" w:rsidRPr="00D91804" w:rsidRDefault="00F74495" w:rsidP="005809F6">
            <w:pPr>
              <w:pStyle w:val="Normal6"/>
              <w:rPr>
                <w:szCs w:val="24"/>
              </w:rPr>
            </w:pPr>
            <w:r w:rsidRPr="00D91804">
              <w:t>(a)</w:t>
            </w:r>
            <w:r w:rsidRPr="00D91804">
              <w:tab/>
              <w:t>vsako neposredno ali posredno komercialno rabo registriranega imena za proizvode, ki jih registracija ne zajema, če so ti proizvodi primerljivi s proizvodi, registriranimi pod zadevnim imenom, ali če se z rabo imena izkorišča</w:t>
            </w:r>
            <w:r w:rsidRPr="00D91804">
              <w:rPr>
                <w:b/>
                <w:i/>
              </w:rPr>
              <w:t>, slabi ali zmanjšuje</w:t>
            </w:r>
            <w:r w:rsidRPr="00D91804">
              <w:t xml:space="preserve"> sloves zaščitenega imena, tudi kadar so ti proizvodi uporabljeni kot sestavine;</w:t>
            </w:r>
          </w:p>
        </w:tc>
      </w:tr>
      <w:tr w:rsidR="00F74495" w:rsidRPr="00D91804" w14:paraId="1E169805" w14:textId="77777777" w:rsidTr="005809F6">
        <w:trPr>
          <w:jc w:val="center"/>
        </w:trPr>
        <w:tc>
          <w:tcPr>
            <w:tcW w:w="4876" w:type="dxa"/>
          </w:tcPr>
          <w:p w14:paraId="4CA41B0D" w14:textId="77777777" w:rsidR="00F74495" w:rsidRPr="00D91804" w:rsidRDefault="00F74495" w:rsidP="005809F6">
            <w:pPr>
              <w:pStyle w:val="Normal6"/>
            </w:pPr>
            <w:r w:rsidRPr="00D91804">
              <w:t>(b)</w:t>
            </w:r>
            <w:r w:rsidRPr="00D91804">
              <w:tab/>
              <w:t>vsako zlorabo, posnemanjem ali navajanjem, tudi če je navedeno pravo poreklo proizvodov ali storitev ali če je zaščiteno ime prevedeno ali mu je dodan izraz, kot so „vrsta“, „tip“, „metoda“, „kot se proizvaja v“, „imitacija“ ali podobno, tudi kadar so ti proizvodi uporabljeni kot sestavine;</w:t>
            </w:r>
          </w:p>
        </w:tc>
        <w:tc>
          <w:tcPr>
            <w:tcW w:w="4876" w:type="dxa"/>
          </w:tcPr>
          <w:p w14:paraId="4EAEAC58" w14:textId="77777777" w:rsidR="00F74495" w:rsidRPr="00D91804" w:rsidRDefault="00F74495" w:rsidP="005809F6">
            <w:pPr>
              <w:pStyle w:val="Normal6"/>
              <w:rPr>
                <w:szCs w:val="24"/>
              </w:rPr>
            </w:pPr>
            <w:r w:rsidRPr="00D91804">
              <w:t>(b)</w:t>
            </w:r>
            <w:r w:rsidRPr="00D91804">
              <w:tab/>
              <w:t>vsako zlorabo, posnemanjem ali navajanjem, tudi če je navedeno pravo poreklo proizvodov ali storitev ali če je zaščiteno ime prevedeno ali mu je dodan izraz, kot so „vrsta“, „tip“, „metoda“, „kot se proizvaja v“, „imitacija“ ali podobno, tudi kadar so ti proizvodi uporabljeni kot sestavine;</w:t>
            </w:r>
          </w:p>
        </w:tc>
      </w:tr>
      <w:tr w:rsidR="00F74495" w:rsidRPr="00D91804" w14:paraId="2434B1EB" w14:textId="77777777" w:rsidTr="005809F6">
        <w:trPr>
          <w:jc w:val="center"/>
        </w:trPr>
        <w:tc>
          <w:tcPr>
            <w:tcW w:w="4876" w:type="dxa"/>
          </w:tcPr>
          <w:p w14:paraId="63D2A871" w14:textId="77777777" w:rsidR="00F74495" w:rsidRPr="00D91804" w:rsidRDefault="00F74495" w:rsidP="005809F6">
            <w:pPr>
              <w:pStyle w:val="Normal6"/>
            </w:pPr>
            <w:r w:rsidRPr="00D91804">
              <w:t>(c)</w:t>
            </w:r>
            <w:r w:rsidRPr="00D91804">
              <w:tab/>
              <w:t>vsako drugo napačno ali zavajajočo označbo izvora, porekla, značaja ali bistvenih lastnosti proizvoda, ki se uporablja na notranji ali zunanji strani embalaže, v reklamnem gradivu ali dokumentih v zvezi z zadevnim proizvodom in pred uporabo embalaže, ki lahko ustvari napačen vtis o njegovem poreklu;</w:t>
            </w:r>
          </w:p>
        </w:tc>
        <w:tc>
          <w:tcPr>
            <w:tcW w:w="4876" w:type="dxa"/>
          </w:tcPr>
          <w:p w14:paraId="2394F2D6" w14:textId="77777777" w:rsidR="00F74495" w:rsidRPr="00D91804" w:rsidRDefault="00F74495" w:rsidP="005809F6">
            <w:pPr>
              <w:pStyle w:val="Normal6"/>
              <w:rPr>
                <w:szCs w:val="24"/>
              </w:rPr>
            </w:pPr>
            <w:r w:rsidRPr="00D91804">
              <w:t>(c)</w:t>
            </w:r>
            <w:r w:rsidRPr="00D91804">
              <w:tab/>
              <w:t>vsako drugo napačno ali zavajajočo označbo izvora, porekla, značaja ali bistvenih lastnosti proizvoda, ki se uporablja na notranji ali zunanji strani embalaže, v reklamnem gradivu ali dokumentih v zvezi z zadevnim proizvodom in pred uporabo embalaže, ki lahko ustvari napačen vtis o njegovem poreklu;</w:t>
            </w:r>
          </w:p>
        </w:tc>
      </w:tr>
      <w:tr w:rsidR="00F74495" w:rsidRPr="00D91804" w14:paraId="35FBAEFF" w14:textId="77777777" w:rsidTr="005809F6">
        <w:trPr>
          <w:jc w:val="center"/>
        </w:trPr>
        <w:tc>
          <w:tcPr>
            <w:tcW w:w="4876" w:type="dxa"/>
          </w:tcPr>
          <w:p w14:paraId="149A445D" w14:textId="77777777" w:rsidR="00F74495" w:rsidRPr="00D91804" w:rsidRDefault="00F74495" w:rsidP="005809F6">
            <w:pPr>
              <w:pStyle w:val="Normal6"/>
            </w:pPr>
            <w:r w:rsidRPr="00D91804">
              <w:t>(d)</w:t>
            </w:r>
            <w:r w:rsidRPr="00D91804">
              <w:tab/>
            </w:r>
            <w:r w:rsidRPr="00D91804">
              <w:rPr>
                <w:b/>
                <w:i/>
              </w:rPr>
              <w:t>vsako drugo prakso</w:t>
            </w:r>
            <w:r w:rsidRPr="00D91804">
              <w:t xml:space="preserve">, ki lahko </w:t>
            </w:r>
            <w:r w:rsidRPr="00D91804">
              <w:rPr>
                <w:b/>
                <w:i/>
              </w:rPr>
              <w:t>potrošnike zavede</w:t>
            </w:r>
            <w:r w:rsidRPr="00D91804">
              <w:t xml:space="preserve"> glede </w:t>
            </w:r>
            <w:r w:rsidRPr="00D91804">
              <w:rPr>
                <w:b/>
                <w:i/>
              </w:rPr>
              <w:t>pravega</w:t>
            </w:r>
            <w:r w:rsidRPr="00D91804">
              <w:t xml:space="preserve"> porekla proizvoda.</w:t>
            </w:r>
          </w:p>
        </w:tc>
        <w:tc>
          <w:tcPr>
            <w:tcW w:w="4876" w:type="dxa"/>
          </w:tcPr>
          <w:p w14:paraId="7D3D5BE7" w14:textId="77777777" w:rsidR="00F74495" w:rsidRPr="00D91804" w:rsidRDefault="00F74495" w:rsidP="005809F6">
            <w:pPr>
              <w:pStyle w:val="Normal6"/>
              <w:rPr>
                <w:szCs w:val="24"/>
              </w:rPr>
            </w:pPr>
            <w:r w:rsidRPr="00D91804">
              <w:t>(d)</w:t>
            </w:r>
            <w:r w:rsidRPr="00D91804">
              <w:tab/>
            </w:r>
            <w:r w:rsidRPr="00D91804">
              <w:rPr>
                <w:b/>
                <w:i/>
              </w:rPr>
              <w:t>vsemi drugimi praksami</w:t>
            </w:r>
            <w:r w:rsidRPr="00D91804">
              <w:t xml:space="preserve">, ki lahko </w:t>
            </w:r>
            <w:r w:rsidRPr="00D91804">
              <w:rPr>
                <w:b/>
                <w:i/>
              </w:rPr>
              <w:t>potrošnika zavajajo</w:t>
            </w:r>
            <w:r w:rsidRPr="00D91804">
              <w:t xml:space="preserve"> glede </w:t>
            </w:r>
            <w:r w:rsidRPr="00D91804">
              <w:rPr>
                <w:b/>
                <w:i/>
              </w:rPr>
              <w:t>resničnega</w:t>
            </w:r>
            <w:r w:rsidRPr="00D91804">
              <w:t xml:space="preserve"> porekla proizvoda.</w:t>
            </w:r>
          </w:p>
        </w:tc>
      </w:tr>
      <w:tr w:rsidR="00F74495" w:rsidRPr="00D91804" w14:paraId="7A58AA46" w14:textId="77777777" w:rsidTr="005809F6">
        <w:trPr>
          <w:jc w:val="center"/>
        </w:trPr>
        <w:tc>
          <w:tcPr>
            <w:tcW w:w="4876" w:type="dxa"/>
          </w:tcPr>
          <w:p w14:paraId="13752CB4" w14:textId="77777777" w:rsidR="00F74495" w:rsidRPr="00D91804" w:rsidRDefault="00F74495" w:rsidP="005809F6">
            <w:pPr>
              <w:pStyle w:val="Normal6"/>
            </w:pPr>
          </w:p>
        </w:tc>
        <w:tc>
          <w:tcPr>
            <w:tcW w:w="4876" w:type="dxa"/>
          </w:tcPr>
          <w:p w14:paraId="1140B47C" w14:textId="77777777" w:rsidR="00F74495" w:rsidRPr="00D91804" w:rsidRDefault="00F74495" w:rsidP="005809F6">
            <w:pPr>
              <w:pStyle w:val="Normal6"/>
            </w:pPr>
            <w:r w:rsidRPr="00D91804">
              <w:rPr>
                <w:b/>
                <w:i/>
              </w:rPr>
              <w:t>(da)</w:t>
            </w:r>
            <w:r w:rsidRPr="00D91804">
              <w:rPr>
                <w:b/>
                <w:i/>
              </w:rPr>
              <w:tab/>
              <w:t>vsakršnimi zlonamernimi registracijami imena domene, ki je podobno ali zaradi katerega bi lahko prišlo do delne ali popolne zamenjave z zaščiteno označbo.</w:t>
            </w:r>
          </w:p>
        </w:tc>
      </w:tr>
      <w:tr w:rsidR="00F74495" w:rsidRPr="00D91804" w14:paraId="1831E423" w14:textId="77777777" w:rsidTr="005809F6">
        <w:trPr>
          <w:jc w:val="center"/>
        </w:trPr>
        <w:tc>
          <w:tcPr>
            <w:tcW w:w="4876" w:type="dxa"/>
          </w:tcPr>
          <w:p w14:paraId="3689263B" w14:textId="77777777" w:rsidR="00F74495" w:rsidRPr="00D91804" w:rsidRDefault="00F74495" w:rsidP="005809F6">
            <w:pPr>
              <w:pStyle w:val="Normal6"/>
            </w:pPr>
            <w:r w:rsidRPr="00D91804">
              <w:t>Kadar zaščitena označba porekla ali zaščitena geografska označba vsebuje ime proizvoda, ki se šteje za generično, uporaba tega generičnega imena ne velja za nasprotno s točkama (a) ali (b) prvega pododstavka.</w:t>
            </w:r>
          </w:p>
        </w:tc>
        <w:tc>
          <w:tcPr>
            <w:tcW w:w="4876" w:type="dxa"/>
          </w:tcPr>
          <w:p w14:paraId="468C875D" w14:textId="77777777" w:rsidR="00F74495" w:rsidRPr="00D91804" w:rsidRDefault="00F74495" w:rsidP="005809F6">
            <w:pPr>
              <w:pStyle w:val="Normal6"/>
              <w:rPr>
                <w:szCs w:val="24"/>
              </w:rPr>
            </w:pPr>
            <w:r w:rsidRPr="00D91804">
              <w:t>Kadar zaščitena označba porekla ali zaščitena geografska označba vsebuje ime proizvoda, ki se šteje za generično, uporaba tega generičnega imena ne velja za nasprotno s točkama (a) ali (b) prvega pododstavka.</w:t>
            </w:r>
          </w:p>
        </w:tc>
      </w:tr>
      <w:tr w:rsidR="00F74495" w:rsidRPr="00D91804" w14:paraId="27D83CB3" w14:textId="77777777" w:rsidTr="005809F6">
        <w:trPr>
          <w:jc w:val="center"/>
        </w:trPr>
        <w:tc>
          <w:tcPr>
            <w:tcW w:w="4876" w:type="dxa"/>
          </w:tcPr>
          <w:p w14:paraId="4D09D507" w14:textId="77777777" w:rsidR="00F74495" w:rsidRPr="00D91804" w:rsidRDefault="00F74495" w:rsidP="005809F6">
            <w:pPr>
              <w:pStyle w:val="Normal6"/>
            </w:pPr>
            <w:r w:rsidRPr="00D91804">
              <w:t>2.</w:t>
            </w:r>
            <w:r w:rsidRPr="00D91804">
              <w:tab/>
              <w:t>Zaščitene označbe porekla in zaščitene geografske označbe ne postanejo generične.</w:t>
            </w:r>
          </w:p>
        </w:tc>
        <w:tc>
          <w:tcPr>
            <w:tcW w:w="4876" w:type="dxa"/>
          </w:tcPr>
          <w:p w14:paraId="0D3E3DDF" w14:textId="77777777" w:rsidR="00F74495" w:rsidRPr="00D91804" w:rsidRDefault="00F74495" w:rsidP="005809F6">
            <w:pPr>
              <w:pStyle w:val="Normal6"/>
              <w:rPr>
                <w:szCs w:val="24"/>
              </w:rPr>
            </w:pPr>
            <w:r w:rsidRPr="00D91804">
              <w:t>2.</w:t>
            </w:r>
            <w:r w:rsidRPr="00D91804">
              <w:tab/>
              <w:t>Zaščitene označbe porekla in zaščitene geografske označbe ne postanejo generične.</w:t>
            </w:r>
          </w:p>
        </w:tc>
      </w:tr>
      <w:tr w:rsidR="00F74495" w:rsidRPr="00D91804" w14:paraId="025A2BD9" w14:textId="77777777" w:rsidTr="005809F6">
        <w:trPr>
          <w:jc w:val="center"/>
        </w:trPr>
        <w:tc>
          <w:tcPr>
            <w:tcW w:w="4876" w:type="dxa"/>
          </w:tcPr>
          <w:p w14:paraId="2D9D6AB5" w14:textId="77777777" w:rsidR="00F74495" w:rsidRPr="00D91804" w:rsidRDefault="00F74495" w:rsidP="005809F6">
            <w:pPr>
              <w:pStyle w:val="Normal6"/>
            </w:pPr>
            <w:r w:rsidRPr="00D91804">
              <w:t>3.</w:t>
            </w:r>
            <w:r w:rsidRPr="00D91804">
              <w:tab/>
              <w:t>Države članice sprejmejo ustrezne upravne in sodne ukrepe za preprečitev ali odpravo nezakonite uporabe zaščitenih označb porekla in zaščitenih geografskih označb, kot je navedeno v odstavku 1, na proizvodih, ki so proizvedeni ali trženi v tej državi članici.</w:t>
            </w:r>
          </w:p>
        </w:tc>
        <w:tc>
          <w:tcPr>
            <w:tcW w:w="4876" w:type="dxa"/>
          </w:tcPr>
          <w:p w14:paraId="0B1366C4" w14:textId="77777777" w:rsidR="00F74495" w:rsidRPr="00D91804" w:rsidRDefault="00F74495" w:rsidP="005809F6">
            <w:pPr>
              <w:pStyle w:val="Normal6"/>
              <w:rPr>
                <w:szCs w:val="24"/>
              </w:rPr>
            </w:pPr>
            <w:r w:rsidRPr="00D91804">
              <w:t>3.</w:t>
            </w:r>
            <w:r w:rsidRPr="00D91804">
              <w:tab/>
              <w:t>Države članice sprejmejo ustrezne upravne in sodne ukrepe za preprečitev ali odpravo nezakonite uporabe zaščitenih označb porekla in zaščitenih geografskih označb, kot je navedeno v odstavku 1, na proizvodih, ki so proizvedeni ali trženi v tej državi članici.</w:t>
            </w:r>
          </w:p>
        </w:tc>
      </w:tr>
      <w:tr w:rsidR="00F74495" w:rsidRPr="00D91804" w14:paraId="4E4C9437" w14:textId="77777777" w:rsidTr="005809F6">
        <w:trPr>
          <w:jc w:val="center"/>
        </w:trPr>
        <w:tc>
          <w:tcPr>
            <w:tcW w:w="4876" w:type="dxa"/>
          </w:tcPr>
          <w:p w14:paraId="5850D19D" w14:textId="77777777" w:rsidR="00F74495" w:rsidRPr="00D91804" w:rsidRDefault="00F74495" w:rsidP="005809F6">
            <w:pPr>
              <w:pStyle w:val="Normal6"/>
            </w:pPr>
          </w:p>
        </w:tc>
        <w:tc>
          <w:tcPr>
            <w:tcW w:w="4876" w:type="dxa"/>
          </w:tcPr>
          <w:p w14:paraId="2F864D34" w14:textId="77777777" w:rsidR="00F74495" w:rsidRPr="00D91804" w:rsidRDefault="00F74495" w:rsidP="005809F6">
            <w:pPr>
              <w:pStyle w:val="Normal6"/>
              <w:rPr>
                <w:szCs w:val="24"/>
              </w:rPr>
            </w:pPr>
            <w:r w:rsidRPr="00D91804">
              <w:rPr>
                <w:b/>
                <w:i/>
              </w:rPr>
              <w:t>3a.</w:t>
            </w:r>
            <w:r w:rsidRPr="00D91804">
              <w:rPr>
                <w:b/>
                <w:i/>
              </w:rPr>
              <w:tab/>
              <w:t>Zaščita iz odstavka 1 se uporablja tudi za blago v tranzitu v smislu točke 44 člena 3 Uredbe (EU) 2017/625, ki vstopa na carinsko območje Unije, ne da bi bilo sproščeno v prosti promet na carinskem območju Unije, in za blago, ki se prodaja prek sredstev za komuniciranje na daljavo.</w:t>
            </w:r>
          </w:p>
        </w:tc>
      </w:tr>
      <w:tr w:rsidR="00F74495" w:rsidRPr="00D91804" w14:paraId="5B2B9EA6" w14:textId="77777777" w:rsidTr="005809F6">
        <w:trPr>
          <w:jc w:val="center"/>
        </w:trPr>
        <w:tc>
          <w:tcPr>
            <w:tcW w:w="4876" w:type="dxa"/>
          </w:tcPr>
          <w:p w14:paraId="6ADED107" w14:textId="77777777" w:rsidR="00F74495" w:rsidRPr="00D91804" w:rsidRDefault="00F74495" w:rsidP="005809F6">
            <w:pPr>
              <w:pStyle w:val="Normal6"/>
            </w:pPr>
            <w:r w:rsidRPr="00D91804">
              <w:t>Države članice v ta namen imenujejo organe, ki so odgovorni za sprejetje teh ukrepov v skladu s postopki, ki jih določi vsaka posamezna država članica.</w:t>
            </w:r>
          </w:p>
        </w:tc>
        <w:tc>
          <w:tcPr>
            <w:tcW w:w="4876" w:type="dxa"/>
          </w:tcPr>
          <w:p w14:paraId="0105EB97" w14:textId="77777777" w:rsidR="00F74495" w:rsidRPr="00D91804" w:rsidRDefault="00F74495" w:rsidP="005809F6">
            <w:pPr>
              <w:pStyle w:val="Normal6"/>
              <w:rPr>
                <w:szCs w:val="24"/>
              </w:rPr>
            </w:pPr>
            <w:r w:rsidRPr="00D91804">
              <w:t>Države članice v ta namen imenujejo organe, ki so odgovorni za sprejetje teh ukrepov v skladu s postopki, ki jih določi vsaka posamezna država članica.</w:t>
            </w:r>
          </w:p>
        </w:tc>
      </w:tr>
      <w:tr w:rsidR="00F74495" w:rsidRPr="00D91804" w14:paraId="00A27884" w14:textId="77777777" w:rsidTr="005809F6">
        <w:trPr>
          <w:jc w:val="center"/>
        </w:trPr>
        <w:tc>
          <w:tcPr>
            <w:tcW w:w="4876" w:type="dxa"/>
          </w:tcPr>
          <w:p w14:paraId="3372393F" w14:textId="77777777" w:rsidR="00F74495" w:rsidRPr="00D91804" w:rsidRDefault="00F74495" w:rsidP="005809F6">
            <w:pPr>
              <w:pStyle w:val="Normal6"/>
            </w:pPr>
            <w:r w:rsidRPr="00D91804">
              <w:t>Ti organi zagotavljajo ustrezno objektivnost in nepristranskost, pri čemer imajo na voljo usposobljeno osebje in sredstva, potrebna za izvajanje svojih nalog.</w:t>
            </w:r>
          </w:p>
        </w:tc>
        <w:tc>
          <w:tcPr>
            <w:tcW w:w="4876" w:type="dxa"/>
          </w:tcPr>
          <w:p w14:paraId="400AFD41" w14:textId="77777777" w:rsidR="00F74495" w:rsidRPr="00D91804" w:rsidRDefault="00F74495" w:rsidP="005809F6">
            <w:pPr>
              <w:pStyle w:val="Normal6"/>
              <w:rPr>
                <w:szCs w:val="24"/>
              </w:rPr>
            </w:pPr>
            <w:r w:rsidRPr="00D91804">
              <w:t>Ti organi zagotavljajo ustrezno objektivnost in nepristranskost, pri čemer imajo na voljo usposobljeno osebje in sredstva, potrebna za izvajanje svojih nalog.</w:t>
            </w:r>
            <w:r w:rsidRPr="00D91804">
              <w:rPr>
                <w:b/>
                <w:i/>
              </w:rPr>
              <w:t>“</w:t>
            </w:r>
          </w:p>
        </w:tc>
      </w:tr>
    </w:tbl>
    <w:p w14:paraId="209E90A6" w14:textId="77777777" w:rsidR="006F5BFE" w:rsidRPr="003B2277" w:rsidRDefault="006F5BFE" w:rsidP="006F5BFE">
      <w:pPr>
        <w:rPr>
          <w:lang w:eastAsia="en-US"/>
        </w:rPr>
      </w:pPr>
    </w:p>
    <w:p w14:paraId="7E2006B2" w14:textId="48F5F3F0"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189</w:t>
      </w:r>
    </w:p>
    <w:p w14:paraId="2DADC510" w14:textId="77777777" w:rsidR="006F5BFE" w:rsidRPr="003B2277" w:rsidRDefault="006F5BFE" w:rsidP="006F5BFE"/>
    <w:p w14:paraId="7E6DCDF3" w14:textId="77777777" w:rsidR="006F5BFE" w:rsidRPr="003B2277" w:rsidRDefault="006F5BFE" w:rsidP="006F5BFE">
      <w:pPr>
        <w:keepNext/>
        <w:rPr>
          <w:b/>
          <w:lang w:eastAsia="en-US"/>
        </w:rPr>
      </w:pPr>
      <w:r w:rsidRPr="003B2277">
        <w:rPr>
          <w:rFonts w:eastAsia="Calibri" w:cs="Mangal"/>
          <w:b/>
          <w:lang w:eastAsia="en-US"/>
        </w:rPr>
        <w:t>Predlog uredbe</w:t>
      </w:r>
    </w:p>
    <w:p w14:paraId="5582ECFF" w14:textId="77777777" w:rsidR="006F5BFE" w:rsidRPr="003B2277" w:rsidRDefault="006F5BFE" w:rsidP="006F5BFE">
      <w:pPr>
        <w:rPr>
          <w:b/>
          <w:lang w:eastAsia="en-US"/>
        </w:rPr>
      </w:pPr>
      <w:r w:rsidRPr="003B2277">
        <w:rPr>
          <w:rFonts w:eastAsia="Calibri" w:cs="Mangal"/>
          <w:b/>
          <w:lang w:eastAsia="en-US"/>
        </w:rPr>
        <w:t>Člen 2 – odstavek 1 – točka 6</w:t>
      </w:r>
    </w:p>
    <w:p w14:paraId="1ACAC715" w14:textId="77777777" w:rsidR="006F5BFE" w:rsidRPr="003B2277" w:rsidRDefault="006F5BFE" w:rsidP="006F5BFE">
      <w:pPr>
        <w:keepNext/>
        <w:rPr>
          <w:lang w:eastAsia="en-US"/>
        </w:rPr>
      </w:pPr>
      <w:r w:rsidRPr="003B2277">
        <w:rPr>
          <w:rFonts w:eastAsia="Calibri" w:cs="Mangal"/>
          <w:lang w:eastAsia="en-US"/>
        </w:rPr>
        <w:t>Uredba (EU) št. 1151/2012</w:t>
      </w:r>
    </w:p>
    <w:p w14:paraId="70443F4D" w14:textId="77777777" w:rsidR="006F5BFE" w:rsidRPr="003B2277" w:rsidRDefault="006F5BFE" w:rsidP="006F5BFE">
      <w:pPr>
        <w:rPr>
          <w:lang w:eastAsia="en-US"/>
        </w:rPr>
      </w:pPr>
      <w:r w:rsidRPr="003B2277">
        <w:rPr>
          <w:rFonts w:eastAsia="Calibri" w:cs="Mangal"/>
          <w:lang w:eastAsia="en-US"/>
        </w:rPr>
        <w:t>Člen 15 – odstavka 1 in 2</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EF9FB76" w14:textId="77777777" w:rsidTr="005B4D60">
        <w:trPr>
          <w:jc w:val="center"/>
        </w:trPr>
        <w:tc>
          <w:tcPr>
            <w:tcW w:w="9752" w:type="dxa"/>
            <w:gridSpan w:val="2"/>
          </w:tcPr>
          <w:p w14:paraId="053D628A" w14:textId="77777777" w:rsidR="006F5BFE" w:rsidRPr="003B2277" w:rsidRDefault="006F5BFE" w:rsidP="005B4D60">
            <w:pPr>
              <w:keepNext/>
            </w:pPr>
          </w:p>
        </w:tc>
      </w:tr>
      <w:tr w:rsidR="006F5BFE" w:rsidRPr="003B2277" w14:paraId="689C6550" w14:textId="77777777" w:rsidTr="005B4D60">
        <w:trPr>
          <w:jc w:val="center"/>
        </w:trPr>
        <w:tc>
          <w:tcPr>
            <w:tcW w:w="4876" w:type="dxa"/>
            <w:hideMark/>
          </w:tcPr>
          <w:p w14:paraId="7730A19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FB47294" w14:textId="1E9C1D80"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3DA2A5F" w14:textId="77777777" w:rsidTr="005B4D60">
        <w:trPr>
          <w:jc w:val="center"/>
        </w:trPr>
        <w:tc>
          <w:tcPr>
            <w:tcW w:w="4876" w:type="dxa"/>
            <w:hideMark/>
          </w:tcPr>
          <w:p w14:paraId="52E7AE30" w14:textId="77777777" w:rsidR="006F5BFE" w:rsidRPr="003B2277" w:rsidRDefault="006F5BFE" w:rsidP="005B4D60">
            <w:pPr>
              <w:spacing w:after="120"/>
              <w:rPr>
                <w:lang w:eastAsia="en-US"/>
              </w:rPr>
            </w:pPr>
            <w:r w:rsidRPr="003B2277">
              <w:rPr>
                <w:rFonts w:eastAsia="Calibri" w:cs="Mangal"/>
                <w:b/>
                <w:i/>
                <w:lang w:eastAsia="en-US"/>
              </w:rPr>
              <w:t>(6)</w:t>
            </w:r>
            <w:r w:rsidRPr="003B2277">
              <w:rPr>
                <w:rFonts w:eastAsia="Calibri" w:cs="Mangal"/>
                <w:b/>
                <w:i/>
                <w:lang w:eastAsia="en-US"/>
              </w:rPr>
              <w:tab/>
              <w:t>člen 15 se spremeni:</w:t>
            </w:r>
          </w:p>
        </w:tc>
        <w:tc>
          <w:tcPr>
            <w:tcW w:w="4876" w:type="dxa"/>
            <w:hideMark/>
          </w:tcPr>
          <w:p w14:paraId="1D125882" w14:textId="77777777" w:rsidR="006F5BFE" w:rsidRPr="003B2277" w:rsidRDefault="006F5BFE" w:rsidP="005B4D60">
            <w:pPr>
              <w:spacing w:after="120"/>
              <w:rPr>
                <w:szCs w:val="24"/>
                <w:lang w:eastAsia="en-US"/>
              </w:rPr>
            </w:pPr>
            <w:r w:rsidRPr="003B2277">
              <w:rPr>
                <w:rFonts w:eastAsia="Calibri" w:cs="Mangal"/>
                <w:b/>
                <w:i/>
                <w:lang w:eastAsia="en-US"/>
              </w:rPr>
              <w:t>črtano</w:t>
            </w:r>
          </w:p>
        </w:tc>
      </w:tr>
      <w:tr w:rsidR="006F5BFE" w:rsidRPr="003B2277" w14:paraId="2FA3F70D" w14:textId="77777777" w:rsidTr="005B4D60">
        <w:trPr>
          <w:jc w:val="center"/>
        </w:trPr>
        <w:tc>
          <w:tcPr>
            <w:tcW w:w="4876" w:type="dxa"/>
            <w:hideMark/>
          </w:tcPr>
          <w:p w14:paraId="439872BA" w14:textId="77777777" w:rsidR="006F5BFE" w:rsidRPr="003B2277" w:rsidRDefault="006F5BFE" w:rsidP="005B4D60">
            <w:pPr>
              <w:spacing w:after="120"/>
              <w:rPr>
                <w:lang w:eastAsia="en-US"/>
              </w:rPr>
            </w:pPr>
            <w:r w:rsidRPr="003B2277">
              <w:rPr>
                <w:rFonts w:eastAsia="Calibri" w:cs="Mangal"/>
                <w:b/>
                <w:i/>
                <w:lang w:eastAsia="en-US"/>
              </w:rPr>
              <w:t>(a)</w:t>
            </w:r>
            <w:r w:rsidRPr="003B2277">
              <w:rPr>
                <w:rFonts w:eastAsia="Calibri" w:cs="Mangal"/>
                <w:b/>
                <w:i/>
                <w:lang w:eastAsia="en-US"/>
              </w:rPr>
              <w:tab/>
              <w:t>drugi pododstavek odstavka 1 se nadomesti z naslednjim:</w:t>
            </w:r>
          </w:p>
        </w:tc>
        <w:tc>
          <w:tcPr>
            <w:tcW w:w="4876" w:type="dxa"/>
          </w:tcPr>
          <w:p w14:paraId="4A7618D8" w14:textId="77777777" w:rsidR="006F5BFE" w:rsidRPr="003B2277" w:rsidRDefault="006F5BFE" w:rsidP="005B4D60">
            <w:pPr>
              <w:spacing w:after="120"/>
              <w:rPr>
                <w:szCs w:val="24"/>
              </w:rPr>
            </w:pPr>
          </w:p>
        </w:tc>
      </w:tr>
      <w:tr w:rsidR="006F5BFE" w:rsidRPr="003B2277" w14:paraId="460FD764" w14:textId="77777777" w:rsidTr="005B4D60">
        <w:trPr>
          <w:jc w:val="center"/>
        </w:trPr>
        <w:tc>
          <w:tcPr>
            <w:tcW w:w="4876" w:type="dxa"/>
            <w:hideMark/>
          </w:tcPr>
          <w:p w14:paraId="40498CBB" w14:textId="3FB3091E" w:rsidR="006F5BFE" w:rsidRPr="003B2277" w:rsidRDefault="006F5BFE" w:rsidP="005B4D60">
            <w:pPr>
              <w:spacing w:after="120"/>
              <w:rPr>
                <w:lang w:eastAsia="en-US"/>
              </w:rPr>
            </w:pPr>
            <w:r w:rsidRPr="003B2277">
              <w:rPr>
                <w:rFonts w:eastAsia="Calibri" w:cs="Mangal"/>
                <w:b/>
                <w:i/>
                <w:lang w:eastAsia="en-US"/>
              </w:rPr>
              <w:t>„Ti izvedbeni akti se sprejmejo brez uporabe postopka pregleda iz člena 57(2).“</w:t>
            </w:r>
          </w:p>
        </w:tc>
        <w:tc>
          <w:tcPr>
            <w:tcW w:w="4876" w:type="dxa"/>
          </w:tcPr>
          <w:p w14:paraId="60A8C80F" w14:textId="77777777" w:rsidR="006F5BFE" w:rsidRPr="003B2277" w:rsidRDefault="006F5BFE" w:rsidP="005B4D60">
            <w:pPr>
              <w:spacing w:after="120"/>
              <w:rPr>
                <w:szCs w:val="24"/>
              </w:rPr>
            </w:pPr>
          </w:p>
        </w:tc>
      </w:tr>
      <w:tr w:rsidR="006F5BFE" w:rsidRPr="003B2277" w14:paraId="186C3DDD" w14:textId="77777777" w:rsidTr="005B4D60">
        <w:trPr>
          <w:jc w:val="center"/>
        </w:trPr>
        <w:tc>
          <w:tcPr>
            <w:tcW w:w="4876" w:type="dxa"/>
            <w:hideMark/>
          </w:tcPr>
          <w:p w14:paraId="68C6FF67" w14:textId="77777777" w:rsidR="006F5BFE" w:rsidRPr="003B2277" w:rsidRDefault="006F5BFE" w:rsidP="005B4D60">
            <w:pPr>
              <w:spacing w:after="120"/>
              <w:rPr>
                <w:lang w:eastAsia="en-US"/>
              </w:rPr>
            </w:pPr>
            <w:r w:rsidRPr="003B2277">
              <w:rPr>
                <w:rFonts w:eastAsia="Calibri" w:cs="Mangal"/>
                <w:b/>
                <w:i/>
                <w:lang w:eastAsia="en-US"/>
              </w:rPr>
              <w:t>(b)</w:t>
            </w:r>
            <w:r w:rsidRPr="003B2277">
              <w:rPr>
                <w:rFonts w:eastAsia="Calibri" w:cs="Mangal"/>
                <w:b/>
                <w:i/>
                <w:lang w:eastAsia="en-US"/>
              </w:rPr>
              <w:tab/>
              <w:t>v odstavku 2 se uvodni stavek nadomesti z naslednjim:</w:t>
            </w:r>
          </w:p>
        </w:tc>
        <w:tc>
          <w:tcPr>
            <w:tcW w:w="4876" w:type="dxa"/>
          </w:tcPr>
          <w:p w14:paraId="3540F7B9" w14:textId="77777777" w:rsidR="006F5BFE" w:rsidRPr="003B2277" w:rsidRDefault="006F5BFE" w:rsidP="005B4D60">
            <w:pPr>
              <w:spacing w:after="120"/>
              <w:rPr>
                <w:szCs w:val="24"/>
              </w:rPr>
            </w:pPr>
          </w:p>
        </w:tc>
      </w:tr>
      <w:tr w:rsidR="006F5BFE" w:rsidRPr="003B2277" w14:paraId="08C4760A" w14:textId="77777777" w:rsidTr="005B4D60">
        <w:trPr>
          <w:jc w:val="center"/>
        </w:trPr>
        <w:tc>
          <w:tcPr>
            <w:tcW w:w="4876" w:type="dxa"/>
            <w:hideMark/>
          </w:tcPr>
          <w:p w14:paraId="0B8E0FF8" w14:textId="77777777" w:rsidR="006F5BFE" w:rsidRPr="003B2277" w:rsidRDefault="006F5BFE" w:rsidP="005B4D60">
            <w:pPr>
              <w:spacing w:after="120"/>
              <w:rPr>
                <w:lang w:eastAsia="en-US"/>
              </w:rPr>
            </w:pPr>
            <w:r w:rsidRPr="003B2277">
              <w:rPr>
                <w:rFonts w:eastAsia="Calibri" w:cs="Mangal"/>
                <w:b/>
                <w:i/>
                <w:lang w:eastAsia="en-US"/>
              </w:rPr>
              <w:t>Komisija lahko brez poseganja v člen 14 sprejme izvedbene akte, s katerimi podaljša prehodno obdobje iz odstavka 1 tega člena, in sicer v utemeljenih primerih, v katerih je dokazano, da:“;</w:t>
            </w:r>
          </w:p>
        </w:tc>
        <w:tc>
          <w:tcPr>
            <w:tcW w:w="4876" w:type="dxa"/>
          </w:tcPr>
          <w:p w14:paraId="640757E9" w14:textId="77777777" w:rsidR="006F5BFE" w:rsidRPr="003B2277" w:rsidRDefault="006F5BFE" w:rsidP="005B4D60">
            <w:pPr>
              <w:spacing w:after="120"/>
              <w:rPr>
                <w:szCs w:val="24"/>
              </w:rPr>
            </w:pPr>
          </w:p>
        </w:tc>
      </w:tr>
    </w:tbl>
    <w:p w14:paraId="73F122CA" w14:textId="77777777" w:rsidR="006F5BFE" w:rsidRPr="003B2277" w:rsidRDefault="006F5BFE" w:rsidP="006F5BFE">
      <w:pPr>
        <w:rPr>
          <w:lang w:eastAsia="en-US"/>
        </w:rPr>
      </w:pPr>
    </w:p>
    <w:p w14:paraId="04D09254" w14:textId="66246CC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190</w:t>
      </w:r>
    </w:p>
    <w:p w14:paraId="508A4634" w14:textId="77777777" w:rsidR="006F5BFE" w:rsidRPr="003B2277" w:rsidRDefault="006F5BFE" w:rsidP="006F5BFE"/>
    <w:p w14:paraId="63B420BD" w14:textId="77777777" w:rsidR="006F5BFE" w:rsidRPr="003B2277" w:rsidRDefault="006F5BFE" w:rsidP="006F5BFE">
      <w:pPr>
        <w:keepNext/>
        <w:rPr>
          <w:b/>
          <w:lang w:eastAsia="en-US"/>
        </w:rPr>
      </w:pPr>
      <w:r w:rsidRPr="003B2277">
        <w:rPr>
          <w:rFonts w:eastAsia="Calibri" w:cs="Mangal"/>
          <w:b/>
          <w:lang w:eastAsia="en-US"/>
        </w:rPr>
        <w:t>Predlog uredbe</w:t>
      </w:r>
    </w:p>
    <w:p w14:paraId="1058E96D" w14:textId="77777777" w:rsidR="006F5BFE" w:rsidRPr="003B2277" w:rsidRDefault="006F5BFE" w:rsidP="006F5BFE">
      <w:pPr>
        <w:rPr>
          <w:b/>
          <w:lang w:eastAsia="en-US"/>
        </w:rPr>
      </w:pPr>
      <w:r w:rsidRPr="003B2277">
        <w:rPr>
          <w:rFonts w:eastAsia="Calibri" w:cs="Mangal"/>
          <w:b/>
          <w:lang w:eastAsia="en-US"/>
        </w:rPr>
        <w:t>Člen 2 – odstavek 1 – točka 6 a (novo)</w:t>
      </w:r>
    </w:p>
    <w:p w14:paraId="3DFFAA41" w14:textId="77777777" w:rsidR="006F5BFE" w:rsidRPr="003B2277" w:rsidRDefault="006F5BFE" w:rsidP="006F5BFE">
      <w:pPr>
        <w:keepNext/>
        <w:rPr>
          <w:lang w:eastAsia="en-US"/>
        </w:rPr>
      </w:pPr>
      <w:r w:rsidRPr="003B2277">
        <w:rPr>
          <w:rFonts w:eastAsia="Calibri" w:cs="Mangal"/>
          <w:lang w:eastAsia="en-US"/>
        </w:rPr>
        <w:t>Uredba (EU) št. 1151/2012</w:t>
      </w:r>
    </w:p>
    <w:p w14:paraId="1433472C" w14:textId="77777777" w:rsidR="006F5BFE" w:rsidRPr="003B2277" w:rsidRDefault="006F5BFE" w:rsidP="006F5BFE">
      <w:pPr>
        <w:rPr>
          <w:lang w:eastAsia="en-US"/>
        </w:rPr>
      </w:pPr>
      <w:r w:rsidRPr="003B2277">
        <w:rPr>
          <w:rFonts w:eastAsia="Calibri" w:cs="Mangal"/>
          <w:lang w:eastAsia="en-US"/>
        </w:rPr>
        <w:t>Člen 15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19F7FA2" w14:textId="77777777" w:rsidTr="005B4D60">
        <w:trPr>
          <w:jc w:val="center"/>
        </w:trPr>
        <w:tc>
          <w:tcPr>
            <w:tcW w:w="9752" w:type="dxa"/>
            <w:gridSpan w:val="2"/>
          </w:tcPr>
          <w:p w14:paraId="0E3E285F" w14:textId="77777777" w:rsidR="006F5BFE" w:rsidRPr="003B2277" w:rsidRDefault="006F5BFE" w:rsidP="005B4D60">
            <w:pPr>
              <w:keepNext/>
            </w:pPr>
          </w:p>
        </w:tc>
      </w:tr>
      <w:tr w:rsidR="006F5BFE" w:rsidRPr="003B2277" w14:paraId="05F73BB1" w14:textId="77777777" w:rsidTr="005B4D60">
        <w:trPr>
          <w:jc w:val="center"/>
        </w:trPr>
        <w:tc>
          <w:tcPr>
            <w:tcW w:w="4876" w:type="dxa"/>
            <w:hideMark/>
          </w:tcPr>
          <w:p w14:paraId="5EF02964"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E70BC5E" w14:textId="1E6DC76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B34CECE" w14:textId="77777777" w:rsidTr="005B4D60">
        <w:trPr>
          <w:jc w:val="center"/>
        </w:trPr>
        <w:tc>
          <w:tcPr>
            <w:tcW w:w="4876" w:type="dxa"/>
          </w:tcPr>
          <w:p w14:paraId="78B9AB19" w14:textId="77777777" w:rsidR="006F5BFE" w:rsidRPr="003B2277" w:rsidRDefault="006F5BFE" w:rsidP="005B4D60">
            <w:pPr>
              <w:spacing w:after="120"/>
            </w:pPr>
          </w:p>
        </w:tc>
        <w:tc>
          <w:tcPr>
            <w:tcW w:w="4876" w:type="dxa"/>
            <w:hideMark/>
          </w:tcPr>
          <w:p w14:paraId="05E5C7F6" w14:textId="77777777" w:rsidR="006F5BFE" w:rsidRPr="003B2277" w:rsidRDefault="006F5BFE" w:rsidP="005B4D60">
            <w:pPr>
              <w:spacing w:after="120"/>
              <w:rPr>
                <w:szCs w:val="24"/>
                <w:lang w:eastAsia="en-US"/>
              </w:rPr>
            </w:pPr>
            <w:r w:rsidRPr="003B2277">
              <w:rPr>
                <w:rFonts w:eastAsia="Calibri" w:cs="Mangal"/>
                <w:b/>
                <w:i/>
                <w:lang w:eastAsia="en-US"/>
              </w:rPr>
              <w:t>(6a)</w:t>
            </w:r>
            <w:r w:rsidRPr="003B2277">
              <w:rPr>
                <w:rFonts w:eastAsia="Calibri" w:cs="Mangal"/>
                <w:b/>
                <w:i/>
                <w:lang w:eastAsia="en-US"/>
              </w:rPr>
              <w:tab/>
              <w:t>člen 15 se nadomesti z naslednjim:</w:t>
            </w:r>
          </w:p>
        </w:tc>
      </w:tr>
      <w:tr w:rsidR="006F5BFE" w:rsidRPr="003B2277" w14:paraId="7F1FC389" w14:textId="77777777" w:rsidTr="005B4D60">
        <w:trPr>
          <w:jc w:val="center"/>
        </w:trPr>
        <w:tc>
          <w:tcPr>
            <w:tcW w:w="4876" w:type="dxa"/>
            <w:hideMark/>
          </w:tcPr>
          <w:p w14:paraId="13EE95A5" w14:textId="77777777" w:rsidR="006F5BFE" w:rsidRPr="003B2277" w:rsidRDefault="006F5BFE" w:rsidP="005B4D60">
            <w:pPr>
              <w:spacing w:after="120"/>
              <w:rPr>
                <w:lang w:eastAsia="en-US"/>
              </w:rPr>
            </w:pPr>
            <w:r w:rsidRPr="003B2277">
              <w:rPr>
                <w:rFonts w:eastAsia="Calibri" w:cs="Mangal"/>
                <w:lang w:eastAsia="en-US"/>
              </w:rPr>
              <w:t>Člen 15</w:t>
            </w:r>
          </w:p>
        </w:tc>
        <w:tc>
          <w:tcPr>
            <w:tcW w:w="4876" w:type="dxa"/>
            <w:hideMark/>
          </w:tcPr>
          <w:p w14:paraId="42EFA87E"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15</w:t>
            </w:r>
          </w:p>
        </w:tc>
      </w:tr>
      <w:tr w:rsidR="006F5BFE" w:rsidRPr="003B2277" w14:paraId="35BC4556" w14:textId="77777777" w:rsidTr="005B4D60">
        <w:trPr>
          <w:jc w:val="center"/>
        </w:trPr>
        <w:tc>
          <w:tcPr>
            <w:tcW w:w="4876" w:type="dxa"/>
            <w:hideMark/>
          </w:tcPr>
          <w:p w14:paraId="009D4FD7" w14:textId="77777777" w:rsidR="006F5BFE" w:rsidRPr="003B2277" w:rsidRDefault="006F5BFE" w:rsidP="005B4D60">
            <w:pPr>
              <w:spacing w:after="120"/>
              <w:rPr>
                <w:lang w:eastAsia="en-US"/>
              </w:rPr>
            </w:pPr>
            <w:r w:rsidRPr="003B2277">
              <w:rPr>
                <w:rFonts w:eastAsia="Calibri" w:cs="Mangal"/>
                <w:lang w:eastAsia="en-US"/>
              </w:rPr>
              <w:t>Prehodna obdobja za uporabo zaščitenih označb porekla in zaščitenih geografskih označb</w:t>
            </w:r>
          </w:p>
        </w:tc>
        <w:tc>
          <w:tcPr>
            <w:tcW w:w="4876" w:type="dxa"/>
            <w:hideMark/>
          </w:tcPr>
          <w:p w14:paraId="2E0CA254" w14:textId="77777777" w:rsidR="006F5BFE" w:rsidRPr="003B2277" w:rsidRDefault="006F5BFE" w:rsidP="005B4D60">
            <w:pPr>
              <w:spacing w:after="120"/>
              <w:rPr>
                <w:szCs w:val="24"/>
                <w:lang w:eastAsia="en-US"/>
              </w:rPr>
            </w:pPr>
            <w:r w:rsidRPr="003B2277">
              <w:rPr>
                <w:rFonts w:eastAsia="Calibri" w:cs="Mangal"/>
                <w:lang w:eastAsia="en-US"/>
              </w:rPr>
              <w:t>Prehodna obdobja za uporabo zaščitenih označb porekla in zaščitenih geografskih označb</w:t>
            </w:r>
          </w:p>
        </w:tc>
      </w:tr>
      <w:tr w:rsidR="006F5BFE" w:rsidRPr="003B2277" w14:paraId="4C33B7F2" w14:textId="77777777" w:rsidTr="005B4D60">
        <w:trPr>
          <w:jc w:val="center"/>
        </w:trPr>
        <w:tc>
          <w:tcPr>
            <w:tcW w:w="4876" w:type="dxa"/>
            <w:hideMark/>
          </w:tcPr>
          <w:p w14:paraId="12BCCAE6"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szCs w:val="24"/>
                <w:lang w:eastAsia="en-US"/>
              </w:rPr>
              <w:tab/>
            </w:r>
            <w:r w:rsidRPr="003B2277">
              <w:rPr>
                <w:rFonts w:eastAsia="Calibri" w:cs="Mangal"/>
                <w:lang w:eastAsia="en-US"/>
              </w:rPr>
              <w:t>Komisija lahko brez poseganja v člen 14 sprejme izvedbene akte za odobritev prehodnega obdobja do pet let, da se za proizvode s poreklom iz države članice ali tretje države, katerih označba zajema ali vsebuje ime, ki je v nasprotju s členom 13(1), omogoči, da še naprej uporabljajo označbo, pod katero so bili trženi, pod pogojem, da dopusten ugovor v skladu s členom 49(3) ali členom 51 dokazuje, da:</w:t>
            </w:r>
          </w:p>
        </w:tc>
        <w:tc>
          <w:tcPr>
            <w:tcW w:w="4876" w:type="dxa"/>
            <w:hideMark/>
          </w:tcPr>
          <w:p w14:paraId="6FC0A2D5"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szCs w:val="24"/>
                <w:lang w:eastAsia="en-US"/>
              </w:rPr>
              <w:tab/>
            </w:r>
            <w:r w:rsidRPr="003B2277">
              <w:rPr>
                <w:rFonts w:eastAsia="Calibri" w:cs="Mangal"/>
                <w:lang w:eastAsia="en-US"/>
              </w:rPr>
              <w:t>Komisija lahko brez poseganja v člen 14 sprejme izvedbene akte za odobritev prehodnega obdobja do pet let, da se za proizvode s poreklom iz države članice ali tretje države, katerih označba zajema ali vsebuje ime, ki je v nasprotju s členom 13(1), omogoči, da še naprej uporabljajo označbo, pod katero so bili trženi, pod pogojem, da dopusten ugovor v skladu s členom 49(3) ali členom 51 dokazuje, da:</w:t>
            </w:r>
          </w:p>
        </w:tc>
      </w:tr>
      <w:tr w:rsidR="006F5BFE" w:rsidRPr="003B2277" w14:paraId="3160E480" w14:textId="77777777" w:rsidTr="005B4D60">
        <w:trPr>
          <w:jc w:val="center"/>
        </w:trPr>
        <w:tc>
          <w:tcPr>
            <w:tcW w:w="4876" w:type="dxa"/>
            <w:hideMark/>
          </w:tcPr>
          <w:p w14:paraId="77248E69" w14:textId="5271975E" w:rsidR="006F5BFE" w:rsidRPr="003B2277" w:rsidRDefault="006F5BFE" w:rsidP="005B4D60">
            <w:pPr>
              <w:spacing w:after="120"/>
              <w:rPr>
                <w:lang w:eastAsia="en-US"/>
              </w:rPr>
            </w:pPr>
            <w:r w:rsidRPr="003B2277">
              <w:rPr>
                <w:rFonts w:eastAsia="Calibri" w:cs="Mangal"/>
                <w:lang w:eastAsia="en-US"/>
              </w:rPr>
              <w:t>(a) bi registracija imena ogrozila obstoj popolno ali delno identičnega imena, ali</w:t>
            </w:r>
          </w:p>
        </w:tc>
        <w:tc>
          <w:tcPr>
            <w:tcW w:w="4876" w:type="dxa"/>
            <w:hideMark/>
          </w:tcPr>
          <w:p w14:paraId="507847A2" w14:textId="77777777" w:rsidR="006F5BFE" w:rsidRPr="003B2277" w:rsidRDefault="006F5BFE" w:rsidP="005B4D60">
            <w:pPr>
              <w:spacing w:after="120"/>
              <w:rPr>
                <w:szCs w:val="24"/>
                <w:lang w:eastAsia="en-US"/>
              </w:rPr>
            </w:pPr>
            <w:r w:rsidRPr="003B2277">
              <w:rPr>
                <w:rFonts w:eastAsia="Calibri" w:cs="Mangal"/>
                <w:lang w:eastAsia="en-US"/>
              </w:rPr>
              <w:t>(a) bi registracija imena ogrozila obstoj popolno ali delno identičnega imena, ali</w:t>
            </w:r>
          </w:p>
        </w:tc>
      </w:tr>
      <w:tr w:rsidR="006F5BFE" w:rsidRPr="003B2277" w14:paraId="57790AAA" w14:textId="77777777" w:rsidTr="005B4D60">
        <w:trPr>
          <w:jc w:val="center"/>
        </w:trPr>
        <w:tc>
          <w:tcPr>
            <w:tcW w:w="4876" w:type="dxa"/>
            <w:hideMark/>
          </w:tcPr>
          <w:p w14:paraId="6D2AC363" w14:textId="77777777" w:rsidR="006F5BFE" w:rsidRPr="003B2277" w:rsidRDefault="006F5BFE" w:rsidP="005B4D60">
            <w:pPr>
              <w:spacing w:after="120"/>
              <w:rPr>
                <w:lang w:eastAsia="en-US"/>
              </w:rPr>
            </w:pPr>
            <w:r w:rsidRPr="003B2277">
              <w:rPr>
                <w:rFonts w:eastAsia="Calibri" w:cs="Mangal"/>
                <w:lang w:eastAsia="en-US"/>
              </w:rPr>
              <w:t>(b) so se taki proizvodi zakonito tržili pod tem imenom na zadevnem ozemlju vsaj pet let pred datumom objave, določenem v točki (a) člena 50(2).</w:t>
            </w:r>
            <w:r w:rsidRPr="003B2277">
              <w:rPr>
                <w:rFonts w:eastAsia="Calibri" w:cs="Mangal"/>
                <w:b/>
                <w:i/>
                <w:lang w:eastAsia="en-US"/>
              </w:rPr>
              <w:t>Ti izvedbeni akti se sprejmejo v skladu s postopkom pregleda iz člena 57(2).</w:t>
            </w:r>
          </w:p>
        </w:tc>
        <w:tc>
          <w:tcPr>
            <w:tcW w:w="4876" w:type="dxa"/>
            <w:hideMark/>
          </w:tcPr>
          <w:p w14:paraId="1C969258" w14:textId="77777777" w:rsidR="006F5BFE" w:rsidRPr="003B2277" w:rsidRDefault="006F5BFE" w:rsidP="005B4D60">
            <w:pPr>
              <w:spacing w:after="120"/>
              <w:rPr>
                <w:szCs w:val="24"/>
                <w:lang w:eastAsia="en-US"/>
              </w:rPr>
            </w:pPr>
            <w:r w:rsidRPr="003B2277">
              <w:rPr>
                <w:rFonts w:eastAsia="Calibri" w:cs="Mangal"/>
                <w:lang w:eastAsia="en-US"/>
              </w:rPr>
              <w:t>(b) so se taki proizvodi zakonito tržili pod tem imenom na zadevnem ozemlju vsaj pet let pred datumom objave, določenem v točki (a) člena 50(2).</w:t>
            </w:r>
          </w:p>
        </w:tc>
      </w:tr>
      <w:tr w:rsidR="006F5BFE" w:rsidRPr="003B2277" w14:paraId="18431DE9" w14:textId="77777777" w:rsidTr="005B4D60">
        <w:trPr>
          <w:jc w:val="center"/>
        </w:trPr>
        <w:tc>
          <w:tcPr>
            <w:tcW w:w="4876" w:type="dxa"/>
            <w:hideMark/>
          </w:tcPr>
          <w:p w14:paraId="599B0DA6"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szCs w:val="24"/>
                <w:lang w:eastAsia="en-US"/>
              </w:rPr>
              <w:tab/>
            </w:r>
            <w:r w:rsidRPr="003B2277">
              <w:rPr>
                <w:rFonts w:eastAsia="Calibri" w:cs="Mangal"/>
                <w:lang w:eastAsia="en-US"/>
              </w:rPr>
              <w:t>Komisija lahko brez poseganja v člen 14 sprejme izvedbene akte, s katerimi podaljša prehodno obdobje iz odstavka 1 tega člena na 15 let, in sicer v ustrezno utemeljenih primerih, v katerih je dokazano, da:</w:t>
            </w:r>
          </w:p>
        </w:tc>
        <w:tc>
          <w:tcPr>
            <w:tcW w:w="4876" w:type="dxa"/>
            <w:hideMark/>
          </w:tcPr>
          <w:p w14:paraId="2C6776BE"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szCs w:val="24"/>
                <w:lang w:eastAsia="en-US"/>
              </w:rPr>
              <w:tab/>
            </w:r>
            <w:r w:rsidRPr="003B2277">
              <w:rPr>
                <w:rFonts w:eastAsia="Calibri" w:cs="Mangal"/>
                <w:lang w:eastAsia="en-US"/>
              </w:rPr>
              <w:t>Komisija lahko brez poseganja v člen 14 sprejme izvedbene akte, s katerimi podaljša prehodno obdobje iz odstavka 1 tega člena na 15 let, in sicer v ustrezno utemeljenih primerih, v katerih je dokazano, da:</w:t>
            </w:r>
          </w:p>
        </w:tc>
      </w:tr>
      <w:tr w:rsidR="006F5BFE" w:rsidRPr="003B2277" w14:paraId="2D65949E" w14:textId="77777777" w:rsidTr="005B4D60">
        <w:trPr>
          <w:jc w:val="center"/>
        </w:trPr>
        <w:tc>
          <w:tcPr>
            <w:tcW w:w="4876" w:type="dxa"/>
            <w:hideMark/>
          </w:tcPr>
          <w:p w14:paraId="61DF20AD" w14:textId="77777777" w:rsidR="006F5BFE" w:rsidRPr="003B2277" w:rsidRDefault="006F5BFE" w:rsidP="005B4D60">
            <w:pPr>
              <w:spacing w:after="120"/>
              <w:rPr>
                <w:lang w:eastAsia="en-US"/>
              </w:rPr>
            </w:pPr>
            <w:r w:rsidRPr="003B2277">
              <w:rPr>
                <w:rFonts w:eastAsia="Calibri" w:cs="Mangal"/>
                <w:lang w:eastAsia="en-US"/>
              </w:rPr>
              <w:t>(a) se je označba iz odstavka 1 tega člena zakonito uporabljala na podlagi stalne in poštene rabe že najmanj 25 let, preden je bil pri Komisiji vložen zahtevek za registracijo;</w:t>
            </w:r>
          </w:p>
        </w:tc>
        <w:tc>
          <w:tcPr>
            <w:tcW w:w="4876" w:type="dxa"/>
            <w:hideMark/>
          </w:tcPr>
          <w:p w14:paraId="47F56D0E" w14:textId="77777777" w:rsidR="006F5BFE" w:rsidRPr="003B2277" w:rsidRDefault="006F5BFE" w:rsidP="005B4D60">
            <w:pPr>
              <w:spacing w:after="120"/>
              <w:rPr>
                <w:szCs w:val="24"/>
                <w:lang w:eastAsia="en-US"/>
              </w:rPr>
            </w:pPr>
            <w:r w:rsidRPr="003B2277">
              <w:rPr>
                <w:rFonts w:eastAsia="Calibri" w:cs="Mangal"/>
                <w:lang w:eastAsia="en-US"/>
              </w:rPr>
              <w:t>(a) se je označba iz odstavka 1 tega člena zakonito uporabljala na podlagi stalne in poštene rabe že najmanj 25 let, preden je bil pri Komisiji vložen zahtevek za registracijo;</w:t>
            </w:r>
          </w:p>
        </w:tc>
      </w:tr>
      <w:tr w:rsidR="006F5BFE" w:rsidRPr="003B2277" w14:paraId="7D6576BF" w14:textId="77777777" w:rsidTr="005B4D60">
        <w:trPr>
          <w:jc w:val="center"/>
        </w:trPr>
        <w:tc>
          <w:tcPr>
            <w:tcW w:w="4876" w:type="dxa"/>
          </w:tcPr>
          <w:p w14:paraId="2D0345C5" w14:textId="77777777" w:rsidR="006F5BFE" w:rsidRPr="003B2277" w:rsidRDefault="006F5BFE" w:rsidP="005B4D60">
            <w:pPr>
              <w:spacing w:after="120"/>
              <w:rPr>
                <w:lang w:eastAsia="en-US"/>
              </w:rPr>
            </w:pPr>
            <w:r w:rsidRPr="003B2277">
              <w:rPr>
                <w:rFonts w:eastAsia="Calibri" w:cs="Mangal"/>
                <w:lang w:eastAsia="en-US"/>
              </w:rPr>
              <w:t xml:space="preserve">(b) uporaba označbe iz odstavka 1 tega člena v nobenem trenutku ni imela namena izkoriščati slovesa registriranega imena in da potrošniki niso mogli biti zavedeni glede pravega porekla proizvoda. </w:t>
            </w:r>
          </w:p>
        </w:tc>
        <w:tc>
          <w:tcPr>
            <w:tcW w:w="4876" w:type="dxa"/>
            <w:hideMark/>
          </w:tcPr>
          <w:p w14:paraId="71985E45" w14:textId="77777777" w:rsidR="006F5BFE" w:rsidRPr="003B2277" w:rsidRDefault="006F5BFE" w:rsidP="005B4D60">
            <w:pPr>
              <w:spacing w:after="120"/>
              <w:rPr>
                <w:szCs w:val="24"/>
                <w:lang w:eastAsia="en-US"/>
              </w:rPr>
            </w:pPr>
            <w:r w:rsidRPr="003B2277">
              <w:rPr>
                <w:rFonts w:eastAsia="Calibri" w:cs="Mangal"/>
                <w:lang w:eastAsia="en-US"/>
              </w:rPr>
              <w:t>(b) uporaba označbe iz odstavka 1 tega člena v nobenem trenutku ni imela namena izkoriščati slovesa registriranega imena in da potrošniki niso mogli biti zavedeni glede pravega porekla proizvoda.</w:t>
            </w:r>
          </w:p>
        </w:tc>
      </w:tr>
      <w:tr w:rsidR="006F5BFE" w:rsidRPr="003B2277" w14:paraId="6FF9342D" w14:textId="77777777" w:rsidTr="005B4D60">
        <w:trPr>
          <w:jc w:val="center"/>
        </w:trPr>
        <w:tc>
          <w:tcPr>
            <w:tcW w:w="4876" w:type="dxa"/>
            <w:hideMark/>
          </w:tcPr>
          <w:p w14:paraId="38897CFE" w14:textId="77777777" w:rsidR="006F5BFE" w:rsidRPr="003B2277" w:rsidRDefault="006F5BFE" w:rsidP="005B4D60">
            <w:pPr>
              <w:spacing w:after="120"/>
              <w:rPr>
                <w:lang w:eastAsia="en-US"/>
              </w:rPr>
            </w:pPr>
            <w:r w:rsidRPr="003B2277">
              <w:rPr>
                <w:rFonts w:eastAsia="Calibri" w:cs="Mangal"/>
                <w:lang w:eastAsia="en-US"/>
              </w:rPr>
              <w:t>Ti izvedbeni akti se sprejmejo v skladu s postopkom pregleda iz člena 57(2).</w:t>
            </w:r>
          </w:p>
        </w:tc>
        <w:tc>
          <w:tcPr>
            <w:tcW w:w="4876" w:type="dxa"/>
            <w:hideMark/>
          </w:tcPr>
          <w:p w14:paraId="0D8CDCA4" w14:textId="77777777" w:rsidR="006F5BFE" w:rsidRPr="003B2277" w:rsidRDefault="006F5BFE" w:rsidP="005B4D60">
            <w:pPr>
              <w:spacing w:after="120"/>
              <w:rPr>
                <w:szCs w:val="24"/>
                <w:lang w:eastAsia="en-US"/>
              </w:rPr>
            </w:pPr>
            <w:r w:rsidRPr="003B2277">
              <w:rPr>
                <w:rFonts w:eastAsia="Calibri" w:cs="Mangal"/>
                <w:lang w:eastAsia="en-US"/>
              </w:rPr>
              <w:t>Ti izvedbeni akti se sprejmejo v skladu s postopkom pregleda iz člena 57(2).</w:t>
            </w:r>
          </w:p>
        </w:tc>
      </w:tr>
      <w:tr w:rsidR="006F5BFE" w:rsidRPr="003B2277" w14:paraId="23F3BDCA" w14:textId="77777777" w:rsidTr="005B4D60">
        <w:trPr>
          <w:jc w:val="center"/>
        </w:trPr>
        <w:tc>
          <w:tcPr>
            <w:tcW w:w="4876" w:type="dxa"/>
            <w:hideMark/>
          </w:tcPr>
          <w:p w14:paraId="46538FD1"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szCs w:val="24"/>
                <w:lang w:eastAsia="en-US"/>
              </w:rPr>
              <w:tab/>
            </w:r>
            <w:r w:rsidRPr="003B2277">
              <w:rPr>
                <w:rFonts w:eastAsia="Calibri" w:cs="Mangal"/>
                <w:lang w:eastAsia="en-US"/>
              </w:rPr>
              <w:t>Kadar se uporablja označba iz odstavkov 1 in 2, je država porekla na označevanju jasno in vidno označena.</w:t>
            </w:r>
          </w:p>
        </w:tc>
        <w:tc>
          <w:tcPr>
            <w:tcW w:w="4876" w:type="dxa"/>
            <w:hideMark/>
          </w:tcPr>
          <w:p w14:paraId="0EC12D4E"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szCs w:val="24"/>
                <w:lang w:eastAsia="en-US"/>
              </w:rPr>
              <w:tab/>
            </w:r>
            <w:r w:rsidRPr="003B2277">
              <w:rPr>
                <w:rFonts w:eastAsia="Calibri" w:cs="Mangal"/>
                <w:lang w:eastAsia="en-US"/>
              </w:rPr>
              <w:t>Kadar se uporablja označba iz odstavkov 1 in 2, je država porekla na označevanju jasno in vidno označena.</w:t>
            </w:r>
          </w:p>
        </w:tc>
      </w:tr>
      <w:tr w:rsidR="006F5BFE" w:rsidRPr="003B2277" w14:paraId="7FC27E4C" w14:textId="77777777" w:rsidTr="005B4D60">
        <w:trPr>
          <w:jc w:val="center"/>
        </w:trPr>
        <w:tc>
          <w:tcPr>
            <w:tcW w:w="4876" w:type="dxa"/>
            <w:hideMark/>
          </w:tcPr>
          <w:p w14:paraId="58C4A78D"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 xml:space="preserve">Za premagovanje začasnih težav pri doseganju dolgoročnega cilja, v skladu s katerim se zagotovi upoštevanje specifikacij s strani vseh proizvajalcev na zadevnem območju, lahko država članica odobri prehodno obdobje do 10 let, z učinkom od dneva vložitve zahtevka pri Komisiji, pod pogojem, da so zadevni gospodarski subjekti zakonito tržili zadevne proizvode z neprekinjeno uporabo zadevnih imen vsaj pet let pred </w:t>
            </w:r>
            <w:r w:rsidRPr="003B2277">
              <w:rPr>
                <w:rFonts w:eastAsia="Calibri" w:cs="Mangal"/>
                <w:b/>
                <w:i/>
                <w:lang w:eastAsia="en-US"/>
              </w:rPr>
              <w:t>vložitvijo zahtevka pri organih zadevne države članice</w:t>
            </w:r>
            <w:r w:rsidRPr="003B2277">
              <w:rPr>
                <w:rFonts w:eastAsia="Calibri" w:cs="Mangal"/>
                <w:lang w:eastAsia="en-US"/>
              </w:rPr>
              <w:t xml:space="preserve"> in če so na to opozorili v </w:t>
            </w:r>
            <w:r w:rsidRPr="003B2277">
              <w:rPr>
                <w:rFonts w:eastAsia="Calibri" w:cs="Mangal"/>
                <w:b/>
                <w:i/>
                <w:lang w:eastAsia="en-US"/>
              </w:rPr>
              <w:t>nacionalnem</w:t>
            </w:r>
            <w:r w:rsidRPr="003B2277">
              <w:rPr>
                <w:rFonts w:eastAsia="Calibri" w:cs="Mangal"/>
                <w:lang w:eastAsia="en-US"/>
              </w:rPr>
              <w:t xml:space="preserve"> postopku</w:t>
            </w:r>
            <w:r w:rsidRPr="003B2277">
              <w:rPr>
                <w:rFonts w:eastAsia="Calibri" w:cs="Mangal"/>
                <w:b/>
                <w:i/>
                <w:lang w:eastAsia="en-US"/>
              </w:rPr>
              <w:t xml:space="preserve"> ugovora iz člena 49(3)</w:t>
            </w:r>
            <w:r w:rsidRPr="003B2277">
              <w:rPr>
                <w:rFonts w:eastAsia="Calibri" w:cs="Mangal"/>
                <w:lang w:eastAsia="en-US"/>
              </w:rPr>
              <w:t>.</w:t>
            </w:r>
          </w:p>
        </w:tc>
        <w:tc>
          <w:tcPr>
            <w:tcW w:w="4876" w:type="dxa"/>
            <w:hideMark/>
          </w:tcPr>
          <w:p w14:paraId="0B5CBCC5"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 xml:space="preserve">Za premagovanje začasnih težav pri doseganju dolgoročnega cilja, v skladu s katerim se zagotovi upoštevanje specifikacij s strani vseh proizvajalcev na zadevnem območju, lahko država članica odobri prehodno obdobje do 10 let, z učinkom od dneva vložitve zahtevka pri Komisiji, pod pogojem, da so zadevni gospodarski subjekti zakonito tržili zadevne proizvode z neprekinjeno uporabo zadevnih imen vsaj pet let pred </w:t>
            </w:r>
            <w:r w:rsidRPr="003B2277">
              <w:rPr>
                <w:rFonts w:eastAsia="Calibri" w:cs="Mangal"/>
                <w:b/>
                <w:i/>
                <w:lang w:eastAsia="en-US"/>
              </w:rPr>
              <w:t>začetkom nacionalnega postopka ugovora iz člena 49(3)</w:t>
            </w:r>
            <w:r w:rsidRPr="003B2277">
              <w:rPr>
                <w:rFonts w:eastAsia="Calibri" w:cs="Mangal"/>
                <w:lang w:eastAsia="en-US"/>
              </w:rPr>
              <w:t xml:space="preserve"> in če so na to opozorili v </w:t>
            </w:r>
            <w:r w:rsidRPr="003B2277">
              <w:rPr>
                <w:rFonts w:eastAsia="Calibri" w:cs="Mangal"/>
                <w:b/>
                <w:i/>
                <w:lang w:eastAsia="en-US"/>
              </w:rPr>
              <w:t>tem</w:t>
            </w:r>
            <w:r w:rsidRPr="003B2277">
              <w:rPr>
                <w:rFonts w:eastAsia="Calibri" w:cs="Mangal"/>
                <w:lang w:eastAsia="en-US"/>
              </w:rPr>
              <w:t xml:space="preserve"> postopku.</w:t>
            </w:r>
          </w:p>
        </w:tc>
      </w:tr>
      <w:tr w:rsidR="006F5BFE" w:rsidRPr="003B2277" w14:paraId="50273A91" w14:textId="77777777" w:rsidTr="005B4D60">
        <w:trPr>
          <w:jc w:val="center"/>
        </w:trPr>
        <w:tc>
          <w:tcPr>
            <w:tcW w:w="4876" w:type="dxa"/>
            <w:hideMark/>
          </w:tcPr>
          <w:p w14:paraId="6374144E" w14:textId="77777777" w:rsidR="006F5BFE" w:rsidRPr="003B2277" w:rsidRDefault="006F5BFE" w:rsidP="005B4D60">
            <w:pPr>
              <w:spacing w:after="120"/>
              <w:rPr>
                <w:lang w:eastAsia="en-US"/>
              </w:rPr>
            </w:pPr>
            <w:r w:rsidRPr="003B2277">
              <w:rPr>
                <w:rFonts w:eastAsia="Calibri" w:cs="Mangal"/>
                <w:lang w:eastAsia="en-US"/>
              </w:rPr>
              <w:t>Prvi pododstavek se smiselno uporablja za zaščiteno geografsko označbo ali zaščiteno označbo porekla, ki zadeva geografsko območje v tretji državi, razen pri postopku ugovora.</w:t>
            </w:r>
          </w:p>
        </w:tc>
        <w:tc>
          <w:tcPr>
            <w:tcW w:w="4876" w:type="dxa"/>
            <w:hideMark/>
          </w:tcPr>
          <w:p w14:paraId="773BE759" w14:textId="77777777" w:rsidR="006F5BFE" w:rsidRPr="003B2277" w:rsidRDefault="006F5BFE" w:rsidP="005B4D60">
            <w:pPr>
              <w:spacing w:after="120"/>
              <w:rPr>
                <w:szCs w:val="24"/>
                <w:lang w:eastAsia="en-US"/>
              </w:rPr>
            </w:pPr>
            <w:r w:rsidRPr="003B2277">
              <w:rPr>
                <w:rFonts w:eastAsia="Calibri" w:cs="Mangal"/>
                <w:lang w:eastAsia="en-US"/>
              </w:rPr>
              <w:t>Prvi pododstavek se smiselno uporablja za zaščiteno geografsko označbo ali zaščiteno označbo porekla, ki zadeva geografsko območje v tretji državi, razen pri postopku ugovora.</w:t>
            </w:r>
          </w:p>
        </w:tc>
      </w:tr>
      <w:tr w:rsidR="006F5BFE" w:rsidRPr="003B2277" w14:paraId="2BE33C34" w14:textId="77777777" w:rsidTr="005B4D60">
        <w:trPr>
          <w:jc w:val="center"/>
        </w:trPr>
        <w:tc>
          <w:tcPr>
            <w:tcW w:w="4876" w:type="dxa"/>
          </w:tcPr>
          <w:p w14:paraId="0BFEA29F" w14:textId="77777777" w:rsidR="006F5BFE" w:rsidRPr="003B2277" w:rsidRDefault="006F5BFE" w:rsidP="005B4D60">
            <w:pPr>
              <w:spacing w:after="120"/>
              <w:rPr>
                <w:lang w:eastAsia="en-US"/>
              </w:rPr>
            </w:pPr>
            <w:r w:rsidRPr="003B2277">
              <w:rPr>
                <w:rFonts w:eastAsia="Calibri" w:cs="Mangal"/>
                <w:lang w:eastAsia="en-US"/>
              </w:rPr>
              <w:t>Taka prehodna obdobja se navedejo v dokumentaciji zahtevka iz člena 8(2).</w:t>
            </w:r>
          </w:p>
        </w:tc>
        <w:tc>
          <w:tcPr>
            <w:tcW w:w="4876" w:type="dxa"/>
            <w:hideMark/>
          </w:tcPr>
          <w:p w14:paraId="42B16E5A" w14:textId="6AC8D853" w:rsidR="006F5BFE" w:rsidRPr="003B2277" w:rsidRDefault="006F5BFE" w:rsidP="005B4D60">
            <w:pPr>
              <w:spacing w:after="120"/>
              <w:rPr>
                <w:szCs w:val="24"/>
                <w:lang w:eastAsia="en-US"/>
              </w:rPr>
            </w:pPr>
            <w:r w:rsidRPr="003B2277">
              <w:rPr>
                <w:rFonts w:eastAsia="Calibri" w:cs="Mangal"/>
                <w:lang w:eastAsia="en-US"/>
              </w:rPr>
              <w:t>Taka prehodna obdobja se navedejo v dokumentaciji zahtevka iz člena 8(2).</w:t>
            </w:r>
            <w:r w:rsidRPr="003B2277">
              <w:rPr>
                <w:rFonts w:eastAsia="Calibri" w:cs="Mangal"/>
                <w:b/>
                <w:i/>
                <w:lang w:eastAsia="en-US"/>
              </w:rPr>
              <w:t>“</w:t>
            </w:r>
          </w:p>
        </w:tc>
      </w:tr>
    </w:tbl>
    <w:p w14:paraId="7A0D9D46" w14:textId="77777777" w:rsidR="006F5BFE" w:rsidRPr="003B2277" w:rsidRDefault="006F5BFE" w:rsidP="006F5BFE">
      <w:pPr>
        <w:rPr>
          <w:lang w:eastAsia="en-US"/>
        </w:rPr>
      </w:pPr>
    </w:p>
    <w:p w14:paraId="77577612" w14:textId="74870A8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191</w:t>
      </w:r>
    </w:p>
    <w:p w14:paraId="71598340" w14:textId="77777777" w:rsidR="006F5BFE" w:rsidRPr="003B2277" w:rsidRDefault="006F5BFE" w:rsidP="006F5BFE">
      <w:pPr>
        <w:spacing w:before="240"/>
        <w:rPr>
          <w:b/>
          <w:lang w:eastAsia="en-US"/>
        </w:rPr>
      </w:pPr>
      <w:r w:rsidRPr="003B2277">
        <w:rPr>
          <w:rFonts w:eastAsia="Calibri" w:cs="Mangal"/>
          <w:b/>
          <w:lang w:eastAsia="en-US"/>
        </w:rPr>
        <w:t>Predlog uredbe</w:t>
      </w:r>
    </w:p>
    <w:p w14:paraId="120D320D" w14:textId="77777777" w:rsidR="006F5BFE" w:rsidRPr="003B2277" w:rsidRDefault="006F5BFE" w:rsidP="006F5BFE">
      <w:pPr>
        <w:rPr>
          <w:b/>
          <w:lang w:eastAsia="en-US"/>
        </w:rPr>
      </w:pPr>
      <w:r w:rsidRPr="003B2277">
        <w:rPr>
          <w:rFonts w:eastAsia="Calibri" w:cs="Mangal"/>
          <w:b/>
          <w:lang w:eastAsia="en-US"/>
        </w:rPr>
        <w:t>Člen 2 – odstavek 1 – točka 7 a (novo)</w:t>
      </w:r>
    </w:p>
    <w:p w14:paraId="1F45E3AF" w14:textId="77777777" w:rsidR="006F5BFE" w:rsidRPr="003B2277" w:rsidRDefault="006F5BFE" w:rsidP="006F5BFE">
      <w:pPr>
        <w:keepNext/>
        <w:rPr>
          <w:lang w:eastAsia="en-US"/>
        </w:rPr>
      </w:pPr>
      <w:r w:rsidRPr="003B2277">
        <w:rPr>
          <w:rFonts w:eastAsia="Calibri" w:cs="Mangal"/>
          <w:lang w:eastAsia="en-US"/>
        </w:rPr>
        <w:t>Uredba (EU) št. 1151/2012</w:t>
      </w:r>
    </w:p>
    <w:p w14:paraId="573C6493" w14:textId="77777777" w:rsidR="006F5BFE" w:rsidRPr="003B2277" w:rsidRDefault="006F5BFE" w:rsidP="006F5BFE">
      <w:pPr>
        <w:rPr>
          <w:lang w:eastAsia="en-US"/>
        </w:rPr>
      </w:pPr>
      <w:r w:rsidRPr="003B2277">
        <w:rPr>
          <w:rFonts w:eastAsia="Calibri" w:cs="Mangal"/>
          <w:lang w:eastAsia="en-US"/>
        </w:rPr>
        <w:t>Člen 18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4BC9951" w14:textId="77777777" w:rsidTr="005B4D60">
        <w:trPr>
          <w:jc w:val="center"/>
        </w:trPr>
        <w:tc>
          <w:tcPr>
            <w:tcW w:w="9752" w:type="dxa"/>
            <w:gridSpan w:val="2"/>
          </w:tcPr>
          <w:p w14:paraId="42EB377D" w14:textId="77777777" w:rsidR="006F5BFE" w:rsidRPr="003B2277" w:rsidRDefault="006F5BFE" w:rsidP="005B4D60">
            <w:pPr>
              <w:keepNext/>
            </w:pPr>
          </w:p>
        </w:tc>
      </w:tr>
      <w:tr w:rsidR="006F5BFE" w:rsidRPr="003B2277" w14:paraId="425FF563" w14:textId="77777777" w:rsidTr="005B4D60">
        <w:trPr>
          <w:jc w:val="center"/>
        </w:trPr>
        <w:tc>
          <w:tcPr>
            <w:tcW w:w="4876" w:type="dxa"/>
            <w:hideMark/>
          </w:tcPr>
          <w:p w14:paraId="6252894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3691BE6" w14:textId="7BAC275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57FF143" w14:textId="77777777" w:rsidTr="005B4D60">
        <w:trPr>
          <w:jc w:val="center"/>
        </w:trPr>
        <w:tc>
          <w:tcPr>
            <w:tcW w:w="4876" w:type="dxa"/>
          </w:tcPr>
          <w:p w14:paraId="76559E98" w14:textId="77777777" w:rsidR="006F5BFE" w:rsidRPr="003B2277" w:rsidRDefault="006F5BFE" w:rsidP="005B4D60">
            <w:pPr>
              <w:spacing w:after="120"/>
            </w:pPr>
          </w:p>
        </w:tc>
        <w:tc>
          <w:tcPr>
            <w:tcW w:w="4876" w:type="dxa"/>
            <w:hideMark/>
          </w:tcPr>
          <w:p w14:paraId="4DB21FEF" w14:textId="77777777" w:rsidR="006F5BFE" w:rsidRPr="003B2277" w:rsidRDefault="006F5BFE" w:rsidP="005B4D60">
            <w:pPr>
              <w:spacing w:after="120"/>
              <w:rPr>
                <w:szCs w:val="24"/>
                <w:lang w:eastAsia="en-US"/>
              </w:rPr>
            </w:pPr>
            <w:r w:rsidRPr="003B2277">
              <w:rPr>
                <w:rFonts w:eastAsia="Calibri" w:cs="Mangal"/>
                <w:b/>
                <w:i/>
                <w:lang w:eastAsia="en-US"/>
              </w:rPr>
              <w:t>(7a)</w:t>
            </w:r>
            <w:r w:rsidRPr="003B2277">
              <w:rPr>
                <w:rFonts w:eastAsia="Calibri" w:cs="Mangal"/>
                <w:b/>
                <w:i/>
                <w:lang w:eastAsia="en-US"/>
              </w:rPr>
              <w:tab/>
              <w:t>v členu 18 se črta odstavek 3.</w:t>
            </w:r>
          </w:p>
        </w:tc>
      </w:tr>
    </w:tbl>
    <w:p w14:paraId="0ECD1E34" w14:textId="166E6BA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192</w:t>
      </w:r>
    </w:p>
    <w:p w14:paraId="6E0C5EE5" w14:textId="77777777" w:rsidR="006F5BFE" w:rsidRPr="003B2277" w:rsidRDefault="006F5BFE" w:rsidP="006F5BFE">
      <w:pPr>
        <w:spacing w:before="240"/>
        <w:rPr>
          <w:b/>
          <w:lang w:eastAsia="en-US"/>
        </w:rPr>
      </w:pPr>
      <w:r w:rsidRPr="003B2277">
        <w:rPr>
          <w:rFonts w:eastAsia="Calibri" w:cs="Mangal"/>
          <w:b/>
          <w:lang w:eastAsia="en-US"/>
        </w:rPr>
        <w:t>Predlog uredbe</w:t>
      </w:r>
    </w:p>
    <w:p w14:paraId="6BA16542" w14:textId="77777777" w:rsidR="006F5BFE" w:rsidRPr="003B2277" w:rsidRDefault="006F5BFE" w:rsidP="006F5BFE">
      <w:pPr>
        <w:rPr>
          <w:b/>
          <w:lang w:eastAsia="en-US"/>
        </w:rPr>
      </w:pPr>
      <w:r w:rsidRPr="003B2277">
        <w:rPr>
          <w:rFonts w:eastAsia="Calibri" w:cs="Mangal"/>
          <w:b/>
          <w:lang w:eastAsia="en-US"/>
        </w:rPr>
        <w:t>Člen 2 – odstavek 1 – točka 8 a (novo)</w:t>
      </w:r>
    </w:p>
    <w:p w14:paraId="29B68EBD" w14:textId="77777777" w:rsidR="006F5BFE" w:rsidRPr="003B2277" w:rsidRDefault="006F5BFE" w:rsidP="006F5BFE">
      <w:pPr>
        <w:keepNext/>
        <w:rPr>
          <w:lang w:eastAsia="en-US"/>
        </w:rPr>
      </w:pPr>
      <w:r w:rsidRPr="003B2277">
        <w:rPr>
          <w:rFonts w:eastAsia="Calibri" w:cs="Mangal"/>
          <w:lang w:eastAsia="en-US"/>
        </w:rPr>
        <w:t>Uredba (EU) št. 1151/2012</w:t>
      </w:r>
    </w:p>
    <w:p w14:paraId="5B8EA294" w14:textId="77777777" w:rsidR="006F5BFE" w:rsidRPr="003B2277" w:rsidRDefault="006F5BFE" w:rsidP="006F5BFE">
      <w:pPr>
        <w:rPr>
          <w:lang w:eastAsia="en-US"/>
        </w:rPr>
      </w:pPr>
      <w:r w:rsidRPr="003B2277">
        <w:rPr>
          <w:rFonts w:eastAsia="Calibri" w:cs="Mangal"/>
          <w:lang w:eastAsia="en-US"/>
        </w:rPr>
        <w:t>Člen 23 – odstavek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AD78DF4" w14:textId="77777777" w:rsidTr="005B4D60">
        <w:trPr>
          <w:jc w:val="center"/>
        </w:trPr>
        <w:tc>
          <w:tcPr>
            <w:tcW w:w="9752" w:type="dxa"/>
            <w:gridSpan w:val="2"/>
          </w:tcPr>
          <w:p w14:paraId="09FFF145" w14:textId="77777777" w:rsidR="006F5BFE" w:rsidRPr="003B2277" w:rsidRDefault="006F5BFE" w:rsidP="005B4D60">
            <w:pPr>
              <w:keepNext/>
            </w:pPr>
          </w:p>
        </w:tc>
      </w:tr>
      <w:tr w:rsidR="006F5BFE" w:rsidRPr="003B2277" w14:paraId="3030AF70" w14:textId="77777777" w:rsidTr="005B4D60">
        <w:trPr>
          <w:jc w:val="center"/>
        </w:trPr>
        <w:tc>
          <w:tcPr>
            <w:tcW w:w="4876" w:type="dxa"/>
            <w:hideMark/>
          </w:tcPr>
          <w:p w14:paraId="7A6D91B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87C3601" w14:textId="2524DC4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E250141" w14:textId="77777777" w:rsidTr="005B4D60">
        <w:trPr>
          <w:jc w:val="center"/>
        </w:trPr>
        <w:tc>
          <w:tcPr>
            <w:tcW w:w="4876" w:type="dxa"/>
          </w:tcPr>
          <w:p w14:paraId="56C724D1" w14:textId="77777777" w:rsidR="006F5BFE" w:rsidRPr="003B2277" w:rsidRDefault="006F5BFE" w:rsidP="005B4D60">
            <w:pPr>
              <w:spacing w:after="120"/>
            </w:pPr>
          </w:p>
        </w:tc>
        <w:tc>
          <w:tcPr>
            <w:tcW w:w="4876" w:type="dxa"/>
            <w:hideMark/>
          </w:tcPr>
          <w:p w14:paraId="30DC4A8E" w14:textId="77777777" w:rsidR="006F5BFE" w:rsidRPr="003B2277" w:rsidRDefault="006F5BFE" w:rsidP="005B4D60">
            <w:pPr>
              <w:spacing w:after="120"/>
              <w:rPr>
                <w:szCs w:val="24"/>
                <w:lang w:eastAsia="en-US"/>
              </w:rPr>
            </w:pPr>
            <w:r w:rsidRPr="003B2277">
              <w:rPr>
                <w:rFonts w:eastAsia="Calibri" w:cs="Mangal"/>
                <w:b/>
                <w:i/>
                <w:lang w:eastAsia="en-US"/>
              </w:rPr>
              <w:t>(8a)</w:t>
            </w:r>
            <w:r w:rsidRPr="003B2277">
              <w:rPr>
                <w:rFonts w:eastAsia="Calibri" w:cs="Mangal"/>
                <w:b/>
                <w:i/>
                <w:lang w:eastAsia="en-US"/>
              </w:rPr>
              <w:tab/>
              <w:t>v členu 23 se odstavek 3 nadomesti z naslednjim:</w:t>
            </w:r>
          </w:p>
        </w:tc>
      </w:tr>
      <w:tr w:rsidR="006F5BFE" w:rsidRPr="003B2277" w14:paraId="16C55EDA" w14:textId="77777777" w:rsidTr="005B4D60">
        <w:trPr>
          <w:jc w:val="center"/>
        </w:trPr>
        <w:tc>
          <w:tcPr>
            <w:tcW w:w="4876" w:type="dxa"/>
            <w:hideMark/>
          </w:tcPr>
          <w:p w14:paraId="3CADE205"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szCs w:val="24"/>
                <w:lang w:eastAsia="en-US"/>
              </w:rPr>
              <w:tab/>
            </w:r>
            <w:r w:rsidRPr="003B2277">
              <w:rPr>
                <w:rFonts w:eastAsia="Calibri" w:cs="Mangal"/>
                <w:lang w:eastAsia="en-US"/>
              </w:rPr>
              <w:t>V primeru proizvodov s poreklom iz Unije, ki se tržijo kot zajamčena tradicionalna posebnost, registrirana v skladu s to uredbo, je na označevanju brez poseganja v odstavek 4 naveden simbol iz odstavka 2. Poleg tega bi moralo biti v istem vidnem polju navedeno tudi ime proizvoda. Na označevanju se lahko pojavi tudi označba „zajamčena tradicionalna posebnost“ ali ustrezna kratica „ZTP“.</w:t>
            </w:r>
          </w:p>
        </w:tc>
        <w:tc>
          <w:tcPr>
            <w:tcW w:w="4876" w:type="dxa"/>
            <w:hideMark/>
          </w:tcPr>
          <w:p w14:paraId="75C4B7A0"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3.</w:t>
            </w:r>
            <w:r w:rsidRPr="003B2277">
              <w:rPr>
                <w:rFonts w:eastAsia="Calibri" w:cs="Mangal"/>
                <w:szCs w:val="24"/>
                <w:lang w:eastAsia="en-US"/>
              </w:rPr>
              <w:tab/>
            </w:r>
            <w:r w:rsidRPr="003B2277">
              <w:rPr>
                <w:rFonts w:eastAsia="Calibri" w:cs="Mangal"/>
                <w:lang w:eastAsia="en-US"/>
              </w:rPr>
              <w:t>V primeru proizvodov s poreklom iz Unije, ki se tržijo kot zajamčena tradicionalna posebnost, registrirana v skladu s to uredbo, je na označevanju</w:t>
            </w:r>
            <w:r w:rsidRPr="003B2277">
              <w:rPr>
                <w:rFonts w:eastAsia="Calibri" w:cs="Mangal"/>
                <w:b/>
                <w:i/>
                <w:lang w:eastAsia="en-US"/>
              </w:rPr>
              <w:t>, v reklamnem gradivu in na dokumentih v zvezi z zadevnim proizvodom</w:t>
            </w:r>
            <w:r w:rsidRPr="003B2277">
              <w:rPr>
                <w:rFonts w:eastAsia="Calibri" w:cs="Mangal"/>
                <w:lang w:eastAsia="en-US"/>
              </w:rPr>
              <w:t xml:space="preserve"> brez poseganja v odstavek 4 naveden simbol iz odstavka 2. Poleg tega bi moralo biti v istem vidnem polju</w:t>
            </w:r>
            <w:r w:rsidRPr="003B2277">
              <w:rPr>
                <w:rFonts w:eastAsia="Calibri" w:cs="Mangal"/>
                <w:b/>
                <w:i/>
                <w:lang w:eastAsia="en-US"/>
              </w:rPr>
              <w:t xml:space="preserve"> in na vidnem mestu jasno, čitljivo in po potrebi neizbrisno</w:t>
            </w:r>
            <w:r w:rsidRPr="003B2277">
              <w:rPr>
                <w:rFonts w:eastAsia="Calibri" w:cs="Mangal"/>
                <w:lang w:eastAsia="en-US"/>
              </w:rPr>
              <w:t xml:space="preserve"> navedeno tudi ime proizvoda. </w:t>
            </w:r>
            <w:r w:rsidRPr="003B2277">
              <w:rPr>
                <w:rFonts w:eastAsia="Calibri" w:cs="Mangal"/>
                <w:b/>
                <w:i/>
                <w:lang w:eastAsia="en-US"/>
              </w:rPr>
              <w:t>Ime nikakor ne sme biti skrito, zakrito ali prekinjeno s katerim koli drugim pisnim ali slikovnim elementom ali vmesnim dokumentom.</w:t>
            </w:r>
            <w:r w:rsidRPr="003B2277">
              <w:rPr>
                <w:rFonts w:eastAsia="Calibri" w:cs="Mangal"/>
                <w:lang w:eastAsia="en-US"/>
              </w:rPr>
              <w:t xml:space="preserve"> Na označevanju se lahko pojavi tudi označba „zajamčena tradicionalna posebnost“ ali ustrezna kratica „ZTP“.</w:t>
            </w:r>
            <w:r w:rsidRPr="003B2277">
              <w:rPr>
                <w:rFonts w:eastAsia="Calibri" w:cs="Mangal"/>
                <w:b/>
                <w:i/>
                <w:lang w:eastAsia="en-US"/>
              </w:rPr>
              <w:t>“</w:t>
            </w:r>
          </w:p>
        </w:tc>
      </w:tr>
    </w:tbl>
    <w:p w14:paraId="1D0DD1DB" w14:textId="77777777" w:rsidR="006F5BFE" w:rsidRPr="003B2277" w:rsidRDefault="006F5BFE" w:rsidP="006F5BFE">
      <w:pPr>
        <w:rPr>
          <w:lang w:eastAsia="en-US"/>
        </w:rPr>
      </w:pPr>
    </w:p>
    <w:p w14:paraId="36389314" w14:textId="12237E3E"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193</w:t>
      </w:r>
    </w:p>
    <w:p w14:paraId="336F3BE9" w14:textId="77777777" w:rsidR="006F5BFE" w:rsidRPr="003B2277" w:rsidRDefault="006F5BFE" w:rsidP="006F5BFE">
      <w:pPr>
        <w:spacing w:before="240"/>
        <w:rPr>
          <w:b/>
          <w:lang w:eastAsia="en-US"/>
        </w:rPr>
      </w:pPr>
      <w:r w:rsidRPr="003B2277">
        <w:rPr>
          <w:rFonts w:eastAsia="Calibri" w:cs="Mangal"/>
          <w:b/>
          <w:lang w:eastAsia="en-US"/>
        </w:rPr>
        <w:t>Predlog uredbe</w:t>
      </w:r>
    </w:p>
    <w:p w14:paraId="4D5A24B9" w14:textId="77777777" w:rsidR="006F5BFE" w:rsidRPr="003B2277" w:rsidRDefault="006F5BFE" w:rsidP="006F5BFE">
      <w:pPr>
        <w:rPr>
          <w:b/>
          <w:lang w:eastAsia="en-US"/>
        </w:rPr>
      </w:pPr>
      <w:r w:rsidRPr="003B2277">
        <w:rPr>
          <w:rFonts w:eastAsia="Calibri" w:cs="Mangal"/>
          <w:b/>
          <w:lang w:eastAsia="en-US"/>
        </w:rPr>
        <w:t>Člen 2 – odstavek 1 – točka 9</w:t>
      </w:r>
    </w:p>
    <w:p w14:paraId="163FA733" w14:textId="77777777" w:rsidR="006F5BFE" w:rsidRPr="003B2277" w:rsidRDefault="006F5BFE" w:rsidP="006F5BFE">
      <w:pPr>
        <w:keepNext/>
        <w:rPr>
          <w:lang w:eastAsia="en-US"/>
        </w:rPr>
      </w:pPr>
      <w:r w:rsidRPr="003B2277">
        <w:rPr>
          <w:rFonts w:eastAsia="Calibri" w:cs="Mangal"/>
          <w:lang w:eastAsia="en-US"/>
        </w:rPr>
        <w:t>Uredba (EU) št. 1151/2012</w:t>
      </w:r>
    </w:p>
    <w:p w14:paraId="22FE08C6" w14:textId="77777777" w:rsidR="006F5BFE" w:rsidRPr="003B2277" w:rsidRDefault="006F5BFE" w:rsidP="006F5BFE">
      <w:pPr>
        <w:rPr>
          <w:lang w:eastAsia="en-US"/>
        </w:rPr>
      </w:pPr>
      <w:r w:rsidRPr="003B2277">
        <w:rPr>
          <w:rFonts w:eastAsia="Calibri" w:cs="Mangal"/>
          <w:lang w:eastAsia="en-US"/>
        </w:rPr>
        <w:t>Člen 24a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697F3D" w14:textId="77777777" w:rsidTr="005B4D60">
        <w:trPr>
          <w:jc w:val="center"/>
        </w:trPr>
        <w:tc>
          <w:tcPr>
            <w:tcW w:w="9752" w:type="dxa"/>
            <w:gridSpan w:val="2"/>
          </w:tcPr>
          <w:p w14:paraId="06A36515" w14:textId="77777777" w:rsidR="006F5BFE" w:rsidRPr="003B2277" w:rsidRDefault="006F5BFE" w:rsidP="005B4D60">
            <w:pPr>
              <w:keepNext/>
            </w:pPr>
          </w:p>
        </w:tc>
      </w:tr>
      <w:tr w:rsidR="006F5BFE" w:rsidRPr="003B2277" w14:paraId="5F2998BA" w14:textId="77777777" w:rsidTr="005B4D60">
        <w:trPr>
          <w:jc w:val="center"/>
        </w:trPr>
        <w:tc>
          <w:tcPr>
            <w:tcW w:w="4876" w:type="dxa"/>
            <w:hideMark/>
          </w:tcPr>
          <w:p w14:paraId="7B43323B"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BEAF0ED" w14:textId="76AEB9F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09D9E7C" w14:textId="77777777" w:rsidTr="005B4D60">
        <w:trPr>
          <w:jc w:val="center"/>
        </w:trPr>
        <w:tc>
          <w:tcPr>
            <w:tcW w:w="4876" w:type="dxa"/>
            <w:hideMark/>
          </w:tcPr>
          <w:p w14:paraId="59D4EF3C" w14:textId="46B0F30F" w:rsidR="006F5BFE" w:rsidRPr="003B2277" w:rsidRDefault="006F5BFE" w:rsidP="005B4D60">
            <w:pPr>
              <w:spacing w:after="120"/>
              <w:rPr>
                <w:lang w:eastAsia="en-US"/>
              </w:rPr>
            </w:pPr>
            <w:r w:rsidRPr="003B2277">
              <w:rPr>
                <w:rFonts w:eastAsia="Calibri" w:cs="Mangal"/>
                <w:lang w:eastAsia="en-US"/>
              </w:rPr>
              <w:t xml:space="preserve">Ti izvedbeni akti se sprejmejo </w:t>
            </w:r>
            <w:r w:rsidRPr="003B2277">
              <w:rPr>
                <w:rFonts w:eastAsia="Calibri" w:cs="Mangal"/>
                <w:b/>
                <w:i/>
                <w:lang w:eastAsia="en-US"/>
              </w:rPr>
              <w:t>brez uporabe postopka</w:t>
            </w:r>
            <w:r w:rsidRPr="003B2277">
              <w:rPr>
                <w:rFonts w:eastAsia="Calibri" w:cs="Mangal"/>
                <w:lang w:eastAsia="en-US"/>
              </w:rPr>
              <w:t xml:space="preserve"> pregleda iz člena</w:t>
            </w:r>
            <w:r w:rsidRPr="003B2277">
              <w:rPr>
                <w:rFonts w:eastAsia="Calibri" w:cs="Mangal"/>
                <w:b/>
                <w:i/>
                <w:lang w:eastAsia="en-US"/>
              </w:rPr>
              <w:t> </w:t>
            </w:r>
            <w:r w:rsidRPr="003B2277">
              <w:rPr>
                <w:rFonts w:eastAsia="Calibri" w:cs="Mangal"/>
                <w:lang w:eastAsia="en-US"/>
              </w:rPr>
              <w:t>57(2).</w:t>
            </w:r>
          </w:p>
        </w:tc>
        <w:tc>
          <w:tcPr>
            <w:tcW w:w="4876" w:type="dxa"/>
            <w:hideMark/>
          </w:tcPr>
          <w:p w14:paraId="58EABE91" w14:textId="77777777" w:rsidR="006F5BFE" w:rsidRPr="003B2277" w:rsidRDefault="006F5BFE" w:rsidP="005B4D60">
            <w:pPr>
              <w:spacing w:after="120"/>
              <w:rPr>
                <w:szCs w:val="24"/>
                <w:lang w:eastAsia="en-US"/>
              </w:rPr>
            </w:pPr>
            <w:r w:rsidRPr="003B2277">
              <w:rPr>
                <w:rFonts w:eastAsia="Calibri" w:cs="Mangal"/>
                <w:lang w:eastAsia="en-US"/>
              </w:rPr>
              <w:t xml:space="preserve">Ti izvedbeni akti se sprejmejo </w:t>
            </w:r>
            <w:r w:rsidRPr="003B2277">
              <w:rPr>
                <w:rFonts w:eastAsia="Calibri" w:cs="Mangal"/>
                <w:b/>
                <w:i/>
                <w:lang w:eastAsia="en-US"/>
              </w:rPr>
              <w:t>v skladu s postopkom</w:t>
            </w:r>
            <w:r w:rsidRPr="003B2277">
              <w:rPr>
                <w:rFonts w:eastAsia="Calibri" w:cs="Mangal"/>
                <w:lang w:eastAsia="en-US"/>
              </w:rPr>
              <w:t xml:space="preserve"> pregleda iz člena</w:t>
            </w:r>
            <w:r w:rsidRPr="003B2277">
              <w:rPr>
                <w:rFonts w:eastAsia="Calibri" w:cs="Mangal"/>
                <w:b/>
                <w:i/>
                <w:lang w:eastAsia="en-US"/>
              </w:rPr>
              <w:t xml:space="preserve"> </w:t>
            </w:r>
            <w:r w:rsidRPr="003B2277">
              <w:rPr>
                <w:rFonts w:eastAsia="Calibri" w:cs="Mangal"/>
                <w:lang w:eastAsia="en-US"/>
              </w:rPr>
              <w:t>57(2).</w:t>
            </w:r>
          </w:p>
        </w:tc>
      </w:tr>
    </w:tbl>
    <w:p w14:paraId="1BFCE6C4" w14:textId="2820D70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194</w:t>
      </w:r>
    </w:p>
    <w:p w14:paraId="502D9F2E" w14:textId="77777777" w:rsidR="006F5BFE" w:rsidRPr="003B2277" w:rsidRDefault="006F5BFE" w:rsidP="006F5BFE">
      <w:pPr>
        <w:spacing w:before="240"/>
        <w:rPr>
          <w:b/>
          <w:lang w:eastAsia="en-US"/>
        </w:rPr>
      </w:pPr>
      <w:r w:rsidRPr="003B2277">
        <w:rPr>
          <w:rFonts w:eastAsia="Calibri" w:cs="Mangal"/>
          <w:b/>
          <w:lang w:eastAsia="en-US"/>
        </w:rPr>
        <w:t>Predlog uredbe</w:t>
      </w:r>
    </w:p>
    <w:p w14:paraId="01408779" w14:textId="77777777" w:rsidR="006F5BFE" w:rsidRPr="003B2277" w:rsidRDefault="006F5BFE" w:rsidP="006F5BFE">
      <w:pPr>
        <w:rPr>
          <w:b/>
          <w:lang w:eastAsia="en-US"/>
        </w:rPr>
      </w:pPr>
      <w:r w:rsidRPr="003B2277">
        <w:rPr>
          <w:rFonts w:eastAsia="Calibri" w:cs="Mangal"/>
          <w:b/>
          <w:lang w:eastAsia="en-US"/>
        </w:rPr>
        <w:t>Člen 2 – odstavek 1 – točka 9 a (novo)</w:t>
      </w:r>
    </w:p>
    <w:p w14:paraId="2399E5AE" w14:textId="77777777" w:rsidR="006F5BFE" w:rsidRPr="003B2277" w:rsidRDefault="006F5BFE" w:rsidP="006F5BFE">
      <w:pPr>
        <w:keepNext/>
        <w:rPr>
          <w:lang w:eastAsia="en-US"/>
        </w:rPr>
      </w:pPr>
      <w:r w:rsidRPr="003B2277">
        <w:rPr>
          <w:rFonts w:eastAsia="Calibri" w:cs="Mangal"/>
          <w:lang w:eastAsia="en-US"/>
        </w:rPr>
        <w:t>Uredba (EU) št. 1151/2012</w:t>
      </w:r>
    </w:p>
    <w:p w14:paraId="620D0AF1" w14:textId="77777777" w:rsidR="006F5BFE" w:rsidRPr="003B2277" w:rsidRDefault="006F5BFE" w:rsidP="006F5BFE">
      <w:pPr>
        <w:rPr>
          <w:lang w:eastAsia="en-US"/>
        </w:rPr>
      </w:pPr>
      <w:r w:rsidRPr="003B2277">
        <w:rPr>
          <w:rFonts w:eastAsia="Calibri" w:cs="Mangal"/>
          <w:lang w:eastAsia="en-US"/>
        </w:rPr>
        <w:t>Člen 33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7998026" w14:textId="77777777" w:rsidTr="005B4D60">
        <w:trPr>
          <w:jc w:val="center"/>
        </w:trPr>
        <w:tc>
          <w:tcPr>
            <w:tcW w:w="9752" w:type="dxa"/>
            <w:gridSpan w:val="2"/>
          </w:tcPr>
          <w:p w14:paraId="2969B6E0" w14:textId="77777777" w:rsidR="006F5BFE" w:rsidRPr="003B2277" w:rsidRDefault="006F5BFE" w:rsidP="005B4D60">
            <w:pPr>
              <w:keepNext/>
            </w:pPr>
          </w:p>
        </w:tc>
      </w:tr>
      <w:tr w:rsidR="006F5BFE" w:rsidRPr="003B2277" w14:paraId="1CA2F924" w14:textId="77777777" w:rsidTr="005B4D60">
        <w:trPr>
          <w:jc w:val="center"/>
        </w:trPr>
        <w:tc>
          <w:tcPr>
            <w:tcW w:w="4876" w:type="dxa"/>
            <w:hideMark/>
          </w:tcPr>
          <w:p w14:paraId="36D6044D"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B6FD749" w14:textId="0EE5038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A124BED" w14:textId="77777777" w:rsidTr="005B4D60">
        <w:trPr>
          <w:jc w:val="center"/>
        </w:trPr>
        <w:tc>
          <w:tcPr>
            <w:tcW w:w="4876" w:type="dxa"/>
          </w:tcPr>
          <w:p w14:paraId="333CA9F4" w14:textId="77777777" w:rsidR="006F5BFE" w:rsidRPr="003B2277" w:rsidRDefault="006F5BFE" w:rsidP="005B4D60">
            <w:pPr>
              <w:spacing w:after="120"/>
            </w:pPr>
          </w:p>
        </w:tc>
        <w:tc>
          <w:tcPr>
            <w:tcW w:w="4876" w:type="dxa"/>
            <w:hideMark/>
          </w:tcPr>
          <w:p w14:paraId="3950C13E" w14:textId="77777777" w:rsidR="006F5BFE" w:rsidRPr="003B2277" w:rsidRDefault="006F5BFE" w:rsidP="005B4D60">
            <w:pPr>
              <w:spacing w:after="120"/>
              <w:rPr>
                <w:szCs w:val="24"/>
                <w:lang w:eastAsia="en-US"/>
              </w:rPr>
            </w:pPr>
            <w:r w:rsidRPr="003B2277">
              <w:rPr>
                <w:rFonts w:eastAsia="Calibri" w:cs="Mangal"/>
                <w:b/>
                <w:i/>
                <w:lang w:eastAsia="en-US"/>
              </w:rPr>
              <w:t>(9a)</w:t>
            </w:r>
            <w:r w:rsidRPr="003B2277">
              <w:rPr>
                <w:rFonts w:eastAsia="Calibri" w:cs="Mangal"/>
                <w:b/>
                <w:i/>
                <w:lang w:eastAsia="en-US"/>
              </w:rPr>
              <w:tab/>
              <w:t>vstavi se naslednji člen:</w:t>
            </w:r>
          </w:p>
        </w:tc>
      </w:tr>
      <w:tr w:rsidR="006F5BFE" w:rsidRPr="003B2277" w14:paraId="38485702" w14:textId="77777777" w:rsidTr="005B4D60">
        <w:trPr>
          <w:jc w:val="center"/>
        </w:trPr>
        <w:tc>
          <w:tcPr>
            <w:tcW w:w="4876" w:type="dxa"/>
          </w:tcPr>
          <w:p w14:paraId="5AF7AC39" w14:textId="77777777" w:rsidR="006F5BFE" w:rsidRPr="003B2277" w:rsidRDefault="006F5BFE" w:rsidP="005B4D60">
            <w:pPr>
              <w:spacing w:after="120"/>
            </w:pPr>
          </w:p>
        </w:tc>
        <w:tc>
          <w:tcPr>
            <w:tcW w:w="4876" w:type="dxa"/>
            <w:hideMark/>
          </w:tcPr>
          <w:p w14:paraId="6A96DA79" w14:textId="77777777" w:rsidR="006F5BFE" w:rsidRPr="003B2277" w:rsidRDefault="006F5BFE" w:rsidP="005B4D60">
            <w:pPr>
              <w:spacing w:after="120"/>
              <w:rPr>
                <w:szCs w:val="24"/>
                <w:lang w:eastAsia="en-US"/>
              </w:rPr>
            </w:pPr>
            <w:r w:rsidRPr="003B2277">
              <w:rPr>
                <w:rFonts w:eastAsia="Calibri" w:cs="Mangal"/>
                <w:b/>
                <w:i/>
                <w:lang w:eastAsia="en-US"/>
              </w:rPr>
              <w:t>„Člen 33a</w:t>
            </w:r>
          </w:p>
        </w:tc>
      </w:tr>
      <w:tr w:rsidR="006F5BFE" w:rsidRPr="003B2277" w14:paraId="3875D01B" w14:textId="77777777" w:rsidTr="005B4D60">
        <w:trPr>
          <w:jc w:val="center"/>
        </w:trPr>
        <w:tc>
          <w:tcPr>
            <w:tcW w:w="4876" w:type="dxa"/>
          </w:tcPr>
          <w:p w14:paraId="4A3EB5A7" w14:textId="77777777" w:rsidR="006F5BFE" w:rsidRPr="003B2277" w:rsidRDefault="006F5BFE" w:rsidP="005B4D60">
            <w:pPr>
              <w:spacing w:after="120"/>
            </w:pPr>
          </w:p>
        </w:tc>
        <w:tc>
          <w:tcPr>
            <w:tcW w:w="4876" w:type="dxa"/>
            <w:hideMark/>
          </w:tcPr>
          <w:p w14:paraId="62CB9DE9" w14:textId="77777777" w:rsidR="006F5BFE" w:rsidRPr="003B2277" w:rsidRDefault="006F5BFE" w:rsidP="005B4D60">
            <w:pPr>
              <w:spacing w:after="120"/>
              <w:rPr>
                <w:szCs w:val="24"/>
                <w:lang w:eastAsia="en-US"/>
              </w:rPr>
            </w:pPr>
            <w:r w:rsidRPr="003B2277">
              <w:rPr>
                <w:rFonts w:eastAsia="Calibri" w:cs="Mangal"/>
                <w:b/>
                <w:i/>
                <w:lang w:eastAsia="en-US"/>
              </w:rPr>
              <w:t>Dodatna pravila za uporabo neobvezne navedbe kakovosti „gorski proizvod“</w:t>
            </w:r>
          </w:p>
        </w:tc>
      </w:tr>
      <w:tr w:rsidR="006F5BFE" w:rsidRPr="003B2277" w14:paraId="19A6161F" w14:textId="77777777" w:rsidTr="005B4D60">
        <w:trPr>
          <w:jc w:val="center"/>
        </w:trPr>
        <w:tc>
          <w:tcPr>
            <w:tcW w:w="4876" w:type="dxa"/>
          </w:tcPr>
          <w:p w14:paraId="1ABD7B32" w14:textId="77777777" w:rsidR="006F5BFE" w:rsidRPr="003B2277" w:rsidRDefault="006F5BFE" w:rsidP="005B4D60">
            <w:pPr>
              <w:spacing w:after="120"/>
            </w:pPr>
          </w:p>
        </w:tc>
        <w:tc>
          <w:tcPr>
            <w:tcW w:w="4876" w:type="dxa"/>
            <w:hideMark/>
          </w:tcPr>
          <w:p w14:paraId="722BE967" w14:textId="77777777" w:rsidR="006F5BFE" w:rsidRPr="003B2277" w:rsidRDefault="006F5BFE" w:rsidP="005B4D60">
            <w:pPr>
              <w:spacing w:after="120"/>
              <w:rPr>
                <w:szCs w:val="24"/>
                <w:lang w:eastAsia="en-US"/>
              </w:rPr>
            </w:pPr>
            <w:r w:rsidRPr="003B2277">
              <w:rPr>
                <w:rFonts w:eastAsia="Calibri" w:cs="Mangal"/>
                <w:b/>
                <w:i/>
                <w:lang w:eastAsia="en-US"/>
              </w:rPr>
              <w:t>Države članice lahko dovolijo dajanje proizvoda z neobvezno navedbo kakovosti „gorski proizvod“ na trg, če pravila za njegovo proizvodnjo niso v nasprotju z zahtevami za proizvodnjo in označevanje gorskih proizvodov v zadevni državi, če so določene.“</w:t>
            </w:r>
          </w:p>
        </w:tc>
      </w:tr>
    </w:tbl>
    <w:p w14:paraId="13AB66ED" w14:textId="77777777" w:rsidR="006F5BFE" w:rsidRPr="003B2277" w:rsidRDefault="006F5BFE" w:rsidP="006F5BFE">
      <w:pPr>
        <w:rPr>
          <w:lang w:eastAsia="en-US"/>
        </w:rPr>
      </w:pPr>
    </w:p>
    <w:p w14:paraId="31984666" w14:textId="02C5146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195</w:t>
      </w:r>
    </w:p>
    <w:p w14:paraId="39D188A7" w14:textId="77777777" w:rsidR="006F5BFE" w:rsidRPr="003B2277" w:rsidRDefault="006F5BFE" w:rsidP="006F5BFE"/>
    <w:p w14:paraId="36744117" w14:textId="77777777" w:rsidR="006F5BFE" w:rsidRPr="003B2277" w:rsidRDefault="006F5BFE" w:rsidP="006F5BFE">
      <w:pPr>
        <w:keepNext/>
        <w:rPr>
          <w:b/>
          <w:lang w:eastAsia="en-US"/>
        </w:rPr>
      </w:pPr>
      <w:r w:rsidRPr="003B2277">
        <w:rPr>
          <w:rFonts w:eastAsia="Calibri" w:cs="Mangal"/>
          <w:b/>
          <w:lang w:eastAsia="en-US"/>
        </w:rPr>
        <w:t>Predlog uredbe</w:t>
      </w:r>
    </w:p>
    <w:p w14:paraId="24F1E1B4" w14:textId="77777777" w:rsidR="006F5BFE" w:rsidRPr="003B2277" w:rsidRDefault="006F5BFE" w:rsidP="006F5BFE">
      <w:pPr>
        <w:rPr>
          <w:b/>
          <w:lang w:eastAsia="en-US"/>
        </w:rPr>
      </w:pPr>
      <w:r w:rsidRPr="003B2277">
        <w:rPr>
          <w:rFonts w:eastAsia="Calibri" w:cs="Mangal"/>
          <w:b/>
          <w:lang w:eastAsia="en-US"/>
        </w:rPr>
        <w:t>Člen 2 – odstavek 1 – točka 10</w:t>
      </w:r>
    </w:p>
    <w:p w14:paraId="6E6C81C4" w14:textId="77777777" w:rsidR="006F5BFE" w:rsidRPr="003B2277" w:rsidRDefault="006F5BFE" w:rsidP="006F5BFE">
      <w:pPr>
        <w:keepNext/>
        <w:rPr>
          <w:lang w:eastAsia="en-US"/>
        </w:rPr>
      </w:pPr>
      <w:r w:rsidRPr="003B2277">
        <w:rPr>
          <w:rFonts w:eastAsia="Calibri" w:cs="Mangal"/>
          <w:lang w:eastAsia="en-US"/>
        </w:rPr>
        <w:t>Uredba (EU) št. 1151/2012</w:t>
      </w:r>
    </w:p>
    <w:p w14:paraId="53BB3211" w14:textId="77777777" w:rsidR="006F5BFE" w:rsidRPr="003B2277" w:rsidRDefault="006F5BFE" w:rsidP="006F5BFE">
      <w:pPr>
        <w:rPr>
          <w:lang w:eastAsia="en-US"/>
        </w:rPr>
      </w:pPr>
      <w:r w:rsidRPr="003B2277">
        <w:rPr>
          <w:rFonts w:eastAsia="Calibri" w:cs="Mangal"/>
          <w:lang w:eastAsia="en-US"/>
        </w:rPr>
        <w:t>Člen 49 – odstavek 8</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7158D7C" w14:textId="77777777" w:rsidTr="005B4D60">
        <w:trPr>
          <w:jc w:val="center"/>
        </w:trPr>
        <w:tc>
          <w:tcPr>
            <w:tcW w:w="9752" w:type="dxa"/>
            <w:gridSpan w:val="2"/>
          </w:tcPr>
          <w:p w14:paraId="4F7C8560" w14:textId="77777777" w:rsidR="006F5BFE" w:rsidRPr="003B2277" w:rsidRDefault="006F5BFE" w:rsidP="005B4D60">
            <w:pPr>
              <w:keepNext/>
            </w:pPr>
          </w:p>
        </w:tc>
      </w:tr>
      <w:tr w:rsidR="006F5BFE" w:rsidRPr="003B2277" w14:paraId="5842E770" w14:textId="77777777" w:rsidTr="005B4D60">
        <w:trPr>
          <w:jc w:val="center"/>
        </w:trPr>
        <w:tc>
          <w:tcPr>
            <w:tcW w:w="4876" w:type="dxa"/>
            <w:hideMark/>
          </w:tcPr>
          <w:p w14:paraId="10E1D78B"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316AEF6" w14:textId="5DAD9740"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9882605" w14:textId="77777777" w:rsidTr="005B4D60">
        <w:trPr>
          <w:jc w:val="center"/>
        </w:trPr>
        <w:tc>
          <w:tcPr>
            <w:tcW w:w="4876" w:type="dxa"/>
            <w:hideMark/>
          </w:tcPr>
          <w:p w14:paraId="19B585E3" w14:textId="77777777" w:rsidR="006F5BFE" w:rsidRPr="003B2277" w:rsidRDefault="006F5BFE" w:rsidP="005B4D60">
            <w:pPr>
              <w:spacing w:after="120"/>
              <w:rPr>
                <w:lang w:eastAsia="en-US"/>
              </w:rPr>
            </w:pPr>
            <w:r w:rsidRPr="003B2277">
              <w:rPr>
                <w:rFonts w:eastAsia="Calibri" w:cs="Mangal"/>
                <w:lang w:eastAsia="en-US"/>
              </w:rPr>
              <w:t>8.</w:t>
            </w:r>
            <w:r w:rsidRPr="003B2277">
              <w:rPr>
                <w:rFonts w:eastAsia="Calibri" w:cs="Mangal"/>
                <w:lang w:eastAsia="en-US"/>
              </w:rPr>
              <w:tab/>
              <w:t>V primeru, da je bil začet kakršen koli postopek pred nacionalnim sodiščem ali drugim nacionalnim organom v zvezi z zahtevkom, ki je že bil posredovan Komisiji, država članica o tem nemudoma obvesti Komisijo v skladu z odstavkom 4.</w:t>
            </w:r>
          </w:p>
        </w:tc>
        <w:tc>
          <w:tcPr>
            <w:tcW w:w="4876" w:type="dxa"/>
            <w:hideMark/>
          </w:tcPr>
          <w:p w14:paraId="63DE12E7" w14:textId="77777777" w:rsidR="006F5BFE" w:rsidRPr="003B2277" w:rsidRDefault="006F5BFE" w:rsidP="005B4D60">
            <w:pPr>
              <w:spacing w:after="120"/>
              <w:rPr>
                <w:szCs w:val="24"/>
                <w:lang w:eastAsia="en-US"/>
              </w:rPr>
            </w:pPr>
            <w:r w:rsidRPr="003B2277">
              <w:rPr>
                <w:rFonts w:eastAsia="Calibri" w:cs="Mangal"/>
                <w:lang w:eastAsia="en-US"/>
              </w:rPr>
              <w:t>8.</w:t>
            </w:r>
            <w:r w:rsidRPr="003B2277">
              <w:rPr>
                <w:rFonts w:eastAsia="Calibri" w:cs="Mangal"/>
                <w:lang w:eastAsia="en-US"/>
              </w:rPr>
              <w:tab/>
              <w:t xml:space="preserve">V primeru, da je bil začet kakršen koli postopek pred nacionalnim sodiščem ali drugim nacionalnim organom v zvezi </w:t>
            </w:r>
            <w:r w:rsidRPr="003B2277">
              <w:rPr>
                <w:rFonts w:eastAsia="Calibri" w:cs="Mangal"/>
                <w:b/>
                <w:i/>
                <w:lang w:eastAsia="en-US"/>
              </w:rPr>
              <w:t xml:space="preserve">s končno odločitvijo pristojnega nacionalnega organa v zvezi </w:t>
            </w:r>
            <w:r w:rsidRPr="003B2277">
              <w:rPr>
                <w:rFonts w:eastAsia="Calibri" w:cs="Mangal"/>
                <w:lang w:eastAsia="en-US"/>
              </w:rPr>
              <w:t>z zahtevkom, ki je že bil posredovan Komisiji, država članica o tem nemudoma obvesti Komisijo v skladu z odstavkom 4.</w:t>
            </w:r>
          </w:p>
        </w:tc>
      </w:tr>
    </w:tbl>
    <w:p w14:paraId="5727828E" w14:textId="77777777" w:rsidR="006F5BFE" w:rsidRPr="003B2277" w:rsidRDefault="006F5BFE" w:rsidP="006F5BFE">
      <w:pPr>
        <w:rPr>
          <w:lang w:eastAsia="en-US"/>
        </w:rPr>
      </w:pPr>
    </w:p>
    <w:p w14:paraId="21C85B47" w14:textId="6790638B"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196</w:t>
      </w:r>
    </w:p>
    <w:p w14:paraId="1E627688" w14:textId="77777777" w:rsidR="006F5BFE" w:rsidRPr="003B2277" w:rsidRDefault="006F5BFE" w:rsidP="006F5BFE">
      <w:pPr>
        <w:rPr>
          <w:b/>
        </w:rPr>
      </w:pPr>
    </w:p>
    <w:p w14:paraId="4269FAAD" w14:textId="77777777" w:rsidR="006F5BFE" w:rsidRPr="003B2277" w:rsidRDefault="006F5BFE" w:rsidP="006F5BFE">
      <w:pPr>
        <w:keepNext/>
        <w:rPr>
          <w:b/>
          <w:lang w:eastAsia="en-US"/>
        </w:rPr>
      </w:pPr>
      <w:r w:rsidRPr="003B2277">
        <w:rPr>
          <w:rFonts w:eastAsia="Calibri" w:cs="Mangal"/>
          <w:b/>
          <w:lang w:eastAsia="en-US"/>
        </w:rPr>
        <w:t>Predlog uredbe</w:t>
      </w:r>
    </w:p>
    <w:p w14:paraId="76C28C52" w14:textId="77777777" w:rsidR="006F5BFE" w:rsidRPr="003B2277" w:rsidRDefault="006F5BFE" w:rsidP="006F5BFE">
      <w:pPr>
        <w:rPr>
          <w:b/>
          <w:lang w:eastAsia="en-US"/>
        </w:rPr>
      </w:pPr>
      <w:r w:rsidRPr="003B2277">
        <w:rPr>
          <w:rFonts w:eastAsia="Calibri" w:cs="Mangal"/>
          <w:b/>
          <w:lang w:eastAsia="en-US"/>
        </w:rPr>
        <w:t>Člen 2 – odstavek 1 – točka 10</w:t>
      </w:r>
    </w:p>
    <w:p w14:paraId="208E1EF3" w14:textId="77777777" w:rsidR="006F5BFE" w:rsidRPr="003B2277" w:rsidRDefault="006F5BFE" w:rsidP="006F5BFE">
      <w:pPr>
        <w:keepNext/>
        <w:rPr>
          <w:lang w:eastAsia="en-US"/>
        </w:rPr>
      </w:pPr>
      <w:r w:rsidRPr="003B2277">
        <w:rPr>
          <w:rFonts w:eastAsia="Calibri" w:cs="Mangal"/>
          <w:lang w:eastAsia="en-US"/>
        </w:rPr>
        <w:t>Uredba (EU) št. 1151/2012</w:t>
      </w:r>
    </w:p>
    <w:p w14:paraId="07461F2E" w14:textId="77777777" w:rsidR="006F5BFE" w:rsidRPr="003B2277" w:rsidRDefault="006F5BFE" w:rsidP="006F5BFE">
      <w:pPr>
        <w:rPr>
          <w:lang w:eastAsia="en-US"/>
        </w:rPr>
      </w:pPr>
      <w:r w:rsidRPr="003B2277">
        <w:rPr>
          <w:rFonts w:eastAsia="Calibri" w:cs="Mangal"/>
          <w:lang w:eastAsia="en-US"/>
        </w:rPr>
        <w:t>Člen 49 – odstavek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73D6063" w14:textId="77777777" w:rsidTr="005B4D60">
        <w:trPr>
          <w:jc w:val="center"/>
        </w:trPr>
        <w:tc>
          <w:tcPr>
            <w:tcW w:w="9752" w:type="dxa"/>
            <w:gridSpan w:val="2"/>
          </w:tcPr>
          <w:p w14:paraId="2826E574" w14:textId="77777777" w:rsidR="006F5BFE" w:rsidRPr="003B2277" w:rsidRDefault="006F5BFE" w:rsidP="005B4D60">
            <w:pPr>
              <w:keepNext/>
            </w:pPr>
          </w:p>
        </w:tc>
      </w:tr>
      <w:tr w:rsidR="006F5BFE" w:rsidRPr="003B2277" w14:paraId="1456922F" w14:textId="77777777" w:rsidTr="005B4D60">
        <w:trPr>
          <w:jc w:val="center"/>
        </w:trPr>
        <w:tc>
          <w:tcPr>
            <w:tcW w:w="4876" w:type="dxa"/>
            <w:hideMark/>
          </w:tcPr>
          <w:p w14:paraId="08A7C09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693EF78" w14:textId="2947AE8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369318C" w14:textId="77777777" w:rsidTr="005B4D60">
        <w:trPr>
          <w:jc w:val="center"/>
        </w:trPr>
        <w:tc>
          <w:tcPr>
            <w:tcW w:w="4876" w:type="dxa"/>
            <w:hideMark/>
          </w:tcPr>
          <w:p w14:paraId="5832C268" w14:textId="77777777" w:rsidR="006F5BFE" w:rsidRPr="003B2277" w:rsidRDefault="006F5BFE" w:rsidP="005B4D60">
            <w:pPr>
              <w:spacing w:after="120"/>
              <w:rPr>
                <w:lang w:eastAsia="en-US"/>
              </w:rPr>
            </w:pPr>
            <w:r w:rsidRPr="003B2277">
              <w:rPr>
                <w:rFonts w:eastAsia="Calibri" w:cs="Mangal"/>
                <w:b/>
                <w:i/>
                <w:lang w:eastAsia="en-US"/>
              </w:rPr>
              <w:t>9.</w:t>
            </w:r>
            <w:r w:rsidRPr="003B2277">
              <w:rPr>
                <w:rFonts w:eastAsia="Calibri" w:cs="Mangal"/>
                <w:b/>
                <w:i/>
                <w:lang w:eastAsia="en-US"/>
              </w:rPr>
              <w:tab/>
              <w:t>Kadar je to primerno, lahko Komisija sprejme izvedbene akte za odložitev pregleda zahtevka za registracijo iz člena 50, dokler nacionalno sodišče ali drug nacionalni organ ne odloči v zvezi z ugovorom zoper zahtevek za registracijo, kadar je država članica sprejela pozitivno odločitev v nacionalnem postopku v skladu z odstavkom 4.</w:t>
            </w:r>
          </w:p>
        </w:tc>
        <w:tc>
          <w:tcPr>
            <w:tcW w:w="4876" w:type="dxa"/>
            <w:hideMark/>
          </w:tcPr>
          <w:p w14:paraId="2E58E580" w14:textId="77777777" w:rsidR="006F5BFE" w:rsidRPr="003B2277" w:rsidRDefault="006F5BFE" w:rsidP="005B4D60">
            <w:pPr>
              <w:spacing w:after="120"/>
              <w:rPr>
                <w:szCs w:val="24"/>
                <w:lang w:eastAsia="en-US"/>
              </w:rPr>
            </w:pPr>
            <w:r w:rsidRPr="003B2277">
              <w:rPr>
                <w:rFonts w:eastAsia="Calibri" w:cs="Mangal"/>
                <w:b/>
                <w:i/>
                <w:lang w:eastAsia="en-US"/>
              </w:rPr>
              <w:t>črtano</w:t>
            </w:r>
          </w:p>
        </w:tc>
      </w:tr>
      <w:tr w:rsidR="006F5BFE" w:rsidRPr="003B2277" w14:paraId="3BBBBD36" w14:textId="77777777" w:rsidTr="005B4D60">
        <w:trPr>
          <w:jc w:val="center"/>
        </w:trPr>
        <w:tc>
          <w:tcPr>
            <w:tcW w:w="4876" w:type="dxa"/>
            <w:hideMark/>
          </w:tcPr>
          <w:p w14:paraId="159E9DBB" w14:textId="361FC690" w:rsidR="006F5BFE" w:rsidRPr="003B2277" w:rsidRDefault="006F5BFE" w:rsidP="005B4D60">
            <w:pPr>
              <w:spacing w:after="120"/>
              <w:rPr>
                <w:lang w:eastAsia="en-US"/>
              </w:rPr>
            </w:pPr>
            <w:r w:rsidRPr="003B2277">
              <w:rPr>
                <w:rFonts w:eastAsia="Calibri" w:cs="Mangal"/>
                <w:b/>
                <w:i/>
                <w:lang w:eastAsia="en-US"/>
              </w:rPr>
              <w:t>Ti izvedbeni akti se sprejmejo brez uporabe postopka pregleda iz člena 57(2).</w:t>
            </w:r>
          </w:p>
        </w:tc>
        <w:tc>
          <w:tcPr>
            <w:tcW w:w="4876" w:type="dxa"/>
          </w:tcPr>
          <w:p w14:paraId="0115C88F" w14:textId="77777777" w:rsidR="006F5BFE" w:rsidRPr="003B2277" w:rsidRDefault="006F5BFE" w:rsidP="005B4D60">
            <w:pPr>
              <w:spacing w:after="120"/>
              <w:rPr>
                <w:szCs w:val="24"/>
              </w:rPr>
            </w:pPr>
          </w:p>
        </w:tc>
      </w:tr>
    </w:tbl>
    <w:p w14:paraId="2C56A15A" w14:textId="77777777" w:rsidR="006F5BFE" w:rsidRPr="003B2277" w:rsidRDefault="006F5BFE" w:rsidP="006F5BFE">
      <w:pPr>
        <w:rPr>
          <w:lang w:eastAsia="en-US"/>
        </w:rPr>
      </w:pPr>
    </w:p>
    <w:p w14:paraId="1278CBBF" w14:textId="3E00360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197</w:t>
      </w:r>
    </w:p>
    <w:p w14:paraId="3F2D0DE4" w14:textId="77777777" w:rsidR="006F5BFE" w:rsidRPr="003B2277" w:rsidRDefault="006F5BFE" w:rsidP="006F5BFE"/>
    <w:p w14:paraId="3E7AC3D0" w14:textId="77777777" w:rsidR="006F5BFE" w:rsidRPr="003B2277" w:rsidRDefault="006F5BFE" w:rsidP="006F5BFE">
      <w:pPr>
        <w:keepNext/>
        <w:rPr>
          <w:b/>
          <w:lang w:eastAsia="en-US"/>
        </w:rPr>
      </w:pPr>
      <w:r w:rsidRPr="003B2277">
        <w:rPr>
          <w:rFonts w:eastAsia="Calibri" w:cs="Mangal"/>
          <w:b/>
          <w:lang w:eastAsia="en-US"/>
        </w:rPr>
        <w:t>Predlog uredbe</w:t>
      </w:r>
    </w:p>
    <w:p w14:paraId="06B6D031" w14:textId="77777777" w:rsidR="006F5BFE" w:rsidRPr="003B2277" w:rsidRDefault="006F5BFE" w:rsidP="006F5BFE">
      <w:pPr>
        <w:rPr>
          <w:b/>
          <w:lang w:eastAsia="en-US"/>
        </w:rPr>
      </w:pPr>
      <w:r w:rsidRPr="003B2277">
        <w:rPr>
          <w:rFonts w:eastAsia="Calibri" w:cs="Mangal"/>
          <w:b/>
          <w:lang w:eastAsia="en-US"/>
        </w:rPr>
        <w:t>Člen 2 – odstavek 1 – točka 11</w:t>
      </w:r>
    </w:p>
    <w:p w14:paraId="2E5DA22C" w14:textId="77777777" w:rsidR="006F5BFE" w:rsidRPr="003B2277" w:rsidRDefault="006F5BFE" w:rsidP="006F5BFE">
      <w:pPr>
        <w:keepNext/>
        <w:rPr>
          <w:lang w:eastAsia="en-US"/>
        </w:rPr>
      </w:pPr>
      <w:r w:rsidRPr="003B2277">
        <w:rPr>
          <w:rFonts w:eastAsia="Calibri" w:cs="Mangal"/>
          <w:lang w:eastAsia="en-US"/>
        </w:rPr>
        <w:t>Uredba (EU) št. 1151/2012</w:t>
      </w:r>
    </w:p>
    <w:p w14:paraId="59233891" w14:textId="77777777" w:rsidR="006F5BFE" w:rsidRPr="003B2277" w:rsidRDefault="006F5BFE" w:rsidP="006F5BFE">
      <w:pPr>
        <w:rPr>
          <w:lang w:eastAsia="en-US"/>
        </w:rPr>
      </w:pPr>
      <w:r w:rsidRPr="003B2277">
        <w:rPr>
          <w:rFonts w:eastAsia="Calibri" w:cs="Mangal"/>
          <w:lang w:eastAsia="en-US"/>
        </w:rPr>
        <w:t>Člen 50</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428EA4" w14:textId="77777777" w:rsidTr="005B4D60">
        <w:trPr>
          <w:jc w:val="center"/>
        </w:trPr>
        <w:tc>
          <w:tcPr>
            <w:tcW w:w="9752" w:type="dxa"/>
            <w:gridSpan w:val="2"/>
          </w:tcPr>
          <w:p w14:paraId="373DF090" w14:textId="77777777" w:rsidR="006F5BFE" w:rsidRPr="003B2277" w:rsidRDefault="006F5BFE" w:rsidP="005B4D60">
            <w:pPr>
              <w:keepNext/>
            </w:pPr>
          </w:p>
        </w:tc>
      </w:tr>
      <w:tr w:rsidR="006F5BFE" w:rsidRPr="003B2277" w14:paraId="3C78F064" w14:textId="77777777" w:rsidTr="005B4D60">
        <w:trPr>
          <w:jc w:val="center"/>
        </w:trPr>
        <w:tc>
          <w:tcPr>
            <w:tcW w:w="4876" w:type="dxa"/>
            <w:hideMark/>
          </w:tcPr>
          <w:p w14:paraId="3A670A9C"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E0EE521" w14:textId="2924BBF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94FCA15" w14:textId="77777777" w:rsidTr="005B4D60">
        <w:trPr>
          <w:jc w:val="center"/>
        </w:trPr>
        <w:tc>
          <w:tcPr>
            <w:tcW w:w="4876" w:type="dxa"/>
          </w:tcPr>
          <w:p w14:paraId="06AAF829" w14:textId="77777777" w:rsidR="006F5BFE" w:rsidRPr="003B2277" w:rsidRDefault="006F5BFE" w:rsidP="005B4D60">
            <w:pPr>
              <w:spacing w:after="120"/>
              <w:rPr>
                <w:lang w:eastAsia="en-US"/>
              </w:rPr>
            </w:pPr>
            <w:r w:rsidRPr="003B2277">
              <w:rPr>
                <w:rFonts w:eastAsia="Calibri" w:cs="Mangal"/>
                <w:lang w:eastAsia="en-US"/>
              </w:rPr>
              <w:t>„Člen 50</w:t>
            </w:r>
          </w:p>
        </w:tc>
        <w:tc>
          <w:tcPr>
            <w:tcW w:w="4876" w:type="dxa"/>
          </w:tcPr>
          <w:p w14:paraId="67FEE97A" w14:textId="77777777" w:rsidR="006F5BFE" w:rsidRPr="003B2277" w:rsidRDefault="006F5BFE" w:rsidP="005B4D60">
            <w:pPr>
              <w:spacing w:after="120"/>
              <w:rPr>
                <w:lang w:eastAsia="en-US"/>
              </w:rPr>
            </w:pPr>
            <w:r w:rsidRPr="003B2277">
              <w:rPr>
                <w:rFonts w:eastAsia="Calibri" w:cs="Mangal"/>
                <w:lang w:eastAsia="en-US"/>
              </w:rPr>
              <w:t>„Člen 50</w:t>
            </w:r>
          </w:p>
        </w:tc>
      </w:tr>
      <w:tr w:rsidR="006F5BFE" w:rsidRPr="003B2277" w14:paraId="5BBF5F4F" w14:textId="77777777" w:rsidTr="005B4D60">
        <w:trPr>
          <w:jc w:val="center"/>
        </w:trPr>
        <w:tc>
          <w:tcPr>
            <w:tcW w:w="4876" w:type="dxa"/>
          </w:tcPr>
          <w:p w14:paraId="45085C86" w14:textId="77777777" w:rsidR="006F5BFE" w:rsidRPr="003B2277" w:rsidRDefault="006F5BFE" w:rsidP="005B4D60">
            <w:pPr>
              <w:spacing w:after="120"/>
              <w:rPr>
                <w:lang w:eastAsia="en-US"/>
              </w:rPr>
            </w:pPr>
            <w:r w:rsidRPr="003B2277">
              <w:rPr>
                <w:rFonts w:eastAsia="Calibri" w:cs="Mangal"/>
                <w:lang w:eastAsia="en-US"/>
              </w:rPr>
              <w:t>Pregled s strani Komisije in objava za ugovor</w:t>
            </w:r>
          </w:p>
        </w:tc>
        <w:tc>
          <w:tcPr>
            <w:tcW w:w="4876" w:type="dxa"/>
          </w:tcPr>
          <w:p w14:paraId="6CD252CC" w14:textId="77777777" w:rsidR="006F5BFE" w:rsidRPr="003B2277" w:rsidRDefault="006F5BFE" w:rsidP="005B4D60">
            <w:pPr>
              <w:spacing w:after="120"/>
              <w:rPr>
                <w:lang w:eastAsia="en-US"/>
              </w:rPr>
            </w:pPr>
            <w:r w:rsidRPr="003B2277">
              <w:rPr>
                <w:rFonts w:eastAsia="Calibri" w:cs="Mangal"/>
                <w:lang w:eastAsia="en-US"/>
              </w:rPr>
              <w:t>Pregled s strani Komisije in objava za ugovor</w:t>
            </w:r>
          </w:p>
        </w:tc>
      </w:tr>
      <w:tr w:rsidR="006F5BFE" w:rsidRPr="003B2277" w14:paraId="692B7B29" w14:textId="77777777" w:rsidTr="005B4D60">
        <w:trPr>
          <w:jc w:val="center"/>
        </w:trPr>
        <w:tc>
          <w:tcPr>
            <w:tcW w:w="4876" w:type="dxa"/>
            <w:hideMark/>
          </w:tcPr>
          <w:p w14:paraId="57B835A3"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Komisija pregleda zahtevke za registracijo, ki jih prejme v skladu s členom 49(4) in (5). Komisija preveri</w:t>
            </w:r>
            <w:r w:rsidRPr="003B2277">
              <w:rPr>
                <w:rFonts w:eastAsia="Calibri" w:cs="Mangal"/>
                <w:b/>
                <w:i/>
                <w:lang w:eastAsia="en-US"/>
              </w:rPr>
              <w:t>, da zahtevki ne vsebujejo očitnih napak, pri tem pa upošteva rezultate postopka</w:t>
            </w:r>
            <w:r w:rsidRPr="003B2277">
              <w:rPr>
                <w:rFonts w:eastAsia="Calibri" w:cs="Mangal"/>
                <w:lang w:eastAsia="en-US"/>
              </w:rPr>
              <w:t xml:space="preserve"> pregleda </w:t>
            </w:r>
            <w:r w:rsidRPr="003B2277">
              <w:rPr>
                <w:rFonts w:eastAsia="Calibri" w:cs="Mangal"/>
                <w:b/>
                <w:i/>
                <w:lang w:eastAsia="en-US"/>
              </w:rPr>
              <w:t>in postopka</w:t>
            </w:r>
            <w:r w:rsidRPr="003B2277">
              <w:rPr>
                <w:rFonts w:eastAsia="Calibri" w:cs="Mangal"/>
                <w:lang w:eastAsia="en-US"/>
              </w:rPr>
              <w:t xml:space="preserve"> ugovora, ki ga je izvedla zadevna država članica.</w:t>
            </w:r>
          </w:p>
        </w:tc>
        <w:tc>
          <w:tcPr>
            <w:tcW w:w="4876" w:type="dxa"/>
            <w:hideMark/>
          </w:tcPr>
          <w:p w14:paraId="50EE832F"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Komisija pregleda zahtevke za registracijo, ki jih prejme v skladu s členom 49(4) in (5). Komisija preveri</w:t>
            </w:r>
            <w:r w:rsidRPr="003B2277">
              <w:rPr>
                <w:rFonts w:eastAsia="Calibri" w:cs="Mangal"/>
                <w:b/>
                <w:i/>
                <w:lang w:eastAsia="en-US"/>
              </w:rPr>
              <w:t xml:space="preserve"> prejete zahtevke po postopku</w:t>
            </w:r>
            <w:r w:rsidRPr="003B2277">
              <w:rPr>
                <w:rFonts w:eastAsia="Calibri" w:cs="Mangal"/>
                <w:lang w:eastAsia="en-US"/>
              </w:rPr>
              <w:t xml:space="preserve"> pregleda </w:t>
            </w:r>
            <w:r w:rsidRPr="003B2277">
              <w:rPr>
                <w:rFonts w:eastAsia="Calibri" w:cs="Mangal"/>
                <w:b/>
                <w:i/>
                <w:lang w:eastAsia="en-US"/>
              </w:rPr>
              <w:t>ali postopku</w:t>
            </w:r>
            <w:r w:rsidRPr="003B2277">
              <w:rPr>
                <w:rFonts w:eastAsia="Calibri" w:cs="Mangal"/>
                <w:lang w:eastAsia="en-US"/>
              </w:rPr>
              <w:t xml:space="preserve"> ugovora, ki ga je izvedla zadevna država članica</w:t>
            </w:r>
            <w:r w:rsidRPr="003B2277">
              <w:rPr>
                <w:rFonts w:eastAsia="Calibri" w:cs="Mangal"/>
                <w:b/>
                <w:i/>
                <w:lang w:eastAsia="en-US"/>
              </w:rPr>
              <w:t>, da bi ugotovila, ali vsebujejo očitne napake</w:t>
            </w:r>
            <w:r w:rsidRPr="003B2277">
              <w:rPr>
                <w:rFonts w:eastAsia="Calibri" w:cs="Mangal"/>
                <w:lang w:eastAsia="en-US"/>
              </w:rPr>
              <w:t>.</w:t>
            </w:r>
          </w:p>
        </w:tc>
      </w:tr>
      <w:tr w:rsidR="006F5BFE" w:rsidRPr="003B2277" w14:paraId="55B85524" w14:textId="77777777" w:rsidTr="005B4D60">
        <w:trPr>
          <w:jc w:val="center"/>
        </w:trPr>
        <w:tc>
          <w:tcPr>
            <w:tcW w:w="4876" w:type="dxa"/>
          </w:tcPr>
          <w:p w14:paraId="4420D2F9" w14:textId="77777777" w:rsidR="006F5BFE" w:rsidRPr="003B2277" w:rsidRDefault="006F5BFE" w:rsidP="005B4D60">
            <w:pPr>
              <w:spacing w:after="120"/>
              <w:rPr>
                <w:lang w:eastAsia="en-US"/>
              </w:rPr>
            </w:pPr>
            <w:r w:rsidRPr="003B2277">
              <w:rPr>
                <w:rFonts w:eastAsia="Calibri" w:cs="Mangal"/>
                <w:lang w:eastAsia="en-US"/>
              </w:rPr>
              <w:t>Pregled, ki ga opravi Komisija, ne traja dlje kot šest mesecev po datumu prejema zahtevka od države članice. Kadar pregled traja dlje, Komisija vložnika pisno obvesti o razlogih za zamudo.</w:t>
            </w:r>
          </w:p>
        </w:tc>
        <w:tc>
          <w:tcPr>
            <w:tcW w:w="4876" w:type="dxa"/>
          </w:tcPr>
          <w:p w14:paraId="3A4A76B2" w14:textId="77777777" w:rsidR="006F5BFE" w:rsidRPr="003B2277" w:rsidRDefault="006F5BFE" w:rsidP="005B4D60">
            <w:pPr>
              <w:spacing w:after="120"/>
              <w:rPr>
                <w:lang w:eastAsia="en-US"/>
              </w:rPr>
            </w:pPr>
            <w:r w:rsidRPr="003B2277">
              <w:rPr>
                <w:rFonts w:eastAsia="Calibri" w:cs="Mangal"/>
                <w:lang w:eastAsia="en-US"/>
              </w:rPr>
              <w:t>Pregled, ki ga opravi Komisija, ne traja dlje kot šest mesecev po datumu prejema zahtevka od države članice. Kadar pregled traja dlje, Komisija vložnika pisno obvesti o razlogih za zamudo.</w:t>
            </w:r>
          </w:p>
        </w:tc>
      </w:tr>
      <w:tr w:rsidR="006F5BFE" w:rsidRPr="003B2277" w14:paraId="4F82C08D" w14:textId="77777777" w:rsidTr="005B4D60">
        <w:trPr>
          <w:jc w:val="center"/>
        </w:trPr>
        <w:tc>
          <w:tcPr>
            <w:tcW w:w="4876" w:type="dxa"/>
          </w:tcPr>
          <w:p w14:paraId="1BA7350D" w14:textId="77777777" w:rsidR="006F5BFE" w:rsidRPr="003B2277" w:rsidRDefault="006F5BFE" w:rsidP="005B4D60">
            <w:pPr>
              <w:spacing w:after="120"/>
              <w:rPr>
                <w:lang w:eastAsia="en-US"/>
              </w:rPr>
            </w:pPr>
            <w:r w:rsidRPr="003B2277">
              <w:rPr>
                <w:rFonts w:eastAsia="Calibri" w:cs="Mangal"/>
                <w:lang w:eastAsia="en-US"/>
              </w:rPr>
              <w:t>Komisija vsak mesec ali pogosteje objavi seznam imen, za katera je prejela zahtevke za registracijo, in tudi datum njihove predložitve.</w:t>
            </w:r>
          </w:p>
        </w:tc>
        <w:tc>
          <w:tcPr>
            <w:tcW w:w="4876" w:type="dxa"/>
          </w:tcPr>
          <w:p w14:paraId="78AAE792" w14:textId="77777777" w:rsidR="006F5BFE" w:rsidRPr="003B2277" w:rsidRDefault="006F5BFE" w:rsidP="005B4D60">
            <w:pPr>
              <w:spacing w:after="120"/>
              <w:rPr>
                <w:lang w:eastAsia="en-US"/>
              </w:rPr>
            </w:pPr>
            <w:r w:rsidRPr="003B2277">
              <w:rPr>
                <w:rFonts w:eastAsia="Calibri" w:cs="Mangal"/>
                <w:lang w:eastAsia="en-US"/>
              </w:rPr>
              <w:t>Komisija vsak mesec ali pogosteje objavi seznam imen, za katera je prejela zahtevke za registracijo, in tudi datum njihove predložitve.</w:t>
            </w:r>
          </w:p>
        </w:tc>
      </w:tr>
      <w:tr w:rsidR="006F5BFE" w:rsidRPr="003B2277" w14:paraId="3E2B3312" w14:textId="77777777" w:rsidTr="005B4D60">
        <w:trPr>
          <w:jc w:val="center"/>
        </w:trPr>
        <w:tc>
          <w:tcPr>
            <w:tcW w:w="4876" w:type="dxa"/>
          </w:tcPr>
          <w:p w14:paraId="6621CC71"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Kadar Komisija na podlagi pregleda, izvedenega v skladu z odstavkom 1, meni, da so pogoji iz členov 5 in 6 izpolnjeni, kar zadeva zahtevke za registracijo v okviru sheme iz naslova II, ali da so pogoji iz člena 18(1) in (2) izpolnjeni, kar zadeva zahtevke v okviru sheme iz naslova III, v Uradnem listu Evropske unije objavi:</w:t>
            </w:r>
          </w:p>
        </w:tc>
        <w:tc>
          <w:tcPr>
            <w:tcW w:w="4876" w:type="dxa"/>
          </w:tcPr>
          <w:p w14:paraId="39AD087B"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Kadar Komisija na podlagi pregleda, izvedenega v skladu z odstavkom 1, meni, da so pogoji iz členov 5 in 6 izpolnjeni, kar zadeva zahtevke za registracijo v okviru sheme iz naslova II, ali da so pogoji iz člena 18(1) in (2) izpolnjeni, kar zadeva zahtevke v okviru sheme iz naslova III, v Uradnem listu Evropske unije objavi:</w:t>
            </w:r>
          </w:p>
        </w:tc>
      </w:tr>
      <w:tr w:rsidR="006F5BFE" w:rsidRPr="003B2277" w14:paraId="0182851E" w14:textId="77777777" w:rsidTr="005B4D60">
        <w:trPr>
          <w:jc w:val="center"/>
        </w:trPr>
        <w:tc>
          <w:tcPr>
            <w:tcW w:w="4876" w:type="dxa"/>
          </w:tcPr>
          <w:p w14:paraId="1A5311F5" w14:textId="77777777" w:rsidR="006F5BFE" w:rsidRPr="003B2277" w:rsidRDefault="006F5BFE" w:rsidP="005B4D60">
            <w:pPr>
              <w:spacing w:after="120"/>
              <w:rPr>
                <w:lang w:eastAsia="en-US"/>
              </w:rPr>
            </w:pPr>
            <w:r w:rsidRPr="003B2277">
              <w:rPr>
                <w:rFonts w:eastAsia="Calibri" w:cs="Mangal"/>
                <w:lang w:eastAsia="en-US"/>
              </w:rPr>
              <w:t>(a)</w:t>
            </w:r>
            <w:r w:rsidRPr="003B2277">
              <w:rPr>
                <w:rFonts w:eastAsia="Calibri" w:cs="Mangal"/>
                <w:lang w:eastAsia="en-US"/>
              </w:rPr>
              <w:tab/>
              <w:t>enotni dokument in sklic na objavo specifikacije proizvoda za zahtevke v okviru sheme iz naslova II;</w:t>
            </w:r>
          </w:p>
        </w:tc>
        <w:tc>
          <w:tcPr>
            <w:tcW w:w="4876" w:type="dxa"/>
          </w:tcPr>
          <w:p w14:paraId="7FE4A45D" w14:textId="77777777" w:rsidR="006F5BFE" w:rsidRPr="003B2277" w:rsidRDefault="006F5BFE" w:rsidP="005B4D60">
            <w:pPr>
              <w:spacing w:after="120"/>
              <w:rPr>
                <w:lang w:eastAsia="en-US"/>
              </w:rPr>
            </w:pPr>
            <w:r w:rsidRPr="003B2277">
              <w:rPr>
                <w:rFonts w:eastAsia="Calibri" w:cs="Mangal"/>
                <w:lang w:eastAsia="en-US"/>
              </w:rPr>
              <w:t>(a)</w:t>
            </w:r>
            <w:r w:rsidRPr="003B2277">
              <w:rPr>
                <w:rFonts w:eastAsia="Calibri" w:cs="Mangal"/>
                <w:lang w:eastAsia="en-US"/>
              </w:rPr>
              <w:tab/>
              <w:t>enotni dokument in sklic na objavo specifikacije proizvoda za zahtevke v okviru sheme iz naslova II;</w:t>
            </w:r>
          </w:p>
        </w:tc>
      </w:tr>
      <w:tr w:rsidR="006F5BFE" w:rsidRPr="003B2277" w14:paraId="086409DF" w14:textId="77777777" w:rsidTr="005B4D60">
        <w:trPr>
          <w:jc w:val="center"/>
        </w:trPr>
        <w:tc>
          <w:tcPr>
            <w:tcW w:w="4876" w:type="dxa"/>
          </w:tcPr>
          <w:p w14:paraId="073970CC" w14:textId="77777777" w:rsidR="006F5BFE" w:rsidRPr="003B2277" w:rsidRDefault="006F5BFE" w:rsidP="005B4D60">
            <w:pPr>
              <w:spacing w:after="120"/>
              <w:rPr>
                <w:lang w:eastAsia="en-US"/>
              </w:rPr>
            </w:pPr>
            <w:r w:rsidRPr="003B2277">
              <w:rPr>
                <w:rFonts w:eastAsia="Calibri" w:cs="Mangal"/>
                <w:lang w:eastAsia="en-US"/>
              </w:rPr>
              <w:t>(b)</w:t>
            </w:r>
            <w:r w:rsidRPr="003B2277">
              <w:rPr>
                <w:rFonts w:eastAsia="Calibri" w:cs="Mangal"/>
                <w:lang w:eastAsia="en-US"/>
              </w:rPr>
              <w:tab/>
              <w:t>specifikacijo za zahtevke v okviru sheme iz naslova III.“;</w:t>
            </w:r>
          </w:p>
        </w:tc>
        <w:tc>
          <w:tcPr>
            <w:tcW w:w="4876" w:type="dxa"/>
          </w:tcPr>
          <w:p w14:paraId="41A8EB9F" w14:textId="77777777" w:rsidR="006F5BFE" w:rsidRPr="003B2277" w:rsidRDefault="006F5BFE" w:rsidP="005B4D60">
            <w:pPr>
              <w:spacing w:after="120"/>
              <w:rPr>
                <w:lang w:eastAsia="en-US"/>
              </w:rPr>
            </w:pPr>
            <w:r w:rsidRPr="003B2277">
              <w:rPr>
                <w:rFonts w:eastAsia="Calibri" w:cs="Mangal"/>
                <w:lang w:eastAsia="en-US"/>
              </w:rPr>
              <w:t>(b)</w:t>
            </w:r>
            <w:r w:rsidRPr="003B2277">
              <w:rPr>
                <w:rFonts w:eastAsia="Calibri" w:cs="Mangal"/>
                <w:lang w:eastAsia="en-US"/>
              </w:rPr>
              <w:tab/>
              <w:t>specifikacijo za zahtevke v okviru sheme iz naslova III.“;</w:t>
            </w:r>
          </w:p>
        </w:tc>
      </w:tr>
    </w:tbl>
    <w:p w14:paraId="00DB5661" w14:textId="77777777" w:rsidR="006F5BFE" w:rsidRPr="003B2277" w:rsidRDefault="006F5BFE" w:rsidP="006F5BFE">
      <w:pPr>
        <w:rPr>
          <w:lang w:eastAsia="en-US"/>
        </w:rPr>
      </w:pPr>
    </w:p>
    <w:p w14:paraId="798D7AB6" w14:textId="014B2F3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198</w:t>
      </w:r>
    </w:p>
    <w:p w14:paraId="43A99027" w14:textId="77777777" w:rsidR="006F5BFE" w:rsidRPr="003B2277" w:rsidRDefault="006F5BFE" w:rsidP="006F5BFE"/>
    <w:p w14:paraId="5B0C0D18" w14:textId="77777777" w:rsidR="006F5BFE" w:rsidRPr="003B2277" w:rsidRDefault="006F5BFE" w:rsidP="006F5BFE">
      <w:pPr>
        <w:keepNext/>
        <w:rPr>
          <w:b/>
          <w:lang w:eastAsia="en-US"/>
        </w:rPr>
      </w:pPr>
      <w:r w:rsidRPr="003B2277">
        <w:rPr>
          <w:rFonts w:eastAsia="Calibri" w:cs="Mangal"/>
          <w:b/>
          <w:lang w:eastAsia="en-US"/>
        </w:rPr>
        <w:t>Predlog uredbe</w:t>
      </w:r>
    </w:p>
    <w:p w14:paraId="785F4541" w14:textId="77777777" w:rsidR="006F5BFE" w:rsidRPr="003B2277" w:rsidRDefault="006F5BFE" w:rsidP="006F5BFE">
      <w:pPr>
        <w:rPr>
          <w:b/>
          <w:lang w:eastAsia="en-US"/>
        </w:rPr>
      </w:pPr>
      <w:r w:rsidRPr="003B2277">
        <w:rPr>
          <w:rFonts w:eastAsia="Calibri" w:cs="Mangal"/>
          <w:b/>
          <w:lang w:eastAsia="en-US"/>
        </w:rPr>
        <w:t>Člen 2 – odstavek 1 – točka 14</w:t>
      </w:r>
    </w:p>
    <w:p w14:paraId="79F0D242" w14:textId="77777777" w:rsidR="006F5BFE" w:rsidRPr="003B2277" w:rsidRDefault="006F5BFE" w:rsidP="006F5BFE">
      <w:pPr>
        <w:keepNext/>
        <w:rPr>
          <w:lang w:eastAsia="en-US"/>
        </w:rPr>
      </w:pPr>
      <w:r w:rsidRPr="003B2277">
        <w:rPr>
          <w:rFonts w:eastAsia="Calibri" w:cs="Mangal"/>
          <w:lang w:eastAsia="en-US"/>
        </w:rPr>
        <w:t>Uredba (EU) št. 1151/2012</w:t>
      </w:r>
    </w:p>
    <w:p w14:paraId="26BF33BA" w14:textId="77777777" w:rsidR="006F5BFE" w:rsidRPr="003B2277" w:rsidRDefault="006F5BFE" w:rsidP="006F5BFE">
      <w:pPr>
        <w:rPr>
          <w:lang w:eastAsia="en-US"/>
        </w:rPr>
      </w:pPr>
      <w:r w:rsidRPr="003B2277">
        <w:rPr>
          <w:rFonts w:eastAsia="Calibri" w:cs="Mangal"/>
          <w:lang w:eastAsia="en-US"/>
        </w:rPr>
        <w:t>Člen 53 – odstavka 2 in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1B740C6" w14:textId="77777777" w:rsidTr="005B4D60">
        <w:trPr>
          <w:jc w:val="center"/>
        </w:trPr>
        <w:tc>
          <w:tcPr>
            <w:tcW w:w="9752" w:type="dxa"/>
            <w:gridSpan w:val="2"/>
          </w:tcPr>
          <w:p w14:paraId="103022E4" w14:textId="77777777" w:rsidR="006F5BFE" w:rsidRPr="003B2277" w:rsidRDefault="006F5BFE" w:rsidP="005B4D60">
            <w:pPr>
              <w:keepNext/>
            </w:pPr>
          </w:p>
        </w:tc>
      </w:tr>
      <w:tr w:rsidR="006F5BFE" w:rsidRPr="003B2277" w14:paraId="27B7AC0A" w14:textId="77777777" w:rsidTr="005B4D60">
        <w:trPr>
          <w:jc w:val="center"/>
        </w:trPr>
        <w:tc>
          <w:tcPr>
            <w:tcW w:w="4876" w:type="dxa"/>
            <w:hideMark/>
          </w:tcPr>
          <w:p w14:paraId="0E3CAB6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88815C3" w14:textId="3C5F5E4C"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125B952" w14:textId="77777777" w:rsidTr="005B4D60">
        <w:trPr>
          <w:jc w:val="center"/>
        </w:trPr>
        <w:tc>
          <w:tcPr>
            <w:tcW w:w="4876" w:type="dxa"/>
            <w:hideMark/>
          </w:tcPr>
          <w:p w14:paraId="4C4FB913" w14:textId="77777777" w:rsidR="006F5BFE" w:rsidRPr="003B2277" w:rsidRDefault="006F5BFE" w:rsidP="005B4D60">
            <w:pPr>
              <w:spacing w:after="120"/>
              <w:rPr>
                <w:lang w:eastAsia="en-US"/>
              </w:rPr>
            </w:pPr>
            <w:r w:rsidRPr="003B2277">
              <w:rPr>
                <w:rFonts w:eastAsia="Calibri" w:cs="Mangal"/>
                <w:b/>
                <w:i/>
                <w:lang w:eastAsia="en-US"/>
              </w:rPr>
              <w:t>[...]</w:t>
            </w:r>
          </w:p>
        </w:tc>
        <w:tc>
          <w:tcPr>
            <w:tcW w:w="4876" w:type="dxa"/>
            <w:hideMark/>
          </w:tcPr>
          <w:p w14:paraId="297BE5A5" w14:textId="77777777" w:rsidR="006F5BFE" w:rsidRPr="003B2277" w:rsidRDefault="006F5BFE" w:rsidP="005B4D60">
            <w:pPr>
              <w:spacing w:after="120"/>
              <w:rPr>
                <w:szCs w:val="24"/>
                <w:lang w:eastAsia="en-US"/>
              </w:rPr>
            </w:pPr>
            <w:r w:rsidRPr="003B2277">
              <w:rPr>
                <w:rFonts w:eastAsia="Calibri" w:cs="Mangal"/>
                <w:b/>
                <w:i/>
                <w:lang w:eastAsia="en-US"/>
              </w:rPr>
              <w:t>črtano</w:t>
            </w:r>
          </w:p>
        </w:tc>
      </w:tr>
    </w:tbl>
    <w:p w14:paraId="6F43321D" w14:textId="77777777" w:rsidR="006F5BFE" w:rsidRPr="003B2277" w:rsidRDefault="006F5BFE" w:rsidP="006F5BFE">
      <w:pPr>
        <w:rPr>
          <w:lang w:eastAsia="en-US"/>
        </w:rPr>
      </w:pPr>
    </w:p>
    <w:p w14:paraId="7FE66CA1" w14:textId="31B1531E"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199</w:t>
      </w:r>
    </w:p>
    <w:p w14:paraId="45E2647C" w14:textId="77777777" w:rsidR="006F5BFE" w:rsidRPr="003B2277" w:rsidRDefault="006F5BFE" w:rsidP="006F5BFE"/>
    <w:p w14:paraId="1935B69A" w14:textId="77777777" w:rsidR="006F5BFE" w:rsidRPr="003B2277" w:rsidRDefault="006F5BFE" w:rsidP="006F5BFE">
      <w:pPr>
        <w:keepNext/>
        <w:rPr>
          <w:b/>
          <w:lang w:eastAsia="en-US"/>
        </w:rPr>
      </w:pPr>
      <w:r w:rsidRPr="003B2277">
        <w:rPr>
          <w:rFonts w:eastAsia="Calibri" w:cs="Mangal"/>
          <w:b/>
          <w:lang w:eastAsia="en-US"/>
        </w:rPr>
        <w:t>Predlog uredbe</w:t>
      </w:r>
    </w:p>
    <w:p w14:paraId="3CAAE559" w14:textId="77777777" w:rsidR="006F5BFE" w:rsidRPr="003B2277" w:rsidRDefault="006F5BFE" w:rsidP="006F5BFE">
      <w:pPr>
        <w:rPr>
          <w:b/>
          <w:lang w:eastAsia="en-US"/>
        </w:rPr>
      </w:pPr>
      <w:r w:rsidRPr="003B2277">
        <w:rPr>
          <w:rFonts w:eastAsia="Calibri" w:cs="Mangal"/>
          <w:b/>
          <w:lang w:eastAsia="en-US"/>
        </w:rPr>
        <w:t>Člen 2 – odstavek 1 – točka 14 a (novo)</w:t>
      </w:r>
    </w:p>
    <w:p w14:paraId="032D520A" w14:textId="77777777" w:rsidR="006F5BFE" w:rsidRPr="003B2277" w:rsidRDefault="006F5BFE" w:rsidP="006F5BFE">
      <w:pPr>
        <w:keepNext/>
        <w:rPr>
          <w:lang w:eastAsia="en-US"/>
        </w:rPr>
      </w:pPr>
      <w:r w:rsidRPr="003B2277">
        <w:rPr>
          <w:rFonts w:eastAsia="Calibri" w:cs="Mangal"/>
          <w:lang w:eastAsia="en-US"/>
        </w:rPr>
        <w:t>Uredba (EU) št. 1151/2012</w:t>
      </w:r>
    </w:p>
    <w:p w14:paraId="7CB100C7" w14:textId="77777777" w:rsidR="006F5BFE" w:rsidRPr="003B2277" w:rsidRDefault="006F5BFE" w:rsidP="006F5BFE">
      <w:pPr>
        <w:rPr>
          <w:lang w:eastAsia="en-US"/>
        </w:rPr>
      </w:pPr>
      <w:r w:rsidRPr="003B2277">
        <w:rPr>
          <w:rFonts w:eastAsia="Calibri" w:cs="Mangal"/>
          <w:lang w:eastAsia="en-US"/>
        </w:rPr>
        <w:t>Člen 53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7074F80" w14:textId="77777777" w:rsidTr="005B4D60">
        <w:trPr>
          <w:jc w:val="center"/>
        </w:trPr>
        <w:tc>
          <w:tcPr>
            <w:tcW w:w="9752" w:type="dxa"/>
            <w:gridSpan w:val="2"/>
          </w:tcPr>
          <w:p w14:paraId="2D77C683" w14:textId="77777777" w:rsidR="006F5BFE" w:rsidRPr="003B2277" w:rsidRDefault="006F5BFE" w:rsidP="005B4D60">
            <w:pPr>
              <w:keepNext/>
            </w:pPr>
          </w:p>
        </w:tc>
      </w:tr>
      <w:tr w:rsidR="006F5BFE" w:rsidRPr="003B2277" w14:paraId="3C35D498" w14:textId="77777777" w:rsidTr="005B4D60">
        <w:trPr>
          <w:jc w:val="center"/>
        </w:trPr>
        <w:tc>
          <w:tcPr>
            <w:tcW w:w="4876" w:type="dxa"/>
            <w:hideMark/>
          </w:tcPr>
          <w:p w14:paraId="1E81DF62"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77636C12" w14:textId="7ACE6C1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1DCD27A" w14:textId="77777777" w:rsidTr="005B4D60">
        <w:trPr>
          <w:jc w:val="center"/>
        </w:trPr>
        <w:tc>
          <w:tcPr>
            <w:tcW w:w="4876" w:type="dxa"/>
          </w:tcPr>
          <w:p w14:paraId="78298DFA" w14:textId="77777777" w:rsidR="006F5BFE" w:rsidRPr="003B2277" w:rsidRDefault="006F5BFE" w:rsidP="005B4D60">
            <w:pPr>
              <w:spacing w:after="120"/>
            </w:pPr>
          </w:p>
        </w:tc>
        <w:tc>
          <w:tcPr>
            <w:tcW w:w="4876" w:type="dxa"/>
            <w:hideMark/>
          </w:tcPr>
          <w:p w14:paraId="6D38A9F3" w14:textId="77777777" w:rsidR="006F5BFE" w:rsidRPr="003B2277" w:rsidRDefault="006F5BFE" w:rsidP="005B4D60">
            <w:pPr>
              <w:spacing w:after="120"/>
              <w:rPr>
                <w:szCs w:val="24"/>
                <w:lang w:eastAsia="en-US"/>
              </w:rPr>
            </w:pPr>
            <w:r w:rsidRPr="003B2277">
              <w:rPr>
                <w:rFonts w:eastAsia="Calibri" w:cs="Mangal"/>
                <w:b/>
                <w:i/>
                <w:lang w:eastAsia="en-US"/>
              </w:rPr>
              <w:t>(14a)</w:t>
            </w:r>
            <w:r w:rsidRPr="003B2277">
              <w:rPr>
                <w:rFonts w:eastAsia="Calibri" w:cs="Mangal"/>
                <w:b/>
                <w:i/>
                <w:lang w:eastAsia="en-US"/>
              </w:rPr>
              <w:tab/>
              <w:t>člen 53 se nadomesti z naslednjim:</w:t>
            </w:r>
          </w:p>
        </w:tc>
      </w:tr>
      <w:tr w:rsidR="006F5BFE" w:rsidRPr="003B2277" w14:paraId="0A295328" w14:textId="77777777" w:rsidTr="005B4D60">
        <w:trPr>
          <w:jc w:val="center"/>
        </w:trPr>
        <w:tc>
          <w:tcPr>
            <w:tcW w:w="4876" w:type="dxa"/>
            <w:hideMark/>
          </w:tcPr>
          <w:p w14:paraId="7F836E41" w14:textId="77777777" w:rsidR="006F5BFE" w:rsidRPr="003B2277" w:rsidRDefault="006F5BFE" w:rsidP="005B4D60">
            <w:pPr>
              <w:spacing w:after="120"/>
              <w:rPr>
                <w:lang w:eastAsia="en-US"/>
              </w:rPr>
            </w:pPr>
            <w:r w:rsidRPr="003B2277">
              <w:rPr>
                <w:rFonts w:eastAsia="Calibri" w:cs="Mangal"/>
                <w:lang w:eastAsia="en-US"/>
              </w:rPr>
              <w:t>Člen 53</w:t>
            </w:r>
          </w:p>
        </w:tc>
        <w:tc>
          <w:tcPr>
            <w:tcW w:w="4876" w:type="dxa"/>
            <w:hideMark/>
          </w:tcPr>
          <w:p w14:paraId="7029AEF1"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53</w:t>
            </w:r>
          </w:p>
        </w:tc>
      </w:tr>
      <w:tr w:rsidR="006F5BFE" w:rsidRPr="003B2277" w14:paraId="3A618ECA" w14:textId="77777777" w:rsidTr="005B4D60">
        <w:trPr>
          <w:jc w:val="center"/>
        </w:trPr>
        <w:tc>
          <w:tcPr>
            <w:tcW w:w="4876" w:type="dxa"/>
            <w:hideMark/>
          </w:tcPr>
          <w:p w14:paraId="6E67E5E4" w14:textId="77777777" w:rsidR="006F5BFE" w:rsidRPr="003B2277" w:rsidRDefault="006F5BFE" w:rsidP="005B4D60">
            <w:pPr>
              <w:spacing w:after="120"/>
              <w:rPr>
                <w:lang w:eastAsia="en-US"/>
              </w:rPr>
            </w:pPr>
            <w:r w:rsidRPr="003B2277">
              <w:rPr>
                <w:rFonts w:eastAsia="Calibri" w:cs="Mangal"/>
                <w:lang w:eastAsia="en-US"/>
              </w:rPr>
              <w:t>Sprememba specifikacije proizvoda</w:t>
            </w:r>
          </w:p>
        </w:tc>
        <w:tc>
          <w:tcPr>
            <w:tcW w:w="4876" w:type="dxa"/>
            <w:hideMark/>
          </w:tcPr>
          <w:p w14:paraId="22EB5D28" w14:textId="77777777" w:rsidR="006F5BFE" w:rsidRPr="003B2277" w:rsidRDefault="006F5BFE" w:rsidP="005B4D60">
            <w:pPr>
              <w:spacing w:after="120"/>
              <w:rPr>
                <w:szCs w:val="24"/>
                <w:lang w:eastAsia="en-US"/>
              </w:rPr>
            </w:pPr>
            <w:r w:rsidRPr="003B2277">
              <w:rPr>
                <w:rFonts w:eastAsia="Calibri" w:cs="Mangal"/>
                <w:lang w:eastAsia="en-US"/>
              </w:rPr>
              <w:t>Sprememba specifikacije proizvoda</w:t>
            </w:r>
          </w:p>
        </w:tc>
      </w:tr>
      <w:tr w:rsidR="006F5BFE" w:rsidRPr="003B2277" w14:paraId="0386E82C" w14:textId="77777777" w:rsidTr="005B4D60">
        <w:trPr>
          <w:jc w:val="center"/>
        </w:trPr>
        <w:tc>
          <w:tcPr>
            <w:tcW w:w="4876" w:type="dxa"/>
            <w:hideMark/>
          </w:tcPr>
          <w:p w14:paraId="4BAFAB42"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Skupina s pravnim interesom lahko zaprosi za odobritev spremembe specifikacije proizvoda.</w:t>
            </w:r>
          </w:p>
        </w:tc>
        <w:tc>
          <w:tcPr>
            <w:tcW w:w="4876" w:type="dxa"/>
            <w:hideMark/>
          </w:tcPr>
          <w:p w14:paraId="2D49CE95"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Skupina s pravnim interesom lahko zaprosi za odobritev spremembe specifikacije proizvoda.</w:t>
            </w:r>
          </w:p>
        </w:tc>
      </w:tr>
      <w:tr w:rsidR="006F5BFE" w:rsidRPr="003B2277" w14:paraId="00B9D439" w14:textId="77777777" w:rsidTr="005B4D60">
        <w:trPr>
          <w:jc w:val="center"/>
        </w:trPr>
        <w:tc>
          <w:tcPr>
            <w:tcW w:w="4876" w:type="dxa"/>
            <w:hideMark/>
          </w:tcPr>
          <w:p w14:paraId="6985A2BE" w14:textId="77777777" w:rsidR="006F5BFE" w:rsidRPr="003B2277" w:rsidRDefault="006F5BFE" w:rsidP="005B4D60">
            <w:pPr>
              <w:spacing w:after="120"/>
              <w:rPr>
                <w:lang w:eastAsia="en-US"/>
              </w:rPr>
            </w:pPr>
            <w:r w:rsidRPr="003B2277">
              <w:rPr>
                <w:rFonts w:eastAsia="Calibri" w:cs="Mangal"/>
                <w:lang w:eastAsia="en-US"/>
              </w:rPr>
              <w:t>Vloge vsebujejo opis sprememb, za katere se zaproša, in utemeljitev zanje.</w:t>
            </w:r>
          </w:p>
        </w:tc>
        <w:tc>
          <w:tcPr>
            <w:tcW w:w="4876" w:type="dxa"/>
            <w:hideMark/>
          </w:tcPr>
          <w:p w14:paraId="46C14D28" w14:textId="77777777" w:rsidR="006F5BFE" w:rsidRPr="003B2277" w:rsidRDefault="006F5BFE" w:rsidP="005B4D60">
            <w:pPr>
              <w:spacing w:after="120"/>
              <w:rPr>
                <w:szCs w:val="24"/>
                <w:lang w:eastAsia="en-US"/>
              </w:rPr>
            </w:pPr>
            <w:r w:rsidRPr="003B2277">
              <w:rPr>
                <w:rFonts w:eastAsia="Calibri" w:cs="Mangal"/>
                <w:lang w:eastAsia="en-US"/>
              </w:rPr>
              <w:t xml:space="preserve">Vloge vsebujejo opis sprememb, za katere se zaproša, in utemeljitev zanje. </w:t>
            </w:r>
          </w:p>
        </w:tc>
      </w:tr>
      <w:tr w:rsidR="006F5BFE" w:rsidRPr="003B2277" w14:paraId="08017DC7" w14:textId="77777777" w:rsidTr="005B4D60">
        <w:trPr>
          <w:jc w:val="center"/>
        </w:trPr>
        <w:tc>
          <w:tcPr>
            <w:tcW w:w="4876" w:type="dxa"/>
          </w:tcPr>
          <w:p w14:paraId="740F3644"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b/>
                <w:i/>
                <w:lang w:eastAsia="en-US"/>
              </w:rPr>
              <w:tab/>
              <w:t>Kadar sprememba vključuje eno ali več sprememb specifikacije</w:t>
            </w:r>
            <w:r w:rsidRPr="003B2277">
              <w:rPr>
                <w:rFonts w:eastAsia="Calibri" w:cs="Mangal"/>
                <w:lang w:eastAsia="en-US"/>
              </w:rPr>
              <w:t xml:space="preserve">, ki </w:t>
            </w:r>
            <w:r w:rsidRPr="003B2277">
              <w:rPr>
                <w:rFonts w:eastAsia="Calibri" w:cs="Mangal"/>
                <w:b/>
                <w:i/>
                <w:lang w:eastAsia="en-US"/>
              </w:rPr>
              <w:t>niso manjše</w:t>
            </w:r>
            <w:r w:rsidRPr="003B2277">
              <w:rPr>
                <w:rFonts w:eastAsia="Calibri" w:cs="Mangal"/>
                <w:lang w:eastAsia="en-US"/>
              </w:rPr>
              <w:t xml:space="preserve">, </w:t>
            </w:r>
            <w:r w:rsidRPr="003B2277">
              <w:rPr>
                <w:rFonts w:eastAsia="Calibri" w:cs="Mangal"/>
                <w:b/>
                <w:i/>
                <w:lang w:eastAsia="en-US"/>
              </w:rPr>
              <w:t>se za zahtevek za spremembo uporablja postopek iz členov 49 do 52</w:t>
            </w:r>
            <w:r w:rsidRPr="003B2277">
              <w:rPr>
                <w:rFonts w:eastAsia="Calibri" w:cs="Mangal"/>
                <w:lang w:eastAsia="en-US"/>
              </w:rPr>
              <w:t>.</w:t>
            </w:r>
          </w:p>
        </w:tc>
        <w:tc>
          <w:tcPr>
            <w:tcW w:w="4876" w:type="dxa"/>
            <w:hideMark/>
          </w:tcPr>
          <w:p w14:paraId="06A1CB50"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r>
            <w:r w:rsidRPr="003B2277">
              <w:rPr>
                <w:rFonts w:eastAsia="Calibri" w:cs="Mangal"/>
                <w:b/>
                <w:i/>
                <w:lang w:eastAsia="en-US"/>
              </w:rPr>
              <w:t>Spremembe specifikacije proizvoda so razvrščene v dve kategoriji glede na njihov pomen: spremembe Unije</w:t>
            </w:r>
            <w:r w:rsidRPr="003B2277">
              <w:rPr>
                <w:rFonts w:eastAsia="Calibri" w:cs="Mangal"/>
                <w:lang w:eastAsia="en-US"/>
              </w:rPr>
              <w:t xml:space="preserve">, ki </w:t>
            </w:r>
            <w:r w:rsidRPr="003B2277">
              <w:rPr>
                <w:rFonts w:eastAsia="Calibri" w:cs="Mangal"/>
                <w:b/>
                <w:i/>
                <w:lang w:eastAsia="en-US"/>
              </w:rPr>
              <w:t>zahtevajo postopke ugovora na ravni Unije</w:t>
            </w:r>
            <w:r w:rsidRPr="003B2277">
              <w:rPr>
                <w:rFonts w:eastAsia="Calibri" w:cs="Mangal"/>
                <w:lang w:eastAsia="en-US"/>
              </w:rPr>
              <w:t xml:space="preserve">, </w:t>
            </w:r>
            <w:r w:rsidRPr="003B2277">
              <w:rPr>
                <w:rFonts w:eastAsia="Calibri" w:cs="Mangal"/>
                <w:b/>
                <w:i/>
                <w:lang w:eastAsia="en-US"/>
              </w:rPr>
              <w:t>in standardne spremembe, ki se jih obravnava na ravni države članice ali tretje države</w:t>
            </w:r>
            <w:r w:rsidRPr="003B2277">
              <w:rPr>
                <w:rFonts w:eastAsia="Calibri" w:cs="Mangal"/>
                <w:lang w:eastAsia="en-US"/>
              </w:rPr>
              <w:t>.</w:t>
            </w:r>
          </w:p>
        </w:tc>
      </w:tr>
      <w:tr w:rsidR="006F5BFE" w:rsidRPr="003B2277" w14:paraId="76B9BFD1" w14:textId="77777777" w:rsidTr="005B4D60">
        <w:trPr>
          <w:jc w:val="center"/>
        </w:trPr>
        <w:tc>
          <w:tcPr>
            <w:tcW w:w="4876" w:type="dxa"/>
          </w:tcPr>
          <w:p w14:paraId="3C42FA3C" w14:textId="77777777" w:rsidR="006F5BFE" w:rsidRPr="003B2277" w:rsidRDefault="006F5BFE" w:rsidP="005B4D60">
            <w:pPr>
              <w:spacing w:after="120"/>
            </w:pPr>
          </w:p>
        </w:tc>
        <w:tc>
          <w:tcPr>
            <w:tcW w:w="4876" w:type="dxa"/>
            <w:hideMark/>
          </w:tcPr>
          <w:p w14:paraId="70869973" w14:textId="77777777" w:rsidR="006F5BFE" w:rsidRPr="003B2277" w:rsidRDefault="006F5BFE" w:rsidP="005B4D60">
            <w:pPr>
              <w:spacing w:after="120"/>
              <w:rPr>
                <w:szCs w:val="24"/>
                <w:lang w:eastAsia="en-US"/>
              </w:rPr>
            </w:pPr>
            <w:r w:rsidRPr="003B2277">
              <w:rPr>
                <w:rFonts w:eastAsia="Calibri" w:cs="Mangal"/>
                <w:b/>
                <w:i/>
                <w:lang w:eastAsia="en-US"/>
              </w:rPr>
              <w:t>Sprememba se šteje za spremembo Unije, če:</w:t>
            </w:r>
          </w:p>
        </w:tc>
      </w:tr>
      <w:tr w:rsidR="006F5BFE" w:rsidRPr="003B2277" w14:paraId="3F3F5DB9" w14:textId="77777777" w:rsidTr="005B4D60">
        <w:trPr>
          <w:jc w:val="center"/>
        </w:trPr>
        <w:tc>
          <w:tcPr>
            <w:tcW w:w="4876" w:type="dxa"/>
            <w:hideMark/>
          </w:tcPr>
          <w:p w14:paraId="4F00BC9F" w14:textId="77777777" w:rsidR="006F5BFE" w:rsidRPr="003B2277" w:rsidRDefault="006F5BFE" w:rsidP="005B4D60">
            <w:pPr>
              <w:spacing w:after="120"/>
            </w:pPr>
          </w:p>
        </w:tc>
        <w:tc>
          <w:tcPr>
            <w:tcW w:w="4876" w:type="dxa"/>
            <w:hideMark/>
          </w:tcPr>
          <w:p w14:paraId="6A50F7CD" w14:textId="77777777" w:rsidR="006F5BFE" w:rsidRPr="003B2277" w:rsidRDefault="006F5BFE" w:rsidP="005B4D60">
            <w:pPr>
              <w:spacing w:after="120"/>
              <w:rPr>
                <w:szCs w:val="24"/>
                <w:lang w:eastAsia="en-US"/>
              </w:rPr>
            </w:pPr>
            <w:r w:rsidRPr="003B2277">
              <w:rPr>
                <w:rFonts w:eastAsia="Calibri" w:cs="Mangal"/>
                <w:b/>
                <w:i/>
                <w:lang w:eastAsia="en-US"/>
              </w:rPr>
              <w:t>(a) vključuje spremembo imena zaščitene označbe porekla, zaščitene geografske označbe ali zajamčene tradicionalne posebnosti;</w:t>
            </w:r>
          </w:p>
        </w:tc>
      </w:tr>
      <w:tr w:rsidR="006F5BFE" w:rsidRPr="003B2277" w14:paraId="5208DA91" w14:textId="77777777" w:rsidTr="005B4D60">
        <w:trPr>
          <w:jc w:val="center"/>
        </w:trPr>
        <w:tc>
          <w:tcPr>
            <w:tcW w:w="4876" w:type="dxa"/>
          </w:tcPr>
          <w:p w14:paraId="7CFB4B69" w14:textId="77777777" w:rsidR="006F5BFE" w:rsidRPr="003B2277" w:rsidRDefault="006F5BFE" w:rsidP="005B4D60">
            <w:pPr>
              <w:spacing w:after="120"/>
            </w:pPr>
          </w:p>
        </w:tc>
        <w:tc>
          <w:tcPr>
            <w:tcW w:w="4876" w:type="dxa"/>
            <w:hideMark/>
          </w:tcPr>
          <w:p w14:paraId="4F88E6BE" w14:textId="77777777" w:rsidR="006F5BFE" w:rsidRPr="003B2277" w:rsidRDefault="006F5BFE" w:rsidP="005B4D60">
            <w:pPr>
              <w:spacing w:after="120"/>
              <w:rPr>
                <w:szCs w:val="24"/>
                <w:lang w:eastAsia="en-US"/>
              </w:rPr>
            </w:pPr>
            <w:r w:rsidRPr="003B2277">
              <w:rPr>
                <w:rFonts w:eastAsia="Calibri" w:cs="Mangal"/>
                <w:b/>
                <w:i/>
                <w:lang w:eastAsia="en-US"/>
              </w:rPr>
              <w:t>(b) bi lahko izkrivila povezave iz točke (b) člena 5(1) za zaščitene označbe porekla in člena 5(2) za zaščitene geografske označbe;</w:t>
            </w:r>
          </w:p>
        </w:tc>
      </w:tr>
      <w:tr w:rsidR="006F5BFE" w:rsidRPr="003B2277" w14:paraId="7D22F6E1" w14:textId="77777777" w:rsidTr="005B4D60">
        <w:trPr>
          <w:jc w:val="center"/>
        </w:trPr>
        <w:tc>
          <w:tcPr>
            <w:tcW w:w="4876" w:type="dxa"/>
          </w:tcPr>
          <w:p w14:paraId="38B5DAD2" w14:textId="77777777" w:rsidR="006F5BFE" w:rsidRPr="003B2277" w:rsidRDefault="006F5BFE" w:rsidP="005B4D60">
            <w:pPr>
              <w:spacing w:after="120"/>
            </w:pPr>
          </w:p>
        </w:tc>
        <w:tc>
          <w:tcPr>
            <w:tcW w:w="4876" w:type="dxa"/>
            <w:hideMark/>
          </w:tcPr>
          <w:p w14:paraId="33988494" w14:textId="77777777" w:rsidR="006F5BFE" w:rsidRPr="003B2277" w:rsidRDefault="006F5BFE" w:rsidP="005B4D60">
            <w:pPr>
              <w:spacing w:after="120"/>
              <w:rPr>
                <w:szCs w:val="24"/>
                <w:lang w:eastAsia="en-US"/>
              </w:rPr>
            </w:pPr>
            <w:r w:rsidRPr="003B2277">
              <w:rPr>
                <w:rFonts w:eastAsia="Calibri" w:cs="Mangal"/>
                <w:b/>
                <w:i/>
                <w:lang w:eastAsia="en-US"/>
              </w:rPr>
              <w:t xml:space="preserve">(c) uvaja spremembe metode proizvodnje ali uporabe surovin in sestavin, ki se razlikujejo od tradicionalnih praks in rab za zajamčene tradicionalne posebnosti; </w:t>
            </w:r>
          </w:p>
        </w:tc>
      </w:tr>
      <w:tr w:rsidR="006F5BFE" w:rsidRPr="003B2277" w14:paraId="716960B9" w14:textId="77777777" w:rsidTr="005B4D60">
        <w:trPr>
          <w:jc w:val="center"/>
        </w:trPr>
        <w:tc>
          <w:tcPr>
            <w:tcW w:w="4876" w:type="dxa"/>
          </w:tcPr>
          <w:p w14:paraId="41662321" w14:textId="77777777" w:rsidR="006F5BFE" w:rsidRPr="003B2277" w:rsidRDefault="006F5BFE" w:rsidP="005B4D60">
            <w:pPr>
              <w:spacing w:after="120"/>
            </w:pPr>
          </w:p>
        </w:tc>
        <w:tc>
          <w:tcPr>
            <w:tcW w:w="4876" w:type="dxa"/>
            <w:hideMark/>
          </w:tcPr>
          <w:p w14:paraId="065E798A" w14:textId="77777777" w:rsidR="006F5BFE" w:rsidRPr="003B2277" w:rsidRDefault="006F5BFE" w:rsidP="005B4D60">
            <w:pPr>
              <w:spacing w:after="120"/>
              <w:rPr>
                <w:szCs w:val="24"/>
                <w:lang w:eastAsia="en-US"/>
              </w:rPr>
            </w:pPr>
            <w:r w:rsidRPr="003B2277">
              <w:rPr>
                <w:rFonts w:eastAsia="Calibri" w:cs="Mangal"/>
                <w:b/>
                <w:i/>
                <w:lang w:eastAsia="en-US"/>
              </w:rPr>
              <w:t>(d) predvideva nove omejitve trženja proizvoda.</w:t>
            </w:r>
          </w:p>
        </w:tc>
      </w:tr>
      <w:tr w:rsidR="006F5BFE" w:rsidRPr="003B2277" w14:paraId="48BAF7F7" w14:textId="77777777" w:rsidTr="005B4D60">
        <w:trPr>
          <w:jc w:val="center"/>
        </w:trPr>
        <w:tc>
          <w:tcPr>
            <w:tcW w:w="4876" w:type="dxa"/>
          </w:tcPr>
          <w:p w14:paraId="72B07EE2" w14:textId="77777777" w:rsidR="006F5BFE" w:rsidRPr="003B2277" w:rsidRDefault="006F5BFE" w:rsidP="005B4D60">
            <w:pPr>
              <w:spacing w:after="120"/>
            </w:pPr>
          </w:p>
        </w:tc>
        <w:tc>
          <w:tcPr>
            <w:tcW w:w="4876" w:type="dxa"/>
            <w:hideMark/>
          </w:tcPr>
          <w:p w14:paraId="780090AB" w14:textId="77777777" w:rsidR="006F5BFE" w:rsidRPr="003B2277" w:rsidRDefault="006F5BFE" w:rsidP="005B4D60">
            <w:pPr>
              <w:spacing w:after="120"/>
              <w:rPr>
                <w:szCs w:val="24"/>
                <w:lang w:eastAsia="en-US"/>
              </w:rPr>
            </w:pPr>
            <w:r w:rsidRPr="003B2277">
              <w:rPr>
                <w:rFonts w:eastAsia="Calibri" w:cs="Mangal"/>
                <w:b/>
                <w:i/>
                <w:lang w:eastAsia="en-US"/>
              </w:rPr>
              <w:t>Vse druge spremembe specifikacij proizvoda se štejejo za standardne spremembe. Začasna sprememba, ki zadeva začasno spremenjeno specifikacijo proizvoda zaradi uvedbe obveznih sanitarnih in fitosanitarnih ukrepov s strani javnih organov, ali začasna sprememba, potrebna zaradi naravne nesreče ali slabih vremenskih razmer, uradno priznanih s strani pristojnih organov, tudi štejeta kot standardni spremembi.</w:t>
            </w:r>
          </w:p>
        </w:tc>
      </w:tr>
      <w:tr w:rsidR="006F5BFE" w:rsidRPr="003B2277" w14:paraId="04AC23CC" w14:textId="77777777" w:rsidTr="005B4D60">
        <w:trPr>
          <w:jc w:val="center"/>
        </w:trPr>
        <w:tc>
          <w:tcPr>
            <w:tcW w:w="4876" w:type="dxa"/>
          </w:tcPr>
          <w:p w14:paraId="47C7A4B5" w14:textId="77777777" w:rsidR="006F5BFE" w:rsidRPr="003B2277" w:rsidRDefault="006F5BFE" w:rsidP="005B4D60">
            <w:pPr>
              <w:spacing w:after="120"/>
            </w:pPr>
          </w:p>
        </w:tc>
        <w:tc>
          <w:tcPr>
            <w:tcW w:w="4876" w:type="dxa"/>
            <w:hideMark/>
          </w:tcPr>
          <w:p w14:paraId="510695C2" w14:textId="77777777" w:rsidR="006F5BFE" w:rsidRPr="003B2277" w:rsidRDefault="006F5BFE" w:rsidP="005B4D60">
            <w:pPr>
              <w:spacing w:after="120"/>
              <w:rPr>
                <w:szCs w:val="24"/>
                <w:lang w:eastAsia="en-US"/>
              </w:rPr>
            </w:pPr>
            <w:r w:rsidRPr="003B2277">
              <w:rPr>
                <w:rFonts w:eastAsia="Calibri" w:cs="Mangal"/>
                <w:b/>
                <w:i/>
                <w:lang w:eastAsia="en-US"/>
              </w:rPr>
              <w:t>Spremembe Unije odobri Komisija. Za postopek odobritve se smiselno uporablja postopek iz členov od 49 do 52.</w:t>
            </w:r>
          </w:p>
        </w:tc>
      </w:tr>
      <w:tr w:rsidR="006F5BFE" w:rsidRPr="003B2277" w14:paraId="7B21C302" w14:textId="77777777" w:rsidTr="005B4D60">
        <w:trPr>
          <w:jc w:val="center"/>
        </w:trPr>
        <w:tc>
          <w:tcPr>
            <w:tcW w:w="4876" w:type="dxa"/>
            <w:hideMark/>
          </w:tcPr>
          <w:p w14:paraId="5AE6074C" w14:textId="77777777" w:rsidR="006F5BFE" w:rsidRPr="003B2277" w:rsidRDefault="006F5BFE" w:rsidP="005B4D60">
            <w:pPr>
              <w:spacing w:after="120"/>
              <w:rPr>
                <w:lang w:eastAsia="en-US"/>
              </w:rPr>
            </w:pPr>
            <w:r w:rsidRPr="003B2277">
              <w:rPr>
                <w:rFonts w:eastAsia="Calibri" w:cs="Mangal"/>
                <w:b/>
                <w:i/>
                <w:lang w:eastAsia="en-US"/>
              </w:rPr>
              <w:t>Če so predlagane spremembe manjše</w:t>
            </w:r>
            <w:r w:rsidRPr="003B2277">
              <w:rPr>
                <w:rFonts w:eastAsia="Calibri" w:cs="Mangal"/>
                <w:lang w:eastAsia="en-US"/>
              </w:rPr>
              <w:t xml:space="preserve">, </w:t>
            </w:r>
            <w:r w:rsidRPr="003B2277">
              <w:rPr>
                <w:rFonts w:eastAsia="Calibri" w:cs="Mangal"/>
                <w:b/>
                <w:i/>
                <w:lang w:eastAsia="en-US"/>
              </w:rPr>
              <w:t>Komisija odobri ali zavrne zahtevek. V primeru odobritve sprememb, ki pomenijo spremembo elementov iz člena 50(2), Komisija te elemente objavi v Uradnem listu Evropske unije.</w:t>
            </w:r>
          </w:p>
        </w:tc>
        <w:tc>
          <w:tcPr>
            <w:tcW w:w="4876" w:type="dxa"/>
            <w:hideMark/>
          </w:tcPr>
          <w:p w14:paraId="45B2E5AC" w14:textId="77777777" w:rsidR="006F5BFE" w:rsidRPr="003B2277" w:rsidRDefault="006F5BFE" w:rsidP="005B4D60">
            <w:pPr>
              <w:spacing w:after="120"/>
              <w:rPr>
                <w:szCs w:val="24"/>
                <w:lang w:eastAsia="en-US"/>
              </w:rPr>
            </w:pPr>
            <w:r w:rsidRPr="003B2277">
              <w:rPr>
                <w:rFonts w:eastAsia="Calibri" w:cs="Mangal"/>
                <w:b/>
                <w:i/>
                <w:lang w:eastAsia="en-US"/>
              </w:rPr>
              <w:t>Standardne spremembe odobri država članica</w:t>
            </w:r>
            <w:r w:rsidRPr="003B2277">
              <w:rPr>
                <w:rFonts w:eastAsia="Calibri" w:cs="Mangal"/>
                <w:lang w:eastAsia="en-US"/>
              </w:rPr>
              <w:t xml:space="preserve">, </w:t>
            </w:r>
            <w:r w:rsidRPr="003B2277">
              <w:rPr>
                <w:rFonts w:eastAsia="Calibri" w:cs="Mangal"/>
                <w:b/>
                <w:i/>
                <w:lang w:eastAsia="en-US"/>
              </w:rPr>
              <w:t>na ozemlju katere se nahaja geografsko območje zadevnega proizvoda</w:t>
            </w:r>
            <w:r w:rsidRPr="003B2277">
              <w:rPr>
                <w:rFonts w:eastAsia="Calibri" w:cs="Mangal"/>
                <w:lang w:eastAsia="en-US"/>
              </w:rPr>
              <w:t xml:space="preserve">, </w:t>
            </w:r>
            <w:r w:rsidRPr="003B2277">
              <w:rPr>
                <w:rFonts w:eastAsia="Calibri" w:cs="Mangal"/>
                <w:b/>
                <w:i/>
                <w:lang w:eastAsia="en-US"/>
              </w:rPr>
              <w:t>o njih pa se uradno obvesti</w:t>
            </w:r>
            <w:r w:rsidRPr="003B2277">
              <w:rPr>
                <w:rFonts w:eastAsia="Calibri" w:cs="Mangal"/>
                <w:lang w:eastAsia="en-US"/>
              </w:rPr>
              <w:t xml:space="preserve"> Komisija</w:t>
            </w:r>
            <w:r w:rsidRPr="003B2277">
              <w:rPr>
                <w:rFonts w:eastAsia="Calibri" w:cs="Mangal"/>
                <w:b/>
                <w:i/>
                <w:lang w:eastAsia="en-US"/>
              </w:rPr>
              <w:t>. Tretje države odobrijo standardne spremembe v skladu s pravom, ki velja</w:t>
            </w:r>
            <w:r w:rsidRPr="003B2277">
              <w:rPr>
                <w:rFonts w:eastAsia="Calibri" w:cs="Mangal"/>
                <w:lang w:eastAsia="en-US"/>
              </w:rPr>
              <w:t xml:space="preserve"> v </w:t>
            </w:r>
            <w:r w:rsidRPr="003B2277">
              <w:rPr>
                <w:rFonts w:eastAsia="Calibri" w:cs="Mangal"/>
                <w:b/>
                <w:i/>
                <w:lang w:eastAsia="en-US"/>
              </w:rPr>
              <w:t>zadevni tretji državi, in o njih uradno obvestijo Komisijo</w:t>
            </w:r>
            <w:r w:rsidRPr="003B2277">
              <w:rPr>
                <w:rFonts w:eastAsia="Calibri" w:cs="Mangal"/>
                <w:lang w:eastAsia="en-US"/>
              </w:rPr>
              <w:t>.</w:t>
            </w:r>
          </w:p>
        </w:tc>
      </w:tr>
      <w:tr w:rsidR="006F5BFE" w:rsidRPr="003B2277" w14:paraId="1EDB335E" w14:textId="77777777" w:rsidTr="005B4D60">
        <w:trPr>
          <w:jc w:val="center"/>
        </w:trPr>
        <w:tc>
          <w:tcPr>
            <w:tcW w:w="4876" w:type="dxa"/>
            <w:hideMark/>
          </w:tcPr>
          <w:p w14:paraId="59432786" w14:textId="77777777" w:rsidR="006F5BFE" w:rsidRPr="003B2277" w:rsidRDefault="006F5BFE" w:rsidP="005B4D60">
            <w:pPr>
              <w:spacing w:after="120"/>
              <w:rPr>
                <w:lang w:eastAsia="en-US"/>
              </w:rPr>
            </w:pPr>
            <w:r w:rsidRPr="003B2277">
              <w:rPr>
                <w:rFonts w:eastAsia="Calibri" w:cs="Mangal"/>
                <w:b/>
                <w:i/>
                <w:lang w:eastAsia="en-US"/>
              </w:rPr>
              <w:t>Sprememba se v primeru sheme kakovosti iz naslova II šteje za manjšo, če:</w:t>
            </w:r>
          </w:p>
        </w:tc>
        <w:tc>
          <w:tcPr>
            <w:tcW w:w="4876" w:type="dxa"/>
          </w:tcPr>
          <w:p w14:paraId="00502D01" w14:textId="77777777" w:rsidR="006F5BFE" w:rsidRPr="003B2277" w:rsidRDefault="006F5BFE" w:rsidP="005B4D60">
            <w:pPr>
              <w:spacing w:after="120"/>
              <w:rPr>
                <w:szCs w:val="24"/>
              </w:rPr>
            </w:pPr>
          </w:p>
        </w:tc>
      </w:tr>
      <w:tr w:rsidR="006F5BFE" w:rsidRPr="003B2277" w14:paraId="44A04A63" w14:textId="77777777" w:rsidTr="005B4D60">
        <w:trPr>
          <w:jc w:val="center"/>
        </w:trPr>
        <w:tc>
          <w:tcPr>
            <w:tcW w:w="4876" w:type="dxa"/>
            <w:hideMark/>
          </w:tcPr>
          <w:p w14:paraId="5A4E52DF" w14:textId="77777777" w:rsidR="006F5BFE" w:rsidRPr="003B2277" w:rsidRDefault="006F5BFE" w:rsidP="005B4D60">
            <w:pPr>
              <w:spacing w:after="120"/>
              <w:rPr>
                <w:lang w:eastAsia="en-US"/>
              </w:rPr>
            </w:pPr>
            <w:r w:rsidRPr="003B2277">
              <w:rPr>
                <w:rFonts w:eastAsia="Calibri" w:cs="Mangal"/>
                <w:b/>
                <w:i/>
                <w:lang w:eastAsia="en-US"/>
              </w:rPr>
              <w:t>(a) ne zadeva bistvenih značilnosti proizvoda;</w:t>
            </w:r>
          </w:p>
        </w:tc>
        <w:tc>
          <w:tcPr>
            <w:tcW w:w="4876" w:type="dxa"/>
          </w:tcPr>
          <w:p w14:paraId="09CE264F" w14:textId="77777777" w:rsidR="006F5BFE" w:rsidRPr="003B2277" w:rsidRDefault="006F5BFE" w:rsidP="005B4D60">
            <w:pPr>
              <w:spacing w:after="120"/>
              <w:rPr>
                <w:szCs w:val="24"/>
              </w:rPr>
            </w:pPr>
          </w:p>
        </w:tc>
      </w:tr>
      <w:tr w:rsidR="006F5BFE" w:rsidRPr="003B2277" w14:paraId="5C6F772B" w14:textId="77777777" w:rsidTr="005B4D60">
        <w:trPr>
          <w:jc w:val="center"/>
        </w:trPr>
        <w:tc>
          <w:tcPr>
            <w:tcW w:w="4876" w:type="dxa"/>
            <w:hideMark/>
          </w:tcPr>
          <w:p w14:paraId="54529FD1" w14:textId="77777777" w:rsidR="006F5BFE" w:rsidRPr="003B2277" w:rsidRDefault="006F5BFE" w:rsidP="005B4D60">
            <w:pPr>
              <w:spacing w:after="120"/>
              <w:rPr>
                <w:lang w:eastAsia="en-US"/>
              </w:rPr>
            </w:pPr>
            <w:r w:rsidRPr="003B2277">
              <w:rPr>
                <w:rFonts w:eastAsia="Calibri" w:cs="Mangal"/>
                <w:b/>
                <w:i/>
                <w:lang w:eastAsia="en-US"/>
              </w:rPr>
              <w:t>(b) ne spreminja povezave iz točke (f)(i) ali (ii) člena 7(1);</w:t>
            </w:r>
          </w:p>
        </w:tc>
        <w:tc>
          <w:tcPr>
            <w:tcW w:w="4876" w:type="dxa"/>
          </w:tcPr>
          <w:p w14:paraId="00C9E554" w14:textId="77777777" w:rsidR="006F5BFE" w:rsidRPr="003B2277" w:rsidRDefault="006F5BFE" w:rsidP="005B4D60">
            <w:pPr>
              <w:spacing w:after="120"/>
              <w:rPr>
                <w:szCs w:val="24"/>
              </w:rPr>
            </w:pPr>
          </w:p>
        </w:tc>
      </w:tr>
      <w:tr w:rsidR="006F5BFE" w:rsidRPr="003B2277" w14:paraId="5D4EE46F" w14:textId="77777777" w:rsidTr="005B4D60">
        <w:trPr>
          <w:jc w:val="center"/>
        </w:trPr>
        <w:tc>
          <w:tcPr>
            <w:tcW w:w="4876" w:type="dxa"/>
            <w:hideMark/>
          </w:tcPr>
          <w:p w14:paraId="3B3B9A8B" w14:textId="77777777" w:rsidR="006F5BFE" w:rsidRPr="003B2277" w:rsidRDefault="006F5BFE" w:rsidP="005B4D60">
            <w:pPr>
              <w:spacing w:after="120"/>
              <w:rPr>
                <w:lang w:eastAsia="en-US"/>
              </w:rPr>
            </w:pPr>
            <w:r w:rsidRPr="003B2277">
              <w:rPr>
                <w:rFonts w:eastAsia="Calibri" w:cs="Mangal"/>
                <w:b/>
                <w:i/>
                <w:lang w:eastAsia="en-US"/>
              </w:rPr>
              <w:t>(c) ne vključuje spremembe imena ali katerega koli dela imena proizvoda;</w:t>
            </w:r>
          </w:p>
        </w:tc>
        <w:tc>
          <w:tcPr>
            <w:tcW w:w="4876" w:type="dxa"/>
          </w:tcPr>
          <w:p w14:paraId="78A49757" w14:textId="77777777" w:rsidR="006F5BFE" w:rsidRPr="003B2277" w:rsidRDefault="006F5BFE" w:rsidP="005B4D60">
            <w:pPr>
              <w:spacing w:after="120"/>
              <w:rPr>
                <w:szCs w:val="24"/>
              </w:rPr>
            </w:pPr>
          </w:p>
        </w:tc>
      </w:tr>
      <w:tr w:rsidR="006F5BFE" w:rsidRPr="003B2277" w14:paraId="6225AE69" w14:textId="77777777" w:rsidTr="005B4D60">
        <w:trPr>
          <w:jc w:val="center"/>
        </w:trPr>
        <w:tc>
          <w:tcPr>
            <w:tcW w:w="4876" w:type="dxa"/>
            <w:hideMark/>
          </w:tcPr>
          <w:p w14:paraId="369E4BAB" w14:textId="77777777" w:rsidR="006F5BFE" w:rsidRPr="003B2277" w:rsidRDefault="006F5BFE" w:rsidP="005B4D60">
            <w:pPr>
              <w:spacing w:after="120"/>
              <w:rPr>
                <w:lang w:eastAsia="en-US"/>
              </w:rPr>
            </w:pPr>
            <w:r w:rsidRPr="003B2277">
              <w:rPr>
                <w:rFonts w:eastAsia="Calibri" w:cs="Mangal"/>
                <w:b/>
                <w:i/>
                <w:lang w:eastAsia="en-US"/>
              </w:rPr>
              <w:t>(d) ne vpliva na opredeljeno geografsko območje ali</w:t>
            </w:r>
          </w:p>
        </w:tc>
        <w:tc>
          <w:tcPr>
            <w:tcW w:w="4876" w:type="dxa"/>
          </w:tcPr>
          <w:p w14:paraId="71C9B4B0" w14:textId="77777777" w:rsidR="006F5BFE" w:rsidRPr="003B2277" w:rsidRDefault="006F5BFE" w:rsidP="005B4D60">
            <w:pPr>
              <w:spacing w:after="120"/>
              <w:rPr>
                <w:szCs w:val="24"/>
              </w:rPr>
            </w:pPr>
          </w:p>
        </w:tc>
      </w:tr>
      <w:tr w:rsidR="006F5BFE" w:rsidRPr="003B2277" w14:paraId="4DA5BF64" w14:textId="77777777" w:rsidTr="005B4D60">
        <w:trPr>
          <w:jc w:val="center"/>
        </w:trPr>
        <w:tc>
          <w:tcPr>
            <w:tcW w:w="4876" w:type="dxa"/>
            <w:hideMark/>
          </w:tcPr>
          <w:p w14:paraId="5AA0D054" w14:textId="77777777" w:rsidR="006F5BFE" w:rsidRPr="003B2277" w:rsidRDefault="006F5BFE" w:rsidP="005B4D60">
            <w:pPr>
              <w:spacing w:after="120"/>
              <w:rPr>
                <w:lang w:eastAsia="en-US"/>
              </w:rPr>
            </w:pPr>
            <w:r w:rsidRPr="003B2277">
              <w:rPr>
                <w:rFonts w:eastAsia="Calibri" w:cs="Mangal"/>
                <w:b/>
                <w:i/>
                <w:lang w:eastAsia="en-US"/>
              </w:rPr>
              <w:t>(e) ne pomeni večjih omejitev za trgovino s proizvodi ali njegovimi surovinami.</w:t>
            </w:r>
          </w:p>
        </w:tc>
        <w:tc>
          <w:tcPr>
            <w:tcW w:w="4876" w:type="dxa"/>
          </w:tcPr>
          <w:p w14:paraId="66650CB7" w14:textId="77777777" w:rsidR="006F5BFE" w:rsidRPr="003B2277" w:rsidRDefault="006F5BFE" w:rsidP="005B4D60">
            <w:pPr>
              <w:spacing w:after="120"/>
              <w:rPr>
                <w:szCs w:val="24"/>
              </w:rPr>
            </w:pPr>
          </w:p>
        </w:tc>
      </w:tr>
      <w:tr w:rsidR="006F5BFE" w:rsidRPr="003B2277" w14:paraId="627905E0" w14:textId="77777777" w:rsidTr="005B4D60">
        <w:trPr>
          <w:jc w:val="center"/>
        </w:trPr>
        <w:tc>
          <w:tcPr>
            <w:tcW w:w="4876" w:type="dxa"/>
          </w:tcPr>
          <w:p w14:paraId="6AAC4348" w14:textId="77777777" w:rsidR="006F5BFE" w:rsidRPr="003B2277" w:rsidRDefault="006F5BFE" w:rsidP="005B4D60">
            <w:pPr>
              <w:spacing w:after="120"/>
              <w:rPr>
                <w:lang w:eastAsia="en-US"/>
              </w:rPr>
            </w:pPr>
            <w:r w:rsidRPr="003B2277">
              <w:rPr>
                <w:rFonts w:eastAsia="Calibri" w:cs="Mangal"/>
                <w:b/>
                <w:i/>
                <w:lang w:eastAsia="en-US"/>
              </w:rPr>
              <w:t>Sprememba se v primeru sheme kakovosti iz naslova III šteje za manjšo, če:</w:t>
            </w:r>
          </w:p>
        </w:tc>
        <w:tc>
          <w:tcPr>
            <w:tcW w:w="4876" w:type="dxa"/>
          </w:tcPr>
          <w:p w14:paraId="6D9E06D5" w14:textId="77777777" w:rsidR="006F5BFE" w:rsidRPr="003B2277" w:rsidRDefault="006F5BFE" w:rsidP="005B4D60">
            <w:pPr>
              <w:spacing w:after="120"/>
              <w:rPr>
                <w:b/>
                <w:i/>
              </w:rPr>
            </w:pPr>
          </w:p>
        </w:tc>
      </w:tr>
      <w:tr w:rsidR="006F5BFE" w:rsidRPr="003B2277" w14:paraId="0CEFBE30" w14:textId="77777777" w:rsidTr="005B4D60">
        <w:trPr>
          <w:jc w:val="center"/>
        </w:trPr>
        <w:tc>
          <w:tcPr>
            <w:tcW w:w="4876" w:type="dxa"/>
          </w:tcPr>
          <w:p w14:paraId="57E33CD0" w14:textId="77777777" w:rsidR="006F5BFE" w:rsidRPr="003B2277" w:rsidRDefault="006F5BFE" w:rsidP="005B4D60">
            <w:pPr>
              <w:spacing w:after="120"/>
              <w:rPr>
                <w:lang w:eastAsia="en-US"/>
              </w:rPr>
            </w:pPr>
            <w:r w:rsidRPr="003B2277">
              <w:rPr>
                <w:rFonts w:eastAsia="Calibri" w:cs="Mangal"/>
                <w:b/>
                <w:i/>
                <w:lang w:eastAsia="en-US"/>
              </w:rPr>
              <w:t>(a) ne zadeva bistvenih značilnosti proizvoda;</w:t>
            </w:r>
          </w:p>
        </w:tc>
        <w:tc>
          <w:tcPr>
            <w:tcW w:w="4876" w:type="dxa"/>
          </w:tcPr>
          <w:p w14:paraId="43A0DA9E" w14:textId="77777777" w:rsidR="006F5BFE" w:rsidRPr="003B2277" w:rsidRDefault="006F5BFE" w:rsidP="005B4D60">
            <w:pPr>
              <w:spacing w:after="120"/>
              <w:rPr>
                <w:b/>
                <w:i/>
              </w:rPr>
            </w:pPr>
          </w:p>
        </w:tc>
      </w:tr>
      <w:tr w:rsidR="006F5BFE" w:rsidRPr="003B2277" w14:paraId="42872F2D" w14:textId="77777777" w:rsidTr="005B4D60">
        <w:trPr>
          <w:jc w:val="center"/>
        </w:trPr>
        <w:tc>
          <w:tcPr>
            <w:tcW w:w="4876" w:type="dxa"/>
          </w:tcPr>
          <w:p w14:paraId="645FE24B" w14:textId="77777777" w:rsidR="006F5BFE" w:rsidRPr="003B2277" w:rsidRDefault="006F5BFE" w:rsidP="005B4D60">
            <w:pPr>
              <w:spacing w:after="120"/>
              <w:rPr>
                <w:lang w:eastAsia="en-US"/>
              </w:rPr>
            </w:pPr>
            <w:r w:rsidRPr="003B2277">
              <w:rPr>
                <w:rFonts w:eastAsia="Calibri" w:cs="Mangal"/>
                <w:b/>
                <w:i/>
                <w:lang w:eastAsia="en-US"/>
              </w:rPr>
              <w:t>(b) ne uvaja bistvenih sprememb metode proizvodnje ali</w:t>
            </w:r>
          </w:p>
        </w:tc>
        <w:tc>
          <w:tcPr>
            <w:tcW w:w="4876" w:type="dxa"/>
          </w:tcPr>
          <w:p w14:paraId="4D79538D" w14:textId="77777777" w:rsidR="006F5BFE" w:rsidRPr="003B2277" w:rsidRDefault="006F5BFE" w:rsidP="005B4D60">
            <w:pPr>
              <w:spacing w:after="120"/>
              <w:rPr>
                <w:b/>
                <w:i/>
              </w:rPr>
            </w:pPr>
          </w:p>
        </w:tc>
      </w:tr>
      <w:tr w:rsidR="006F5BFE" w:rsidRPr="003B2277" w14:paraId="49C83966" w14:textId="77777777" w:rsidTr="005B4D60">
        <w:trPr>
          <w:jc w:val="center"/>
        </w:trPr>
        <w:tc>
          <w:tcPr>
            <w:tcW w:w="4876" w:type="dxa"/>
          </w:tcPr>
          <w:p w14:paraId="57299ADA" w14:textId="77777777" w:rsidR="006F5BFE" w:rsidRPr="003B2277" w:rsidRDefault="006F5BFE" w:rsidP="005B4D60">
            <w:pPr>
              <w:spacing w:after="120"/>
              <w:rPr>
                <w:lang w:eastAsia="en-US"/>
              </w:rPr>
            </w:pPr>
            <w:r w:rsidRPr="003B2277">
              <w:rPr>
                <w:rFonts w:eastAsia="Calibri" w:cs="Mangal"/>
                <w:b/>
                <w:i/>
                <w:lang w:eastAsia="en-US"/>
              </w:rPr>
              <w:t>(c) ne vključuje spremembe imena ali katerega koli dela imena proizvoda.</w:t>
            </w:r>
          </w:p>
        </w:tc>
        <w:tc>
          <w:tcPr>
            <w:tcW w:w="4876" w:type="dxa"/>
          </w:tcPr>
          <w:p w14:paraId="72267E4D" w14:textId="77777777" w:rsidR="006F5BFE" w:rsidRPr="003B2277" w:rsidRDefault="006F5BFE" w:rsidP="005B4D60">
            <w:pPr>
              <w:spacing w:after="120"/>
              <w:rPr>
                <w:b/>
                <w:i/>
              </w:rPr>
            </w:pPr>
          </w:p>
        </w:tc>
      </w:tr>
      <w:tr w:rsidR="006F5BFE" w:rsidRPr="003B2277" w14:paraId="7A7820BA" w14:textId="77777777" w:rsidTr="005B4D60">
        <w:trPr>
          <w:jc w:val="center"/>
        </w:trPr>
        <w:tc>
          <w:tcPr>
            <w:tcW w:w="4876" w:type="dxa"/>
          </w:tcPr>
          <w:p w14:paraId="214EC769" w14:textId="77777777" w:rsidR="006F5BFE" w:rsidRPr="003B2277" w:rsidRDefault="006F5BFE" w:rsidP="005B4D60">
            <w:pPr>
              <w:spacing w:after="120"/>
              <w:rPr>
                <w:lang w:eastAsia="en-US"/>
              </w:rPr>
            </w:pPr>
            <w:r w:rsidRPr="003B2277">
              <w:rPr>
                <w:rFonts w:eastAsia="Calibri" w:cs="Mangal"/>
                <w:lang w:eastAsia="en-US"/>
              </w:rPr>
              <w:t>Pri pregledu zahtevka se obravnava predvsem predlagana sprememba.</w:t>
            </w:r>
          </w:p>
        </w:tc>
        <w:tc>
          <w:tcPr>
            <w:tcW w:w="4876" w:type="dxa"/>
          </w:tcPr>
          <w:p w14:paraId="6644DA50" w14:textId="77777777" w:rsidR="006F5BFE" w:rsidRPr="003B2277" w:rsidRDefault="006F5BFE" w:rsidP="005B4D60">
            <w:pPr>
              <w:spacing w:after="120"/>
              <w:rPr>
                <w:b/>
                <w:i/>
                <w:lang w:eastAsia="en-US"/>
              </w:rPr>
            </w:pPr>
            <w:r w:rsidRPr="003B2277">
              <w:rPr>
                <w:rFonts w:eastAsia="Calibri" w:cs="Mangal"/>
                <w:lang w:eastAsia="en-US"/>
              </w:rPr>
              <w:t>Pri pregledu zahtevka se obravnava predvsem predlagana sprememba.</w:t>
            </w:r>
          </w:p>
        </w:tc>
      </w:tr>
      <w:tr w:rsidR="006F5BFE" w:rsidRPr="003B2277" w14:paraId="44AA80AB" w14:textId="77777777" w:rsidTr="005B4D60">
        <w:trPr>
          <w:jc w:val="center"/>
        </w:trPr>
        <w:tc>
          <w:tcPr>
            <w:tcW w:w="4876" w:type="dxa"/>
          </w:tcPr>
          <w:p w14:paraId="6D8C6E76" w14:textId="77777777" w:rsidR="006F5BFE" w:rsidRPr="003B2277" w:rsidRDefault="006F5BFE" w:rsidP="005B4D60">
            <w:pPr>
              <w:spacing w:after="120"/>
            </w:pPr>
          </w:p>
        </w:tc>
        <w:tc>
          <w:tcPr>
            <w:tcW w:w="4876" w:type="dxa"/>
          </w:tcPr>
          <w:p w14:paraId="3F769E7A" w14:textId="77777777" w:rsidR="006F5BFE" w:rsidRPr="003B2277" w:rsidRDefault="006F5BFE" w:rsidP="005B4D60">
            <w:pPr>
              <w:spacing w:after="120"/>
              <w:rPr>
                <w:b/>
                <w:i/>
                <w:lang w:eastAsia="en-US"/>
              </w:rPr>
            </w:pPr>
            <w:r w:rsidRPr="003B2277">
              <w:rPr>
                <w:rFonts w:eastAsia="Calibri" w:cs="Mangal"/>
                <w:b/>
                <w:i/>
                <w:lang w:eastAsia="en-US"/>
              </w:rPr>
              <w:t>2a.</w:t>
            </w:r>
            <w:r w:rsidRPr="003B2277">
              <w:rPr>
                <w:rFonts w:eastAsia="Calibri" w:cs="Mangal"/>
                <w:b/>
                <w:i/>
                <w:lang w:eastAsia="en-US"/>
              </w:rPr>
              <w:tab/>
              <w:t>Člen 15 se uporablja tudi za zahtevke za spremembe Unije in standardne spremembe specifikacije.</w:t>
            </w:r>
          </w:p>
        </w:tc>
      </w:tr>
      <w:tr w:rsidR="006F5BFE" w:rsidRPr="003B2277" w14:paraId="43DD9820" w14:textId="77777777" w:rsidTr="005B4D60">
        <w:trPr>
          <w:jc w:val="center"/>
        </w:trPr>
        <w:tc>
          <w:tcPr>
            <w:tcW w:w="4876" w:type="dxa"/>
          </w:tcPr>
          <w:p w14:paraId="5C16EB7F"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 xml:space="preserve">Da bi se pospešil upravni postopek </w:t>
            </w:r>
            <w:r w:rsidRPr="003B2277">
              <w:rPr>
                <w:rFonts w:eastAsia="Calibri" w:cs="Mangal"/>
                <w:b/>
                <w:i/>
                <w:lang w:eastAsia="en-US"/>
              </w:rPr>
              <w:t>zahtevka za spremembo</w:t>
            </w:r>
            <w:r w:rsidRPr="003B2277">
              <w:rPr>
                <w:rFonts w:eastAsia="Calibri" w:cs="Mangal"/>
                <w:lang w:eastAsia="en-US"/>
              </w:rPr>
              <w:t>, tudi če sprememba ne pomeni nobene spremembe enotnega dokumenta</w:t>
            </w:r>
            <w:r w:rsidRPr="003B2277">
              <w:rPr>
                <w:rFonts w:eastAsia="Calibri" w:cs="Mangal"/>
                <w:b/>
                <w:i/>
                <w:lang w:eastAsia="en-US"/>
              </w:rPr>
              <w:t xml:space="preserve"> in če sprememba zadeva začasno spremembo specifikacije zaradi uvedbe obveznih sanitarnih ali fitosanitarnih ukrepov s strani javnih organov</w:t>
            </w:r>
            <w:r w:rsidRPr="003B2277">
              <w:rPr>
                <w:rFonts w:eastAsia="Calibri" w:cs="Mangal"/>
                <w:lang w:eastAsia="en-US"/>
              </w:rPr>
              <w:t xml:space="preserve">, se na Komisijo v skladu s členom 56 prenese pooblastilo za sprejemanje delegiranih aktov, ki dopolnjujejo pravila postopka </w:t>
            </w:r>
            <w:r w:rsidRPr="003B2277">
              <w:rPr>
                <w:rFonts w:eastAsia="Calibri" w:cs="Mangal"/>
                <w:b/>
                <w:i/>
                <w:lang w:eastAsia="en-US"/>
              </w:rPr>
              <w:t xml:space="preserve">za </w:t>
            </w:r>
            <w:r w:rsidRPr="003B2277">
              <w:rPr>
                <w:rFonts w:eastAsia="Calibri" w:cs="Mangal"/>
                <w:lang w:eastAsia="en-US"/>
              </w:rPr>
              <w:t>vložitve zahtevkov.</w:t>
            </w:r>
          </w:p>
        </w:tc>
        <w:tc>
          <w:tcPr>
            <w:tcW w:w="4876" w:type="dxa"/>
          </w:tcPr>
          <w:p w14:paraId="76555CFF" w14:textId="77777777" w:rsidR="006F5BFE" w:rsidRPr="003B2277" w:rsidRDefault="006F5BFE" w:rsidP="005B4D60">
            <w:pPr>
              <w:spacing w:after="120"/>
              <w:rPr>
                <w:b/>
                <w:i/>
                <w:lang w:eastAsia="en-US"/>
              </w:rPr>
            </w:pPr>
            <w:r w:rsidRPr="003B2277">
              <w:rPr>
                <w:rFonts w:eastAsia="Calibri" w:cs="Mangal"/>
                <w:lang w:eastAsia="en-US"/>
              </w:rPr>
              <w:t>3.</w:t>
            </w:r>
            <w:r w:rsidRPr="003B2277">
              <w:rPr>
                <w:rFonts w:eastAsia="Calibri" w:cs="Mangal"/>
                <w:lang w:eastAsia="en-US"/>
              </w:rPr>
              <w:tab/>
              <w:t xml:space="preserve">Da bi se pospešil upravni postopek </w:t>
            </w:r>
            <w:r w:rsidRPr="003B2277">
              <w:rPr>
                <w:rFonts w:eastAsia="Calibri" w:cs="Mangal"/>
                <w:b/>
                <w:i/>
                <w:lang w:eastAsia="en-US"/>
              </w:rPr>
              <w:t>sprememb Unije in standardnih sprememb specifikacije proizvoda</w:t>
            </w:r>
            <w:r w:rsidRPr="003B2277">
              <w:rPr>
                <w:rFonts w:eastAsia="Calibri" w:cs="Mangal"/>
                <w:lang w:eastAsia="en-US"/>
              </w:rPr>
              <w:t>, tudi če sprememba ne pomeni nobene spremembe enotnega dokumenta, se na Komisijo v skladu s členom 56 prenese pooblastilo za sprejemanje delegiranih aktov, ki dopolnjujejo pravila postopka vložitve zahtevkov</w:t>
            </w:r>
            <w:r w:rsidRPr="003B2277">
              <w:rPr>
                <w:rFonts w:eastAsia="Calibri" w:cs="Mangal"/>
                <w:b/>
                <w:i/>
                <w:lang w:eastAsia="en-US"/>
              </w:rPr>
              <w:t xml:space="preserve"> za spremembo</w:t>
            </w:r>
            <w:r w:rsidRPr="003B2277">
              <w:rPr>
                <w:rFonts w:eastAsia="Calibri" w:cs="Mangal"/>
                <w:lang w:eastAsia="en-US"/>
              </w:rPr>
              <w:t>.</w:t>
            </w:r>
          </w:p>
        </w:tc>
      </w:tr>
      <w:tr w:rsidR="006F5BFE" w:rsidRPr="003B2277" w14:paraId="444D94CE" w14:textId="77777777" w:rsidTr="005B4D60">
        <w:trPr>
          <w:jc w:val="center"/>
        </w:trPr>
        <w:tc>
          <w:tcPr>
            <w:tcW w:w="4876" w:type="dxa"/>
          </w:tcPr>
          <w:p w14:paraId="2721D646" w14:textId="77777777" w:rsidR="006F5BFE" w:rsidRPr="003B2277" w:rsidRDefault="006F5BFE" w:rsidP="005B4D60">
            <w:pPr>
              <w:spacing w:after="120"/>
            </w:pPr>
          </w:p>
        </w:tc>
        <w:tc>
          <w:tcPr>
            <w:tcW w:w="4876" w:type="dxa"/>
          </w:tcPr>
          <w:p w14:paraId="5825FC51" w14:textId="77777777" w:rsidR="006F5BFE" w:rsidRPr="003B2277" w:rsidRDefault="006F5BFE" w:rsidP="005B4D60">
            <w:pPr>
              <w:spacing w:after="120"/>
              <w:rPr>
                <w:b/>
                <w:i/>
                <w:lang w:eastAsia="en-US"/>
              </w:rPr>
            </w:pPr>
            <w:r w:rsidRPr="003B2277">
              <w:rPr>
                <w:rFonts w:eastAsia="Calibri" w:cs="Mangal"/>
                <w:b/>
                <w:i/>
                <w:lang w:eastAsia="en-US"/>
              </w:rPr>
              <w:t>3a.</w:t>
            </w:r>
            <w:r w:rsidRPr="003B2277">
              <w:rPr>
                <w:rFonts w:eastAsia="Calibri" w:cs="Mangal"/>
                <w:b/>
                <w:i/>
                <w:lang w:eastAsia="en-US"/>
              </w:rPr>
              <w:tab/>
              <w:t>Komisija sprejme smernice, v katerih določi merila in skupno metodologijo za uporabo in izvrševanje upravne obravnave sprememb specifikacij proizvodov, tako sprememb na ravni Unije kot standardnih sprememb, da bi zagotovila skladno izvajanje standardnih sprememb na nacionalni ravni. Komisija do ... [tri leta po začetku veljavnosti te uredbe] izvede začetno oceno učinkovitosti upravne obravnave sprememb specifikacij proizvodov, tako sprememb na ravni Unije kot standardnih sprememb, da bi ocenila učinek in doslednost uporabe reforme na nacionalni ravni. Po oceni Komisija Evropskemu parlamentu in Svetu predloži poročilo o glavnih ugotovitvah.</w:t>
            </w:r>
          </w:p>
        </w:tc>
      </w:tr>
      <w:tr w:rsidR="006F5BFE" w:rsidRPr="003B2277" w14:paraId="0DE2493C" w14:textId="77777777" w:rsidTr="005B4D60">
        <w:trPr>
          <w:jc w:val="center"/>
        </w:trPr>
        <w:tc>
          <w:tcPr>
            <w:tcW w:w="4876" w:type="dxa"/>
          </w:tcPr>
          <w:p w14:paraId="6F527375" w14:textId="77777777" w:rsidR="006F5BFE" w:rsidRPr="003B2277" w:rsidRDefault="006F5BFE" w:rsidP="005B4D60">
            <w:pPr>
              <w:spacing w:after="120"/>
              <w:rPr>
                <w:lang w:eastAsia="en-US"/>
              </w:rPr>
            </w:pPr>
            <w:r w:rsidRPr="003B2277">
              <w:rPr>
                <w:rFonts w:eastAsia="Calibri" w:cs="Mangal"/>
                <w:lang w:eastAsia="en-US"/>
              </w:rPr>
              <w:t>Komisija lahko sprejme izvedbene akte, v katerih določi podrobna pravila o postopkih, obliki in predložitvi zahtevka za spremembo. Ti izvedbeni akti se sprejmejo v skladu s postopkom pregleda iz člena 57(2).</w:t>
            </w:r>
          </w:p>
        </w:tc>
        <w:tc>
          <w:tcPr>
            <w:tcW w:w="4876" w:type="dxa"/>
          </w:tcPr>
          <w:p w14:paraId="49243A6D" w14:textId="7C11570E" w:rsidR="006F5BFE" w:rsidRPr="003B2277" w:rsidRDefault="006F5BFE" w:rsidP="005B4D60">
            <w:pPr>
              <w:spacing w:after="120"/>
              <w:rPr>
                <w:b/>
                <w:i/>
                <w:lang w:eastAsia="en-US"/>
              </w:rPr>
            </w:pPr>
            <w:r w:rsidRPr="003B2277">
              <w:rPr>
                <w:rFonts w:eastAsia="Calibri" w:cs="Mangal"/>
                <w:lang w:eastAsia="en-US"/>
              </w:rPr>
              <w:t>Komisija lahko sprejme izvedbene akte, v katerih določi podrobna pravila o postopkih, obliki in predložitvi zahtevka za spremembo</w:t>
            </w:r>
            <w:r w:rsidRPr="003B2277">
              <w:rPr>
                <w:rFonts w:eastAsia="Calibri" w:cs="Mangal"/>
                <w:b/>
                <w:i/>
                <w:lang w:eastAsia="en-US"/>
              </w:rPr>
              <w:t xml:space="preserve"> ter priglasitvi standardnih sprememb Komisiji</w:t>
            </w:r>
            <w:r w:rsidRPr="003B2277">
              <w:rPr>
                <w:rFonts w:eastAsia="Calibri" w:cs="Mangal"/>
                <w:lang w:eastAsia="en-US"/>
              </w:rPr>
              <w:t>. Ti izvedbeni akti se sprejmejo v skladu s postopkom pregleda iz člena 57(2).</w:t>
            </w:r>
            <w:r w:rsidRPr="003B2277">
              <w:rPr>
                <w:rFonts w:eastAsia="Calibri" w:cs="Mangal"/>
                <w:b/>
                <w:i/>
                <w:lang w:eastAsia="en-US"/>
              </w:rPr>
              <w:t>“</w:t>
            </w:r>
          </w:p>
        </w:tc>
      </w:tr>
    </w:tbl>
    <w:p w14:paraId="650897E0" w14:textId="5C16293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200</w:t>
      </w:r>
    </w:p>
    <w:p w14:paraId="15B74984" w14:textId="77777777" w:rsidR="006F5BFE" w:rsidRPr="003B2277" w:rsidRDefault="006F5BFE" w:rsidP="006F5BFE"/>
    <w:p w14:paraId="338BF7F7" w14:textId="77777777" w:rsidR="006F5BFE" w:rsidRPr="003B2277" w:rsidRDefault="006F5BFE" w:rsidP="006F5BFE">
      <w:pPr>
        <w:keepNext/>
        <w:rPr>
          <w:b/>
          <w:lang w:eastAsia="en-US"/>
        </w:rPr>
      </w:pPr>
      <w:r w:rsidRPr="003B2277">
        <w:rPr>
          <w:rFonts w:eastAsia="Calibri" w:cs="Mangal"/>
          <w:b/>
          <w:lang w:eastAsia="en-US"/>
        </w:rPr>
        <w:t>Predlog uredbe</w:t>
      </w:r>
    </w:p>
    <w:p w14:paraId="1BB47C40" w14:textId="77777777" w:rsidR="006F5BFE" w:rsidRPr="003B2277" w:rsidRDefault="006F5BFE" w:rsidP="006F5BFE">
      <w:pPr>
        <w:rPr>
          <w:b/>
          <w:lang w:eastAsia="en-US"/>
        </w:rPr>
      </w:pPr>
      <w:r w:rsidRPr="003B2277">
        <w:rPr>
          <w:rFonts w:eastAsia="Calibri" w:cs="Mangal"/>
          <w:b/>
          <w:lang w:eastAsia="en-US"/>
        </w:rPr>
        <w:t>Člen 2 – odstavek 1 – točka 15</w:t>
      </w:r>
    </w:p>
    <w:p w14:paraId="760F5B98" w14:textId="77777777" w:rsidR="006F5BFE" w:rsidRPr="003B2277" w:rsidRDefault="006F5BFE" w:rsidP="006F5BFE">
      <w:pPr>
        <w:keepNext/>
        <w:rPr>
          <w:lang w:eastAsia="en-US"/>
        </w:rPr>
      </w:pPr>
      <w:r w:rsidRPr="003B2277">
        <w:rPr>
          <w:rFonts w:eastAsia="Calibri" w:cs="Mangal"/>
          <w:lang w:eastAsia="en-US"/>
        </w:rPr>
        <w:t>Uredba (EU) št. 1151/2012</w:t>
      </w:r>
    </w:p>
    <w:p w14:paraId="4639C6D6" w14:textId="77777777" w:rsidR="006F5BFE" w:rsidRPr="003B2277" w:rsidRDefault="006F5BFE" w:rsidP="006F5BFE">
      <w:pPr>
        <w:rPr>
          <w:lang w:eastAsia="en-US"/>
        </w:rPr>
      </w:pPr>
      <w:r w:rsidRPr="003B2277">
        <w:rPr>
          <w:rFonts w:eastAsia="Calibri" w:cs="Mangal"/>
          <w:lang w:eastAsia="en-US"/>
        </w:rPr>
        <w:t>Priloga I – del I – alinea 22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9EC7A49" w14:textId="77777777" w:rsidTr="005B4D60">
        <w:trPr>
          <w:jc w:val="center"/>
        </w:trPr>
        <w:tc>
          <w:tcPr>
            <w:tcW w:w="9752" w:type="dxa"/>
            <w:gridSpan w:val="2"/>
          </w:tcPr>
          <w:p w14:paraId="318DD9E2" w14:textId="77777777" w:rsidR="006F5BFE" w:rsidRPr="003B2277" w:rsidRDefault="006F5BFE" w:rsidP="005B4D60">
            <w:pPr>
              <w:keepNext/>
            </w:pPr>
          </w:p>
        </w:tc>
      </w:tr>
      <w:tr w:rsidR="006F5BFE" w:rsidRPr="003B2277" w14:paraId="375141D2" w14:textId="77777777" w:rsidTr="005B4D60">
        <w:trPr>
          <w:jc w:val="center"/>
        </w:trPr>
        <w:tc>
          <w:tcPr>
            <w:tcW w:w="4876" w:type="dxa"/>
            <w:hideMark/>
          </w:tcPr>
          <w:p w14:paraId="701C0B6C"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7EEF2451" w14:textId="593801E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2BD1F35" w14:textId="77777777" w:rsidTr="005B4D60">
        <w:trPr>
          <w:jc w:val="center"/>
        </w:trPr>
        <w:tc>
          <w:tcPr>
            <w:tcW w:w="4876" w:type="dxa"/>
          </w:tcPr>
          <w:p w14:paraId="4356DBA6" w14:textId="77777777" w:rsidR="006F5BFE" w:rsidRPr="003B2277" w:rsidRDefault="006F5BFE" w:rsidP="005B4D60">
            <w:pPr>
              <w:spacing w:after="120"/>
            </w:pPr>
          </w:p>
        </w:tc>
        <w:tc>
          <w:tcPr>
            <w:tcW w:w="4876" w:type="dxa"/>
            <w:hideMark/>
          </w:tcPr>
          <w:p w14:paraId="76353848"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b/>
                <w:i/>
                <w:lang w:eastAsia="en-US"/>
              </w:rPr>
              <w:tab/>
              <w:t>čebelji vosek.</w:t>
            </w:r>
          </w:p>
        </w:tc>
      </w:tr>
    </w:tbl>
    <w:p w14:paraId="5C633A99" w14:textId="77777777" w:rsidR="006F5BFE" w:rsidRPr="003B2277" w:rsidRDefault="006F5BFE" w:rsidP="006F5BFE">
      <w:pPr>
        <w:rPr>
          <w:lang w:eastAsia="en-US"/>
        </w:rPr>
      </w:pPr>
    </w:p>
    <w:p w14:paraId="65CBF3A5" w14:textId="54AE4D2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201</w:t>
      </w:r>
    </w:p>
    <w:p w14:paraId="5C4EE8A4" w14:textId="77777777" w:rsidR="006F5BFE" w:rsidRPr="003B2277" w:rsidRDefault="006F5BFE" w:rsidP="006F5BFE"/>
    <w:p w14:paraId="5A3FC467" w14:textId="77777777" w:rsidR="006F5BFE" w:rsidRPr="003B2277" w:rsidRDefault="006F5BFE" w:rsidP="006F5BFE">
      <w:pPr>
        <w:keepNext/>
        <w:rPr>
          <w:b/>
          <w:lang w:eastAsia="en-US"/>
        </w:rPr>
      </w:pPr>
      <w:r w:rsidRPr="003B2277">
        <w:rPr>
          <w:rFonts w:eastAsia="Calibri" w:cs="Mangal"/>
          <w:b/>
          <w:lang w:eastAsia="en-US"/>
        </w:rPr>
        <w:t>Predlog uredbe</w:t>
      </w:r>
    </w:p>
    <w:p w14:paraId="5B5E81AD" w14:textId="77777777" w:rsidR="006F5BFE" w:rsidRPr="003B2277" w:rsidRDefault="006F5BFE" w:rsidP="006F5BFE">
      <w:pPr>
        <w:rPr>
          <w:b/>
          <w:lang w:eastAsia="en-US"/>
        </w:rPr>
      </w:pPr>
      <w:r w:rsidRPr="003B2277">
        <w:rPr>
          <w:rFonts w:eastAsia="Calibri" w:cs="Mangal"/>
          <w:b/>
          <w:lang w:eastAsia="en-US"/>
        </w:rPr>
        <w:t>Člen 3 – točka 3 a (novo)</w:t>
      </w:r>
    </w:p>
    <w:p w14:paraId="53A1B704" w14:textId="77777777" w:rsidR="006F5BFE" w:rsidRPr="003B2277" w:rsidRDefault="006F5BFE" w:rsidP="006F5BFE">
      <w:pPr>
        <w:keepNext/>
        <w:rPr>
          <w:lang w:eastAsia="en-US"/>
        </w:rPr>
      </w:pPr>
      <w:r w:rsidRPr="003B2277">
        <w:rPr>
          <w:rFonts w:eastAsia="Calibri" w:cs="Mangal"/>
          <w:lang w:eastAsia="en-US"/>
        </w:rPr>
        <w:t>Uredba (EU) št. 251/2014</w:t>
      </w:r>
    </w:p>
    <w:p w14:paraId="7DF7073D" w14:textId="77777777" w:rsidR="006F5BFE" w:rsidRPr="003B2277" w:rsidRDefault="006F5BFE" w:rsidP="006F5BFE">
      <w:pPr>
        <w:rPr>
          <w:lang w:eastAsia="en-US"/>
        </w:rPr>
      </w:pPr>
      <w:r w:rsidRPr="003B2277">
        <w:rPr>
          <w:rFonts w:eastAsia="Calibri" w:cs="Mangal"/>
          <w:lang w:eastAsia="en-US"/>
        </w:rPr>
        <w:t>Člen 3</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D2FC26D" w14:textId="77777777" w:rsidTr="005B4D60">
        <w:trPr>
          <w:jc w:val="center"/>
        </w:trPr>
        <w:tc>
          <w:tcPr>
            <w:tcW w:w="9752" w:type="dxa"/>
            <w:gridSpan w:val="2"/>
          </w:tcPr>
          <w:p w14:paraId="08DDB9DB" w14:textId="77777777" w:rsidR="006F5BFE" w:rsidRPr="003B2277" w:rsidRDefault="006F5BFE" w:rsidP="005B4D60">
            <w:pPr>
              <w:keepNext/>
            </w:pPr>
          </w:p>
        </w:tc>
      </w:tr>
      <w:tr w:rsidR="006F5BFE" w:rsidRPr="003B2277" w14:paraId="0440FC91" w14:textId="77777777" w:rsidTr="005B4D60">
        <w:trPr>
          <w:jc w:val="center"/>
        </w:trPr>
        <w:tc>
          <w:tcPr>
            <w:tcW w:w="4876" w:type="dxa"/>
            <w:hideMark/>
          </w:tcPr>
          <w:p w14:paraId="6C42AE74"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552B96B2" w14:textId="3DD33852"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BB0E4A1" w14:textId="77777777" w:rsidTr="005B4D60">
        <w:trPr>
          <w:jc w:val="center"/>
        </w:trPr>
        <w:tc>
          <w:tcPr>
            <w:tcW w:w="4876" w:type="dxa"/>
          </w:tcPr>
          <w:p w14:paraId="4C25E83E" w14:textId="77777777" w:rsidR="006F5BFE" w:rsidRPr="003B2277" w:rsidRDefault="006F5BFE" w:rsidP="005B4D60">
            <w:pPr>
              <w:spacing w:after="120"/>
            </w:pPr>
          </w:p>
        </w:tc>
        <w:tc>
          <w:tcPr>
            <w:tcW w:w="4876" w:type="dxa"/>
            <w:hideMark/>
          </w:tcPr>
          <w:p w14:paraId="654B7ABF" w14:textId="77777777" w:rsidR="006F5BFE" w:rsidRPr="003B2277" w:rsidRDefault="006F5BFE" w:rsidP="005B4D60">
            <w:pPr>
              <w:spacing w:after="120"/>
              <w:rPr>
                <w:szCs w:val="24"/>
                <w:lang w:eastAsia="en-US"/>
              </w:rPr>
            </w:pPr>
            <w:r w:rsidRPr="003B2277">
              <w:rPr>
                <w:rFonts w:eastAsia="Calibri" w:cs="Mangal"/>
                <w:b/>
                <w:i/>
                <w:lang w:eastAsia="en-US"/>
              </w:rPr>
              <w:t>(3a)</w:t>
            </w:r>
            <w:r w:rsidRPr="003B2277">
              <w:rPr>
                <w:rFonts w:eastAsia="Calibri" w:cs="Mangal"/>
                <w:b/>
                <w:i/>
                <w:lang w:eastAsia="en-US"/>
              </w:rPr>
              <w:tab/>
              <w:t>člen 3 se nadomesti z naslednjim:</w:t>
            </w:r>
          </w:p>
        </w:tc>
      </w:tr>
      <w:tr w:rsidR="006F5BFE" w:rsidRPr="003B2277" w14:paraId="1642B879" w14:textId="77777777" w:rsidTr="005B4D60">
        <w:trPr>
          <w:jc w:val="center"/>
        </w:trPr>
        <w:tc>
          <w:tcPr>
            <w:tcW w:w="4876" w:type="dxa"/>
            <w:hideMark/>
          </w:tcPr>
          <w:p w14:paraId="6C3FB5E6" w14:textId="77777777" w:rsidR="006F5BFE" w:rsidRPr="003B2277" w:rsidRDefault="006F5BFE" w:rsidP="005B4D60">
            <w:pPr>
              <w:spacing w:after="120"/>
              <w:rPr>
                <w:lang w:eastAsia="en-US"/>
              </w:rPr>
            </w:pPr>
            <w:r w:rsidRPr="003B2277">
              <w:rPr>
                <w:rFonts w:eastAsia="Calibri" w:cs="Mangal"/>
                <w:lang w:eastAsia="en-US"/>
              </w:rPr>
              <w:t>Člen 3</w:t>
            </w:r>
          </w:p>
        </w:tc>
        <w:tc>
          <w:tcPr>
            <w:tcW w:w="4876" w:type="dxa"/>
            <w:hideMark/>
          </w:tcPr>
          <w:p w14:paraId="63322859"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3</w:t>
            </w:r>
          </w:p>
        </w:tc>
      </w:tr>
      <w:tr w:rsidR="006F5BFE" w:rsidRPr="003B2277" w14:paraId="4ED27545" w14:textId="77777777" w:rsidTr="005B4D60">
        <w:trPr>
          <w:jc w:val="center"/>
        </w:trPr>
        <w:tc>
          <w:tcPr>
            <w:tcW w:w="4876" w:type="dxa"/>
            <w:hideMark/>
          </w:tcPr>
          <w:p w14:paraId="18ABC124" w14:textId="77777777" w:rsidR="006F5BFE" w:rsidRPr="003B2277" w:rsidRDefault="006F5BFE" w:rsidP="005B4D60">
            <w:pPr>
              <w:spacing w:after="120"/>
              <w:rPr>
                <w:lang w:eastAsia="en-US"/>
              </w:rPr>
            </w:pPr>
            <w:r w:rsidRPr="003B2277">
              <w:rPr>
                <w:rFonts w:eastAsia="Calibri" w:cs="Mangal"/>
                <w:lang w:eastAsia="en-US"/>
              </w:rPr>
              <w:t>Opredelitev in razvrstitev aromatiziranih vinskih proizvodov</w:t>
            </w:r>
          </w:p>
        </w:tc>
        <w:tc>
          <w:tcPr>
            <w:tcW w:w="4876" w:type="dxa"/>
            <w:hideMark/>
          </w:tcPr>
          <w:p w14:paraId="101D4AFD" w14:textId="77777777" w:rsidR="006F5BFE" w:rsidRPr="003B2277" w:rsidRDefault="006F5BFE" w:rsidP="005B4D60">
            <w:pPr>
              <w:spacing w:after="120"/>
              <w:rPr>
                <w:szCs w:val="24"/>
                <w:lang w:eastAsia="en-US"/>
              </w:rPr>
            </w:pPr>
            <w:r w:rsidRPr="003B2277">
              <w:rPr>
                <w:rFonts w:eastAsia="Calibri" w:cs="Mangal"/>
                <w:lang w:eastAsia="en-US"/>
              </w:rPr>
              <w:t>Opredelitev in razvrstitev aromatiziranih vinskih proizvodov</w:t>
            </w:r>
          </w:p>
        </w:tc>
      </w:tr>
      <w:tr w:rsidR="006F5BFE" w:rsidRPr="003B2277" w14:paraId="3929C550" w14:textId="77777777" w:rsidTr="005B4D60">
        <w:trPr>
          <w:jc w:val="center"/>
        </w:trPr>
        <w:tc>
          <w:tcPr>
            <w:tcW w:w="4876" w:type="dxa"/>
            <w:hideMark/>
          </w:tcPr>
          <w:p w14:paraId="7AE9BC18"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Aromatizirani vinski proizvodi so proizvodi, ki so pridobljeni iz proizvodov vinskega sektorja, kot so določeni v Uredbi (EU) št. 1308/2013, in so aromatizirani. Razvrščeni so v naslednje kategorije:</w:t>
            </w:r>
          </w:p>
        </w:tc>
        <w:tc>
          <w:tcPr>
            <w:tcW w:w="4876" w:type="dxa"/>
            <w:hideMark/>
          </w:tcPr>
          <w:p w14:paraId="73E1D15D"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Aromatizirani vinski proizvodi so proizvodi, ki so pridobljeni iz proizvodov vinskega sektorja, kot so določeni v Uredbi (EU) št. 1308/2013, in so aromatizirani. Razvrščeni so v naslednje kategorije:</w:t>
            </w:r>
          </w:p>
        </w:tc>
      </w:tr>
      <w:tr w:rsidR="006F5BFE" w:rsidRPr="003B2277" w14:paraId="053E9E5D" w14:textId="77777777" w:rsidTr="005B4D60">
        <w:trPr>
          <w:jc w:val="center"/>
        </w:trPr>
        <w:tc>
          <w:tcPr>
            <w:tcW w:w="4876" w:type="dxa"/>
            <w:hideMark/>
          </w:tcPr>
          <w:p w14:paraId="12835087" w14:textId="77777777" w:rsidR="006F5BFE" w:rsidRPr="003B2277" w:rsidRDefault="006F5BFE" w:rsidP="005B4D60">
            <w:pPr>
              <w:spacing w:after="120"/>
              <w:rPr>
                <w:lang w:eastAsia="en-US"/>
              </w:rPr>
            </w:pPr>
            <w:r w:rsidRPr="003B2277">
              <w:rPr>
                <w:rFonts w:eastAsia="Calibri" w:cs="Mangal"/>
                <w:lang w:eastAsia="en-US"/>
              </w:rPr>
              <w:t>(a) aromatizirana vina;</w:t>
            </w:r>
          </w:p>
        </w:tc>
        <w:tc>
          <w:tcPr>
            <w:tcW w:w="4876" w:type="dxa"/>
            <w:hideMark/>
          </w:tcPr>
          <w:p w14:paraId="52B502F0" w14:textId="77777777" w:rsidR="006F5BFE" w:rsidRPr="003B2277" w:rsidRDefault="006F5BFE" w:rsidP="005B4D60">
            <w:pPr>
              <w:spacing w:after="120"/>
              <w:rPr>
                <w:szCs w:val="24"/>
                <w:lang w:eastAsia="en-US"/>
              </w:rPr>
            </w:pPr>
            <w:r w:rsidRPr="003B2277">
              <w:rPr>
                <w:rFonts w:eastAsia="Calibri" w:cs="Mangal"/>
                <w:lang w:eastAsia="en-US"/>
              </w:rPr>
              <w:t>(a) aromatizirana vina;</w:t>
            </w:r>
          </w:p>
        </w:tc>
      </w:tr>
      <w:tr w:rsidR="006F5BFE" w:rsidRPr="003B2277" w14:paraId="0AB13F0E" w14:textId="77777777" w:rsidTr="005B4D60">
        <w:trPr>
          <w:jc w:val="center"/>
        </w:trPr>
        <w:tc>
          <w:tcPr>
            <w:tcW w:w="4876" w:type="dxa"/>
            <w:hideMark/>
          </w:tcPr>
          <w:p w14:paraId="4E4DFBD9" w14:textId="77777777" w:rsidR="006F5BFE" w:rsidRPr="003B2277" w:rsidRDefault="006F5BFE" w:rsidP="005B4D60">
            <w:pPr>
              <w:spacing w:after="120"/>
              <w:rPr>
                <w:lang w:eastAsia="en-US"/>
              </w:rPr>
            </w:pPr>
            <w:r w:rsidRPr="003B2277">
              <w:rPr>
                <w:rFonts w:eastAsia="Calibri" w:cs="Mangal"/>
                <w:lang w:eastAsia="en-US"/>
              </w:rPr>
              <w:t>(b) aromatizirane pijače na osnovi vina;</w:t>
            </w:r>
          </w:p>
        </w:tc>
        <w:tc>
          <w:tcPr>
            <w:tcW w:w="4876" w:type="dxa"/>
            <w:hideMark/>
          </w:tcPr>
          <w:p w14:paraId="20C3982A" w14:textId="77777777" w:rsidR="006F5BFE" w:rsidRPr="003B2277" w:rsidRDefault="006F5BFE" w:rsidP="005B4D60">
            <w:pPr>
              <w:spacing w:after="120"/>
              <w:rPr>
                <w:szCs w:val="24"/>
                <w:lang w:eastAsia="en-US"/>
              </w:rPr>
            </w:pPr>
            <w:r w:rsidRPr="003B2277">
              <w:rPr>
                <w:rFonts w:eastAsia="Calibri" w:cs="Mangal"/>
                <w:lang w:eastAsia="en-US"/>
              </w:rPr>
              <w:t>(b) aromatizirane pijače na osnovi vina;</w:t>
            </w:r>
          </w:p>
        </w:tc>
      </w:tr>
      <w:tr w:rsidR="006F5BFE" w:rsidRPr="003B2277" w14:paraId="5970F3C7" w14:textId="77777777" w:rsidTr="005B4D60">
        <w:trPr>
          <w:jc w:val="center"/>
        </w:trPr>
        <w:tc>
          <w:tcPr>
            <w:tcW w:w="4876" w:type="dxa"/>
          </w:tcPr>
          <w:p w14:paraId="4CCCAD9D" w14:textId="77777777" w:rsidR="006F5BFE" w:rsidRPr="003B2277" w:rsidRDefault="006F5BFE" w:rsidP="005B4D60">
            <w:pPr>
              <w:spacing w:after="120"/>
              <w:rPr>
                <w:lang w:eastAsia="en-US"/>
              </w:rPr>
            </w:pPr>
            <w:r w:rsidRPr="003B2277">
              <w:rPr>
                <w:rFonts w:eastAsia="Calibri" w:cs="Mangal"/>
                <w:lang w:eastAsia="en-US"/>
              </w:rPr>
              <w:t>(c) aromatizirani koktajli iz vinskih proizvodov.</w:t>
            </w:r>
          </w:p>
        </w:tc>
        <w:tc>
          <w:tcPr>
            <w:tcW w:w="4876" w:type="dxa"/>
            <w:hideMark/>
          </w:tcPr>
          <w:p w14:paraId="632D3C58" w14:textId="77777777" w:rsidR="006F5BFE" w:rsidRPr="003B2277" w:rsidRDefault="006F5BFE" w:rsidP="005B4D60">
            <w:pPr>
              <w:spacing w:after="120"/>
              <w:rPr>
                <w:szCs w:val="24"/>
                <w:lang w:eastAsia="en-US"/>
              </w:rPr>
            </w:pPr>
            <w:r w:rsidRPr="003B2277">
              <w:rPr>
                <w:rFonts w:eastAsia="Calibri" w:cs="Mangal"/>
                <w:lang w:eastAsia="en-US"/>
              </w:rPr>
              <w:t>(c) aromatizirani koktajli iz vinskih proizvodov.</w:t>
            </w:r>
          </w:p>
        </w:tc>
      </w:tr>
      <w:tr w:rsidR="006F5BFE" w:rsidRPr="003B2277" w14:paraId="514571C0" w14:textId="77777777" w:rsidTr="005B4D60">
        <w:trPr>
          <w:jc w:val="center"/>
        </w:trPr>
        <w:tc>
          <w:tcPr>
            <w:tcW w:w="4876" w:type="dxa"/>
            <w:hideMark/>
          </w:tcPr>
          <w:p w14:paraId="5D450424" w14:textId="77777777" w:rsidR="006F5BFE" w:rsidRPr="003B2277" w:rsidRDefault="006F5BFE" w:rsidP="005B4D60">
            <w:pPr>
              <w:spacing w:after="120"/>
            </w:pPr>
          </w:p>
        </w:tc>
        <w:tc>
          <w:tcPr>
            <w:tcW w:w="4876" w:type="dxa"/>
            <w:hideMark/>
          </w:tcPr>
          <w:p w14:paraId="3BBCB3AB" w14:textId="77777777" w:rsidR="006F5BFE" w:rsidRPr="003B2277" w:rsidRDefault="006F5BFE" w:rsidP="005B4D60">
            <w:pPr>
              <w:spacing w:after="120"/>
              <w:rPr>
                <w:szCs w:val="24"/>
                <w:lang w:eastAsia="en-US"/>
              </w:rPr>
            </w:pPr>
            <w:r w:rsidRPr="003B2277">
              <w:rPr>
                <w:rFonts w:eastAsia="Calibri" w:cs="Mangal"/>
                <w:b/>
                <w:i/>
                <w:lang w:eastAsia="en-US"/>
              </w:rPr>
              <w:t>(ca) dealkoholizirani aromatizirani vinski proizvodi;</w:t>
            </w:r>
          </w:p>
        </w:tc>
      </w:tr>
      <w:tr w:rsidR="006F5BFE" w:rsidRPr="003B2277" w14:paraId="6E875764" w14:textId="77777777" w:rsidTr="005B4D60">
        <w:trPr>
          <w:jc w:val="center"/>
        </w:trPr>
        <w:tc>
          <w:tcPr>
            <w:tcW w:w="4876" w:type="dxa"/>
            <w:hideMark/>
          </w:tcPr>
          <w:p w14:paraId="7029A94A"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Aromatizirano vino pomeni pijačo:</w:t>
            </w:r>
          </w:p>
        </w:tc>
        <w:tc>
          <w:tcPr>
            <w:tcW w:w="4876" w:type="dxa"/>
            <w:hideMark/>
          </w:tcPr>
          <w:p w14:paraId="09507439"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Aromatizirano vino pomeni pijačo:</w:t>
            </w:r>
          </w:p>
        </w:tc>
      </w:tr>
      <w:tr w:rsidR="006F5BFE" w:rsidRPr="003B2277" w14:paraId="095C8111" w14:textId="77777777" w:rsidTr="005B4D60">
        <w:trPr>
          <w:jc w:val="center"/>
        </w:trPr>
        <w:tc>
          <w:tcPr>
            <w:tcW w:w="4876" w:type="dxa"/>
            <w:hideMark/>
          </w:tcPr>
          <w:p w14:paraId="5930895E" w14:textId="77777777" w:rsidR="006F5BFE" w:rsidRPr="003B2277" w:rsidRDefault="006F5BFE" w:rsidP="005B4D60">
            <w:pPr>
              <w:spacing w:after="120"/>
              <w:rPr>
                <w:lang w:eastAsia="en-US"/>
              </w:rPr>
            </w:pPr>
            <w:r w:rsidRPr="003B2277">
              <w:rPr>
                <w:rFonts w:eastAsia="Calibri" w:cs="Mangal"/>
                <w:lang w:eastAsia="en-US"/>
              </w:rPr>
              <w:t>(a) pridobljeno iz enega ali več proizvodov vinske trte, opredeljenih v točki 5 dela IV Priloge II ter v točkah 1 in 3 do 9 dela II Priloge VII k Uredbi (EU) št. 1308/2013, razen vina „retsina“;</w:t>
            </w:r>
          </w:p>
        </w:tc>
        <w:tc>
          <w:tcPr>
            <w:tcW w:w="4876" w:type="dxa"/>
            <w:hideMark/>
          </w:tcPr>
          <w:p w14:paraId="3612C6AC" w14:textId="77777777" w:rsidR="006F5BFE" w:rsidRPr="003B2277" w:rsidRDefault="006F5BFE" w:rsidP="005B4D60">
            <w:pPr>
              <w:spacing w:after="120"/>
              <w:rPr>
                <w:szCs w:val="24"/>
                <w:lang w:eastAsia="en-US"/>
              </w:rPr>
            </w:pPr>
            <w:r w:rsidRPr="003B2277">
              <w:rPr>
                <w:rFonts w:eastAsia="Calibri" w:cs="Mangal"/>
                <w:lang w:eastAsia="en-US"/>
              </w:rPr>
              <w:t>(a) pridobljeno iz enega ali več proizvodov vinske trte, opredeljenih v točki 5 dela IV Priloge II ter v točkah 1 in 3 do 9 dela II Priloge VII k Uredbi (EU) št. 1308/2013, razen vina „retsina“;</w:t>
            </w:r>
          </w:p>
        </w:tc>
      </w:tr>
      <w:tr w:rsidR="006F5BFE" w:rsidRPr="003B2277" w14:paraId="3ED26755" w14:textId="77777777" w:rsidTr="005B4D60">
        <w:trPr>
          <w:jc w:val="center"/>
        </w:trPr>
        <w:tc>
          <w:tcPr>
            <w:tcW w:w="4876" w:type="dxa"/>
            <w:hideMark/>
          </w:tcPr>
          <w:p w14:paraId="3CD00EB7" w14:textId="77777777" w:rsidR="006F5BFE" w:rsidRPr="003B2277" w:rsidRDefault="006F5BFE" w:rsidP="005B4D60">
            <w:pPr>
              <w:spacing w:after="120"/>
              <w:rPr>
                <w:lang w:eastAsia="en-US"/>
              </w:rPr>
            </w:pPr>
            <w:r w:rsidRPr="003B2277">
              <w:rPr>
                <w:rFonts w:eastAsia="Calibri" w:cs="Mangal"/>
                <w:lang w:eastAsia="en-US"/>
              </w:rPr>
              <w:t>(b) v kateri proizvodi vinske trte iz točke (a) predstavljajo najmanj 75 % skupnega volumna;</w:t>
            </w:r>
          </w:p>
        </w:tc>
        <w:tc>
          <w:tcPr>
            <w:tcW w:w="4876" w:type="dxa"/>
            <w:hideMark/>
          </w:tcPr>
          <w:p w14:paraId="14D15C66" w14:textId="77777777" w:rsidR="006F5BFE" w:rsidRPr="003B2277" w:rsidRDefault="006F5BFE" w:rsidP="005B4D60">
            <w:pPr>
              <w:spacing w:after="120"/>
              <w:rPr>
                <w:szCs w:val="24"/>
                <w:lang w:eastAsia="en-US"/>
              </w:rPr>
            </w:pPr>
            <w:r w:rsidRPr="003B2277">
              <w:rPr>
                <w:rFonts w:eastAsia="Calibri" w:cs="Mangal"/>
                <w:lang w:eastAsia="en-US"/>
              </w:rPr>
              <w:t>(b) v kateri proizvodi vinske trte iz točke (a) predstavljajo najmanj 75 % skupnega volumna;</w:t>
            </w:r>
          </w:p>
        </w:tc>
      </w:tr>
      <w:tr w:rsidR="006F5BFE" w:rsidRPr="003B2277" w14:paraId="45468303" w14:textId="77777777" w:rsidTr="005B4D60">
        <w:trPr>
          <w:jc w:val="center"/>
        </w:trPr>
        <w:tc>
          <w:tcPr>
            <w:tcW w:w="4876" w:type="dxa"/>
            <w:hideMark/>
          </w:tcPr>
          <w:p w14:paraId="28D2FD26" w14:textId="77777777" w:rsidR="006F5BFE" w:rsidRPr="003B2277" w:rsidRDefault="006F5BFE" w:rsidP="005B4D60">
            <w:pPr>
              <w:spacing w:after="120"/>
              <w:rPr>
                <w:lang w:eastAsia="en-US"/>
              </w:rPr>
            </w:pPr>
            <w:r w:rsidRPr="003B2277">
              <w:rPr>
                <w:rFonts w:eastAsia="Calibri" w:cs="Mangal"/>
                <w:lang w:eastAsia="en-US"/>
              </w:rPr>
              <w:t>(c) ki ji je lahko dodan alkohol;</w:t>
            </w:r>
          </w:p>
        </w:tc>
        <w:tc>
          <w:tcPr>
            <w:tcW w:w="4876" w:type="dxa"/>
            <w:hideMark/>
          </w:tcPr>
          <w:p w14:paraId="41466968" w14:textId="77777777" w:rsidR="006F5BFE" w:rsidRPr="003B2277" w:rsidRDefault="006F5BFE" w:rsidP="005B4D60">
            <w:pPr>
              <w:spacing w:after="120"/>
              <w:rPr>
                <w:szCs w:val="24"/>
                <w:lang w:eastAsia="en-US"/>
              </w:rPr>
            </w:pPr>
            <w:r w:rsidRPr="003B2277">
              <w:rPr>
                <w:rFonts w:eastAsia="Calibri" w:cs="Mangal"/>
                <w:lang w:eastAsia="en-US"/>
              </w:rPr>
              <w:t>(c) ki ji je lahko dodan alkohol;</w:t>
            </w:r>
          </w:p>
        </w:tc>
      </w:tr>
      <w:tr w:rsidR="006F5BFE" w:rsidRPr="003B2277" w14:paraId="40A9BB0E" w14:textId="77777777" w:rsidTr="005B4D60">
        <w:trPr>
          <w:jc w:val="center"/>
        </w:trPr>
        <w:tc>
          <w:tcPr>
            <w:tcW w:w="4876" w:type="dxa"/>
            <w:hideMark/>
          </w:tcPr>
          <w:p w14:paraId="3D1CE7D3" w14:textId="77777777" w:rsidR="006F5BFE" w:rsidRPr="003B2277" w:rsidRDefault="006F5BFE" w:rsidP="005B4D60">
            <w:pPr>
              <w:spacing w:after="120"/>
              <w:rPr>
                <w:lang w:eastAsia="en-US"/>
              </w:rPr>
            </w:pPr>
            <w:r w:rsidRPr="003B2277">
              <w:rPr>
                <w:rFonts w:eastAsia="Calibri" w:cs="Mangal"/>
                <w:lang w:eastAsia="en-US"/>
              </w:rPr>
              <w:t>(d) ki so ji lahko dodana barvila;</w:t>
            </w:r>
          </w:p>
        </w:tc>
        <w:tc>
          <w:tcPr>
            <w:tcW w:w="4876" w:type="dxa"/>
            <w:hideMark/>
          </w:tcPr>
          <w:p w14:paraId="18F66C69" w14:textId="77777777" w:rsidR="006F5BFE" w:rsidRPr="003B2277" w:rsidRDefault="006F5BFE" w:rsidP="005B4D60">
            <w:pPr>
              <w:spacing w:after="120"/>
              <w:rPr>
                <w:szCs w:val="24"/>
                <w:lang w:eastAsia="en-US"/>
              </w:rPr>
            </w:pPr>
            <w:r w:rsidRPr="003B2277">
              <w:rPr>
                <w:rFonts w:eastAsia="Calibri" w:cs="Mangal"/>
                <w:lang w:eastAsia="en-US"/>
              </w:rPr>
              <w:t>(d) ki so ji lahko dodana barvila;</w:t>
            </w:r>
          </w:p>
        </w:tc>
      </w:tr>
      <w:tr w:rsidR="006F5BFE" w:rsidRPr="003B2277" w14:paraId="3707577A" w14:textId="77777777" w:rsidTr="005B4D60">
        <w:trPr>
          <w:jc w:val="center"/>
        </w:trPr>
        <w:tc>
          <w:tcPr>
            <w:tcW w:w="4876" w:type="dxa"/>
            <w:hideMark/>
          </w:tcPr>
          <w:p w14:paraId="4A79E9CB" w14:textId="77777777" w:rsidR="006F5BFE" w:rsidRPr="003B2277" w:rsidRDefault="006F5BFE" w:rsidP="005B4D60">
            <w:pPr>
              <w:spacing w:after="120"/>
              <w:rPr>
                <w:lang w:eastAsia="en-US"/>
              </w:rPr>
            </w:pPr>
            <w:r w:rsidRPr="003B2277">
              <w:rPr>
                <w:rFonts w:eastAsia="Calibri" w:cs="Mangal"/>
                <w:lang w:eastAsia="en-US"/>
              </w:rPr>
              <w:t>(e) ki ji je lahko dodan grozdni mošt, delno prevreti grozdni mošt ali oba;</w:t>
            </w:r>
          </w:p>
        </w:tc>
        <w:tc>
          <w:tcPr>
            <w:tcW w:w="4876" w:type="dxa"/>
            <w:hideMark/>
          </w:tcPr>
          <w:p w14:paraId="420AE531" w14:textId="77777777" w:rsidR="006F5BFE" w:rsidRPr="003B2277" w:rsidRDefault="006F5BFE" w:rsidP="005B4D60">
            <w:pPr>
              <w:spacing w:after="120"/>
              <w:rPr>
                <w:szCs w:val="24"/>
                <w:lang w:eastAsia="en-US"/>
              </w:rPr>
            </w:pPr>
            <w:r w:rsidRPr="003B2277">
              <w:rPr>
                <w:rFonts w:eastAsia="Calibri" w:cs="Mangal"/>
                <w:lang w:eastAsia="en-US"/>
              </w:rPr>
              <w:t>(e) ki ji je lahko dodan grozdni mošt, delno prevreti grozdni mošt ali oba;</w:t>
            </w:r>
          </w:p>
        </w:tc>
      </w:tr>
      <w:tr w:rsidR="006F5BFE" w:rsidRPr="003B2277" w14:paraId="40239A97" w14:textId="77777777" w:rsidTr="005B4D60">
        <w:trPr>
          <w:jc w:val="center"/>
        </w:trPr>
        <w:tc>
          <w:tcPr>
            <w:tcW w:w="4876" w:type="dxa"/>
            <w:hideMark/>
          </w:tcPr>
          <w:p w14:paraId="2FB3B285" w14:textId="77777777" w:rsidR="006F5BFE" w:rsidRPr="003B2277" w:rsidRDefault="006F5BFE" w:rsidP="005B4D60">
            <w:pPr>
              <w:spacing w:after="120"/>
              <w:rPr>
                <w:lang w:eastAsia="en-US"/>
              </w:rPr>
            </w:pPr>
            <w:r w:rsidRPr="003B2277">
              <w:rPr>
                <w:rFonts w:eastAsia="Calibri" w:cs="Mangal"/>
                <w:lang w:eastAsia="en-US"/>
              </w:rPr>
              <w:t>(f) ki je lahko oslajena;</w:t>
            </w:r>
          </w:p>
        </w:tc>
        <w:tc>
          <w:tcPr>
            <w:tcW w:w="4876" w:type="dxa"/>
            <w:hideMark/>
          </w:tcPr>
          <w:p w14:paraId="1BD471EF" w14:textId="77777777" w:rsidR="006F5BFE" w:rsidRPr="003B2277" w:rsidRDefault="006F5BFE" w:rsidP="005B4D60">
            <w:pPr>
              <w:spacing w:after="120"/>
              <w:rPr>
                <w:szCs w:val="24"/>
                <w:lang w:eastAsia="en-US"/>
              </w:rPr>
            </w:pPr>
            <w:r w:rsidRPr="003B2277">
              <w:rPr>
                <w:rFonts w:eastAsia="Calibri" w:cs="Mangal"/>
                <w:lang w:eastAsia="en-US"/>
              </w:rPr>
              <w:t>(f) ki je lahko oslajena;</w:t>
            </w:r>
          </w:p>
        </w:tc>
      </w:tr>
      <w:tr w:rsidR="006F5BFE" w:rsidRPr="003B2277" w14:paraId="57D1133F" w14:textId="77777777" w:rsidTr="005B4D60">
        <w:trPr>
          <w:jc w:val="center"/>
        </w:trPr>
        <w:tc>
          <w:tcPr>
            <w:tcW w:w="4876" w:type="dxa"/>
            <w:hideMark/>
          </w:tcPr>
          <w:p w14:paraId="30EE789C" w14:textId="77777777" w:rsidR="006F5BFE" w:rsidRPr="003B2277" w:rsidRDefault="006F5BFE" w:rsidP="005B4D60">
            <w:pPr>
              <w:spacing w:after="120"/>
              <w:rPr>
                <w:lang w:eastAsia="en-US"/>
              </w:rPr>
            </w:pPr>
            <w:r w:rsidRPr="003B2277">
              <w:rPr>
                <w:rFonts w:eastAsia="Calibri" w:cs="Mangal"/>
                <w:lang w:eastAsia="en-US"/>
              </w:rPr>
              <w:t>(g) ki ima dejanski volumenski delež alkohola najmanj 14,5 vol. % in manj kot 22 vol. % ter skupni volumenski delež alkohola najmanj 17,5 vol. %.</w:t>
            </w:r>
          </w:p>
        </w:tc>
        <w:tc>
          <w:tcPr>
            <w:tcW w:w="4876" w:type="dxa"/>
            <w:hideMark/>
          </w:tcPr>
          <w:p w14:paraId="4795C5C6" w14:textId="77777777" w:rsidR="006F5BFE" w:rsidRPr="003B2277" w:rsidRDefault="006F5BFE" w:rsidP="005B4D60">
            <w:pPr>
              <w:spacing w:after="120"/>
              <w:rPr>
                <w:szCs w:val="24"/>
                <w:lang w:eastAsia="en-US"/>
              </w:rPr>
            </w:pPr>
            <w:r w:rsidRPr="003B2277">
              <w:rPr>
                <w:rFonts w:eastAsia="Calibri" w:cs="Mangal"/>
                <w:lang w:eastAsia="en-US"/>
              </w:rPr>
              <w:t>(g) ki ima dejanski volumenski delež alkohola najmanj 14,5 vol. % in manj kot 22 vol. % ter skupni volumenski delež alkohola najmanj 17,5 vol. %.</w:t>
            </w:r>
          </w:p>
        </w:tc>
      </w:tr>
      <w:tr w:rsidR="006F5BFE" w:rsidRPr="003B2277" w14:paraId="4C68DBEB" w14:textId="77777777" w:rsidTr="005B4D60">
        <w:trPr>
          <w:jc w:val="center"/>
        </w:trPr>
        <w:tc>
          <w:tcPr>
            <w:tcW w:w="4876" w:type="dxa"/>
            <w:hideMark/>
          </w:tcPr>
          <w:p w14:paraId="0ADC3B52"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Aromatizirana pijača na osnovi vina je pijača:</w:t>
            </w:r>
          </w:p>
        </w:tc>
        <w:tc>
          <w:tcPr>
            <w:tcW w:w="4876" w:type="dxa"/>
            <w:hideMark/>
          </w:tcPr>
          <w:p w14:paraId="3DDC6DB0"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Aromatizirana pijača na osnovi vina je pijača:</w:t>
            </w:r>
          </w:p>
        </w:tc>
      </w:tr>
      <w:tr w:rsidR="006F5BFE" w:rsidRPr="003B2277" w14:paraId="59480A4C" w14:textId="77777777" w:rsidTr="005B4D60">
        <w:trPr>
          <w:jc w:val="center"/>
        </w:trPr>
        <w:tc>
          <w:tcPr>
            <w:tcW w:w="4876" w:type="dxa"/>
            <w:hideMark/>
          </w:tcPr>
          <w:p w14:paraId="6DC99E2F" w14:textId="77777777" w:rsidR="006F5BFE" w:rsidRPr="003B2277" w:rsidRDefault="006F5BFE" w:rsidP="005B4D60">
            <w:pPr>
              <w:spacing w:after="120"/>
              <w:rPr>
                <w:lang w:eastAsia="en-US"/>
              </w:rPr>
            </w:pPr>
            <w:r w:rsidRPr="003B2277">
              <w:rPr>
                <w:rFonts w:eastAsia="Calibri" w:cs="Mangal"/>
                <w:lang w:eastAsia="en-US"/>
              </w:rPr>
              <w:t>pridobljena iz enega ali več proizvodov vinske trte, opredeljenih v točkah 1, 2 in 4 do 9 dela II Priloge VII k Uredbi (EU) št. 1308/2013, razen vin, proizvedenih z dodajanjem alkohola, in vina „retsina“;</w:t>
            </w:r>
          </w:p>
        </w:tc>
        <w:tc>
          <w:tcPr>
            <w:tcW w:w="4876" w:type="dxa"/>
            <w:hideMark/>
          </w:tcPr>
          <w:p w14:paraId="6AC66CC7" w14:textId="77777777" w:rsidR="006F5BFE" w:rsidRPr="003B2277" w:rsidRDefault="006F5BFE" w:rsidP="005B4D60">
            <w:pPr>
              <w:spacing w:after="120"/>
              <w:rPr>
                <w:szCs w:val="24"/>
                <w:lang w:eastAsia="en-US"/>
              </w:rPr>
            </w:pPr>
            <w:r w:rsidRPr="003B2277">
              <w:rPr>
                <w:rFonts w:eastAsia="Calibri" w:cs="Mangal"/>
                <w:lang w:eastAsia="en-US"/>
              </w:rPr>
              <w:t>(a) pridobljena iz enega ali več proizvodov vinske trte, opredeljenih v točkah 1, 2 in 4 do 9 dela II Priloge VII k Uredbi (EU) št. 1308/2013, razen vin, proizvedenih z dodajanjem alkohola, in vina „retsina“;</w:t>
            </w:r>
          </w:p>
        </w:tc>
      </w:tr>
      <w:tr w:rsidR="006F5BFE" w:rsidRPr="003B2277" w14:paraId="7C2A9A9D" w14:textId="77777777" w:rsidTr="005B4D60">
        <w:trPr>
          <w:jc w:val="center"/>
        </w:trPr>
        <w:tc>
          <w:tcPr>
            <w:tcW w:w="4876" w:type="dxa"/>
            <w:hideMark/>
          </w:tcPr>
          <w:p w14:paraId="3BBFF720" w14:textId="77777777" w:rsidR="006F5BFE" w:rsidRPr="003B2277" w:rsidRDefault="006F5BFE" w:rsidP="005B4D60">
            <w:pPr>
              <w:spacing w:after="120"/>
              <w:rPr>
                <w:lang w:eastAsia="en-US"/>
              </w:rPr>
            </w:pPr>
            <w:r w:rsidRPr="003B2277">
              <w:rPr>
                <w:rFonts w:eastAsia="Calibri" w:cs="Mangal"/>
                <w:lang w:eastAsia="en-US"/>
              </w:rPr>
              <w:t>(b) v kateri proizvodi vinske trte iz točke (a) predstavljajo najmanj 50 % skupnega volumna;</w:t>
            </w:r>
          </w:p>
        </w:tc>
        <w:tc>
          <w:tcPr>
            <w:tcW w:w="4876" w:type="dxa"/>
            <w:hideMark/>
          </w:tcPr>
          <w:p w14:paraId="4E786795" w14:textId="77777777" w:rsidR="006F5BFE" w:rsidRPr="003B2277" w:rsidRDefault="006F5BFE" w:rsidP="005B4D60">
            <w:pPr>
              <w:spacing w:after="120"/>
              <w:rPr>
                <w:szCs w:val="24"/>
                <w:lang w:eastAsia="en-US"/>
              </w:rPr>
            </w:pPr>
            <w:r w:rsidRPr="003B2277">
              <w:rPr>
                <w:rFonts w:eastAsia="Calibri" w:cs="Mangal"/>
                <w:lang w:eastAsia="en-US"/>
              </w:rPr>
              <w:t>(b) v kateri proizvodi vinske trte iz točke (a) predstavljajo najmanj 50 % skupnega volumna;</w:t>
            </w:r>
          </w:p>
        </w:tc>
      </w:tr>
      <w:tr w:rsidR="006F5BFE" w:rsidRPr="003B2277" w14:paraId="077ADCE9" w14:textId="77777777" w:rsidTr="005B4D60">
        <w:trPr>
          <w:jc w:val="center"/>
        </w:trPr>
        <w:tc>
          <w:tcPr>
            <w:tcW w:w="4876" w:type="dxa"/>
            <w:hideMark/>
          </w:tcPr>
          <w:p w14:paraId="097A70ED" w14:textId="77777777" w:rsidR="006F5BFE" w:rsidRPr="003B2277" w:rsidRDefault="006F5BFE" w:rsidP="005B4D60">
            <w:pPr>
              <w:spacing w:after="120"/>
              <w:rPr>
                <w:lang w:eastAsia="en-US"/>
              </w:rPr>
            </w:pPr>
            <w:r w:rsidRPr="003B2277">
              <w:rPr>
                <w:rFonts w:eastAsia="Calibri" w:cs="Mangal"/>
                <w:lang w:eastAsia="en-US"/>
              </w:rPr>
              <w:t>(c) ki ji ni dodan alkohol, razen če je v Prilogi II določeno drugače;</w:t>
            </w:r>
          </w:p>
        </w:tc>
        <w:tc>
          <w:tcPr>
            <w:tcW w:w="4876" w:type="dxa"/>
            <w:hideMark/>
          </w:tcPr>
          <w:p w14:paraId="394AD930" w14:textId="77777777" w:rsidR="006F5BFE" w:rsidRPr="003B2277" w:rsidRDefault="006F5BFE" w:rsidP="005B4D60">
            <w:pPr>
              <w:spacing w:after="120"/>
              <w:rPr>
                <w:szCs w:val="24"/>
                <w:lang w:eastAsia="en-US"/>
              </w:rPr>
            </w:pPr>
            <w:r w:rsidRPr="003B2277">
              <w:rPr>
                <w:rFonts w:eastAsia="Calibri" w:cs="Mangal"/>
                <w:lang w:eastAsia="en-US"/>
              </w:rPr>
              <w:t>(c) ki ji ni dodan alkohol, razen če je v Prilogi II določeno drugače;</w:t>
            </w:r>
          </w:p>
        </w:tc>
      </w:tr>
      <w:tr w:rsidR="006F5BFE" w:rsidRPr="003B2277" w14:paraId="14E5FBDE" w14:textId="77777777" w:rsidTr="005B4D60">
        <w:trPr>
          <w:jc w:val="center"/>
        </w:trPr>
        <w:tc>
          <w:tcPr>
            <w:tcW w:w="4876" w:type="dxa"/>
            <w:hideMark/>
          </w:tcPr>
          <w:p w14:paraId="0F797B4A" w14:textId="77777777" w:rsidR="006F5BFE" w:rsidRPr="003B2277" w:rsidRDefault="006F5BFE" w:rsidP="005B4D60">
            <w:pPr>
              <w:spacing w:after="120"/>
              <w:rPr>
                <w:lang w:eastAsia="en-US"/>
              </w:rPr>
            </w:pPr>
            <w:r w:rsidRPr="003B2277">
              <w:rPr>
                <w:rFonts w:eastAsia="Calibri" w:cs="Mangal"/>
                <w:lang w:eastAsia="en-US"/>
              </w:rPr>
              <w:t>(d) ki so ji lahko dodana barvila;</w:t>
            </w:r>
          </w:p>
        </w:tc>
        <w:tc>
          <w:tcPr>
            <w:tcW w:w="4876" w:type="dxa"/>
            <w:hideMark/>
          </w:tcPr>
          <w:p w14:paraId="427B728A" w14:textId="77777777" w:rsidR="006F5BFE" w:rsidRPr="003B2277" w:rsidRDefault="006F5BFE" w:rsidP="005B4D60">
            <w:pPr>
              <w:spacing w:after="120"/>
              <w:rPr>
                <w:szCs w:val="24"/>
                <w:lang w:eastAsia="en-US"/>
              </w:rPr>
            </w:pPr>
            <w:r w:rsidRPr="003B2277">
              <w:rPr>
                <w:rFonts w:eastAsia="Calibri" w:cs="Mangal"/>
                <w:lang w:eastAsia="en-US"/>
              </w:rPr>
              <w:t>(d) ki so ji lahko dodana barvila;</w:t>
            </w:r>
          </w:p>
        </w:tc>
      </w:tr>
      <w:tr w:rsidR="006F5BFE" w:rsidRPr="003B2277" w14:paraId="3349D83B" w14:textId="77777777" w:rsidTr="005B4D60">
        <w:trPr>
          <w:jc w:val="center"/>
        </w:trPr>
        <w:tc>
          <w:tcPr>
            <w:tcW w:w="4876" w:type="dxa"/>
            <w:hideMark/>
          </w:tcPr>
          <w:p w14:paraId="55FC1E0F" w14:textId="77777777" w:rsidR="006F5BFE" w:rsidRPr="003B2277" w:rsidRDefault="006F5BFE" w:rsidP="005B4D60">
            <w:pPr>
              <w:spacing w:after="120"/>
              <w:rPr>
                <w:lang w:eastAsia="en-US"/>
              </w:rPr>
            </w:pPr>
            <w:r w:rsidRPr="003B2277">
              <w:rPr>
                <w:rFonts w:eastAsia="Calibri" w:cs="Mangal"/>
                <w:lang w:eastAsia="en-US"/>
              </w:rPr>
              <w:t>(e) ki ji je lahko dodan grozdni mošt, delno prevreti grozdni mošt ali oba;</w:t>
            </w:r>
          </w:p>
        </w:tc>
        <w:tc>
          <w:tcPr>
            <w:tcW w:w="4876" w:type="dxa"/>
            <w:hideMark/>
          </w:tcPr>
          <w:p w14:paraId="4419F7F2" w14:textId="77777777" w:rsidR="006F5BFE" w:rsidRPr="003B2277" w:rsidRDefault="006F5BFE" w:rsidP="005B4D60">
            <w:pPr>
              <w:spacing w:after="120"/>
              <w:rPr>
                <w:szCs w:val="24"/>
                <w:lang w:eastAsia="en-US"/>
              </w:rPr>
            </w:pPr>
            <w:r w:rsidRPr="003B2277">
              <w:rPr>
                <w:rFonts w:eastAsia="Calibri" w:cs="Mangal"/>
                <w:lang w:eastAsia="en-US"/>
              </w:rPr>
              <w:t>(e) ki ji je lahko dodan grozdni mošt, delno prevreti grozdni mošt ali oba;</w:t>
            </w:r>
          </w:p>
        </w:tc>
      </w:tr>
      <w:tr w:rsidR="006F5BFE" w:rsidRPr="003B2277" w14:paraId="23F20DF4" w14:textId="77777777" w:rsidTr="005B4D60">
        <w:trPr>
          <w:jc w:val="center"/>
        </w:trPr>
        <w:tc>
          <w:tcPr>
            <w:tcW w:w="4876" w:type="dxa"/>
            <w:hideMark/>
          </w:tcPr>
          <w:p w14:paraId="32F916B1" w14:textId="77777777" w:rsidR="006F5BFE" w:rsidRPr="003B2277" w:rsidRDefault="006F5BFE" w:rsidP="005B4D60">
            <w:pPr>
              <w:spacing w:after="120"/>
              <w:rPr>
                <w:lang w:eastAsia="en-US"/>
              </w:rPr>
            </w:pPr>
            <w:r w:rsidRPr="003B2277">
              <w:rPr>
                <w:rFonts w:eastAsia="Calibri" w:cs="Mangal"/>
                <w:lang w:eastAsia="en-US"/>
              </w:rPr>
              <w:t>(f) ki je lahko oslajena;</w:t>
            </w:r>
          </w:p>
        </w:tc>
        <w:tc>
          <w:tcPr>
            <w:tcW w:w="4876" w:type="dxa"/>
            <w:hideMark/>
          </w:tcPr>
          <w:p w14:paraId="18E8542D" w14:textId="77777777" w:rsidR="006F5BFE" w:rsidRPr="003B2277" w:rsidRDefault="006F5BFE" w:rsidP="005B4D60">
            <w:pPr>
              <w:spacing w:after="120"/>
              <w:rPr>
                <w:szCs w:val="24"/>
                <w:lang w:eastAsia="en-US"/>
              </w:rPr>
            </w:pPr>
            <w:r w:rsidRPr="003B2277">
              <w:rPr>
                <w:rFonts w:eastAsia="Calibri" w:cs="Mangal"/>
                <w:lang w:eastAsia="en-US"/>
              </w:rPr>
              <w:t>(f) ki je lahko oslajena;</w:t>
            </w:r>
          </w:p>
        </w:tc>
      </w:tr>
      <w:tr w:rsidR="006F5BFE" w:rsidRPr="003B2277" w14:paraId="38D9C203" w14:textId="77777777" w:rsidTr="005B4D60">
        <w:trPr>
          <w:jc w:val="center"/>
        </w:trPr>
        <w:tc>
          <w:tcPr>
            <w:tcW w:w="4876" w:type="dxa"/>
            <w:hideMark/>
          </w:tcPr>
          <w:p w14:paraId="180E07AF" w14:textId="77777777" w:rsidR="006F5BFE" w:rsidRPr="003B2277" w:rsidRDefault="006F5BFE" w:rsidP="005B4D60">
            <w:pPr>
              <w:spacing w:after="120"/>
              <w:rPr>
                <w:lang w:eastAsia="en-US"/>
              </w:rPr>
            </w:pPr>
            <w:r w:rsidRPr="003B2277">
              <w:rPr>
                <w:rFonts w:eastAsia="Calibri" w:cs="Mangal"/>
                <w:lang w:eastAsia="en-US"/>
              </w:rPr>
              <w:t>(g) ki ima dejanski volumenski delež alkohola najmanj 4,5 vol. % in manj kot 14,5 vol. %.</w:t>
            </w:r>
          </w:p>
        </w:tc>
        <w:tc>
          <w:tcPr>
            <w:tcW w:w="4876" w:type="dxa"/>
            <w:hideMark/>
          </w:tcPr>
          <w:p w14:paraId="6D498755" w14:textId="77777777" w:rsidR="006F5BFE" w:rsidRPr="003B2277" w:rsidRDefault="006F5BFE" w:rsidP="005B4D60">
            <w:pPr>
              <w:spacing w:after="120"/>
              <w:rPr>
                <w:szCs w:val="24"/>
                <w:lang w:eastAsia="en-US"/>
              </w:rPr>
            </w:pPr>
            <w:r w:rsidRPr="003B2277">
              <w:rPr>
                <w:rFonts w:eastAsia="Calibri" w:cs="Mangal"/>
                <w:lang w:eastAsia="en-US"/>
              </w:rPr>
              <w:t>(g) ki ima dejanski volumenski delež alkohola najmanj 4,5 vol. % in manj kot 14,5 vol. %.</w:t>
            </w:r>
          </w:p>
        </w:tc>
      </w:tr>
      <w:tr w:rsidR="006F5BFE" w:rsidRPr="003B2277" w14:paraId="4D74FF5E" w14:textId="77777777" w:rsidTr="005B4D60">
        <w:trPr>
          <w:jc w:val="center"/>
        </w:trPr>
        <w:tc>
          <w:tcPr>
            <w:tcW w:w="4876" w:type="dxa"/>
            <w:hideMark/>
          </w:tcPr>
          <w:p w14:paraId="14F4C9EE"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Aromatiziran koktajl iz vinskih proizvodov je pijača:</w:t>
            </w:r>
          </w:p>
        </w:tc>
        <w:tc>
          <w:tcPr>
            <w:tcW w:w="4876" w:type="dxa"/>
            <w:hideMark/>
          </w:tcPr>
          <w:p w14:paraId="0DF364F7"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Aromatiziran koktajl iz vinskih proizvodov je pijača:</w:t>
            </w:r>
          </w:p>
        </w:tc>
      </w:tr>
      <w:tr w:rsidR="006F5BFE" w:rsidRPr="003B2277" w14:paraId="79CD5B98" w14:textId="77777777" w:rsidTr="005B4D60">
        <w:trPr>
          <w:jc w:val="center"/>
        </w:trPr>
        <w:tc>
          <w:tcPr>
            <w:tcW w:w="4876" w:type="dxa"/>
            <w:hideMark/>
          </w:tcPr>
          <w:p w14:paraId="1C75965D" w14:textId="77777777" w:rsidR="006F5BFE" w:rsidRPr="003B2277" w:rsidRDefault="006F5BFE" w:rsidP="005B4D60">
            <w:pPr>
              <w:spacing w:after="120"/>
              <w:rPr>
                <w:lang w:eastAsia="en-US"/>
              </w:rPr>
            </w:pPr>
            <w:r w:rsidRPr="003B2277">
              <w:rPr>
                <w:rFonts w:eastAsia="Calibri" w:cs="Mangal"/>
                <w:lang w:eastAsia="en-US"/>
              </w:rPr>
              <w:t>(a) pridobljena iz enega ali več proizvodov vinske trte, opredeljenih v točkah 1, 2 in 4 do 11 dela II Priloge VII k Uredbi (EU) št. 1308/2013, razen vin, proizvedenih z dodajanjem alkohola, in vina „retsina“;</w:t>
            </w:r>
          </w:p>
        </w:tc>
        <w:tc>
          <w:tcPr>
            <w:tcW w:w="4876" w:type="dxa"/>
            <w:hideMark/>
          </w:tcPr>
          <w:p w14:paraId="66161FC3" w14:textId="77777777" w:rsidR="006F5BFE" w:rsidRPr="003B2277" w:rsidRDefault="006F5BFE" w:rsidP="005B4D60">
            <w:pPr>
              <w:spacing w:after="120"/>
              <w:rPr>
                <w:szCs w:val="24"/>
                <w:lang w:eastAsia="en-US"/>
              </w:rPr>
            </w:pPr>
            <w:r w:rsidRPr="003B2277">
              <w:rPr>
                <w:rFonts w:eastAsia="Calibri" w:cs="Mangal"/>
                <w:lang w:eastAsia="en-US"/>
              </w:rPr>
              <w:t>(a) pridobljena iz enega ali več proizvodov vinske trte, opredeljenih v točkah 1, 2 in 4 do 11 dela II Priloge VII k Uredbi (EU) št. 1308/2013, razen vin, proizvedenih z dodajanjem alkohola, in vina „retsina“;</w:t>
            </w:r>
          </w:p>
        </w:tc>
      </w:tr>
      <w:tr w:rsidR="006F5BFE" w:rsidRPr="003B2277" w14:paraId="6D1977E3" w14:textId="77777777" w:rsidTr="005B4D60">
        <w:trPr>
          <w:jc w:val="center"/>
        </w:trPr>
        <w:tc>
          <w:tcPr>
            <w:tcW w:w="4876" w:type="dxa"/>
            <w:hideMark/>
          </w:tcPr>
          <w:p w14:paraId="563FDBAA" w14:textId="77777777" w:rsidR="006F5BFE" w:rsidRPr="003B2277" w:rsidRDefault="006F5BFE" w:rsidP="005B4D60">
            <w:pPr>
              <w:spacing w:after="120"/>
              <w:rPr>
                <w:lang w:eastAsia="en-US"/>
              </w:rPr>
            </w:pPr>
            <w:r w:rsidRPr="003B2277">
              <w:rPr>
                <w:rFonts w:eastAsia="Calibri" w:cs="Mangal"/>
                <w:lang w:eastAsia="en-US"/>
              </w:rPr>
              <w:t>(b) v kateri proizvodi vinske trte iz točke (a) predstavljajo najmanj 50 % skupnega volumna;</w:t>
            </w:r>
          </w:p>
        </w:tc>
        <w:tc>
          <w:tcPr>
            <w:tcW w:w="4876" w:type="dxa"/>
            <w:hideMark/>
          </w:tcPr>
          <w:p w14:paraId="6ADAF5ED" w14:textId="77777777" w:rsidR="006F5BFE" w:rsidRPr="003B2277" w:rsidRDefault="006F5BFE" w:rsidP="005B4D60">
            <w:pPr>
              <w:spacing w:after="120"/>
              <w:rPr>
                <w:szCs w:val="24"/>
                <w:lang w:eastAsia="en-US"/>
              </w:rPr>
            </w:pPr>
            <w:r w:rsidRPr="003B2277">
              <w:rPr>
                <w:rFonts w:eastAsia="Calibri" w:cs="Mangal"/>
                <w:lang w:eastAsia="en-US"/>
              </w:rPr>
              <w:t>(b) v kateri proizvodi vinske trte iz točke (a) predstavljajo najmanj 50 % skupnega volumna;</w:t>
            </w:r>
          </w:p>
        </w:tc>
      </w:tr>
      <w:tr w:rsidR="006F5BFE" w:rsidRPr="003B2277" w14:paraId="13EEC9AF" w14:textId="77777777" w:rsidTr="005B4D60">
        <w:trPr>
          <w:jc w:val="center"/>
        </w:trPr>
        <w:tc>
          <w:tcPr>
            <w:tcW w:w="4876" w:type="dxa"/>
            <w:hideMark/>
          </w:tcPr>
          <w:p w14:paraId="051923CC" w14:textId="77777777" w:rsidR="006F5BFE" w:rsidRPr="003B2277" w:rsidRDefault="006F5BFE" w:rsidP="005B4D60">
            <w:pPr>
              <w:spacing w:after="120"/>
              <w:rPr>
                <w:lang w:eastAsia="en-US"/>
              </w:rPr>
            </w:pPr>
            <w:r w:rsidRPr="003B2277">
              <w:rPr>
                <w:rFonts w:eastAsia="Calibri" w:cs="Mangal"/>
                <w:lang w:eastAsia="en-US"/>
              </w:rPr>
              <w:t>(c) ki ji ni dodan alkohol;</w:t>
            </w:r>
          </w:p>
        </w:tc>
        <w:tc>
          <w:tcPr>
            <w:tcW w:w="4876" w:type="dxa"/>
            <w:hideMark/>
          </w:tcPr>
          <w:p w14:paraId="307F04FA" w14:textId="77777777" w:rsidR="006F5BFE" w:rsidRPr="003B2277" w:rsidRDefault="006F5BFE" w:rsidP="005B4D60">
            <w:pPr>
              <w:spacing w:after="120"/>
              <w:rPr>
                <w:szCs w:val="24"/>
                <w:lang w:eastAsia="en-US"/>
              </w:rPr>
            </w:pPr>
            <w:r w:rsidRPr="003B2277">
              <w:rPr>
                <w:rFonts w:eastAsia="Calibri" w:cs="Mangal"/>
                <w:lang w:eastAsia="en-US"/>
              </w:rPr>
              <w:t>(c) ki ji ni dodan alkohol;</w:t>
            </w:r>
          </w:p>
        </w:tc>
      </w:tr>
      <w:tr w:rsidR="006F5BFE" w:rsidRPr="003B2277" w14:paraId="23BF187D" w14:textId="77777777" w:rsidTr="005B4D60">
        <w:trPr>
          <w:jc w:val="center"/>
        </w:trPr>
        <w:tc>
          <w:tcPr>
            <w:tcW w:w="4876" w:type="dxa"/>
            <w:hideMark/>
          </w:tcPr>
          <w:p w14:paraId="4ABBF067" w14:textId="77777777" w:rsidR="006F5BFE" w:rsidRPr="003B2277" w:rsidRDefault="006F5BFE" w:rsidP="005B4D60">
            <w:pPr>
              <w:spacing w:after="120"/>
              <w:rPr>
                <w:lang w:eastAsia="en-US"/>
              </w:rPr>
            </w:pPr>
            <w:r w:rsidRPr="003B2277">
              <w:rPr>
                <w:rFonts w:eastAsia="Calibri" w:cs="Mangal"/>
                <w:lang w:eastAsia="en-US"/>
              </w:rPr>
              <w:t>(d) ki so ji lahko dodana barvila;</w:t>
            </w:r>
          </w:p>
        </w:tc>
        <w:tc>
          <w:tcPr>
            <w:tcW w:w="4876" w:type="dxa"/>
            <w:hideMark/>
          </w:tcPr>
          <w:p w14:paraId="2702713E" w14:textId="77777777" w:rsidR="006F5BFE" w:rsidRPr="003B2277" w:rsidRDefault="006F5BFE" w:rsidP="005B4D60">
            <w:pPr>
              <w:spacing w:after="120"/>
              <w:rPr>
                <w:szCs w:val="24"/>
                <w:lang w:eastAsia="en-US"/>
              </w:rPr>
            </w:pPr>
            <w:r w:rsidRPr="003B2277">
              <w:rPr>
                <w:rFonts w:eastAsia="Calibri" w:cs="Mangal"/>
                <w:lang w:eastAsia="en-US"/>
              </w:rPr>
              <w:t>(d) ki so ji lahko dodana barvila;</w:t>
            </w:r>
          </w:p>
        </w:tc>
      </w:tr>
      <w:tr w:rsidR="006F5BFE" w:rsidRPr="003B2277" w14:paraId="2C28D72D" w14:textId="77777777" w:rsidTr="005B4D60">
        <w:trPr>
          <w:jc w:val="center"/>
        </w:trPr>
        <w:tc>
          <w:tcPr>
            <w:tcW w:w="4876" w:type="dxa"/>
            <w:hideMark/>
          </w:tcPr>
          <w:p w14:paraId="751B3964" w14:textId="77777777" w:rsidR="006F5BFE" w:rsidRPr="003B2277" w:rsidRDefault="006F5BFE" w:rsidP="005B4D60">
            <w:pPr>
              <w:spacing w:after="120"/>
              <w:rPr>
                <w:lang w:eastAsia="en-US"/>
              </w:rPr>
            </w:pPr>
            <w:r w:rsidRPr="003B2277">
              <w:rPr>
                <w:rFonts w:eastAsia="Calibri" w:cs="Mangal"/>
                <w:lang w:eastAsia="en-US"/>
              </w:rPr>
              <w:t>(e) ki je lahko oslajena;</w:t>
            </w:r>
          </w:p>
        </w:tc>
        <w:tc>
          <w:tcPr>
            <w:tcW w:w="4876" w:type="dxa"/>
            <w:hideMark/>
          </w:tcPr>
          <w:p w14:paraId="3075A432" w14:textId="77777777" w:rsidR="006F5BFE" w:rsidRPr="003B2277" w:rsidRDefault="006F5BFE" w:rsidP="005B4D60">
            <w:pPr>
              <w:spacing w:after="120"/>
              <w:rPr>
                <w:szCs w:val="24"/>
                <w:lang w:eastAsia="en-US"/>
              </w:rPr>
            </w:pPr>
            <w:r w:rsidRPr="003B2277">
              <w:rPr>
                <w:rFonts w:eastAsia="Calibri" w:cs="Mangal"/>
                <w:lang w:eastAsia="en-US"/>
              </w:rPr>
              <w:t>(e) ki je lahko oslajena;</w:t>
            </w:r>
          </w:p>
        </w:tc>
      </w:tr>
      <w:tr w:rsidR="006F5BFE" w:rsidRPr="003B2277" w14:paraId="274E8741" w14:textId="77777777" w:rsidTr="005B4D60">
        <w:trPr>
          <w:jc w:val="center"/>
        </w:trPr>
        <w:tc>
          <w:tcPr>
            <w:tcW w:w="4876" w:type="dxa"/>
          </w:tcPr>
          <w:p w14:paraId="35D397FD" w14:textId="77777777" w:rsidR="006F5BFE" w:rsidRPr="003B2277" w:rsidRDefault="006F5BFE" w:rsidP="005B4D60">
            <w:pPr>
              <w:spacing w:after="120"/>
              <w:rPr>
                <w:lang w:eastAsia="en-US"/>
              </w:rPr>
            </w:pPr>
            <w:r w:rsidRPr="003B2277">
              <w:rPr>
                <w:rFonts w:eastAsia="Calibri" w:cs="Mangal"/>
                <w:lang w:eastAsia="en-US"/>
              </w:rPr>
              <w:t>(f) ki ima dejanski volumenski delež alkohola več kot 1,2 vol. % in manj kot 10 vol. %.</w:t>
            </w:r>
          </w:p>
        </w:tc>
        <w:tc>
          <w:tcPr>
            <w:tcW w:w="4876" w:type="dxa"/>
            <w:hideMark/>
          </w:tcPr>
          <w:p w14:paraId="117A990F" w14:textId="77777777" w:rsidR="006F5BFE" w:rsidRPr="003B2277" w:rsidRDefault="006F5BFE" w:rsidP="005B4D60">
            <w:pPr>
              <w:spacing w:after="120"/>
              <w:rPr>
                <w:szCs w:val="24"/>
                <w:lang w:eastAsia="en-US"/>
              </w:rPr>
            </w:pPr>
            <w:r w:rsidRPr="003B2277">
              <w:rPr>
                <w:rFonts w:eastAsia="Calibri" w:cs="Mangal"/>
                <w:lang w:eastAsia="en-US"/>
              </w:rPr>
              <w:t>(f) ki ima dejanski volumenski delež alkohola več kot 1,2 vol. % in manj kot 10 vol. %.</w:t>
            </w:r>
          </w:p>
        </w:tc>
      </w:tr>
      <w:tr w:rsidR="006F5BFE" w:rsidRPr="003B2277" w14:paraId="7B8F3967" w14:textId="77777777" w:rsidTr="005B4D60">
        <w:trPr>
          <w:jc w:val="center"/>
        </w:trPr>
        <w:tc>
          <w:tcPr>
            <w:tcW w:w="4876" w:type="dxa"/>
          </w:tcPr>
          <w:p w14:paraId="0AA781F0" w14:textId="77777777" w:rsidR="006F5BFE" w:rsidRPr="003B2277" w:rsidRDefault="006F5BFE" w:rsidP="005B4D60">
            <w:pPr>
              <w:spacing w:after="120"/>
            </w:pPr>
          </w:p>
        </w:tc>
        <w:tc>
          <w:tcPr>
            <w:tcW w:w="4876" w:type="dxa"/>
            <w:hideMark/>
          </w:tcPr>
          <w:p w14:paraId="573085F0" w14:textId="77777777" w:rsidR="006F5BFE" w:rsidRPr="003B2277" w:rsidRDefault="006F5BFE" w:rsidP="005B4D60">
            <w:pPr>
              <w:spacing w:after="120"/>
              <w:rPr>
                <w:szCs w:val="24"/>
                <w:lang w:eastAsia="en-US"/>
              </w:rPr>
            </w:pPr>
            <w:r w:rsidRPr="003B2277">
              <w:rPr>
                <w:rFonts w:eastAsia="Calibri" w:cs="Mangal"/>
                <w:b/>
                <w:i/>
                <w:lang w:eastAsia="en-US"/>
              </w:rPr>
              <w:t>4a.</w:t>
            </w:r>
            <w:r w:rsidRPr="003B2277">
              <w:rPr>
                <w:rFonts w:eastAsia="Calibri" w:cs="Mangal"/>
                <w:b/>
                <w:i/>
                <w:lang w:eastAsia="en-US"/>
              </w:rPr>
              <w:tab/>
              <w:t>Za namene te uredbe se „dealkoholiziran aromatizirani vinski proizvod“ šteje za pijačo:</w:t>
            </w:r>
          </w:p>
        </w:tc>
      </w:tr>
      <w:tr w:rsidR="006F5BFE" w:rsidRPr="003B2277" w14:paraId="775ADCBD" w14:textId="77777777" w:rsidTr="005B4D60">
        <w:trPr>
          <w:jc w:val="center"/>
        </w:trPr>
        <w:tc>
          <w:tcPr>
            <w:tcW w:w="4876" w:type="dxa"/>
          </w:tcPr>
          <w:p w14:paraId="409A0FDE" w14:textId="77777777" w:rsidR="006F5BFE" w:rsidRPr="003B2277" w:rsidRDefault="006F5BFE" w:rsidP="005B4D60">
            <w:pPr>
              <w:spacing w:after="120"/>
            </w:pPr>
          </w:p>
        </w:tc>
        <w:tc>
          <w:tcPr>
            <w:tcW w:w="4876" w:type="dxa"/>
            <w:hideMark/>
          </w:tcPr>
          <w:p w14:paraId="715F7D67" w14:textId="77777777" w:rsidR="006F5BFE" w:rsidRPr="003B2277" w:rsidRDefault="006F5BFE" w:rsidP="005B4D60">
            <w:pPr>
              <w:spacing w:after="120"/>
              <w:rPr>
                <w:szCs w:val="24"/>
                <w:lang w:eastAsia="en-US"/>
              </w:rPr>
            </w:pPr>
            <w:r w:rsidRPr="003B2277">
              <w:rPr>
                <w:rFonts w:eastAsia="Calibri" w:cs="Mangal"/>
                <w:b/>
                <w:i/>
                <w:lang w:eastAsia="en-US"/>
              </w:rPr>
              <w:t>(a) pridobljeno po pogojih iz odstavkov 2, 3 ali 4;</w:t>
            </w:r>
          </w:p>
        </w:tc>
      </w:tr>
      <w:tr w:rsidR="006F5BFE" w:rsidRPr="003B2277" w14:paraId="35319D96" w14:textId="77777777" w:rsidTr="005B4D60">
        <w:trPr>
          <w:jc w:val="center"/>
        </w:trPr>
        <w:tc>
          <w:tcPr>
            <w:tcW w:w="4876" w:type="dxa"/>
          </w:tcPr>
          <w:p w14:paraId="73D33678" w14:textId="77777777" w:rsidR="006F5BFE" w:rsidRPr="003B2277" w:rsidRDefault="006F5BFE" w:rsidP="005B4D60">
            <w:pPr>
              <w:spacing w:after="120"/>
            </w:pPr>
          </w:p>
        </w:tc>
        <w:tc>
          <w:tcPr>
            <w:tcW w:w="4876" w:type="dxa"/>
            <w:hideMark/>
          </w:tcPr>
          <w:p w14:paraId="08DD8485" w14:textId="77777777" w:rsidR="006F5BFE" w:rsidRPr="003B2277" w:rsidRDefault="006F5BFE" w:rsidP="005B4D60">
            <w:pPr>
              <w:spacing w:after="120"/>
              <w:rPr>
                <w:szCs w:val="24"/>
                <w:lang w:eastAsia="en-US"/>
              </w:rPr>
            </w:pPr>
            <w:r w:rsidRPr="003B2277">
              <w:rPr>
                <w:rFonts w:eastAsia="Calibri" w:cs="Mangal"/>
                <w:b/>
                <w:i/>
                <w:lang w:eastAsia="en-US"/>
              </w:rPr>
              <w:t>(b) ki je bila dealkoholizirana v skladu z oddelkom E dela I Priloge VIII k Uredbi (EU) št. 1308/2013;</w:t>
            </w:r>
          </w:p>
        </w:tc>
      </w:tr>
      <w:tr w:rsidR="006F5BFE" w:rsidRPr="003B2277" w14:paraId="6E7D55A6" w14:textId="77777777" w:rsidTr="005B4D60">
        <w:trPr>
          <w:jc w:val="center"/>
        </w:trPr>
        <w:tc>
          <w:tcPr>
            <w:tcW w:w="4876" w:type="dxa"/>
          </w:tcPr>
          <w:p w14:paraId="4B7750F8" w14:textId="77777777" w:rsidR="006F5BFE" w:rsidRPr="003B2277" w:rsidRDefault="006F5BFE" w:rsidP="005B4D60">
            <w:pPr>
              <w:spacing w:after="120"/>
            </w:pPr>
          </w:p>
        </w:tc>
        <w:tc>
          <w:tcPr>
            <w:tcW w:w="4876" w:type="dxa"/>
            <w:hideMark/>
          </w:tcPr>
          <w:p w14:paraId="3B6A0CE4" w14:textId="77777777" w:rsidR="006F5BFE" w:rsidRPr="003B2277" w:rsidRDefault="006F5BFE" w:rsidP="005B4D60">
            <w:pPr>
              <w:spacing w:after="120"/>
              <w:rPr>
                <w:szCs w:val="24"/>
                <w:lang w:eastAsia="en-US"/>
              </w:rPr>
            </w:pPr>
            <w:r w:rsidRPr="003B2277">
              <w:rPr>
                <w:rFonts w:eastAsia="Calibri" w:cs="Mangal"/>
                <w:b/>
                <w:i/>
                <w:lang w:eastAsia="en-US"/>
              </w:rPr>
              <w:t>(c) ki ima manj kot 0,5-odstotni dejanski volumenski delež alkohola.</w:t>
            </w:r>
          </w:p>
        </w:tc>
      </w:tr>
      <w:tr w:rsidR="006F5BFE" w:rsidRPr="003B2277" w14:paraId="3E478901" w14:textId="77777777" w:rsidTr="005B4D60">
        <w:trPr>
          <w:jc w:val="center"/>
        </w:trPr>
        <w:tc>
          <w:tcPr>
            <w:tcW w:w="4876" w:type="dxa"/>
          </w:tcPr>
          <w:p w14:paraId="594BC4CD" w14:textId="77777777" w:rsidR="006F5BFE" w:rsidRPr="003B2277" w:rsidRDefault="006F5BFE" w:rsidP="005B4D60">
            <w:pPr>
              <w:spacing w:after="120"/>
            </w:pPr>
          </w:p>
        </w:tc>
        <w:tc>
          <w:tcPr>
            <w:tcW w:w="4876" w:type="dxa"/>
            <w:hideMark/>
          </w:tcPr>
          <w:p w14:paraId="4AC9E448" w14:textId="40459EA2" w:rsidR="006F5BFE" w:rsidRPr="003B2277" w:rsidRDefault="006F5BFE" w:rsidP="005B4D60">
            <w:pPr>
              <w:spacing w:after="120"/>
              <w:rPr>
                <w:szCs w:val="24"/>
                <w:lang w:eastAsia="en-US"/>
              </w:rPr>
            </w:pPr>
            <w:r w:rsidRPr="003B2277">
              <w:rPr>
                <w:rFonts w:eastAsia="Calibri" w:cs="Mangal"/>
                <w:b/>
                <w:i/>
                <w:lang w:eastAsia="en-US"/>
              </w:rPr>
              <w:t>4b.</w:t>
            </w:r>
            <w:r w:rsidRPr="003B2277">
              <w:rPr>
                <w:rFonts w:eastAsia="Calibri" w:cs="Mangal"/>
                <w:b/>
                <w:i/>
                <w:lang w:eastAsia="en-US"/>
              </w:rPr>
              <w:tab/>
              <w:t>Enološki postopki, opredeljeni v Uredbi Komisije (EU) št. 606/2009, kakor je bila spremenjena z Delegirano uredbo Komisije (EU) 2017/1961 z dne 2. avgusta 2017, se uporabljajo za aromatizirane vinske proizvode.“</w:t>
            </w:r>
          </w:p>
        </w:tc>
      </w:tr>
    </w:tbl>
    <w:p w14:paraId="595FC5F3" w14:textId="77777777" w:rsidR="006F5BFE" w:rsidRPr="003B2277" w:rsidRDefault="006F5BFE" w:rsidP="006F5BFE">
      <w:pPr>
        <w:spacing w:before="240"/>
        <w:jc w:val="center"/>
        <w:rPr>
          <w:i/>
          <w:lang w:eastAsia="en-US"/>
        </w:rPr>
      </w:pPr>
      <w:r w:rsidRPr="003B2277">
        <w:rPr>
          <w:rFonts w:eastAsia="Calibri" w:cs="Mangal"/>
          <w:i/>
          <w:lang w:eastAsia="en-US"/>
        </w:rPr>
        <w:t>(https://eur-lex.europa.eu/legal-content/SL/TXT/HTML/?uri=CELEX:32014R0251&amp;qid=1553072283950&amp;from=SL)</w:t>
      </w:r>
    </w:p>
    <w:p w14:paraId="4A39EC45" w14:textId="77777777" w:rsidR="006F5BFE" w:rsidRPr="003B2277" w:rsidRDefault="006F5BFE" w:rsidP="006F5BFE">
      <w:pPr>
        <w:rPr>
          <w:lang w:eastAsia="en-US"/>
        </w:rPr>
      </w:pPr>
    </w:p>
    <w:p w14:paraId="2B29E99C" w14:textId="6B24897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202</w:t>
      </w:r>
    </w:p>
    <w:p w14:paraId="01F3D7A6" w14:textId="77777777" w:rsidR="006F5BFE" w:rsidRPr="003B2277" w:rsidRDefault="006F5BFE" w:rsidP="006F5BFE"/>
    <w:p w14:paraId="02A4A3D8" w14:textId="77777777" w:rsidR="006F5BFE" w:rsidRPr="003B2277" w:rsidRDefault="006F5BFE" w:rsidP="006F5BFE">
      <w:pPr>
        <w:keepNext/>
        <w:rPr>
          <w:b/>
          <w:lang w:eastAsia="en-US"/>
        </w:rPr>
      </w:pPr>
      <w:r w:rsidRPr="003B2277">
        <w:rPr>
          <w:rFonts w:eastAsia="Calibri" w:cs="Mangal"/>
          <w:b/>
          <w:lang w:eastAsia="en-US"/>
        </w:rPr>
        <w:t>Predlog uredbe</w:t>
      </w:r>
    </w:p>
    <w:p w14:paraId="012E5337" w14:textId="77777777" w:rsidR="006F5BFE" w:rsidRPr="003B2277" w:rsidRDefault="006F5BFE" w:rsidP="006F5BFE">
      <w:pPr>
        <w:rPr>
          <w:b/>
          <w:lang w:eastAsia="en-US"/>
        </w:rPr>
      </w:pPr>
      <w:r w:rsidRPr="003B2277">
        <w:rPr>
          <w:rFonts w:eastAsia="Calibri" w:cs="Mangal"/>
          <w:b/>
          <w:lang w:eastAsia="en-US"/>
        </w:rPr>
        <w:t>Člen 3 – točka 4</w:t>
      </w:r>
    </w:p>
    <w:p w14:paraId="693B22DD" w14:textId="77777777" w:rsidR="006F5BFE" w:rsidRPr="003B2277" w:rsidRDefault="006F5BFE" w:rsidP="006F5BFE">
      <w:pPr>
        <w:keepNext/>
        <w:rPr>
          <w:lang w:eastAsia="en-US"/>
        </w:rPr>
      </w:pPr>
      <w:r w:rsidRPr="003B2277">
        <w:rPr>
          <w:rFonts w:eastAsia="Calibri" w:cs="Mangal"/>
          <w:lang w:eastAsia="en-US"/>
        </w:rPr>
        <w:t>Uredba (EU) št. 251/2014</w:t>
      </w:r>
    </w:p>
    <w:p w14:paraId="1CB57236" w14:textId="77777777" w:rsidR="006F5BFE" w:rsidRPr="003B2277" w:rsidRDefault="006F5BFE" w:rsidP="006F5BFE">
      <w:pPr>
        <w:rPr>
          <w:lang w:eastAsia="en-US"/>
        </w:rPr>
      </w:pPr>
      <w:r w:rsidRPr="003B2277">
        <w:rPr>
          <w:rFonts w:eastAsia="Calibri" w:cs="Mangal"/>
          <w:lang w:eastAsia="en-US"/>
        </w:rPr>
        <w:t>Člen 5 – odstavek 4</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7D34F33" w14:textId="77777777" w:rsidTr="005B4D60">
        <w:trPr>
          <w:jc w:val="center"/>
        </w:trPr>
        <w:tc>
          <w:tcPr>
            <w:tcW w:w="9752" w:type="dxa"/>
            <w:gridSpan w:val="2"/>
          </w:tcPr>
          <w:p w14:paraId="77EB456D" w14:textId="77777777" w:rsidR="006F5BFE" w:rsidRPr="003B2277" w:rsidRDefault="006F5BFE" w:rsidP="005B4D60">
            <w:pPr>
              <w:keepNext/>
            </w:pPr>
          </w:p>
        </w:tc>
      </w:tr>
      <w:tr w:rsidR="006F5BFE" w:rsidRPr="003B2277" w14:paraId="3DAEB5BC" w14:textId="77777777" w:rsidTr="005B4D60">
        <w:trPr>
          <w:jc w:val="center"/>
        </w:trPr>
        <w:tc>
          <w:tcPr>
            <w:tcW w:w="4876" w:type="dxa"/>
            <w:hideMark/>
          </w:tcPr>
          <w:p w14:paraId="209220E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1045146" w14:textId="73BB693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4F731B0" w14:textId="77777777" w:rsidTr="005B4D60">
        <w:trPr>
          <w:jc w:val="center"/>
        </w:trPr>
        <w:tc>
          <w:tcPr>
            <w:tcW w:w="4876" w:type="dxa"/>
            <w:hideMark/>
          </w:tcPr>
          <w:p w14:paraId="727EB5D3" w14:textId="77777777" w:rsidR="006F5BFE" w:rsidRPr="003B2277" w:rsidRDefault="006F5BFE" w:rsidP="005B4D60">
            <w:pPr>
              <w:spacing w:after="120"/>
              <w:rPr>
                <w:lang w:eastAsia="en-US"/>
              </w:rPr>
            </w:pPr>
            <w:r w:rsidRPr="003B2277">
              <w:rPr>
                <w:rFonts w:eastAsia="Calibri" w:cs="Mangal"/>
                <w:b/>
                <w:i/>
                <w:lang w:eastAsia="en-US"/>
              </w:rPr>
              <w:t>(4)</w:t>
            </w:r>
            <w:r w:rsidRPr="003B2277">
              <w:rPr>
                <w:rFonts w:eastAsia="Calibri" w:cs="Mangal"/>
                <w:b/>
                <w:i/>
                <w:lang w:eastAsia="en-US"/>
              </w:rPr>
              <w:tab/>
              <w:t>v členu 5 se odstavek 4 nadomesti z naslednjim:</w:t>
            </w:r>
          </w:p>
        </w:tc>
        <w:tc>
          <w:tcPr>
            <w:tcW w:w="4876" w:type="dxa"/>
            <w:hideMark/>
          </w:tcPr>
          <w:p w14:paraId="02125944" w14:textId="77777777" w:rsidR="006F5BFE" w:rsidRPr="003B2277" w:rsidRDefault="006F5BFE" w:rsidP="005B4D60">
            <w:pPr>
              <w:spacing w:after="120"/>
              <w:rPr>
                <w:szCs w:val="24"/>
                <w:lang w:eastAsia="en-US"/>
              </w:rPr>
            </w:pPr>
            <w:r w:rsidRPr="003B2277">
              <w:rPr>
                <w:rFonts w:eastAsia="Calibri" w:cs="Mangal"/>
                <w:b/>
                <w:i/>
                <w:lang w:eastAsia="en-US"/>
              </w:rPr>
              <w:t>črtano</w:t>
            </w:r>
          </w:p>
        </w:tc>
      </w:tr>
      <w:tr w:rsidR="006F5BFE" w:rsidRPr="003B2277" w14:paraId="663A6D84" w14:textId="77777777" w:rsidTr="005B4D60">
        <w:trPr>
          <w:jc w:val="center"/>
        </w:trPr>
        <w:tc>
          <w:tcPr>
            <w:tcW w:w="4876" w:type="dxa"/>
            <w:hideMark/>
          </w:tcPr>
          <w:p w14:paraId="6A39F851" w14:textId="77777777" w:rsidR="006F5BFE" w:rsidRPr="003B2277" w:rsidRDefault="006F5BFE" w:rsidP="005B4D60">
            <w:pPr>
              <w:spacing w:after="120"/>
              <w:rPr>
                <w:lang w:eastAsia="en-US"/>
              </w:rPr>
            </w:pPr>
            <w:r w:rsidRPr="003B2277">
              <w:rPr>
                <w:rFonts w:eastAsia="Calibri" w:cs="Mangal"/>
                <w:b/>
                <w:i/>
                <w:lang w:eastAsia="en-US"/>
              </w:rPr>
              <w:t>„4.</w:t>
            </w:r>
            <w:r w:rsidRPr="003B2277">
              <w:rPr>
                <w:rFonts w:eastAsia="Calibri" w:cs="Mangal"/>
                <w:b/>
                <w:i/>
                <w:lang w:eastAsia="en-US"/>
              </w:rPr>
              <w:tab/>
              <w:t>Prodajna poimenovanja se lahko dopolnijo ali nadomestijo z geografskimi označbami aromatiziranih vinskih proizvodov, zaščitenimi po Uredbi (EU) št. 1151/2012.“;</w:t>
            </w:r>
          </w:p>
        </w:tc>
        <w:tc>
          <w:tcPr>
            <w:tcW w:w="4876" w:type="dxa"/>
          </w:tcPr>
          <w:p w14:paraId="4CF821ED" w14:textId="77777777" w:rsidR="006F5BFE" w:rsidRPr="003B2277" w:rsidRDefault="006F5BFE" w:rsidP="005B4D60">
            <w:pPr>
              <w:spacing w:after="120"/>
              <w:rPr>
                <w:szCs w:val="24"/>
              </w:rPr>
            </w:pPr>
          </w:p>
        </w:tc>
      </w:tr>
    </w:tbl>
    <w:p w14:paraId="6A885AC9" w14:textId="77777777" w:rsidR="006F5BFE" w:rsidRPr="003B2277" w:rsidRDefault="006F5BFE" w:rsidP="006F5BFE">
      <w:pPr>
        <w:rPr>
          <w:lang w:eastAsia="en-US"/>
        </w:rPr>
      </w:pPr>
    </w:p>
    <w:p w14:paraId="0C0FB833" w14:textId="77C1012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203</w:t>
      </w:r>
    </w:p>
    <w:p w14:paraId="521A3493" w14:textId="77777777" w:rsidR="006F5BFE" w:rsidRPr="003B2277" w:rsidRDefault="006F5BFE" w:rsidP="006F5BFE"/>
    <w:p w14:paraId="525FC025" w14:textId="77777777" w:rsidR="006F5BFE" w:rsidRPr="003B2277" w:rsidRDefault="006F5BFE" w:rsidP="006F5BFE">
      <w:pPr>
        <w:keepNext/>
        <w:rPr>
          <w:b/>
          <w:lang w:eastAsia="en-US"/>
        </w:rPr>
      </w:pPr>
      <w:r w:rsidRPr="003B2277">
        <w:rPr>
          <w:rFonts w:eastAsia="Calibri" w:cs="Mangal"/>
          <w:b/>
          <w:lang w:eastAsia="en-US"/>
        </w:rPr>
        <w:t>Predlog uredbe</w:t>
      </w:r>
    </w:p>
    <w:p w14:paraId="3E5B35FD" w14:textId="77777777" w:rsidR="006F5BFE" w:rsidRPr="003B2277" w:rsidRDefault="006F5BFE" w:rsidP="006F5BFE">
      <w:pPr>
        <w:rPr>
          <w:b/>
          <w:lang w:eastAsia="en-US"/>
        </w:rPr>
      </w:pPr>
      <w:r w:rsidRPr="003B2277">
        <w:rPr>
          <w:rFonts w:eastAsia="Calibri" w:cs="Mangal"/>
          <w:b/>
          <w:lang w:eastAsia="en-US"/>
        </w:rPr>
        <w:t>Člen 3 – točka 4 a (novo)</w:t>
      </w:r>
    </w:p>
    <w:p w14:paraId="4C330FFD" w14:textId="77777777" w:rsidR="006F5BFE" w:rsidRPr="003B2277" w:rsidRDefault="006F5BFE" w:rsidP="006F5BFE">
      <w:pPr>
        <w:keepNext/>
        <w:rPr>
          <w:lang w:eastAsia="en-US"/>
        </w:rPr>
      </w:pPr>
      <w:r w:rsidRPr="003B2277">
        <w:rPr>
          <w:rFonts w:eastAsia="Calibri" w:cs="Mangal"/>
          <w:lang w:eastAsia="en-US"/>
        </w:rPr>
        <w:t>Uredba (EU) št. 251/2014</w:t>
      </w:r>
    </w:p>
    <w:p w14:paraId="5DF93805" w14:textId="77777777" w:rsidR="006F5BFE" w:rsidRPr="003B2277" w:rsidRDefault="006F5BFE" w:rsidP="006F5BFE">
      <w:pPr>
        <w:rPr>
          <w:lang w:eastAsia="en-US"/>
        </w:rPr>
      </w:pPr>
      <w:r w:rsidRPr="003B2277">
        <w:rPr>
          <w:rFonts w:eastAsia="Calibri" w:cs="Mangal"/>
          <w:lang w:eastAsia="en-US"/>
        </w:rPr>
        <w:t>Člen 5</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7D951C5" w14:textId="77777777" w:rsidTr="005B4D60">
        <w:trPr>
          <w:jc w:val="center"/>
        </w:trPr>
        <w:tc>
          <w:tcPr>
            <w:tcW w:w="9752" w:type="dxa"/>
            <w:gridSpan w:val="2"/>
          </w:tcPr>
          <w:p w14:paraId="3CE71339" w14:textId="77777777" w:rsidR="006F5BFE" w:rsidRPr="003B2277" w:rsidRDefault="006F5BFE" w:rsidP="005B4D60">
            <w:pPr>
              <w:keepNext/>
            </w:pPr>
          </w:p>
        </w:tc>
      </w:tr>
      <w:tr w:rsidR="006F5BFE" w:rsidRPr="003B2277" w14:paraId="2693162A" w14:textId="77777777" w:rsidTr="005B4D60">
        <w:trPr>
          <w:jc w:val="center"/>
        </w:trPr>
        <w:tc>
          <w:tcPr>
            <w:tcW w:w="4876" w:type="dxa"/>
            <w:hideMark/>
          </w:tcPr>
          <w:p w14:paraId="3722A0CC"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467F8EB8" w14:textId="42554334"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4E375D0" w14:textId="77777777" w:rsidTr="005B4D60">
        <w:trPr>
          <w:jc w:val="center"/>
        </w:trPr>
        <w:tc>
          <w:tcPr>
            <w:tcW w:w="4876" w:type="dxa"/>
          </w:tcPr>
          <w:p w14:paraId="73C6239E" w14:textId="77777777" w:rsidR="006F5BFE" w:rsidRPr="003B2277" w:rsidRDefault="006F5BFE" w:rsidP="005B4D60">
            <w:pPr>
              <w:spacing w:after="120"/>
            </w:pPr>
          </w:p>
        </w:tc>
        <w:tc>
          <w:tcPr>
            <w:tcW w:w="4876" w:type="dxa"/>
            <w:hideMark/>
          </w:tcPr>
          <w:p w14:paraId="135166DA" w14:textId="77777777" w:rsidR="006F5BFE" w:rsidRPr="003B2277" w:rsidRDefault="006F5BFE" w:rsidP="005B4D60">
            <w:pPr>
              <w:spacing w:after="120"/>
              <w:rPr>
                <w:szCs w:val="24"/>
                <w:lang w:eastAsia="en-US"/>
              </w:rPr>
            </w:pPr>
            <w:r w:rsidRPr="003B2277">
              <w:rPr>
                <w:rFonts w:eastAsia="Calibri" w:cs="Mangal"/>
                <w:b/>
                <w:i/>
                <w:lang w:eastAsia="en-US"/>
              </w:rPr>
              <w:t>(4a)</w:t>
            </w:r>
            <w:r w:rsidRPr="003B2277">
              <w:rPr>
                <w:rFonts w:eastAsia="Calibri" w:cs="Mangal"/>
                <w:b/>
                <w:i/>
                <w:lang w:eastAsia="en-US"/>
              </w:rPr>
              <w:tab/>
              <w:t>člen 5 se nadomesti z naslednjim:</w:t>
            </w:r>
          </w:p>
        </w:tc>
      </w:tr>
      <w:tr w:rsidR="006F5BFE" w:rsidRPr="003B2277" w14:paraId="3FA6F3B3" w14:textId="77777777" w:rsidTr="005B4D60">
        <w:trPr>
          <w:jc w:val="center"/>
        </w:trPr>
        <w:tc>
          <w:tcPr>
            <w:tcW w:w="4876" w:type="dxa"/>
            <w:hideMark/>
          </w:tcPr>
          <w:p w14:paraId="152B8462" w14:textId="77777777" w:rsidR="006F5BFE" w:rsidRPr="003B2277" w:rsidRDefault="006F5BFE" w:rsidP="005B4D60">
            <w:pPr>
              <w:spacing w:after="120"/>
              <w:rPr>
                <w:lang w:eastAsia="en-US"/>
              </w:rPr>
            </w:pPr>
            <w:r w:rsidRPr="003B2277">
              <w:rPr>
                <w:rFonts w:eastAsia="Calibri" w:cs="Mangal"/>
                <w:lang w:eastAsia="en-US"/>
              </w:rPr>
              <w:t>Člen 5</w:t>
            </w:r>
          </w:p>
        </w:tc>
        <w:tc>
          <w:tcPr>
            <w:tcW w:w="4876" w:type="dxa"/>
            <w:hideMark/>
          </w:tcPr>
          <w:p w14:paraId="41825295"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Člen 5</w:t>
            </w:r>
          </w:p>
        </w:tc>
      </w:tr>
      <w:tr w:rsidR="006F5BFE" w:rsidRPr="003B2277" w14:paraId="4B93F7E3" w14:textId="77777777" w:rsidTr="005B4D60">
        <w:trPr>
          <w:jc w:val="center"/>
        </w:trPr>
        <w:tc>
          <w:tcPr>
            <w:tcW w:w="4876" w:type="dxa"/>
            <w:hideMark/>
          </w:tcPr>
          <w:p w14:paraId="02DFDE24" w14:textId="77777777" w:rsidR="006F5BFE" w:rsidRPr="003B2277" w:rsidRDefault="006F5BFE" w:rsidP="005B4D60">
            <w:pPr>
              <w:spacing w:after="120"/>
              <w:rPr>
                <w:lang w:eastAsia="en-US"/>
              </w:rPr>
            </w:pPr>
            <w:r w:rsidRPr="003B2277">
              <w:rPr>
                <w:rFonts w:eastAsia="Calibri" w:cs="Mangal"/>
                <w:lang w:eastAsia="en-US"/>
              </w:rPr>
              <w:t>Prodajna poimenovanja</w:t>
            </w:r>
          </w:p>
        </w:tc>
        <w:tc>
          <w:tcPr>
            <w:tcW w:w="4876" w:type="dxa"/>
            <w:hideMark/>
          </w:tcPr>
          <w:p w14:paraId="6159C2D3" w14:textId="77777777" w:rsidR="006F5BFE" w:rsidRPr="003B2277" w:rsidRDefault="006F5BFE" w:rsidP="005B4D60">
            <w:pPr>
              <w:spacing w:after="120"/>
              <w:rPr>
                <w:szCs w:val="24"/>
                <w:lang w:eastAsia="en-US"/>
              </w:rPr>
            </w:pPr>
            <w:r w:rsidRPr="003B2277">
              <w:rPr>
                <w:rFonts w:eastAsia="Calibri" w:cs="Mangal"/>
                <w:lang w:eastAsia="en-US"/>
              </w:rPr>
              <w:t>Prodajna poimenovanja</w:t>
            </w:r>
          </w:p>
        </w:tc>
      </w:tr>
      <w:tr w:rsidR="006F5BFE" w:rsidRPr="003B2277" w14:paraId="5744F318" w14:textId="77777777" w:rsidTr="005B4D60">
        <w:trPr>
          <w:jc w:val="center"/>
        </w:trPr>
        <w:tc>
          <w:tcPr>
            <w:tcW w:w="4876" w:type="dxa"/>
            <w:hideMark/>
          </w:tcPr>
          <w:p w14:paraId="0699AB24" w14:textId="77777777" w:rsidR="006F5BFE" w:rsidRPr="003B2277" w:rsidRDefault="006F5BFE" w:rsidP="005B4D60">
            <w:pPr>
              <w:spacing w:after="120"/>
              <w:rPr>
                <w:lang w:eastAsia="en-US"/>
              </w:rPr>
            </w:pPr>
            <w:r w:rsidRPr="003B2277">
              <w:rPr>
                <w:rFonts w:eastAsia="Calibri" w:cs="Mangal"/>
                <w:lang w:eastAsia="en-US"/>
              </w:rPr>
              <w:t>1.</w:t>
            </w:r>
            <w:r w:rsidRPr="003B2277">
              <w:rPr>
                <w:rFonts w:eastAsia="Calibri" w:cs="Mangal"/>
                <w:lang w:eastAsia="en-US"/>
              </w:rPr>
              <w:tab/>
              <w:t>Prodajna poimenovanja iz Priloge II se uporabljajo za aromatizirane vinske proizvode, ki se dajejo na trg v Uniji, če izpolnjujejo zahteve iz navedene priloge za ustrezna prodajna poimenovanja. Prodajna poimenovanja se lahko dopolnijo z običajnim imenom, kakor je opredeljeno v točki (o) člena 2(2) Uredbe (EU) št. 1169/2011.</w:t>
            </w:r>
          </w:p>
        </w:tc>
        <w:tc>
          <w:tcPr>
            <w:tcW w:w="4876" w:type="dxa"/>
            <w:hideMark/>
          </w:tcPr>
          <w:p w14:paraId="5047383A" w14:textId="77777777" w:rsidR="006F5BFE" w:rsidRPr="003B2277" w:rsidRDefault="006F5BFE" w:rsidP="005B4D60">
            <w:pPr>
              <w:spacing w:after="120"/>
              <w:rPr>
                <w:szCs w:val="24"/>
                <w:lang w:eastAsia="en-US"/>
              </w:rPr>
            </w:pPr>
            <w:r w:rsidRPr="003B2277">
              <w:rPr>
                <w:rFonts w:eastAsia="Calibri" w:cs="Mangal"/>
                <w:lang w:eastAsia="en-US"/>
              </w:rPr>
              <w:t>1.</w:t>
            </w:r>
            <w:r w:rsidRPr="003B2277">
              <w:rPr>
                <w:rFonts w:eastAsia="Calibri" w:cs="Mangal"/>
                <w:lang w:eastAsia="en-US"/>
              </w:rPr>
              <w:tab/>
              <w:t>Prodajna poimenovanja iz Priloge II se uporabljajo za aromatizirane vinske proizvode, ki se dajejo na trg v Uniji, če izpolnjujejo zahteve iz navedene priloge za ustrezna prodajna poimenovanja. Prodajna poimenovanja se lahko dopolnijo z običajnim imenom, kakor je opredeljeno v točki (o) člena 2(2) Uredbe (EU) št. 1169/2011.</w:t>
            </w:r>
          </w:p>
        </w:tc>
      </w:tr>
      <w:tr w:rsidR="006F5BFE" w:rsidRPr="003B2277" w14:paraId="163A5DF4" w14:textId="77777777" w:rsidTr="005B4D60">
        <w:trPr>
          <w:jc w:val="center"/>
        </w:trPr>
        <w:tc>
          <w:tcPr>
            <w:tcW w:w="4876" w:type="dxa"/>
            <w:hideMark/>
          </w:tcPr>
          <w:p w14:paraId="0B2EBA63"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Če aromatizirani vinski proizvodi izpolnjujejo zahteve za več kot eno prodajno poimenovanje, je dovoljeno le eno izmed teh prodajnih poimenovanj, razen če je v Prilogi II določeno drugače.</w:t>
            </w:r>
          </w:p>
        </w:tc>
        <w:tc>
          <w:tcPr>
            <w:tcW w:w="4876" w:type="dxa"/>
            <w:hideMark/>
          </w:tcPr>
          <w:p w14:paraId="1AB11333"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Če aromatizirani vinski proizvodi izpolnjujejo zahteve za več kot eno prodajno poimenovanje, je dovoljeno le eno izmed teh prodajnih poimenovanj, razen če je v Prilogi II določeno drugače.</w:t>
            </w:r>
          </w:p>
        </w:tc>
      </w:tr>
      <w:tr w:rsidR="006F5BFE" w:rsidRPr="003B2277" w14:paraId="1279A25E" w14:textId="77777777" w:rsidTr="005B4D60">
        <w:trPr>
          <w:jc w:val="center"/>
        </w:trPr>
        <w:tc>
          <w:tcPr>
            <w:tcW w:w="4876" w:type="dxa"/>
            <w:hideMark/>
          </w:tcPr>
          <w:p w14:paraId="5833059F"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Alkoholna pijača, ki ne izpolnjuje zahtev iz te uredbe, se ne sme opisati, predstaviti ali označiti z besedami ali izrazi, kot so „kot“, „tip“, „slog“, „izdelan“, „aroma“, ali drugimi oznakami, podobnimi kateremu od prodajnih poimenovanj.</w:t>
            </w:r>
          </w:p>
        </w:tc>
        <w:tc>
          <w:tcPr>
            <w:tcW w:w="4876" w:type="dxa"/>
            <w:hideMark/>
          </w:tcPr>
          <w:p w14:paraId="386B9681"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Alkoholna pijača, ki ne izpolnjuje zahtev iz te uredbe, se ne sme opisati, predstaviti ali označiti z besedami ali izrazi, kot so „kot“, „tip“, „slog“, „izdelan“, „aroma“, ali drugimi oznakami, podobnimi kateremu od prodajnih poimenovanj.</w:t>
            </w:r>
          </w:p>
        </w:tc>
      </w:tr>
      <w:tr w:rsidR="006F5BFE" w:rsidRPr="003B2277" w14:paraId="42B2FF22" w14:textId="77777777" w:rsidTr="005B4D60">
        <w:trPr>
          <w:jc w:val="center"/>
        </w:trPr>
        <w:tc>
          <w:tcPr>
            <w:tcW w:w="4876" w:type="dxa"/>
            <w:hideMark/>
          </w:tcPr>
          <w:p w14:paraId="5F5698E8" w14:textId="77777777" w:rsidR="006F5BFE" w:rsidRPr="003B2277" w:rsidRDefault="006F5BFE" w:rsidP="005B4D60">
            <w:pPr>
              <w:spacing w:after="120"/>
              <w:rPr>
                <w:lang w:eastAsia="en-US"/>
              </w:rPr>
            </w:pPr>
            <w:r w:rsidRPr="003B2277">
              <w:rPr>
                <w:rFonts w:eastAsia="Calibri" w:cs="Mangal"/>
                <w:lang w:eastAsia="en-US"/>
              </w:rPr>
              <w:t>4.</w:t>
            </w:r>
            <w:r w:rsidRPr="003B2277">
              <w:rPr>
                <w:rFonts w:eastAsia="Calibri" w:cs="Mangal"/>
                <w:lang w:eastAsia="en-US"/>
              </w:rPr>
              <w:tab/>
              <w:t xml:space="preserve">Prodajna poimenovanja se lahko dopolnijo ali nadomestijo z geografskimi označbami, zaščitenimi po </w:t>
            </w:r>
            <w:r w:rsidRPr="003B2277">
              <w:rPr>
                <w:rFonts w:eastAsia="Calibri" w:cs="Mangal"/>
                <w:b/>
                <w:i/>
                <w:lang w:eastAsia="en-US"/>
              </w:rPr>
              <w:t xml:space="preserve">tej </w:t>
            </w:r>
            <w:r w:rsidRPr="003B2277">
              <w:rPr>
                <w:rFonts w:eastAsia="Calibri" w:cs="Mangal"/>
                <w:lang w:eastAsia="en-US"/>
              </w:rPr>
              <w:t>uredbi.</w:t>
            </w:r>
          </w:p>
        </w:tc>
        <w:tc>
          <w:tcPr>
            <w:tcW w:w="4876" w:type="dxa"/>
            <w:hideMark/>
          </w:tcPr>
          <w:p w14:paraId="1834F54B" w14:textId="77777777" w:rsidR="006F5BFE" w:rsidRPr="003B2277" w:rsidRDefault="006F5BFE" w:rsidP="005B4D60">
            <w:pPr>
              <w:spacing w:after="120"/>
              <w:rPr>
                <w:szCs w:val="24"/>
                <w:lang w:eastAsia="en-US"/>
              </w:rPr>
            </w:pPr>
            <w:r w:rsidRPr="003B2277">
              <w:rPr>
                <w:rFonts w:eastAsia="Calibri" w:cs="Mangal"/>
                <w:lang w:eastAsia="en-US"/>
              </w:rPr>
              <w:t>4.</w:t>
            </w:r>
            <w:r w:rsidRPr="003B2277">
              <w:rPr>
                <w:rFonts w:eastAsia="Calibri" w:cs="Mangal"/>
                <w:lang w:eastAsia="en-US"/>
              </w:rPr>
              <w:tab/>
              <w:t>Prodajna poimenovanja se lahko dopolnijo ali nadomestijo z geografskimi označbami</w:t>
            </w:r>
            <w:r w:rsidRPr="003B2277">
              <w:rPr>
                <w:rFonts w:eastAsia="Calibri" w:cs="Mangal"/>
                <w:b/>
                <w:i/>
                <w:lang w:eastAsia="en-US"/>
              </w:rPr>
              <w:t xml:space="preserve"> aromatiziranih vinskih proizvodov</w:t>
            </w:r>
            <w:r w:rsidRPr="003B2277">
              <w:rPr>
                <w:rFonts w:eastAsia="Calibri" w:cs="Mangal"/>
                <w:lang w:eastAsia="en-US"/>
              </w:rPr>
              <w:t>, zaščitenimi po Uredbi</w:t>
            </w:r>
            <w:r w:rsidRPr="003B2277">
              <w:rPr>
                <w:rFonts w:eastAsia="Calibri" w:cs="Mangal"/>
                <w:b/>
                <w:i/>
                <w:lang w:eastAsia="en-US"/>
              </w:rPr>
              <w:t xml:space="preserve"> (EU) št</w:t>
            </w:r>
            <w:r w:rsidRPr="003B2277">
              <w:rPr>
                <w:rFonts w:eastAsia="Calibri" w:cs="Mangal"/>
                <w:lang w:eastAsia="en-US"/>
              </w:rPr>
              <w:t>.</w:t>
            </w:r>
            <w:r w:rsidRPr="003B2277">
              <w:rPr>
                <w:rFonts w:eastAsia="Calibri" w:cs="Mangal"/>
                <w:b/>
                <w:i/>
                <w:lang w:eastAsia="en-US"/>
              </w:rPr>
              <w:t> 1151/2012.</w:t>
            </w:r>
          </w:p>
        </w:tc>
      </w:tr>
      <w:tr w:rsidR="006F5BFE" w:rsidRPr="003B2277" w14:paraId="265B9083" w14:textId="77777777" w:rsidTr="005B4D60">
        <w:trPr>
          <w:jc w:val="center"/>
        </w:trPr>
        <w:tc>
          <w:tcPr>
            <w:tcW w:w="4876" w:type="dxa"/>
            <w:hideMark/>
          </w:tcPr>
          <w:p w14:paraId="67F2A0BA" w14:textId="77777777" w:rsidR="006F5BFE" w:rsidRPr="003B2277" w:rsidRDefault="006F5BFE" w:rsidP="005B4D60">
            <w:pPr>
              <w:spacing w:after="120"/>
              <w:rPr>
                <w:lang w:eastAsia="en-US"/>
              </w:rPr>
            </w:pPr>
            <w:r w:rsidRPr="003B2277">
              <w:rPr>
                <w:rFonts w:eastAsia="Calibri" w:cs="Mangal"/>
                <w:lang w:eastAsia="en-US"/>
              </w:rPr>
              <w:t>5.</w:t>
            </w:r>
            <w:r w:rsidRPr="003B2277">
              <w:rPr>
                <w:rFonts w:eastAsia="Calibri" w:cs="Mangal"/>
                <w:lang w:eastAsia="en-US"/>
              </w:rPr>
              <w:tab/>
              <w:t>Brez poseganja v člen 26, se prodajna poimenovanja ne smejo dopolniti z zaščitenimi označbami porekla ali zaščitenimi geografskimi označbami, ki so dovoljene za vinske proizvode.</w:t>
            </w:r>
          </w:p>
        </w:tc>
        <w:tc>
          <w:tcPr>
            <w:tcW w:w="4876" w:type="dxa"/>
            <w:hideMark/>
          </w:tcPr>
          <w:p w14:paraId="620CF68E" w14:textId="77777777" w:rsidR="006F5BFE" w:rsidRPr="003B2277" w:rsidRDefault="006F5BFE" w:rsidP="005B4D60">
            <w:pPr>
              <w:spacing w:after="120"/>
              <w:rPr>
                <w:szCs w:val="24"/>
                <w:lang w:eastAsia="en-US"/>
              </w:rPr>
            </w:pPr>
            <w:r w:rsidRPr="003B2277">
              <w:rPr>
                <w:rFonts w:eastAsia="Calibri" w:cs="Mangal"/>
                <w:lang w:eastAsia="en-US"/>
              </w:rPr>
              <w:t>5.</w:t>
            </w:r>
            <w:r w:rsidRPr="003B2277">
              <w:rPr>
                <w:rFonts w:eastAsia="Calibri" w:cs="Mangal"/>
                <w:lang w:eastAsia="en-US"/>
              </w:rPr>
              <w:tab/>
              <w:t>Brez poseganja v člen 26, se prodajna poimenovanja ne smejo dopolniti z zaščitenimi označbami porekla ali zaščitenimi geografskimi označbami, ki so dovoljene za vinske proizvode.</w:t>
            </w:r>
          </w:p>
        </w:tc>
      </w:tr>
      <w:tr w:rsidR="006F5BFE" w:rsidRPr="003B2277" w14:paraId="24524EF6" w14:textId="77777777" w:rsidTr="005B4D60">
        <w:trPr>
          <w:jc w:val="center"/>
        </w:trPr>
        <w:tc>
          <w:tcPr>
            <w:tcW w:w="4876" w:type="dxa"/>
          </w:tcPr>
          <w:p w14:paraId="21C3ACC9" w14:textId="77777777" w:rsidR="006F5BFE" w:rsidRPr="003B2277" w:rsidRDefault="006F5BFE" w:rsidP="005B4D60">
            <w:pPr>
              <w:spacing w:after="120"/>
            </w:pPr>
          </w:p>
        </w:tc>
        <w:tc>
          <w:tcPr>
            <w:tcW w:w="4876" w:type="dxa"/>
            <w:hideMark/>
          </w:tcPr>
          <w:p w14:paraId="6AC86186" w14:textId="77777777" w:rsidR="006F5BFE" w:rsidRPr="003B2277" w:rsidRDefault="006F5BFE" w:rsidP="005B4D60">
            <w:pPr>
              <w:spacing w:after="120"/>
              <w:rPr>
                <w:szCs w:val="24"/>
                <w:lang w:eastAsia="en-US"/>
              </w:rPr>
            </w:pPr>
            <w:r w:rsidRPr="003B2277">
              <w:rPr>
                <w:rFonts w:eastAsia="Calibri" w:cs="Mangal"/>
                <w:b/>
                <w:i/>
                <w:lang w:eastAsia="en-US"/>
              </w:rPr>
              <w:t>5a.</w:t>
            </w:r>
            <w:r w:rsidRPr="003B2277">
              <w:rPr>
                <w:rFonts w:eastAsia="Calibri" w:cs="Mangal"/>
                <w:b/>
                <w:i/>
                <w:lang w:eastAsia="en-US"/>
              </w:rPr>
              <w:tab/>
              <w:t>Če se bodo aromatizirani vinski proizvodi izvažali v tretje države, lahko države članice dovolijo druga prodajna poimenovanja od tistih, ki so določena v Prilogi II, če ta prodajna imenovanja zahteva zakonodaja zadevne tretje države. Ta prodajna poimenovanja so lahko v drugih jezikih, ki niso uradni jeziki Unije.</w:t>
            </w:r>
          </w:p>
        </w:tc>
      </w:tr>
      <w:tr w:rsidR="006F5BFE" w:rsidRPr="003B2277" w14:paraId="70672D1B" w14:textId="77777777" w:rsidTr="005B4D60">
        <w:trPr>
          <w:jc w:val="center"/>
        </w:trPr>
        <w:tc>
          <w:tcPr>
            <w:tcW w:w="4876" w:type="dxa"/>
          </w:tcPr>
          <w:p w14:paraId="04AC01D2" w14:textId="77777777" w:rsidR="006F5BFE" w:rsidRPr="003B2277" w:rsidRDefault="006F5BFE" w:rsidP="005B4D60">
            <w:pPr>
              <w:spacing w:after="120"/>
            </w:pPr>
          </w:p>
        </w:tc>
        <w:tc>
          <w:tcPr>
            <w:tcW w:w="4876" w:type="dxa"/>
            <w:hideMark/>
          </w:tcPr>
          <w:p w14:paraId="55CE8F95" w14:textId="77777777" w:rsidR="006F5BFE" w:rsidRPr="003B2277" w:rsidRDefault="006F5BFE" w:rsidP="005B4D60">
            <w:pPr>
              <w:spacing w:after="120"/>
              <w:rPr>
                <w:szCs w:val="24"/>
                <w:lang w:eastAsia="en-US"/>
              </w:rPr>
            </w:pPr>
            <w:r w:rsidRPr="003B2277">
              <w:rPr>
                <w:rFonts w:eastAsia="Calibri" w:cs="Mangal"/>
                <w:b/>
                <w:i/>
                <w:lang w:eastAsia="en-US"/>
              </w:rPr>
              <w:t>5b.</w:t>
            </w:r>
            <w:r w:rsidRPr="003B2277">
              <w:rPr>
                <w:rFonts w:eastAsia="Calibri" w:cs="Mangal"/>
                <w:b/>
                <w:i/>
                <w:lang w:eastAsia="en-US"/>
              </w:rPr>
              <w:tab/>
              <w:t>Na Komisijo se prenese pooblastilo za sprejemanje delegiranih aktov v skladu s členom 33 za dopolnitev Priloge II k tej uredbi, da se upoštevajo tehnični napredek, znanstveni in tržni razvoj, zdravje potrošnikov ali potreba potrošnikov po informacijah.“</w:t>
            </w:r>
          </w:p>
        </w:tc>
      </w:tr>
    </w:tbl>
    <w:p w14:paraId="73BB89E1" w14:textId="77777777" w:rsidR="006F5BFE" w:rsidRPr="003B2277" w:rsidRDefault="006F5BFE" w:rsidP="006F5BFE">
      <w:pPr>
        <w:rPr>
          <w:lang w:eastAsia="en-US"/>
        </w:rPr>
      </w:pPr>
    </w:p>
    <w:p w14:paraId="7CA5614A" w14:textId="5BFFF13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204</w:t>
      </w:r>
    </w:p>
    <w:p w14:paraId="6F924B17" w14:textId="77777777" w:rsidR="006F5BFE" w:rsidRPr="003B2277" w:rsidRDefault="006F5BFE" w:rsidP="006F5BFE"/>
    <w:p w14:paraId="5A57B142" w14:textId="77777777" w:rsidR="006F5BFE" w:rsidRPr="003B2277" w:rsidRDefault="006F5BFE" w:rsidP="006F5BFE">
      <w:pPr>
        <w:keepNext/>
        <w:rPr>
          <w:b/>
          <w:lang w:eastAsia="en-US"/>
        </w:rPr>
      </w:pPr>
      <w:r w:rsidRPr="003B2277">
        <w:rPr>
          <w:rFonts w:eastAsia="Calibri" w:cs="Mangal"/>
          <w:b/>
          <w:lang w:eastAsia="en-US"/>
        </w:rPr>
        <w:t>Predlog uredbe</w:t>
      </w:r>
    </w:p>
    <w:p w14:paraId="71380D36" w14:textId="77777777" w:rsidR="006F5BFE" w:rsidRPr="003B2277" w:rsidRDefault="006F5BFE" w:rsidP="006F5BFE">
      <w:pPr>
        <w:rPr>
          <w:b/>
          <w:lang w:eastAsia="en-US"/>
        </w:rPr>
      </w:pPr>
      <w:r w:rsidRPr="003B2277">
        <w:rPr>
          <w:rFonts w:eastAsia="Calibri" w:cs="Mangal"/>
          <w:b/>
          <w:lang w:eastAsia="en-US"/>
        </w:rPr>
        <w:t>Člen 3 – točka 4 b (novo)</w:t>
      </w:r>
    </w:p>
    <w:p w14:paraId="0E5FC176" w14:textId="77777777" w:rsidR="006F5BFE" w:rsidRPr="003B2277" w:rsidRDefault="006F5BFE" w:rsidP="006F5BFE">
      <w:pPr>
        <w:keepNext/>
        <w:rPr>
          <w:lang w:eastAsia="en-US"/>
        </w:rPr>
      </w:pPr>
      <w:r w:rsidRPr="003B2277">
        <w:rPr>
          <w:rFonts w:eastAsia="Calibri" w:cs="Mangal"/>
          <w:lang w:eastAsia="en-US"/>
        </w:rPr>
        <w:t>Uredba (EU) št. 251/2014</w:t>
      </w:r>
    </w:p>
    <w:p w14:paraId="0A8D94A0" w14:textId="77777777" w:rsidR="006F5BFE" w:rsidRPr="003B2277" w:rsidRDefault="006F5BFE" w:rsidP="006F5BFE">
      <w:pPr>
        <w:rPr>
          <w:lang w:eastAsia="en-US"/>
        </w:rPr>
      </w:pPr>
      <w:r w:rsidRPr="003B2277">
        <w:rPr>
          <w:rFonts w:eastAsia="Calibri" w:cs="Mangal"/>
          <w:lang w:eastAsia="en-US"/>
        </w:rPr>
        <w:t>Člen 6 – odstavek 3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6B6F9EB" w14:textId="77777777" w:rsidTr="005B4D60">
        <w:trPr>
          <w:jc w:val="center"/>
        </w:trPr>
        <w:tc>
          <w:tcPr>
            <w:tcW w:w="9752" w:type="dxa"/>
            <w:gridSpan w:val="2"/>
          </w:tcPr>
          <w:p w14:paraId="748B7FE9" w14:textId="77777777" w:rsidR="006F5BFE" w:rsidRPr="003B2277" w:rsidRDefault="006F5BFE" w:rsidP="005B4D60">
            <w:pPr>
              <w:keepNext/>
            </w:pPr>
          </w:p>
        </w:tc>
      </w:tr>
      <w:tr w:rsidR="006F5BFE" w:rsidRPr="003B2277" w14:paraId="31681CCB" w14:textId="77777777" w:rsidTr="005B4D60">
        <w:trPr>
          <w:jc w:val="center"/>
        </w:trPr>
        <w:tc>
          <w:tcPr>
            <w:tcW w:w="4876" w:type="dxa"/>
            <w:hideMark/>
          </w:tcPr>
          <w:p w14:paraId="549E71FB"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D877A35" w14:textId="04D698B7"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1874C43" w14:textId="77777777" w:rsidTr="005B4D60">
        <w:trPr>
          <w:jc w:val="center"/>
        </w:trPr>
        <w:tc>
          <w:tcPr>
            <w:tcW w:w="4876" w:type="dxa"/>
          </w:tcPr>
          <w:p w14:paraId="022573E9" w14:textId="77777777" w:rsidR="006F5BFE" w:rsidRPr="003B2277" w:rsidRDefault="006F5BFE" w:rsidP="005B4D60">
            <w:pPr>
              <w:spacing w:after="120"/>
            </w:pPr>
          </w:p>
        </w:tc>
        <w:tc>
          <w:tcPr>
            <w:tcW w:w="4876" w:type="dxa"/>
            <w:hideMark/>
          </w:tcPr>
          <w:p w14:paraId="71DC7527" w14:textId="77777777" w:rsidR="006F5BFE" w:rsidRPr="003B2277" w:rsidRDefault="006F5BFE" w:rsidP="005B4D60">
            <w:pPr>
              <w:spacing w:after="120"/>
              <w:rPr>
                <w:szCs w:val="24"/>
                <w:lang w:eastAsia="en-US"/>
              </w:rPr>
            </w:pPr>
            <w:r w:rsidRPr="003B2277">
              <w:rPr>
                <w:rFonts w:eastAsia="Calibri" w:cs="Mangal"/>
                <w:b/>
                <w:i/>
                <w:lang w:eastAsia="en-US"/>
              </w:rPr>
              <w:t>(4b)</w:t>
            </w:r>
            <w:r w:rsidRPr="003B2277">
              <w:rPr>
                <w:rFonts w:eastAsia="Calibri" w:cs="Mangal"/>
                <w:b/>
                <w:i/>
                <w:lang w:eastAsia="en-US"/>
              </w:rPr>
              <w:tab/>
              <w:t>v členu 6 se doda naslednji odstavek:</w:t>
            </w:r>
          </w:p>
        </w:tc>
      </w:tr>
      <w:tr w:rsidR="006F5BFE" w:rsidRPr="003B2277" w14:paraId="147DC54C" w14:textId="77777777" w:rsidTr="005B4D60">
        <w:trPr>
          <w:jc w:val="center"/>
        </w:trPr>
        <w:tc>
          <w:tcPr>
            <w:tcW w:w="4876" w:type="dxa"/>
          </w:tcPr>
          <w:p w14:paraId="2E8570E5" w14:textId="77777777" w:rsidR="006F5BFE" w:rsidRPr="003B2277" w:rsidRDefault="006F5BFE" w:rsidP="005B4D60">
            <w:pPr>
              <w:spacing w:after="120"/>
            </w:pPr>
          </w:p>
        </w:tc>
        <w:tc>
          <w:tcPr>
            <w:tcW w:w="4876" w:type="dxa"/>
            <w:hideMark/>
          </w:tcPr>
          <w:p w14:paraId="5048D0C4" w14:textId="77777777" w:rsidR="006F5BFE" w:rsidRPr="003B2277" w:rsidRDefault="006F5BFE" w:rsidP="005B4D60">
            <w:pPr>
              <w:spacing w:after="120"/>
              <w:rPr>
                <w:szCs w:val="24"/>
                <w:lang w:eastAsia="en-US"/>
              </w:rPr>
            </w:pPr>
            <w:r w:rsidRPr="003B2277">
              <w:rPr>
                <w:rFonts w:eastAsia="Calibri" w:cs="Mangal"/>
                <w:b/>
                <w:i/>
                <w:lang w:eastAsia="en-US"/>
              </w:rPr>
              <w:t>„(3a)</w:t>
            </w:r>
            <w:r w:rsidRPr="003B2277">
              <w:rPr>
                <w:rFonts w:eastAsia="Calibri" w:cs="Mangal"/>
                <w:b/>
                <w:i/>
                <w:lang w:eastAsia="en-US"/>
              </w:rPr>
              <w:tab/>
              <w:t>Na etiketah proizvodov je lahko naveden letnik, če proizvod vinske trte predstavlja vsaj 75 % skupne količine in je bilo vsaj 85 % grozdja, uporabljenega za proizvodnjo teh proizvodov, obranega v zadevnem letu.“</w:t>
            </w:r>
          </w:p>
        </w:tc>
      </w:tr>
    </w:tbl>
    <w:p w14:paraId="3806C323" w14:textId="77777777" w:rsidR="006F5BFE" w:rsidRPr="003B2277" w:rsidRDefault="006F5BFE" w:rsidP="006F5BFE">
      <w:pPr>
        <w:rPr>
          <w:lang w:eastAsia="en-US"/>
        </w:rPr>
      </w:pPr>
    </w:p>
    <w:p w14:paraId="7678D6F9" w14:textId="37AD590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205</w:t>
      </w:r>
    </w:p>
    <w:p w14:paraId="14DC16AE" w14:textId="77777777" w:rsidR="006F5BFE" w:rsidRPr="003B2277" w:rsidRDefault="006F5BFE" w:rsidP="006F5BFE"/>
    <w:p w14:paraId="5A5ECD61" w14:textId="77777777" w:rsidR="006F5BFE" w:rsidRPr="003B2277" w:rsidRDefault="006F5BFE" w:rsidP="006F5BFE">
      <w:pPr>
        <w:keepNext/>
        <w:rPr>
          <w:b/>
          <w:lang w:eastAsia="en-US"/>
        </w:rPr>
      </w:pPr>
      <w:r w:rsidRPr="003B2277">
        <w:rPr>
          <w:rFonts w:eastAsia="Calibri" w:cs="Mangal"/>
          <w:b/>
          <w:lang w:eastAsia="en-US"/>
        </w:rPr>
        <w:t>Predlog uredbe</w:t>
      </w:r>
    </w:p>
    <w:p w14:paraId="01F9D69D" w14:textId="77777777" w:rsidR="006F5BFE" w:rsidRPr="003B2277" w:rsidRDefault="006F5BFE" w:rsidP="006F5BFE">
      <w:pPr>
        <w:rPr>
          <w:b/>
          <w:lang w:eastAsia="en-US"/>
        </w:rPr>
      </w:pPr>
      <w:r w:rsidRPr="003B2277">
        <w:rPr>
          <w:rFonts w:eastAsia="Calibri" w:cs="Mangal"/>
          <w:b/>
          <w:lang w:eastAsia="en-US"/>
        </w:rPr>
        <w:t>Člen 3 – točka 4 c (novo)</w:t>
      </w:r>
    </w:p>
    <w:p w14:paraId="68AAE660" w14:textId="77777777" w:rsidR="006F5BFE" w:rsidRPr="003B2277" w:rsidRDefault="006F5BFE" w:rsidP="006F5BFE">
      <w:pPr>
        <w:keepNext/>
        <w:rPr>
          <w:lang w:eastAsia="en-US"/>
        </w:rPr>
      </w:pPr>
      <w:r w:rsidRPr="003B2277">
        <w:rPr>
          <w:rFonts w:eastAsia="Calibri" w:cs="Mangal"/>
          <w:lang w:eastAsia="en-US"/>
        </w:rPr>
        <w:t>Uredba (EU) št. 251/2014</w:t>
      </w:r>
    </w:p>
    <w:p w14:paraId="7F54EA8F" w14:textId="77777777" w:rsidR="006F5BFE" w:rsidRPr="003B2277" w:rsidRDefault="006F5BFE" w:rsidP="006F5BFE">
      <w:pPr>
        <w:rPr>
          <w:lang w:eastAsia="en-US"/>
        </w:rPr>
      </w:pPr>
      <w:r w:rsidRPr="003B2277">
        <w:rPr>
          <w:rFonts w:eastAsia="Calibri" w:cs="Mangal"/>
          <w:lang w:eastAsia="en-US"/>
        </w:rPr>
        <w:t>Člen 7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0F21589" w14:textId="77777777" w:rsidTr="005B4D60">
        <w:trPr>
          <w:jc w:val="center"/>
        </w:trPr>
        <w:tc>
          <w:tcPr>
            <w:tcW w:w="9752" w:type="dxa"/>
            <w:gridSpan w:val="2"/>
          </w:tcPr>
          <w:p w14:paraId="77B76030" w14:textId="77777777" w:rsidR="006F5BFE" w:rsidRPr="003B2277" w:rsidRDefault="006F5BFE" w:rsidP="005B4D60">
            <w:pPr>
              <w:keepNext/>
            </w:pPr>
          </w:p>
        </w:tc>
      </w:tr>
      <w:tr w:rsidR="006F5BFE" w:rsidRPr="003B2277" w14:paraId="5CA26863" w14:textId="77777777" w:rsidTr="005B4D60">
        <w:trPr>
          <w:jc w:val="center"/>
        </w:trPr>
        <w:tc>
          <w:tcPr>
            <w:tcW w:w="4876" w:type="dxa"/>
            <w:hideMark/>
          </w:tcPr>
          <w:p w14:paraId="72310B9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E96DCD3" w14:textId="103C61D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B35EC9A" w14:textId="77777777" w:rsidTr="005B4D60">
        <w:trPr>
          <w:jc w:val="center"/>
        </w:trPr>
        <w:tc>
          <w:tcPr>
            <w:tcW w:w="4876" w:type="dxa"/>
          </w:tcPr>
          <w:p w14:paraId="5D8B80B8" w14:textId="77777777" w:rsidR="006F5BFE" w:rsidRPr="003B2277" w:rsidRDefault="006F5BFE" w:rsidP="005B4D60">
            <w:pPr>
              <w:spacing w:after="120"/>
            </w:pPr>
          </w:p>
        </w:tc>
        <w:tc>
          <w:tcPr>
            <w:tcW w:w="4876" w:type="dxa"/>
            <w:hideMark/>
          </w:tcPr>
          <w:p w14:paraId="4BD5FC1E" w14:textId="77777777" w:rsidR="006F5BFE" w:rsidRPr="003B2277" w:rsidRDefault="006F5BFE" w:rsidP="005B4D60">
            <w:pPr>
              <w:spacing w:after="120"/>
              <w:rPr>
                <w:szCs w:val="24"/>
                <w:lang w:eastAsia="en-US"/>
              </w:rPr>
            </w:pPr>
            <w:r w:rsidRPr="003B2277">
              <w:rPr>
                <w:rFonts w:eastAsia="Calibri" w:cs="Mangal"/>
                <w:b/>
                <w:i/>
                <w:lang w:eastAsia="en-US"/>
              </w:rPr>
              <w:t>(4c)</w:t>
            </w:r>
            <w:r w:rsidRPr="003B2277">
              <w:rPr>
                <w:rFonts w:eastAsia="Calibri" w:cs="Mangal"/>
                <w:b/>
                <w:i/>
                <w:lang w:eastAsia="en-US"/>
              </w:rPr>
              <w:tab/>
              <w:t>vstavi se naslednji člen:</w:t>
            </w:r>
          </w:p>
        </w:tc>
      </w:tr>
      <w:tr w:rsidR="006F5BFE" w:rsidRPr="003B2277" w14:paraId="47052074" w14:textId="77777777" w:rsidTr="005B4D60">
        <w:trPr>
          <w:jc w:val="center"/>
        </w:trPr>
        <w:tc>
          <w:tcPr>
            <w:tcW w:w="4876" w:type="dxa"/>
          </w:tcPr>
          <w:p w14:paraId="0EC2CAC2" w14:textId="77777777" w:rsidR="006F5BFE" w:rsidRPr="003B2277" w:rsidRDefault="006F5BFE" w:rsidP="005B4D60">
            <w:pPr>
              <w:spacing w:after="120"/>
            </w:pPr>
          </w:p>
        </w:tc>
        <w:tc>
          <w:tcPr>
            <w:tcW w:w="4876" w:type="dxa"/>
            <w:hideMark/>
          </w:tcPr>
          <w:p w14:paraId="61E91CDC" w14:textId="77777777" w:rsidR="006F5BFE" w:rsidRPr="003B2277" w:rsidRDefault="006F5BFE" w:rsidP="005B4D60">
            <w:pPr>
              <w:spacing w:after="120"/>
              <w:rPr>
                <w:szCs w:val="24"/>
                <w:lang w:eastAsia="en-US"/>
              </w:rPr>
            </w:pPr>
            <w:r w:rsidRPr="003B2277">
              <w:rPr>
                <w:rFonts w:eastAsia="Calibri" w:cs="Mangal"/>
                <w:b/>
                <w:i/>
                <w:lang w:eastAsia="en-US"/>
              </w:rPr>
              <w:t>„Člen 7a</w:t>
            </w:r>
          </w:p>
        </w:tc>
      </w:tr>
      <w:tr w:rsidR="006F5BFE" w:rsidRPr="003B2277" w14:paraId="6244964A" w14:textId="77777777" w:rsidTr="005B4D60">
        <w:trPr>
          <w:jc w:val="center"/>
        </w:trPr>
        <w:tc>
          <w:tcPr>
            <w:tcW w:w="4876" w:type="dxa"/>
          </w:tcPr>
          <w:p w14:paraId="2ABAD7A3" w14:textId="77777777" w:rsidR="006F5BFE" w:rsidRPr="003B2277" w:rsidRDefault="006F5BFE" w:rsidP="005B4D60">
            <w:pPr>
              <w:spacing w:after="120"/>
            </w:pPr>
          </w:p>
        </w:tc>
        <w:tc>
          <w:tcPr>
            <w:tcW w:w="4876" w:type="dxa"/>
            <w:hideMark/>
          </w:tcPr>
          <w:p w14:paraId="5CEF455B" w14:textId="77777777" w:rsidR="006F5BFE" w:rsidRPr="003B2277" w:rsidRDefault="006F5BFE" w:rsidP="005B4D60">
            <w:pPr>
              <w:spacing w:after="120"/>
              <w:rPr>
                <w:szCs w:val="24"/>
                <w:lang w:eastAsia="en-US"/>
              </w:rPr>
            </w:pPr>
            <w:r w:rsidRPr="003B2277">
              <w:rPr>
                <w:rFonts w:eastAsia="Calibri" w:cs="Mangal"/>
                <w:b/>
                <w:i/>
                <w:lang w:eastAsia="en-US"/>
              </w:rPr>
              <w:t>Označba hranilne vrednosti</w:t>
            </w:r>
          </w:p>
        </w:tc>
      </w:tr>
      <w:tr w:rsidR="006F5BFE" w:rsidRPr="003B2277" w14:paraId="7E54C7E0" w14:textId="77777777" w:rsidTr="005B4D60">
        <w:trPr>
          <w:jc w:val="center"/>
        </w:trPr>
        <w:tc>
          <w:tcPr>
            <w:tcW w:w="4876" w:type="dxa"/>
          </w:tcPr>
          <w:p w14:paraId="7C4673BD" w14:textId="77777777" w:rsidR="006F5BFE" w:rsidRPr="003B2277" w:rsidRDefault="006F5BFE" w:rsidP="005B4D60">
            <w:pPr>
              <w:spacing w:after="120"/>
            </w:pPr>
          </w:p>
        </w:tc>
        <w:tc>
          <w:tcPr>
            <w:tcW w:w="4876" w:type="dxa"/>
            <w:hideMark/>
          </w:tcPr>
          <w:p w14:paraId="35D31837"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Označba hranilne vrednosti aromatiziranih vinskih proizvodov, ki lahko vključuje samo energijsko vrednost, je navedena na etiketi.</w:t>
            </w:r>
          </w:p>
        </w:tc>
      </w:tr>
      <w:tr w:rsidR="006F5BFE" w:rsidRPr="003B2277" w14:paraId="54AE2535" w14:textId="77777777" w:rsidTr="005B4D60">
        <w:trPr>
          <w:jc w:val="center"/>
        </w:trPr>
        <w:tc>
          <w:tcPr>
            <w:tcW w:w="4876" w:type="dxa"/>
          </w:tcPr>
          <w:p w14:paraId="1584CAAC" w14:textId="77777777" w:rsidR="006F5BFE" w:rsidRPr="003B2277" w:rsidRDefault="006F5BFE" w:rsidP="005B4D60">
            <w:pPr>
              <w:spacing w:after="120"/>
            </w:pPr>
          </w:p>
        </w:tc>
        <w:tc>
          <w:tcPr>
            <w:tcW w:w="4876" w:type="dxa"/>
            <w:hideMark/>
          </w:tcPr>
          <w:p w14:paraId="225FEA59"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Energijska vrednost je:</w:t>
            </w:r>
          </w:p>
        </w:tc>
      </w:tr>
      <w:tr w:rsidR="006F5BFE" w:rsidRPr="003B2277" w14:paraId="44786362" w14:textId="77777777" w:rsidTr="005B4D60">
        <w:trPr>
          <w:jc w:val="center"/>
        </w:trPr>
        <w:tc>
          <w:tcPr>
            <w:tcW w:w="4876" w:type="dxa"/>
          </w:tcPr>
          <w:p w14:paraId="37D64A08" w14:textId="77777777" w:rsidR="006F5BFE" w:rsidRPr="003B2277" w:rsidRDefault="006F5BFE" w:rsidP="005B4D60">
            <w:pPr>
              <w:spacing w:after="120"/>
            </w:pPr>
          </w:p>
        </w:tc>
        <w:tc>
          <w:tcPr>
            <w:tcW w:w="4876" w:type="dxa"/>
            <w:hideMark/>
          </w:tcPr>
          <w:p w14:paraId="32E2DE56" w14:textId="77777777" w:rsidR="006F5BFE" w:rsidRPr="003B2277" w:rsidRDefault="006F5BFE" w:rsidP="005B4D60">
            <w:pPr>
              <w:spacing w:after="120"/>
              <w:rPr>
                <w:szCs w:val="24"/>
                <w:lang w:eastAsia="en-US"/>
              </w:rPr>
            </w:pPr>
            <w:r w:rsidRPr="003B2277">
              <w:rPr>
                <w:rFonts w:eastAsia="Calibri" w:cs="Mangal"/>
                <w:b/>
                <w:i/>
                <w:lang w:eastAsia="en-US"/>
              </w:rPr>
              <w:t>(a) izražena s številkami in besedami ali simboli, zlasti s simbolom (E) za energijo;</w:t>
            </w:r>
          </w:p>
        </w:tc>
      </w:tr>
      <w:tr w:rsidR="006F5BFE" w:rsidRPr="003B2277" w14:paraId="6D6FD3D2" w14:textId="77777777" w:rsidTr="005B4D60">
        <w:trPr>
          <w:jc w:val="center"/>
        </w:trPr>
        <w:tc>
          <w:tcPr>
            <w:tcW w:w="4876" w:type="dxa"/>
          </w:tcPr>
          <w:p w14:paraId="59896DC8" w14:textId="77777777" w:rsidR="006F5BFE" w:rsidRPr="003B2277" w:rsidRDefault="006F5BFE" w:rsidP="005B4D60">
            <w:pPr>
              <w:spacing w:after="120"/>
            </w:pPr>
          </w:p>
        </w:tc>
        <w:tc>
          <w:tcPr>
            <w:tcW w:w="4876" w:type="dxa"/>
            <w:hideMark/>
          </w:tcPr>
          <w:p w14:paraId="084580EE" w14:textId="77777777" w:rsidR="006F5BFE" w:rsidRPr="003B2277" w:rsidRDefault="006F5BFE" w:rsidP="005B4D60">
            <w:pPr>
              <w:spacing w:after="120"/>
              <w:rPr>
                <w:szCs w:val="24"/>
                <w:lang w:eastAsia="en-US"/>
              </w:rPr>
            </w:pPr>
            <w:r w:rsidRPr="003B2277">
              <w:rPr>
                <w:rFonts w:eastAsia="Calibri" w:cs="Mangal"/>
                <w:b/>
                <w:i/>
                <w:lang w:eastAsia="en-US"/>
              </w:rPr>
              <w:t>(b) izračunana z uporabo pretvorbenega faktorja iz Priloge XIV k Uredbi (EU) št. 1169/2011;</w:t>
            </w:r>
          </w:p>
        </w:tc>
      </w:tr>
      <w:tr w:rsidR="006F5BFE" w:rsidRPr="003B2277" w14:paraId="4E54A5DC" w14:textId="77777777" w:rsidTr="005B4D60">
        <w:trPr>
          <w:jc w:val="center"/>
        </w:trPr>
        <w:tc>
          <w:tcPr>
            <w:tcW w:w="4876" w:type="dxa"/>
          </w:tcPr>
          <w:p w14:paraId="761E0351" w14:textId="77777777" w:rsidR="006F5BFE" w:rsidRPr="003B2277" w:rsidRDefault="006F5BFE" w:rsidP="005B4D60">
            <w:pPr>
              <w:spacing w:after="120"/>
            </w:pPr>
          </w:p>
        </w:tc>
        <w:tc>
          <w:tcPr>
            <w:tcW w:w="4876" w:type="dxa"/>
            <w:hideMark/>
          </w:tcPr>
          <w:p w14:paraId="78722725" w14:textId="77777777" w:rsidR="006F5BFE" w:rsidRPr="003B2277" w:rsidRDefault="006F5BFE" w:rsidP="005B4D60">
            <w:pPr>
              <w:spacing w:after="120"/>
              <w:rPr>
                <w:szCs w:val="24"/>
                <w:lang w:eastAsia="en-US"/>
              </w:rPr>
            </w:pPr>
            <w:r w:rsidRPr="003B2277">
              <w:rPr>
                <w:rFonts w:eastAsia="Calibri" w:cs="Mangal"/>
                <w:b/>
                <w:i/>
                <w:lang w:eastAsia="en-US"/>
              </w:rPr>
              <w:t>(c) izražena kot povprečna vrednost v kcal na podlagi:</w:t>
            </w:r>
          </w:p>
        </w:tc>
      </w:tr>
      <w:tr w:rsidR="006F5BFE" w:rsidRPr="003B2277" w14:paraId="5E04F14B" w14:textId="77777777" w:rsidTr="005B4D60">
        <w:trPr>
          <w:jc w:val="center"/>
        </w:trPr>
        <w:tc>
          <w:tcPr>
            <w:tcW w:w="4876" w:type="dxa"/>
          </w:tcPr>
          <w:p w14:paraId="206BC6A9" w14:textId="77777777" w:rsidR="006F5BFE" w:rsidRPr="003B2277" w:rsidRDefault="006F5BFE" w:rsidP="005B4D60">
            <w:pPr>
              <w:spacing w:after="120"/>
            </w:pPr>
          </w:p>
        </w:tc>
        <w:tc>
          <w:tcPr>
            <w:tcW w:w="4876" w:type="dxa"/>
            <w:hideMark/>
          </w:tcPr>
          <w:p w14:paraId="61B0FDC9" w14:textId="49E39214" w:rsidR="006F5BFE" w:rsidRPr="003B2277" w:rsidRDefault="006F5BFE" w:rsidP="000450C5">
            <w:pPr>
              <w:spacing w:after="120"/>
              <w:rPr>
                <w:szCs w:val="24"/>
                <w:lang w:eastAsia="en-US"/>
              </w:rPr>
            </w:pPr>
            <w:r w:rsidRPr="003B2277">
              <w:rPr>
                <w:rFonts w:eastAsia="Calibri" w:cs="Mangal"/>
                <w:b/>
                <w:i/>
                <w:lang w:eastAsia="en-US"/>
              </w:rPr>
              <w:t xml:space="preserve">(i) proizvajalčeve analize aromatiziranega vinskega proizvoda </w:t>
            </w:r>
            <w:r w:rsidR="000450C5" w:rsidRPr="003B2277">
              <w:rPr>
                <w:rFonts w:eastAsia="Calibri" w:cs="Mangal"/>
                <w:b/>
                <w:i/>
                <w:lang w:eastAsia="en-US"/>
              </w:rPr>
              <w:t>ali</w:t>
            </w:r>
          </w:p>
        </w:tc>
      </w:tr>
      <w:tr w:rsidR="006F5BFE" w:rsidRPr="003B2277" w14:paraId="1C760EBF" w14:textId="77777777" w:rsidTr="005B4D60">
        <w:trPr>
          <w:jc w:val="center"/>
        </w:trPr>
        <w:tc>
          <w:tcPr>
            <w:tcW w:w="4876" w:type="dxa"/>
          </w:tcPr>
          <w:p w14:paraId="7EA9ABF3" w14:textId="77777777" w:rsidR="006F5BFE" w:rsidRPr="003B2277" w:rsidRDefault="006F5BFE" w:rsidP="005B4D60">
            <w:pPr>
              <w:spacing w:after="120"/>
            </w:pPr>
          </w:p>
        </w:tc>
        <w:tc>
          <w:tcPr>
            <w:tcW w:w="4876" w:type="dxa"/>
            <w:hideMark/>
          </w:tcPr>
          <w:p w14:paraId="4E368416" w14:textId="77777777" w:rsidR="006F5BFE" w:rsidRPr="003B2277" w:rsidRDefault="006F5BFE" w:rsidP="005B4D60">
            <w:pPr>
              <w:spacing w:after="120"/>
              <w:rPr>
                <w:szCs w:val="24"/>
                <w:lang w:eastAsia="en-US"/>
              </w:rPr>
            </w:pPr>
            <w:r w:rsidRPr="003B2277">
              <w:rPr>
                <w:rFonts w:eastAsia="Calibri" w:cs="Mangal"/>
                <w:b/>
                <w:i/>
                <w:lang w:eastAsia="en-US"/>
              </w:rPr>
              <w:t>(ii) izračuna iz splošno veljavnih in sprejetih podatkov.</w:t>
            </w:r>
          </w:p>
        </w:tc>
      </w:tr>
      <w:tr w:rsidR="006F5BFE" w:rsidRPr="003B2277" w14:paraId="071AC6D4" w14:textId="77777777" w:rsidTr="005B4D60">
        <w:trPr>
          <w:jc w:val="center"/>
        </w:trPr>
        <w:tc>
          <w:tcPr>
            <w:tcW w:w="4876" w:type="dxa"/>
          </w:tcPr>
          <w:p w14:paraId="78206530" w14:textId="77777777" w:rsidR="006F5BFE" w:rsidRPr="003B2277" w:rsidRDefault="006F5BFE" w:rsidP="005B4D60">
            <w:pPr>
              <w:spacing w:after="120"/>
            </w:pPr>
          </w:p>
        </w:tc>
        <w:tc>
          <w:tcPr>
            <w:tcW w:w="4876" w:type="dxa"/>
            <w:hideMark/>
          </w:tcPr>
          <w:p w14:paraId="0DD6DE4C" w14:textId="3A67F251" w:rsidR="006F5BFE" w:rsidRPr="003B2277" w:rsidRDefault="006F5BFE" w:rsidP="005B4D60">
            <w:pPr>
              <w:spacing w:after="120"/>
              <w:rPr>
                <w:szCs w:val="24"/>
                <w:lang w:eastAsia="en-US"/>
              </w:rPr>
            </w:pPr>
            <w:r w:rsidRPr="003B2277">
              <w:rPr>
                <w:rFonts w:eastAsia="Calibri" w:cs="Mangal"/>
                <w:b/>
                <w:i/>
                <w:lang w:eastAsia="en-US"/>
              </w:rPr>
              <w:t>(d) izražena na 100 ml. Poleg tega se lahko izrazi na porabniško enoto, ki jo potrošnik zlahka prepozna, če je uporabljena enota količinsko opredeljena na oznaki in je navedeno število enot v zavitku.“</w:t>
            </w:r>
          </w:p>
        </w:tc>
      </w:tr>
    </w:tbl>
    <w:p w14:paraId="294A75DA" w14:textId="77777777" w:rsidR="006F5BFE" w:rsidRPr="003B2277" w:rsidRDefault="006F5BFE" w:rsidP="006F5BFE">
      <w:pPr>
        <w:rPr>
          <w:lang w:eastAsia="en-US"/>
        </w:rPr>
      </w:pPr>
    </w:p>
    <w:p w14:paraId="289806EF" w14:textId="778347B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206</w:t>
      </w:r>
    </w:p>
    <w:p w14:paraId="6B4ED763" w14:textId="77777777" w:rsidR="006F5BFE" w:rsidRPr="003B2277" w:rsidRDefault="006F5BFE" w:rsidP="006F5BFE"/>
    <w:p w14:paraId="4AA9E5A1" w14:textId="77777777" w:rsidR="006F5BFE" w:rsidRPr="003B2277" w:rsidRDefault="006F5BFE" w:rsidP="006F5BFE">
      <w:pPr>
        <w:keepNext/>
        <w:rPr>
          <w:b/>
          <w:lang w:eastAsia="en-US"/>
        </w:rPr>
      </w:pPr>
      <w:r w:rsidRPr="003B2277">
        <w:rPr>
          <w:rFonts w:eastAsia="Calibri" w:cs="Mangal"/>
          <w:b/>
          <w:lang w:eastAsia="en-US"/>
        </w:rPr>
        <w:t>Predlog uredbe</w:t>
      </w:r>
    </w:p>
    <w:p w14:paraId="72DB2448" w14:textId="77777777" w:rsidR="006F5BFE" w:rsidRPr="003B2277" w:rsidRDefault="006F5BFE" w:rsidP="006F5BFE">
      <w:pPr>
        <w:rPr>
          <w:b/>
          <w:lang w:eastAsia="en-US"/>
        </w:rPr>
      </w:pPr>
      <w:r w:rsidRPr="003B2277">
        <w:rPr>
          <w:rFonts w:eastAsia="Calibri" w:cs="Mangal"/>
          <w:b/>
          <w:lang w:eastAsia="en-US"/>
        </w:rPr>
        <w:t>Člen 3 – točka 4 d (novo)</w:t>
      </w:r>
    </w:p>
    <w:p w14:paraId="5C0BD358" w14:textId="77777777" w:rsidR="006F5BFE" w:rsidRPr="003B2277" w:rsidRDefault="006F5BFE" w:rsidP="006F5BFE">
      <w:pPr>
        <w:keepNext/>
        <w:rPr>
          <w:lang w:eastAsia="en-US"/>
        </w:rPr>
      </w:pPr>
      <w:r w:rsidRPr="003B2277">
        <w:rPr>
          <w:rFonts w:eastAsia="Calibri" w:cs="Mangal"/>
          <w:lang w:eastAsia="en-US"/>
        </w:rPr>
        <w:t>Uredba (EU) št. 251/2014</w:t>
      </w:r>
    </w:p>
    <w:p w14:paraId="4CB7B41B" w14:textId="77777777" w:rsidR="006F5BFE" w:rsidRPr="003B2277" w:rsidRDefault="006F5BFE" w:rsidP="006F5BFE">
      <w:pPr>
        <w:rPr>
          <w:lang w:eastAsia="en-US"/>
        </w:rPr>
      </w:pPr>
      <w:r w:rsidRPr="003B2277">
        <w:rPr>
          <w:rFonts w:eastAsia="Calibri" w:cs="Mangal"/>
          <w:lang w:eastAsia="en-US"/>
        </w:rPr>
        <w:t>Člen 7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9226598" w14:textId="77777777" w:rsidTr="005B4D60">
        <w:trPr>
          <w:jc w:val="center"/>
        </w:trPr>
        <w:tc>
          <w:tcPr>
            <w:tcW w:w="9752" w:type="dxa"/>
            <w:gridSpan w:val="2"/>
          </w:tcPr>
          <w:p w14:paraId="3E85412E" w14:textId="77777777" w:rsidR="006F5BFE" w:rsidRPr="003B2277" w:rsidRDefault="006F5BFE" w:rsidP="005B4D60">
            <w:pPr>
              <w:keepNext/>
            </w:pPr>
          </w:p>
        </w:tc>
      </w:tr>
      <w:tr w:rsidR="006F5BFE" w:rsidRPr="003B2277" w14:paraId="76882886" w14:textId="77777777" w:rsidTr="005B4D60">
        <w:trPr>
          <w:jc w:val="center"/>
        </w:trPr>
        <w:tc>
          <w:tcPr>
            <w:tcW w:w="4876" w:type="dxa"/>
            <w:hideMark/>
          </w:tcPr>
          <w:p w14:paraId="57A03090"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3773F4EE" w14:textId="0262BE3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3B0FD95" w14:textId="77777777" w:rsidTr="005B4D60">
        <w:trPr>
          <w:jc w:val="center"/>
        </w:trPr>
        <w:tc>
          <w:tcPr>
            <w:tcW w:w="4876" w:type="dxa"/>
          </w:tcPr>
          <w:p w14:paraId="60878341" w14:textId="77777777" w:rsidR="006F5BFE" w:rsidRPr="003B2277" w:rsidRDefault="006F5BFE" w:rsidP="005B4D60">
            <w:pPr>
              <w:spacing w:after="120"/>
            </w:pPr>
          </w:p>
        </w:tc>
        <w:tc>
          <w:tcPr>
            <w:tcW w:w="4876" w:type="dxa"/>
            <w:hideMark/>
          </w:tcPr>
          <w:p w14:paraId="49C34814" w14:textId="77777777" w:rsidR="006F5BFE" w:rsidRPr="003B2277" w:rsidRDefault="006F5BFE" w:rsidP="005B4D60">
            <w:pPr>
              <w:spacing w:after="120"/>
              <w:rPr>
                <w:szCs w:val="24"/>
                <w:lang w:eastAsia="en-US"/>
              </w:rPr>
            </w:pPr>
            <w:r w:rsidRPr="003B2277">
              <w:rPr>
                <w:rFonts w:eastAsia="Calibri" w:cs="Mangal"/>
                <w:b/>
                <w:i/>
                <w:lang w:eastAsia="en-US"/>
              </w:rPr>
              <w:t>(4d)</w:t>
            </w:r>
            <w:r w:rsidRPr="003B2277">
              <w:rPr>
                <w:rFonts w:eastAsia="Calibri" w:cs="Mangal"/>
                <w:b/>
                <w:i/>
                <w:lang w:eastAsia="en-US"/>
              </w:rPr>
              <w:tab/>
              <w:t>vstavi se naslednji člen:</w:t>
            </w:r>
          </w:p>
        </w:tc>
      </w:tr>
      <w:tr w:rsidR="006F5BFE" w:rsidRPr="003B2277" w14:paraId="23BD9F99" w14:textId="77777777" w:rsidTr="005B4D60">
        <w:trPr>
          <w:jc w:val="center"/>
        </w:trPr>
        <w:tc>
          <w:tcPr>
            <w:tcW w:w="4876" w:type="dxa"/>
          </w:tcPr>
          <w:p w14:paraId="17FD2090" w14:textId="77777777" w:rsidR="006F5BFE" w:rsidRPr="003B2277" w:rsidRDefault="006F5BFE" w:rsidP="005B4D60">
            <w:pPr>
              <w:spacing w:after="120"/>
            </w:pPr>
          </w:p>
        </w:tc>
        <w:tc>
          <w:tcPr>
            <w:tcW w:w="4876" w:type="dxa"/>
            <w:hideMark/>
          </w:tcPr>
          <w:p w14:paraId="64D6E936" w14:textId="77777777" w:rsidR="006F5BFE" w:rsidRPr="003B2277" w:rsidRDefault="006F5BFE" w:rsidP="005B4D60">
            <w:pPr>
              <w:spacing w:after="120"/>
              <w:rPr>
                <w:szCs w:val="24"/>
                <w:lang w:eastAsia="en-US"/>
              </w:rPr>
            </w:pPr>
            <w:r w:rsidRPr="003B2277">
              <w:rPr>
                <w:rFonts w:eastAsia="Calibri" w:cs="Mangal"/>
                <w:b/>
                <w:i/>
                <w:lang w:eastAsia="en-US"/>
              </w:rPr>
              <w:t>„Člen 7b</w:t>
            </w:r>
          </w:p>
        </w:tc>
      </w:tr>
      <w:tr w:rsidR="006F5BFE" w:rsidRPr="003B2277" w14:paraId="3739CCA0" w14:textId="77777777" w:rsidTr="005B4D60">
        <w:trPr>
          <w:jc w:val="center"/>
        </w:trPr>
        <w:tc>
          <w:tcPr>
            <w:tcW w:w="4876" w:type="dxa"/>
          </w:tcPr>
          <w:p w14:paraId="3CA08866" w14:textId="77777777" w:rsidR="006F5BFE" w:rsidRPr="003B2277" w:rsidRDefault="006F5BFE" w:rsidP="005B4D60">
            <w:pPr>
              <w:spacing w:after="120"/>
            </w:pPr>
          </w:p>
        </w:tc>
        <w:tc>
          <w:tcPr>
            <w:tcW w:w="4876" w:type="dxa"/>
            <w:hideMark/>
          </w:tcPr>
          <w:p w14:paraId="759D8665" w14:textId="77777777" w:rsidR="006F5BFE" w:rsidRPr="003B2277" w:rsidRDefault="006F5BFE" w:rsidP="005B4D60">
            <w:pPr>
              <w:spacing w:after="120"/>
              <w:rPr>
                <w:szCs w:val="24"/>
                <w:lang w:eastAsia="en-US"/>
              </w:rPr>
            </w:pPr>
            <w:r w:rsidRPr="003B2277">
              <w:rPr>
                <w:rFonts w:eastAsia="Calibri" w:cs="Mangal"/>
                <w:b/>
                <w:i/>
                <w:lang w:eastAsia="en-US"/>
              </w:rPr>
              <w:t>Seznam sestavin</w:t>
            </w:r>
          </w:p>
        </w:tc>
      </w:tr>
      <w:tr w:rsidR="006F5BFE" w:rsidRPr="003B2277" w14:paraId="1ECF304C" w14:textId="77777777" w:rsidTr="005B4D60">
        <w:trPr>
          <w:jc w:val="center"/>
        </w:trPr>
        <w:tc>
          <w:tcPr>
            <w:tcW w:w="4876" w:type="dxa"/>
          </w:tcPr>
          <w:p w14:paraId="3F6BDA63" w14:textId="77777777" w:rsidR="006F5BFE" w:rsidRPr="003B2277" w:rsidRDefault="006F5BFE" w:rsidP="005B4D60">
            <w:pPr>
              <w:spacing w:after="120"/>
            </w:pPr>
          </w:p>
        </w:tc>
        <w:tc>
          <w:tcPr>
            <w:tcW w:w="4876" w:type="dxa"/>
            <w:hideMark/>
          </w:tcPr>
          <w:p w14:paraId="27A5CDA6"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Seznam sestavin aromatiziranih vinskih proizvodov je naveden na etiketi ali na druge načine kot na etiketi, nalepljeni na steklenico ali drugo vrsto embalaže, če je na oznaki navedena jasna in neposredna povezava. Seznam ne sme biti naveden skupaj z drugimi informacijami, namenjenimi prodaji ali trženju.</w:t>
            </w:r>
          </w:p>
        </w:tc>
      </w:tr>
      <w:tr w:rsidR="006F5BFE" w:rsidRPr="003B2277" w14:paraId="36593B9E" w14:textId="77777777" w:rsidTr="005B4D60">
        <w:trPr>
          <w:jc w:val="center"/>
        </w:trPr>
        <w:tc>
          <w:tcPr>
            <w:tcW w:w="4876" w:type="dxa"/>
          </w:tcPr>
          <w:p w14:paraId="0D7CA908" w14:textId="77777777" w:rsidR="006F5BFE" w:rsidRPr="003B2277" w:rsidRDefault="006F5BFE" w:rsidP="005B4D60">
            <w:pPr>
              <w:spacing w:after="120"/>
            </w:pPr>
          </w:p>
        </w:tc>
        <w:tc>
          <w:tcPr>
            <w:tcW w:w="4876" w:type="dxa"/>
            <w:hideMark/>
          </w:tcPr>
          <w:p w14:paraId="026D4E15" w14:textId="0BEFDE39"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Komisija je pooblaščena za sprejetje delegiranih aktov v skladu s členom 33, s katerimi se natančneje določijo pravila za navedbo seznama sestavin aromatiziranih vinskih proizvodov. Komisija delegirane akte sprejme najkasneje 18 mesecev po [datum začetka veljavnosti te uredbe].</w:t>
            </w:r>
            <w:r w:rsidR="00465DEA">
              <w:rPr>
                <w:rFonts w:eastAsia="Calibri" w:cs="Mangal"/>
                <w:b/>
                <w:i/>
                <w:lang w:eastAsia="en-US"/>
              </w:rPr>
              <w:t>“</w:t>
            </w:r>
          </w:p>
        </w:tc>
      </w:tr>
    </w:tbl>
    <w:p w14:paraId="1850FAE3" w14:textId="77777777" w:rsidR="006F5BFE" w:rsidRPr="003B2277" w:rsidRDefault="006F5BFE" w:rsidP="006F5BFE">
      <w:pPr>
        <w:rPr>
          <w:lang w:eastAsia="en-US"/>
        </w:rPr>
      </w:pPr>
    </w:p>
    <w:p w14:paraId="75B5A2D0" w14:textId="2128780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207</w:t>
      </w:r>
    </w:p>
    <w:p w14:paraId="54340949" w14:textId="77777777" w:rsidR="006F5BFE" w:rsidRPr="003B2277" w:rsidRDefault="006F5BFE" w:rsidP="006F5BFE"/>
    <w:p w14:paraId="6B551BF2" w14:textId="77777777" w:rsidR="006F5BFE" w:rsidRPr="003B2277" w:rsidRDefault="006F5BFE" w:rsidP="006F5BFE">
      <w:pPr>
        <w:keepNext/>
        <w:rPr>
          <w:b/>
          <w:lang w:eastAsia="en-US"/>
        </w:rPr>
      </w:pPr>
      <w:r w:rsidRPr="003B2277">
        <w:rPr>
          <w:rFonts w:eastAsia="Calibri" w:cs="Mangal"/>
          <w:b/>
          <w:lang w:eastAsia="en-US"/>
        </w:rPr>
        <w:t>Predlog uredbe</w:t>
      </w:r>
    </w:p>
    <w:p w14:paraId="3B1DF85E" w14:textId="77777777" w:rsidR="006F5BFE" w:rsidRPr="003B2277" w:rsidRDefault="006F5BFE" w:rsidP="006F5BFE">
      <w:pPr>
        <w:rPr>
          <w:b/>
          <w:lang w:eastAsia="en-US"/>
        </w:rPr>
      </w:pPr>
      <w:r w:rsidRPr="003B2277">
        <w:rPr>
          <w:rFonts w:eastAsia="Calibri" w:cs="Mangal"/>
          <w:b/>
          <w:lang w:eastAsia="en-US"/>
        </w:rPr>
        <w:t>Člen 3 – točka 7 a (novo)</w:t>
      </w:r>
    </w:p>
    <w:p w14:paraId="07CE05E5" w14:textId="77777777" w:rsidR="006F5BFE" w:rsidRPr="003B2277" w:rsidRDefault="006F5BFE" w:rsidP="006F5BFE">
      <w:pPr>
        <w:keepNext/>
        <w:rPr>
          <w:lang w:eastAsia="en-US"/>
        </w:rPr>
      </w:pPr>
      <w:r w:rsidRPr="003B2277">
        <w:rPr>
          <w:rFonts w:eastAsia="Calibri" w:cs="Mangal"/>
          <w:lang w:eastAsia="en-US"/>
        </w:rPr>
        <w:t>Uredba (EU) št. 251/2014</w:t>
      </w:r>
    </w:p>
    <w:p w14:paraId="05C4CA35" w14:textId="77777777" w:rsidR="006F5BFE" w:rsidRPr="003B2277" w:rsidRDefault="006F5BFE" w:rsidP="006F5BFE">
      <w:pPr>
        <w:rPr>
          <w:lang w:eastAsia="en-US"/>
        </w:rPr>
      </w:pPr>
      <w:r w:rsidRPr="003B2277">
        <w:rPr>
          <w:rFonts w:eastAsia="Calibri" w:cs="Mangal"/>
          <w:lang w:eastAsia="en-US"/>
        </w:rPr>
        <w:t>Priloga I – odstavek 1 – del a – točka iiia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89F45DE" w14:textId="77777777" w:rsidTr="005B4D60">
        <w:trPr>
          <w:jc w:val="center"/>
        </w:trPr>
        <w:tc>
          <w:tcPr>
            <w:tcW w:w="9752" w:type="dxa"/>
            <w:gridSpan w:val="2"/>
          </w:tcPr>
          <w:p w14:paraId="698E0694" w14:textId="77777777" w:rsidR="006F5BFE" w:rsidRPr="003B2277" w:rsidRDefault="006F5BFE" w:rsidP="005B4D60">
            <w:pPr>
              <w:keepNext/>
            </w:pPr>
          </w:p>
        </w:tc>
      </w:tr>
      <w:tr w:rsidR="006F5BFE" w:rsidRPr="003B2277" w14:paraId="219B5BA1" w14:textId="77777777" w:rsidTr="005B4D60">
        <w:trPr>
          <w:jc w:val="center"/>
        </w:trPr>
        <w:tc>
          <w:tcPr>
            <w:tcW w:w="4876" w:type="dxa"/>
            <w:hideMark/>
          </w:tcPr>
          <w:p w14:paraId="614810EA"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4BDD4D9" w14:textId="79301C1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10B15E7" w14:textId="77777777" w:rsidTr="005B4D60">
        <w:trPr>
          <w:jc w:val="center"/>
        </w:trPr>
        <w:tc>
          <w:tcPr>
            <w:tcW w:w="4876" w:type="dxa"/>
          </w:tcPr>
          <w:p w14:paraId="6016FE50" w14:textId="77777777" w:rsidR="006F5BFE" w:rsidRPr="003B2277" w:rsidRDefault="006F5BFE" w:rsidP="005B4D60">
            <w:pPr>
              <w:spacing w:after="120"/>
            </w:pPr>
          </w:p>
        </w:tc>
        <w:tc>
          <w:tcPr>
            <w:tcW w:w="4876" w:type="dxa"/>
            <w:hideMark/>
          </w:tcPr>
          <w:p w14:paraId="6D272032" w14:textId="77777777" w:rsidR="006F5BFE" w:rsidRPr="003B2277" w:rsidRDefault="006F5BFE" w:rsidP="005B4D60">
            <w:pPr>
              <w:spacing w:after="120"/>
              <w:rPr>
                <w:szCs w:val="24"/>
                <w:lang w:eastAsia="en-US"/>
              </w:rPr>
            </w:pPr>
            <w:r w:rsidRPr="003B2277">
              <w:rPr>
                <w:rFonts w:eastAsia="Calibri" w:cs="Mangal"/>
                <w:b/>
                <w:i/>
                <w:lang w:eastAsia="en-US"/>
              </w:rPr>
              <w:t>(7a)</w:t>
            </w:r>
            <w:r w:rsidRPr="003B2277">
              <w:rPr>
                <w:rFonts w:eastAsia="Calibri" w:cs="Mangal"/>
                <w:b/>
                <w:i/>
                <w:lang w:eastAsia="en-US"/>
              </w:rPr>
              <w:tab/>
              <w:t>v prvem odstavku dela (a) Priloge I se doda naslednja točka:</w:t>
            </w:r>
          </w:p>
        </w:tc>
      </w:tr>
      <w:tr w:rsidR="006F5BFE" w:rsidRPr="003B2277" w14:paraId="3275B075" w14:textId="77777777" w:rsidTr="005B4D60">
        <w:trPr>
          <w:jc w:val="center"/>
        </w:trPr>
        <w:tc>
          <w:tcPr>
            <w:tcW w:w="4876" w:type="dxa"/>
          </w:tcPr>
          <w:p w14:paraId="7153FC95" w14:textId="77777777" w:rsidR="006F5BFE" w:rsidRPr="003B2277" w:rsidRDefault="006F5BFE" w:rsidP="005B4D60">
            <w:pPr>
              <w:spacing w:after="120"/>
            </w:pPr>
          </w:p>
        </w:tc>
        <w:tc>
          <w:tcPr>
            <w:tcW w:w="4876" w:type="dxa"/>
            <w:hideMark/>
          </w:tcPr>
          <w:p w14:paraId="3E0DCCC6" w14:textId="77777777" w:rsidR="006F5BFE" w:rsidRPr="003B2277" w:rsidRDefault="006F5BFE" w:rsidP="005B4D60">
            <w:pPr>
              <w:spacing w:after="120"/>
              <w:rPr>
                <w:szCs w:val="24"/>
                <w:lang w:eastAsia="en-US"/>
              </w:rPr>
            </w:pPr>
            <w:r w:rsidRPr="003B2277">
              <w:rPr>
                <w:rFonts w:eastAsia="Calibri" w:cs="Mangal"/>
                <w:b/>
                <w:i/>
                <w:lang w:eastAsia="en-US"/>
              </w:rPr>
              <w:t>„(iiia) žgane pijače (največ 1 % skupnega volumna).“</w:t>
            </w:r>
          </w:p>
        </w:tc>
      </w:tr>
    </w:tbl>
    <w:p w14:paraId="67FF3AE3" w14:textId="77777777" w:rsidR="006F5BFE" w:rsidRPr="003B2277" w:rsidRDefault="006F5BFE" w:rsidP="006F5BFE">
      <w:pPr>
        <w:rPr>
          <w:lang w:eastAsia="en-US"/>
        </w:rPr>
      </w:pPr>
    </w:p>
    <w:p w14:paraId="4583141F" w14:textId="45B38D2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208</w:t>
      </w:r>
    </w:p>
    <w:p w14:paraId="50A7B430" w14:textId="77777777" w:rsidR="006F5BFE" w:rsidRPr="003B2277" w:rsidRDefault="006F5BFE" w:rsidP="006F5BFE"/>
    <w:p w14:paraId="4CB887DA" w14:textId="77777777" w:rsidR="006F5BFE" w:rsidRPr="003B2277" w:rsidRDefault="006F5BFE" w:rsidP="006F5BFE">
      <w:pPr>
        <w:keepNext/>
        <w:rPr>
          <w:b/>
          <w:lang w:eastAsia="en-US"/>
        </w:rPr>
      </w:pPr>
      <w:r w:rsidRPr="003B2277">
        <w:rPr>
          <w:rFonts w:eastAsia="Calibri" w:cs="Mangal"/>
          <w:b/>
          <w:lang w:eastAsia="en-US"/>
        </w:rPr>
        <w:t>Predlog uredbe</w:t>
      </w:r>
    </w:p>
    <w:p w14:paraId="5E409E0B" w14:textId="77777777" w:rsidR="006F5BFE" w:rsidRPr="003B2277" w:rsidRDefault="006F5BFE" w:rsidP="006F5BFE">
      <w:pPr>
        <w:rPr>
          <w:b/>
          <w:lang w:eastAsia="en-US"/>
        </w:rPr>
      </w:pPr>
      <w:r w:rsidRPr="003B2277">
        <w:rPr>
          <w:rFonts w:eastAsia="Calibri" w:cs="Mangal"/>
          <w:b/>
          <w:lang w:eastAsia="en-US"/>
        </w:rPr>
        <w:t>Člen 3 – točka 7 b (novo)</w:t>
      </w:r>
    </w:p>
    <w:p w14:paraId="6FFC02C1" w14:textId="77777777" w:rsidR="006F5BFE" w:rsidRPr="003B2277" w:rsidRDefault="006F5BFE" w:rsidP="006F5BFE">
      <w:pPr>
        <w:keepNext/>
        <w:rPr>
          <w:lang w:eastAsia="en-US"/>
        </w:rPr>
      </w:pPr>
      <w:r w:rsidRPr="003B2277">
        <w:rPr>
          <w:rFonts w:eastAsia="Calibri" w:cs="Mangal"/>
          <w:lang w:eastAsia="en-US"/>
        </w:rPr>
        <w:t>Uredba (EU) št. 251/2014</w:t>
      </w:r>
    </w:p>
    <w:p w14:paraId="3202A27F" w14:textId="77777777" w:rsidR="006F5BFE" w:rsidRPr="003B2277" w:rsidRDefault="006F5BFE" w:rsidP="006F5BFE">
      <w:pPr>
        <w:rPr>
          <w:lang w:eastAsia="en-US"/>
        </w:rPr>
      </w:pPr>
      <w:r w:rsidRPr="003B2277">
        <w:rPr>
          <w:rFonts w:eastAsia="Calibri" w:cs="Mangal"/>
          <w:lang w:eastAsia="en-US"/>
        </w:rPr>
        <w:t>Priloga I – odstavek 2 – točka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21AD70C" w14:textId="77777777" w:rsidTr="005B4D60">
        <w:trPr>
          <w:jc w:val="center"/>
        </w:trPr>
        <w:tc>
          <w:tcPr>
            <w:tcW w:w="9752" w:type="dxa"/>
            <w:gridSpan w:val="2"/>
          </w:tcPr>
          <w:p w14:paraId="2A20A9B2" w14:textId="77777777" w:rsidR="006F5BFE" w:rsidRPr="003B2277" w:rsidRDefault="006F5BFE" w:rsidP="005B4D60">
            <w:pPr>
              <w:keepNext/>
            </w:pPr>
          </w:p>
        </w:tc>
      </w:tr>
      <w:tr w:rsidR="006F5BFE" w:rsidRPr="003B2277" w14:paraId="4BA215C4" w14:textId="77777777" w:rsidTr="005B4D60">
        <w:trPr>
          <w:jc w:val="center"/>
        </w:trPr>
        <w:tc>
          <w:tcPr>
            <w:tcW w:w="4876" w:type="dxa"/>
            <w:hideMark/>
          </w:tcPr>
          <w:p w14:paraId="1AB8C8D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3DFDC602" w14:textId="143A09ED"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4B0EDAD" w14:textId="77777777" w:rsidTr="005B4D60">
        <w:trPr>
          <w:jc w:val="center"/>
        </w:trPr>
        <w:tc>
          <w:tcPr>
            <w:tcW w:w="4876" w:type="dxa"/>
          </w:tcPr>
          <w:p w14:paraId="2429CE48" w14:textId="77777777" w:rsidR="006F5BFE" w:rsidRPr="003B2277" w:rsidRDefault="006F5BFE" w:rsidP="005B4D60">
            <w:pPr>
              <w:spacing w:after="120"/>
            </w:pPr>
          </w:p>
        </w:tc>
        <w:tc>
          <w:tcPr>
            <w:tcW w:w="4876" w:type="dxa"/>
            <w:hideMark/>
          </w:tcPr>
          <w:p w14:paraId="72DB5DF8" w14:textId="77777777" w:rsidR="006F5BFE" w:rsidRPr="003B2277" w:rsidRDefault="006F5BFE" w:rsidP="005B4D60">
            <w:pPr>
              <w:spacing w:after="120"/>
              <w:rPr>
                <w:szCs w:val="24"/>
                <w:lang w:eastAsia="en-US"/>
              </w:rPr>
            </w:pPr>
            <w:r w:rsidRPr="003B2277">
              <w:rPr>
                <w:rFonts w:eastAsia="Calibri" w:cs="Mangal"/>
                <w:b/>
                <w:i/>
                <w:lang w:eastAsia="en-US"/>
              </w:rPr>
              <w:t>(7b)</w:t>
            </w:r>
            <w:r w:rsidRPr="003B2277">
              <w:rPr>
                <w:rFonts w:eastAsia="Calibri" w:cs="Mangal"/>
                <w:b/>
                <w:i/>
                <w:lang w:eastAsia="en-US"/>
              </w:rPr>
              <w:tab/>
              <w:t>v odstavku 2 Priloge I se točka (f) nadomesti z naslednjim:</w:t>
            </w:r>
          </w:p>
        </w:tc>
      </w:tr>
      <w:tr w:rsidR="006F5BFE" w:rsidRPr="003B2277" w14:paraId="2BFDDD07" w14:textId="77777777" w:rsidTr="005B4D60">
        <w:trPr>
          <w:jc w:val="center"/>
        </w:trPr>
        <w:tc>
          <w:tcPr>
            <w:tcW w:w="4876" w:type="dxa"/>
            <w:hideMark/>
          </w:tcPr>
          <w:p w14:paraId="729AE5FA" w14:textId="77777777" w:rsidR="006F5BFE" w:rsidRPr="003B2277" w:rsidRDefault="006F5BFE" w:rsidP="005B4D60">
            <w:pPr>
              <w:spacing w:after="120"/>
              <w:rPr>
                <w:lang w:eastAsia="en-US"/>
              </w:rPr>
            </w:pPr>
            <w:r w:rsidRPr="003B2277">
              <w:rPr>
                <w:rFonts w:eastAsia="Calibri" w:cs="Mangal"/>
                <w:lang w:eastAsia="en-US"/>
              </w:rPr>
              <w:t xml:space="preserve">(f) </w:t>
            </w:r>
            <w:r w:rsidRPr="003B2277">
              <w:rPr>
                <w:rFonts w:eastAsia="Calibri" w:cs="Mangal"/>
                <w:b/>
                <w:i/>
                <w:lang w:eastAsia="en-US"/>
              </w:rPr>
              <w:t xml:space="preserve">drugi naravni ogljikovi hidrati, </w:t>
            </w:r>
            <w:r w:rsidRPr="003B2277">
              <w:rPr>
                <w:rFonts w:eastAsia="Calibri" w:cs="Mangal"/>
                <w:lang w:eastAsia="en-US"/>
              </w:rPr>
              <w:t>ki imajo podoben učinek kot navedeni proizvodi</w:t>
            </w:r>
            <w:r w:rsidRPr="003B2277">
              <w:rPr>
                <w:rFonts w:eastAsia="Calibri" w:cs="Mangal"/>
                <w:b/>
                <w:i/>
                <w:lang w:eastAsia="en-US"/>
              </w:rPr>
              <w:t>.</w:t>
            </w:r>
          </w:p>
        </w:tc>
        <w:tc>
          <w:tcPr>
            <w:tcW w:w="4876" w:type="dxa"/>
            <w:hideMark/>
          </w:tcPr>
          <w:p w14:paraId="3B75A9BF"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(f) </w:t>
            </w:r>
            <w:r w:rsidRPr="003B2277">
              <w:rPr>
                <w:rFonts w:eastAsia="Calibri" w:cs="Mangal"/>
                <w:b/>
                <w:i/>
                <w:lang w:eastAsia="en-US"/>
              </w:rPr>
              <w:t>katerekoli druge naravne snovi,</w:t>
            </w:r>
            <w:r w:rsidRPr="003B2277">
              <w:rPr>
                <w:rFonts w:eastAsia="Calibri" w:cs="Mangal"/>
                <w:lang w:eastAsia="en-US"/>
              </w:rPr>
              <w:t xml:space="preserve"> ki imajo podoben učinek kot navedeni proizvodi</w:t>
            </w:r>
            <w:r w:rsidRPr="003B2277">
              <w:rPr>
                <w:rFonts w:eastAsia="Calibri" w:cs="Mangal"/>
                <w:b/>
                <w:i/>
                <w:lang w:eastAsia="en-US"/>
              </w:rPr>
              <w:t>,“</w:t>
            </w:r>
          </w:p>
        </w:tc>
      </w:tr>
    </w:tbl>
    <w:p w14:paraId="45152AD0" w14:textId="77777777" w:rsidR="006F5BFE" w:rsidRPr="003B2277" w:rsidRDefault="006F5BFE" w:rsidP="006F5BFE">
      <w:pPr>
        <w:spacing w:before="240"/>
        <w:jc w:val="center"/>
        <w:rPr>
          <w:i/>
          <w:lang w:eastAsia="en-US"/>
        </w:rPr>
      </w:pPr>
    </w:p>
    <w:p w14:paraId="58183C29" w14:textId="77777777" w:rsidR="006F5BFE" w:rsidRPr="003B2277" w:rsidRDefault="006F5BFE" w:rsidP="006F5BFE">
      <w:pPr>
        <w:rPr>
          <w:lang w:eastAsia="en-US"/>
        </w:rPr>
      </w:pPr>
    </w:p>
    <w:p w14:paraId="34C8DF7D" w14:textId="119B81E5"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209</w:t>
      </w:r>
    </w:p>
    <w:p w14:paraId="19329C26" w14:textId="77777777" w:rsidR="006F5BFE" w:rsidRPr="003B2277" w:rsidRDefault="006F5BFE" w:rsidP="006F5BFE"/>
    <w:p w14:paraId="459D1A32" w14:textId="77777777" w:rsidR="006F5BFE" w:rsidRPr="003B2277" w:rsidRDefault="006F5BFE" w:rsidP="006F5BFE">
      <w:pPr>
        <w:keepNext/>
        <w:rPr>
          <w:b/>
          <w:lang w:eastAsia="en-US"/>
        </w:rPr>
      </w:pPr>
      <w:r w:rsidRPr="003B2277">
        <w:rPr>
          <w:rFonts w:eastAsia="Calibri" w:cs="Mangal"/>
          <w:b/>
          <w:lang w:eastAsia="en-US"/>
        </w:rPr>
        <w:t>Predlog uredbe</w:t>
      </w:r>
    </w:p>
    <w:p w14:paraId="3702D970" w14:textId="77777777" w:rsidR="006F5BFE" w:rsidRPr="003B2277" w:rsidRDefault="006F5BFE" w:rsidP="006F5BFE">
      <w:pPr>
        <w:rPr>
          <w:b/>
          <w:lang w:eastAsia="en-US"/>
        </w:rPr>
      </w:pPr>
      <w:r w:rsidRPr="003B2277">
        <w:rPr>
          <w:rFonts w:eastAsia="Calibri" w:cs="Mangal"/>
          <w:b/>
          <w:lang w:eastAsia="en-US"/>
        </w:rPr>
        <w:t>Člen 3 – točka 7 c (novo)</w:t>
      </w:r>
    </w:p>
    <w:p w14:paraId="035C7F66" w14:textId="77777777" w:rsidR="006F5BFE" w:rsidRPr="003B2277" w:rsidRDefault="006F5BFE" w:rsidP="006F5BFE">
      <w:pPr>
        <w:keepNext/>
        <w:rPr>
          <w:lang w:eastAsia="en-US"/>
        </w:rPr>
      </w:pPr>
      <w:r w:rsidRPr="003B2277">
        <w:rPr>
          <w:rFonts w:eastAsia="Calibri" w:cs="Mangal"/>
          <w:lang w:eastAsia="en-US"/>
        </w:rPr>
        <w:t>Uredba (EU) št. 251/2014</w:t>
      </w:r>
    </w:p>
    <w:p w14:paraId="0E901A24" w14:textId="77777777" w:rsidR="006F5BFE" w:rsidRPr="003B2277" w:rsidRDefault="006F5BFE" w:rsidP="006F5BFE">
      <w:pPr>
        <w:rPr>
          <w:lang w:eastAsia="en-US"/>
        </w:rPr>
      </w:pPr>
      <w:r w:rsidRPr="003B2277">
        <w:rPr>
          <w:rFonts w:eastAsia="Calibri" w:cs="Mangal"/>
          <w:lang w:eastAsia="en-US"/>
        </w:rPr>
        <w:t>Priloga II – del A – odstavek 3 – alinea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6EEEE87" w14:textId="77777777" w:rsidTr="005B4D60">
        <w:trPr>
          <w:jc w:val="center"/>
        </w:trPr>
        <w:tc>
          <w:tcPr>
            <w:tcW w:w="9752" w:type="dxa"/>
            <w:gridSpan w:val="2"/>
          </w:tcPr>
          <w:p w14:paraId="49477F64" w14:textId="77777777" w:rsidR="006F5BFE" w:rsidRPr="003B2277" w:rsidRDefault="006F5BFE" w:rsidP="005B4D60">
            <w:pPr>
              <w:keepNext/>
            </w:pPr>
          </w:p>
        </w:tc>
      </w:tr>
      <w:tr w:rsidR="006F5BFE" w:rsidRPr="003B2277" w14:paraId="499E34A6" w14:textId="77777777" w:rsidTr="005B4D60">
        <w:trPr>
          <w:jc w:val="center"/>
        </w:trPr>
        <w:tc>
          <w:tcPr>
            <w:tcW w:w="4876" w:type="dxa"/>
            <w:hideMark/>
          </w:tcPr>
          <w:p w14:paraId="27418AA9"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1871322A" w14:textId="15D2FBE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4570B783" w14:textId="77777777" w:rsidTr="005B4D60">
        <w:trPr>
          <w:jc w:val="center"/>
        </w:trPr>
        <w:tc>
          <w:tcPr>
            <w:tcW w:w="4876" w:type="dxa"/>
          </w:tcPr>
          <w:p w14:paraId="55569168" w14:textId="77777777" w:rsidR="006F5BFE" w:rsidRPr="003B2277" w:rsidRDefault="006F5BFE" w:rsidP="005B4D60">
            <w:pPr>
              <w:spacing w:after="120"/>
            </w:pPr>
          </w:p>
        </w:tc>
        <w:tc>
          <w:tcPr>
            <w:tcW w:w="4876" w:type="dxa"/>
            <w:hideMark/>
          </w:tcPr>
          <w:p w14:paraId="75151919" w14:textId="77777777" w:rsidR="006F5BFE" w:rsidRPr="003B2277" w:rsidRDefault="006F5BFE" w:rsidP="005B4D60">
            <w:pPr>
              <w:spacing w:after="120"/>
              <w:rPr>
                <w:szCs w:val="24"/>
                <w:lang w:eastAsia="en-US"/>
              </w:rPr>
            </w:pPr>
            <w:r w:rsidRPr="003B2277">
              <w:rPr>
                <w:rFonts w:eastAsia="Calibri" w:cs="Mangal"/>
                <w:b/>
                <w:i/>
                <w:lang w:eastAsia="en-US"/>
              </w:rPr>
              <w:t>(7c)</w:t>
            </w:r>
            <w:r w:rsidRPr="003B2277">
              <w:rPr>
                <w:rFonts w:eastAsia="Calibri" w:cs="Mangal"/>
                <w:b/>
                <w:i/>
                <w:lang w:eastAsia="en-US"/>
              </w:rPr>
              <w:tab/>
              <w:t>V delu A Priloge II se prva alinea odstavka 3 nadomesti z naslednjim:</w:t>
            </w:r>
          </w:p>
        </w:tc>
      </w:tr>
      <w:tr w:rsidR="006F5BFE" w:rsidRPr="003B2277" w14:paraId="3733850E" w14:textId="77777777" w:rsidTr="005B4D60">
        <w:trPr>
          <w:jc w:val="center"/>
        </w:trPr>
        <w:tc>
          <w:tcPr>
            <w:tcW w:w="4876" w:type="dxa"/>
            <w:hideMark/>
          </w:tcPr>
          <w:p w14:paraId="103CF7EE" w14:textId="77777777" w:rsidR="006F5BFE" w:rsidRPr="003B2277" w:rsidRDefault="006F5BFE" w:rsidP="005B4D60">
            <w:pPr>
              <w:spacing w:after="120"/>
              <w:rPr>
                <w:lang w:eastAsia="en-US"/>
              </w:rPr>
            </w:pPr>
            <w:r w:rsidRPr="003B2277">
              <w:rPr>
                <w:rFonts w:eastAsia="Calibri" w:cs="Mangal"/>
                <w:lang w:eastAsia="en-US"/>
              </w:rPr>
              <w:t>ki mu je dodan alkohol in</w:t>
            </w:r>
          </w:p>
        </w:tc>
        <w:tc>
          <w:tcPr>
            <w:tcW w:w="4876" w:type="dxa"/>
            <w:hideMark/>
          </w:tcPr>
          <w:p w14:paraId="0E00290D" w14:textId="77777777"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ki mu je </w:t>
            </w:r>
            <w:r w:rsidRPr="003B2277">
              <w:rPr>
                <w:rFonts w:eastAsia="Calibri" w:cs="Mangal"/>
                <w:b/>
                <w:i/>
                <w:lang w:eastAsia="en-US"/>
              </w:rPr>
              <w:t xml:space="preserve">lahko </w:t>
            </w:r>
            <w:r w:rsidRPr="003B2277">
              <w:rPr>
                <w:rFonts w:eastAsia="Calibri" w:cs="Mangal"/>
                <w:lang w:eastAsia="en-US"/>
              </w:rPr>
              <w:t>dodan alkohol in</w:t>
            </w:r>
            <w:r w:rsidRPr="003B2277">
              <w:rPr>
                <w:rFonts w:eastAsia="Calibri" w:cs="Mangal"/>
                <w:b/>
                <w:i/>
                <w:lang w:eastAsia="en-US"/>
              </w:rPr>
              <w:t>“</w:t>
            </w:r>
          </w:p>
        </w:tc>
      </w:tr>
    </w:tbl>
    <w:p w14:paraId="429093E2" w14:textId="77777777" w:rsidR="006F5BFE" w:rsidRPr="003B2277" w:rsidRDefault="006F5BFE" w:rsidP="006F5BFE">
      <w:pPr>
        <w:rPr>
          <w:lang w:eastAsia="en-US"/>
        </w:rPr>
      </w:pPr>
    </w:p>
    <w:p w14:paraId="3F861AF8" w14:textId="5A16418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210</w:t>
      </w:r>
    </w:p>
    <w:p w14:paraId="16C57C14" w14:textId="77777777" w:rsidR="006F5BFE" w:rsidRPr="003B2277" w:rsidRDefault="006F5BFE" w:rsidP="006F5BFE"/>
    <w:p w14:paraId="3135D8E4" w14:textId="77777777" w:rsidR="006F5BFE" w:rsidRPr="003B2277" w:rsidRDefault="006F5BFE" w:rsidP="006F5BFE">
      <w:pPr>
        <w:keepNext/>
        <w:rPr>
          <w:b/>
          <w:lang w:eastAsia="en-US"/>
        </w:rPr>
      </w:pPr>
      <w:r w:rsidRPr="003B2277">
        <w:rPr>
          <w:rFonts w:eastAsia="Calibri" w:cs="Mangal"/>
          <w:b/>
          <w:lang w:eastAsia="en-US"/>
        </w:rPr>
        <w:t>Predlog uredbe</w:t>
      </w:r>
    </w:p>
    <w:p w14:paraId="79CE838F" w14:textId="77777777" w:rsidR="006F5BFE" w:rsidRPr="003B2277" w:rsidRDefault="006F5BFE" w:rsidP="006F5BFE">
      <w:pPr>
        <w:rPr>
          <w:b/>
          <w:lang w:eastAsia="en-US"/>
        </w:rPr>
      </w:pPr>
      <w:r w:rsidRPr="003B2277">
        <w:rPr>
          <w:rFonts w:eastAsia="Calibri" w:cs="Mangal"/>
          <w:b/>
          <w:lang w:eastAsia="en-US"/>
        </w:rPr>
        <w:t>Člen 3 – točka 7 d (novo)</w:t>
      </w:r>
    </w:p>
    <w:p w14:paraId="0299F1E6" w14:textId="77777777" w:rsidR="006F5BFE" w:rsidRPr="003B2277" w:rsidRDefault="006F5BFE" w:rsidP="006F5BFE">
      <w:pPr>
        <w:keepNext/>
        <w:rPr>
          <w:lang w:eastAsia="en-US"/>
        </w:rPr>
      </w:pPr>
      <w:r w:rsidRPr="003B2277">
        <w:rPr>
          <w:rFonts w:eastAsia="Calibri" w:cs="Mangal"/>
          <w:lang w:eastAsia="en-US"/>
        </w:rPr>
        <w:t>Uredba (EU) št. 251/2014</w:t>
      </w:r>
    </w:p>
    <w:p w14:paraId="66E1BC39" w14:textId="77777777" w:rsidR="006F5BFE" w:rsidRPr="003B2277" w:rsidRDefault="006F5BFE" w:rsidP="006F5BFE">
      <w:pPr>
        <w:rPr>
          <w:lang w:eastAsia="en-US"/>
        </w:rPr>
      </w:pPr>
      <w:r w:rsidRPr="003B2277">
        <w:rPr>
          <w:rFonts w:eastAsia="Calibri" w:cs="Mangal"/>
          <w:lang w:eastAsia="en-US"/>
        </w:rPr>
        <w:t>Priloga II – del B – odstavek 8 – alinea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74B3409" w14:textId="77777777" w:rsidTr="005B4D60">
        <w:trPr>
          <w:jc w:val="center"/>
        </w:trPr>
        <w:tc>
          <w:tcPr>
            <w:tcW w:w="9752" w:type="dxa"/>
            <w:gridSpan w:val="2"/>
          </w:tcPr>
          <w:p w14:paraId="7CFED556" w14:textId="77777777" w:rsidR="006F5BFE" w:rsidRPr="003B2277" w:rsidRDefault="006F5BFE" w:rsidP="005B4D60">
            <w:pPr>
              <w:keepNext/>
            </w:pPr>
          </w:p>
        </w:tc>
      </w:tr>
      <w:tr w:rsidR="006F5BFE" w:rsidRPr="003B2277" w14:paraId="47CC0592" w14:textId="77777777" w:rsidTr="005B4D60">
        <w:trPr>
          <w:jc w:val="center"/>
        </w:trPr>
        <w:tc>
          <w:tcPr>
            <w:tcW w:w="4876" w:type="dxa"/>
            <w:hideMark/>
          </w:tcPr>
          <w:p w14:paraId="7B181768" w14:textId="77777777" w:rsidR="006F5BFE" w:rsidRPr="003B2277" w:rsidRDefault="006F5BFE" w:rsidP="005B4D60">
            <w:pPr>
              <w:keepNext/>
              <w:spacing w:after="240"/>
              <w:jc w:val="center"/>
              <w:rPr>
                <w:i/>
                <w:lang w:eastAsia="en-US"/>
              </w:rPr>
            </w:pPr>
            <w:r w:rsidRPr="003B2277">
              <w:rPr>
                <w:rFonts w:eastAsia="Calibri" w:cs="Mangal"/>
                <w:i/>
                <w:lang w:eastAsia="en-US"/>
              </w:rPr>
              <w:t>Veljavno besedilo</w:t>
            </w:r>
          </w:p>
        </w:tc>
        <w:tc>
          <w:tcPr>
            <w:tcW w:w="4876" w:type="dxa"/>
            <w:hideMark/>
          </w:tcPr>
          <w:p w14:paraId="6646DE53" w14:textId="22DCC0D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CDB9608" w14:textId="77777777" w:rsidTr="005B4D60">
        <w:trPr>
          <w:jc w:val="center"/>
        </w:trPr>
        <w:tc>
          <w:tcPr>
            <w:tcW w:w="4876" w:type="dxa"/>
          </w:tcPr>
          <w:p w14:paraId="78FE8FB2" w14:textId="77777777" w:rsidR="006F5BFE" w:rsidRPr="003B2277" w:rsidRDefault="006F5BFE" w:rsidP="005B4D60">
            <w:pPr>
              <w:spacing w:after="120"/>
            </w:pPr>
          </w:p>
        </w:tc>
        <w:tc>
          <w:tcPr>
            <w:tcW w:w="4876" w:type="dxa"/>
            <w:hideMark/>
          </w:tcPr>
          <w:p w14:paraId="58DBA1D0" w14:textId="77777777" w:rsidR="006F5BFE" w:rsidRPr="003B2277" w:rsidRDefault="006F5BFE" w:rsidP="005B4D60">
            <w:pPr>
              <w:spacing w:after="120"/>
              <w:rPr>
                <w:szCs w:val="24"/>
                <w:lang w:eastAsia="en-US"/>
              </w:rPr>
            </w:pPr>
            <w:r w:rsidRPr="003B2277">
              <w:rPr>
                <w:rFonts w:eastAsia="Calibri" w:cs="Mangal"/>
                <w:b/>
                <w:i/>
                <w:lang w:eastAsia="en-US"/>
              </w:rPr>
              <w:t>(7d)</w:t>
            </w:r>
            <w:r w:rsidRPr="003B2277">
              <w:rPr>
                <w:rFonts w:eastAsia="Calibri" w:cs="Mangal"/>
                <w:b/>
                <w:i/>
                <w:lang w:eastAsia="en-US"/>
              </w:rPr>
              <w:tab/>
              <w:t>V delu B Priloge II se prva alinea odstavka 8 nadomesti z naslednjim:</w:t>
            </w:r>
          </w:p>
        </w:tc>
      </w:tr>
      <w:tr w:rsidR="006F5BFE" w:rsidRPr="003B2277" w14:paraId="735654BC" w14:textId="77777777" w:rsidTr="005B4D60">
        <w:trPr>
          <w:jc w:val="center"/>
        </w:trPr>
        <w:tc>
          <w:tcPr>
            <w:tcW w:w="4876" w:type="dxa"/>
            <w:hideMark/>
          </w:tcPr>
          <w:p w14:paraId="0F179936" w14:textId="77777777" w:rsidR="006F5BFE" w:rsidRPr="003B2277" w:rsidRDefault="006F5BFE" w:rsidP="005B4D60">
            <w:pPr>
              <w:spacing w:after="120"/>
              <w:rPr>
                <w:lang w:eastAsia="en-US"/>
              </w:rPr>
            </w:pPr>
            <w:r w:rsidRPr="003B2277">
              <w:rPr>
                <w:rFonts w:eastAsia="Calibri" w:cs="Mangal"/>
                <w:lang w:eastAsia="en-US"/>
              </w:rPr>
              <w:t>ki se pridobiva izključno iz rdečega ali belega vina,</w:t>
            </w:r>
          </w:p>
        </w:tc>
        <w:tc>
          <w:tcPr>
            <w:tcW w:w="4876" w:type="dxa"/>
            <w:hideMark/>
          </w:tcPr>
          <w:p w14:paraId="175D5A1A" w14:textId="40C7DA3A" w:rsidR="006F5BFE" w:rsidRPr="003B2277" w:rsidRDefault="006F5BFE" w:rsidP="005B4D60">
            <w:pPr>
              <w:spacing w:after="120"/>
              <w:rPr>
                <w:szCs w:val="24"/>
                <w:lang w:eastAsia="en-US"/>
              </w:rPr>
            </w:pPr>
            <w:r w:rsidRPr="003B2277">
              <w:rPr>
                <w:rFonts w:eastAsia="Calibri" w:cs="Mangal"/>
                <w:b/>
                <w:i/>
                <w:lang w:eastAsia="en-US"/>
              </w:rPr>
              <w:t>„</w:t>
            </w:r>
            <w:r w:rsidRPr="003B2277">
              <w:rPr>
                <w:rFonts w:eastAsia="Calibri" w:cs="Mangal"/>
                <w:lang w:eastAsia="en-US"/>
              </w:rPr>
              <w:t xml:space="preserve">ki se pridobiva izključno iz rdečega </w:t>
            </w:r>
            <w:r w:rsidRPr="003B2277">
              <w:rPr>
                <w:rFonts w:eastAsia="Calibri" w:cs="Mangal"/>
                <w:b/>
                <w:i/>
                <w:lang w:eastAsia="en-US"/>
              </w:rPr>
              <w:t>in/ali</w:t>
            </w:r>
            <w:r w:rsidRPr="003B2277">
              <w:rPr>
                <w:rFonts w:eastAsia="Calibri" w:cs="Mangal"/>
                <w:lang w:eastAsia="en-US"/>
              </w:rPr>
              <w:t xml:space="preserve"> belega vina,</w:t>
            </w:r>
            <w:r w:rsidRPr="003B2277">
              <w:rPr>
                <w:rFonts w:eastAsia="Calibri" w:cs="Mangal"/>
                <w:b/>
                <w:i/>
                <w:lang w:eastAsia="en-US"/>
              </w:rPr>
              <w:t>“</w:t>
            </w:r>
          </w:p>
        </w:tc>
      </w:tr>
    </w:tbl>
    <w:p w14:paraId="6536506F" w14:textId="77777777" w:rsidR="00465DEA" w:rsidRDefault="00465DEA"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b/>
          <w:lang w:eastAsia="en-US"/>
        </w:rPr>
      </w:pPr>
    </w:p>
    <w:p w14:paraId="01F8FCA6" w14:textId="31C81E1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211</w:t>
      </w:r>
    </w:p>
    <w:p w14:paraId="48010C99" w14:textId="77777777" w:rsidR="006F5BFE" w:rsidRPr="003B2277" w:rsidRDefault="006F5BFE" w:rsidP="006F5BFE"/>
    <w:p w14:paraId="6B4D2E6F" w14:textId="77777777" w:rsidR="006F5BFE" w:rsidRPr="003B2277" w:rsidRDefault="006F5BFE" w:rsidP="006F5BFE">
      <w:pPr>
        <w:keepNext/>
        <w:rPr>
          <w:b/>
          <w:lang w:eastAsia="en-US"/>
        </w:rPr>
      </w:pPr>
      <w:r w:rsidRPr="003B2277">
        <w:rPr>
          <w:rFonts w:eastAsia="Calibri" w:cs="Mangal"/>
          <w:b/>
          <w:lang w:eastAsia="en-US"/>
        </w:rPr>
        <w:t>Predlog uredbe</w:t>
      </w:r>
    </w:p>
    <w:p w14:paraId="0AFB5BE7" w14:textId="77777777" w:rsidR="006F5BFE" w:rsidRPr="003B2277" w:rsidRDefault="006F5BFE" w:rsidP="006F5BFE">
      <w:pPr>
        <w:rPr>
          <w:b/>
          <w:lang w:eastAsia="en-US"/>
        </w:rPr>
      </w:pPr>
      <w:r w:rsidRPr="003B2277">
        <w:rPr>
          <w:rFonts w:eastAsia="Calibri" w:cs="Mangal"/>
          <w:b/>
          <w:lang w:eastAsia="en-US"/>
        </w:rPr>
        <w:t>Člen 3 – točka 7 e (novo)</w:t>
      </w:r>
    </w:p>
    <w:p w14:paraId="68015EE5" w14:textId="77777777" w:rsidR="006F5BFE" w:rsidRPr="003B2277" w:rsidRDefault="006F5BFE" w:rsidP="006F5BFE">
      <w:pPr>
        <w:keepNext/>
        <w:rPr>
          <w:lang w:eastAsia="en-US"/>
        </w:rPr>
      </w:pPr>
      <w:r w:rsidRPr="003B2277">
        <w:rPr>
          <w:rFonts w:eastAsia="Calibri" w:cs="Mangal"/>
          <w:lang w:eastAsia="en-US"/>
        </w:rPr>
        <w:t>Uredba (EU) št. 251/2014</w:t>
      </w:r>
    </w:p>
    <w:p w14:paraId="17A256F4" w14:textId="77777777" w:rsidR="006F5BFE" w:rsidRPr="003B2277" w:rsidRDefault="006F5BFE" w:rsidP="006F5BFE">
      <w:pPr>
        <w:rPr>
          <w:lang w:eastAsia="en-US"/>
        </w:rPr>
      </w:pPr>
      <w:r w:rsidRPr="003B2277">
        <w:rPr>
          <w:rFonts w:eastAsia="Calibri" w:cs="Mangal"/>
          <w:lang w:eastAsia="en-US"/>
        </w:rPr>
        <w:t>Priloga II – del C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ECBC184" w14:textId="77777777" w:rsidTr="005B4D60">
        <w:trPr>
          <w:jc w:val="center"/>
        </w:trPr>
        <w:tc>
          <w:tcPr>
            <w:tcW w:w="9752" w:type="dxa"/>
            <w:gridSpan w:val="2"/>
          </w:tcPr>
          <w:p w14:paraId="49EE875C" w14:textId="77777777" w:rsidR="006F5BFE" w:rsidRPr="003B2277" w:rsidRDefault="006F5BFE" w:rsidP="005B4D60">
            <w:pPr>
              <w:keepNext/>
            </w:pPr>
          </w:p>
        </w:tc>
      </w:tr>
      <w:tr w:rsidR="006F5BFE" w:rsidRPr="003B2277" w14:paraId="65217F05" w14:textId="77777777" w:rsidTr="005B4D60">
        <w:trPr>
          <w:jc w:val="center"/>
        </w:trPr>
        <w:tc>
          <w:tcPr>
            <w:tcW w:w="4876" w:type="dxa"/>
            <w:hideMark/>
          </w:tcPr>
          <w:p w14:paraId="49CBD0C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B152462" w14:textId="6D10CB73"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7F1647B" w14:textId="77777777" w:rsidTr="005B4D60">
        <w:trPr>
          <w:jc w:val="center"/>
        </w:trPr>
        <w:tc>
          <w:tcPr>
            <w:tcW w:w="4876" w:type="dxa"/>
          </w:tcPr>
          <w:p w14:paraId="5112BE3A" w14:textId="77777777" w:rsidR="006F5BFE" w:rsidRPr="003B2277" w:rsidRDefault="006F5BFE" w:rsidP="005B4D60">
            <w:pPr>
              <w:spacing w:after="120"/>
            </w:pPr>
          </w:p>
        </w:tc>
        <w:tc>
          <w:tcPr>
            <w:tcW w:w="4876" w:type="dxa"/>
            <w:hideMark/>
          </w:tcPr>
          <w:p w14:paraId="5718A7FC" w14:textId="77777777" w:rsidR="006F5BFE" w:rsidRPr="003B2277" w:rsidRDefault="006F5BFE" w:rsidP="005B4D60">
            <w:pPr>
              <w:spacing w:after="120"/>
              <w:rPr>
                <w:szCs w:val="24"/>
                <w:lang w:eastAsia="en-US"/>
              </w:rPr>
            </w:pPr>
            <w:r w:rsidRPr="003B2277">
              <w:rPr>
                <w:rFonts w:eastAsia="Calibri" w:cs="Mangal"/>
                <w:b/>
                <w:i/>
                <w:lang w:eastAsia="en-US"/>
              </w:rPr>
              <w:t>(7e)</w:t>
            </w:r>
            <w:r w:rsidRPr="003B2277">
              <w:rPr>
                <w:rFonts w:eastAsia="Calibri" w:cs="Mangal"/>
                <w:b/>
                <w:i/>
                <w:lang w:eastAsia="en-US"/>
              </w:rPr>
              <w:tab/>
              <w:t>V Prilogi II se doda naslednji del:</w:t>
            </w:r>
          </w:p>
        </w:tc>
      </w:tr>
      <w:tr w:rsidR="006F5BFE" w:rsidRPr="003B2277" w14:paraId="00D37993" w14:textId="77777777" w:rsidTr="005B4D60">
        <w:trPr>
          <w:jc w:val="center"/>
        </w:trPr>
        <w:tc>
          <w:tcPr>
            <w:tcW w:w="4876" w:type="dxa"/>
          </w:tcPr>
          <w:p w14:paraId="32A8BF24" w14:textId="77777777" w:rsidR="006F5BFE" w:rsidRPr="003B2277" w:rsidRDefault="006F5BFE" w:rsidP="005B4D60">
            <w:pPr>
              <w:spacing w:after="120"/>
            </w:pPr>
          </w:p>
        </w:tc>
        <w:tc>
          <w:tcPr>
            <w:tcW w:w="4876" w:type="dxa"/>
          </w:tcPr>
          <w:p w14:paraId="0EB9969B" w14:textId="77777777" w:rsidR="006F5BFE" w:rsidRPr="003B2277" w:rsidRDefault="006F5BFE" w:rsidP="005B4D60">
            <w:pPr>
              <w:spacing w:after="120"/>
              <w:rPr>
                <w:b/>
                <w:i/>
                <w:lang w:eastAsia="en-US"/>
              </w:rPr>
            </w:pPr>
            <w:r w:rsidRPr="003B2277">
              <w:rPr>
                <w:rFonts w:eastAsia="Calibri" w:cs="Mangal"/>
                <w:b/>
                <w:i/>
                <w:lang w:eastAsia="en-US"/>
              </w:rPr>
              <w:t>„Del Ca</w:t>
            </w:r>
          </w:p>
        </w:tc>
      </w:tr>
      <w:tr w:rsidR="006F5BFE" w:rsidRPr="003B2277" w14:paraId="28080F4D" w14:textId="77777777" w:rsidTr="005B4D60">
        <w:trPr>
          <w:jc w:val="center"/>
        </w:trPr>
        <w:tc>
          <w:tcPr>
            <w:tcW w:w="4876" w:type="dxa"/>
          </w:tcPr>
          <w:p w14:paraId="4BEBB7E5" w14:textId="77777777" w:rsidR="006F5BFE" w:rsidRPr="003B2277" w:rsidRDefault="006F5BFE" w:rsidP="005B4D60">
            <w:pPr>
              <w:spacing w:after="120"/>
            </w:pPr>
          </w:p>
        </w:tc>
        <w:tc>
          <w:tcPr>
            <w:tcW w:w="4876" w:type="dxa"/>
            <w:hideMark/>
          </w:tcPr>
          <w:p w14:paraId="2CFAAE93" w14:textId="77777777" w:rsidR="006F5BFE" w:rsidRPr="003B2277" w:rsidRDefault="006F5BFE" w:rsidP="005B4D60">
            <w:pPr>
              <w:spacing w:after="120"/>
              <w:rPr>
                <w:szCs w:val="24"/>
                <w:lang w:eastAsia="en-US"/>
              </w:rPr>
            </w:pPr>
            <w:r w:rsidRPr="003B2277">
              <w:rPr>
                <w:rFonts w:eastAsia="Calibri" w:cs="Mangal"/>
                <w:b/>
                <w:i/>
                <w:lang w:eastAsia="en-US"/>
              </w:rPr>
              <w:t>„DEALKOHOLIZIRANI AROMATIZIRANI VINSKI PROIZVODI</w:t>
            </w:r>
          </w:p>
        </w:tc>
      </w:tr>
      <w:tr w:rsidR="006F5BFE" w:rsidRPr="003B2277" w14:paraId="22FEEA52" w14:textId="77777777" w:rsidTr="005B4D60">
        <w:trPr>
          <w:jc w:val="center"/>
        </w:trPr>
        <w:tc>
          <w:tcPr>
            <w:tcW w:w="4876" w:type="dxa"/>
          </w:tcPr>
          <w:p w14:paraId="583FC4E7" w14:textId="77777777" w:rsidR="006F5BFE" w:rsidRPr="003B2277" w:rsidRDefault="006F5BFE" w:rsidP="005B4D60">
            <w:pPr>
              <w:spacing w:after="120"/>
            </w:pPr>
          </w:p>
        </w:tc>
        <w:tc>
          <w:tcPr>
            <w:tcW w:w="4876" w:type="dxa"/>
            <w:hideMark/>
          </w:tcPr>
          <w:p w14:paraId="2171BA25"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 xml:space="preserve">Dealkoholiziran aromatiziran vinski proizvod ali dealkoholizirano (ime proizvoda vinske trte, uporabljenega za njegovo proizvodnjo </w:t>
            </w:r>
          </w:p>
        </w:tc>
      </w:tr>
      <w:tr w:rsidR="006F5BFE" w:rsidRPr="003B2277" w14:paraId="2C1E1CEE" w14:textId="77777777" w:rsidTr="005B4D60">
        <w:trPr>
          <w:jc w:val="center"/>
        </w:trPr>
        <w:tc>
          <w:tcPr>
            <w:tcW w:w="4876" w:type="dxa"/>
          </w:tcPr>
          <w:p w14:paraId="28700D34" w14:textId="77777777" w:rsidR="006F5BFE" w:rsidRPr="003B2277" w:rsidRDefault="006F5BFE" w:rsidP="005B4D60">
            <w:pPr>
              <w:spacing w:after="120"/>
            </w:pPr>
          </w:p>
        </w:tc>
        <w:tc>
          <w:tcPr>
            <w:tcW w:w="4876" w:type="dxa"/>
          </w:tcPr>
          <w:p w14:paraId="6DB74D51" w14:textId="77777777" w:rsidR="006F5BFE" w:rsidRPr="003B2277" w:rsidRDefault="006F5BFE" w:rsidP="005B4D60">
            <w:pPr>
              <w:spacing w:after="120"/>
              <w:rPr>
                <w:b/>
                <w:i/>
                <w:lang w:eastAsia="en-US"/>
              </w:rPr>
            </w:pPr>
            <w:r w:rsidRPr="003B2277">
              <w:rPr>
                <w:rFonts w:eastAsia="Calibri" w:cs="Mangal"/>
                <w:b/>
                <w:i/>
                <w:lang w:eastAsia="en-US"/>
              </w:rPr>
              <w:t>Proizvodi, ki so skladni z opredelitvijo iz člena 3(4a).“</w:t>
            </w:r>
          </w:p>
        </w:tc>
      </w:tr>
    </w:tbl>
    <w:p w14:paraId="1A489DB8" w14:textId="77777777" w:rsidR="006F5BFE" w:rsidRPr="003B2277" w:rsidRDefault="006F5BFE" w:rsidP="006F5BFE">
      <w:pPr>
        <w:rPr>
          <w:lang w:eastAsia="en-US"/>
        </w:rPr>
      </w:pPr>
    </w:p>
    <w:p w14:paraId="6ED76BB7" w14:textId="3859ED91"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212</w:t>
      </w:r>
    </w:p>
    <w:p w14:paraId="594C3D72" w14:textId="77777777" w:rsidR="006F5BFE" w:rsidRPr="003B2277" w:rsidRDefault="006F5BFE" w:rsidP="006F5BFE">
      <w:pPr>
        <w:spacing w:before="240"/>
        <w:rPr>
          <w:b/>
          <w:lang w:eastAsia="en-US"/>
        </w:rPr>
      </w:pPr>
      <w:r w:rsidRPr="003B2277">
        <w:rPr>
          <w:rFonts w:eastAsia="Calibri" w:cs="Mangal"/>
          <w:b/>
          <w:lang w:eastAsia="en-US"/>
        </w:rPr>
        <w:t>Predlog uredbe</w:t>
      </w:r>
    </w:p>
    <w:p w14:paraId="5CDE22E4" w14:textId="77777777" w:rsidR="006F5BFE" w:rsidRPr="003B2277" w:rsidRDefault="006F5BFE" w:rsidP="006F5BFE">
      <w:pPr>
        <w:rPr>
          <w:b/>
          <w:lang w:eastAsia="en-US"/>
        </w:rPr>
      </w:pPr>
      <w:r w:rsidRPr="003B2277">
        <w:rPr>
          <w:rFonts w:eastAsia="Calibri" w:cs="Mangal"/>
          <w:b/>
          <w:lang w:eastAsia="en-US"/>
        </w:rPr>
        <w:t>Člen 4 – odstavek -1 (novo)</w:t>
      </w:r>
    </w:p>
    <w:p w14:paraId="50ED74EC" w14:textId="77777777" w:rsidR="006F5BFE" w:rsidRPr="003B2277" w:rsidRDefault="006F5BFE" w:rsidP="006F5BFE">
      <w:pPr>
        <w:keepNext/>
        <w:rPr>
          <w:lang w:eastAsia="en-US"/>
        </w:rPr>
      </w:pPr>
      <w:r w:rsidRPr="003B2277">
        <w:rPr>
          <w:rFonts w:eastAsia="Calibri" w:cs="Mangal"/>
          <w:lang w:eastAsia="en-US"/>
        </w:rPr>
        <w:t>Uredba (EU) št. 228/2013</w:t>
      </w:r>
    </w:p>
    <w:p w14:paraId="40AB5162" w14:textId="77777777" w:rsidR="006F5BFE" w:rsidRPr="003B2277" w:rsidRDefault="006F5BFE" w:rsidP="006F5BFE">
      <w:pPr>
        <w:rPr>
          <w:lang w:eastAsia="en-US"/>
        </w:rPr>
      </w:pPr>
      <w:r w:rsidRPr="003B2277">
        <w:rPr>
          <w:rFonts w:eastAsia="Calibri" w:cs="Mangal"/>
          <w:lang w:eastAsia="en-US"/>
        </w:rPr>
        <w:t>Člen 22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B3FB92A" w14:textId="77777777" w:rsidTr="005B4D60">
        <w:trPr>
          <w:jc w:val="center"/>
        </w:trPr>
        <w:tc>
          <w:tcPr>
            <w:tcW w:w="9752" w:type="dxa"/>
            <w:gridSpan w:val="2"/>
          </w:tcPr>
          <w:p w14:paraId="075DF9AB" w14:textId="77777777" w:rsidR="006F5BFE" w:rsidRPr="003B2277" w:rsidRDefault="006F5BFE" w:rsidP="005B4D60">
            <w:pPr>
              <w:keepNext/>
            </w:pPr>
          </w:p>
        </w:tc>
      </w:tr>
      <w:tr w:rsidR="006F5BFE" w:rsidRPr="003B2277" w14:paraId="2DD624D2" w14:textId="77777777" w:rsidTr="005B4D60">
        <w:trPr>
          <w:jc w:val="center"/>
        </w:trPr>
        <w:tc>
          <w:tcPr>
            <w:tcW w:w="4876" w:type="dxa"/>
            <w:hideMark/>
          </w:tcPr>
          <w:p w14:paraId="16AF41E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C7FCC86" w14:textId="6CFBB80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0D44F5E" w14:textId="77777777" w:rsidTr="005B4D60">
        <w:trPr>
          <w:jc w:val="center"/>
        </w:trPr>
        <w:tc>
          <w:tcPr>
            <w:tcW w:w="4876" w:type="dxa"/>
          </w:tcPr>
          <w:p w14:paraId="0B4F5499" w14:textId="77777777" w:rsidR="006F5BFE" w:rsidRPr="003B2277" w:rsidRDefault="006F5BFE" w:rsidP="005B4D60">
            <w:pPr>
              <w:spacing w:after="120"/>
            </w:pPr>
          </w:p>
        </w:tc>
        <w:tc>
          <w:tcPr>
            <w:tcW w:w="4876" w:type="dxa"/>
            <w:hideMark/>
          </w:tcPr>
          <w:p w14:paraId="7D6D2FEB" w14:textId="77777777" w:rsidR="006F5BFE" w:rsidRPr="003B2277" w:rsidRDefault="006F5BFE" w:rsidP="005B4D60">
            <w:pPr>
              <w:spacing w:after="120"/>
              <w:rPr>
                <w:szCs w:val="24"/>
                <w:lang w:eastAsia="en-US"/>
              </w:rPr>
            </w:pPr>
            <w:r w:rsidRPr="003B2277">
              <w:rPr>
                <w:rFonts w:eastAsia="Calibri" w:cs="Mangal"/>
                <w:b/>
                <w:i/>
                <w:lang w:eastAsia="en-US"/>
              </w:rPr>
              <w:t>V poglavju V se doda naslednji člen:</w:t>
            </w:r>
          </w:p>
        </w:tc>
      </w:tr>
      <w:tr w:rsidR="006F5BFE" w:rsidRPr="003B2277" w14:paraId="3118FF57" w14:textId="77777777" w:rsidTr="005B4D60">
        <w:trPr>
          <w:jc w:val="center"/>
        </w:trPr>
        <w:tc>
          <w:tcPr>
            <w:tcW w:w="4876" w:type="dxa"/>
          </w:tcPr>
          <w:p w14:paraId="4BF5B2DF" w14:textId="77777777" w:rsidR="006F5BFE" w:rsidRPr="003B2277" w:rsidRDefault="006F5BFE" w:rsidP="005B4D60">
            <w:pPr>
              <w:spacing w:after="120"/>
            </w:pPr>
          </w:p>
        </w:tc>
        <w:tc>
          <w:tcPr>
            <w:tcW w:w="4876" w:type="dxa"/>
            <w:hideMark/>
          </w:tcPr>
          <w:p w14:paraId="2BDBFA2B" w14:textId="77777777" w:rsidR="006F5BFE" w:rsidRPr="003B2277" w:rsidRDefault="006F5BFE" w:rsidP="005B4D60">
            <w:pPr>
              <w:spacing w:after="120"/>
              <w:rPr>
                <w:szCs w:val="24"/>
                <w:lang w:eastAsia="en-US"/>
              </w:rPr>
            </w:pPr>
            <w:r w:rsidRPr="003B2277">
              <w:rPr>
                <w:rFonts w:eastAsia="Calibri" w:cs="Mangal"/>
                <w:b/>
                <w:i/>
                <w:lang w:eastAsia="en-US"/>
              </w:rPr>
              <w:t>Člen 22a</w:t>
            </w:r>
          </w:p>
        </w:tc>
      </w:tr>
      <w:tr w:rsidR="006F5BFE" w:rsidRPr="003B2277" w14:paraId="0D1B0D65" w14:textId="77777777" w:rsidTr="005B4D60">
        <w:trPr>
          <w:jc w:val="center"/>
        </w:trPr>
        <w:tc>
          <w:tcPr>
            <w:tcW w:w="4876" w:type="dxa"/>
          </w:tcPr>
          <w:p w14:paraId="27087D88" w14:textId="77777777" w:rsidR="006F5BFE" w:rsidRPr="003B2277" w:rsidRDefault="006F5BFE" w:rsidP="005B4D60">
            <w:pPr>
              <w:spacing w:after="120"/>
            </w:pPr>
          </w:p>
        </w:tc>
        <w:tc>
          <w:tcPr>
            <w:tcW w:w="4876" w:type="dxa"/>
            <w:hideMark/>
          </w:tcPr>
          <w:p w14:paraId="0BC4847B" w14:textId="77777777" w:rsidR="006F5BFE" w:rsidRPr="003B2277" w:rsidRDefault="006F5BFE" w:rsidP="005B4D60">
            <w:pPr>
              <w:spacing w:after="120"/>
              <w:rPr>
                <w:szCs w:val="24"/>
                <w:lang w:eastAsia="en-US"/>
              </w:rPr>
            </w:pPr>
            <w:r w:rsidRPr="003B2277">
              <w:rPr>
                <w:rFonts w:eastAsia="Calibri" w:cs="Mangal"/>
                <w:b/>
                <w:i/>
                <w:lang w:eastAsia="en-US"/>
              </w:rPr>
              <w:t>Medpanožni sporazumi</w:t>
            </w:r>
          </w:p>
        </w:tc>
      </w:tr>
      <w:tr w:rsidR="006F5BFE" w:rsidRPr="003B2277" w14:paraId="6EEF0AAD" w14:textId="77777777" w:rsidTr="005B4D60">
        <w:trPr>
          <w:jc w:val="center"/>
        </w:trPr>
        <w:tc>
          <w:tcPr>
            <w:tcW w:w="4876" w:type="dxa"/>
          </w:tcPr>
          <w:p w14:paraId="61DDA3B2" w14:textId="77777777" w:rsidR="006F5BFE" w:rsidRPr="003B2277" w:rsidRDefault="006F5BFE" w:rsidP="005B4D60">
            <w:pPr>
              <w:spacing w:after="120"/>
            </w:pPr>
          </w:p>
        </w:tc>
        <w:tc>
          <w:tcPr>
            <w:tcW w:w="4876" w:type="dxa"/>
            <w:hideMark/>
          </w:tcPr>
          <w:p w14:paraId="0EDDD2DC" w14:textId="77777777" w:rsidR="006F5BFE" w:rsidRPr="003B2277" w:rsidRDefault="006F5BFE" w:rsidP="005B4D60">
            <w:pPr>
              <w:spacing w:after="120"/>
              <w:rPr>
                <w:szCs w:val="24"/>
                <w:lang w:eastAsia="en-US"/>
              </w:rPr>
            </w:pPr>
            <w:r w:rsidRPr="003B2277">
              <w:rPr>
                <w:rFonts w:eastAsia="Calibri" w:cs="Mangal"/>
                <w:b/>
                <w:i/>
                <w:lang w:eastAsia="en-US"/>
              </w:rPr>
              <w:t>1.</w:t>
            </w:r>
            <w:r w:rsidRPr="003B2277">
              <w:rPr>
                <w:rFonts w:eastAsia="Calibri" w:cs="Mangal"/>
                <w:b/>
                <w:i/>
                <w:lang w:eastAsia="en-US"/>
              </w:rPr>
              <w:tab/>
              <w:t>Kadar se medpanožna organizacija, priznana v skladu s členom 157 Uredbe (EU) št. 1308/2013, ki deluje v najbolj oddaljeni regiji, šteje za reprezentativno glede proizvodnje, trženja ali predelave določenega proizvoda ali trgovanja z njim, lahko zadevna država članica, z odstopanjem od členov 164 in 165 Uredbe (EU) št. 1308/2013, na zahtevo te organizacije določi, da so nekateri sporazumi, sklepi ali usklajena ravnanja, sprejeti v okviru te organizacije, za obdobje enega leta z možnostjo podaljšanja zavezujoči za druge izvajalce, ne glede na to, ali so izvajalci posamezniki ali skupine, ki delujejo v zadevni najbolj oddaljeni regiji in niso vključeni v navedeno organizacijo.</w:t>
            </w:r>
          </w:p>
        </w:tc>
      </w:tr>
      <w:tr w:rsidR="006F5BFE" w:rsidRPr="003B2277" w14:paraId="64506FEB" w14:textId="77777777" w:rsidTr="005B4D60">
        <w:trPr>
          <w:jc w:val="center"/>
        </w:trPr>
        <w:tc>
          <w:tcPr>
            <w:tcW w:w="4876" w:type="dxa"/>
          </w:tcPr>
          <w:p w14:paraId="637976FF" w14:textId="77777777" w:rsidR="006F5BFE" w:rsidRPr="003B2277" w:rsidRDefault="006F5BFE" w:rsidP="005B4D60">
            <w:pPr>
              <w:spacing w:after="120"/>
            </w:pPr>
          </w:p>
        </w:tc>
        <w:tc>
          <w:tcPr>
            <w:tcW w:w="4876" w:type="dxa"/>
            <w:hideMark/>
          </w:tcPr>
          <w:p w14:paraId="45D7010F" w14:textId="77777777" w:rsidR="006F5BFE" w:rsidRPr="003B2277" w:rsidRDefault="006F5BFE" w:rsidP="005B4D60">
            <w:pPr>
              <w:spacing w:after="120"/>
              <w:rPr>
                <w:szCs w:val="24"/>
                <w:lang w:eastAsia="en-US"/>
              </w:rPr>
            </w:pPr>
            <w:r w:rsidRPr="003B2277">
              <w:rPr>
                <w:rFonts w:eastAsia="Calibri" w:cs="Mangal"/>
                <w:b/>
                <w:i/>
                <w:lang w:eastAsia="en-US"/>
              </w:rPr>
              <w:t>2.</w:t>
            </w:r>
            <w:r w:rsidRPr="003B2277">
              <w:rPr>
                <w:rFonts w:eastAsia="Calibri" w:cs="Mangal"/>
                <w:b/>
                <w:i/>
                <w:lang w:eastAsia="en-US"/>
              </w:rPr>
              <w:tab/>
              <w:t>Kadar se pravila priznane medpanožne organizacije v skladu z odstavkom 1 razširijo in so dejavnosti, ki jih ta pravila zajemajo, v splošnem gospodarskem interesu gospodarskih subjektov, katerih dejavnosti se nanašajo na proizvode, namenjene izključno lokalnemu trgu te najbolj oddaljene regije, lahko država članica po posvetovanju z ustreznimi deležniki odloči, da posamezni gospodarski subjekti ali skupine, ki niso člani organizacije in ki delujejo na tem trgu, organizaciji plačajo celoto ali del finančnega prispevka, ki ga plačujejo člani, do višine, do katere so taki prispevki namenjeni za pokrivanje neposrednih stroškov iz izvajanja zadevnih dejavnosti.</w:t>
            </w:r>
          </w:p>
        </w:tc>
      </w:tr>
      <w:tr w:rsidR="006F5BFE" w:rsidRPr="003B2277" w14:paraId="06D0B9D0" w14:textId="77777777" w:rsidTr="005B4D60">
        <w:trPr>
          <w:jc w:val="center"/>
        </w:trPr>
        <w:tc>
          <w:tcPr>
            <w:tcW w:w="4876" w:type="dxa"/>
          </w:tcPr>
          <w:p w14:paraId="7CE2718B" w14:textId="77777777" w:rsidR="006F5BFE" w:rsidRPr="003B2277" w:rsidRDefault="006F5BFE" w:rsidP="005B4D60">
            <w:pPr>
              <w:spacing w:after="120"/>
            </w:pPr>
          </w:p>
        </w:tc>
        <w:tc>
          <w:tcPr>
            <w:tcW w:w="4876" w:type="dxa"/>
            <w:hideMark/>
          </w:tcPr>
          <w:p w14:paraId="162AE646" w14:textId="77777777" w:rsidR="006F5BFE" w:rsidRPr="003B2277" w:rsidRDefault="006F5BFE" w:rsidP="005B4D60">
            <w:pPr>
              <w:spacing w:after="120"/>
              <w:rPr>
                <w:szCs w:val="24"/>
                <w:lang w:eastAsia="en-US"/>
              </w:rPr>
            </w:pPr>
            <w:r w:rsidRPr="003B2277">
              <w:rPr>
                <w:rFonts w:eastAsia="Calibri" w:cs="Mangal"/>
                <w:b/>
                <w:i/>
                <w:lang w:eastAsia="en-US"/>
              </w:rPr>
              <w:t>3.</w:t>
            </w:r>
            <w:r w:rsidRPr="003B2277">
              <w:rPr>
                <w:rFonts w:eastAsia="Calibri" w:cs="Mangal"/>
                <w:b/>
                <w:i/>
                <w:lang w:eastAsia="en-US"/>
              </w:rPr>
              <w:tab/>
              <w:t>Država članica obvesti Komisijo o vseh sporazumih, katerih področje uporabe se razširi na podlagi tega člena.</w:t>
            </w:r>
          </w:p>
        </w:tc>
      </w:tr>
    </w:tbl>
    <w:p w14:paraId="7BD64D02" w14:textId="48362D00" w:rsidR="006F5BFE" w:rsidRPr="003B2277" w:rsidRDefault="006F5BFE" w:rsidP="006F5BFE">
      <w:pPr>
        <w:rPr>
          <w:rFonts w:eastAsia="Calibri" w:cs="Mangal"/>
          <w:i/>
          <w:lang w:eastAsia="en-US"/>
        </w:rPr>
      </w:pPr>
    </w:p>
    <w:p w14:paraId="6169439F" w14:textId="77777777" w:rsidR="00BC40D2" w:rsidRPr="003B2277" w:rsidRDefault="00BC40D2" w:rsidP="006F5BFE"/>
    <w:p w14:paraId="67554C25" w14:textId="0FCEE08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213</w:t>
      </w:r>
    </w:p>
    <w:p w14:paraId="4E57228C" w14:textId="77777777" w:rsidR="006F5BFE" w:rsidRPr="003B2277" w:rsidRDefault="006F5BFE" w:rsidP="006F5BFE"/>
    <w:p w14:paraId="7FD53F67" w14:textId="77777777" w:rsidR="006F5BFE" w:rsidRPr="003B2277" w:rsidRDefault="006F5BFE" w:rsidP="006F5BFE">
      <w:pPr>
        <w:keepNext/>
        <w:rPr>
          <w:b/>
          <w:lang w:eastAsia="en-US"/>
        </w:rPr>
      </w:pPr>
      <w:r w:rsidRPr="003B2277">
        <w:rPr>
          <w:rFonts w:eastAsia="Calibri" w:cs="Mangal"/>
          <w:b/>
          <w:lang w:eastAsia="en-US"/>
        </w:rPr>
        <w:t>Predlog uredbe</w:t>
      </w:r>
    </w:p>
    <w:p w14:paraId="32EE5DDC" w14:textId="77777777" w:rsidR="006F5BFE" w:rsidRPr="003B2277" w:rsidRDefault="006F5BFE" w:rsidP="006F5BFE">
      <w:pPr>
        <w:rPr>
          <w:b/>
          <w:lang w:eastAsia="en-US"/>
        </w:rPr>
      </w:pPr>
      <w:r w:rsidRPr="003B2277">
        <w:rPr>
          <w:rFonts w:eastAsia="Calibri" w:cs="Mangal"/>
          <w:b/>
          <w:lang w:eastAsia="en-US"/>
        </w:rPr>
        <w:t>Člen 4 – odstavek 1</w:t>
      </w:r>
    </w:p>
    <w:p w14:paraId="7D939C1B" w14:textId="77777777" w:rsidR="006F5BFE" w:rsidRPr="003B2277" w:rsidRDefault="006F5BFE" w:rsidP="006F5BFE">
      <w:pPr>
        <w:keepNext/>
        <w:rPr>
          <w:lang w:eastAsia="en-US"/>
        </w:rPr>
      </w:pPr>
      <w:r w:rsidRPr="003B2277">
        <w:rPr>
          <w:rFonts w:eastAsia="Calibri" w:cs="Mangal"/>
          <w:lang w:eastAsia="en-US"/>
        </w:rPr>
        <w:t>Uredba (EU) št. 228/2013</w:t>
      </w:r>
    </w:p>
    <w:p w14:paraId="22D8BA30" w14:textId="77777777" w:rsidR="006F5BFE" w:rsidRPr="003B2277" w:rsidRDefault="006F5BFE" w:rsidP="006F5BFE">
      <w:pPr>
        <w:rPr>
          <w:lang w:eastAsia="en-US"/>
        </w:rPr>
      </w:pPr>
      <w:r w:rsidRPr="003B2277">
        <w:rPr>
          <w:rFonts w:eastAsia="Calibri" w:cs="Mangal"/>
          <w:lang w:eastAsia="en-US"/>
        </w:rPr>
        <w:t>Člen 30 – odstavek 2 – uvodni del</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90E3D10" w14:textId="77777777" w:rsidTr="005B4D60">
        <w:trPr>
          <w:jc w:val="center"/>
        </w:trPr>
        <w:tc>
          <w:tcPr>
            <w:tcW w:w="9752" w:type="dxa"/>
            <w:gridSpan w:val="2"/>
          </w:tcPr>
          <w:p w14:paraId="6F6B7902" w14:textId="77777777" w:rsidR="006F5BFE" w:rsidRPr="003B2277" w:rsidRDefault="006F5BFE" w:rsidP="005B4D60">
            <w:pPr>
              <w:keepNext/>
            </w:pPr>
          </w:p>
        </w:tc>
      </w:tr>
      <w:tr w:rsidR="006F5BFE" w:rsidRPr="003B2277" w14:paraId="2C4CEBDB" w14:textId="77777777" w:rsidTr="005B4D60">
        <w:trPr>
          <w:jc w:val="center"/>
        </w:trPr>
        <w:tc>
          <w:tcPr>
            <w:tcW w:w="4876" w:type="dxa"/>
            <w:hideMark/>
          </w:tcPr>
          <w:p w14:paraId="024941B1"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F69E397" w14:textId="0E88265C"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B6790B2" w14:textId="77777777" w:rsidTr="005B4D60">
        <w:trPr>
          <w:jc w:val="center"/>
        </w:trPr>
        <w:tc>
          <w:tcPr>
            <w:tcW w:w="4876" w:type="dxa"/>
            <w:hideMark/>
          </w:tcPr>
          <w:p w14:paraId="1E00EC6E"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 xml:space="preserve">Unija v vsakem proračunskem letu financira ukrepe iz poglavij III in IV, in sicer </w:t>
            </w:r>
            <w:r w:rsidRPr="003B2277">
              <w:rPr>
                <w:rFonts w:eastAsia="Calibri" w:cs="Mangal"/>
                <w:b/>
                <w:i/>
                <w:lang w:eastAsia="en-US"/>
              </w:rPr>
              <w:t>v okviru naslednjih letnih</w:t>
            </w:r>
            <w:r w:rsidRPr="003B2277">
              <w:rPr>
                <w:rFonts w:eastAsia="Calibri" w:cs="Mangal"/>
                <w:lang w:eastAsia="en-US"/>
              </w:rPr>
              <w:t xml:space="preserve"> zneskov:</w:t>
            </w:r>
          </w:p>
        </w:tc>
        <w:tc>
          <w:tcPr>
            <w:tcW w:w="4876" w:type="dxa"/>
            <w:hideMark/>
          </w:tcPr>
          <w:p w14:paraId="247AF075"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 xml:space="preserve">Unija v vsakem proračunskem letu financira ukrepe iz poglavij III in IV, in sicer </w:t>
            </w:r>
            <w:r w:rsidRPr="003B2277">
              <w:rPr>
                <w:rFonts w:eastAsia="Calibri" w:cs="Mangal"/>
                <w:b/>
                <w:i/>
                <w:lang w:eastAsia="en-US"/>
              </w:rPr>
              <w:t>letno največ do naslednjih</w:t>
            </w:r>
            <w:r w:rsidRPr="003B2277">
              <w:rPr>
                <w:rFonts w:eastAsia="Calibri" w:cs="Mangal"/>
                <w:lang w:eastAsia="en-US"/>
              </w:rPr>
              <w:t xml:space="preserve"> zneskov:</w:t>
            </w:r>
          </w:p>
        </w:tc>
      </w:tr>
    </w:tbl>
    <w:p w14:paraId="6F26CE7C" w14:textId="77777777" w:rsidR="006F5BFE" w:rsidRPr="003B2277" w:rsidRDefault="006F5BFE" w:rsidP="006F5BFE">
      <w:pPr>
        <w:rPr>
          <w:lang w:eastAsia="en-US"/>
        </w:rPr>
      </w:pPr>
    </w:p>
    <w:p w14:paraId="3ECC5260" w14:textId="18345B4F"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214</w:t>
      </w:r>
    </w:p>
    <w:p w14:paraId="3F80F2EF" w14:textId="77777777" w:rsidR="006F5BFE" w:rsidRPr="003B2277" w:rsidRDefault="006F5BFE" w:rsidP="006F5BFE"/>
    <w:p w14:paraId="50F48E4B" w14:textId="77777777" w:rsidR="006F5BFE" w:rsidRPr="003B2277" w:rsidRDefault="006F5BFE" w:rsidP="006F5BFE">
      <w:pPr>
        <w:keepNext/>
        <w:rPr>
          <w:b/>
          <w:lang w:eastAsia="en-US"/>
        </w:rPr>
      </w:pPr>
      <w:r w:rsidRPr="003B2277">
        <w:rPr>
          <w:rFonts w:eastAsia="Calibri" w:cs="Mangal"/>
          <w:b/>
          <w:lang w:eastAsia="en-US"/>
        </w:rPr>
        <w:t>Predlog uredbe</w:t>
      </w:r>
    </w:p>
    <w:p w14:paraId="5103BA6C" w14:textId="77777777" w:rsidR="006F5BFE" w:rsidRPr="003B2277" w:rsidRDefault="006F5BFE" w:rsidP="006F5BFE">
      <w:pPr>
        <w:rPr>
          <w:b/>
          <w:lang w:eastAsia="en-US"/>
        </w:rPr>
      </w:pPr>
      <w:r w:rsidRPr="003B2277">
        <w:rPr>
          <w:rFonts w:eastAsia="Calibri" w:cs="Mangal"/>
          <w:b/>
          <w:lang w:eastAsia="en-US"/>
        </w:rPr>
        <w:t>Člen 4 – odstavek 1</w:t>
      </w:r>
    </w:p>
    <w:p w14:paraId="17139FA6" w14:textId="77777777" w:rsidR="006F5BFE" w:rsidRPr="003B2277" w:rsidRDefault="006F5BFE" w:rsidP="006F5BFE">
      <w:pPr>
        <w:keepNext/>
        <w:rPr>
          <w:lang w:eastAsia="en-US"/>
        </w:rPr>
      </w:pPr>
      <w:r w:rsidRPr="003B2277">
        <w:rPr>
          <w:rFonts w:eastAsia="Calibri" w:cs="Mangal"/>
          <w:lang w:eastAsia="en-US"/>
        </w:rPr>
        <w:t>Uredba (EU) št. 228/2013</w:t>
      </w:r>
    </w:p>
    <w:p w14:paraId="66E051AF" w14:textId="77777777" w:rsidR="006F5BFE" w:rsidRPr="003B2277" w:rsidRDefault="006F5BFE" w:rsidP="006F5BFE">
      <w:pPr>
        <w:rPr>
          <w:lang w:eastAsia="en-US"/>
        </w:rPr>
      </w:pPr>
      <w:r w:rsidRPr="003B2277">
        <w:rPr>
          <w:rFonts w:eastAsia="Calibri" w:cs="Mangal"/>
          <w:lang w:eastAsia="en-US"/>
        </w:rPr>
        <w:t>Člen 30 – odstavek 2 – alinea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88E3758" w14:textId="77777777" w:rsidTr="005B4D60">
        <w:trPr>
          <w:jc w:val="center"/>
        </w:trPr>
        <w:tc>
          <w:tcPr>
            <w:tcW w:w="9752" w:type="dxa"/>
            <w:gridSpan w:val="2"/>
          </w:tcPr>
          <w:p w14:paraId="46AA911F" w14:textId="77777777" w:rsidR="006F5BFE" w:rsidRPr="003B2277" w:rsidRDefault="006F5BFE" w:rsidP="005B4D60">
            <w:pPr>
              <w:keepNext/>
            </w:pPr>
          </w:p>
        </w:tc>
      </w:tr>
      <w:tr w:rsidR="006F5BFE" w:rsidRPr="003B2277" w14:paraId="638D6685" w14:textId="77777777" w:rsidTr="005B4D60">
        <w:trPr>
          <w:jc w:val="center"/>
        </w:trPr>
        <w:tc>
          <w:tcPr>
            <w:tcW w:w="4876" w:type="dxa"/>
            <w:hideMark/>
          </w:tcPr>
          <w:p w14:paraId="22EDDFB8"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AAC6AE4" w14:textId="2B9FAEE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5350DF4" w14:textId="77777777" w:rsidTr="005B4D60">
        <w:trPr>
          <w:jc w:val="center"/>
        </w:trPr>
        <w:tc>
          <w:tcPr>
            <w:tcW w:w="4876" w:type="dxa"/>
            <w:hideMark/>
          </w:tcPr>
          <w:p w14:paraId="42A2F746"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francoske čezmorske departmaje: </w:t>
            </w:r>
            <w:r w:rsidRPr="003B2277">
              <w:rPr>
                <w:rFonts w:eastAsia="Calibri" w:cs="Mangal"/>
                <w:b/>
                <w:i/>
                <w:lang w:eastAsia="en-US"/>
              </w:rPr>
              <w:t>267 580 000</w:t>
            </w:r>
            <w:r w:rsidRPr="003B2277">
              <w:rPr>
                <w:rFonts w:eastAsia="Calibri" w:cs="Mangal"/>
                <w:lang w:eastAsia="en-US"/>
              </w:rPr>
              <w:t xml:space="preserve"> EUR</w:t>
            </w:r>
            <w:r w:rsidRPr="003B2277">
              <w:rPr>
                <w:rFonts w:eastAsia="Calibri" w:cs="Mangal"/>
                <w:b/>
                <w:i/>
                <w:lang w:eastAsia="en-US"/>
              </w:rPr>
              <w:t>.</w:t>
            </w:r>
          </w:p>
        </w:tc>
        <w:tc>
          <w:tcPr>
            <w:tcW w:w="4876" w:type="dxa"/>
            <w:hideMark/>
          </w:tcPr>
          <w:p w14:paraId="00F5150C"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francoske čezmorske departmaje: </w:t>
            </w:r>
            <w:r w:rsidRPr="003B2277">
              <w:rPr>
                <w:rFonts w:eastAsia="Calibri" w:cs="Mangal"/>
                <w:b/>
                <w:i/>
                <w:lang w:eastAsia="en-US"/>
              </w:rPr>
              <w:t>278,41 milijona</w:t>
            </w:r>
            <w:r w:rsidRPr="003B2277">
              <w:rPr>
                <w:rFonts w:eastAsia="Calibri" w:cs="Mangal"/>
                <w:lang w:eastAsia="en-US"/>
              </w:rPr>
              <w:t xml:space="preserve"> EUR</w:t>
            </w:r>
            <w:r w:rsidRPr="003B2277">
              <w:rPr>
                <w:rFonts w:eastAsia="Calibri" w:cs="Mangal"/>
                <w:b/>
                <w:i/>
                <w:lang w:eastAsia="en-US"/>
              </w:rPr>
              <w:t>,</w:t>
            </w:r>
          </w:p>
        </w:tc>
      </w:tr>
    </w:tbl>
    <w:p w14:paraId="6F652401" w14:textId="77777777" w:rsidR="006F5BFE" w:rsidRPr="003B2277" w:rsidRDefault="006F5BFE" w:rsidP="006F5BFE">
      <w:pPr>
        <w:rPr>
          <w:lang w:eastAsia="en-US"/>
        </w:rPr>
      </w:pPr>
    </w:p>
    <w:p w14:paraId="162321EB" w14:textId="2805BF84"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215</w:t>
      </w:r>
    </w:p>
    <w:p w14:paraId="5CD8E90B" w14:textId="77777777" w:rsidR="006F5BFE" w:rsidRPr="003B2277" w:rsidRDefault="006F5BFE" w:rsidP="006F5BFE">
      <w:pPr>
        <w:keepNext/>
        <w:rPr>
          <w:b/>
          <w:lang w:eastAsia="en-US"/>
        </w:rPr>
      </w:pPr>
      <w:r w:rsidRPr="003B2277">
        <w:rPr>
          <w:rFonts w:eastAsia="Calibri" w:cs="Mangal"/>
          <w:b/>
          <w:lang w:eastAsia="en-US"/>
        </w:rPr>
        <w:t>Predlog uredbe</w:t>
      </w:r>
    </w:p>
    <w:p w14:paraId="08713F70" w14:textId="77777777" w:rsidR="006F5BFE" w:rsidRPr="003B2277" w:rsidRDefault="006F5BFE" w:rsidP="006F5BFE">
      <w:pPr>
        <w:rPr>
          <w:b/>
          <w:lang w:eastAsia="en-US"/>
        </w:rPr>
      </w:pPr>
      <w:r w:rsidRPr="003B2277">
        <w:rPr>
          <w:rFonts w:eastAsia="Calibri" w:cs="Mangal"/>
          <w:b/>
          <w:lang w:eastAsia="en-US"/>
        </w:rPr>
        <w:t>Člen 4 – odstavek 1</w:t>
      </w:r>
    </w:p>
    <w:p w14:paraId="7B9B6980" w14:textId="77777777" w:rsidR="006F5BFE" w:rsidRPr="003B2277" w:rsidRDefault="006F5BFE" w:rsidP="006F5BFE">
      <w:pPr>
        <w:keepNext/>
        <w:rPr>
          <w:lang w:eastAsia="en-US"/>
        </w:rPr>
      </w:pPr>
      <w:r w:rsidRPr="003B2277">
        <w:rPr>
          <w:rFonts w:eastAsia="Calibri" w:cs="Mangal"/>
          <w:lang w:eastAsia="en-US"/>
        </w:rPr>
        <w:t>Uredba (EU) št. 228/2013</w:t>
      </w:r>
    </w:p>
    <w:p w14:paraId="142B4E16" w14:textId="77777777" w:rsidR="006F5BFE" w:rsidRPr="003B2277" w:rsidRDefault="006F5BFE" w:rsidP="006F5BFE">
      <w:pPr>
        <w:rPr>
          <w:lang w:eastAsia="en-US"/>
        </w:rPr>
      </w:pPr>
      <w:r w:rsidRPr="003B2277">
        <w:rPr>
          <w:rFonts w:eastAsia="Calibri" w:cs="Mangal"/>
          <w:lang w:eastAsia="en-US"/>
        </w:rPr>
        <w:t>Člen 30 – odstavek 2 – alinea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51502367" w14:textId="77777777" w:rsidTr="005B4D60">
        <w:trPr>
          <w:jc w:val="center"/>
        </w:trPr>
        <w:tc>
          <w:tcPr>
            <w:tcW w:w="9752" w:type="dxa"/>
            <w:gridSpan w:val="2"/>
          </w:tcPr>
          <w:p w14:paraId="5C5F5BC3" w14:textId="77777777" w:rsidR="006F5BFE" w:rsidRPr="003B2277" w:rsidRDefault="006F5BFE" w:rsidP="005B4D60">
            <w:pPr>
              <w:keepNext/>
            </w:pPr>
          </w:p>
        </w:tc>
      </w:tr>
      <w:tr w:rsidR="006F5BFE" w:rsidRPr="003B2277" w14:paraId="3D5308AA" w14:textId="77777777" w:rsidTr="005B4D60">
        <w:trPr>
          <w:jc w:val="center"/>
        </w:trPr>
        <w:tc>
          <w:tcPr>
            <w:tcW w:w="4876" w:type="dxa"/>
            <w:hideMark/>
          </w:tcPr>
          <w:p w14:paraId="0A6AFEE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5C1F7FA" w14:textId="7F90FE7F"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E46F5CA" w14:textId="77777777" w:rsidTr="005B4D60">
        <w:trPr>
          <w:jc w:val="center"/>
        </w:trPr>
        <w:tc>
          <w:tcPr>
            <w:tcW w:w="4876" w:type="dxa"/>
            <w:hideMark/>
          </w:tcPr>
          <w:p w14:paraId="3580293E"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Azore in Madeiro: </w:t>
            </w:r>
            <w:r w:rsidRPr="003B2277">
              <w:rPr>
                <w:rFonts w:eastAsia="Calibri" w:cs="Mangal"/>
                <w:b/>
                <w:i/>
                <w:lang w:eastAsia="en-US"/>
              </w:rPr>
              <w:t>102 080 000</w:t>
            </w:r>
            <w:r w:rsidRPr="003B2277">
              <w:rPr>
                <w:rFonts w:eastAsia="Calibri" w:cs="Mangal"/>
                <w:lang w:eastAsia="en-US"/>
              </w:rPr>
              <w:t xml:space="preserve"> EUR</w:t>
            </w:r>
            <w:r w:rsidRPr="003B2277">
              <w:rPr>
                <w:rFonts w:eastAsia="Calibri" w:cs="Mangal"/>
                <w:b/>
                <w:i/>
                <w:lang w:eastAsia="en-US"/>
              </w:rPr>
              <w:t>.</w:t>
            </w:r>
          </w:p>
        </w:tc>
        <w:tc>
          <w:tcPr>
            <w:tcW w:w="4876" w:type="dxa"/>
            <w:hideMark/>
          </w:tcPr>
          <w:p w14:paraId="10BAEDF1"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Azore in Madeiro: </w:t>
            </w:r>
            <w:r w:rsidRPr="003B2277">
              <w:rPr>
                <w:rFonts w:eastAsia="Calibri" w:cs="Mangal"/>
                <w:b/>
                <w:i/>
                <w:lang w:eastAsia="en-US"/>
              </w:rPr>
              <w:t>106,21 milijona</w:t>
            </w:r>
            <w:r w:rsidRPr="003B2277">
              <w:rPr>
                <w:rFonts w:eastAsia="Calibri" w:cs="Mangal"/>
                <w:lang w:eastAsia="en-US"/>
              </w:rPr>
              <w:t xml:space="preserve"> EUR</w:t>
            </w:r>
            <w:r w:rsidRPr="003B2277">
              <w:rPr>
                <w:rFonts w:eastAsia="Calibri" w:cs="Mangal"/>
                <w:b/>
                <w:i/>
                <w:lang w:eastAsia="en-US"/>
              </w:rPr>
              <w:t>,</w:t>
            </w:r>
          </w:p>
        </w:tc>
      </w:tr>
    </w:tbl>
    <w:p w14:paraId="33502BE9" w14:textId="77777777" w:rsidR="006F5BFE" w:rsidRPr="003B2277" w:rsidRDefault="006F5BFE" w:rsidP="006F5BFE">
      <w:pPr>
        <w:rPr>
          <w:lang w:eastAsia="en-US"/>
        </w:rPr>
      </w:pPr>
    </w:p>
    <w:p w14:paraId="25B16848" w14:textId="78803C4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216</w:t>
      </w:r>
    </w:p>
    <w:p w14:paraId="21FA5572" w14:textId="77777777" w:rsidR="006F5BFE" w:rsidRPr="003B2277" w:rsidRDefault="006F5BFE" w:rsidP="006F5BFE"/>
    <w:p w14:paraId="1BACAE3D" w14:textId="77777777" w:rsidR="006F5BFE" w:rsidRPr="003B2277" w:rsidRDefault="006F5BFE" w:rsidP="006F5BFE">
      <w:pPr>
        <w:keepNext/>
        <w:rPr>
          <w:b/>
          <w:lang w:eastAsia="en-US"/>
        </w:rPr>
      </w:pPr>
      <w:r w:rsidRPr="003B2277">
        <w:rPr>
          <w:rFonts w:eastAsia="Calibri" w:cs="Mangal"/>
          <w:b/>
          <w:lang w:eastAsia="en-US"/>
        </w:rPr>
        <w:t>Predlog uredbe</w:t>
      </w:r>
    </w:p>
    <w:p w14:paraId="4AA51A00" w14:textId="77777777" w:rsidR="006F5BFE" w:rsidRPr="003B2277" w:rsidRDefault="006F5BFE" w:rsidP="006F5BFE">
      <w:pPr>
        <w:rPr>
          <w:b/>
          <w:lang w:eastAsia="en-US"/>
        </w:rPr>
      </w:pPr>
      <w:r w:rsidRPr="003B2277">
        <w:rPr>
          <w:rFonts w:eastAsia="Calibri" w:cs="Mangal"/>
          <w:b/>
          <w:lang w:eastAsia="en-US"/>
        </w:rPr>
        <w:t>Člen 4 – odstavek 1</w:t>
      </w:r>
    </w:p>
    <w:p w14:paraId="3AE3428C" w14:textId="77777777" w:rsidR="006F5BFE" w:rsidRPr="003B2277" w:rsidRDefault="006F5BFE" w:rsidP="006F5BFE">
      <w:pPr>
        <w:keepNext/>
        <w:rPr>
          <w:lang w:eastAsia="en-US"/>
        </w:rPr>
      </w:pPr>
      <w:r w:rsidRPr="003B2277">
        <w:rPr>
          <w:rFonts w:eastAsia="Calibri" w:cs="Mangal"/>
          <w:lang w:eastAsia="en-US"/>
        </w:rPr>
        <w:t>Uredba (EU) št. 228/2013</w:t>
      </w:r>
    </w:p>
    <w:p w14:paraId="3B7CD8D0" w14:textId="77777777" w:rsidR="006F5BFE" w:rsidRPr="003B2277" w:rsidRDefault="006F5BFE" w:rsidP="006F5BFE">
      <w:pPr>
        <w:rPr>
          <w:lang w:eastAsia="en-US"/>
        </w:rPr>
      </w:pPr>
      <w:r w:rsidRPr="003B2277">
        <w:rPr>
          <w:rFonts w:eastAsia="Calibri" w:cs="Mangal"/>
          <w:lang w:eastAsia="en-US"/>
        </w:rPr>
        <w:t>Člen 30 – odstavek 2 – alinea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0D1BD5A9" w14:textId="77777777" w:rsidTr="005B4D60">
        <w:trPr>
          <w:jc w:val="center"/>
        </w:trPr>
        <w:tc>
          <w:tcPr>
            <w:tcW w:w="9752" w:type="dxa"/>
            <w:gridSpan w:val="2"/>
          </w:tcPr>
          <w:p w14:paraId="3F96893E" w14:textId="77777777" w:rsidR="006F5BFE" w:rsidRPr="003B2277" w:rsidRDefault="006F5BFE" w:rsidP="005B4D60">
            <w:pPr>
              <w:keepNext/>
            </w:pPr>
          </w:p>
        </w:tc>
      </w:tr>
      <w:tr w:rsidR="006F5BFE" w:rsidRPr="003B2277" w14:paraId="364A0D3D" w14:textId="77777777" w:rsidTr="005B4D60">
        <w:trPr>
          <w:jc w:val="center"/>
        </w:trPr>
        <w:tc>
          <w:tcPr>
            <w:tcW w:w="4876" w:type="dxa"/>
            <w:hideMark/>
          </w:tcPr>
          <w:p w14:paraId="7FE06877"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F14A6A6" w14:textId="6A95709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0EC09A1D" w14:textId="77777777" w:rsidTr="005B4D60">
        <w:trPr>
          <w:jc w:val="center"/>
        </w:trPr>
        <w:tc>
          <w:tcPr>
            <w:tcW w:w="4876" w:type="dxa"/>
            <w:hideMark/>
          </w:tcPr>
          <w:p w14:paraId="51EABC51"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Kanarske otoke: </w:t>
            </w:r>
            <w:r w:rsidRPr="003B2277">
              <w:rPr>
                <w:rFonts w:eastAsia="Calibri" w:cs="Mangal"/>
                <w:b/>
                <w:i/>
                <w:lang w:eastAsia="en-US"/>
              </w:rPr>
              <w:t>257 970 000</w:t>
            </w:r>
            <w:r w:rsidRPr="003B2277">
              <w:rPr>
                <w:rFonts w:eastAsia="Calibri" w:cs="Mangal"/>
                <w:lang w:eastAsia="en-US"/>
              </w:rPr>
              <w:t xml:space="preserve"> EUR.</w:t>
            </w:r>
          </w:p>
        </w:tc>
        <w:tc>
          <w:tcPr>
            <w:tcW w:w="4876" w:type="dxa"/>
            <w:hideMark/>
          </w:tcPr>
          <w:p w14:paraId="3547637E"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Kanarske otoke: </w:t>
            </w:r>
            <w:r w:rsidRPr="003B2277">
              <w:rPr>
                <w:rFonts w:eastAsia="Calibri" w:cs="Mangal"/>
                <w:b/>
                <w:i/>
                <w:lang w:eastAsia="en-US"/>
              </w:rPr>
              <w:t>268,42 milijona</w:t>
            </w:r>
            <w:r w:rsidRPr="003B2277">
              <w:rPr>
                <w:rFonts w:eastAsia="Calibri" w:cs="Mangal"/>
                <w:lang w:eastAsia="en-US"/>
              </w:rPr>
              <w:t xml:space="preserve"> EUR.</w:t>
            </w:r>
          </w:p>
        </w:tc>
      </w:tr>
    </w:tbl>
    <w:p w14:paraId="0DE50D00" w14:textId="77777777" w:rsidR="006F5BFE" w:rsidRPr="003B2277" w:rsidRDefault="006F5BFE" w:rsidP="006F5BFE">
      <w:pPr>
        <w:rPr>
          <w:lang w:eastAsia="en-US"/>
        </w:rPr>
      </w:pPr>
    </w:p>
    <w:p w14:paraId="273070E6" w14:textId="020D5A5A"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217</w:t>
      </w:r>
    </w:p>
    <w:p w14:paraId="0867EE5E" w14:textId="77777777" w:rsidR="006F5BFE" w:rsidRPr="003B2277" w:rsidRDefault="006F5BFE" w:rsidP="006F5BFE"/>
    <w:p w14:paraId="16303237" w14:textId="77777777" w:rsidR="006F5BFE" w:rsidRPr="003B2277" w:rsidRDefault="006F5BFE" w:rsidP="006F5BFE">
      <w:pPr>
        <w:keepNext/>
        <w:rPr>
          <w:b/>
          <w:lang w:eastAsia="en-US"/>
        </w:rPr>
      </w:pPr>
      <w:r w:rsidRPr="003B2277">
        <w:rPr>
          <w:rFonts w:eastAsia="Calibri" w:cs="Mangal"/>
          <w:b/>
          <w:lang w:eastAsia="en-US"/>
        </w:rPr>
        <w:t>Predlog uredbe</w:t>
      </w:r>
    </w:p>
    <w:p w14:paraId="520325F2" w14:textId="77777777" w:rsidR="006F5BFE" w:rsidRPr="003B2277" w:rsidRDefault="006F5BFE" w:rsidP="006F5BFE">
      <w:pPr>
        <w:rPr>
          <w:b/>
          <w:lang w:eastAsia="en-US"/>
        </w:rPr>
      </w:pPr>
      <w:r w:rsidRPr="003B2277">
        <w:rPr>
          <w:rFonts w:eastAsia="Calibri" w:cs="Mangal"/>
          <w:b/>
          <w:lang w:eastAsia="en-US"/>
        </w:rPr>
        <w:t>Člen 4 – odstavek 1</w:t>
      </w:r>
    </w:p>
    <w:p w14:paraId="5DD39712" w14:textId="77777777" w:rsidR="006F5BFE" w:rsidRPr="003B2277" w:rsidRDefault="006F5BFE" w:rsidP="006F5BFE">
      <w:pPr>
        <w:keepNext/>
        <w:rPr>
          <w:lang w:eastAsia="en-US"/>
        </w:rPr>
      </w:pPr>
      <w:r w:rsidRPr="003B2277">
        <w:rPr>
          <w:rFonts w:eastAsia="Calibri" w:cs="Mangal"/>
          <w:lang w:eastAsia="en-US"/>
        </w:rPr>
        <w:t>Uredba (EU) št. 228/2013</w:t>
      </w:r>
    </w:p>
    <w:p w14:paraId="1957656F" w14:textId="77777777" w:rsidR="006F5BFE" w:rsidRPr="003B2277" w:rsidRDefault="006F5BFE" w:rsidP="006F5BFE">
      <w:pPr>
        <w:rPr>
          <w:lang w:eastAsia="en-US"/>
        </w:rPr>
      </w:pPr>
      <w:r w:rsidRPr="003B2277">
        <w:rPr>
          <w:rFonts w:eastAsia="Calibri" w:cs="Mangal"/>
          <w:lang w:eastAsia="en-US"/>
        </w:rPr>
        <w:t>Člen 30 – odstavek 3 – alinea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5FF93E1" w14:textId="77777777" w:rsidTr="005B4D60">
        <w:trPr>
          <w:jc w:val="center"/>
        </w:trPr>
        <w:tc>
          <w:tcPr>
            <w:tcW w:w="9752" w:type="dxa"/>
            <w:gridSpan w:val="2"/>
          </w:tcPr>
          <w:p w14:paraId="48DB0946" w14:textId="77777777" w:rsidR="006F5BFE" w:rsidRPr="003B2277" w:rsidRDefault="006F5BFE" w:rsidP="005B4D60">
            <w:pPr>
              <w:keepNext/>
            </w:pPr>
          </w:p>
        </w:tc>
      </w:tr>
      <w:tr w:rsidR="006F5BFE" w:rsidRPr="003B2277" w14:paraId="0DBD1A3E" w14:textId="77777777" w:rsidTr="005B4D60">
        <w:trPr>
          <w:jc w:val="center"/>
        </w:trPr>
        <w:tc>
          <w:tcPr>
            <w:tcW w:w="4876" w:type="dxa"/>
            <w:hideMark/>
          </w:tcPr>
          <w:p w14:paraId="08D8E33A"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0391DC4D" w14:textId="554FEE1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538649AF" w14:textId="77777777" w:rsidTr="005B4D60">
        <w:trPr>
          <w:jc w:val="center"/>
        </w:trPr>
        <w:tc>
          <w:tcPr>
            <w:tcW w:w="4876" w:type="dxa"/>
            <w:hideMark/>
          </w:tcPr>
          <w:p w14:paraId="2AA46CB4"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francoske čezmorske departmaje: </w:t>
            </w:r>
            <w:r w:rsidRPr="003B2277">
              <w:rPr>
                <w:rFonts w:eastAsia="Calibri" w:cs="Mangal"/>
                <w:b/>
                <w:i/>
                <w:lang w:eastAsia="en-US"/>
              </w:rPr>
              <w:t>25 900 000</w:t>
            </w:r>
            <w:r w:rsidRPr="003B2277">
              <w:rPr>
                <w:rFonts w:eastAsia="Calibri" w:cs="Mangal"/>
                <w:lang w:eastAsia="en-US"/>
              </w:rPr>
              <w:t xml:space="preserve"> EUR.</w:t>
            </w:r>
          </w:p>
        </w:tc>
        <w:tc>
          <w:tcPr>
            <w:tcW w:w="4876" w:type="dxa"/>
            <w:hideMark/>
          </w:tcPr>
          <w:p w14:paraId="00EB075E"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francoske čezmorske departmaje: </w:t>
            </w:r>
            <w:r w:rsidRPr="003B2277">
              <w:rPr>
                <w:rFonts w:eastAsia="Calibri" w:cs="Mangal"/>
                <w:b/>
                <w:i/>
                <w:lang w:eastAsia="en-US"/>
              </w:rPr>
              <w:t>26 900 000</w:t>
            </w:r>
            <w:r w:rsidRPr="003B2277">
              <w:rPr>
                <w:rFonts w:eastAsia="Calibri" w:cs="Mangal"/>
                <w:lang w:eastAsia="en-US"/>
              </w:rPr>
              <w:t xml:space="preserve"> EUR.</w:t>
            </w:r>
          </w:p>
        </w:tc>
      </w:tr>
    </w:tbl>
    <w:p w14:paraId="61C5A2AE" w14:textId="77777777" w:rsidR="006F5BFE" w:rsidRPr="003B2277" w:rsidRDefault="006F5BFE" w:rsidP="006F5BFE">
      <w:pPr>
        <w:rPr>
          <w:lang w:eastAsia="en-US"/>
        </w:rPr>
      </w:pPr>
    </w:p>
    <w:p w14:paraId="75FEC5EC" w14:textId="766D8F18"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218</w:t>
      </w:r>
    </w:p>
    <w:p w14:paraId="49FBF156" w14:textId="77777777" w:rsidR="006F5BFE" w:rsidRPr="003B2277" w:rsidRDefault="006F5BFE" w:rsidP="006F5BFE"/>
    <w:p w14:paraId="61663ACB" w14:textId="77777777" w:rsidR="006F5BFE" w:rsidRPr="003B2277" w:rsidRDefault="006F5BFE" w:rsidP="006F5BFE">
      <w:pPr>
        <w:keepNext/>
        <w:rPr>
          <w:b/>
          <w:lang w:eastAsia="en-US"/>
        </w:rPr>
      </w:pPr>
      <w:r w:rsidRPr="003B2277">
        <w:rPr>
          <w:rFonts w:eastAsia="Calibri" w:cs="Mangal"/>
          <w:b/>
          <w:lang w:eastAsia="en-US"/>
        </w:rPr>
        <w:t>Predlog uredbe</w:t>
      </w:r>
    </w:p>
    <w:p w14:paraId="29EA73AF" w14:textId="77777777" w:rsidR="006F5BFE" w:rsidRPr="003B2277" w:rsidRDefault="006F5BFE" w:rsidP="006F5BFE">
      <w:pPr>
        <w:rPr>
          <w:b/>
          <w:lang w:eastAsia="en-US"/>
        </w:rPr>
      </w:pPr>
      <w:r w:rsidRPr="003B2277">
        <w:rPr>
          <w:rFonts w:eastAsia="Calibri" w:cs="Mangal"/>
          <w:b/>
          <w:lang w:eastAsia="en-US"/>
        </w:rPr>
        <w:t>Člen 4 – odstavek 1</w:t>
      </w:r>
    </w:p>
    <w:p w14:paraId="2264D6AB" w14:textId="77777777" w:rsidR="006F5BFE" w:rsidRPr="003B2277" w:rsidRDefault="006F5BFE" w:rsidP="006F5BFE">
      <w:pPr>
        <w:keepNext/>
        <w:rPr>
          <w:lang w:eastAsia="en-US"/>
        </w:rPr>
      </w:pPr>
      <w:r w:rsidRPr="003B2277">
        <w:rPr>
          <w:rFonts w:eastAsia="Calibri" w:cs="Mangal"/>
          <w:lang w:eastAsia="en-US"/>
        </w:rPr>
        <w:t>Uredba (EU) št. 228/2013</w:t>
      </w:r>
    </w:p>
    <w:p w14:paraId="118C2CA6" w14:textId="77777777" w:rsidR="006F5BFE" w:rsidRPr="003B2277" w:rsidRDefault="006F5BFE" w:rsidP="006F5BFE">
      <w:pPr>
        <w:rPr>
          <w:lang w:eastAsia="en-US"/>
        </w:rPr>
      </w:pPr>
      <w:r w:rsidRPr="003B2277">
        <w:rPr>
          <w:rFonts w:eastAsia="Calibri" w:cs="Mangal"/>
          <w:lang w:eastAsia="en-US"/>
        </w:rPr>
        <w:t>Člen 30 – odstavek 3 – alinea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253EA589" w14:textId="77777777" w:rsidTr="005B4D60">
        <w:trPr>
          <w:jc w:val="center"/>
        </w:trPr>
        <w:tc>
          <w:tcPr>
            <w:tcW w:w="9752" w:type="dxa"/>
            <w:gridSpan w:val="2"/>
          </w:tcPr>
          <w:p w14:paraId="49999D91" w14:textId="77777777" w:rsidR="006F5BFE" w:rsidRPr="003B2277" w:rsidRDefault="006F5BFE" w:rsidP="005B4D60">
            <w:pPr>
              <w:keepNext/>
            </w:pPr>
          </w:p>
        </w:tc>
      </w:tr>
      <w:tr w:rsidR="006F5BFE" w:rsidRPr="003B2277" w14:paraId="6026F4DF" w14:textId="77777777" w:rsidTr="005B4D60">
        <w:trPr>
          <w:jc w:val="center"/>
        </w:trPr>
        <w:tc>
          <w:tcPr>
            <w:tcW w:w="4876" w:type="dxa"/>
            <w:hideMark/>
          </w:tcPr>
          <w:p w14:paraId="6F6134C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7F32EFD0" w14:textId="6417790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472648F" w14:textId="77777777" w:rsidTr="005B4D60">
        <w:trPr>
          <w:jc w:val="center"/>
        </w:trPr>
        <w:tc>
          <w:tcPr>
            <w:tcW w:w="4876" w:type="dxa"/>
            <w:hideMark/>
          </w:tcPr>
          <w:p w14:paraId="518D0805"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Azore in Madeiro: </w:t>
            </w:r>
            <w:r w:rsidRPr="003B2277">
              <w:rPr>
                <w:rFonts w:eastAsia="Calibri" w:cs="Mangal"/>
                <w:b/>
                <w:i/>
                <w:lang w:eastAsia="en-US"/>
              </w:rPr>
              <w:t>20</w:t>
            </w:r>
            <w:r w:rsidRPr="003B2277">
              <w:rPr>
                <w:rFonts w:eastAsia="Calibri" w:cs="Mangal"/>
                <w:lang w:eastAsia="en-US"/>
              </w:rPr>
              <w:t> </w:t>
            </w:r>
            <w:r w:rsidRPr="003B2277">
              <w:rPr>
                <w:rFonts w:eastAsia="Calibri" w:cs="Mangal"/>
                <w:b/>
                <w:i/>
                <w:lang w:eastAsia="en-US"/>
              </w:rPr>
              <w:t>400</w:t>
            </w:r>
            <w:r w:rsidRPr="003B2277">
              <w:rPr>
                <w:rFonts w:eastAsia="Calibri" w:cs="Mangal"/>
                <w:lang w:eastAsia="en-US"/>
              </w:rPr>
              <w:t> 000 EUR.</w:t>
            </w:r>
          </w:p>
        </w:tc>
        <w:tc>
          <w:tcPr>
            <w:tcW w:w="4876" w:type="dxa"/>
            <w:hideMark/>
          </w:tcPr>
          <w:p w14:paraId="2A798F12"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Azore in Madeiro: </w:t>
            </w:r>
            <w:r w:rsidRPr="003B2277">
              <w:rPr>
                <w:rFonts w:eastAsia="Calibri" w:cs="Mangal"/>
                <w:b/>
                <w:i/>
                <w:lang w:eastAsia="en-US"/>
              </w:rPr>
              <w:t>21</w:t>
            </w:r>
            <w:r w:rsidRPr="003B2277">
              <w:rPr>
                <w:rFonts w:eastAsia="Calibri" w:cs="Mangal"/>
                <w:lang w:eastAsia="en-US"/>
              </w:rPr>
              <w:t> </w:t>
            </w:r>
            <w:r w:rsidRPr="003B2277">
              <w:rPr>
                <w:rFonts w:eastAsia="Calibri" w:cs="Mangal"/>
                <w:b/>
                <w:i/>
                <w:lang w:eastAsia="en-US"/>
              </w:rPr>
              <w:t>200</w:t>
            </w:r>
            <w:r w:rsidRPr="003B2277">
              <w:rPr>
                <w:rFonts w:eastAsia="Calibri" w:cs="Mangal"/>
                <w:lang w:eastAsia="en-US"/>
              </w:rPr>
              <w:t> 000 EUR.</w:t>
            </w:r>
          </w:p>
        </w:tc>
      </w:tr>
    </w:tbl>
    <w:p w14:paraId="03886C36" w14:textId="77777777" w:rsidR="006F5BFE" w:rsidRPr="003B2277" w:rsidRDefault="006F5BFE" w:rsidP="006F5BFE">
      <w:pPr>
        <w:rPr>
          <w:lang w:eastAsia="en-US"/>
        </w:rPr>
      </w:pPr>
    </w:p>
    <w:p w14:paraId="23AC182E" w14:textId="738B4F1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219</w:t>
      </w:r>
    </w:p>
    <w:p w14:paraId="1C2857E8" w14:textId="77777777" w:rsidR="006F5BFE" w:rsidRPr="003B2277" w:rsidRDefault="006F5BFE" w:rsidP="006F5BFE"/>
    <w:p w14:paraId="52C125CA" w14:textId="77777777" w:rsidR="006F5BFE" w:rsidRPr="003B2277" w:rsidRDefault="006F5BFE" w:rsidP="006F5BFE">
      <w:pPr>
        <w:keepNext/>
        <w:rPr>
          <w:b/>
          <w:lang w:eastAsia="en-US"/>
        </w:rPr>
      </w:pPr>
      <w:r w:rsidRPr="003B2277">
        <w:rPr>
          <w:rFonts w:eastAsia="Calibri" w:cs="Mangal"/>
          <w:b/>
          <w:lang w:eastAsia="en-US"/>
        </w:rPr>
        <w:t>Predlog uredbe</w:t>
      </w:r>
    </w:p>
    <w:p w14:paraId="56D38D4C" w14:textId="77777777" w:rsidR="006F5BFE" w:rsidRPr="003B2277" w:rsidRDefault="006F5BFE" w:rsidP="006F5BFE">
      <w:pPr>
        <w:rPr>
          <w:b/>
          <w:lang w:eastAsia="en-US"/>
        </w:rPr>
      </w:pPr>
      <w:r w:rsidRPr="003B2277">
        <w:rPr>
          <w:rFonts w:eastAsia="Calibri" w:cs="Mangal"/>
          <w:b/>
          <w:lang w:eastAsia="en-US"/>
        </w:rPr>
        <w:t>Člen 4 – odstavek 1</w:t>
      </w:r>
    </w:p>
    <w:p w14:paraId="0CE0916D" w14:textId="77777777" w:rsidR="006F5BFE" w:rsidRPr="003B2277" w:rsidRDefault="006F5BFE" w:rsidP="006F5BFE">
      <w:pPr>
        <w:keepNext/>
        <w:rPr>
          <w:lang w:eastAsia="en-US"/>
        </w:rPr>
      </w:pPr>
      <w:r w:rsidRPr="003B2277">
        <w:rPr>
          <w:rFonts w:eastAsia="Calibri" w:cs="Mangal"/>
          <w:lang w:eastAsia="en-US"/>
        </w:rPr>
        <w:t>Uredba (EU) št. 228/2013</w:t>
      </w:r>
    </w:p>
    <w:p w14:paraId="1E37BCE5" w14:textId="77777777" w:rsidR="006F5BFE" w:rsidRPr="003B2277" w:rsidRDefault="006F5BFE" w:rsidP="006F5BFE">
      <w:pPr>
        <w:rPr>
          <w:lang w:eastAsia="en-US"/>
        </w:rPr>
      </w:pPr>
      <w:r w:rsidRPr="003B2277">
        <w:rPr>
          <w:rFonts w:eastAsia="Calibri" w:cs="Mangal"/>
          <w:lang w:eastAsia="en-US"/>
        </w:rPr>
        <w:t>Člen 30 – odstavek 3 – alinea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1B332CD8" w14:textId="77777777" w:rsidTr="005B4D60">
        <w:trPr>
          <w:jc w:val="center"/>
        </w:trPr>
        <w:tc>
          <w:tcPr>
            <w:tcW w:w="9752" w:type="dxa"/>
            <w:gridSpan w:val="2"/>
          </w:tcPr>
          <w:p w14:paraId="5B565CCE" w14:textId="77777777" w:rsidR="006F5BFE" w:rsidRPr="003B2277" w:rsidRDefault="006F5BFE" w:rsidP="005B4D60">
            <w:pPr>
              <w:keepNext/>
            </w:pPr>
          </w:p>
        </w:tc>
      </w:tr>
      <w:tr w:rsidR="006F5BFE" w:rsidRPr="003B2277" w14:paraId="10E94115" w14:textId="77777777" w:rsidTr="005B4D60">
        <w:trPr>
          <w:jc w:val="center"/>
        </w:trPr>
        <w:tc>
          <w:tcPr>
            <w:tcW w:w="4876" w:type="dxa"/>
            <w:hideMark/>
          </w:tcPr>
          <w:p w14:paraId="154C246D"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51E27CA" w14:textId="42654898"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3354FDFA" w14:textId="77777777" w:rsidTr="005B4D60">
        <w:trPr>
          <w:jc w:val="center"/>
        </w:trPr>
        <w:tc>
          <w:tcPr>
            <w:tcW w:w="4876" w:type="dxa"/>
            <w:hideMark/>
          </w:tcPr>
          <w:p w14:paraId="5F728E28" w14:textId="77777777" w:rsidR="006F5BFE" w:rsidRPr="003B2277" w:rsidRDefault="006F5BFE" w:rsidP="005B4D60">
            <w:pPr>
              <w:spacing w:after="120"/>
              <w:rPr>
                <w:lang w:eastAsia="en-US"/>
              </w:rPr>
            </w:pPr>
            <w:r w:rsidRPr="003B2277">
              <w:rPr>
                <w:rFonts w:eastAsia="Calibri" w:cs="Mangal"/>
                <w:lang w:eastAsia="en-US"/>
              </w:rPr>
              <w:t>–</w:t>
            </w:r>
            <w:r w:rsidRPr="003B2277">
              <w:rPr>
                <w:rFonts w:eastAsia="Calibri" w:cs="Mangal"/>
                <w:lang w:eastAsia="en-US"/>
              </w:rPr>
              <w:tab/>
              <w:t xml:space="preserve">za Kanarske otoke: </w:t>
            </w:r>
            <w:r w:rsidRPr="003B2277">
              <w:rPr>
                <w:rFonts w:eastAsia="Calibri" w:cs="Mangal"/>
                <w:b/>
                <w:i/>
                <w:lang w:eastAsia="en-US"/>
              </w:rPr>
              <w:t>69</w:t>
            </w:r>
            <w:r w:rsidRPr="003B2277">
              <w:rPr>
                <w:rFonts w:eastAsia="Calibri" w:cs="Mangal"/>
                <w:lang w:eastAsia="en-US"/>
              </w:rPr>
              <w:t> </w:t>
            </w:r>
            <w:r w:rsidRPr="003B2277">
              <w:rPr>
                <w:rFonts w:eastAsia="Calibri" w:cs="Mangal"/>
                <w:b/>
                <w:i/>
                <w:lang w:eastAsia="en-US"/>
              </w:rPr>
              <w:t>900</w:t>
            </w:r>
            <w:r w:rsidRPr="003B2277">
              <w:rPr>
                <w:rFonts w:eastAsia="Calibri" w:cs="Mangal"/>
                <w:lang w:eastAsia="en-US"/>
              </w:rPr>
              <w:t> 000 EUR.</w:t>
            </w:r>
          </w:p>
        </w:tc>
        <w:tc>
          <w:tcPr>
            <w:tcW w:w="4876" w:type="dxa"/>
            <w:hideMark/>
          </w:tcPr>
          <w:p w14:paraId="48C471F7" w14:textId="77777777" w:rsidR="006F5BFE" w:rsidRPr="003B2277" w:rsidRDefault="006F5BFE" w:rsidP="005B4D60">
            <w:pPr>
              <w:spacing w:after="120"/>
              <w:rPr>
                <w:szCs w:val="24"/>
                <w:lang w:eastAsia="en-US"/>
              </w:rPr>
            </w:pPr>
            <w:r w:rsidRPr="003B2277">
              <w:rPr>
                <w:rFonts w:eastAsia="Calibri" w:cs="Mangal"/>
                <w:lang w:eastAsia="en-US"/>
              </w:rPr>
              <w:t>–</w:t>
            </w:r>
            <w:r w:rsidRPr="003B2277">
              <w:rPr>
                <w:rFonts w:eastAsia="Calibri" w:cs="Mangal"/>
                <w:lang w:eastAsia="en-US"/>
              </w:rPr>
              <w:tab/>
              <w:t xml:space="preserve">za Kanarske otoke: </w:t>
            </w:r>
            <w:r w:rsidRPr="003B2277">
              <w:rPr>
                <w:rFonts w:eastAsia="Calibri" w:cs="Mangal"/>
                <w:b/>
                <w:i/>
                <w:lang w:eastAsia="en-US"/>
              </w:rPr>
              <w:t>72</w:t>
            </w:r>
            <w:r w:rsidRPr="003B2277">
              <w:rPr>
                <w:rFonts w:eastAsia="Calibri" w:cs="Mangal"/>
                <w:lang w:eastAsia="en-US"/>
              </w:rPr>
              <w:t> </w:t>
            </w:r>
            <w:r w:rsidRPr="003B2277">
              <w:rPr>
                <w:rFonts w:eastAsia="Calibri" w:cs="Mangal"/>
                <w:b/>
                <w:i/>
                <w:lang w:eastAsia="en-US"/>
              </w:rPr>
              <w:t>700</w:t>
            </w:r>
            <w:r w:rsidRPr="003B2277">
              <w:rPr>
                <w:rFonts w:eastAsia="Calibri" w:cs="Mangal"/>
                <w:lang w:eastAsia="en-US"/>
              </w:rPr>
              <w:t> 000 EUR.</w:t>
            </w:r>
          </w:p>
        </w:tc>
      </w:tr>
    </w:tbl>
    <w:p w14:paraId="5EA03337" w14:textId="77777777" w:rsidR="006F5BFE" w:rsidRPr="003B2277" w:rsidRDefault="006F5BFE" w:rsidP="006F5BFE">
      <w:pPr>
        <w:rPr>
          <w:lang w:eastAsia="en-US"/>
        </w:rPr>
      </w:pPr>
    </w:p>
    <w:p w14:paraId="42D9A530" w14:textId="429ECE27" w:rsidR="006F5BFE" w:rsidRPr="003B2277" w:rsidRDefault="003B2277" w:rsidP="006F5BF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r>
      <w:r w:rsidR="006F5BFE" w:rsidRPr="003B2277">
        <w:rPr>
          <w:rFonts w:eastAsia="Calibri" w:cs="Mangal"/>
          <w:b/>
          <w:bCs/>
          <w:lang w:eastAsia="en-US"/>
        </w:rPr>
        <w:t>220</w:t>
      </w:r>
    </w:p>
    <w:p w14:paraId="32A304F8" w14:textId="77777777" w:rsidR="006F5BFE" w:rsidRPr="003B2277" w:rsidRDefault="006F5BFE" w:rsidP="006F5BFE">
      <w:pPr>
        <w:spacing w:before="240"/>
        <w:rPr>
          <w:b/>
          <w:lang w:eastAsia="en-US"/>
        </w:rPr>
      </w:pPr>
      <w:r w:rsidRPr="003B2277">
        <w:rPr>
          <w:rFonts w:eastAsia="Calibri" w:cs="Mangal"/>
          <w:b/>
          <w:lang w:eastAsia="en-US"/>
        </w:rPr>
        <w:t>Predlog uredbe</w:t>
      </w:r>
    </w:p>
    <w:p w14:paraId="33027277" w14:textId="77777777" w:rsidR="006F5BFE" w:rsidRPr="003B2277" w:rsidRDefault="006F5BFE" w:rsidP="006F5BFE">
      <w:pPr>
        <w:rPr>
          <w:b/>
          <w:lang w:eastAsia="en-US"/>
        </w:rPr>
      </w:pPr>
      <w:r w:rsidRPr="003B2277">
        <w:rPr>
          <w:rFonts w:eastAsia="Calibri" w:cs="Mangal"/>
          <w:b/>
          <w:lang w:eastAsia="en-US"/>
        </w:rPr>
        <w:t>Člen 4 – odstavek 1 a (novo)</w:t>
      </w:r>
    </w:p>
    <w:p w14:paraId="7FEE06EF" w14:textId="77777777" w:rsidR="006F5BFE" w:rsidRPr="003B2277" w:rsidRDefault="006F5BFE" w:rsidP="006F5BFE">
      <w:pPr>
        <w:keepNext/>
        <w:rPr>
          <w:lang w:eastAsia="en-US"/>
        </w:rPr>
      </w:pPr>
      <w:r w:rsidRPr="003B2277">
        <w:rPr>
          <w:rFonts w:eastAsia="Calibri" w:cs="Mangal"/>
          <w:lang w:eastAsia="en-US"/>
        </w:rPr>
        <w:t>Uredba (EU) št. 228/2013</w:t>
      </w:r>
    </w:p>
    <w:p w14:paraId="698CF881" w14:textId="77777777" w:rsidR="006F5BFE" w:rsidRPr="003B2277" w:rsidRDefault="006F5BFE" w:rsidP="006F5BFE">
      <w:pPr>
        <w:rPr>
          <w:lang w:eastAsia="en-US"/>
        </w:rPr>
      </w:pPr>
      <w:r w:rsidRPr="003B2277">
        <w:rPr>
          <w:rFonts w:eastAsia="Calibri" w:cs="Mangal"/>
          <w:lang w:eastAsia="en-US"/>
        </w:rPr>
        <w:t>Člen 32 – odstavek 4</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3D1BF7E2" w14:textId="77777777" w:rsidTr="005B4D60">
        <w:trPr>
          <w:jc w:val="center"/>
        </w:trPr>
        <w:tc>
          <w:tcPr>
            <w:tcW w:w="9752" w:type="dxa"/>
            <w:gridSpan w:val="2"/>
          </w:tcPr>
          <w:p w14:paraId="60266C77" w14:textId="77777777" w:rsidR="006F5BFE" w:rsidRPr="003B2277" w:rsidRDefault="006F5BFE" w:rsidP="005B4D60">
            <w:pPr>
              <w:keepNext/>
            </w:pPr>
          </w:p>
        </w:tc>
      </w:tr>
      <w:tr w:rsidR="006F5BFE" w:rsidRPr="003B2277" w14:paraId="232E75A0" w14:textId="77777777" w:rsidTr="005B4D60">
        <w:trPr>
          <w:jc w:val="center"/>
        </w:trPr>
        <w:tc>
          <w:tcPr>
            <w:tcW w:w="4876" w:type="dxa"/>
          </w:tcPr>
          <w:p w14:paraId="75016D18" w14:textId="77777777" w:rsidR="006F5BFE" w:rsidRPr="003B2277" w:rsidRDefault="006F5BFE" w:rsidP="005B4D60">
            <w:pPr>
              <w:spacing w:after="240"/>
              <w:jc w:val="center"/>
              <w:rPr>
                <w:i/>
                <w:lang w:eastAsia="en-US"/>
              </w:rPr>
            </w:pPr>
            <w:r w:rsidRPr="003B2277">
              <w:rPr>
                <w:rFonts w:eastAsia="Calibri" w:cs="Mangal"/>
                <w:i/>
                <w:lang w:eastAsia="en-US"/>
              </w:rPr>
              <w:t>Veljavno besedilo</w:t>
            </w:r>
          </w:p>
        </w:tc>
        <w:tc>
          <w:tcPr>
            <w:tcW w:w="4876" w:type="dxa"/>
          </w:tcPr>
          <w:p w14:paraId="52C3234F" w14:textId="61578D53" w:rsidR="006F5BFE" w:rsidRPr="003B2277" w:rsidRDefault="003B2277" w:rsidP="005B4D60">
            <w:pPr>
              <w:spacing w:after="240"/>
              <w:jc w:val="center"/>
              <w:rPr>
                <w:i/>
                <w:lang w:eastAsia="en-US"/>
              </w:rPr>
            </w:pPr>
            <w:r>
              <w:rPr>
                <w:rFonts w:eastAsia="Calibri" w:cs="Mangal"/>
                <w:i/>
                <w:lang w:eastAsia="en-US"/>
              </w:rPr>
              <w:t>Sprememba</w:t>
            </w:r>
          </w:p>
        </w:tc>
      </w:tr>
      <w:tr w:rsidR="006F5BFE" w:rsidRPr="003B2277" w14:paraId="01C1F76B" w14:textId="77777777" w:rsidTr="005B4D60">
        <w:trPr>
          <w:jc w:val="center"/>
        </w:trPr>
        <w:tc>
          <w:tcPr>
            <w:tcW w:w="4876" w:type="dxa"/>
          </w:tcPr>
          <w:p w14:paraId="4863527E" w14:textId="77777777" w:rsidR="006F5BFE" w:rsidRPr="003B2277" w:rsidRDefault="006F5BFE" w:rsidP="005B4D60">
            <w:pPr>
              <w:spacing w:after="120"/>
            </w:pPr>
          </w:p>
        </w:tc>
        <w:tc>
          <w:tcPr>
            <w:tcW w:w="4876" w:type="dxa"/>
          </w:tcPr>
          <w:p w14:paraId="25607DAC" w14:textId="2CA38418" w:rsidR="006F5BFE" w:rsidRPr="003B2277" w:rsidRDefault="00465DEA" w:rsidP="005B4D60">
            <w:pPr>
              <w:spacing w:after="120"/>
              <w:rPr>
                <w:b/>
                <w:i/>
                <w:lang w:eastAsia="en-US"/>
              </w:rPr>
            </w:pPr>
            <w:r>
              <w:rPr>
                <w:b/>
                <w:i/>
                <w:lang w:eastAsia="en-US"/>
              </w:rPr>
              <w:t>Člen 32(4) se nadomesti z naslednjim:</w:t>
            </w:r>
          </w:p>
        </w:tc>
      </w:tr>
      <w:tr w:rsidR="006F5BFE" w:rsidRPr="003B2277" w14:paraId="756A78C0" w14:textId="77777777" w:rsidTr="005B4D60">
        <w:trPr>
          <w:jc w:val="center"/>
        </w:trPr>
        <w:tc>
          <w:tcPr>
            <w:tcW w:w="4876" w:type="dxa"/>
          </w:tcPr>
          <w:p w14:paraId="093D85BD" w14:textId="77777777" w:rsidR="006F5BFE" w:rsidRPr="003B2277" w:rsidRDefault="006F5BFE" w:rsidP="005B4D60">
            <w:pPr>
              <w:spacing w:after="120"/>
              <w:rPr>
                <w:lang w:eastAsia="en-US"/>
              </w:rPr>
            </w:pPr>
            <w:r w:rsidRPr="003B2277">
              <w:rPr>
                <w:rFonts w:eastAsia="Calibri" w:cs="Mangal"/>
                <w:lang w:eastAsia="en-US"/>
              </w:rPr>
              <w:t xml:space="preserve">4. </w:t>
            </w:r>
            <w:r w:rsidRPr="003B2277">
              <w:rPr>
                <w:rFonts w:eastAsia="Calibri" w:cs="Mangal"/>
                <w:lang w:eastAsia="en-US"/>
              </w:rPr>
              <w:tab/>
            </w:r>
            <w:r w:rsidRPr="003B2277">
              <w:rPr>
                <w:rFonts w:eastAsia="Calibri" w:cs="Mangal"/>
                <w:b/>
                <w:i/>
                <w:lang w:eastAsia="en-US"/>
              </w:rPr>
              <w:t>Analize</w:t>
            </w:r>
            <w:r w:rsidRPr="003B2277">
              <w:rPr>
                <w:rFonts w:eastAsia="Calibri" w:cs="Mangal"/>
                <w:lang w:eastAsia="en-US"/>
              </w:rPr>
              <w:t xml:space="preserve">, študije in ocene, </w:t>
            </w:r>
            <w:r w:rsidRPr="003B2277">
              <w:rPr>
                <w:rFonts w:eastAsia="Calibri" w:cs="Mangal"/>
                <w:b/>
                <w:i/>
                <w:lang w:eastAsia="en-US"/>
              </w:rPr>
              <w:t>ki jih Komisija opravi v okviru trgovinskih sporazumov</w:t>
            </w:r>
            <w:r w:rsidRPr="003B2277">
              <w:rPr>
                <w:rFonts w:eastAsia="Calibri" w:cs="Mangal"/>
                <w:lang w:eastAsia="en-US"/>
              </w:rPr>
              <w:t xml:space="preserve"> in </w:t>
            </w:r>
            <w:r w:rsidRPr="003B2277">
              <w:rPr>
                <w:rFonts w:eastAsia="Calibri" w:cs="Mangal"/>
                <w:b/>
                <w:i/>
                <w:lang w:eastAsia="en-US"/>
              </w:rPr>
              <w:t>skupne kmetijske politike, vsebujejo posebno poglavje, namenjeno temi, ki ima</w:t>
            </w:r>
            <w:r w:rsidRPr="003B2277">
              <w:rPr>
                <w:rFonts w:eastAsia="Calibri" w:cs="Mangal"/>
                <w:lang w:eastAsia="en-US"/>
              </w:rPr>
              <w:t xml:space="preserve"> za </w:t>
            </w:r>
            <w:r w:rsidRPr="003B2277">
              <w:rPr>
                <w:rFonts w:eastAsia="Calibri" w:cs="Mangal"/>
                <w:b/>
                <w:i/>
                <w:lang w:eastAsia="en-US"/>
              </w:rPr>
              <w:t>najbolj oddaljene regije poseben pomen</w:t>
            </w:r>
            <w:r w:rsidRPr="003B2277">
              <w:rPr>
                <w:rFonts w:eastAsia="Calibri" w:cs="Mangal"/>
                <w:lang w:eastAsia="en-US"/>
              </w:rPr>
              <w:t>.</w:t>
            </w:r>
          </w:p>
        </w:tc>
        <w:tc>
          <w:tcPr>
            <w:tcW w:w="4876" w:type="dxa"/>
          </w:tcPr>
          <w:p w14:paraId="18404A2E" w14:textId="6B1310A1" w:rsidR="006F5BFE" w:rsidRPr="003B2277" w:rsidRDefault="00465DEA" w:rsidP="0066252C">
            <w:pPr>
              <w:spacing w:after="120"/>
              <w:rPr>
                <w:lang w:eastAsia="en-US"/>
              </w:rPr>
            </w:pPr>
            <w:r w:rsidRPr="00FD1F1B">
              <w:rPr>
                <w:rFonts w:eastAsia="Calibri" w:cs="Mangal"/>
                <w:b/>
                <w:i/>
                <w:lang w:eastAsia="en-US"/>
              </w:rPr>
              <w:t>„</w:t>
            </w:r>
            <w:r w:rsidR="0066252C" w:rsidRPr="003B2277">
              <w:rPr>
                <w:rFonts w:eastAsia="Calibri" w:cs="Mangal"/>
                <w:lang w:eastAsia="en-US"/>
              </w:rPr>
              <w:t>4.</w:t>
            </w:r>
            <w:r w:rsidR="006F5BFE" w:rsidRPr="003B2277">
              <w:rPr>
                <w:rFonts w:eastAsia="Calibri" w:cs="Mangal"/>
                <w:lang w:eastAsia="en-US"/>
              </w:rPr>
              <w:tab/>
            </w:r>
            <w:r w:rsidR="006F5BFE" w:rsidRPr="003B2277">
              <w:rPr>
                <w:rFonts w:eastAsia="Calibri" w:cs="Mangal"/>
                <w:b/>
                <w:i/>
                <w:lang w:eastAsia="en-US"/>
              </w:rPr>
              <w:t>Unija pred začetkom kakršnih koli trgovinskih pogajanj, ki lahko vplivajo na kmetijstvo v najbolj oddaljenih regijah</w:t>
            </w:r>
            <w:r w:rsidR="006F5BFE" w:rsidRPr="003B2277">
              <w:rPr>
                <w:rFonts w:eastAsia="Calibri" w:cs="Mangal"/>
                <w:lang w:eastAsia="en-US"/>
              </w:rPr>
              <w:t xml:space="preserve">, </w:t>
            </w:r>
            <w:r w:rsidR="006F5BFE" w:rsidRPr="003B2277">
              <w:rPr>
                <w:rFonts w:eastAsia="Calibri" w:cs="Mangal"/>
                <w:b/>
                <w:i/>
                <w:lang w:eastAsia="en-US"/>
              </w:rPr>
              <w:t xml:space="preserve">izvede </w:t>
            </w:r>
            <w:r w:rsidR="006F5BFE" w:rsidRPr="003B2277">
              <w:rPr>
                <w:rFonts w:eastAsia="Calibri" w:cs="Mangal"/>
                <w:lang w:eastAsia="en-US"/>
              </w:rPr>
              <w:t>študije</w:t>
            </w:r>
            <w:r w:rsidR="006F5BFE" w:rsidRPr="003B2277">
              <w:rPr>
                <w:rFonts w:eastAsia="Calibri" w:cs="Mangal"/>
                <w:b/>
                <w:i/>
                <w:lang w:eastAsia="en-US"/>
              </w:rPr>
              <w:t>, analize</w:t>
            </w:r>
            <w:r w:rsidR="006F5BFE" w:rsidRPr="003B2277">
              <w:rPr>
                <w:rFonts w:eastAsia="Calibri" w:cs="Mangal"/>
                <w:lang w:eastAsia="en-US"/>
              </w:rPr>
              <w:t xml:space="preserve"> in ocene</w:t>
            </w:r>
            <w:r w:rsidR="006F5BFE" w:rsidRPr="003B2277">
              <w:rPr>
                <w:rFonts w:eastAsia="Calibri" w:cs="Mangal"/>
                <w:b/>
                <w:i/>
                <w:lang w:eastAsia="en-US"/>
              </w:rPr>
              <w:t xml:space="preserve"> morebitnih posledic teh pogajanj ter prilagodi svoj pogajalski mandat</w:t>
            </w:r>
            <w:r w:rsidR="006F5BFE" w:rsidRPr="003B2277">
              <w:rPr>
                <w:rFonts w:eastAsia="Calibri" w:cs="Mangal"/>
                <w:lang w:eastAsia="en-US"/>
              </w:rPr>
              <w:t xml:space="preserve">, </w:t>
            </w:r>
            <w:r w:rsidR="006F5BFE" w:rsidRPr="003B2277">
              <w:rPr>
                <w:rFonts w:eastAsia="Calibri" w:cs="Mangal"/>
                <w:b/>
                <w:i/>
                <w:lang w:eastAsia="en-US"/>
              </w:rPr>
              <w:t>da bi se upoštevale posebne omejitve najbolj oddaljenih regij</w:t>
            </w:r>
            <w:r w:rsidR="006F5BFE" w:rsidRPr="003B2277">
              <w:rPr>
                <w:rFonts w:eastAsia="Calibri" w:cs="Mangal"/>
                <w:lang w:eastAsia="en-US"/>
              </w:rPr>
              <w:t xml:space="preserve"> in </w:t>
            </w:r>
            <w:r w:rsidR="006F5BFE" w:rsidRPr="003B2277">
              <w:rPr>
                <w:rFonts w:eastAsia="Calibri" w:cs="Mangal"/>
                <w:b/>
                <w:i/>
                <w:lang w:eastAsia="en-US"/>
              </w:rPr>
              <w:t>bi se tako izognili kakršnim koli negativnim učinkom v teh regijah. Komisija za te študije ali ocene uporabi merila, ki jih je določila OZN.</w:t>
            </w:r>
            <w:r>
              <w:rPr>
                <w:rFonts w:eastAsia="Calibri" w:cs="Mangal"/>
                <w:b/>
                <w:i/>
                <w:lang w:eastAsia="en-US"/>
              </w:rPr>
              <w:t>“</w:t>
            </w:r>
          </w:p>
        </w:tc>
      </w:tr>
    </w:tbl>
    <w:p w14:paraId="44FDDDD5" w14:textId="76D59D37"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221</w:t>
      </w:r>
    </w:p>
    <w:p w14:paraId="5A3407EC" w14:textId="77777777" w:rsidR="006F5BFE" w:rsidRPr="003B2277" w:rsidRDefault="006F5BFE" w:rsidP="006F5BFE"/>
    <w:p w14:paraId="1920D6E2" w14:textId="77777777" w:rsidR="006F5BFE" w:rsidRPr="003B2277" w:rsidRDefault="006F5BFE" w:rsidP="006F5BFE">
      <w:pPr>
        <w:keepNext/>
        <w:rPr>
          <w:b/>
          <w:lang w:eastAsia="en-US"/>
        </w:rPr>
      </w:pPr>
      <w:r w:rsidRPr="003B2277">
        <w:rPr>
          <w:rFonts w:eastAsia="Calibri" w:cs="Mangal"/>
          <w:b/>
          <w:lang w:eastAsia="en-US"/>
        </w:rPr>
        <w:t>Predlog uredbe</w:t>
      </w:r>
    </w:p>
    <w:p w14:paraId="1BE05008" w14:textId="77777777" w:rsidR="006F5BFE" w:rsidRPr="003B2277" w:rsidRDefault="006F5BFE" w:rsidP="006F5BFE">
      <w:pPr>
        <w:rPr>
          <w:b/>
          <w:lang w:eastAsia="en-US"/>
        </w:rPr>
      </w:pPr>
      <w:r w:rsidRPr="003B2277">
        <w:rPr>
          <w:rFonts w:eastAsia="Calibri" w:cs="Mangal"/>
          <w:b/>
          <w:lang w:eastAsia="en-US"/>
        </w:rPr>
        <w:t>Člen 5 – odstavek 1</w:t>
      </w:r>
    </w:p>
    <w:p w14:paraId="076AF1AA" w14:textId="77777777" w:rsidR="006F5BFE" w:rsidRPr="003B2277" w:rsidRDefault="006F5BFE" w:rsidP="006F5BFE">
      <w:pPr>
        <w:keepNext/>
        <w:rPr>
          <w:lang w:eastAsia="en-US"/>
        </w:rPr>
      </w:pPr>
      <w:r w:rsidRPr="003B2277">
        <w:rPr>
          <w:rFonts w:eastAsia="Calibri" w:cs="Mangal"/>
          <w:lang w:eastAsia="en-US"/>
        </w:rPr>
        <w:t>Uredba (EU) št. 229/2013</w:t>
      </w:r>
    </w:p>
    <w:p w14:paraId="2CC5C76C" w14:textId="77777777" w:rsidR="006F5BFE" w:rsidRPr="003B2277" w:rsidRDefault="006F5BFE" w:rsidP="006F5BFE">
      <w:pPr>
        <w:rPr>
          <w:lang w:eastAsia="en-US"/>
        </w:rPr>
      </w:pPr>
      <w:r w:rsidRPr="003B2277">
        <w:rPr>
          <w:rFonts w:eastAsia="Calibri" w:cs="Mangal"/>
          <w:lang w:eastAsia="en-US"/>
        </w:rPr>
        <w:t>Člen 18 – odstavek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6BEDEBD" w14:textId="77777777" w:rsidTr="005B4D60">
        <w:trPr>
          <w:jc w:val="center"/>
        </w:trPr>
        <w:tc>
          <w:tcPr>
            <w:tcW w:w="9752" w:type="dxa"/>
            <w:gridSpan w:val="2"/>
          </w:tcPr>
          <w:p w14:paraId="3A804AB5" w14:textId="77777777" w:rsidR="006F5BFE" w:rsidRPr="003B2277" w:rsidRDefault="006F5BFE" w:rsidP="005B4D60">
            <w:pPr>
              <w:keepNext/>
            </w:pPr>
          </w:p>
        </w:tc>
      </w:tr>
      <w:tr w:rsidR="006F5BFE" w:rsidRPr="003B2277" w14:paraId="1C436E16" w14:textId="77777777" w:rsidTr="005B4D60">
        <w:trPr>
          <w:jc w:val="center"/>
        </w:trPr>
        <w:tc>
          <w:tcPr>
            <w:tcW w:w="4876" w:type="dxa"/>
            <w:hideMark/>
          </w:tcPr>
          <w:p w14:paraId="4373E27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4FC38EA0" w14:textId="7BFD2EAE"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E418094" w14:textId="77777777" w:rsidTr="005B4D60">
        <w:trPr>
          <w:jc w:val="center"/>
        </w:trPr>
        <w:tc>
          <w:tcPr>
            <w:tcW w:w="4876" w:type="dxa"/>
            <w:hideMark/>
          </w:tcPr>
          <w:p w14:paraId="61E3134A" w14:textId="77777777" w:rsidR="006F5BFE" w:rsidRPr="003B2277" w:rsidRDefault="006F5BFE" w:rsidP="005B4D60">
            <w:pPr>
              <w:spacing w:after="120"/>
              <w:rPr>
                <w:lang w:eastAsia="en-US"/>
              </w:rPr>
            </w:pPr>
            <w:r w:rsidRPr="003B2277">
              <w:rPr>
                <w:rFonts w:eastAsia="Calibri" w:cs="Mangal"/>
                <w:lang w:eastAsia="en-US"/>
              </w:rPr>
              <w:t>2.</w:t>
            </w:r>
            <w:r w:rsidRPr="003B2277">
              <w:rPr>
                <w:rFonts w:eastAsia="Calibri" w:cs="Mangal"/>
                <w:lang w:eastAsia="en-US"/>
              </w:rPr>
              <w:tab/>
              <w:t xml:space="preserve">Unija financira ukrepe iz poglavij III in IV do zneska največ </w:t>
            </w:r>
            <w:r w:rsidRPr="003B2277">
              <w:rPr>
                <w:rFonts w:eastAsia="Calibri" w:cs="Mangal"/>
                <w:b/>
                <w:i/>
                <w:lang w:eastAsia="en-US"/>
              </w:rPr>
              <w:t>23 000 000</w:t>
            </w:r>
            <w:r w:rsidRPr="003B2277">
              <w:rPr>
                <w:rFonts w:eastAsia="Calibri" w:cs="Mangal"/>
                <w:lang w:eastAsia="en-US"/>
              </w:rPr>
              <w:t xml:space="preserve"> EUR.</w:t>
            </w:r>
          </w:p>
        </w:tc>
        <w:tc>
          <w:tcPr>
            <w:tcW w:w="4876" w:type="dxa"/>
            <w:hideMark/>
          </w:tcPr>
          <w:p w14:paraId="5F67DACB" w14:textId="77777777" w:rsidR="006F5BFE" w:rsidRPr="003B2277" w:rsidRDefault="006F5BFE" w:rsidP="005B4D60">
            <w:pPr>
              <w:spacing w:after="120"/>
              <w:rPr>
                <w:szCs w:val="24"/>
                <w:lang w:eastAsia="en-US"/>
              </w:rPr>
            </w:pPr>
            <w:r w:rsidRPr="003B2277">
              <w:rPr>
                <w:rFonts w:eastAsia="Calibri" w:cs="Mangal"/>
                <w:lang w:eastAsia="en-US"/>
              </w:rPr>
              <w:t>2.</w:t>
            </w:r>
            <w:r w:rsidRPr="003B2277">
              <w:rPr>
                <w:rFonts w:eastAsia="Calibri" w:cs="Mangal"/>
                <w:lang w:eastAsia="en-US"/>
              </w:rPr>
              <w:tab/>
              <w:t xml:space="preserve">Unija financira ukrepe iz poglavij III in IV do zneska največ </w:t>
            </w:r>
            <w:r w:rsidRPr="003B2277">
              <w:rPr>
                <w:rFonts w:eastAsia="Calibri" w:cs="Mangal"/>
                <w:b/>
                <w:i/>
                <w:lang w:eastAsia="en-US"/>
              </w:rPr>
              <w:t>23,93 milijona</w:t>
            </w:r>
            <w:r w:rsidRPr="003B2277">
              <w:rPr>
                <w:rFonts w:eastAsia="Calibri" w:cs="Mangal"/>
                <w:lang w:eastAsia="en-US"/>
              </w:rPr>
              <w:t xml:space="preserve"> EUR.</w:t>
            </w:r>
          </w:p>
        </w:tc>
      </w:tr>
    </w:tbl>
    <w:p w14:paraId="21EE77A6" w14:textId="77777777" w:rsidR="006F5BFE" w:rsidRPr="003B2277" w:rsidRDefault="006F5BFE" w:rsidP="006F5BFE">
      <w:pPr>
        <w:rPr>
          <w:lang w:eastAsia="en-US"/>
        </w:rPr>
      </w:pPr>
    </w:p>
    <w:p w14:paraId="5470D287" w14:textId="3AF4B209"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222</w:t>
      </w:r>
    </w:p>
    <w:p w14:paraId="074959DE" w14:textId="77777777" w:rsidR="006F5BFE" w:rsidRPr="003B2277" w:rsidRDefault="006F5BFE" w:rsidP="006F5BFE">
      <w:pPr>
        <w:keepNext/>
        <w:rPr>
          <w:b/>
          <w:lang w:eastAsia="en-US"/>
        </w:rPr>
      </w:pPr>
      <w:r w:rsidRPr="003B2277">
        <w:rPr>
          <w:rFonts w:eastAsia="Calibri" w:cs="Mangal"/>
          <w:b/>
          <w:lang w:eastAsia="en-US"/>
        </w:rPr>
        <w:t>Predlog uredbe</w:t>
      </w:r>
    </w:p>
    <w:p w14:paraId="24093E71" w14:textId="77777777" w:rsidR="006F5BFE" w:rsidRPr="003B2277" w:rsidRDefault="006F5BFE" w:rsidP="006F5BFE">
      <w:pPr>
        <w:rPr>
          <w:b/>
          <w:lang w:eastAsia="en-US"/>
        </w:rPr>
      </w:pPr>
      <w:r w:rsidRPr="003B2277">
        <w:rPr>
          <w:rFonts w:eastAsia="Calibri" w:cs="Mangal"/>
          <w:b/>
          <w:lang w:eastAsia="en-US"/>
        </w:rPr>
        <w:t>Člen 5 – odstavek 1</w:t>
      </w:r>
    </w:p>
    <w:p w14:paraId="11AD2FA6" w14:textId="77777777" w:rsidR="006F5BFE" w:rsidRPr="003B2277" w:rsidRDefault="006F5BFE" w:rsidP="006F5BFE">
      <w:pPr>
        <w:keepNext/>
        <w:rPr>
          <w:lang w:eastAsia="en-US"/>
        </w:rPr>
      </w:pPr>
      <w:r w:rsidRPr="003B2277">
        <w:rPr>
          <w:rFonts w:eastAsia="Calibri" w:cs="Mangal"/>
          <w:lang w:eastAsia="en-US"/>
        </w:rPr>
        <w:t>Uredba (EU) št. 229/2013</w:t>
      </w:r>
    </w:p>
    <w:p w14:paraId="3C09A86E" w14:textId="77777777" w:rsidR="006F5BFE" w:rsidRPr="003B2277" w:rsidRDefault="006F5BFE" w:rsidP="006F5BFE">
      <w:pPr>
        <w:rPr>
          <w:lang w:eastAsia="en-US"/>
        </w:rPr>
      </w:pPr>
      <w:r w:rsidRPr="003B2277">
        <w:rPr>
          <w:rFonts w:eastAsia="Calibri" w:cs="Mangal"/>
          <w:lang w:eastAsia="en-US"/>
        </w:rPr>
        <w:t>Člen 18 – odstavek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6ACF417F" w14:textId="77777777" w:rsidTr="005B4D60">
        <w:trPr>
          <w:jc w:val="center"/>
        </w:trPr>
        <w:tc>
          <w:tcPr>
            <w:tcW w:w="9752" w:type="dxa"/>
            <w:gridSpan w:val="2"/>
          </w:tcPr>
          <w:p w14:paraId="598F557B" w14:textId="77777777" w:rsidR="006F5BFE" w:rsidRPr="003B2277" w:rsidRDefault="006F5BFE" w:rsidP="005B4D60">
            <w:pPr>
              <w:keepNext/>
            </w:pPr>
          </w:p>
        </w:tc>
      </w:tr>
      <w:tr w:rsidR="006F5BFE" w:rsidRPr="003B2277" w14:paraId="6585BBD8" w14:textId="77777777" w:rsidTr="005B4D60">
        <w:trPr>
          <w:jc w:val="center"/>
        </w:trPr>
        <w:tc>
          <w:tcPr>
            <w:tcW w:w="4876" w:type="dxa"/>
            <w:hideMark/>
          </w:tcPr>
          <w:p w14:paraId="2C10A1F8"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15227240" w14:textId="4B01C515"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2D9AD67F" w14:textId="77777777" w:rsidTr="005B4D60">
        <w:trPr>
          <w:jc w:val="center"/>
        </w:trPr>
        <w:tc>
          <w:tcPr>
            <w:tcW w:w="4876" w:type="dxa"/>
            <w:hideMark/>
          </w:tcPr>
          <w:p w14:paraId="568428F5" w14:textId="77777777" w:rsidR="006F5BFE" w:rsidRPr="003B2277" w:rsidRDefault="006F5BFE" w:rsidP="005B4D60">
            <w:pPr>
              <w:spacing w:after="120"/>
              <w:rPr>
                <w:lang w:eastAsia="en-US"/>
              </w:rPr>
            </w:pPr>
            <w:r w:rsidRPr="003B2277">
              <w:rPr>
                <w:rFonts w:eastAsia="Calibri" w:cs="Mangal"/>
                <w:lang w:eastAsia="en-US"/>
              </w:rPr>
              <w:t>3.</w:t>
            </w:r>
            <w:r w:rsidRPr="003B2277">
              <w:rPr>
                <w:rFonts w:eastAsia="Calibri" w:cs="Mangal"/>
                <w:lang w:eastAsia="en-US"/>
              </w:rPr>
              <w:tab/>
              <w:t xml:space="preserve">Znesek za financiranje posebnega režima preskrbe iz poglavja III ne presega </w:t>
            </w:r>
            <w:r w:rsidRPr="003B2277">
              <w:rPr>
                <w:rFonts w:eastAsia="Calibri" w:cs="Mangal"/>
                <w:b/>
                <w:i/>
                <w:lang w:eastAsia="en-US"/>
              </w:rPr>
              <w:t>6 830 000</w:t>
            </w:r>
            <w:r w:rsidRPr="003B2277">
              <w:rPr>
                <w:rFonts w:eastAsia="Calibri" w:cs="Mangal"/>
                <w:lang w:eastAsia="en-US"/>
              </w:rPr>
              <w:t xml:space="preserve"> EUR.</w:t>
            </w:r>
          </w:p>
        </w:tc>
        <w:tc>
          <w:tcPr>
            <w:tcW w:w="4876" w:type="dxa"/>
            <w:hideMark/>
          </w:tcPr>
          <w:p w14:paraId="27241087" w14:textId="77777777" w:rsidR="006F5BFE" w:rsidRPr="003B2277" w:rsidRDefault="006F5BFE" w:rsidP="005B4D60">
            <w:pPr>
              <w:spacing w:after="120"/>
              <w:rPr>
                <w:szCs w:val="24"/>
                <w:lang w:eastAsia="en-US"/>
              </w:rPr>
            </w:pPr>
            <w:r w:rsidRPr="003B2277">
              <w:rPr>
                <w:rFonts w:eastAsia="Calibri" w:cs="Mangal"/>
                <w:lang w:eastAsia="en-US"/>
              </w:rPr>
              <w:t>3.</w:t>
            </w:r>
            <w:r w:rsidRPr="003B2277">
              <w:rPr>
                <w:rFonts w:eastAsia="Calibri" w:cs="Mangal"/>
                <w:lang w:eastAsia="en-US"/>
              </w:rPr>
              <w:tab/>
              <w:t xml:space="preserve">Znesek za financiranje posebnega režima preskrbe iz poglavja III ne presega </w:t>
            </w:r>
            <w:r w:rsidRPr="003B2277">
              <w:rPr>
                <w:rFonts w:eastAsia="Calibri" w:cs="Mangal"/>
                <w:b/>
                <w:i/>
                <w:lang w:eastAsia="en-US"/>
              </w:rPr>
              <w:t>7,11 milijona</w:t>
            </w:r>
            <w:r w:rsidRPr="003B2277">
              <w:rPr>
                <w:rFonts w:eastAsia="Calibri" w:cs="Mangal"/>
                <w:lang w:eastAsia="en-US"/>
              </w:rPr>
              <w:t xml:space="preserve"> EUR.</w:t>
            </w:r>
          </w:p>
        </w:tc>
      </w:tr>
    </w:tbl>
    <w:p w14:paraId="28239C9B" w14:textId="77777777" w:rsidR="006F5BFE" w:rsidRPr="003B2277" w:rsidRDefault="006F5BFE" w:rsidP="006F5BFE">
      <w:pPr>
        <w:rPr>
          <w:lang w:eastAsia="en-US"/>
        </w:rPr>
      </w:pPr>
    </w:p>
    <w:p w14:paraId="793BB14F" w14:textId="1DF2A54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223</w:t>
      </w:r>
    </w:p>
    <w:p w14:paraId="020E1D16" w14:textId="77777777" w:rsidR="006F5BFE" w:rsidRPr="003B2277" w:rsidRDefault="006F5BFE" w:rsidP="006F5BFE">
      <w:pPr>
        <w:keepNext/>
        <w:spacing w:before="240"/>
        <w:rPr>
          <w:b/>
          <w:lang w:eastAsia="en-US"/>
        </w:rPr>
      </w:pPr>
      <w:r w:rsidRPr="003B2277">
        <w:rPr>
          <w:rFonts w:eastAsia="Calibri" w:cs="Mangal"/>
          <w:b/>
          <w:lang w:eastAsia="en-US"/>
        </w:rPr>
        <w:t>Predlog uredbe</w:t>
      </w:r>
    </w:p>
    <w:p w14:paraId="727E925B" w14:textId="77777777" w:rsidR="006F5BFE" w:rsidRPr="003B2277" w:rsidRDefault="006F5BFE" w:rsidP="006F5BFE">
      <w:pPr>
        <w:rPr>
          <w:b/>
          <w:lang w:eastAsia="en-US"/>
        </w:rPr>
      </w:pPr>
      <w:r w:rsidRPr="003B2277">
        <w:rPr>
          <w:rFonts w:eastAsia="Calibri" w:cs="Mangal"/>
          <w:b/>
          <w:lang w:eastAsia="en-US"/>
        </w:rPr>
        <w:t>Člen 6 – odstavek 3 a (novo)</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6F5BFE" w:rsidRPr="003B2277" w14:paraId="2BC4FBBD" w14:textId="77777777" w:rsidTr="005B4D60">
        <w:trPr>
          <w:jc w:val="center"/>
        </w:trPr>
        <w:tc>
          <w:tcPr>
            <w:tcW w:w="9752" w:type="dxa"/>
            <w:gridSpan w:val="2"/>
          </w:tcPr>
          <w:p w14:paraId="7CC1A432" w14:textId="77777777" w:rsidR="006F5BFE" w:rsidRPr="003B2277" w:rsidRDefault="006F5BFE" w:rsidP="005B4D60">
            <w:pPr>
              <w:keepNext/>
            </w:pPr>
          </w:p>
        </w:tc>
      </w:tr>
      <w:tr w:rsidR="006F5BFE" w:rsidRPr="003B2277" w14:paraId="3D19D417" w14:textId="77777777" w:rsidTr="005B4D60">
        <w:trPr>
          <w:jc w:val="center"/>
        </w:trPr>
        <w:tc>
          <w:tcPr>
            <w:tcW w:w="4876" w:type="dxa"/>
          </w:tcPr>
          <w:p w14:paraId="3EFA58F4"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tcPr>
          <w:p w14:paraId="25335392" w14:textId="00BC395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9BFC7B0" w14:textId="77777777" w:rsidTr="005B4D60">
        <w:trPr>
          <w:jc w:val="center"/>
        </w:trPr>
        <w:tc>
          <w:tcPr>
            <w:tcW w:w="4876" w:type="dxa"/>
          </w:tcPr>
          <w:p w14:paraId="22EA5E35" w14:textId="77777777" w:rsidR="006F5BFE" w:rsidRPr="003B2277" w:rsidRDefault="006F5BFE" w:rsidP="005B4D60">
            <w:pPr>
              <w:spacing w:after="120"/>
            </w:pPr>
          </w:p>
        </w:tc>
        <w:tc>
          <w:tcPr>
            <w:tcW w:w="4876" w:type="dxa"/>
          </w:tcPr>
          <w:p w14:paraId="142CE7A8" w14:textId="77777777" w:rsidR="006F5BFE" w:rsidRPr="003B2277" w:rsidRDefault="006F5BFE" w:rsidP="005B4D60">
            <w:pPr>
              <w:spacing w:after="120"/>
              <w:rPr>
                <w:szCs w:val="24"/>
                <w:lang w:eastAsia="en-US"/>
              </w:rPr>
            </w:pPr>
            <w:r w:rsidRPr="003B2277">
              <w:rPr>
                <w:rFonts w:eastAsia="Calibri" w:cs="Mangal"/>
                <w:b/>
                <w:i/>
                <w:lang w:eastAsia="en-US"/>
              </w:rPr>
              <w:t>3a.</w:t>
            </w:r>
            <w:r w:rsidRPr="003B2277">
              <w:rPr>
                <w:rFonts w:eastAsia="Calibri" w:cs="Mangal"/>
                <w:b/>
                <w:i/>
                <w:lang w:eastAsia="en-US"/>
              </w:rPr>
              <w:tab/>
              <w:t>Vina, ki so dana na trg ali označena pred začetkom izvajanja veljavnih določb in niso v skladu z zahtevami te uredbe, se lahko tržijo do porabe zalog.</w:t>
            </w:r>
          </w:p>
        </w:tc>
      </w:tr>
    </w:tbl>
    <w:p w14:paraId="7B213859" w14:textId="77777777" w:rsidR="00BC40D2" w:rsidRPr="003B2277" w:rsidRDefault="00BC40D2"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eastAsia="Calibri" w:cs="Mangal"/>
          <w:i/>
          <w:lang w:eastAsia="en-US"/>
        </w:rPr>
      </w:pPr>
    </w:p>
    <w:p w14:paraId="600599C0" w14:textId="4FEF90B2"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224</w:t>
      </w:r>
    </w:p>
    <w:p w14:paraId="51E853E9" w14:textId="77777777" w:rsidR="006F5BFE" w:rsidRPr="003B2277" w:rsidRDefault="006F5BFE" w:rsidP="006F5BFE"/>
    <w:p w14:paraId="58E7E078" w14:textId="77777777" w:rsidR="006F5BFE" w:rsidRPr="003B2277" w:rsidRDefault="006F5BFE" w:rsidP="006F5BFE">
      <w:pPr>
        <w:keepNext/>
        <w:rPr>
          <w:b/>
          <w:lang w:eastAsia="en-US"/>
        </w:rPr>
      </w:pPr>
      <w:r w:rsidRPr="003B2277">
        <w:rPr>
          <w:rFonts w:eastAsia="Calibri" w:cs="Mangal"/>
          <w:b/>
          <w:lang w:eastAsia="en-US"/>
        </w:rPr>
        <w:t>Predlog uredbe</w:t>
      </w:r>
    </w:p>
    <w:p w14:paraId="529B38BB" w14:textId="77777777" w:rsidR="006F5BFE" w:rsidRPr="003B2277" w:rsidRDefault="006F5BFE" w:rsidP="006F5BFE">
      <w:pPr>
        <w:rPr>
          <w:b/>
          <w:lang w:eastAsia="en-US"/>
        </w:rPr>
      </w:pPr>
      <w:r w:rsidRPr="003B2277">
        <w:rPr>
          <w:rFonts w:eastAsia="Calibri" w:cs="Mangal"/>
          <w:b/>
          <w:lang w:eastAsia="en-US"/>
        </w:rPr>
        <w:t>Člen 7 – odstavek 2 a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50FA737" w14:textId="77777777" w:rsidTr="005B4D60">
        <w:trPr>
          <w:jc w:val="center"/>
        </w:trPr>
        <w:tc>
          <w:tcPr>
            <w:tcW w:w="9752" w:type="dxa"/>
            <w:gridSpan w:val="2"/>
          </w:tcPr>
          <w:p w14:paraId="27DC2F4F" w14:textId="77777777" w:rsidR="006F5BFE" w:rsidRPr="003B2277" w:rsidRDefault="006F5BFE" w:rsidP="005B4D60">
            <w:pPr>
              <w:keepNext/>
            </w:pPr>
          </w:p>
        </w:tc>
      </w:tr>
      <w:tr w:rsidR="006F5BFE" w:rsidRPr="003B2277" w14:paraId="444F70A6" w14:textId="77777777" w:rsidTr="005B4D60">
        <w:trPr>
          <w:jc w:val="center"/>
        </w:trPr>
        <w:tc>
          <w:tcPr>
            <w:tcW w:w="4876" w:type="dxa"/>
            <w:hideMark/>
          </w:tcPr>
          <w:p w14:paraId="048EC7B2"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748F9B8D" w14:textId="348EE651"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7D85A1E" w14:textId="77777777" w:rsidTr="005B4D60">
        <w:trPr>
          <w:jc w:val="center"/>
        </w:trPr>
        <w:tc>
          <w:tcPr>
            <w:tcW w:w="4876" w:type="dxa"/>
          </w:tcPr>
          <w:p w14:paraId="36A17708" w14:textId="77777777" w:rsidR="006F5BFE" w:rsidRPr="003B2277" w:rsidRDefault="006F5BFE" w:rsidP="005B4D60">
            <w:pPr>
              <w:spacing w:after="120"/>
            </w:pPr>
          </w:p>
        </w:tc>
        <w:tc>
          <w:tcPr>
            <w:tcW w:w="4876" w:type="dxa"/>
            <w:hideMark/>
          </w:tcPr>
          <w:p w14:paraId="6B6048DE" w14:textId="77777777" w:rsidR="006F5BFE" w:rsidRPr="003B2277" w:rsidRDefault="006F5BFE" w:rsidP="005B4D60">
            <w:pPr>
              <w:spacing w:after="120"/>
              <w:rPr>
                <w:szCs w:val="24"/>
                <w:lang w:eastAsia="en-US"/>
              </w:rPr>
            </w:pPr>
            <w:r w:rsidRPr="003B2277">
              <w:rPr>
                <w:rFonts w:eastAsia="Calibri" w:cs="Mangal"/>
                <w:b/>
                <w:i/>
                <w:lang w:eastAsia="en-US"/>
              </w:rPr>
              <w:t>Člen 119(1)(ga) in člen 119(3a) Uredbe (EU) št. 1308/2013 veljajo od ... [18 mesecev po začetku veljavnosti te uredbe].</w:t>
            </w:r>
          </w:p>
        </w:tc>
      </w:tr>
    </w:tbl>
    <w:p w14:paraId="72061945" w14:textId="77777777" w:rsidR="006F5BFE" w:rsidRPr="003B2277" w:rsidRDefault="006F5BFE" w:rsidP="006F5BFE">
      <w:pPr>
        <w:rPr>
          <w:lang w:eastAsia="en-US"/>
        </w:rPr>
      </w:pPr>
    </w:p>
    <w:p w14:paraId="6F046D3D" w14:textId="692674B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225</w:t>
      </w:r>
    </w:p>
    <w:p w14:paraId="17DFC30F" w14:textId="77777777" w:rsidR="006F5BFE" w:rsidRPr="003B2277" w:rsidRDefault="006F5BFE" w:rsidP="006F5BFE"/>
    <w:p w14:paraId="7E4AE0B3" w14:textId="77777777" w:rsidR="006F5BFE" w:rsidRPr="003B2277" w:rsidRDefault="006F5BFE" w:rsidP="006F5BFE">
      <w:pPr>
        <w:keepNext/>
        <w:rPr>
          <w:b/>
          <w:lang w:eastAsia="en-US"/>
        </w:rPr>
      </w:pPr>
      <w:r w:rsidRPr="003B2277">
        <w:rPr>
          <w:rFonts w:eastAsia="Calibri" w:cs="Mangal"/>
          <w:b/>
          <w:lang w:eastAsia="en-US"/>
        </w:rPr>
        <w:t>Predlog uredbe</w:t>
      </w:r>
    </w:p>
    <w:p w14:paraId="199B3375" w14:textId="77777777" w:rsidR="006F5BFE" w:rsidRPr="003B2277" w:rsidRDefault="006F5BFE" w:rsidP="006F5BFE">
      <w:pPr>
        <w:rPr>
          <w:b/>
          <w:lang w:eastAsia="en-US"/>
        </w:rPr>
      </w:pPr>
      <w:r w:rsidRPr="003B2277">
        <w:rPr>
          <w:rFonts w:eastAsia="Calibri" w:cs="Mangal"/>
          <w:b/>
          <w:lang w:eastAsia="en-US"/>
        </w:rPr>
        <w:t>Člen 7 – odstavek 2 b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3060529D" w14:textId="77777777" w:rsidTr="005B4D60">
        <w:trPr>
          <w:jc w:val="center"/>
        </w:trPr>
        <w:tc>
          <w:tcPr>
            <w:tcW w:w="9752" w:type="dxa"/>
            <w:gridSpan w:val="2"/>
          </w:tcPr>
          <w:p w14:paraId="7211CFDD" w14:textId="77777777" w:rsidR="006F5BFE" w:rsidRPr="003B2277" w:rsidRDefault="006F5BFE" w:rsidP="005B4D60">
            <w:pPr>
              <w:keepNext/>
            </w:pPr>
          </w:p>
        </w:tc>
      </w:tr>
      <w:tr w:rsidR="006F5BFE" w:rsidRPr="003B2277" w14:paraId="1BC50204" w14:textId="77777777" w:rsidTr="005B4D60">
        <w:trPr>
          <w:jc w:val="center"/>
        </w:trPr>
        <w:tc>
          <w:tcPr>
            <w:tcW w:w="4876" w:type="dxa"/>
            <w:hideMark/>
          </w:tcPr>
          <w:p w14:paraId="7A4E184A"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2106C51F" w14:textId="6CDA982C"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66FDF610" w14:textId="77777777" w:rsidTr="005B4D60">
        <w:trPr>
          <w:jc w:val="center"/>
        </w:trPr>
        <w:tc>
          <w:tcPr>
            <w:tcW w:w="4876" w:type="dxa"/>
          </w:tcPr>
          <w:p w14:paraId="6FEB1F6E" w14:textId="77777777" w:rsidR="006F5BFE" w:rsidRPr="003B2277" w:rsidRDefault="006F5BFE" w:rsidP="005B4D60">
            <w:pPr>
              <w:spacing w:after="120"/>
            </w:pPr>
          </w:p>
        </w:tc>
        <w:tc>
          <w:tcPr>
            <w:tcW w:w="4876" w:type="dxa"/>
            <w:hideMark/>
          </w:tcPr>
          <w:p w14:paraId="2A219FD8" w14:textId="77777777" w:rsidR="006F5BFE" w:rsidRPr="003B2277" w:rsidRDefault="006F5BFE" w:rsidP="005B4D60">
            <w:pPr>
              <w:spacing w:after="120"/>
              <w:rPr>
                <w:szCs w:val="24"/>
                <w:lang w:eastAsia="en-US"/>
              </w:rPr>
            </w:pPr>
            <w:r w:rsidRPr="003B2277">
              <w:rPr>
                <w:rFonts w:eastAsia="Calibri" w:cs="Mangal"/>
                <w:b/>
                <w:i/>
                <w:lang w:eastAsia="en-US"/>
              </w:rPr>
              <w:t>Člen 119(1)(gb) in člen 119(3b) Uredbe (EU) št. 1308/2013 se začneta uporabljati z začetkom drugega polnega tržnega leta po začetku veljavnosti delegiranega akta iz člena 122(va) Uredbe (EU) št. 1308/2013.</w:t>
            </w:r>
          </w:p>
        </w:tc>
      </w:tr>
    </w:tbl>
    <w:p w14:paraId="37D5A06D" w14:textId="77777777" w:rsidR="006F5BFE" w:rsidRPr="003B2277" w:rsidRDefault="006F5BFE" w:rsidP="006F5BFE">
      <w:pPr>
        <w:rPr>
          <w:lang w:eastAsia="en-US"/>
        </w:rPr>
      </w:pPr>
    </w:p>
    <w:p w14:paraId="19783C8F" w14:textId="190CC6E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226</w:t>
      </w:r>
    </w:p>
    <w:p w14:paraId="34B7EDF3" w14:textId="77777777" w:rsidR="006F5BFE" w:rsidRPr="003B2277" w:rsidRDefault="006F5BFE" w:rsidP="006F5BFE"/>
    <w:p w14:paraId="0F305F5E" w14:textId="77777777" w:rsidR="006F5BFE" w:rsidRPr="003B2277" w:rsidRDefault="006F5BFE" w:rsidP="006F5BFE">
      <w:pPr>
        <w:keepNext/>
        <w:rPr>
          <w:b/>
          <w:lang w:eastAsia="en-US"/>
        </w:rPr>
      </w:pPr>
      <w:r w:rsidRPr="003B2277">
        <w:rPr>
          <w:rFonts w:eastAsia="Calibri" w:cs="Mangal"/>
          <w:b/>
          <w:lang w:eastAsia="en-US"/>
        </w:rPr>
        <w:t>Predlog uredbe</w:t>
      </w:r>
    </w:p>
    <w:p w14:paraId="4DC755B1" w14:textId="77777777" w:rsidR="006F5BFE" w:rsidRPr="003B2277" w:rsidRDefault="006F5BFE" w:rsidP="006F5BFE">
      <w:pPr>
        <w:rPr>
          <w:b/>
          <w:lang w:eastAsia="en-US"/>
        </w:rPr>
      </w:pPr>
      <w:r w:rsidRPr="003B2277">
        <w:rPr>
          <w:rFonts w:eastAsia="Calibri" w:cs="Mangal"/>
          <w:b/>
          <w:lang w:eastAsia="en-US"/>
        </w:rPr>
        <w:t>Člen 7 – odstavek 2 c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7589E344" w14:textId="77777777" w:rsidTr="005B4D60">
        <w:trPr>
          <w:jc w:val="center"/>
        </w:trPr>
        <w:tc>
          <w:tcPr>
            <w:tcW w:w="9752" w:type="dxa"/>
            <w:gridSpan w:val="2"/>
          </w:tcPr>
          <w:p w14:paraId="732F3825" w14:textId="77777777" w:rsidR="006F5BFE" w:rsidRPr="003B2277" w:rsidRDefault="006F5BFE" w:rsidP="005B4D60">
            <w:pPr>
              <w:keepNext/>
            </w:pPr>
          </w:p>
        </w:tc>
      </w:tr>
      <w:tr w:rsidR="006F5BFE" w:rsidRPr="003B2277" w14:paraId="04C8B877" w14:textId="77777777" w:rsidTr="005B4D60">
        <w:trPr>
          <w:jc w:val="center"/>
        </w:trPr>
        <w:tc>
          <w:tcPr>
            <w:tcW w:w="4876" w:type="dxa"/>
            <w:hideMark/>
          </w:tcPr>
          <w:p w14:paraId="45E0A36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5E9C8C9" w14:textId="1A372339"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FFEEFC5" w14:textId="77777777" w:rsidTr="005B4D60">
        <w:trPr>
          <w:jc w:val="center"/>
        </w:trPr>
        <w:tc>
          <w:tcPr>
            <w:tcW w:w="4876" w:type="dxa"/>
          </w:tcPr>
          <w:p w14:paraId="235960DC" w14:textId="77777777" w:rsidR="006F5BFE" w:rsidRPr="003B2277" w:rsidRDefault="006F5BFE" w:rsidP="005B4D60">
            <w:pPr>
              <w:spacing w:after="120"/>
            </w:pPr>
          </w:p>
        </w:tc>
        <w:tc>
          <w:tcPr>
            <w:tcW w:w="4876" w:type="dxa"/>
            <w:hideMark/>
          </w:tcPr>
          <w:p w14:paraId="36E5912B" w14:textId="6C651B89" w:rsidR="006F5BFE" w:rsidRPr="003B2277" w:rsidRDefault="006F5BFE" w:rsidP="005B4D60">
            <w:pPr>
              <w:spacing w:after="120"/>
              <w:rPr>
                <w:szCs w:val="24"/>
                <w:lang w:eastAsia="en-US"/>
              </w:rPr>
            </w:pPr>
            <w:r w:rsidRPr="003B2277">
              <w:rPr>
                <w:rFonts w:eastAsia="Calibri" w:cs="Mangal"/>
                <w:b/>
                <w:i/>
                <w:lang w:eastAsia="en-US"/>
              </w:rPr>
              <w:t xml:space="preserve">Člen 7a Uredbe </w:t>
            </w:r>
            <w:r w:rsidR="0066252C" w:rsidRPr="003B2277">
              <w:rPr>
                <w:rFonts w:eastAsia="Calibri" w:cs="Mangal"/>
                <w:b/>
                <w:i/>
                <w:lang w:eastAsia="en-US"/>
              </w:rPr>
              <w:t xml:space="preserve">(EU) </w:t>
            </w:r>
            <w:r w:rsidRPr="003B2277">
              <w:rPr>
                <w:rFonts w:eastAsia="Calibri" w:cs="Mangal"/>
                <w:b/>
                <w:i/>
                <w:lang w:eastAsia="en-US"/>
              </w:rPr>
              <w:t>št. 251/2014 se začne uporabljati ... [18 mesecev po [začetku veljavnosti te uredbe].</w:t>
            </w:r>
          </w:p>
        </w:tc>
      </w:tr>
    </w:tbl>
    <w:p w14:paraId="1241278B" w14:textId="77777777" w:rsidR="006F5BFE" w:rsidRPr="003B2277" w:rsidRDefault="006F5BFE" w:rsidP="006F5BFE">
      <w:pPr>
        <w:rPr>
          <w:lang w:eastAsia="en-US"/>
        </w:rPr>
      </w:pPr>
    </w:p>
    <w:p w14:paraId="6896C434" w14:textId="504F07FD"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227</w:t>
      </w:r>
    </w:p>
    <w:p w14:paraId="7AF1EE61" w14:textId="77777777" w:rsidR="006F5BFE" w:rsidRPr="003B2277" w:rsidRDefault="006F5BFE" w:rsidP="006F5BFE">
      <w:pPr>
        <w:keepNext/>
        <w:rPr>
          <w:b/>
          <w:lang w:eastAsia="en-US"/>
        </w:rPr>
      </w:pPr>
      <w:r w:rsidRPr="003B2277">
        <w:rPr>
          <w:rFonts w:eastAsia="Calibri" w:cs="Mangal"/>
          <w:b/>
          <w:lang w:eastAsia="en-US"/>
        </w:rPr>
        <w:t>Predlog uredbe</w:t>
      </w:r>
    </w:p>
    <w:p w14:paraId="2E530A3B" w14:textId="77777777" w:rsidR="006F5BFE" w:rsidRPr="003B2277" w:rsidRDefault="006F5BFE" w:rsidP="006F5BFE">
      <w:pPr>
        <w:rPr>
          <w:b/>
          <w:lang w:eastAsia="en-US"/>
        </w:rPr>
      </w:pPr>
      <w:r w:rsidRPr="003B2277">
        <w:rPr>
          <w:rFonts w:eastAsia="Calibri" w:cs="Mangal"/>
          <w:b/>
          <w:lang w:eastAsia="en-US"/>
        </w:rPr>
        <w:t>Člen 7 – odstavek 2 d (novo)</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D82F9B9" w14:textId="77777777" w:rsidTr="005B4D60">
        <w:trPr>
          <w:jc w:val="center"/>
        </w:trPr>
        <w:tc>
          <w:tcPr>
            <w:tcW w:w="9752" w:type="dxa"/>
            <w:gridSpan w:val="2"/>
          </w:tcPr>
          <w:p w14:paraId="42BC512D" w14:textId="77777777" w:rsidR="006F5BFE" w:rsidRPr="003B2277" w:rsidRDefault="006F5BFE" w:rsidP="005B4D60">
            <w:pPr>
              <w:keepNext/>
            </w:pPr>
          </w:p>
        </w:tc>
      </w:tr>
      <w:tr w:rsidR="006F5BFE" w:rsidRPr="003B2277" w14:paraId="43BDE684" w14:textId="77777777" w:rsidTr="005B4D60">
        <w:trPr>
          <w:jc w:val="center"/>
        </w:trPr>
        <w:tc>
          <w:tcPr>
            <w:tcW w:w="4876" w:type="dxa"/>
            <w:hideMark/>
          </w:tcPr>
          <w:p w14:paraId="34B307E6"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5342C64A" w14:textId="02F25D4A"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145EB24E" w14:textId="77777777" w:rsidTr="005B4D60">
        <w:trPr>
          <w:jc w:val="center"/>
        </w:trPr>
        <w:tc>
          <w:tcPr>
            <w:tcW w:w="4876" w:type="dxa"/>
          </w:tcPr>
          <w:p w14:paraId="6741236D" w14:textId="77777777" w:rsidR="006F5BFE" w:rsidRPr="003B2277" w:rsidRDefault="006F5BFE" w:rsidP="005B4D60">
            <w:pPr>
              <w:spacing w:after="120"/>
            </w:pPr>
          </w:p>
        </w:tc>
        <w:tc>
          <w:tcPr>
            <w:tcW w:w="4876" w:type="dxa"/>
            <w:hideMark/>
          </w:tcPr>
          <w:p w14:paraId="48F905C2" w14:textId="64B57F78" w:rsidR="006F5BFE" w:rsidRPr="003B2277" w:rsidRDefault="006F5BFE" w:rsidP="005B4D60">
            <w:pPr>
              <w:spacing w:after="120"/>
              <w:rPr>
                <w:szCs w:val="24"/>
                <w:lang w:eastAsia="en-US"/>
              </w:rPr>
            </w:pPr>
            <w:r w:rsidRPr="003B2277">
              <w:rPr>
                <w:rFonts w:eastAsia="Calibri" w:cs="Mangal"/>
                <w:b/>
                <w:i/>
                <w:lang w:eastAsia="en-US"/>
              </w:rPr>
              <w:t>Člen 7b Uredbe</w:t>
            </w:r>
            <w:r w:rsidR="0066252C" w:rsidRPr="003B2277">
              <w:rPr>
                <w:rFonts w:eastAsia="Calibri" w:cs="Mangal"/>
                <w:b/>
                <w:i/>
                <w:lang w:eastAsia="en-US"/>
              </w:rPr>
              <w:t xml:space="preserve"> (EU) </w:t>
            </w:r>
            <w:r w:rsidRPr="003B2277">
              <w:rPr>
                <w:rFonts w:eastAsia="Calibri" w:cs="Mangal"/>
                <w:b/>
                <w:i/>
                <w:lang w:eastAsia="en-US"/>
              </w:rPr>
              <w:t xml:space="preserve"> št. 251/2014 se začne uporabljati z začetkom drugega polnega tržnega leta po začetku veljavnosti zadevnega delegiranega akta.</w:t>
            </w:r>
          </w:p>
        </w:tc>
      </w:tr>
    </w:tbl>
    <w:p w14:paraId="0FEB111D" w14:textId="77777777" w:rsidR="006F5BFE" w:rsidRPr="003B2277" w:rsidRDefault="006F5BFE" w:rsidP="006F5BFE">
      <w:pPr>
        <w:rPr>
          <w:lang w:eastAsia="en-US"/>
        </w:rPr>
      </w:pPr>
    </w:p>
    <w:p w14:paraId="47FC308B" w14:textId="26F19456" w:rsidR="006F5BFE" w:rsidRPr="003B2277" w:rsidRDefault="003B2277" w:rsidP="006F5BFE">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lang w:eastAsia="en-US"/>
        </w:rPr>
      </w:pPr>
      <w:r>
        <w:rPr>
          <w:rFonts w:eastAsia="Calibri" w:cs="Mangal"/>
          <w:b/>
          <w:lang w:eastAsia="en-US"/>
        </w:rPr>
        <w:t>Sprememba</w:t>
      </w:r>
      <w:r w:rsidR="006F5BFE" w:rsidRPr="003B2277">
        <w:rPr>
          <w:rFonts w:eastAsia="Calibri" w:cs="Mangal"/>
          <w:b/>
          <w:lang w:eastAsia="en-US"/>
        </w:rPr>
        <w:tab/>
      </w:r>
      <w:r w:rsidR="006F5BFE" w:rsidRPr="003B2277">
        <w:rPr>
          <w:rFonts w:eastAsia="Calibri" w:cs="Mangal"/>
          <w:b/>
          <w:lang w:eastAsia="en-US"/>
        </w:rPr>
        <w:tab/>
        <w:t>228</w:t>
      </w:r>
    </w:p>
    <w:p w14:paraId="30DF2860" w14:textId="77777777" w:rsidR="006F5BFE" w:rsidRPr="003B2277" w:rsidRDefault="006F5BFE" w:rsidP="006F5BFE"/>
    <w:p w14:paraId="7C1CC995" w14:textId="77777777" w:rsidR="006F5BFE" w:rsidRPr="003B2277" w:rsidRDefault="006F5BFE" w:rsidP="006F5BFE">
      <w:pPr>
        <w:keepNext/>
        <w:rPr>
          <w:b/>
          <w:lang w:eastAsia="en-US"/>
        </w:rPr>
      </w:pPr>
      <w:r w:rsidRPr="003B2277">
        <w:rPr>
          <w:rFonts w:eastAsia="Calibri" w:cs="Mangal"/>
          <w:b/>
          <w:lang w:eastAsia="en-US"/>
        </w:rPr>
        <w:t>Predlog uredbe</w:t>
      </w:r>
    </w:p>
    <w:p w14:paraId="776E49BE" w14:textId="77777777" w:rsidR="006F5BFE" w:rsidRPr="003B2277" w:rsidRDefault="006F5BFE" w:rsidP="006F5BFE">
      <w:pPr>
        <w:rPr>
          <w:b/>
          <w:lang w:eastAsia="en-US"/>
        </w:rPr>
      </w:pPr>
      <w:r w:rsidRPr="003B2277">
        <w:rPr>
          <w:rFonts w:eastAsia="Calibri" w:cs="Mangal"/>
          <w:b/>
          <w:lang w:eastAsia="en-US"/>
        </w:rPr>
        <w:t>Člen 7 a (novo)</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F5BFE" w:rsidRPr="003B2277" w14:paraId="49A4484D" w14:textId="77777777" w:rsidTr="005B4D60">
        <w:trPr>
          <w:jc w:val="center"/>
        </w:trPr>
        <w:tc>
          <w:tcPr>
            <w:tcW w:w="9752" w:type="dxa"/>
            <w:gridSpan w:val="2"/>
          </w:tcPr>
          <w:p w14:paraId="5D0FFE86" w14:textId="77777777" w:rsidR="006F5BFE" w:rsidRPr="003B2277" w:rsidRDefault="006F5BFE" w:rsidP="005B4D60">
            <w:pPr>
              <w:keepNext/>
            </w:pPr>
          </w:p>
        </w:tc>
      </w:tr>
      <w:tr w:rsidR="006F5BFE" w:rsidRPr="003B2277" w14:paraId="7BBBDFBA" w14:textId="77777777" w:rsidTr="005B4D60">
        <w:trPr>
          <w:jc w:val="center"/>
        </w:trPr>
        <w:tc>
          <w:tcPr>
            <w:tcW w:w="4876" w:type="dxa"/>
            <w:hideMark/>
          </w:tcPr>
          <w:p w14:paraId="3E7681D9" w14:textId="77777777" w:rsidR="006F5BFE" w:rsidRPr="003B2277" w:rsidRDefault="006F5BFE" w:rsidP="005B4D60">
            <w:pPr>
              <w:keepNext/>
              <w:spacing w:after="240"/>
              <w:jc w:val="center"/>
              <w:rPr>
                <w:i/>
                <w:lang w:eastAsia="en-US"/>
              </w:rPr>
            </w:pPr>
            <w:r w:rsidRPr="003B2277">
              <w:rPr>
                <w:rFonts w:eastAsia="Calibri" w:cs="Mangal"/>
                <w:i/>
                <w:lang w:eastAsia="en-US"/>
              </w:rPr>
              <w:t>Besedilo, ki ga predlaga Komisija</w:t>
            </w:r>
          </w:p>
        </w:tc>
        <w:tc>
          <w:tcPr>
            <w:tcW w:w="4876" w:type="dxa"/>
            <w:hideMark/>
          </w:tcPr>
          <w:p w14:paraId="63602D6F" w14:textId="1CD4606B" w:rsidR="006F5BFE" w:rsidRPr="003B2277" w:rsidRDefault="003B2277" w:rsidP="005B4D60">
            <w:pPr>
              <w:keepNext/>
              <w:spacing w:after="240"/>
              <w:jc w:val="center"/>
              <w:rPr>
                <w:i/>
                <w:lang w:eastAsia="en-US"/>
              </w:rPr>
            </w:pPr>
            <w:r>
              <w:rPr>
                <w:rFonts w:eastAsia="Calibri" w:cs="Mangal"/>
                <w:i/>
                <w:lang w:eastAsia="en-US"/>
              </w:rPr>
              <w:t>Sprememba</w:t>
            </w:r>
          </w:p>
        </w:tc>
      </w:tr>
      <w:tr w:rsidR="006F5BFE" w:rsidRPr="003B2277" w14:paraId="7A0A41F4" w14:textId="77777777" w:rsidTr="005B4D60">
        <w:trPr>
          <w:jc w:val="center"/>
        </w:trPr>
        <w:tc>
          <w:tcPr>
            <w:tcW w:w="4876" w:type="dxa"/>
          </w:tcPr>
          <w:p w14:paraId="7182CBB1" w14:textId="77777777" w:rsidR="006F5BFE" w:rsidRPr="003B2277" w:rsidRDefault="006F5BFE" w:rsidP="005B4D60">
            <w:pPr>
              <w:spacing w:after="120"/>
            </w:pPr>
          </w:p>
        </w:tc>
        <w:tc>
          <w:tcPr>
            <w:tcW w:w="4876" w:type="dxa"/>
            <w:hideMark/>
          </w:tcPr>
          <w:p w14:paraId="41CD3F82" w14:textId="77777777" w:rsidR="006F5BFE" w:rsidRPr="003B2277" w:rsidRDefault="006F5BFE" w:rsidP="005B4D60">
            <w:pPr>
              <w:spacing w:after="120"/>
              <w:jc w:val="center"/>
              <w:rPr>
                <w:szCs w:val="24"/>
                <w:lang w:eastAsia="en-US"/>
              </w:rPr>
            </w:pPr>
            <w:r w:rsidRPr="003B2277">
              <w:rPr>
                <w:rFonts w:eastAsia="Calibri" w:cs="Mangal"/>
                <w:b/>
                <w:i/>
                <w:lang w:eastAsia="en-US"/>
              </w:rPr>
              <w:t>Člen 7a</w:t>
            </w:r>
          </w:p>
        </w:tc>
      </w:tr>
      <w:tr w:rsidR="006F5BFE" w:rsidRPr="00A84A2D" w14:paraId="698FB683" w14:textId="77777777" w:rsidTr="005B4D60">
        <w:trPr>
          <w:jc w:val="center"/>
        </w:trPr>
        <w:tc>
          <w:tcPr>
            <w:tcW w:w="4876" w:type="dxa"/>
          </w:tcPr>
          <w:p w14:paraId="769124C6" w14:textId="77777777" w:rsidR="006F5BFE" w:rsidRPr="003B2277" w:rsidRDefault="006F5BFE" w:rsidP="005B4D60">
            <w:pPr>
              <w:spacing w:after="120"/>
            </w:pPr>
          </w:p>
        </w:tc>
        <w:tc>
          <w:tcPr>
            <w:tcW w:w="4876" w:type="dxa"/>
            <w:hideMark/>
          </w:tcPr>
          <w:p w14:paraId="393CB8F1" w14:textId="77777777" w:rsidR="006F5BFE" w:rsidRPr="00A84A2D" w:rsidRDefault="006F5BFE" w:rsidP="005B4D60">
            <w:pPr>
              <w:spacing w:after="120"/>
              <w:rPr>
                <w:szCs w:val="24"/>
                <w:lang w:eastAsia="en-US"/>
              </w:rPr>
            </w:pPr>
            <w:r w:rsidRPr="003B2277">
              <w:rPr>
                <w:rFonts w:eastAsia="Calibri" w:cs="Mangal"/>
                <w:b/>
                <w:i/>
                <w:lang w:eastAsia="en-US"/>
              </w:rPr>
              <w:t>Komisija do 30. junija 2021 Evropskemu parlamentu in Svetu predloži zakonodajni predlog o razširitvi pravil za seznam sestavin in označbo hranilne vrednosti vinskih proizvodov na druge alkoholne pijače.</w:t>
            </w:r>
          </w:p>
        </w:tc>
      </w:tr>
    </w:tbl>
    <w:p w14:paraId="4959ABF0" w14:textId="77777777" w:rsidR="006F5BFE" w:rsidRPr="00A84A2D" w:rsidRDefault="006F5BFE" w:rsidP="006F5BFE">
      <w:pPr>
        <w:rPr>
          <w:lang w:eastAsia="en-US"/>
        </w:rPr>
      </w:pPr>
    </w:p>
    <w:sectPr w:rsidR="006F5BFE" w:rsidRPr="00A84A2D" w:rsidSect="00A84A2D">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5EBB" w14:textId="77777777" w:rsidR="005F2E57" w:rsidRPr="00A84A2D" w:rsidRDefault="005F2E57">
      <w:r w:rsidRPr="00A84A2D">
        <w:separator/>
      </w:r>
    </w:p>
  </w:endnote>
  <w:endnote w:type="continuationSeparator" w:id="0">
    <w:p w14:paraId="0B7B2A56" w14:textId="77777777" w:rsidR="005F2E57" w:rsidRPr="00A84A2D" w:rsidRDefault="005F2E57">
      <w:r w:rsidRPr="00A84A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CA30" w14:textId="77777777" w:rsidR="004B4EB7" w:rsidRPr="00A84A2D" w:rsidRDefault="004B4E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54DF" w14:textId="77777777" w:rsidR="004B4EB7" w:rsidRPr="00A84A2D" w:rsidRDefault="004B4E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A487" w14:textId="77777777" w:rsidR="004B4EB7" w:rsidRPr="00A84A2D" w:rsidRDefault="004B4E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122A" w14:textId="77777777" w:rsidR="005F2E57" w:rsidRPr="00A84A2D" w:rsidRDefault="005F2E57">
      <w:r w:rsidRPr="00A84A2D">
        <w:separator/>
      </w:r>
    </w:p>
  </w:footnote>
  <w:footnote w:type="continuationSeparator" w:id="0">
    <w:p w14:paraId="21A4F758" w14:textId="77777777" w:rsidR="005F2E57" w:rsidRPr="00A84A2D" w:rsidRDefault="005F2E57">
      <w:r w:rsidRPr="00A84A2D">
        <w:continuationSeparator/>
      </w:r>
    </w:p>
  </w:footnote>
  <w:footnote w:id="1">
    <w:p w14:paraId="06938E2C" w14:textId="77777777" w:rsidR="004B4EB7" w:rsidRPr="00FD1F1B" w:rsidRDefault="004B4EB7" w:rsidP="005809F6">
      <w:pPr>
        <w:pStyle w:val="Sprotnaopomba-besedilo"/>
        <w:ind w:left="567" w:hanging="567"/>
        <w:rPr>
          <w:sz w:val="24"/>
          <w:szCs w:val="24"/>
          <w:lang w:val="sl-SI"/>
        </w:rPr>
      </w:pPr>
      <w:r w:rsidRPr="00FD1F1B">
        <w:rPr>
          <w:rStyle w:val="Sprotnaopomba-sklic"/>
          <w:sz w:val="24"/>
          <w:szCs w:val="24"/>
          <w:lang w:val="sl-SI"/>
        </w:rPr>
        <w:t>*</w:t>
      </w:r>
      <w:r w:rsidRPr="00FD1F1B">
        <w:rPr>
          <w:sz w:val="24"/>
          <w:szCs w:val="24"/>
          <w:lang w:val="sl-SI"/>
        </w:rPr>
        <w:t xml:space="preserve"> </w:t>
      </w:r>
      <w:r w:rsidRPr="00FD1F1B">
        <w:rPr>
          <w:sz w:val="24"/>
          <w:szCs w:val="24"/>
          <w:lang w:val="sl-SI"/>
        </w:rPr>
        <w:tab/>
        <w:t>To je začasna različica sprejetega besedila, ki je bila pripravljena takoj po končnem glasovanju 23. oktobra 2020.</w:t>
      </w:r>
    </w:p>
  </w:footnote>
  <w:footnote w:id="2">
    <w:p w14:paraId="65C1DFCF" w14:textId="582E04E4" w:rsidR="004B4EB7" w:rsidRPr="00FD1F1B" w:rsidRDefault="004B4EB7" w:rsidP="005809F6">
      <w:pPr>
        <w:pStyle w:val="Sprotnaopomba-besedilo"/>
        <w:ind w:left="567" w:hanging="567"/>
        <w:rPr>
          <w:sz w:val="24"/>
          <w:szCs w:val="24"/>
          <w:lang w:val="sl-SI"/>
        </w:rPr>
      </w:pPr>
      <w:r w:rsidRPr="00FD1F1B">
        <w:rPr>
          <w:rStyle w:val="Sprotnaopomba-sklic"/>
          <w:sz w:val="24"/>
          <w:szCs w:val="24"/>
          <w:lang w:val="sl-SI"/>
        </w:rPr>
        <w:t>**</w:t>
      </w:r>
      <w:r w:rsidRPr="00FD1F1B">
        <w:rPr>
          <w:sz w:val="24"/>
          <w:szCs w:val="24"/>
          <w:lang w:val="sl-SI"/>
        </w:rPr>
        <w:t xml:space="preserve"> </w:t>
      </w:r>
      <w:r w:rsidRPr="00FD1F1B">
        <w:rPr>
          <w:sz w:val="24"/>
          <w:szCs w:val="24"/>
          <w:lang w:val="sl-SI"/>
        </w:rPr>
        <w:tab/>
        <w:t>Sklici na 'cp' v naslovih sprejetih sprememb se razumejo kot ustrezni deli navedenih sprememb.</w:t>
      </w:r>
    </w:p>
  </w:footnote>
  <w:footnote w:id="3">
    <w:p w14:paraId="2D754CB0" w14:textId="6889F81F" w:rsidR="004B4EB7" w:rsidRPr="0075369F" w:rsidRDefault="004B4EB7" w:rsidP="00BC40D2">
      <w:pPr>
        <w:pStyle w:val="Sprotnaopomba-besedilo"/>
        <w:ind w:left="567" w:hanging="567"/>
        <w:rPr>
          <w:sz w:val="24"/>
          <w:szCs w:val="24"/>
          <w:lang w:val="sl-SI"/>
        </w:rPr>
      </w:pPr>
      <w:r w:rsidRPr="0075369F">
        <w:rPr>
          <w:rStyle w:val="Sprotnaopomba-sklic"/>
          <w:sz w:val="24"/>
          <w:szCs w:val="24"/>
        </w:rPr>
        <w:footnoteRef/>
      </w:r>
      <w:r w:rsidRPr="00FD1F1B">
        <w:rPr>
          <w:sz w:val="24"/>
          <w:szCs w:val="24"/>
          <w:lang w:val="sl-SI"/>
        </w:rPr>
        <w:t xml:space="preserve"> </w:t>
      </w:r>
      <w:r w:rsidRPr="0075369F">
        <w:rPr>
          <w:sz w:val="24"/>
          <w:szCs w:val="24"/>
          <w:lang w:val="sl-SI"/>
        </w:rPr>
        <w:tab/>
        <w:t>Zadeva je bila v skladu s četrtim pododstavkom člena 59(4) Poslovnika vrnjena pristojnemu odboru v medinstitucionalna pogajanja (A8-019</w:t>
      </w:r>
      <w:r>
        <w:rPr>
          <w:sz w:val="24"/>
          <w:szCs w:val="24"/>
          <w:lang w:val="sl-SI"/>
        </w:rPr>
        <w:t>8</w:t>
      </w:r>
      <w:r w:rsidRPr="00490A22">
        <w:rPr>
          <w:sz w:val="24"/>
          <w:szCs w:val="24"/>
          <w:lang w:val="sl-SI"/>
        </w:rPr>
        <w:t>/201</w:t>
      </w:r>
      <w:r w:rsidRPr="0075369F">
        <w:rPr>
          <w:sz w:val="24"/>
          <w:szCs w:val="24"/>
          <w:lang w:val="sl-SI"/>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62A" w14:textId="77777777" w:rsidR="004B4EB7" w:rsidRPr="00A84A2D" w:rsidRDefault="004B4E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433A" w14:textId="77777777" w:rsidR="004B4EB7" w:rsidRPr="00A84A2D" w:rsidRDefault="004B4E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C9C4" w14:textId="77777777" w:rsidR="004B4EB7" w:rsidRPr="00A84A2D" w:rsidRDefault="004B4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Naslov2"/>
      <w:lvlText w:val="%1.%2."/>
      <w:lvlJc w:val="left"/>
      <w:pPr>
        <w:tabs>
          <w:tab w:val="num" w:pos="792"/>
        </w:tabs>
        <w:ind w:left="792" w:hanging="792"/>
      </w:pPr>
    </w:lvl>
    <w:lvl w:ilvl="2">
      <w:start w:val="1"/>
      <w:numFmt w:val="decimal"/>
      <w:pStyle w:val="Naslov3"/>
      <w:lvlText w:val="%1.%2.%3."/>
      <w:lvlJc w:val="left"/>
      <w:pPr>
        <w:tabs>
          <w:tab w:val="num" w:pos="1224"/>
        </w:tabs>
        <w:ind w:left="1224" w:hanging="1224"/>
      </w:pPr>
    </w:lvl>
    <w:lvl w:ilvl="3">
      <w:start w:val="1"/>
      <w:numFmt w:val="decimal"/>
      <w:pStyle w:val="Naslov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slov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se" w:val="A8-0198/2019"/>
    <w:docVar w:name="dvlangue" w:val="SL"/>
    <w:docVar w:name="dvnumam" w:val="320"/>
    <w:docVar w:name="dvpe" w:val="623.922"/>
    <w:docVar w:name="dvrapporteur" w:val="Poročevalec: "/>
    <w:docVar w:name="dvtitre" w:val="Zakonodajna resolucija Evropskega parlamenta z dne … 2020 predlog uredbe Evropskega parlamenta in Sveta o spremembi uredb (EU) št. 1308/2013 o vzpostavitvi skupne ureditve trgov kmetijskih proizvodov, (EU) št. 1151/2012 o shemah kakovosti kmetijskih proizvodov in živil, (EU) št. 251/2014 o opredelitvi, opisu, predstavitvi, označevanju in zaščiti geografskih označb aromatiziranih vinskih proizvodov, (EU) št. 228/2013 o posebnih ukrepih za kmetijstvo v najbolj oddaljenih regijah Unije in (EU) št. 229/2013 o posebnih ukrepih za kmetijstvo v korist manjših egejskih otokov(COM(2018)0394 – C8-0246/2018 – 2018/0218(COD))"/>
  </w:docVars>
  <w:rsids>
    <w:rsidRoot w:val="00B30AF6"/>
    <w:rsid w:val="00001AF9"/>
    <w:rsid w:val="00002272"/>
    <w:rsid w:val="000302D4"/>
    <w:rsid w:val="00040209"/>
    <w:rsid w:val="000450C5"/>
    <w:rsid w:val="000552B3"/>
    <w:rsid w:val="00057A68"/>
    <w:rsid w:val="00064002"/>
    <w:rsid w:val="000677B9"/>
    <w:rsid w:val="000831BA"/>
    <w:rsid w:val="000A42CC"/>
    <w:rsid w:val="000C5F12"/>
    <w:rsid w:val="000E7DD9"/>
    <w:rsid w:val="000F512F"/>
    <w:rsid w:val="0010095E"/>
    <w:rsid w:val="001024DF"/>
    <w:rsid w:val="00116A9F"/>
    <w:rsid w:val="00125B37"/>
    <w:rsid w:val="00167BAA"/>
    <w:rsid w:val="00174C31"/>
    <w:rsid w:val="00187494"/>
    <w:rsid w:val="001D293B"/>
    <w:rsid w:val="001D4B47"/>
    <w:rsid w:val="001E323C"/>
    <w:rsid w:val="001F32AE"/>
    <w:rsid w:val="00215144"/>
    <w:rsid w:val="0025770F"/>
    <w:rsid w:val="002767FF"/>
    <w:rsid w:val="002B18FE"/>
    <w:rsid w:val="002B5493"/>
    <w:rsid w:val="00343214"/>
    <w:rsid w:val="00361C00"/>
    <w:rsid w:val="00395FA1"/>
    <w:rsid w:val="003B2277"/>
    <w:rsid w:val="003E15D4"/>
    <w:rsid w:val="00411CCE"/>
    <w:rsid w:val="0041666E"/>
    <w:rsid w:val="00421060"/>
    <w:rsid w:val="00465DEA"/>
    <w:rsid w:val="00471C19"/>
    <w:rsid w:val="00490A22"/>
    <w:rsid w:val="00491308"/>
    <w:rsid w:val="00494A28"/>
    <w:rsid w:val="004B4EB7"/>
    <w:rsid w:val="004C0004"/>
    <w:rsid w:val="004C5D52"/>
    <w:rsid w:val="004E4D6B"/>
    <w:rsid w:val="0050519A"/>
    <w:rsid w:val="005072A1"/>
    <w:rsid w:val="00514517"/>
    <w:rsid w:val="00517420"/>
    <w:rsid w:val="005255BD"/>
    <w:rsid w:val="00545827"/>
    <w:rsid w:val="00560270"/>
    <w:rsid w:val="005809F6"/>
    <w:rsid w:val="005B2BFC"/>
    <w:rsid w:val="005B4D60"/>
    <w:rsid w:val="005C2568"/>
    <w:rsid w:val="005F2E57"/>
    <w:rsid w:val="006037C0"/>
    <w:rsid w:val="006100CC"/>
    <w:rsid w:val="0066252C"/>
    <w:rsid w:val="006631B6"/>
    <w:rsid w:val="00680577"/>
    <w:rsid w:val="006A0479"/>
    <w:rsid w:val="006B638E"/>
    <w:rsid w:val="006C4927"/>
    <w:rsid w:val="006D3C23"/>
    <w:rsid w:val="006E30C7"/>
    <w:rsid w:val="006F5BFE"/>
    <w:rsid w:val="006F7099"/>
    <w:rsid w:val="006F74FA"/>
    <w:rsid w:val="00721454"/>
    <w:rsid w:val="00731ADD"/>
    <w:rsid w:val="00734777"/>
    <w:rsid w:val="00747932"/>
    <w:rsid w:val="00751A4A"/>
    <w:rsid w:val="0075369F"/>
    <w:rsid w:val="00756632"/>
    <w:rsid w:val="00762C74"/>
    <w:rsid w:val="00786EC0"/>
    <w:rsid w:val="007D1690"/>
    <w:rsid w:val="007D7D7C"/>
    <w:rsid w:val="007E22AD"/>
    <w:rsid w:val="007E5F3B"/>
    <w:rsid w:val="00817416"/>
    <w:rsid w:val="00842779"/>
    <w:rsid w:val="00845FDA"/>
    <w:rsid w:val="00865F67"/>
    <w:rsid w:val="00871C85"/>
    <w:rsid w:val="00881A7B"/>
    <w:rsid w:val="008840E5"/>
    <w:rsid w:val="00886243"/>
    <w:rsid w:val="00887B3E"/>
    <w:rsid w:val="00896D5A"/>
    <w:rsid w:val="008A5B1D"/>
    <w:rsid w:val="008B65FA"/>
    <w:rsid w:val="008C2AC6"/>
    <w:rsid w:val="008C7773"/>
    <w:rsid w:val="00930C23"/>
    <w:rsid w:val="0093193B"/>
    <w:rsid w:val="009509D8"/>
    <w:rsid w:val="00950B64"/>
    <w:rsid w:val="00976306"/>
    <w:rsid w:val="00981893"/>
    <w:rsid w:val="00A1687D"/>
    <w:rsid w:val="00A34C63"/>
    <w:rsid w:val="00A41EA6"/>
    <w:rsid w:val="00A43E52"/>
    <w:rsid w:val="00A4678D"/>
    <w:rsid w:val="00A6029C"/>
    <w:rsid w:val="00A778C7"/>
    <w:rsid w:val="00A83D81"/>
    <w:rsid w:val="00A84A2D"/>
    <w:rsid w:val="00AA7407"/>
    <w:rsid w:val="00AB441E"/>
    <w:rsid w:val="00AB6293"/>
    <w:rsid w:val="00AE0928"/>
    <w:rsid w:val="00AF3B82"/>
    <w:rsid w:val="00B12E95"/>
    <w:rsid w:val="00B22876"/>
    <w:rsid w:val="00B30AF6"/>
    <w:rsid w:val="00B558F0"/>
    <w:rsid w:val="00B73FD4"/>
    <w:rsid w:val="00BB6FC0"/>
    <w:rsid w:val="00BC0233"/>
    <w:rsid w:val="00BC40D2"/>
    <w:rsid w:val="00BD48FE"/>
    <w:rsid w:val="00BD7BD8"/>
    <w:rsid w:val="00BE6ADC"/>
    <w:rsid w:val="00C05BFE"/>
    <w:rsid w:val="00C23CD4"/>
    <w:rsid w:val="00C61C0C"/>
    <w:rsid w:val="00C80B57"/>
    <w:rsid w:val="00C941CB"/>
    <w:rsid w:val="00CC2357"/>
    <w:rsid w:val="00CE0FD6"/>
    <w:rsid w:val="00CF071A"/>
    <w:rsid w:val="00CF2644"/>
    <w:rsid w:val="00D056A8"/>
    <w:rsid w:val="00D058B8"/>
    <w:rsid w:val="00D10590"/>
    <w:rsid w:val="00D56C11"/>
    <w:rsid w:val="00D834A0"/>
    <w:rsid w:val="00D872DF"/>
    <w:rsid w:val="00D91E21"/>
    <w:rsid w:val="00DA7FCD"/>
    <w:rsid w:val="00E019A5"/>
    <w:rsid w:val="00E10C2E"/>
    <w:rsid w:val="00E365E1"/>
    <w:rsid w:val="00E820A4"/>
    <w:rsid w:val="00E9627B"/>
    <w:rsid w:val="00EB006A"/>
    <w:rsid w:val="00EB4772"/>
    <w:rsid w:val="00EC3D4E"/>
    <w:rsid w:val="00ED169E"/>
    <w:rsid w:val="00ED4235"/>
    <w:rsid w:val="00EF7639"/>
    <w:rsid w:val="00F04346"/>
    <w:rsid w:val="00F075DC"/>
    <w:rsid w:val="00F149E9"/>
    <w:rsid w:val="00F3565D"/>
    <w:rsid w:val="00F5134D"/>
    <w:rsid w:val="00F62A00"/>
    <w:rsid w:val="00F74495"/>
    <w:rsid w:val="00F87713"/>
    <w:rsid w:val="00FB4360"/>
    <w:rsid w:val="00FB4C90"/>
    <w:rsid w:val="00FD0C70"/>
    <w:rsid w:val="00FD1F1B"/>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03083"/>
  <w15:chartTrackingRefBased/>
  <w15:docId w15:val="{151F354C-DBB7-4DFE-B466-A2E2975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7FCD"/>
    <w:pPr>
      <w:widowControl w:val="0"/>
    </w:pPr>
    <w:rPr>
      <w:sz w:val="24"/>
      <w:lang w:val="sl-SI"/>
    </w:rPr>
  </w:style>
  <w:style w:type="paragraph" w:styleId="Naslov1">
    <w:name w:val="heading 1"/>
    <w:basedOn w:val="Navaden"/>
    <w:next w:val="Navaden"/>
    <w:link w:val="Naslov1Znak"/>
    <w:qFormat/>
    <w:rsid w:val="00395FA1"/>
    <w:pPr>
      <w:keepNext/>
      <w:keepLines/>
      <w:widowControl/>
      <w:spacing w:after="120"/>
      <w:ind w:left="510" w:hanging="510"/>
      <w:outlineLvl w:val="0"/>
    </w:pPr>
    <w:rPr>
      <w:b/>
      <w:kern w:val="28"/>
      <w:sz w:val="28"/>
      <w:lang w:val="fr-FR" w:eastAsia="fr-FR"/>
    </w:rPr>
  </w:style>
  <w:style w:type="paragraph" w:styleId="Naslov2">
    <w:name w:val="heading 2"/>
    <w:basedOn w:val="Navaden"/>
    <w:next w:val="Navaden"/>
    <w:link w:val="Naslov2Znak"/>
    <w:qFormat/>
    <w:rsid w:val="00395FA1"/>
    <w:pPr>
      <w:keepNext/>
      <w:widowControl/>
      <w:numPr>
        <w:ilvl w:val="1"/>
        <w:numId w:val="43"/>
      </w:numPr>
      <w:spacing w:before="240" w:after="60"/>
      <w:outlineLvl w:val="1"/>
    </w:pPr>
    <w:rPr>
      <w:lang w:val="fr-FR" w:eastAsia="fr-FR"/>
    </w:rPr>
  </w:style>
  <w:style w:type="paragraph" w:styleId="Naslov3">
    <w:name w:val="heading 3"/>
    <w:basedOn w:val="Navaden"/>
    <w:next w:val="Navaden"/>
    <w:link w:val="Naslov3Znak"/>
    <w:qFormat/>
    <w:rsid w:val="00395FA1"/>
    <w:pPr>
      <w:keepNext/>
      <w:widowControl/>
      <w:numPr>
        <w:ilvl w:val="2"/>
        <w:numId w:val="43"/>
      </w:numPr>
      <w:spacing w:before="240" w:after="60"/>
      <w:outlineLvl w:val="2"/>
    </w:pPr>
    <w:rPr>
      <w:rFonts w:ascii="Arial" w:hAnsi="Arial"/>
      <w:lang w:val="fr-FR" w:eastAsia="fr-FR"/>
    </w:rPr>
  </w:style>
  <w:style w:type="paragraph" w:styleId="Naslov4">
    <w:name w:val="heading 4"/>
    <w:basedOn w:val="Navaden"/>
    <w:next w:val="Navaden"/>
    <w:link w:val="Naslov4Znak"/>
    <w:qFormat/>
    <w:rsid w:val="00395FA1"/>
    <w:pPr>
      <w:keepNext/>
      <w:widowControl/>
      <w:numPr>
        <w:ilvl w:val="3"/>
        <w:numId w:val="43"/>
      </w:numPr>
      <w:spacing w:before="240" w:after="60"/>
      <w:outlineLvl w:val="3"/>
    </w:pPr>
    <w:rPr>
      <w:lang w:val="en-US" w:eastAsia="fr-FR"/>
    </w:rPr>
  </w:style>
  <w:style w:type="paragraph" w:styleId="Naslov5">
    <w:name w:val="heading 5"/>
    <w:basedOn w:val="Navaden"/>
    <w:next w:val="Navaden"/>
    <w:link w:val="Naslov5Znak"/>
    <w:qFormat/>
    <w:rsid w:val="00395FA1"/>
    <w:pPr>
      <w:widowControl/>
      <w:numPr>
        <w:ilvl w:val="4"/>
        <w:numId w:val="44"/>
      </w:numPr>
      <w:spacing w:before="240" w:after="60"/>
      <w:outlineLvl w:val="4"/>
    </w:pPr>
    <w:rPr>
      <w:lang w:val="en-US" w:eastAsia="fr-FR"/>
    </w:rPr>
  </w:style>
  <w:style w:type="paragraph" w:styleId="Naslov6">
    <w:name w:val="heading 6"/>
    <w:basedOn w:val="Navaden"/>
    <w:next w:val="Navaden"/>
    <w:link w:val="Naslov6Znak"/>
    <w:qFormat/>
    <w:pPr>
      <w:spacing w:before="240" w:after="60"/>
      <w:outlineLvl w:val="5"/>
    </w:pPr>
    <w:rPr>
      <w:i/>
      <w:sz w:val="22"/>
    </w:rPr>
  </w:style>
  <w:style w:type="paragraph" w:styleId="Naslov7">
    <w:name w:val="heading 7"/>
    <w:basedOn w:val="Navaden"/>
    <w:next w:val="Navaden"/>
    <w:link w:val="Naslov7Znak"/>
    <w:qFormat/>
    <w:pPr>
      <w:spacing w:before="240" w:after="60"/>
      <w:outlineLvl w:val="6"/>
    </w:pPr>
    <w:rPr>
      <w:rFonts w:ascii="Arial" w:hAnsi="Arial"/>
    </w:rPr>
  </w:style>
  <w:style w:type="paragraph" w:styleId="Naslov8">
    <w:name w:val="heading 8"/>
    <w:basedOn w:val="Navaden"/>
    <w:next w:val="Navaden"/>
    <w:link w:val="Naslov8Znak"/>
    <w:qFormat/>
    <w:pPr>
      <w:spacing w:before="240" w:after="60"/>
      <w:outlineLvl w:val="7"/>
    </w:pPr>
    <w:rPr>
      <w:rFonts w:ascii="Arial" w:hAnsi="Arial"/>
      <w:i/>
    </w:rPr>
  </w:style>
  <w:style w:type="paragraph" w:styleId="Naslov9">
    <w:name w:val="heading 9"/>
    <w:basedOn w:val="Navaden"/>
    <w:next w:val="Navaden"/>
    <w:link w:val="Naslov9Znak"/>
    <w:qFormat/>
    <w:p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ideTWBExt">
    <w:name w:val="HideTWBExt"/>
    <w:rPr>
      <w:rFonts w:ascii="Arial" w:hAnsi="Arial"/>
      <w:noProof/>
      <w:vanish/>
      <w:color w:val="000080"/>
      <w:sz w:val="20"/>
    </w:rPr>
  </w:style>
  <w:style w:type="paragraph" w:styleId="Kazalovsebine1">
    <w:name w:val="toc 1"/>
    <w:basedOn w:val="Navaden"/>
    <w:next w:val="Navaden"/>
    <w:autoRedefine/>
    <w:uiPriority w:val="39"/>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avaden"/>
    <w:rsid w:val="00AE0928"/>
    <w:pPr>
      <w:jc w:val="center"/>
    </w:pPr>
    <w:rPr>
      <w:rFonts w:ascii="Arial" w:hAnsi="Arial"/>
      <w:bCs/>
      <w:i/>
      <w:sz w:val="20"/>
    </w:rPr>
  </w:style>
  <w:style w:type="table" w:styleId="Tabelamrea">
    <w:name w:val="Table Grid"/>
    <w:basedOn w:val="Navadnatabela"/>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avaden"/>
    <w:rsid w:val="00AE0928"/>
    <w:pPr>
      <w:jc w:val="center"/>
    </w:pPr>
    <w:rPr>
      <w:rFonts w:ascii="Arial" w:hAnsi="Arial" w:cs="Arial"/>
      <w:b/>
      <w:sz w:val="22"/>
      <w:szCs w:val="22"/>
    </w:rPr>
  </w:style>
  <w:style w:type="paragraph" w:customStyle="1" w:styleId="LineTop">
    <w:name w:val="LineTop"/>
    <w:basedOn w:val="Navaden"/>
    <w:next w:val="Navaden"/>
    <w:rsid w:val="00D058B8"/>
    <w:pPr>
      <w:pBdr>
        <w:top w:val="single" w:sz="4" w:space="1" w:color="auto"/>
      </w:pBdr>
      <w:jc w:val="center"/>
    </w:pPr>
    <w:rPr>
      <w:rFonts w:ascii="Arial" w:hAnsi="Arial" w:cs="Arial"/>
      <w:sz w:val="16"/>
      <w:szCs w:val="16"/>
    </w:rPr>
  </w:style>
  <w:style w:type="paragraph" w:customStyle="1" w:styleId="LineBottom">
    <w:name w:val="LineBottom"/>
    <w:basedOn w:val="Navaden"/>
    <w:next w:val="Navaden"/>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avaden"/>
    <w:next w:val="Navaden"/>
    <w:rsid w:val="00F5134D"/>
    <w:pPr>
      <w:keepNext/>
      <w:keepLines/>
      <w:widowControl/>
      <w:spacing w:before="480" w:after="120"/>
      <w:outlineLvl w:val="0"/>
    </w:pPr>
    <w:rPr>
      <w:b/>
      <w:sz w:val="28"/>
      <w:lang w:eastAsia="fr-FR"/>
    </w:rPr>
  </w:style>
  <w:style w:type="paragraph" w:customStyle="1" w:styleId="ATHeading2">
    <w:name w:val="AT Heading 2"/>
    <w:basedOn w:val="Navaden"/>
    <w:next w:val="Navaden"/>
    <w:rsid w:val="00395FA1"/>
    <w:pPr>
      <w:widowControl/>
      <w:spacing w:before="120" w:after="120"/>
      <w:outlineLvl w:val="1"/>
    </w:pPr>
    <w:rPr>
      <w:b/>
      <w:sz w:val="28"/>
      <w:lang w:eastAsia="fr-FR"/>
    </w:rPr>
  </w:style>
  <w:style w:type="paragraph" w:customStyle="1" w:styleId="ATHeading3">
    <w:name w:val="AT Heading 3"/>
    <w:basedOn w:val="Navaden"/>
    <w:next w:val="Navaden"/>
    <w:rsid w:val="00395FA1"/>
    <w:pPr>
      <w:keepNext/>
      <w:keepLines/>
      <w:widowControl/>
      <w:spacing w:before="120" w:after="120"/>
      <w:outlineLvl w:val="2"/>
    </w:pPr>
    <w:rPr>
      <w:b/>
      <w:lang w:eastAsia="fr-FR"/>
    </w:rPr>
  </w:style>
  <w:style w:type="paragraph" w:customStyle="1" w:styleId="ATHeadingMotiv">
    <w:name w:val="AT Heading Motiv"/>
    <w:basedOn w:val="Navaden"/>
    <w:next w:val="Navaden"/>
    <w:rsid w:val="00395FA1"/>
    <w:pPr>
      <w:keepNext/>
      <w:widowControl/>
      <w:spacing w:before="60" w:after="60"/>
      <w:jc w:val="center"/>
    </w:pPr>
    <w:rPr>
      <w:i/>
      <w:lang w:eastAsia="fr-FR"/>
    </w:rPr>
  </w:style>
  <w:style w:type="character" w:styleId="Sprotnaopomba-sklic">
    <w:name w:val="footnote reference"/>
    <w:aliases w:val="Footnote symbol,Footnote reference number,Footnote,Times 10 Point,Exposant 3 Point,Ref,de nota al pie,note TESI,SUPERS,EN Footnote text,EN Footnote Reference,Voetnootverwijzing,Footnote number,fr,o,Footnotemark,FR,Footnotemark1,F"/>
    <w:uiPriority w:val="99"/>
    <w:rsid w:val="00395FA1"/>
    <w:rPr>
      <w:b w:val="0"/>
      <w:vertAlign w:val="superscript"/>
    </w:rPr>
  </w:style>
  <w:style w:type="paragraph" w:styleId="Sprotnaopomba-besedilo">
    <w:name w:val="footnote text"/>
    <w:aliases w:val=" Char Char Char Char"/>
    <w:basedOn w:val="Navaden"/>
    <w:link w:val="Sprotnaopomba-besediloZnak"/>
    <w:rsid w:val="00395FA1"/>
    <w:pPr>
      <w:keepLines/>
      <w:widowControl/>
      <w:spacing w:line="260" w:lineRule="exact"/>
      <w:ind w:left="425" w:hanging="425"/>
    </w:pPr>
    <w:rPr>
      <w:sz w:val="22"/>
      <w:lang w:val="fr-FR" w:eastAsia="fr-FR"/>
    </w:rPr>
  </w:style>
  <w:style w:type="character" w:customStyle="1" w:styleId="Sprotnaopomba-besediloZnak">
    <w:name w:val="Sprotna opomba - besedilo Znak"/>
    <w:aliases w:val=" Char Char Char Char Znak"/>
    <w:link w:val="Sprotnaopomba-besedilo"/>
    <w:rsid w:val="00762C74"/>
    <w:rPr>
      <w:sz w:val="22"/>
      <w:lang w:val="fr-FR" w:eastAsia="fr-FR"/>
    </w:rPr>
  </w:style>
  <w:style w:type="character" w:styleId="tevilkastrani">
    <w:name w:val="page number"/>
    <w:rsid w:val="00395FA1"/>
  </w:style>
  <w:style w:type="paragraph" w:styleId="Kazalovsebine2">
    <w:name w:val="toc 2"/>
    <w:basedOn w:val="Navaden"/>
    <w:next w:val="Navaden"/>
    <w:autoRedefine/>
    <w:semiHidden/>
    <w:rsid w:val="00395FA1"/>
    <w:pPr>
      <w:keepNext/>
      <w:keepLines/>
      <w:widowControl/>
    </w:pPr>
    <w:rPr>
      <w:b/>
      <w:noProof/>
      <w:lang w:val="fr-FR" w:eastAsia="fr-FR"/>
    </w:rPr>
  </w:style>
  <w:style w:type="paragraph" w:styleId="Kazalovsebine3">
    <w:name w:val="toc 3"/>
    <w:basedOn w:val="Navaden"/>
    <w:next w:val="Navaden"/>
    <w:autoRedefine/>
    <w:semiHidden/>
    <w:rsid w:val="00395FA1"/>
    <w:pPr>
      <w:keepLines/>
      <w:widowControl/>
      <w:ind w:right="510"/>
    </w:pPr>
    <w:rPr>
      <w:noProof/>
      <w:lang w:val="fr-FR" w:eastAsia="fr-FR"/>
    </w:rPr>
  </w:style>
  <w:style w:type="paragraph" w:customStyle="1" w:styleId="EPName">
    <w:name w:val="EPName"/>
    <w:basedOn w:val="Navaden"/>
    <w:rsid w:val="00751A4A"/>
    <w:pPr>
      <w:spacing w:before="80" w:after="80"/>
    </w:pPr>
    <w:rPr>
      <w:rFonts w:ascii="Arial Narrow" w:hAnsi="Arial Narrow" w:cs="Arial"/>
      <w:b/>
      <w:sz w:val="32"/>
      <w:szCs w:val="22"/>
    </w:rPr>
  </w:style>
  <w:style w:type="paragraph" w:customStyle="1" w:styleId="EPTerm">
    <w:name w:val="EPTerm"/>
    <w:basedOn w:val="Navaden"/>
    <w:next w:val="Navaden"/>
    <w:rsid w:val="00751A4A"/>
    <w:pPr>
      <w:spacing w:after="80"/>
    </w:pPr>
    <w:rPr>
      <w:rFonts w:ascii="Arial" w:hAnsi="Arial" w:cs="Arial"/>
      <w:sz w:val="20"/>
      <w:szCs w:val="22"/>
    </w:rPr>
  </w:style>
  <w:style w:type="paragraph" w:customStyle="1" w:styleId="EPLogo">
    <w:name w:val="EPLogo"/>
    <w:basedOn w:val="Navaden"/>
    <w:qFormat/>
    <w:rsid w:val="00751A4A"/>
    <w:pPr>
      <w:jc w:val="right"/>
    </w:pPr>
  </w:style>
  <w:style w:type="character" w:customStyle="1" w:styleId="Naslov1Znak">
    <w:name w:val="Naslov 1 Znak"/>
    <w:basedOn w:val="Privzetapisavaodstavka"/>
    <w:link w:val="Naslov1"/>
    <w:rsid w:val="006F5BFE"/>
    <w:rPr>
      <w:b/>
      <w:kern w:val="28"/>
      <w:sz w:val="28"/>
      <w:lang w:val="fr-FR" w:eastAsia="fr-FR"/>
    </w:rPr>
  </w:style>
  <w:style w:type="character" w:customStyle="1" w:styleId="Naslov2Znak">
    <w:name w:val="Naslov 2 Znak"/>
    <w:basedOn w:val="Privzetapisavaodstavka"/>
    <w:link w:val="Naslov2"/>
    <w:rsid w:val="006F5BFE"/>
    <w:rPr>
      <w:sz w:val="24"/>
      <w:lang w:val="fr-FR" w:eastAsia="fr-FR"/>
    </w:rPr>
  </w:style>
  <w:style w:type="character" w:customStyle="1" w:styleId="Naslov3Znak">
    <w:name w:val="Naslov 3 Znak"/>
    <w:basedOn w:val="Privzetapisavaodstavka"/>
    <w:link w:val="Naslov3"/>
    <w:rsid w:val="006F5BFE"/>
    <w:rPr>
      <w:rFonts w:ascii="Arial" w:hAnsi="Arial"/>
      <w:sz w:val="24"/>
      <w:lang w:val="fr-FR" w:eastAsia="fr-FR"/>
    </w:rPr>
  </w:style>
  <w:style w:type="character" w:customStyle="1" w:styleId="Naslov4Znak">
    <w:name w:val="Naslov 4 Znak"/>
    <w:basedOn w:val="Privzetapisavaodstavka"/>
    <w:link w:val="Naslov4"/>
    <w:rsid w:val="006F5BFE"/>
    <w:rPr>
      <w:sz w:val="24"/>
      <w:lang w:val="en-US" w:eastAsia="fr-FR"/>
    </w:rPr>
  </w:style>
  <w:style w:type="character" w:customStyle="1" w:styleId="Naslov5Znak">
    <w:name w:val="Naslov 5 Znak"/>
    <w:basedOn w:val="Privzetapisavaodstavka"/>
    <w:link w:val="Naslov5"/>
    <w:rsid w:val="006F5BFE"/>
    <w:rPr>
      <w:sz w:val="24"/>
      <w:lang w:val="en-US" w:eastAsia="fr-FR"/>
    </w:rPr>
  </w:style>
  <w:style w:type="character" w:customStyle="1" w:styleId="Naslov6Znak">
    <w:name w:val="Naslov 6 Znak"/>
    <w:basedOn w:val="Privzetapisavaodstavka"/>
    <w:link w:val="Naslov6"/>
    <w:rsid w:val="006F5BFE"/>
    <w:rPr>
      <w:i/>
      <w:sz w:val="22"/>
      <w:lang w:val="sl-SI"/>
    </w:rPr>
  </w:style>
  <w:style w:type="character" w:customStyle="1" w:styleId="Naslov7Znak">
    <w:name w:val="Naslov 7 Znak"/>
    <w:basedOn w:val="Privzetapisavaodstavka"/>
    <w:link w:val="Naslov7"/>
    <w:rsid w:val="006F5BFE"/>
    <w:rPr>
      <w:rFonts w:ascii="Arial" w:hAnsi="Arial"/>
      <w:sz w:val="24"/>
      <w:lang w:val="sl-SI"/>
    </w:rPr>
  </w:style>
  <w:style w:type="character" w:customStyle="1" w:styleId="Naslov8Znak">
    <w:name w:val="Naslov 8 Znak"/>
    <w:basedOn w:val="Privzetapisavaodstavka"/>
    <w:link w:val="Naslov8"/>
    <w:rsid w:val="006F5BFE"/>
    <w:rPr>
      <w:rFonts w:ascii="Arial" w:hAnsi="Arial"/>
      <w:i/>
      <w:sz w:val="24"/>
      <w:lang w:val="sl-SI"/>
    </w:rPr>
  </w:style>
  <w:style w:type="character" w:customStyle="1" w:styleId="Naslov9Znak">
    <w:name w:val="Naslov 9 Znak"/>
    <w:basedOn w:val="Privzetapisavaodstavka"/>
    <w:link w:val="Naslov9"/>
    <w:rsid w:val="006F5BFE"/>
    <w:rPr>
      <w:rFonts w:ascii="Arial" w:hAnsi="Arial"/>
      <w:b/>
      <w:i/>
      <w:sz w:val="18"/>
      <w:lang w:val="sl-SI"/>
    </w:rPr>
  </w:style>
  <w:style w:type="paragraph" w:styleId="NaslovTOC">
    <w:name w:val="TOC Heading"/>
    <w:basedOn w:val="Navaden"/>
    <w:next w:val="Navaden"/>
    <w:unhideWhenUsed/>
    <w:qFormat/>
    <w:rsid w:val="006F5BFE"/>
    <w:pPr>
      <w:widowControl/>
      <w:spacing w:after="240"/>
    </w:pPr>
    <w:rPr>
      <w:lang w:val="en-GB"/>
    </w:rPr>
  </w:style>
  <w:style w:type="paragraph" w:styleId="Noga">
    <w:name w:val="footer"/>
    <w:basedOn w:val="Navaden"/>
    <w:link w:val="NogaZnak"/>
    <w:rsid w:val="006F5BFE"/>
    <w:pPr>
      <w:tabs>
        <w:tab w:val="center" w:pos="4535"/>
        <w:tab w:val="right" w:pos="9071"/>
      </w:tabs>
      <w:spacing w:before="240" w:after="240"/>
    </w:pPr>
    <w:rPr>
      <w:sz w:val="22"/>
    </w:rPr>
  </w:style>
  <w:style w:type="character" w:customStyle="1" w:styleId="NogaZnak">
    <w:name w:val="Noga Znak"/>
    <w:basedOn w:val="Privzetapisavaodstavka"/>
    <w:link w:val="Noga"/>
    <w:rsid w:val="006F5BFE"/>
    <w:rPr>
      <w:sz w:val="22"/>
      <w:lang w:val="sl-SI"/>
    </w:rPr>
  </w:style>
  <w:style w:type="paragraph" w:customStyle="1" w:styleId="Normal12a12b">
    <w:name w:val="Normal12a12b"/>
    <w:basedOn w:val="Navaden"/>
    <w:rsid w:val="006F5BFE"/>
    <w:pPr>
      <w:spacing w:before="240" w:after="240"/>
    </w:pPr>
  </w:style>
  <w:style w:type="paragraph" w:customStyle="1" w:styleId="Footer2">
    <w:name w:val="Footer2"/>
    <w:basedOn w:val="Navaden"/>
    <w:rsid w:val="006F5BFE"/>
    <w:pPr>
      <w:widowControl/>
      <w:tabs>
        <w:tab w:val="right" w:pos="9921"/>
      </w:tabs>
      <w:spacing w:after="240"/>
      <w:ind w:left="-850" w:right="-850"/>
    </w:pPr>
    <w:rPr>
      <w:rFonts w:ascii="Arial" w:hAnsi="Arial" w:cs="Arial"/>
      <w:b/>
      <w:sz w:val="48"/>
    </w:rPr>
  </w:style>
  <w:style w:type="paragraph" w:customStyle="1" w:styleId="Normal12">
    <w:name w:val="Normal12"/>
    <w:basedOn w:val="Navaden"/>
    <w:link w:val="Normal12Char"/>
    <w:qFormat/>
    <w:rsid w:val="006F5BFE"/>
    <w:pPr>
      <w:spacing w:after="240"/>
    </w:pPr>
  </w:style>
  <w:style w:type="character" w:customStyle="1" w:styleId="Normal12Char">
    <w:name w:val="Normal12 Char"/>
    <w:basedOn w:val="Privzetapisavaodstavka"/>
    <w:link w:val="Normal12"/>
    <w:locked/>
    <w:rsid w:val="006F5BFE"/>
    <w:rPr>
      <w:sz w:val="24"/>
      <w:lang w:val="sl-SI"/>
    </w:rPr>
  </w:style>
  <w:style w:type="paragraph" w:customStyle="1" w:styleId="TOCPage">
    <w:name w:val="TOC Page"/>
    <w:basedOn w:val="Normal12"/>
    <w:next w:val="Kazalovsebine1"/>
    <w:rsid w:val="006F5BFE"/>
    <w:pPr>
      <w:keepNext/>
      <w:jc w:val="right"/>
    </w:pPr>
    <w:rPr>
      <w:rFonts w:ascii="Arial" w:hAnsi="Arial"/>
      <w:b/>
    </w:rPr>
  </w:style>
  <w:style w:type="paragraph" w:customStyle="1" w:styleId="TableofEntries">
    <w:name w:val="Table of Entries"/>
    <w:basedOn w:val="Normal12"/>
    <w:rsid w:val="006F5BFE"/>
    <w:pPr>
      <w:widowControl/>
      <w:tabs>
        <w:tab w:val="right" w:leader="dot" w:pos="9072"/>
      </w:tabs>
      <w:jc w:val="both"/>
    </w:pPr>
  </w:style>
  <w:style w:type="paragraph" w:customStyle="1" w:styleId="Normal6">
    <w:name w:val="Normal6"/>
    <w:basedOn w:val="Navaden"/>
    <w:link w:val="Normal6Char"/>
    <w:rsid w:val="006F5BFE"/>
    <w:pPr>
      <w:spacing w:after="120"/>
    </w:pPr>
  </w:style>
  <w:style w:type="character" w:customStyle="1" w:styleId="Normal6Char">
    <w:name w:val="Normal6 Char"/>
    <w:link w:val="Normal6"/>
    <w:rsid w:val="006F5BFE"/>
    <w:rPr>
      <w:sz w:val="24"/>
      <w:lang w:val="sl-SI"/>
    </w:rPr>
  </w:style>
  <w:style w:type="paragraph" w:customStyle="1" w:styleId="PageHeading">
    <w:name w:val="PageHeading"/>
    <w:basedOn w:val="Normal12a12b"/>
    <w:rsid w:val="006F5BFE"/>
    <w:pPr>
      <w:keepNext/>
      <w:jc w:val="center"/>
    </w:pPr>
    <w:rPr>
      <w:rFonts w:ascii="Arial" w:eastAsia="Calibri" w:hAnsi="Arial"/>
      <w:b/>
      <w:lang w:eastAsia="en-US"/>
    </w:rPr>
  </w:style>
  <w:style w:type="paragraph" w:customStyle="1" w:styleId="NormalBold">
    <w:name w:val="NormalBold"/>
    <w:basedOn w:val="Navaden"/>
    <w:link w:val="NormalBoldChar"/>
    <w:rsid w:val="006F5BFE"/>
    <w:rPr>
      <w:b/>
    </w:rPr>
  </w:style>
  <w:style w:type="character" w:customStyle="1" w:styleId="NormalBoldChar">
    <w:name w:val="NormalBold Char"/>
    <w:link w:val="NormalBold"/>
    <w:rsid w:val="006F5BFE"/>
    <w:rPr>
      <w:b/>
      <w:sz w:val="24"/>
      <w:lang w:val="sl-SI"/>
    </w:rPr>
  </w:style>
  <w:style w:type="paragraph" w:customStyle="1" w:styleId="Normal12Bold">
    <w:name w:val="Normal12Bold"/>
    <w:basedOn w:val="Normal12"/>
    <w:rsid w:val="006F5BFE"/>
    <w:rPr>
      <w:b/>
    </w:rPr>
  </w:style>
  <w:style w:type="paragraph" w:customStyle="1" w:styleId="Normal12Italic">
    <w:name w:val="Normal12Italic"/>
    <w:basedOn w:val="Navaden"/>
    <w:rsid w:val="006F5BFE"/>
    <w:pPr>
      <w:spacing w:before="240"/>
    </w:pPr>
    <w:rPr>
      <w:i/>
    </w:rPr>
  </w:style>
  <w:style w:type="paragraph" w:customStyle="1" w:styleId="Normal12Hanging">
    <w:name w:val="Normal12Hanging"/>
    <w:basedOn w:val="Normal12"/>
    <w:rsid w:val="006F5BFE"/>
    <w:pPr>
      <w:ind w:left="567" w:hanging="567"/>
    </w:pPr>
  </w:style>
  <w:style w:type="paragraph" w:customStyle="1" w:styleId="Normal24">
    <w:name w:val="Normal24"/>
    <w:basedOn w:val="Navaden"/>
    <w:rsid w:val="006F5BFE"/>
    <w:pPr>
      <w:spacing w:after="480"/>
    </w:pPr>
  </w:style>
  <w:style w:type="paragraph" w:customStyle="1" w:styleId="Cover24">
    <w:name w:val="Cover24"/>
    <w:basedOn w:val="Normal24"/>
    <w:rsid w:val="006F5BFE"/>
    <w:pPr>
      <w:ind w:left="1418"/>
    </w:pPr>
  </w:style>
  <w:style w:type="paragraph" w:customStyle="1" w:styleId="CoverNormal">
    <w:name w:val="CoverNormal"/>
    <w:basedOn w:val="Navaden"/>
    <w:rsid w:val="006F5BFE"/>
    <w:pPr>
      <w:ind w:left="1418"/>
    </w:pPr>
  </w:style>
  <w:style w:type="paragraph" w:customStyle="1" w:styleId="CrossRef">
    <w:name w:val="CrossRef"/>
    <w:basedOn w:val="Navaden"/>
    <w:rsid w:val="006F5BFE"/>
    <w:pPr>
      <w:spacing w:before="240"/>
      <w:jc w:val="center"/>
    </w:pPr>
    <w:rPr>
      <w:i/>
    </w:rPr>
  </w:style>
  <w:style w:type="paragraph" w:customStyle="1" w:styleId="JustificationTitle">
    <w:name w:val="JustificationTitle"/>
    <w:basedOn w:val="Navaden"/>
    <w:next w:val="Normal12"/>
    <w:rsid w:val="006F5BFE"/>
    <w:pPr>
      <w:keepNext/>
      <w:spacing w:before="240"/>
      <w:jc w:val="center"/>
    </w:pPr>
    <w:rPr>
      <w:i/>
    </w:rPr>
  </w:style>
  <w:style w:type="paragraph" w:customStyle="1" w:styleId="Normal12Centre">
    <w:name w:val="Normal12Centre"/>
    <w:basedOn w:val="Normal12"/>
    <w:rsid w:val="006F5BFE"/>
    <w:pPr>
      <w:jc w:val="center"/>
    </w:pPr>
  </w:style>
  <w:style w:type="paragraph" w:customStyle="1" w:styleId="Normal12Keep">
    <w:name w:val="Normal12Keep"/>
    <w:basedOn w:val="Normal12"/>
    <w:rsid w:val="006F5BFE"/>
    <w:pPr>
      <w:keepNext/>
    </w:pPr>
  </w:style>
  <w:style w:type="paragraph" w:customStyle="1" w:styleId="Normal12Tab">
    <w:name w:val="Normal12Tab"/>
    <w:basedOn w:val="Normal12"/>
    <w:rsid w:val="006F5BFE"/>
    <w:pPr>
      <w:tabs>
        <w:tab w:val="left" w:pos="567"/>
      </w:tabs>
    </w:pPr>
  </w:style>
  <w:style w:type="paragraph" w:customStyle="1" w:styleId="RefProc">
    <w:name w:val="RefProc"/>
    <w:basedOn w:val="Navaden"/>
    <w:rsid w:val="006F5BFE"/>
    <w:pPr>
      <w:spacing w:before="240" w:after="240"/>
      <w:jc w:val="right"/>
    </w:pPr>
    <w:rPr>
      <w:rFonts w:ascii="Arial" w:hAnsi="Arial"/>
      <w:b/>
      <w:caps/>
    </w:rPr>
  </w:style>
  <w:style w:type="paragraph" w:customStyle="1" w:styleId="StarsAndIs">
    <w:name w:val="StarsAndIs"/>
    <w:basedOn w:val="Navaden"/>
    <w:rsid w:val="006F5BFE"/>
    <w:pPr>
      <w:ind w:left="1418"/>
    </w:pPr>
    <w:rPr>
      <w:rFonts w:ascii="Arial" w:hAnsi="Arial"/>
      <w:b/>
      <w:sz w:val="48"/>
    </w:rPr>
  </w:style>
  <w:style w:type="paragraph" w:customStyle="1" w:styleId="TypeDoc">
    <w:name w:val="TypeDoc"/>
    <w:basedOn w:val="Normal24"/>
    <w:rsid w:val="006F5BFE"/>
    <w:pPr>
      <w:ind w:left="1418"/>
    </w:pPr>
    <w:rPr>
      <w:rFonts w:ascii="Arial" w:hAnsi="Arial"/>
      <w:b/>
      <w:sz w:val="48"/>
    </w:rPr>
  </w:style>
  <w:style w:type="paragraph" w:customStyle="1" w:styleId="ZDate">
    <w:name w:val="ZDate"/>
    <w:basedOn w:val="Navaden"/>
    <w:rsid w:val="006F5BFE"/>
    <w:pPr>
      <w:spacing w:after="1200"/>
    </w:pPr>
  </w:style>
  <w:style w:type="paragraph" w:styleId="Glava">
    <w:name w:val="header"/>
    <w:basedOn w:val="Navaden"/>
    <w:link w:val="GlavaZnak"/>
    <w:rsid w:val="006F5BFE"/>
    <w:pPr>
      <w:tabs>
        <w:tab w:val="center" w:pos="4153"/>
        <w:tab w:val="right" w:pos="8306"/>
      </w:tabs>
    </w:pPr>
  </w:style>
  <w:style w:type="character" w:customStyle="1" w:styleId="GlavaZnak">
    <w:name w:val="Glava Znak"/>
    <w:basedOn w:val="Privzetapisavaodstavka"/>
    <w:link w:val="Glava"/>
    <w:rsid w:val="006F5BFE"/>
    <w:rPr>
      <w:sz w:val="24"/>
      <w:lang w:val="sl-SI"/>
    </w:rPr>
  </w:style>
  <w:style w:type="paragraph" w:customStyle="1" w:styleId="Olang">
    <w:name w:val="Olang"/>
    <w:basedOn w:val="Navaden"/>
    <w:rsid w:val="006F5BFE"/>
    <w:pPr>
      <w:spacing w:before="240" w:after="240"/>
      <w:jc w:val="right"/>
    </w:pPr>
    <w:rPr>
      <w:noProof/>
    </w:rPr>
  </w:style>
  <w:style w:type="paragraph" w:customStyle="1" w:styleId="ColumnHeading">
    <w:name w:val="ColumnHeading"/>
    <w:basedOn w:val="Navaden"/>
    <w:rsid w:val="006F5BFE"/>
    <w:pPr>
      <w:spacing w:after="240"/>
      <w:jc w:val="center"/>
    </w:pPr>
    <w:rPr>
      <w:i/>
    </w:rPr>
  </w:style>
  <w:style w:type="paragraph" w:customStyle="1" w:styleId="AMNumberTabs">
    <w:name w:val="AMNumberTabs"/>
    <w:basedOn w:val="Navaden"/>
    <w:rsid w:val="006F5BF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avaden"/>
    <w:link w:val="NormalBold12bChar"/>
    <w:rsid w:val="006F5BFE"/>
    <w:pPr>
      <w:spacing w:before="240"/>
    </w:pPr>
    <w:rPr>
      <w:b/>
    </w:rPr>
  </w:style>
  <w:style w:type="paragraph" w:customStyle="1" w:styleId="ZCommittee">
    <w:name w:val="ZCommittee"/>
    <w:basedOn w:val="Navaden"/>
    <w:next w:val="Navaden"/>
    <w:rsid w:val="006F5BFE"/>
    <w:pPr>
      <w:jc w:val="center"/>
    </w:pPr>
    <w:rPr>
      <w:rFonts w:ascii="Arial" w:hAnsi="Arial" w:cs="Arial"/>
      <w:i/>
      <w:sz w:val="22"/>
      <w:szCs w:val="22"/>
    </w:rPr>
  </w:style>
  <w:style w:type="paragraph" w:customStyle="1" w:styleId="Lgendesigne">
    <w:name w:val="Légende signe"/>
    <w:basedOn w:val="Navaden"/>
    <w:rsid w:val="006F5BFE"/>
    <w:pPr>
      <w:tabs>
        <w:tab w:val="right" w:pos="454"/>
        <w:tab w:val="left" w:pos="737"/>
      </w:tabs>
      <w:ind w:left="737" w:hanging="737"/>
    </w:pPr>
    <w:rPr>
      <w:sz w:val="18"/>
    </w:rPr>
  </w:style>
  <w:style w:type="paragraph" w:customStyle="1" w:styleId="Lgendestandard">
    <w:name w:val="Légende standard"/>
    <w:basedOn w:val="Lgendesigne"/>
    <w:rsid w:val="006F5BFE"/>
    <w:pPr>
      <w:ind w:left="0" w:firstLine="0"/>
    </w:pPr>
  </w:style>
  <w:style w:type="paragraph" w:customStyle="1" w:styleId="Lgendetitre">
    <w:name w:val="Légende titre"/>
    <w:basedOn w:val="Navaden"/>
    <w:rsid w:val="006F5BFE"/>
    <w:pPr>
      <w:spacing w:before="240" w:after="240"/>
    </w:pPr>
    <w:rPr>
      <w:b/>
      <w:i/>
    </w:rPr>
  </w:style>
  <w:style w:type="paragraph" w:styleId="Besedilooblaka">
    <w:name w:val="Balloon Text"/>
    <w:basedOn w:val="Navaden"/>
    <w:link w:val="BesedilooblakaZnak"/>
    <w:rsid w:val="006F5BFE"/>
    <w:rPr>
      <w:rFonts w:ascii="Segoe UI" w:hAnsi="Segoe UI" w:cs="Segoe UI"/>
      <w:sz w:val="18"/>
      <w:szCs w:val="18"/>
    </w:rPr>
  </w:style>
  <w:style w:type="character" w:customStyle="1" w:styleId="BesedilooblakaZnak">
    <w:name w:val="Besedilo oblačka Znak"/>
    <w:basedOn w:val="Privzetapisavaodstavka"/>
    <w:link w:val="Besedilooblaka"/>
    <w:rsid w:val="006F5BFE"/>
    <w:rPr>
      <w:rFonts w:ascii="Segoe UI" w:hAnsi="Segoe UI" w:cs="Segoe UI"/>
      <w:sz w:val="18"/>
      <w:szCs w:val="18"/>
      <w:lang w:val="sl-SI"/>
    </w:rPr>
  </w:style>
  <w:style w:type="paragraph" w:customStyle="1" w:styleId="modref">
    <w:name w:val="modref"/>
    <w:basedOn w:val="Navaden"/>
    <w:rsid w:val="006F5BFE"/>
    <w:pPr>
      <w:widowControl/>
      <w:spacing w:before="120"/>
    </w:pPr>
    <w:rPr>
      <w:b/>
      <w:bCs/>
      <w:szCs w:val="24"/>
    </w:rPr>
  </w:style>
  <w:style w:type="paragraph" w:customStyle="1" w:styleId="stitle-article-norm">
    <w:name w:val="stitle-article-norm"/>
    <w:basedOn w:val="Navaden"/>
    <w:rsid w:val="006F5BFE"/>
    <w:pPr>
      <w:widowControl/>
      <w:spacing w:before="240" w:after="120"/>
      <w:jc w:val="center"/>
    </w:pPr>
    <w:rPr>
      <w:b/>
      <w:bCs/>
      <w:szCs w:val="24"/>
    </w:rPr>
  </w:style>
  <w:style w:type="character" w:styleId="Hiperpovezava">
    <w:name w:val="Hyperlink"/>
    <w:uiPriority w:val="99"/>
    <w:unhideWhenUsed/>
    <w:rsid w:val="006F5BFE"/>
    <w:rPr>
      <w:color w:val="0000FF"/>
      <w:u w:val="single"/>
    </w:rPr>
  </w:style>
  <w:style w:type="character" w:styleId="Pripombasklic">
    <w:name w:val="annotation reference"/>
    <w:basedOn w:val="Privzetapisavaodstavka"/>
    <w:rsid w:val="006F5BFE"/>
    <w:rPr>
      <w:sz w:val="16"/>
      <w:szCs w:val="16"/>
    </w:rPr>
  </w:style>
  <w:style w:type="paragraph" w:styleId="Pripombabesedilo">
    <w:name w:val="annotation text"/>
    <w:basedOn w:val="Navaden"/>
    <w:link w:val="PripombabesediloZnak"/>
    <w:rsid w:val="006F5BFE"/>
    <w:rPr>
      <w:sz w:val="20"/>
    </w:rPr>
  </w:style>
  <w:style w:type="character" w:customStyle="1" w:styleId="PripombabesediloZnak">
    <w:name w:val="Pripomba – besedilo Znak"/>
    <w:basedOn w:val="Privzetapisavaodstavka"/>
    <w:link w:val="Pripombabesedilo"/>
    <w:rsid w:val="006F5BFE"/>
    <w:rPr>
      <w:lang w:val="sl-SI"/>
    </w:rPr>
  </w:style>
  <w:style w:type="paragraph" w:styleId="Zadevapripombe">
    <w:name w:val="annotation subject"/>
    <w:basedOn w:val="Pripombabesedilo"/>
    <w:next w:val="Pripombabesedilo"/>
    <w:link w:val="ZadevapripombeZnak"/>
    <w:rsid w:val="006F5BFE"/>
    <w:rPr>
      <w:b/>
      <w:bCs/>
    </w:rPr>
  </w:style>
  <w:style w:type="character" w:customStyle="1" w:styleId="ZadevapripombeZnak">
    <w:name w:val="Zadeva pripombe Znak"/>
    <w:basedOn w:val="PripombabesediloZnak"/>
    <w:link w:val="Zadevapripombe"/>
    <w:rsid w:val="006F5BFE"/>
    <w:rPr>
      <w:b/>
      <w:bCs/>
      <w:lang w:val="sl-SI"/>
    </w:rPr>
  </w:style>
  <w:style w:type="character" w:styleId="SledenaHiperpovezava">
    <w:name w:val="FollowedHyperlink"/>
    <w:uiPriority w:val="99"/>
    <w:unhideWhenUsed/>
    <w:rsid w:val="006F5BFE"/>
    <w:rPr>
      <w:color w:val="954F72"/>
      <w:u w:val="single"/>
    </w:rPr>
  </w:style>
  <w:style w:type="paragraph" w:customStyle="1" w:styleId="msonormal0">
    <w:name w:val="msonormal"/>
    <w:basedOn w:val="Navaden"/>
    <w:rsid w:val="006F5BFE"/>
    <w:pPr>
      <w:widowControl/>
      <w:spacing w:before="100" w:beforeAutospacing="1" w:after="100" w:afterAutospacing="1"/>
    </w:pPr>
    <w:rPr>
      <w:szCs w:val="24"/>
    </w:rPr>
  </w:style>
  <w:style w:type="paragraph" w:styleId="Revizija">
    <w:name w:val="Revision"/>
    <w:hidden/>
    <w:uiPriority w:val="99"/>
    <w:semiHidden/>
    <w:rsid w:val="006F5BFE"/>
    <w:rPr>
      <w:sz w:val="24"/>
      <w:lang w:val="sl-SI"/>
    </w:rPr>
  </w:style>
  <w:style w:type="character" w:customStyle="1" w:styleId="Sup">
    <w:name w:val="Sup"/>
    <w:rsid w:val="006F5BFE"/>
    <w:rPr>
      <w:color w:val="000000"/>
      <w:vertAlign w:val="superscript"/>
    </w:rPr>
  </w:style>
  <w:style w:type="paragraph" w:customStyle="1" w:styleId="Point1">
    <w:name w:val="Point 1"/>
    <w:basedOn w:val="Navaden"/>
    <w:rsid w:val="006F5BFE"/>
    <w:pPr>
      <w:widowControl/>
      <w:spacing w:before="120" w:after="120"/>
      <w:ind w:left="1417" w:hanging="567"/>
      <w:jc w:val="both"/>
    </w:pPr>
    <w:rPr>
      <w:rFonts w:eastAsia="Calibri"/>
      <w:szCs w:val="22"/>
      <w:lang w:eastAsia="en-US"/>
    </w:rPr>
  </w:style>
  <w:style w:type="character" w:customStyle="1" w:styleId="superscript">
    <w:name w:val="superscript"/>
    <w:rsid w:val="006F5BFE"/>
    <w:rPr>
      <w:sz w:val="17"/>
      <w:szCs w:val="17"/>
      <w:vertAlign w:val="superscript"/>
    </w:rPr>
  </w:style>
  <w:style w:type="paragraph" w:customStyle="1" w:styleId="norm">
    <w:name w:val="norm"/>
    <w:basedOn w:val="Navaden"/>
    <w:rsid w:val="006F5BFE"/>
    <w:pPr>
      <w:widowControl/>
      <w:spacing w:before="120"/>
      <w:jc w:val="both"/>
    </w:pPr>
    <w:rPr>
      <w:szCs w:val="24"/>
    </w:rPr>
  </w:style>
  <w:style w:type="paragraph" w:customStyle="1" w:styleId="PageHeadingNotTOC">
    <w:name w:val="PageHeadingNotTOC"/>
    <w:basedOn w:val="Navaden"/>
    <w:rsid w:val="006F5BFE"/>
    <w:pPr>
      <w:keepNext/>
      <w:spacing w:before="240" w:after="240"/>
      <w:jc w:val="center"/>
    </w:pPr>
    <w:rPr>
      <w:rFonts w:ascii="Arial" w:hAnsi="Arial"/>
      <w:b/>
    </w:rPr>
  </w:style>
  <w:style w:type="paragraph" w:customStyle="1" w:styleId="ConclusionsPA">
    <w:name w:val="ConclusionsPA"/>
    <w:basedOn w:val="Normal12"/>
    <w:rsid w:val="006F5BFE"/>
    <w:pPr>
      <w:spacing w:before="480"/>
      <w:jc w:val="center"/>
    </w:pPr>
    <w:rPr>
      <w:rFonts w:ascii="Arial" w:hAnsi="Arial"/>
      <w:b/>
      <w:caps/>
      <w:snapToGrid w:val="0"/>
      <w:lang w:eastAsia="en-US"/>
    </w:rPr>
  </w:style>
  <w:style w:type="paragraph" w:customStyle="1" w:styleId="NormalTabs">
    <w:name w:val="NormalTabs"/>
    <w:basedOn w:val="Navaden"/>
    <w:qFormat/>
    <w:rsid w:val="006F5BFE"/>
    <w:pPr>
      <w:tabs>
        <w:tab w:val="center" w:pos="284"/>
        <w:tab w:val="left" w:pos="426"/>
      </w:tabs>
    </w:pPr>
    <w:rPr>
      <w:snapToGrid w:val="0"/>
      <w:lang w:eastAsia="en-US"/>
    </w:rPr>
  </w:style>
  <w:style w:type="paragraph" w:customStyle="1" w:styleId="Normal24a12b">
    <w:name w:val="Normal24a12b"/>
    <w:basedOn w:val="Navaden"/>
    <w:qFormat/>
    <w:rsid w:val="006F5BFE"/>
    <w:pPr>
      <w:spacing w:before="240" w:after="480"/>
    </w:pPr>
  </w:style>
  <w:style w:type="paragraph" w:customStyle="1" w:styleId="NormalBoldCentre">
    <w:name w:val="NormalBoldCentre"/>
    <w:basedOn w:val="Navaden"/>
    <w:next w:val="Navaden"/>
    <w:qFormat/>
    <w:rsid w:val="006F5BFE"/>
    <w:pPr>
      <w:jc w:val="center"/>
    </w:pPr>
    <w:rPr>
      <w:b/>
    </w:rPr>
  </w:style>
  <w:style w:type="paragraph" w:customStyle="1" w:styleId="Text2">
    <w:name w:val="Text 2"/>
    <w:basedOn w:val="Navaden"/>
    <w:rsid w:val="006F5BFE"/>
    <w:pPr>
      <w:widowControl/>
      <w:spacing w:before="120" w:after="120"/>
      <w:ind w:left="1417"/>
      <w:jc w:val="both"/>
    </w:pPr>
    <w:rPr>
      <w:rFonts w:eastAsia="Calibri"/>
      <w:szCs w:val="22"/>
      <w:lang w:eastAsia="en-US"/>
    </w:rPr>
  </w:style>
  <w:style w:type="numbering" w:customStyle="1" w:styleId="NoList1">
    <w:name w:val="No List1"/>
    <w:next w:val="Brezseznama"/>
    <w:uiPriority w:val="99"/>
    <w:semiHidden/>
    <w:unhideWhenUsed/>
    <w:rsid w:val="006F5BFE"/>
  </w:style>
  <w:style w:type="numbering" w:customStyle="1" w:styleId="NoList11">
    <w:name w:val="No List11"/>
    <w:next w:val="Brezseznama"/>
    <w:uiPriority w:val="99"/>
    <w:semiHidden/>
    <w:unhideWhenUsed/>
    <w:rsid w:val="006F5BFE"/>
  </w:style>
  <w:style w:type="table" w:customStyle="1" w:styleId="TableGrid1">
    <w:name w:val="Table Grid1"/>
    <w:basedOn w:val="Navadnatabela"/>
    <w:next w:val="Tabelamrea"/>
    <w:rsid w:val="006F5BFE"/>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rezseznama"/>
    <w:uiPriority w:val="99"/>
    <w:semiHidden/>
    <w:unhideWhenUsed/>
    <w:rsid w:val="006F5BFE"/>
  </w:style>
  <w:style w:type="numbering" w:customStyle="1" w:styleId="NoList12">
    <w:name w:val="No List12"/>
    <w:next w:val="Brezseznama"/>
    <w:uiPriority w:val="99"/>
    <w:semiHidden/>
    <w:unhideWhenUsed/>
    <w:rsid w:val="006F5BFE"/>
  </w:style>
  <w:style w:type="table" w:customStyle="1" w:styleId="TableGrid2">
    <w:name w:val="Table Grid2"/>
    <w:basedOn w:val="Navadnatabela"/>
    <w:next w:val="Tabelamrea"/>
    <w:rsid w:val="006F5BFE"/>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8B65FA"/>
    <w:rPr>
      <w:rFonts w:asciiTheme="minorHAnsi" w:hAnsiTheme="minorHAnsi"/>
      <w:b/>
      <w:i/>
      <w:iCs/>
    </w:rPr>
  </w:style>
  <w:style w:type="paragraph" w:customStyle="1" w:styleId="Normal6a">
    <w:name w:val="Normal6a"/>
    <w:basedOn w:val="Navaden"/>
    <w:rsid w:val="00EC3D4E"/>
    <w:pPr>
      <w:spacing w:after="120"/>
    </w:pPr>
  </w:style>
  <w:style w:type="paragraph" w:customStyle="1" w:styleId="AmColumnHeading">
    <w:name w:val="AmColumnHeading"/>
    <w:basedOn w:val="Navaden"/>
    <w:rsid w:val="00EC3D4E"/>
    <w:pPr>
      <w:spacing w:after="240"/>
      <w:jc w:val="center"/>
    </w:pPr>
    <w:rPr>
      <w:i/>
    </w:rPr>
  </w:style>
  <w:style w:type="paragraph" w:customStyle="1" w:styleId="AmNumberTabs0">
    <w:name w:val="AmNumberTabs"/>
    <w:basedOn w:val="Navaden"/>
    <w:rsid w:val="00EC3D4E"/>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character" w:customStyle="1" w:styleId="NormalBold12bChar">
    <w:name w:val="NormalBold12b Char"/>
    <w:basedOn w:val="Privzetapisavaodstavka"/>
    <w:link w:val="NormalBold12b"/>
    <w:rsid w:val="00EC3D4E"/>
    <w:rPr>
      <w:b/>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HTML/?uri=CELEX:02013R1308-20190101&amp;from=S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L/TXT/HTML/?uri=CELEX:02013R1308-20180101&amp;from=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lex.europa.eu/legal-content/SL/TXT/HTML/?uri=CELEX:02013R1308-20180101&amp;from=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SL/TXT/HTML/?uri=CELEX:02013R1308-20190101&amp;from=S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55548</Words>
  <Characters>316628</Characters>
  <Application>Microsoft Office Word</Application>
  <DocSecurity>0</DocSecurity>
  <Lines>2638</Lines>
  <Paragraphs>742</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371434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BAH CRCEK Anita</dc:creator>
  <cp:keywords/>
  <cp:lastModifiedBy>Helena Gašperlin Pertovt</cp:lastModifiedBy>
  <cp:revision>3</cp:revision>
  <cp:lastPrinted>2004-11-19T15:42:00Z</cp:lastPrinted>
  <dcterms:created xsi:type="dcterms:W3CDTF">2020-10-26T06:52:00Z</dcterms:created>
  <dcterms:modified xsi:type="dcterms:W3CDTF">2020-10-26T06:52:00Z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SL</vt:lpwstr>
  </property>
  <property fmtid="{D5CDD505-2E9C-101B-9397-08002B2CF9AE}" pid="3" name="&lt;FdR&gt;">
    <vt:lpwstr>A8-0198/2019</vt:lpwstr>
  </property>
  <property fmtid="{D5CDD505-2E9C-101B-9397-08002B2CF9AE}" pid="4" name="&lt;Type&gt;">
    <vt:lpwstr>RR</vt:lpwstr>
  </property>
</Properties>
</file>