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9119" w14:textId="5AB74505" w:rsidR="00A01763" w:rsidRPr="00A40660" w:rsidRDefault="00A01763" w:rsidP="00A01763">
      <w:pPr>
        <w:rPr>
          <w:rFonts w:cs="Arial"/>
          <w:szCs w:val="20"/>
        </w:rPr>
      </w:pPr>
      <w:bookmarkStart w:id="0" w:name="_Hlk54785498"/>
    </w:p>
    <w:p w14:paraId="42F84D1D" w14:textId="77777777" w:rsidR="00102D80" w:rsidRPr="00A40660" w:rsidRDefault="00102D80" w:rsidP="00A01763">
      <w:pPr>
        <w:rPr>
          <w:rFonts w:cs="Arial"/>
          <w:szCs w:val="20"/>
        </w:rPr>
      </w:pPr>
    </w:p>
    <w:p w14:paraId="4AB333FE" w14:textId="77777777" w:rsidR="00A01763" w:rsidRPr="00A40660" w:rsidRDefault="00A01763" w:rsidP="00A01763">
      <w:pPr>
        <w:rPr>
          <w:rFonts w:cs="Arial"/>
          <w:szCs w:val="20"/>
        </w:rPr>
      </w:pPr>
    </w:p>
    <w:p w14:paraId="57DE64AC" w14:textId="77777777" w:rsidR="00A01763" w:rsidRPr="00A40660" w:rsidRDefault="00A01763" w:rsidP="00A01763">
      <w:pPr>
        <w:rPr>
          <w:rFonts w:cs="Arial"/>
          <w:szCs w:val="20"/>
        </w:rPr>
      </w:pPr>
    </w:p>
    <w:p w14:paraId="09C90CAE" w14:textId="77777777" w:rsidR="00A01763" w:rsidRPr="00A40660" w:rsidRDefault="00A01763" w:rsidP="00A01763">
      <w:pPr>
        <w:rPr>
          <w:rFonts w:cs="Arial"/>
          <w:szCs w:val="20"/>
        </w:rPr>
      </w:pPr>
    </w:p>
    <w:p w14:paraId="00F81BCC" w14:textId="77777777" w:rsidR="00A01763" w:rsidRPr="00A40660" w:rsidRDefault="00102D80" w:rsidP="00CB3BBA">
      <w:pPr>
        <w:jc w:val="center"/>
        <w:rPr>
          <w:rFonts w:cs="Arial"/>
          <w:b/>
          <w:szCs w:val="20"/>
        </w:rPr>
      </w:pPr>
      <w:r w:rsidRPr="00A40660">
        <w:rPr>
          <w:rFonts w:cs="Arial"/>
          <w:b/>
          <w:szCs w:val="20"/>
        </w:rPr>
        <w:t>Predloga z</w:t>
      </w:r>
      <w:r w:rsidR="00F018CA">
        <w:rPr>
          <w:rFonts w:cs="Arial"/>
          <w:b/>
          <w:szCs w:val="20"/>
        </w:rPr>
        <w:t>a program, ki se financira iz</w:t>
      </w:r>
      <w:r w:rsidRPr="00A40660">
        <w:rPr>
          <w:rFonts w:cs="Arial"/>
          <w:b/>
          <w:szCs w:val="20"/>
        </w:rPr>
        <w:t xml:space="preserve"> ESPRA 2021-2027</w:t>
      </w:r>
      <w:r w:rsidR="00A40660" w:rsidRPr="00A40660">
        <w:rPr>
          <w:rStyle w:val="Sprotnaopomba-sklic"/>
          <w:rFonts w:cs="Arial"/>
          <w:b w:val="0"/>
          <w:szCs w:val="20"/>
        </w:rPr>
        <w:footnoteReference w:id="1"/>
      </w:r>
    </w:p>
    <w:p w14:paraId="494F1782" w14:textId="77777777" w:rsidR="006F003B" w:rsidRPr="00A40660" w:rsidRDefault="006F003B" w:rsidP="00CB3BBA">
      <w:pPr>
        <w:jc w:val="center"/>
        <w:rPr>
          <w:rFonts w:cs="Arial"/>
          <w:b/>
          <w:szCs w:val="20"/>
        </w:rPr>
      </w:pPr>
    </w:p>
    <w:p w14:paraId="7A45AB1E" w14:textId="77777777" w:rsidR="00A01763" w:rsidRPr="003F5964" w:rsidRDefault="00A01763" w:rsidP="00A01763">
      <w:pPr>
        <w:rPr>
          <w:rFonts w:cs="Arial"/>
          <w:szCs w:val="20"/>
          <w:lang w:val="it-IT"/>
        </w:rPr>
      </w:pPr>
    </w:p>
    <w:p w14:paraId="5DC2A1D8" w14:textId="77777777" w:rsidR="00A01763" w:rsidRPr="00A40660" w:rsidRDefault="006F003B" w:rsidP="00A01763">
      <w:pPr>
        <w:rPr>
          <w:rFonts w:cs="Arial"/>
          <w:szCs w:val="20"/>
        </w:rPr>
      </w:pPr>
      <w:r w:rsidRPr="00A40660">
        <w:rPr>
          <w:rFonts w:cs="Arial"/>
          <w:szCs w:val="20"/>
        </w:rPr>
        <w:t xml:space="preserve">Besedilo se vnaša v informacijski </w:t>
      </w:r>
      <w:r w:rsidR="00A9040B">
        <w:rPr>
          <w:rFonts w:cs="Arial"/>
          <w:szCs w:val="20"/>
        </w:rPr>
        <w:t>sistem Evropske komisije SFC2021</w:t>
      </w:r>
      <w:r w:rsidRPr="00A40660">
        <w:rPr>
          <w:rFonts w:cs="Arial"/>
          <w:szCs w:val="20"/>
        </w:rPr>
        <w:t>.</w:t>
      </w:r>
    </w:p>
    <w:p w14:paraId="0EC7D6BB" w14:textId="77777777" w:rsidR="00A01763" w:rsidRPr="003F5964" w:rsidRDefault="00A01763" w:rsidP="00A01763">
      <w:pPr>
        <w:rPr>
          <w:rFonts w:cs="Arial"/>
          <w:szCs w:val="20"/>
          <w:lang w:val="it-IT"/>
        </w:rPr>
      </w:pPr>
    </w:p>
    <w:p w14:paraId="23856FB2" w14:textId="77777777" w:rsidR="00A01763" w:rsidRPr="003F5964" w:rsidRDefault="00A01763" w:rsidP="00A01763">
      <w:pPr>
        <w:rPr>
          <w:rFonts w:cs="Arial"/>
          <w:szCs w:val="20"/>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4638"/>
      </w:tblGrid>
      <w:tr w:rsidR="00102D80" w:rsidRPr="00A40660" w14:paraId="50E953C4" w14:textId="77777777" w:rsidTr="00F018CA">
        <w:trPr>
          <w:trHeight w:val="354"/>
          <w:jc w:val="center"/>
        </w:trPr>
        <w:tc>
          <w:tcPr>
            <w:tcW w:w="3013" w:type="dxa"/>
            <w:shd w:val="clear" w:color="auto" w:fill="auto"/>
          </w:tcPr>
          <w:p w14:paraId="511AB623" w14:textId="77777777" w:rsidR="00102D80" w:rsidRPr="00A40660" w:rsidRDefault="00102D80" w:rsidP="00854925">
            <w:pPr>
              <w:spacing w:line="276" w:lineRule="auto"/>
              <w:rPr>
                <w:rFonts w:cs="Arial"/>
                <w:b/>
                <w:noProof/>
                <w:szCs w:val="20"/>
              </w:rPr>
            </w:pPr>
            <w:r w:rsidRPr="00A40660">
              <w:rPr>
                <w:rFonts w:cs="Arial"/>
                <w:b/>
                <w:noProof/>
                <w:szCs w:val="20"/>
              </w:rPr>
              <w:t>CCI</w:t>
            </w:r>
          </w:p>
        </w:tc>
        <w:tc>
          <w:tcPr>
            <w:tcW w:w="4638" w:type="dxa"/>
            <w:shd w:val="clear" w:color="auto" w:fill="auto"/>
          </w:tcPr>
          <w:p w14:paraId="08CA3895" w14:textId="77777777" w:rsidR="00102D80" w:rsidRPr="00A40660" w:rsidRDefault="0013679C" w:rsidP="00854925">
            <w:pPr>
              <w:spacing w:line="276" w:lineRule="auto"/>
              <w:rPr>
                <w:rFonts w:cs="Arial"/>
                <w:noProof/>
                <w:szCs w:val="20"/>
              </w:rPr>
            </w:pPr>
            <w:r>
              <w:rPr>
                <w:rFonts w:cs="Arial"/>
                <w:noProof/>
                <w:szCs w:val="20"/>
              </w:rPr>
              <w:t>Določi Evropska komisija</w:t>
            </w:r>
          </w:p>
        </w:tc>
      </w:tr>
      <w:tr w:rsidR="00102D80" w:rsidRPr="00A40660" w14:paraId="4514B197" w14:textId="77777777" w:rsidTr="00F018CA">
        <w:trPr>
          <w:trHeight w:val="428"/>
          <w:jc w:val="center"/>
        </w:trPr>
        <w:tc>
          <w:tcPr>
            <w:tcW w:w="3013" w:type="dxa"/>
            <w:shd w:val="clear" w:color="auto" w:fill="auto"/>
          </w:tcPr>
          <w:p w14:paraId="223F636B" w14:textId="77777777" w:rsidR="00102D80" w:rsidRPr="00A40660" w:rsidRDefault="00102D80" w:rsidP="00854925">
            <w:pPr>
              <w:spacing w:line="276" w:lineRule="auto"/>
              <w:rPr>
                <w:rFonts w:cs="Arial"/>
                <w:b/>
                <w:noProof/>
                <w:szCs w:val="20"/>
              </w:rPr>
            </w:pPr>
            <w:r w:rsidRPr="00A40660">
              <w:rPr>
                <w:rFonts w:cs="Arial"/>
                <w:b/>
                <w:noProof/>
                <w:szCs w:val="20"/>
              </w:rPr>
              <w:t>Naziv v EN</w:t>
            </w:r>
          </w:p>
        </w:tc>
        <w:tc>
          <w:tcPr>
            <w:tcW w:w="4638" w:type="dxa"/>
            <w:shd w:val="clear" w:color="auto" w:fill="auto"/>
          </w:tcPr>
          <w:p w14:paraId="74D5B1D8" w14:textId="1F4B76D0" w:rsidR="00102D80" w:rsidRPr="00A40660" w:rsidRDefault="00C461B2" w:rsidP="00C461B2">
            <w:pPr>
              <w:spacing w:line="276" w:lineRule="auto"/>
              <w:jc w:val="both"/>
              <w:rPr>
                <w:rFonts w:cs="Arial"/>
                <w:noProof/>
                <w:szCs w:val="20"/>
              </w:rPr>
            </w:pPr>
            <w:r>
              <w:rPr>
                <w:rFonts w:cs="Arial"/>
                <w:noProof/>
                <w:szCs w:val="20"/>
              </w:rPr>
              <w:t>P</w:t>
            </w:r>
            <w:r w:rsidR="00AE1B67">
              <w:rPr>
                <w:rFonts w:cs="Arial"/>
                <w:noProof/>
                <w:szCs w:val="20"/>
              </w:rPr>
              <w:t>rogramme for implementation of the European Fund for Maritime, Fisheries and Aquaculture in Republic of Slovenia for period 2021-2027</w:t>
            </w:r>
          </w:p>
        </w:tc>
      </w:tr>
      <w:tr w:rsidR="00102D80" w:rsidRPr="00A40660" w14:paraId="459089C2" w14:textId="77777777" w:rsidTr="00F018CA">
        <w:trPr>
          <w:trHeight w:val="220"/>
          <w:jc w:val="center"/>
        </w:trPr>
        <w:tc>
          <w:tcPr>
            <w:tcW w:w="3013" w:type="dxa"/>
            <w:shd w:val="clear" w:color="auto" w:fill="auto"/>
          </w:tcPr>
          <w:p w14:paraId="45EDCD17" w14:textId="77777777" w:rsidR="00102D80" w:rsidRPr="00A40660" w:rsidRDefault="00102D80" w:rsidP="00854925">
            <w:pPr>
              <w:spacing w:line="276" w:lineRule="auto"/>
              <w:rPr>
                <w:rFonts w:cs="Arial"/>
                <w:b/>
                <w:noProof/>
                <w:szCs w:val="20"/>
              </w:rPr>
            </w:pPr>
            <w:r w:rsidRPr="00A40660">
              <w:rPr>
                <w:rFonts w:cs="Arial"/>
                <w:b/>
                <w:noProof/>
                <w:szCs w:val="20"/>
              </w:rPr>
              <w:t>Naziv v nacionalnih jezikih</w:t>
            </w:r>
          </w:p>
        </w:tc>
        <w:tc>
          <w:tcPr>
            <w:tcW w:w="4638" w:type="dxa"/>
            <w:shd w:val="clear" w:color="auto" w:fill="auto"/>
          </w:tcPr>
          <w:p w14:paraId="4EE1C006" w14:textId="2D19D371" w:rsidR="00102D80" w:rsidRPr="00A40660" w:rsidRDefault="00C461B2" w:rsidP="00C461B2">
            <w:pPr>
              <w:spacing w:line="276" w:lineRule="auto"/>
              <w:jc w:val="both"/>
              <w:rPr>
                <w:rFonts w:cs="Arial"/>
                <w:noProof/>
                <w:szCs w:val="20"/>
              </w:rPr>
            </w:pPr>
            <w:r>
              <w:rPr>
                <w:rFonts w:cs="Arial"/>
                <w:noProof/>
                <w:szCs w:val="20"/>
              </w:rPr>
              <w:t>P</w:t>
            </w:r>
            <w:r w:rsidR="00AE1B67">
              <w:rPr>
                <w:rFonts w:cs="Arial"/>
                <w:noProof/>
                <w:szCs w:val="20"/>
              </w:rPr>
              <w:t>rogram za izvajanje Evropskega sklada za pomorstvo, ribištvo in akvakulturo v Republiki Sloveniji za obdobje 2021-2027</w:t>
            </w:r>
          </w:p>
        </w:tc>
      </w:tr>
      <w:tr w:rsidR="00102D80" w:rsidRPr="00A40660" w14:paraId="02E35E10" w14:textId="77777777" w:rsidTr="00F018CA">
        <w:trPr>
          <w:trHeight w:val="220"/>
          <w:jc w:val="center"/>
        </w:trPr>
        <w:tc>
          <w:tcPr>
            <w:tcW w:w="3013" w:type="dxa"/>
            <w:shd w:val="clear" w:color="auto" w:fill="auto"/>
          </w:tcPr>
          <w:p w14:paraId="5501C0AD" w14:textId="77777777" w:rsidR="00102D80" w:rsidRPr="00A40660" w:rsidRDefault="00102D80" w:rsidP="00102D80">
            <w:pPr>
              <w:pStyle w:val="Default"/>
              <w:rPr>
                <w:rFonts w:ascii="Arial" w:hAnsi="Arial" w:cs="Arial"/>
                <w:sz w:val="20"/>
                <w:szCs w:val="20"/>
              </w:rPr>
            </w:pPr>
            <w:r w:rsidRPr="00A40660">
              <w:rPr>
                <w:rFonts w:ascii="Arial" w:hAnsi="Arial" w:cs="Arial"/>
                <w:b/>
                <w:bCs/>
                <w:sz w:val="20"/>
                <w:szCs w:val="20"/>
              </w:rPr>
              <w:t xml:space="preserve">Različica </w:t>
            </w:r>
          </w:p>
        </w:tc>
        <w:tc>
          <w:tcPr>
            <w:tcW w:w="4638" w:type="dxa"/>
            <w:shd w:val="clear" w:color="auto" w:fill="auto"/>
          </w:tcPr>
          <w:p w14:paraId="3F498796" w14:textId="77777777" w:rsidR="00102D80" w:rsidRPr="00A40660" w:rsidRDefault="00AE1B67" w:rsidP="00854925">
            <w:pPr>
              <w:spacing w:line="276" w:lineRule="auto"/>
              <w:rPr>
                <w:rFonts w:cs="Arial"/>
                <w:noProof/>
                <w:szCs w:val="20"/>
                <w:lang w:val="nb-NO"/>
              </w:rPr>
            </w:pPr>
            <w:r>
              <w:rPr>
                <w:rFonts w:cs="Arial"/>
                <w:noProof/>
                <w:szCs w:val="20"/>
                <w:lang w:val="nb-NO"/>
              </w:rPr>
              <w:t>1.0</w:t>
            </w:r>
          </w:p>
        </w:tc>
      </w:tr>
      <w:tr w:rsidR="00102D80" w:rsidRPr="00A40660" w14:paraId="5E1643D1" w14:textId="77777777" w:rsidTr="00F018CA">
        <w:trPr>
          <w:trHeight w:val="406"/>
          <w:jc w:val="center"/>
        </w:trPr>
        <w:tc>
          <w:tcPr>
            <w:tcW w:w="3013" w:type="dxa"/>
            <w:shd w:val="clear" w:color="auto" w:fill="auto"/>
          </w:tcPr>
          <w:p w14:paraId="679C33BF" w14:textId="77777777" w:rsidR="00102D80" w:rsidRPr="00A40660" w:rsidRDefault="00102D80" w:rsidP="00854925">
            <w:pPr>
              <w:spacing w:line="276" w:lineRule="auto"/>
              <w:rPr>
                <w:rFonts w:cs="Arial"/>
                <w:b/>
                <w:noProof/>
                <w:szCs w:val="20"/>
              </w:rPr>
            </w:pPr>
            <w:r w:rsidRPr="00A40660">
              <w:rPr>
                <w:rFonts w:cs="Arial"/>
                <w:b/>
                <w:noProof/>
                <w:szCs w:val="20"/>
              </w:rPr>
              <w:t>Prvo leto</w:t>
            </w:r>
          </w:p>
        </w:tc>
        <w:tc>
          <w:tcPr>
            <w:tcW w:w="4638" w:type="dxa"/>
            <w:shd w:val="clear" w:color="auto" w:fill="auto"/>
          </w:tcPr>
          <w:p w14:paraId="6E7A1F78" w14:textId="77777777" w:rsidR="00102D80" w:rsidRPr="00A40660" w:rsidRDefault="00AE1B67" w:rsidP="00854925">
            <w:pPr>
              <w:spacing w:line="276" w:lineRule="auto"/>
              <w:rPr>
                <w:rFonts w:cs="Arial"/>
                <w:noProof/>
                <w:szCs w:val="20"/>
              </w:rPr>
            </w:pPr>
            <w:r>
              <w:rPr>
                <w:rFonts w:cs="Arial"/>
                <w:noProof/>
                <w:szCs w:val="20"/>
              </w:rPr>
              <w:t>2021</w:t>
            </w:r>
          </w:p>
        </w:tc>
      </w:tr>
      <w:tr w:rsidR="00102D80" w:rsidRPr="00A40660" w14:paraId="1955A6F4" w14:textId="77777777" w:rsidTr="00F018CA">
        <w:trPr>
          <w:trHeight w:val="430"/>
          <w:jc w:val="center"/>
        </w:trPr>
        <w:tc>
          <w:tcPr>
            <w:tcW w:w="3013" w:type="dxa"/>
            <w:shd w:val="clear" w:color="auto" w:fill="auto"/>
          </w:tcPr>
          <w:p w14:paraId="17348145" w14:textId="77777777" w:rsidR="00102D80" w:rsidRPr="00A40660" w:rsidRDefault="00102D80" w:rsidP="00854925">
            <w:pPr>
              <w:spacing w:line="276" w:lineRule="auto"/>
              <w:rPr>
                <w:rFonts w:cs="Arial"/>
                <w:b/>
                <w:noProof/>
                <w:szCs w:val="20"/>
              </w:rPr>
            </w:pPr>
            <w:r w:rsidRPr="00A40660">
              <w:rPr>
                <w:rFonts w:cs="Arial"/>
                <w:b/>
                <w:noProof/>
                <w:szCs w:val="20"/>
              </w:rPr>
              <w:t>Zadnje leto</w:t>
            </w:r>
          </w:p>
        </w:tc>
        <w:tc>
          <w:tcPr>
            <w:tcW w:w="4638" w:type="dxa"/>
            <w:shd w:val="clear" w:color="auto" w:fill="auto"/>
          </w:tcPr>
          <w:p w14:paraId="544FED76" w14:textId="77777777" w:rsidR="00102D80" w:rsidRPr="00A40660" w:rsidRDefault="00AE1B67" w:rsidP="00854925">
            <w:pPr>
              <w:spacing w:line="276" w:lineRule="auto"/>
              <w:rPr>
                <w:rFonts w:cs="Arial"/>
                <w:noProof/>
                <w:szCs w:val="20"/>
              </w:rPr>
            </w:pPr>
            <w:r>
              <w:rPr>
                <w:rFonts w:cs="Arial"/>
                <w:noProof/>
                <w:szCs w:val="20"/>
              </w:rPr>
              <w:t>2029</w:t>
            </w:r>
          </w:p>
        </w:tc>
      </w:tr>
      <w:tr w:rsidR="00102D80" w:rsidRPr="00A40660" w14:paraId="663BBA54" w14:textId="77777777" w:rsidTr="00F018CA">
        <w:trPr>
          <w:trHeight w:val="406"/>
          <w:jc w:val="center"/>
        </w:trPr>
        <w:tc>
          <w:tcPr>
            <w:tcW w:w="3013" w:type="dxa"/>
            <w:shd w:val="clear" w:color="auto" w:fill="auto"/>
          </w:tcPr>
          <w:p w14:paraId="05F2A560" w14:textId="77777777" w:rsidR="00102D80" w:rsidRPr="00A40660" w:rsidRDefault="00102D80" w:rsidP="00854925">
            <w:pPr>
              <w:spacing w:line="276" w:lineRule="auto"/>
              <w:rPr>
                <w:rFonts w:cs="Arial"/>
                <w:b/>
                <w:noProof/>
                <w:szCs w:val="20"/>
              </w:rPr>
            </w:pPr>
            <w:r w:rsidRPr="00A40660">
              <w:rPr>
                <w:rFonts w:cs="Arial"/>
                <w:b/>
                <w:noProof/>
                <w:szCs w:val="20"/>
              </w:rPr>
              <w:t>Upravičen od</w:t>
            </w:r>
          </w:p>
        </w:tc>
        <w:tc>
          <w:tcPr>
            <w:tcW w:w="4638" w:type="dxa"/>
            <w:shd w:val="clear" w:color="auto" w:fill="auto"/>
          </w:tcPr>
          <w:p w14:paraId="48BF1955" w14:textId="77777777" w:rsidR="00102D80" w:rsidRPr="00A40660" w:rsidRDefault="0013679C" w:rsidP="00854925">
            <w:pPr>
              <w:spacing w:line="276" w:lineRule="auto"/>
              <w:rPr>
                <w:rFonts w:cs="Arial"/>
                <w:noProof/>
                <w:szCs w:val="20"/>
                <w:lang w:val="nb-NO"/>
              </w:rPr>
            </w:pPr>
            <w:r>
              <w:rPr>
                <w:rFonts w:cs="Arial"/>
                <w:noProof/>
                <w:szCs w:val="20"/>
                <w:lang w:val="nb-NO"/>
              </w:rPr>
              <w:t>1.1.2021</w:t>
            </w:r>
          </w:p>
        </w:tc>
      </w:tr>
      <w:tr w:rsidR="00102D80" w:rsidRPr="00A40660" w14:paraId="1F486DBC" w14:textId="77777777" w:rsidTr="00F018CA">
        <w:trPr>
          <w:trHeight w:val="406"/>
          <w:jc w:val="center"/>
        </w:trPr>
        <w:tc>
          <w:tcPr>
            <w:tcW w:w="3013" w:type="dxa"/>
            <w:shd w:val="clear" w:color="auto" w:fill="auto"/>
          </w:tcPr>
          <w:p w14:paraId="1C680A4D" w14:textId="77777777" w:rsidR="00102D80" w:rsidRPr="00A40660" w:rsidRDefault="00102D80" w:rsidP="00854925">
            <w:pPr>
              <w:spacing w:line="276" w:lineRule="auto"/>
              <w:rPr>
                <w:rFonts w:cs="Arial"/>
                <w:b/>
                <w:noProof/>
                <w:szCs w:val="20"/>
              </w:rPr>
            </w:pPr>
            <w:r w:rsidRPr="00A40660">
              <w:rPr>
                <w:rFonts w:cs="Arial"/>
                <w:b/>
                <w:noProof/>
                <w:szCs w:val="20"/>
              </w:rPr>
              <w:t>Upravičen do</w:t>
            </w:r>
          </w:p>
        </w:tc>
        <w:tc>
          <w:tcPr>
            <w:tcW w:w="4638" w:type="dxa"/>
            <w:shd w:val="clear" w:color="auto" w:fill="auto"/>
          </w:tcPr>
          <w:p w14:paraId="5E5FE105" w14:textId="435754B3" w:rsidR="00102D80" w:rsidRPr="0013679C" w:rsidRDefault="0013679C" w:rsidP="00854925">
            <w:pPr>
              <w:spacing w:line="276" w:lineRule="auto"/>
              <w:rPr>
                <w:rFonts w:cs="Arial"/>
                <w:noProof/>
                <w:szCs w:val="20"/>
                <w:lang w:val="nb-NO"/>
              </w:rPr>
            </w:pPr>
            <w:r w:rsidRPr="0013679C">
              <w:rPr>
                <w:rFonts w:cs="Arial"/>
                <w:noProof/>
                <w:szCs w:val="20"/>
                <w:lang w:val="nb-NO"/>
              </w:rPr>
              <w:t>31.12.20</w:t>
            </w:r>
            <w:r w:rsidR="00331C73">
              <w:rPr>
                <w:rFonts w:cs="Arial"/>
                <w:noProof/>
                <w:szCs w:val="20"/>
                <w:lang w:val="nb-NO"/>
              </w:rPr>
              <w:t>2</w:t>
            </w:r>
            <w:r w:rsidRPr="0013679C">
              <w:rPr>
                <w:rFonts w:cs="Arial"/>
                <w:noProof/>
                <w:szCs w:val="20"/>
                <w:lang w:val="nb-NO"/>
              </w:rPr>
              <w:t>9</w:t>
            </w:r>
          </w:p>
        </w:tc>
      </w:tr>
      <w:tr w:rsidR="00102D80" w:rsidRPr="00A40660" w14:paraId="27C3C382" w14:textId="77777777" w:rsidTr="00F018CA">
        <w:trPr>
          <w:trHeight w:val="837"/>
          <w:jc w:val="center"/>
        </w:trPr>
        <w:tc>
          <w:tcPr>
            <w:tcW w:w="3013" w:type="dxa"/>
            <w:shd w:val="clear" w:color="auto" w:fill="auto"/>
          </w:tcPr>
          <w:p w14:paraId="38A694DF" w14:textId="77777777" w:rsidR="00CB3BBA" w:rsidRPr="00A40660" w:rsidRDefault="00CB3BBA" w:rsidP="00CB3BBA">
            <w:pPr>
              <w:spacing w:line="276" w:lineRule="auto"/>
              <w:rPr>
                <w:rFonts w:cs="Arial"/>
                <w:b/>
                <w:noProof/>
                <w:szCs w:val="20"/>
                <w:lang w:val="nb-NO"/>
              </w:rPr>
            </w:pPr>
            <w:r w:rsidRPr="00A40660">
              <w:rPr>
                <w:rFonts w:cs="Arial"/>
                <w:b/>
                <w:noProof/>
                <w:szCs w:val="20"/>
                <w:lang w:val="nb-NO"/>
              </w:rPr>
              <w:t>Številka odločitve Komisije</w:t>
            </w:r>
          </w:p>
          <w:p w14:paraId="69AA051A" w14:textId="77777777" w:rsidR="00102D80" w:rsidRPr="00A40660" w:rsidRDefault="00CB3BBA" w:rsidP="00CB3BBA">
            <w:pPr>
              <w:spacing w:line="276" w:lineRule="auto"/>
              <w:rPr>
                <w:rFonts w:cs="Arial"/>
                <w:b/>
                <w:noProof/>
                <w:szCs w:val="20"/>
              </w:rPr>
            </w:pPr>
            <w:r w:rsidRPr="00A40660">
              <w:rPr>
                <w:rFonts w:cs="Arial"/>
                <w:b/>
                <w:noProof/>
                <w:szCs w:val="20"/>
              </w:rPr>
              <w:t>Zadevni sklad</w:t>
            </w:r>
          </w:p>
        </w:tc>
        <w:tc>
          <w:tcPr>
            <w:tcW w:w="4638" w:type="dxa"/>
            <w:shd w:val="clear" w:color="auto" w:fill="auto"/>
          </w:tcPr>
          <w:p w14:paraId="3A92AB56" w14:textId="77777777" w:rsidR="00102D80" w:rsidRPr="00A40660" w:rsidRDefault="00102D80" w:rsidP="00854925">
            <w:pPr>
              <w:spacing w:line="276" w:lineRule="auto"/>
              <w:rPr>
                <w:rFonts w:cs="Arial"/>
                <w:i/>
                <w:noProof/>
                <w:szCs w:val="20"/>
              </w:rPr>
            </w:pPr>
          </w:p>
        </w:tc>
      </w:tr>
      <w:tr w:rsidR="00102D80" w:rsidRPr="00A40660" w14:paraId="48792D81" w14:textId="77777777" w:rsidTr="00F018CA">
        <w:trPr>
          <w:trHeight w:val="837"/>
          <w:jc w:val="center"/>
        </w:trPr>
        <w:tc>
          <w:tcPr>
            <w:tcW w:w="3013" w:type="dxa"/>
            <w:shd w:val="clear" w:color="auto" w:fill="auto"/>
          </w:tcPr>
          <w:p w14:paraId="1C300DB9" w14:textId="77777777" w:rsidR="00102D80" w:rsidRPr="00A40660" w:rsidRDefault="00CB3BBA" w:rsidP="00854925">
            <w:pPr>
              <w:spacing w:line="276" w:lineRule="auto"/>
              <w:rPr>
                <w:rFonts w:cs="Arial"/>
                <w:b/>
                <w:noProof/>
                <w:szCs w:val="20"/>
              </w:rPr>
            </w:pPr>
            <w:r w:rsidRPr="00A40660">
              <w:rPr>
                <w:rFonts w:cs="Arial"/>
                <w:b/>
                <w:noProof/>
                <w:szCs w:val="20"/>
                <w:lang w:val="nb-NO"/>
              </w:rPr>
              <w:t xml:space="preserve">Datum odločitve Komisije </w:t>
            </w:r>
            <w:r w:rsidRPr="00A40660">
              <w:rPr>
                <w:rFonts w:cs="Arial"/>
                <w:b/>
                <w:noProof/>
                <w:szCs w:val="20"/>
              </w:rPr>
              <w:t>članice o spremembi</w:t>
            </w:r>
          </w:p>
        </w:tc>
        <w:tc>
          <w:tcPr>
            <w:tcW w:w="4638" w:type="dxa"/>
            <w:shd w:val="clear" w:color="auto" w:fill="auto"/>
          </w:tcPr>
          <w:p w14:paraId="7A8B2E39" w14:textId="77777777" w:rsidR="00102D80" w:rsidRPr="00A40660" w:rsidRDefault="00102D80" w:rsidP="00854925">
            <w:pPr>
              <w:spacing w:line="276" w:lineRule="auto"/>
              <w:rPr>
                <w:rFonts w:cs="Arial"/>
                <w:i/>
                <w:noProof/>
                <w:szCs w:val="20"/>
                <w:lang w:val="nb-NO"/>
              </w:rPr>
            </w:pPr>
          </w:p>
        </w:tc>
      </w:tr>
      <w:tr w:rsidR="00102D80" w:rsidRPr="00A40660" w14:paraId="111763CA" w14:textId="77777777" w:rsidTr="00F018CA">
        <w:trPr>
          <w:trHeight w:val="260"/>
          <w:jc w:val="center"/>
        </w:trPr>
        <w:tc>
          <w:tcPr>
            <w:tcW w:w="3013" w:type="dxa"/>
            <w:shd w:val="clear" w:color="auto" w:fill="auto"/>
          </w:tcPr>
          <w:p w14:paraId="6BD37DCF" w14:textId="77777777" w:rsidR="00102D80" w:rsidRPr="00A40660" w:rsidRDefault="00CB3BBA" w:rsidP="00854925">
            <w:pPr>
              <w:spacing w:line="276" w:lineRule="auto"/>
              <w:rPr>
                <w:rFonts w:cs="Arial"/>
                <w:b/>
                <w:noProof/>
                <w:szCs w:val="20"/>
                <w:lang w:val="nb-NO"/>
              </w:rPr>
            </w:pPr>
            <w:r w:rsidRPr="00A40660">
              <w:rPr>
                <w:rFonts w:cs="Arial"/>
                <w:b/>
                <w:noProof/>
                <w:szCs w:val="20"/>
                <w:lang w:val="nb-NO"/>
              </w:rPr>
              <w:t>Datum začetka veljavnosti odločitve države članice o spremembi</w:t>
            </w:r>
          </w:p>
        </w:tc>
        <w:tc>
          <w:tcPr>
            <w:tcW w:w="4638" w:type="dxa"/>
            <w:shd w:val="clear" w:color="auto" w:fill="auto"/>
          </w:tcPr>
          <w:p w14:paraId="2B8E6723" w14:textId="77777777" w:rsidR="00102D80" w:rsidRPr="00A40660" w:rsidRDefault="00102D80" w:rsidP="00854925">
            <w:pPr>
              <w:spacing w:line="276" w:lineRule="auto"/>
              <w:rPr>
                <w:rFonts w:cs="Arial"/>
                <w:i/>
                <w:noProof/>
                <w:szCs w:val="20"/>
                <w:lang w:val="nb-NO"/>
              </w:rPr>
            </w:pPr>
          </w:p>
        </w:tc>
      </w:tr>
      <w:tr w:rsidR="00102D80" w:rsidRPr="00A40660" w14:paraId="2A0EE767" w14:textId="77777777" w:rsidTr="00F018CA">
        <w:trPr>
          <w:trHeight w:val="260"/>
          <w:jc w:val="center"/>
        </w:trPr>
        <w:tc>
          <w:tcPr>
            <w:tcW w:w="3013" w:type="dxa"/>
            <w:shd w:val="clear" w:color="auto" w:fill="auto"/>
          </w:tcPr>
          <w:p w14:paraId="495BE717" w14:textId="77777777" w:rsidR="00102D80" w:rsidRPr="00A40660" w:rsidRDefault="00CB3BBA" w:rsidP="00854925">
            <w:pPr>
              <w:spacing w:line="276" w:lineRule="auto"/>
              <w:rPr>
                <w:rFonts w:cs="Arial"/>
                <w:b/>
                <w:noProof/>
                <w:szCs w:val="20"/>
                <w:lang w:val="nb-NO"/>
              </w:rPr>
            </w:pPr>
            <w:r w:rsidRPr="00A40660">
              <w:rPr>
                <w:rFonts w:cs="Arial"/>
                <w:b/>
                <w:noProof/>
                <w:szCs w:val="20"/>
                <w:lang w:val="nb-NO"/>
              </w:rPr>
              <w:t>Nebistvena prerazporeditev (člen 19.5)</w:t>
            </w:r>
          </w:p>
        </w:tc>
        <w:tc>
          <w:tcPr>
            <w:tcW w:w="4638" w:type="dxa"/>
            <w:shd w:val="clear" w:color="auto" w:fill="auto"/>
          </w:tcPr>
          <w:p w14:paraId="65BD4BB9" w14:textId="77777777" w:rsidR="00102D80" w:rsidRPr="00A40660" w:rsidRDefault="00CB3BBA" w:rsidP="00854925">
            <w:pPr>
              <w:spacing w:line="276" w:lineRule="auto"/>
              <w:rPr>
                <w:rFonts w:cs="Arial"/>
                <w:i/>
                <w:noProof/>
                <w:szCs w:val="20"/>
                <w:lang w:val="nb-NO"/>
              </w:rPr>
            </w:pPr>
            <w:r w:rsidRPr="00A40660">
              <w:rPr>
                <w:rFonts w:cs="Arial"/>
                <w:b/>
                <w:noProof/>
                <w:szCs w:val="20"/>
                <w:lang w:val="nb-NO"/>
              </w:rPr>
              <w:t>Da/</w:t>
            </w:r>
            <w:r w:rsidRPr="00116216">
              <w:rPr>
                <w:rFonts w:cs="Arial"/>
                <w:b/>
                <w:noProof/>
                <w:szCs w:val="20"/>
                <w:u w:val="single"/>
                <w:lang w:val="nb-NO"/>
              </w:rPr>
              <w:t>Ne</w:t>
            </w:r>
          </w:p>
        </w:tc>
      </w:tr>
      <w:tr w:rsidR="00102D80" w:rsidRPr="00A40660" w14:paraId="1869FFA0" w14:textId="77777777" w:rsidTr="00F018CA">
        <w:trPr>
          <w:trHeight w:val="260"/>
          <w:jc w:val="center"/>
        </w:trPr>
        <w:tc>
          <w:tcPr>
            <w:tcW w:w="3013" w:type="dxa"/>
            <w:shd w:val="clear" w:color="auto" w:fill="auto"/>
          </w:tcPr>
          <w:p w14:paraId="18D0232D" w14:textId="77777777" w:rsidR="00102D80" w:rsidRPr="00A40660" w:rsidRDefault="00CB3BBA" w:rsidP="00854925">
            <w:pPr>
              <w:spacing w:line="276" w:lineRule="auto"/>
              <w:rPr>
                <w:rFonts w:cs="Arial"/>
                <w:b/>
                <w:noProof/>
                <w:szCs w:val="20"/>
                <w:lang w:val="nb-NO"/>
              </w:rPr>
            </w:pPr>
            <w:r w:rsidRPr="00A40660">
              <w:rPr>
                <w:rFonts w:cs="Arial"/>
                <w:b/>
                <w:noProof/>
                <w:szCs w:val="20"/>
                <w:lang w:val="nb-NO"/>
              </w:rPr>
              <w:t>Zadevni sklad</w:t>
            </w:r>
          </w:p>
        </w:tc>
        <w:bookmarkStart w:id="1" w:name="Check1"/>
        <w:tc>
          <w:tcPr>
            <w:tcW w:w="4638" w:type="dxa"/>
            <w:shd w:val="clear" w:color="auto" w:fill="auto"/>
          </w:tcPr>
          <w:p w14:paraId="03E23724" w14:textId="501AD523" w:rsidR="00102D80" w:rsidRPr="00A40660" w:rsidRDefault="00AC29EA" w:rsidP="00AC29EA">
            <w:pPr>
              <w:spacing w:line="276" w:lineRule="auto"/>
              <w:rPr>
                <w:rFonts w:cs="Arial"/>
                <w:i/>
                <w:noProof/>
                <w:szCs w:val="20"/>
              </w:rPr>
            </w:pPr>
            <w:r>
              <w:rPr>
                <w:rFonts w:cs="Arial"/>
                <w:noProof/>
                <w:szCs w:val="20"/>
              </w:rPr>
              <w:fldChar w:fldCharType="begin">
                <w:ffData>
                  <w:name w:val="Check1"/>
                  <w:enabled/>
                  <w:calcOnExit w:val="0"/>
                  <w:checkBox>
                    <w:sizeAuto/>
                    <w:default w:val="1"/>
                  </w:checkBox>
                </w:ffData>
              </w:fldChar>
            </w:r>
            <w:r>
              <w:rPr>
                <w:rFonts w:cs="Arial"/>
                <w:noProof/>
                <w:szCs w:val="20"/>
              </w:rPr>
              <w:instrText xml:space="preserve"> FORMCHECKBOX </w:instrText>
            </w:r>
            <w:r w:rsidR="00FE45E9">
              <w:rPr>
                <w:rFonts w:cs="Arial"/>
                <w:noProof/>
                <w:szCs w:val="20"/>
              </w:rPr>
            </w:r>
            <w:r w:rsidR="00FE45E9">
              <w:rPr>
                <w:rFonts w:cs="Arial"/>
                <w:noProof/>
                <w:szCs w:val="20"/>
              </w:rPr>
              <w:fldChar w:fldCharType="separate"/>
            </w:r>
            <w:r>
              <w:rPr>
                <w:rFonts w:cs="Arial"/>
                <w:noProof/>
                <w:szCs w:val="20"/>
              </w:rPr>
              <w:fldChar w:fldCharType="end"/>
            </w:r>
            <w:bookmarkEnd w:id="1"/>
            <w:r w:rsidR="00102D80" w:rsidRPr="00A40660">
              <w:rPr>
                <w:rFonts w:cs="Arial"/>
                <w:noProof/>
                <w:szCs w:val="20"/>
              </w:rPr>
              <w:t xml:space="preserve"> ESPRA</w:t>
            </w:r>
          </w:p>
        </w:tc>
      </w:tr>
    </w:tbl>
    <w:p w14:paraId="358062A9" w14:textId="77777777" w:rsidR="00A01763" w:rsidRPr="00A40660" w:rsidRDefault="00A01763" w:rsidP="00A01763">
      <w:pPr>
        <w:rPr>
          <w:rFonts w:cs="Arial"/>
          <w:szCs w:val="20"/>
        </w:rPr>
      </w:pPr>
    </w:p>
    <w:p w14:paraId="1955B674" w14:textId="77777777" w:rsidR="00A01763" w:rsidRPr="00A40660" w:rsidRDefault="00A01763" w:rsidP="00A01763">
      <w:pPr>
        <w:rPr>
          <w:rFonts w:cs="Arial"/>
          <w:szCs w:val="20"/>
        </w:rPr>
      </w:pPr>
    </w:p>
    <w:p w14:paraId="08453771" w14:textId="77777777" w:rsidR="00A01763" w:rsidRPr="00A40660" w:rsidRDefault="00A01763" w:rsidP="00A01763">
      <w:pPr>
        <w:rPr>
          <w:rFonts w:cs="Arial"/>
          <w:szCs w:val="20"/>
        </w:rPr>
      </w:pPr>
    </w:p>
    <w:p w14:paraId="626C9F79" w14:textId="77777777" w:rsidR="00A01763" w:rsidRPr="00A40660" w:rsidRDefault="00A01763" w:rsidP="00A01763">
      <w:pPr>
        <w:rPr>
          <w:rFonts w:cs="Arial"/>
          <w:szCs w:val="20"/>
        </w:rPr>
      </w:pPr>
    </w:p>
    <w:p w14:paraId="7C2ED259" w14:textId="77777777" w:rsidR="00A01763" w:rsidRPr="00A40660" w:rsidRDefault="00A01763" w:rsidP="00A01763">
      <w:pPr>
        <w:rPr>
          <w:rFonts w:cs="Arial"/>
          <w:szCs w:val="20"/>
        </w:rPr>
      </w:pPr>
    </w:p>
    <w:p w14:paraId="2B48A807" w14:textId="77777777" w:rsidR="00A01763" w:rsidRPr="00A40660" w:rsidRDefault="00A01763" w:rsidP="00A01763">
      <w:pPr>
        <w:rPr>
          <w:rFonts w:cs="Arial"/>
          <w:szCs w:val="20"/>
        </w:rPr>
      </w:pPr>
    </w:p>
    <w:p w14:paraId="1D62EC96" w14:textId="77777777" w:rsidR="00A01763" w:rsidRPr="00A40660" w:rsidRDefault="00A01763" w:rsidP="00A01763">
      <w:pPr>
        <w:rPr>
          <w:rFonts w:cs="Arial"/>
          <w:szCs w:val="20"/>
        </w:rPr>
      </w:pPr>
    </w:p>
    <w:p w14:paraId="771AFA60" w14:textId="77777777" w:rsidR="00CB3BBA" w:rsidRPr="003118B5" w:rsidRDefault="00CB3BBA" w:rsidP="009D5748">
      <w:pPr>
        <w:pStyle w:val="Default"/>
        <w:jc w:val="center"/>
        <w:rPr>
          <w:rFonts w:asciiTheme="majorHAnsi" w:eastAsiaTheme="majorEastAsia" w:hAnsiTheme="majorHAnsi" w:cstheme="majorBidi"/>
          <w:b/>
          <w:bCs/>
          <w:color w:val="365F91" w:themeColor="accent1" w:themeShade="BF"/>
          <w:sz w:val="28"/>
          <w:szCs w:val="28"/>
        </w:rPr>
      </w:pPr>
    </w:p>
    <w:p w14:paraId="61042471" w14:textId="77777777" w:rsidR="00A91054" w:rsidRPr="003118B5" w:rsidRDefault="00A91054" w:rsidP="009D5748">
      <w:pPr>
        <w:spacing w:after="200" w:line="276" w:lineRule="auto"/>
        <w:jc w:val="center"/>
        <w:rPr>
          <w:rFonts w:asciiTheme="majorHAnsi" w:eastAsiaTheme="majorEastAsia" w:hAnsiTheme="majorHAnsi" w:cstheme="majorBidi"/>
          <w:b/>
          <w:bCs/>
          <w:color w:val="365F91" w:themeColor="accent1" w:themeShade="BF"/>
          <w:sz w:val="28"/>
          <w:szCs w:val="28"/>
        </w:rPr>
      </w:pPr>
      <w:r w:rsidRPr="003118B5">
        <w:rPr>
          <w:rFonts w:asciiTheme="majorHAnsi" w:eastAsiaTheme="majorEastAsia" w:hAnsiTheme="majorHAnsi" w:cstheme="majorBidi"/>
          <w:b/>
          <w:bCs/>
          <w:color w:val="365F91" w:themeColor="accent1" w:themeShade="BF"/>
          <w:sz w:val="28"/>
          <w:szCs w:val="28"/>
        </w:rPr>
        <w:t>Kazalo</w:t>
      </w:r>
    </w:p>
    <w:p w14:paraId="76F6EEB8" w14:textId="77777777" w:rsidR="00C857A1" w:rsidRDefault="00C857A1">
      <w:pPr>
        <w:spacing w:after="200" w:line="276" w:lineRule="auto"/>
        <w:rPr>
          <w:rFonts w:cs="Arial"/>
          <w:b/>
          <w:bCs/>
          <w:szCs w:val="20"/>
        </w:rPr>
      </w:pPr>
    </w:p>
    <w:p w14:paraId="4BFBD082" w14:textId="4909E4A8" w:rsidR="00817570" w:rsidRDefault="00C857A1">
      <w:pPr>
        <w:pStyle w:val="Kazalovsebine1"/>
        <w:tabs>
          <w:tab w:val="right" w:leader="dot" w:pos="8488"/>
        </w:tabs>
        <w:rPr>
          <w:noProof/>
        </w:rPr>
      </w:pPr>
      <w:r>
        <w:rPr>
          <w:rFonts w:cs="Arial"/>
          <w:b/>
          <w:bCs/>
          <w:szCs w:val="20"/>
        </w:rPr>
        <w:fldChar w:fldCharType="begin"/>
      </w:r>
      <w:r>
        <w:rPr>
          <w:rFonts w:cs="Arial"/>
          <w:b/>
          <w:bCs/>
          <w:szCs w:val="20"/>
        </w:rPr>
        <w:instrText xml:space="preserve"> TOC \o "1-3" \h \z \u </w:instrText>
      </w:r>
      <w:r>
        <w:rPr>
          <w:rFonts w:cs="Arial"/>
          <w:b/>
          <w:bCs/>
          <w:szCs w:val="20"/>
        </w:rPr>
        <w:fldChar w:fldCharType="separate"/>
      </w:r>
      <w:hyperlink w:anchor="_Toc106099898" w:history="1">
        <w:r w:rsidR="00817570" w:rsidRPr="005361C7">
          <w:rPr>
            <w:rStyle w:val="Hiperpovezava"/>
            <w:noProof/>
          </w:rPr>
          <w:t>1. Strategija programa: glavni razvojni izzivi in odzivi politik</w:t>
        </w:r>
        <w:r w:rsidR="00817570">
          <w:rPr>
            <w:noProof/>
            <w:webHidden/>
          </w:rPr>
          <w:tab/>
        </w:r>
        <w:r w:rsidR="00817570">
          <w:rPr>
            <w:noProof/>
            <w:webHidden/>
          </w:rPr>
          <w:fldChar w:fldCharType="begin"/>
        </w:r>
        <w:r w:rsidR="00817570">
          <w:rPr>
            <w:noProof/>
            <w:webHidden/>
          </w:rPr>
          <w:instrText xml:space="preserve"> PAGEREF _Toc106099898 \h </w:instrText>
        </w:r>
        <w:r w:rsidR="00817570">
          <w:rPr>
            <w:noProof/>
            <w:webHidden/>
          </w:rPr>
        </w:r>
        <w:r w:rsidR="00817570">
          <w:rPr>
            <w:noProof/>
            <w:webHidden/>
          </w:rPr>
          <w:fldChar w:fldCharType="separate"/>
        </w:r>
        <w:r w:rsidR="00817570">
          <w:rPr>
            <w:noProof/>
            <w:webHidden/>
          </w:rPr>
          <w:t>4</w:t>
        </w:r>
        <w:r w:rsidR="00817570">
          <w:rPr>
            <w:noProof/>
            <w:webHidden/>
          </w:rPr>
          <w:fldChar w:fldCharType="end"/>
        </w:r>
      </w:hyperlink>
    </w:p>
    <w:p w14:paraId="167AF148" w14:textId="300B044A" w:rsidR="00817570" w:rsidRDefault="00817570">
      <w:pPr>
        <w:pStyle w:val="Kazalovsebine1"/>
        <w:tabs>
          <w:tab w:val="right" w:leader="dot" w:pos="8488"/>
        </w:tabs>
        <w:rPr>
          <w:noProof/>
        </w:rPr>
      </w:pPr>
      <w:hyperlink w:anchor="_Toc106099899" w:history="1">
        <w:r w:rsidRPr="005361C7">
          <w:rPr>
            <w:rStyle w:val="Hiperpovezava"/>
            <w:noProof/>
          </w:rPr>
          <w:t>2. Prednostne naloge</w:t>
        </w:r>
        <w:r>
          <w:rPr>
            <w:noProof/>
            <w:webHidden/>
          </w:rPr>
          <w:tab/>
        </w:r>
        <w:r>
          <w:rPr>
            <w:noProof/>
            <w:webHidden/>
          </w:rPr>
          <w:fldChar w:fldCharType="begin"/>
        </w:r>
        <w:r>
          <w:rPr>
            <w:noProof/>
            <w:webHidden/>
          </w:rPr>
          <w:instrText xml:space="preserve"> PAGEREF _Toc106099899 \h </w:instrText>
        </w:r>
        <w:r>
          <w:rPr>
            <w:noProof/>
            <w:webHidden/>
          </w:rPr>
        </w:r>
        <w:r>
          <w:rPr>
            <w:noProof/>
            <w:webHidden/>
          </w:rPr>
          <w:fldChar w:fldCharType="separate"/>
        </w:r>
        <w:r>
          <w:rPr>
            <w:noProof/>
            <w:webHidden/>
          </w:rPr>
          <w:t>58</w:t>
        </w:r>
        <w:r>
          <w:rPr>
            <w:noProof/>
            <w:webHidden/>
          </w:rPr>
          <w:fldChar w:fldCharType="end"/>
        </w:r>
      </w:hyperlink>
    </w:p>
    <w:p w14:paraId="058719C5" w14:textId="3E6639CB" w:rsidR="00817570" w:rsidRDefault="00817570">
      <w:pPr>
        <w:pStyle w:val="Kazalovsebine2"/>
        <w:tabs>
          <w:tab w:val="right" w:leader="dot" w:pos="8488"/>
        </w:tabs>
        <w:rPr>
          <w:noProof/>
        </w:rPr>
      </w:pPr>
      <w:hyperlink w:anchor="_Toc106099900" w:history="1">
        <w:r w:rsidRPr="005361C7">
          <w:rPr>
            <w:rStyle w:val="Hiperpovezava"/>
            <w:noProof/>
          </w:rPr>
          <w:t>2.1 Prednostne naloge razen za tehnično pomoč</w:t>
        </w:r>
        <w:r>
          <w:rPr>
            <w:noProof/>
            <w:webHidden/>
          </w:rPr>
          <w:tab/>
        </w:r>
        <w:r>
          <w:rPr>
            <w:noProof/>
            <w:webHidden/>
          </w:rPr>
          <w:fldChar w:fldCharType="begin"/>
        </w:r>
        <w:r>
          <w:rPr>
            <w:noProof/>
            <w:webHidden/>
          </w:rPr>
          <w:instrText xml:space="preserve"> PAGEREF _Toc106099900 \h </w:instrText>
        </w:r>
        <w:r>
          <w:rPr>
            <w:noProof/>
            <w:webHidden/>
          </w:rPr>
        </w:r>
        <w:r>
          <w:rPr>
            <w:noProof/>
            <w:webHidden/>
          </w:rPr>
          <w:fldChar w:fldCharType="separate"/>
        </w:r>
        <w:r>
          <w:rPr>
            <w:noProof/>
            <w:webHidden/>
          </w:rPr>
          <w:t>58</w:t>
        </w:r>
        <w:r>
          <w:rPr>
            <w:noProof/>
            <w:webHidden/>
          </w:rPr>
          <w:fldChar w:fldCharType="end"/>
        </w:r>
      </w:hyperlink>
    </w:p>
    <w:p w14:paraId="2AF46067" w14:textId="3100A6E8" w:rsidR="00817570" w:rsidRDefault="00817570">
      <w:pPr>
        <w:pStyle w:val="Kazalovsebine2"/>
        <w:tabs>
          <w:tab w:val="right" w:leader="dot" w:pos="8488"/>
        </w:tabs>
        <w:rPr>
          <w:noProof/>
        </w:rPr>
      </w:pPr>
      <w:hyperlink w:anchor="_Toc106099901" w:history="1">
        <w:r w:rsidRPr="005361C7">
          <w:rPr>
            <w:rStyle w:val="Hiperpovezava"/>
            <w:noProof/>
          </w:rPr>
          <w:t>2.1.1 Naziv prednostne naloge</w:t>
        </w:r>
        <w:r>
          <w:rPr>
            <w:noProof/>
            <w:webHidden/>
          </w:rPr>
          <w:tab/>
        </w:r>
        <w:r>
          <w:rPr>
            <w:noProof/>
            <w:webHidden/>
          </w:rPr>
          <w:fldChar w:fldCharType="begin"/>
        </w:r>
        <w:r>
          <w:rPr>
            <w:noProof/>
            <w:webHidden/>
          </w:rPr>
          <w:instrText xml:space="preserve"> PAGEREF _Toc106099901 \h </w:instrText>
        </w:r>
        <w:r>
          <w:rPr>
            <w:noProof/>
            <w:webHidden/>
          </w:rPr>
        </w:r>
        <w:r>
          <w:rPr>
            <w:noProof/>
            <w:webHidden/>
          </w:rPr>
          <w:fldChar w:fldCharType="separate"/>
        </w:r>
        <w:r>
          <w:rPr>
            <w:noProof/>
            <w:webHidden/>
          </w:rPr>
          <w:t>58</w:t>
        </w:r>
        <w:r>
          <w:rPr>
            <w:noProof/>
            <w:webHidden/>
          </w:rPr>
          <w:fldChar w:fldCharType="end"/>
        </w:r>
      </w:hyperlink>
    </w:p>
    <w:p w14:paraId="7C230DFB" w14:textId="05AD5233" w:rsidR="00817570" w:rsidRDefault="00817570">
      <w:pPr>
        <w:pStyle w:val="Kazalovsebine3"/>
        <w:tabs>
          <w:tab w:val="right" w:leader="dot" w:pos="8488"/>
        </w:tabs>
        <w:rPr>
          <w:noProof/>
        </w:rPr>
      </w:pPr>
      <w:hyperlink w:anchor="_Toc106099902" w:history="1">
        <w:r w:rsidRPr="005361C7">
          <w:rPr>
            <w:rStyle w:val="Hiperpovezava"/>
            <w:noProof/>
          </w:rPr>
          <w:t>2.1.1.1 Specifični cilj</w:t>
        </w:r>
        <w:r>
          <w:rPr>
            <w:noProof/>
            <w:webHidden/>
          </w:rPr>
          <w:tab/>
        </w:r>
        <w:r>
          <w:rPr>
            <w:noProof/>
            <w:webHidden/>
          </w:rPr>
          <w:fldChar w:fldCharType="begin"/>
        </w:r>
        <w:r>
          <w:rPr>
            <w:noProof/>
            <w:webHidden/>
          </w:rPr>
          <w:instrText xml:space="preserve"> PAGEREF _Toc106099902 \h </w:instrText>
        </w:r>
        <w:r>
          <w:rPr>
            <w:noProof/>
            <w:webHidden/>
          </w:rPr>
        </w:r>
        <w:r>
          <w:rPr>
            <w:noProof/>
            <w:webHidden/>
          </w:rPr>
          <w:fldChar w:fldCharType="separate"/>
        </w:r>
        <w:r>
          <w:rPr>
            <w:noProof/>
            <w:webHidden/>
          </w:rPr>
          <w:t>58</w:t>
        </w:r>
        <w:r>
          <w:rPr>
            <w:noProof/>
            <w:webHidden/>
          </w:rPr>
          <w:fldChar w:fldCharType="end"/>
        </w:r>
      </w:hyperlink>
    </w:p>
    <w:p w14:paraId="67DC49B9" w14:textId="20FED580" w:rsidR="00817570" w:rsidRDefault="00817570">
      <w:pPr>
        <w:pStyle w:val="Kazalovsebine2"/>
        <w:tabs>
          <w:tab w:val="right" w:leader="dot" w:pos="8488"/>
        </w:tabs>
        <w:rPr>
          <w:noProof/>
        </w:rPr>
      </w:pPr>
      <w:hyperlink w:anchor="_Toc106099903" w:history="1">
        <w:r w:rsidRPr="005361C7">
          <w:rPr>
            <w:rStyle w:val="Hiperpovezava"/>
            <w:noProof/>
          </w:rPr>
          <w:t>2.2. Prednostna naloga „tehnična pomoč“</w:t>
        </w:r>
        <w:r>
          <w:rPr>
            <w:noProof/>
            <w:webHidden/>
          </w:rPr>
          <w:tab/>
        </w:r>
        <w:r>
          <w:rPr>
            <w:noProof/>
            <w:webHidden/>
          </w:rPr>
          <w:fldChar w:fldCharType="begin"/>
        </w:r>
        <w:r>
          <w:rPr>
            <w:noProof/>
            <w:webHidden/>
          </w:rPr>
          <w:instrText xml:space="preserve"> PAGEREF _Toc106099903 \h </w:instrText>
        </w:r>
        <w:r>
          <w:rPr>
            <w:noProof/>
            <w:webHidden/>
          </w:rPr>
        </w:r>
        <w:r>
          <w:rPr>
            <w:noProof/>
            <w:webHidden/>
          </w:rPr>
          <w:fldChar w:fldCharType="separate"/>
        </w:r>
        <w:r>
          <w:rPr>
            <w:noProof/>
            <w:webHidden/>
          </w:rPr>
          <w:t>107</w:t>
        </w:r>
        <w:r>
          <w:rPr>
            <w:noProof/>
            <w:webHidden/>
          </w:rPr>
          <w:fldChar w:fldCharType="end"/>
        </w:r>
      </w:hyperlink>
    </w:p>
    <w:p w14:paraId="09051BA5" w14:textId="5D8C7F0E" w:rsidR="00817570" w:rsidRDefault="00817570">
      <w:pPr>
        <w:pStyle w:val="Kazalovsebine2"/>
        <w:tabs>
          <w:tab w:val="right" w:leader="dot" w:pos="8488"/>
        </w:tabs>
        <w:rPr>
          <w:noProof/>
        </w:rPr>
      </w:pPr>
      <w:hyperlink w:anchor="_Toc106099904" w:history="1">
        <w:r w:rsidRPr="005361C7">
          <w:rPr>
            <w:rStyle w:val="Hiperpovezava"/>
            <w:noProof/>
          </w:rPr>
          <w:t>2.2.1 Prednostna naloga za tehnično pomoč na podlagi člena 36(4) uredbe o skupnih določbah (ponovi se za vsako takšno prednostno nalogo za tehnično pomoč)</w:t>
        </w:r>
        <w:r>
          <w:rPr>
            <w:noProof/>
            <w:webHidden/>
          </w:rPr>
          <w:tab/>
        </w:r>
        <w:r>
          <w:rPr>
            <w:noProof/>
            <w:webHidden/>
          </w:rPr>
          <w:fldChar w:fldCharType="begin"/>
        </w:r>
        <w:r>
          <w:rPr>
            <w:noProof/>
            <w:webHidden/>
          </w:rPr>
          <w:instrText xml:space="preserve"> PAGEREF _Toc106099904 \h </w:instrText>
        </w:r>
        <w:r>
          <w:rPr>
            <w:noProof/>
            <w:webHidden/>
          </w:rPr>
        </w:r>
        <w:r>
          <w:rPr>
            <w:noProof/>
            <w:webHidden/>
          </w:rPr>
          <w:fldChar w:fldCharType="separate"/>
        </w:r>
        <w:r>
          <w:rPr>
            <w:noProof/>
            <w:webHidden/>
          </w:rPr>
          <w:t>107</w:t>
        </w:r>
        <w:r>
          <w:rPr>
            <w:noProof/>
            <w:webHidden/>
          </w:rPr>
          <w:fldChar w:fldCharType="end"/>
        </w:r>
      </w:hyperlink>
    </w:p>
    <w:p w14:paraId="24024FD3" w14:textId="5479E172" w:rsidR="00817570" w:rsidRDefault="00817570">
      <w:pPr>
        <w:pStyle w:val="Kazalovsebine3"/>
        <w:tabs>
          <w:tab w:val="right" w:leader="dot" w:pos="8488"/>
        </w:tabs>
        <w:rPr>
          <w:noProof/>
        </w:rPr>
      </w:pPr>
      <w:hyperlink w:anchor="_Toc106099905" w:history="1">
        <w:r w:rsidRPr="005361C7">
          <w:rPr>
            <w:rStyle w:val="Hiperpovezava"/>
            <w:rFonts w:ascii="Arial" w:eastAsia="Times New Roman" w:hAnsi="Arial" w:cs="Arial"/>
            <w:noProof/>
          </w:rPr>
          <w:t>2.2.1.1 Ukrepi iz skladov</w:t>
        </w:r>
        <w:r>
          <w:rPr>
            <w:noProof/>
            <w:webHidden/>
          </w:rPr>
          <w:tab/>
        </w:r>
        <w:r>
          <w:rPr>
            <w:noProof/>
            <w:webHidden/>
          </w:rPr>
          <w:fldChar w:fldCharType="begin"/>
        </w:r>
        <w:r>
          <w:rPr>
            <w:noProof/>
            <w:webHidden/>
          </w:rPr>
          <w:instrText xml:space="preserve"> PAGEREF _Toc106099905 \h </w:instrText>
        </w:r>
        <w:r>
          <w:rPr>
            <w:noProof/>
            <w:webHidden/>
          </w:rPr>
        </w:r>
        <w:r>
          <w:rPr>
            <w:noProof/>
            <w:webHidden/>
          </w:rPr>
          <w:fldChar w:fldCharType="separate"/>
        </w:r>
        <w:r>
          <w:rPr>
            <w:noProof/>
            <w:webHidden/>
          </w:rPr>
          <w:t>107</w:t>
        </w:r>
        <w:r>
          <w:rPr>
            <w:noProof/>
            <w:webHidden/>
          </w:rPr>
          <w:fldChar w:fldCharType="end"/>
        </w:r>
      </w:hyperlink>
    </w:p>
    <w:p w14:paraId="07BD250D" w14:textId="070C2874" w:rsidR="00817570" w:rsidRDefault="00817570">
      <w:pPr>
        <w:pStyle w:val="Kazalovsebine3"/>
        <w:tabs>
          <w:tab w:val="right" w:leader="dot" w:pos="8488"/>
        </w:tabs>
        <w:rPr>
          <w:noProof/>
        </w:rPr>
      </w:pPr>
      <w:hyperlink w:anchor="_Toc106099906" w:history="1">
        <w:r w:rsidRPr="00817570">
          <w:rPr>
            <w:rStyle w:val="Hiperpovezava"/>
            <w:rFonts w:ascii="Arial" w:hAnsi="Arial" w:cs="Arial"/>
            <w:noProof/>
          </w:rPr>
          <w:t>2.2.1.2 Kazalniki</w:t>
        </w:r>
        <w:r w:rsidRPr="00817570">
          <w:rPr>
            <w:noProof/>
            <w:webHidden/>
          </w:rPr>
          <w:tab/>
        </w:r>
        <w:r w:rsidRPr="00817570">
          <w:rPr>
            <w:noProof/>
            <w:webHidden/>
          </w:rPr>
          <w:fldChar w:fldCharType="begin"/>
        </w:r>
        <w:r w:rsidRPr="00817570">
          <w:rPr>
            <w:noProof/>
            <w:webHidden/>
          </w:rPr>
          <w:instrText xml:space="preserve"> PAGEREF _Toc106099906 \h </w:instrText>
        </w:r>
        <w:r w:rsidRPr="00817570">
          <w:rPr>
            <w:noProof/>
            <w:webHidden/>
          </w:rPr>
        </w:r>
        <w:r w:rsidRPr="00817570">
          <w:rPr>
            <w:noProof/>
            <w:webHidden/>
          </w:rPr>
          <w:fldChar w:fldCharType="separate"/>
        </w:r>
        <w:r w:rsidRPr="00817570">
          <w:rPr>
            <w:noProof/>
            <w:webHidden/>
          </w:rPr>
          <w:t>108</w:t>
        </w:r>
        <w:r w:rsidRPr="00817570">
          <w:rPr>
            <w:noProof/>
            <w:webHidden/>
          </w:rPr>
          <w:fldChar w:fldCharType="end"/>
        </w:r>
      </w:hyperlink>
    </w:p>
    <w:p w14:paraId="7E431D90" w14:textId="4ED565B8" w:rsidR="00817570" w:rsidRDefault="00817570">
      <w:pPr>
        <w:pStyle w:val="Kazalovsebine2"/>
        <w:tabs>
          <w:tab w:val="right" w:leader="dot" w:pos="8488"/>
        </w:tabs>
        <w:rPr>
          <w:noProof/>
        </w:rPr>
      </w:pPr>
      <w:hyperlink w:anchor="_Toc106099907" w:history="1">
        <w:r w:rsidRPr="005361C7">
          <w:rPr>
            <w:rStyle w:val="Hiperpovezava"/>
            <w:noProof/>
          </w:rPr>
          <w:t>2.2.2 Prednostna naloga za  tehnično pomoč na podlagi člena 37 uredbe o skupnih določbah (ponovi se za vsako takšno prednostno nalogo za tehnično pomoč)</w:t>
        </w:r>
        <w:r>
          <w:rPr>
            <w:noProof/>
            <w:webHidden/>
          </w:rPr>
          <w:tab/>
        </w:r>
        <w:r>
          <w:rPr>
            <w:noProof/>
            <w:webHidden/>
          </w:rPr>
          <w:fldChar w:fldCharType="begin"/>
        </w:r>
        <w:r>
          <w:rPr>
            <w:noProof/>
            <w:webHidden/>
          </w:rPr>
          <w:instrText xml:space="preserve"> PAGEREF _Toc106099907 \h </w:instrText>
        </w:r>
        <w:r>
          <w:rPr>
            <w:noProof/>
            <w:webHidden/>
          </w:rPr>
        </w:r>
        <w:r>
          <w:rPr>
            <w:noProof/>
            <w:webHidden/>
          </w:rPr>
          <w:fldChar w:fldCharType="separate"/>
        </w:r>
        <w:r>
          <w:rPr>
            <w:noProof/>
            <w:webHidden/>
          </w:rPr>
          <w:t>110</w:t>
        </w:r>
        <w:r>
          <w:rPr>
            <w:noProof/>
            <w:webHidden/>
          </w:rPr>
          <w:fldChar w:fldCharType="end"/>
        </w:r>
      </w:hyperlink>
    </w:p>
    <w:p w14:paraId="6FD22634" w14:textId="2AB2BBAD" w:rsidR="00817570" w:rsidRDefault="00817570">
      <w:pPr>
        <w:pStyle w:val="Kazalovsebine1"/>
        <w:tabs>
          <w:tab w:val="right" w:leader="dot" w:pos="8488"/>
        </w:tabs>
        <w:rPr>
          <w:noProof/>
        </w:rPr>
      </w:pPr>
      <w:hyperlink w:anchor="_Toc106099908" w:history="1">
        <w:r w:rsidRPr="005361C7">
          <w:rPr>
            <w:rStyle w:val="Hiperpovezava"/>
            <w:noProof/>
          </w:rPr>
          <w:t>3. Finančni načrt</w:t>
        </w:r>
        <w:r>
          <w:rPr>
            <w:noProof/>
            <w:webHidden/>
          </w:rPr>
          <w:tab/>
        </w:r>
        <w:r>
          <w:rPr>
            <w:noProof/>
            <w:webHidden/>
          </w:rPr>
          <w:fldChar w:fldCharType="begin"/>
        </w:r>
        <w:r>
          <w:rPr>
            <w:noProof/>
            <w:webHidden/>
          </w:rPr>
          <w:instrText xml:space="preserve"> PAGEREF _Toc106099908 \h </w:instrText>
        </w:r>
        <w:r>
          <w:rPr>
            <w:noProof/>
            <w:webHidden/>
          </w:rPr>
        </w:r>
        <w:r>
          <w:rPr>
            <w:noProof/>
            <w:webHidden/>
          </w:rPr>
          <w:fldChar w:fldCharType="separate"/>
        </w:r>
        <w:r>
          <w:rPr>
            <w:noProof/>
            <w:webHidden/>
          </w:rPr>
          <w:t>111</w:t>
        </w:r>
        <w:r>
          <w:rPr>
            <w:noProof/>
            <w:webHidden/>
          </w:rPr>
          <w:fldChar w:fldCharType="end"/>
        </w:r>
      </w:hyperlink>
    </w:p>
    <w:p w14:paraId="6C1093B2" w14:textId="47528FCD" w:rsidR="00817570" w:rsidRDefault="00817570">
      <w:pPr>
        <w:pStyle w:val="Kazalovsebine2"/>
        <w:tabs>
          <w:tab w:val="right" w:leader="dot" w:pos="8488"/>
        </w:tabs>
        <w:rPr>
          <w:noProof/>
        </w:rPr>
      </w:pPr>
      <w:hyperlink w:anchor="_Toc106099909" w:history="1">
        <w:r w:rsidRPr="005361C7">
          <w:rPr>
            <w:rStyle w:val="Hiperpovezava"/>
            <w:noProof/>
          </w:rPr>
          <w:t>3.1 Prerazporeditve in prispevki</w:t>
        </w:r>
        <w:r>
          <w:rPr>
            <w:noProof/>
            <w:webHidden/>
          </w:rPr>
          <w:tab/>
        </w:r>
        <w:r>
          <w:rPr>
            <w:noProof/>
            <w:webHidden/>
          </w:rPr>
          <w:fldChar w:fldCharType="begin"/>
        </w:r>
        <w:r>
          <w:rPr>
            <w:noProof/>
            <w:webHidden/>
          </w:rPr>
          <w:instrText xml:space="preserve"> PAGEREF _Toc106099909 \h </w:instrText>
        </w:r>
        <w:r>
          <w:rPr>
            <w:noProof/>
            <w:webHidden/>
          </w:rPr>
        </w:r>
        <w:r>
          <w:rPr>
            <w:noProof/>
            <w:webHidden/>
          </w:rPr>
          <w:fldChar w:fldCharType="separate"/>
        </w:r>
        <w:r>
          <w:rPr>
            <w:noProof/>
            <w:webHidden/>
          </w:rPr>
          <w:t>111</w:t>
        </w:r>
        <w:r>
          <w:rPr>
            <w:noProof/>
            <w:webHidden/>
          </w:rPr>
          <w:fldChar w:fldCharType="end"/>
        </w:r>
      </w:hyperlink>
    </w:p>
    <w:p w14:paraId="52FF08C7" w14:textId="6B62F448" w:rsidR="00817570" w:rsidRDefault="00817570">
      <w:pPr>
        <w:pStyle w:val="Kazalovsebine2"/>
        <w:tabs>
          <w:tab w:val="right" w:leader="dot" w:pos="8488"/>
        </w:tabs>
        <w:rPr>
          <w:noProof/>
        </w:rPr>
      </w:pPr>
      <w:hyperlink w:anchor="_Toc106099910" w:history="1">
        <w:r w:rsidRPr="005361C7">
          <w:rPr>
            <w:rStyle w:val="Hiperpovezava"/>
            <w:noProof/>
          </w:rPr>
          <w:t>3.2 Finančna sredstva po letih</w:t>
        </w:r>
        <w:r>
          <w:rPr>
            <w:noProof/>
            <w:webHidden/>
          </w:rPr>
          <w:tab/>
        </w:r>
        <w:r>
          <w:rPr>
            <w:noProof/>
            <w:webHidden/>
          </w:rPr>
          <w:fldChar w:fldCharType="begin"/>
        </w:r>
        <w:r>
          <w:rPr>
            <w:noProof/>
            <w:webHidden/>
          </w:rPr>
          <w:instrText xml:space="preserve"> PAGEREF _Toc106099910 \h </w:instrText>
        </w:r>
        <w:r>
          <w:rPr>
            <w:noProof/>
            <w:webHidden/>
          </w:rPr>
        </w:r>
        <w:r>
          <w:rPr>
            <w:noProof/>
            <w:webHidden/>
          </w:rPr>
          <w:fldChar w:fldCharType="separate"/>
        </w:r>
        <w:r>
          <w:rPr>
            <w:noProof/>
            <w:webHidden/>
          </w:rPr>
          <w:t>114</w:t>
        </w:r>
        <w:r>
          <w:rPr>
            <w:noProof/>
            <w:webHidden/>
          </w:rPr>
          <w:fldChar w:fldCharType="end"/>
        </w:r>
      </w:hyperlink>
    </w:p>
    <w:p w14:paraId="1D00908A" w14:textId="470D7E21" w:rsidR="00817570" w:rsidRDefault="00817570">
      <w:pPr>
        <w:pStyle w:val="Kazalovsebine2"/>
        <w:tabs>
          <w:tab w:val="right" w:leader="dot" w:pos="8488"/>
        </w:tabs>
        <w:rPr>
          <w:noProof/>
        </w:rPr>
      </w:pPr>
      <w:hyperlink w:anchor="_Toc106099911" w:history="1">
        <w:r w:rsidRPr="005361C7">
          <w:rPr>
            <w:rStyle w:val="Hiperpovezava"/>
            <w:noProof/>
          </w:rPr>
          <w:t>3.3 Skupna finančna sredstva po skladih in nacionalno sofinanciranje</w:t>
        </w:r>
        <w:r>
          <w:rPr>
            <w:noProof/>
            <w:webHidden/>
          </w:rPr>
          <w:tab/>
        </w:r>
        <w:r>
          <w:rPr>
            <w:noProof/>
            <w:webHidden/>
          </w:rPr>
          <w:fldChar w:fldCharType="begin"/>
        </w:r>
        <w:r>
          <w:rPr>
            <w:noProof/>
            <w:webHidden/>
          </w:rPr>
          <w:instrText xml:space="preserve"> PAGEREF _Toc106099911 \h </w:instrText>
        </w:r>
        <w:r>
          <w:rPr>
            <w:noProof/>
            <w:webHidden/>
          </w:rPr>
        </w:r>
        <w:r>
          <w:rPr>
            <w:noProof/>
            <w:webHidden/>
          </w:rPr>
          <w:fldChar w:fldCharType="separate"/>
        </w:r>
        <w:r>
          <w:rPr>
            <w:noProof/>
            <w:webHidden/>
          </w:rPr>
          <w:t>115</w:t>
        </w:r>
        <w:r>
          <w:rPr>
            <w:noProof/>
            <w:webHidden/>
          </w:rPr>
          <w:fldChar w:fldCharType="end"/>
        </w:r>
      </w:hyperlink>
    </w:p>
    <w:p w14:paraId="39B5B43B" w14:textId="495C6B9D" w:rsidR="00817570" w:rsidRDefault="00817570">
      <w:pPr>
        <w:pStyle w:val="Kazalovsebine1"/>
        <w:tabs>
          <w:tab w:val="right" w:leader="dot" w:pos="8488"/>
        </w:tabs>
        <w:rPr>
          <w:noProof/>
        </w:rPr>
      </w:pPr>
      <w:hyperlink w:anchor="_Toc106099912" w:history="1">
        <w:r w:rsidRPr="005361C7">
          <w:rPr>
            <w:rStyle w:val="Hiperpovezava"/>
            <w:noProof/>
          </w:rPr>
          <w:t>4. Omogočitveni pogoji</w:t>
        </w:r>
        <w:r>
          <w:rPr>
            <w:noProof/>
            <w:webHidden/>
          </w:rPr>
          <w:tab/>
        </w:r>
        <w:r>
          <w:rPr>
            <w:noProof/>
            <w:webHidden/>
          </w:rPr>
          <w:fldChar w:fldCharType="begin"/>
        </w:r>
        <w:r>
          <w:rPr>
            <w:noProof/>
            <w:webHidden/>
          </w:rPr>
          <w:instrText xml:space="preserve"> PAGEREF _Toc106099912 \h </w:instrText>
        </w:r>
        <w:r>
          <w:rPr>
            <w:noProof/>
            <w:webHidden/>
          </w:rPr>
        </w:r>
        <w:r>
          <w:rPr>
            <w:noProof/>
            <w:webHidden/>
          </w:rPr>
          <w:fldChar w:fldCharType="separate"/>
        </w:r>
        <w:r>
          <w:rPr>
            <w:noProof/>
            <w:webHidden/>
          </w:rPr>
          <w:t>117</w:t>
        </w:r>
        <w:r>
          <w:rPr>
            <w:noProof/>
            <w:webHidden/>
          </w:rPr>
          <w:fldChar w:fldCharType="end"/>
        </w:r>
      </w:hyperlink>
    </w:p>
    <w:p w14:paraId="0AD01AD2" w14:textId="6C5C9941" w:rsidR="00817570" w:rsidRDefault="00817570">
      <w:pPr>
        <w:pStyle w:val="Kazalovsebine1"/>
        <w:tabs>
          <w:tab w:val="right" w:leader="dot" w:pos="8488"/>
        </w:tabs>
        <w:rPr>
          <w:noProof/>
        </w:rPr>
      </w:pPr>
      <w:hyperlink w:anchor="_Toc106099913" w:history="1">
        <w:r w:rsidRPr="005361C7">
          <w:rPr>
            <w:rStyle w:val="Hiperpovezava"/>
            <w:noProof/>
          </w:rPr>
          <w:t>5. Organi, pristojni za program</w:t>
        </w:r>
        <w:r>
          <w:rPr>
            <w:noProof/>
            <w:webHidden/>
          </w:rPr>
          <w:tab/>
        </w:r>
        <w:r>
          <w:rPr>
            <w:noProof/>
            <w:webHidden/>
          </w:rPr>
          <w:fldChar w:fldCharType="begin"/>
        </w:r>
        <w:r>
          <w:rPr>
            <w:noProof/>
            <w:webHidden/>
          </w:rPr>
          <w:instrText xml:space="preserve"> PAGEREF _Toc106099913 \h </w:instrText>
        </w:r>
        <w:r>
          <w:rPr>
            <w:noProof/>
            <w:webHidden/>
          </w:rPr>
        </w:r>
        <w:r>
          <w:rPr>
            <w:noProof/>
            <w:webHidden/>
          </w:rPr>
          <w:fldChar w:fldCharType="separate"/>
        </w:r>
        <w:r>
          <w:rPr>
            <w:noProof/>
            <w:webHidden/>
          </w:rPr>
          <w:t>132</w:t>
        </w:r>
        <w:r>
          <w:rPr>
            <w:noProof/>
            <w:webHidden/>
          </w:rPr>
          <w:fldChar w:fldCharType="end"/>
        </w:r>
      </w:hyperlink>
    </w:p>
    <w:p w14:paraId="6CA1A687" w14:textId="73D7AC16" w:rsidR="00817570" w:rsidRDefault="00817570">
      <w:pPr>
        <w:pStyle w:val="Kazalovsebine1"/>
        <w:tabs>
          <w:tab w:val="right" w:leader="dot" w:pos="8488"/>
        </w:tabs>
        <w:rPr>
          <w:noProof/>
        </w:rPr>
      </w:pPr>
      <w:hyperlink w:anchor="_Toc106099914" w:history="1">
        <w:r w:rsidRPr="005361C7">
          <w:rPr>
            <w:rStyle w:val="Hiperpovezava"/>
            <w:noProof/>
          </w:rPr>
          <w:t>6. Partnerstvo</w:t>
        </w:r>
        <w:r>
          <w:rPr>
            <w:noProof/>
            <w:webHidden/>
          </w:rPr>
          <w:tab/>
        </w:r>
        <w:r>
          <w:rPr>
            <w:noProof/>
            <w:webHidden/>
          </w:rPr>
          <w:fldChar w:fldCharType="begin"/>
        </w:r>
        <w:r>
          <w:rPr>
            <w:noProof/>
            <w:webHidden/>
          </w:rPr>
          <w:instrText xml:space="preserve"> PAGEREF _Toc106099914 \h </w:instrText>
        </w:r>
        <w:r>
          <w:rPr>
            <w:noProof/>
            <w:webHidden/>
          </w:rPr>
        </w:r>
        <w:r>
          <w:rPr>
            <w:noProof/>
            <w:webHidden/>
          </w:rPr>
          <w:fldChar w:fldCharType="separate"/>
        </w:r>
        <w:r>
          <w:rPr>
            <w:noProof/>
            <w:webHidden/>
          </w:rPr>
          <w:t>133</w:t>
        </w:r>
        <w:r>
          <w:rPr>
            <w:noProof/>
            <w:webHidden/>
          </w:rPr>
          <w:fldChar w:fldCharType="end"/>
        </w:r>
      </w:hyperlink>
    </w:p>
    <w:p w14:paraId="107E8ABF" w14:textId="4DD4AB1C" w:rsidR="00817570" w:rsidRDefault="00817570">
      <w:pPr>
        <w:pStyle w:val="Kazalovsebine1"/>
        <w:tabs>
          <w:tab w:val="right" w:leader="dot" w:pos="8488"/>
        </w:tabs>
        <w:rPr>
          <w:noProof/>
        </w:rPr>
      </w:pPr>
      <w:hyperlink w:anchor="_Toc106099915" w:history="1">
        <w:r w:rsidRPr="005361C7">
          <w:rPr>
            <w:rStyle w:val="Hiperpovezava"/>
            <w:noProof/>
          </w:rPr>
          <w:t>7. Komunikacija in prepoznavnost</w:t>
        </w:r>
        <w:r>
          <w:rPr>
            <w:noProof/>
            <w:webHidden/>
          </w:rPr>
          <w:tab/>
        </w:r>
        <w:r>
          <w:rPr>
            <w:noProof/>
            <w:webHidden/>
          </w:rPr>
          <w:fldChar w:fldCharType="begin"/>
        </w:r>
        <w:r>
          <w:rPr>
            <w:noProof/>
            <w:webHidden/>
          </w:rPr>
          <w:instrText xml:space="preserve"> PAGEREF _Toc106099915 \h </w:instrText>
        </w:r>
        <w:r>
          <w:rPr>
            <w:noProof/>
            <w:webHidden/>
          </w:rPr>
        </w:r>
        <w:r>
          <w:rPr>
            <w:noProof/>
            <w:webHidden/>
          </w:rPr>
          <w:fldChar w:fldCharType="separate"/>
        </w:r>
        <w:r>
          <w:rPr>
            <w:noProof/>
            <w:webHidden/>
          </w:rPr>
          <w:t>136</w:t>
        </w:r>
        <w:r>
          <w:rPr>
            <w:noProof/>
            <w:webHidden/>
          </w:rPr>
          <w:fldChar w:fldCharType="end"/>
        </w:r>
      </w:hyperlink>
    </w:p>
    <w:p w14:paraId="619D850C" w14:textId="3588484F" w:rsidR="00817570" w:rsidRDefault="00817570">
      <w:pPr>
        <w:pStyle w:val="Kazalovsebine1"/>
        <w:tabs>
          <w:tab w:val="right" w:leader="dot" w:pos="8488"/>
        </w:tabs>
        <w:rPr>
          <w:noProof/>
        </w:rPr>
      </w:pPr>
      <w:hyperlink w:anchor="_Toc106099916" w:history="1">
        <w:r w:rsidRPr="005361C7">
          <w:rPr>
            <w:rStyle w:val="Hiperpovezava"/>
            <w:noProof/>
          </w:rPr>
          <w:t>8. Uporaba stroškov na enoto, pavšalnih zneskov, pavšalnih stopenj in financiranja, ki ni povezano s stroški</w:t>
        </w:r>
        <w:r>
          <w:rPr>
            <w:noProof/>
            <w:webHidden/>
          </w:rPr>
          <w:tab/>
        </w:r>
        <w:r>
          <w:rPr>
            <w:noProof/>
            <w:webHidden/>
          </w:rPr>
          <w:fldChar w:fldCharType="begin"/>
        </w:r>
        <w:r>
          <w:rPr>
            <w:noProof/>
            <w:webHidden/>
          </w:rPr>
          <w:instrText xml:space="preserve"> PAGEREF _Toc106099916 \h </w:instrText>
        </w:r>
        <w:r>
          <w:rPr>
            <w:noProof/>
            <w:webHidden/>
          </w:rPr>
        </w:r>
        <w:r>
          <w:rPr>
            <w:noProof/>
            <w:webHidden/>
          </w:rPr>
          <w:fldChar w:fldCharType="separate"/>
        </w:r>
        <w:r>
          <w:rPr>
            <w:noProof/>
            <w:webHidden/>
          </w:rPr>
          <w:t>138</w:t>
        </w:r>
        <w:r>
          <w:rPr>
            <w:noProof/>
            <w:webHidden/>
          </w:rPr>
          <w:fldChar w:fldCharType="end"/>
        </w:r>
      </w:hyperlink>
    </w:p>
    <w:p w14:paraId="7305F805" w14:textId="726E27BB" w:rsidR="00817570" w:rsidRDefault="00817570">
      <w:pPr>
        <w:pStyle w:val="Kazalovsebine1"/>
        <w:tabs>
          <w:tab w:val="right" w:leader="dot" w:pos="8488"/>
        </w:tabs>
        <w:rPr>
          <w:noProof/>
        </w:rPr>
      </w:pPr>
      <w:hyperlink w:anchor="_Toc106099917" w:history="1">
        <w:r w:rsidRPr="005361C7">
          <w:rPr>
            <w:rStyle w:val="Hiperpovezava"/>
            <w:noProof/>
          </w:rPr>
          <w:t>Dodatek 1: Povračilo upravičenih odhodkov s strani Komisije državam članicam na podlagi stroškov na enoto, pavšalnih zneskov in pavšalnih stopenj</w:t>
        </w:r>
        <w:r>
          <w:rPr>
            <w:noProof/>
            <w:webHidden/>
          </w:rPr>
          <w:tab/>
        </w:r>
        <w:r>
          <w:rPr>
            <w:noProof/>
            <w:webHidden/>
          </w:rPr>
          <w:fldChar w:fldCharType="begin"/>
        </w:r>
        <w:r>
          <w:rPr>
            <w:noProof/>
            <w:webHidden/>
          </w:rPr>
          <w:instrText xml:space="preserve"> PAGEREF _Toc106099917 \h </w:instrText>
        </w:r>
        <w:r>
          <w:rPr>
            <w:noProof/>
            <w:webHidden/>
          </w:rPr>
        </w:r>
        <w:r>
          <w:rPr>
            <w:noProof/>
            <w:webHidden/>
          </w:rPr>
          <w:fldChar w:fldCharType="separate"/>
        </w:r>
        <w:r>
          <w:rPr>
            <w:noProof/>
            <w:webHidden/>
          </w:rPr>
          <w:t>139</w:t>
        </w:r>
        <w:r>
          <w:rPr>
            <w:noProof/>
            <w:webHidden/>
          </w:rPr>
          <w:fldChar w:fldCharType="end"/>
        </w:r>
      </w:hyperlink>
    </w:p>
    <w:p w14:paraId="4708CFC7" w14:textId="76FB8485" w:rsidR="00817570" w:rsidRDefault="00817570">
      <w:pPr>
        <w:pStyle w:val="Kazalovsebine1"/>
        <w:tabs>
          <w:tab w:val="right" w:leader="dot" w:pos="8488"/>
        </w:tabs>
        <w:rPr>
          <w:noProof/>
        </w:rPr>
      </w:pPr>
      <w:hyperlink w:anchor="_Toc106099918" w:history="1">
        <w:r w:rsidRPr="005361C7">
          <w:rPr>
            <w:rStyle w:val="Hiperpovezava"/>
            <w:noProof/>
            <w:lang w:val="it-IT"/>
          </w:rPr>
          <w:t>Dodatek 2: Financiranje, ki ni povezano s stroški</w:t>
        </w:r>
        <w:r>
          <w:rPr>
            <w:noProof/>
            <w:webHidden/>
          </w:rPr>
          <w:tab/>
        </w:r>
        <w:r>
          <w:rPr>
            <w:noProof/>
            <w:webHidden/>
          </w:rPr>
          <w:fldChar w:fldCharType="begin"/>
        </w:r>
        <w:r>
          <w:rPr>
            <w:noProof/>
            <w:webHidden/>
          </w:rPr>
          <w:instrText xml:space="preserve"> PAGEREF _Toc106099918 \h </w:instrText>
        </w:r>
        <w:r>
          <w:rPr>
            <w:noProof/>
            <w:webHidden/>
          </w:rPr>
        </w:r>
        <w:r>
          <w:rPr>
            <w:noProof/>
            <w:webHidden/>
          </w:rPr>
          <w:fldChar w:fldCharType="separate"/>
        </w:r>
        <w:r>
          <w:rPr>
            <w:noProof/>
            <w:webHidden/>
          </w:rPr>
          <w:t>142</w:t>
        </w:r>
        <w:r>
          <w:rPr>
            <w:noProof/>
            <w:webHidden/>
          </w:rPr>
          <w:fldChar w:fldCharType="end"/>
        </w:r>
      </w:hyperlink>
    </w:p>
    <w:p w14:paraId="3817D7CA" w14:textId="749F617C" w:rsidR="00817570" w:rsidRDefault="00817570">
      <w:pPr>
        <w:pStyle w:val="Kazalovsebine1"/>
        <w:tabs>
          <w:tab w:val="right" w:leader="dot" w:pos="8488"/>
        </w:tabs>
        <w:rPr>
          <w:noProof/>
        </w:rPr>
      </w:pPr>
      <w:hyperlink w:anchor="_Toc106099919" w:history="1">
        <w:r w:rsidRPr="005361C7">
          <w:rPr>
            <w:rStyle w:val="Hiperpovezava"/>
            <w:noProof/>
          </w:rPr>
          <w:t>Dodatek 3: Seznam načrtovanih operacij strateškega pomena s časovnim načrtom (člen 22(3) uredbe o skupnih določbah)</w:t>
        </w:r>
        <w:r>
          <w:rPr>
            <w:noProof/>
            <w:webHidden/>
          </w:rPr>
          <w:tab/>
        </w:r>
        <w:r>
          <w:rPr>
            <w:noProof/>
            <w:webHidden/>
          </w:rPr>
          <w:fldChar w:fldCharType="begin"/>
        </w:r>
        <w:r>
          <w:rPr>
            <w:noProof/>
            <w:webHidden/>
          </w:rPr>
          <w:instrText xml:space="preserve"> PAGEREF _Toc106099919 \h </w:instrText>
        </w:r>
        <w:r>
          <w:rPr>
            <w:noProof/>
            <w:webHidden/>
          </w:rPr>
        </w:r>
        <w:r>
          <w:rPr>
            <w:noProof/>
            <w:webHidden/>
          </w:rPr>
          <w:fldChar w:fldCharType="separate"/>
        </w:r>
        <w:r>
          <w:rPr>
            <w:noProof/>
            <w:webHidden/>
          </w:rPr>
          <w:t>144</w:t>
        </w:r>
        <w:r>
          <w:rPr>
            <w:noProof/>
            <w:webHidden/>
          </w:rPr>
          <w:fldChar w:fldCharType="end"/>
        </w:r>
      </w:hyperlink>
    </w:p>
    <w:p w14:paraId="77A2E6F1" w14:textId="1FA7E32F" w:rsidR="00A91054" w:rsidRDefault="00C857A1">
      <w:pPr>
        <w:spacing w:after="200" w:line="276" w:lineRule="auto"/>
        <w:rPr>
          <w:rFonts w:eastAsiaTheme="minorHAnsi" w:cs="Arial"/>
          <w:b/>
          <w:bCs/>
          <w:color w:val="000000"/>
          <w:szCs w:val="20"/>
        </w:rPr>
      </w:pPr>
      <w:r>
        <w:rPr>
          <w:rFonts w:cs="Arial"/>
          <w:b/>
          <w:bCs/>
          <w:szCs w:val="20"/>
        </w:rPr>
        <w:fldChar w:fldCharType="end"/>
      </w:r>
      <w:r w:rsidR="00A91054" w:rsidRPr="002458C0">
        <w:rPr>
          <w:rFonts w:cs="Arial"/>
          <w:b/>
          <w:bCs/>
          <w:szCs w:val="20"/>
          <w:lang w:val="de-DE"/>
        </w:rPr>
        <w:br w:type="page"/>
      </w:r>
    </w:p>
    <w:p w14:paraId="3F82A802" w14:textId="77777777" w:rsidR="00CB3BBA" w:rsidRPr="00397C5E" w:rsidRDefault="00CB3BBA" w:rsidP="002458C0">
      <w:pPr>
        <w:pStyle w:val="Naslov1"/>
      </w:pPr>
      <w:bookmarkStart w:id="2" w:name="_Toc106099898"/>
      <w:r w:rsidRPr="00397C5E">
        <w:lastRenderedPageBreak/>
        <w:t>1. Strategija programa: glavni razvojni izzivi in odzivi politik</w:t>
      </w:r>
      <w:bookmarkEnd w:id="2"/>
      <w:r w:rsidRPr="00397C5E">
        <w:t xml:space="preserve"> </w:t>
      </w:r>
    </w:p>
    <w:p w14:paraId="12742354" w14:textId="4E758A7A" w:rsidR="00CB3BBA" w:rsidRPr="00A40660" w:rsidRDefault="00CB3BBA" w:rsidP="00CB3BBA">
      <w:pPr>
        <w:autoSpaceDE w:val="0"/>
        <w:autoSpaceDN w:val="0"/>
        <w:adjustRightInd w:val="0"/>
        <w:spacing w:line="240" w:lineRule="auto"/>
        <w:rPr>
          <w:rFonts w:eastAsiaTheme="minorHAnsi" w:cs="Arial"/>
          <w:i/>
          <w:iCs/>
          <w:color w:val="000000"/>
          <w:szCs w:val="20"/>
        </w:rPr>
      </w:pPr>
      <w:r w:rsidRPr="00A40660">
        <w:rPr>
          <w:rFonts w:eastAsiaTheme="minorHAnsi" w:cs="Arial"/>
          <w:i/>
          <w:iCs/>
          <w:color w:val="000000"/>
          <w:szCs w:val="20"/>
        </w:rPr>
        <w:t>Sklic: čl</w:t>
      </w:r>
      <w:r w:rsidR="00455A97">
        <w:rPr>
          <w:rFonts w:eastAsiaTheme="minorHAnsi" w:cs="Arial"/>
          <w:i/>
          <w:iCs/>
          <w:color w:val="000000"/>
          <w:szCs w:val="20"/>
        </w:rPr>
        <w:t xml:space="preserve">en </w:t>
      </w:r>
      <w:r w:rsidR="00FB240D">
        <w:rPr>
          <w:rFonts w:eastAsiaTheme="minorHAnsi" w:cs="Arial"/>
          <w:i/>
          <w:iCs/>
          <w:color w:val="000000"/>
          <w:szCs w:val="20"/>
        </w:rPr>
        <w:t>22</w:t>
      </w:r>
      <w:r w:rsidR="00455A97">
        <w:rPr>
          <w:rFonts w:eastAsiaTheme="minorHAnsi" w:cs="Arial"/>
          <w:i/>
          <w:iCs/>
          <w:color w:val="000000"/>
          <w:szCs w:val="20"/>
        </w:rPr>
        <w:t>(3)(a)(i)–(vii</w:t>
      </w:r>
      <w:r w:rsidR="0060319D">
        <w:rPr>
          <w:rFonts w:eastAsiaTheme="minorHAnsi" w:cs="Arial"/>
          <w:i/>
          <w:iCs/>
          <w:color w:val="000000"/>
          <w:szCs w:val="20"/>
        </w:rPr>
        <w:t>i</w:t>
      </w:r>
      <w:r w:rsidR="00455A97">
        <w:rPr>
          <w:rFonts w:eastAsiaTheme="minorHAnsi" w:cs="Arial"/>
          <w:i/>
          <w:iCs/>
          <w:color w:val="000000"/>
          <w:szCs w:val="20"/>
        </w:rPr>
        <w:t xml:space="preserve">) in </w:t>
      </w:r>
      <w:r w:rsidR="00FB240D">
        <w:rPr>
          <w:rFonts w:eastAsiaTheme="minorHAnsi" w:cs="Arial"/>
          <w:i/>
          <w:iCs/>
          <w:color w:val="000000"/>
          <w:szCs w:val="20"/>
        </w:rPr>
        <w:t>22</w:t>
      </w:r>
      <w:r w:rsidR="00455A97">
        <w:rPr>
          <w:rFonts w:eastAsiaTheme="minorHAnsi" w:cs="Arial"/>
          <w:i/>
          <w:iCs/>
          <w:color w:val="000000"/>
          <w:szCs w:val="20"/>
        </w:rPr>
        <w:t>(3)(b</w:t>
      </w:r>
      <w:r w:rsidR="00A72CE4">
        <w:rPr>
          <w:rFonts w:eastAsiaTheme="minorHAnsi" w:cs="Arial"/>
          <w:i/>
          <w:iCs/>
          <w:color w:val="000000"/>
          <w:szCs w:val="20"/>
        </w:rPr>
        <w:t>)</w:t>
      </w:r>
      <w:r w:rsidR="002C2D7B">
        <w:rPr>
          <w:rFonts w:eastAsiaTheme="minorHAnsi" w:cs="Arial"/>
          <w:i/>
          <w:iCs/>
          <w:color w:val="000000"/>
          <w:szCs w:val="20"/>
        </w:rPr>
        <w:t xml:space="preserve"> Uredbe (EU) 2021/1060 (</w:t>
      </w:r>
      <w:r w:rsidR="0060319D">
        <w:rPr>
          <w:rFonts w:eastAsiaTheme="minorHAnsi" w:cs="Arial"/>
          <w:i/>
          <w:iCs/>
          <w:color w:val="000000"/>
          <w:szCs w:val="20"/>
        </w:rPr>
        <w:t>CPR)</w:t>
      </w:r>
      <w:r w:rsidR="00BC6790">
        <w:rPr>
          <w:rFonts w:eastAsiaTheme="minorHAnsi" w:cs="Arial"/>
          <w:i/>
          <w:iCs/>
          <w:color w:val="000000"/>
          <w:szCs w:val="20"/>
        </w:rPr>
        <w:t>.</w:t>
      </w:r>
      <w:r w:rsidR="00455A97" w:rsidRPr="00455A97">
        <w:rPr>
          <w:rFonts w:eastAsiaTheme="minorHAnsi" w:cs="Arial"/>
          <w:i/>
          <w:iCs/>
          <w:color w:val="000000"/>
          <w:szCs w:val="20"/>
        </w:rPr>
        <w:t xml:space="preserve">Besedilno polje [30 000] </w:t>
      </w:r>
      <w:r w:rsidRPr="00A40660">
        <w:rPr>
          <w:rFonts w:eastAsiaTheme="minorHAnsi" w:cs="Arial"/>
          <w:i/>
          <w:iCs/>
          <w:color w:val="000000"/>
          <w:szCs w:val="20"/>
        </w:rPr>
        <w:t xml:space="preserve"> </w:t>
      </w:r>
    </w:p>
    <w:p w14:paraId="25712C57" w14:textId="08964A82"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Pred nami so veliki izzivi. Slovenska ribiška flota se čedalje bolj stara, plovila so v povprečju starejša od 30 let. Stroški goriva so čedalje višji. Stanje ribolovnih virov v Jadranskem morju in Sredozemlju, se slabša. V Jadranu se soočamo s slabim stanjem staleža sardele in sardona, ogrožene so tudi druge vrste rib; podnebne spremembe in vplivi človeka (transport, turizem ribolov ipd.) spreminjajo biotsko raznovrstnost našega morja, dvigujejo njegovo temperaturo; morska gladina se dviguje in ta trend se nadaljuje; soočamo se s poplavami v obalnih mestih. Trenutno je v Sloveniji kot ribolovni rezervat zavarovanega 1,57 % slovenskega morja. V omrežje Natura 2000 je na morju vključenega 2,53 % morja. V tem okviru pa imamo še krajinske parke, ki prav tako spadajo v mrežo zavarovanih območij. Zadnji dve leti smo se soočali tudi z izzivi, povezani s covid-19; a prav ti so nam pokazali, da so spremembe potrebne. S spodbujanjem kratkih verig, ki zagotavljajo manjši ogljični odtis ter manj onesnaženo okolje bomo prispevali k h ključnim ciljem Strategije od vil do vilic: imeli bomo pozitiven vpliv na okolje, pomagali ublažiti podnebne spremembe in zagotovili varnost preskrbe s hrano.</w:t>
      </w:r>
      <w:r w:rsidR="00C461B2">
        <w:rPr>
          <w:rFonts w:ascii="Arial" w:hAnsi="Arial" w:cs="Arial"/>
          <w:color w:val="000000"/>
          <w:sz w:val="20"/>
          <w:szCs w:val="20"/>
        </w:rPr>
        <w:t xml:space="preserve"> </w:t>
      </w:r>
      <w:r w:rsidRPr="00D440D4">
        <w:rPr>
          <w:rFonts w:ascii="Arial" w:hAnsi="Arial" w:cs="Arial"/>
          <w:color w:val="000000"/>
          <w:sz w:val="20"/>
          <w:szCs w:val="20"/>
        </w:rPr>
        <w:t>Konkurenčnost ne pomeni nujno nasprotja vsemu temu: razvoj brez spoštovanja okolja in narave dolgoročno ne bo več vzdržen. Zato bomo z ESPRA slovensko ribiško floto posodobili tako, da bo postala konkurenčna na zelen način, zagotavljala boljše delovne pogoje, obenem pa bila energetsko bolj učinkovita, z manj potratnimi motorji ter ekološkimi premazi pa bo manj onesnaževala okolje, predvsem pa, naredila velik korak k ohranjanju biotske raznovrstnosti: s pomočjo ESPRA bomo izboljšali selektivnost ribolovnih orodij, s tem pa prispevali k izvajanju cilja 1.2 GFCM Strategije 2030. Na ohranjanje ribolovnih virov pa bo pozitiven vpliv imela tudi začasna ukinitev ribolovnih aktivnosti; z izvajanjem te aktivnosti bomo dodatno prispevali k doseganju MSY</w:t>
      </w:r>
      <w:r w:rsidR="0045623E">
        <w:rPr>
          <w:rFonts w:ascii="Arial" w:hAnsi="Arial" w:cs="Arial"/>
          <w:color w:val="000000"/>
          <w:sz w:val="20"/>
          <w:szCs w:val="20"/>
        </w:rPr>
        <w:t xml:space="preserve"> in zmanjševanju ribolovnega napora</w:t>
      </w:r>
      <w:r w:rsidRPr="00D440D4">
        <w:rPr>
          <w:rFonts w:ascii="Arial" w:hAnsi="Arial" w:cs="Arial"/>
          <w:color w:val="000000"/>
          <w:sz w:val="20"/>
          <w:szCs w:val="20"/>
        </w:rPr>
        <w:t xml:space="preserve"> kot ključnemu cilju skupne ribiške politike (SRP) </w:t>
      </w:r>
      <w:r w:rsidR="0045623E">
        <w:rPr>
          <w:rFonts w:ascii="Arial" w:hAnsi="Arial" w:cs="Arial"/>
          <w:color w:val="000000"/>
          <w:sz w:val="20"/>
          <w:szCs w:val="20"/>
        </w:rPr>
        <w:t>ter</w:t>
      </w:r>
      <w:r w:rsidR="0045623E" w:rsidRPr="00D440D4">
        <w:rPr>
          <w:rFonts w:ascii="Arial" w:hAnsi="Arial" w:cs="Arial"/>
          <w:color w:val="000000"/>
          <w:sz w:val="20"/>
          <w:szCs w:val="20"/>
        </w:rPr>
        <w:t xml:space="preserve"> </w:t>
      </w:r>
      <w:r w:rsidRPr="00D440D4">
        <w:rPr>
          <w:rFonts w:ascii="Arial" w:hAnsi="Arial" w:cs="Arial"/>
          <w:color w:val="000000"/>
          <w:sz w:val="20"/>
          <w:szCs w:val="20"/>
        </w:rPr>
        <w:t>k ohranjanju staležev v Jadranskem morju. Zamenjava motorjev in uporaba alternativnih pogonskih virov bosta prispevala h ključnemu cilju Zelenega dogovora: zmanjšanju toplogrednih plinov za vsaj 55 % do 2030.</w:t>
      </w:r>
      <w:r w:rsidR="00C461B2">
        <w:rPr>
          <w:rFonts w:ascii="Arial" w:hAnsi="Arial" w:cs="Arial"/>
          <w:color w:val="000000"/>
          <w:sz w:val="20"/>
          <w:szCs w:val="20"/>
        </w:rPr>
        <w:t xml:space="preserve"> ESPRA bo torej prispevala k razogljičenju ribiškega sektorja.</w:t>
      </w:r>
      <w:r w:rsidRPr="00D440D4">
        <w:rPr>
          <w:rFonts w:ascii="Arial" w:hAnsi="Arial" w:cs="Arial"/>
          <w:color w:val="000000"/>
          <w:sz w:val="20"/>
          <w:szCs w:val="20"/>
        </w:rPr>
        <w:t xml:space="preserve"> Ko govorimo o delovnih pogojih za ribiče, mislimo tudi na ribiška pristanišča; s pomočjo ESPRA načrtujemo posodobitve za izboljšanje delovnih pogojev ribičev, namestitev zabojev za zbiranje odpadlega ribolovnega orodja in pobranih odpadkov. S to aktivnostjo bo ESPRA prispevala k cilju Misije morske zvezde 2030: obnovitev naših oceanov in voda, prav tako pa k doseganju ciljev SUP Direktive. Za prehod v trajnostno upravljanje z viri bomo v pristaniščih omogočili tudi naložbe za upravljanje s celotnim iztovorom in ravnanje z zavržki; ta korak je pomemben del SRP, ki prispeva k MSY. K doseganju ciljev SRP bosta prispevala tudi digitalizacija nadzora ribištva z IT orodji za plovila, ki jih pokriva nadzorna uredba, ter boljše zbiranje podatkov. Elektronski ladijski dnevniki in druge predvidene aktivnosti digitalizacije in sledljivosti bodo prispevali k boljšemu stanju ribolovnih virov, s tem pa k cilju 1.1, točki A, ter cilju 4.2 GFCM Strategije 2030. Z aktivnostmi ESPRA sledimo posebnemu poročilu Evropskega računskega sodišča in veliko več sredstev vlagamo v ohranjanje in obnavljanje biotske raznovrstnosti tako na morju kot na celinskih vodah. S sredstvi ESPRA bomo prispevali k bolj čistemu morju z zbiranjem morskih odpadkov in odpadlega ribolovnega orodja; trudili se bomo reciklirati ribolovna orodja iz Polyamida 6 in tako prispevati k izpolnjevanju enega od ciljev Akcijskega načrta za krožno gospodarstvo: do leta 2030 za polovico zmanjšati količino preostalih (nerecikliranih) komunalnih odpadkov. RS razpolaga s tehnologijo reciklaže tega orodja v niti za nadaljnjo uporabo. </w:t>
      </w:r>
      <w:r w:rsidR="00C461B2">
        <w:rPr>
          <w:rFonts w:ascii="Arial" w:hAnsi="Arial" w:cs="Arial"/>
          <w:color w:val="000000"/>
          <w:sz w:val="20"/>
          <w:szCs w:val="20"/>
        </w:rPr>
        <w:t xml:space="preserve">Priložnost bo dana tudi blažitvi podnebnih sprememb in krepitvi ekonomske učinkovitosti sektorja z uporabo modrih biotehnologij. </w:t>
      </w:r>
      <w:r w:rsidRPr="00D440D4">
        <w:rPr>
          <w:rFonts w:ascii="Arial" w:hAnsi="Arial" w:cs="Arial"/>
          <w:color w:val="000000"/>
          <w:sz w:val="20"/>
          <w:szCs w:val="20"/>
        </w:rPr>
        <w:t xml:space="preserve">S sredstvi ESPRA bomo prispevali tudi h ključnim ciljem Strategije za biotsko raznovrstnost: zmanjšali pritiske na bentoške habitatne tipe, pregledali vplive ribolova na morsko dno, pregledali stanje tujerodnih vrst in predlagali ukrepe za izboljšanje stanja; to bo tudi prispevalo k izvajanju priporočila MEDAC št. 70/2021. S sredstvi ESPRA bomo tudi močno izboljšali upravljanje z zavarovanimi območji; prispevali k njihovi povezanosti in širitvi, kot je predvideno s Pomorskim prostorskim planom (PPP). Aktivnosti na 1. prednostni nalogi (1. PNU) bodo tako prispevale k naslednji ciljem Strategije za biotsko raznovrstnost 2030: vsaj 30 % EU morij je zavarovanih, upravljanje vseh zavarovanih območij je učinkovito, z jasno opredeljenimi ohranitvenimi cilji in ukrepi, stanje vseh zavarovanih vrst in habitatov do 2030 se ne bo poslabšalo in povrniti najmanj 25 tisoč km rek EU v stanje pred njihovo regulacijo. Navedene aktivnosti bodo komplementarne naložbam v območja NATURA 2000, ki </w:t>
      </w:r>
      <w:r w:rsidRPr="00D440D4">
        <w:rPr>
          <w:rFonts w:ascii="Arial" w:hAnsi="Arial" w:cs="Arial"/>
          <w:color w:val="000000"/>
          <w:sz w:val="20"/>
          <w:szCs w:val="20"/>
        </w:rPr>
        <w:lastRenderedPageBreak/>
        <w:t>jih bosta pokrila Evropski kohezijski sklad in Evropski sklad z regionalni razvoj v okviru cilja politike 2: bolj zelena Evropa, prav tako pa projektom, ki se bodo financirali v okviru LIFE.</w:t>
      </w:r>
    </w:p>
    <w:p w14:paraId="01BED422" w14:textId="27A4802A"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 xml:space="preserve">Z izzivi pa smo soočeni tudi v sektorju akvakulture: ta je raznovrsten in razdrobljen, predvsem pa majhen in premalo prepoznaven. Večinoma je sestavljen iz mikro in malih podjetij, ter akvakulture kot dopolnilne dejavnost na kmetiji. Sektor akvakulture je večinoma usmerjen na lokalni trg. Raziskave v okviru ESPR 2014-2020, so pokazale, da je za nove objekte hladnovodne akvakulture na voljo relativno malo površinskih celinskih vod. Pokazale pa so tudi, da je še veliko možnosti za odvzem podzemnih celinskih vod, in sicer do globine 150 metrov, predvsem za uporabo v zaprtih RAS sistemih. Tudi aktivnosti na 2. prednostni nalogi Unije (2. PNU) bodo omogočile zeleni prehod sektorja akvakulture. V okviru naložb bomo zagotovili posodobitve ribogojnic v bolj zelene, ekološke, podnebnim spremembam bolje prilagojene. ESPRA bo omogočila diverzifikacijo in s tem tudi naložbe v akvakulturi kot dopolnilni dejavnosti na kmetiji. Ključni izziv na hladnovodnih ribogojnicah bo zagotavljanje ustreznega ekološko sprejemljivega pretoka: z izboljšanjem kakovosti vode (vpihovalniki, prezračevalniki, uporaba nanomehurčkov, ipd.) bodo ribogojci bolje pripravljeni na daljša sušna obdobja, ki so posledica podnebnih sprememb. </w:t>
      </w:r>
      <w:r w:rsidR="00C461B2">
        <w:rPr>
          <w:rFonts w:ascii="Arial" w:hAnsi="Arial" w:cs="Arial"/>
          <w:color w:val="000000"/>
          <w:sz w:val="20"/>
          <w:szCs w:val="20"/>
        </w:rPr>
        <w:t xml:space="preserve">Omenjene naložbe bodo prispevajo k ciljem krožnega gospodarstva. </w:t>
      </w:r>
      <w:r w:rsidRPr="00D440D4">
        <w:rPr>
          <w:rFonts w:ascii="Arial" w:hAnsi="Arial" w:cs="Arial"/>
          <w:color w:val="000000"/>
          <w:sz w:val="20"/>
          <w:szCs w:val="20"/>
        </w:rPr>
        <w:t xml:space="preserve">V okviru naložb v akvakulturo pa bomo spodbujali tudi izgradnjo novih, trajnostnih, objektov. Spodbujali bomo naložbe v nove zaprte RAS sisteme v povezavi z naložbami v energetsko učinkovitost, visokokakovostne algne tehnologije za čiščenje odpadnih voda in proizvodnjo biomase za živalsko prehrano, farmacijo, kozmetiko, organska gnojila; vse to bo prispevalo k izpolnjevanju ciljev Akcijskega načrta za krožno gospodarstvo v okviru Zelenega dogovora. V okviru naložb bomo podprli tudi digitalizacijo in robotizacijo (npr. za hranjenje in on-line monitoring). Priložnost bomo dali tudi akvaponiki, kjer gre za združitev agrikulture in akvakulture v zaprtem vodnem krogu, ter gojenju alg, hkrati z uporabo obnovljivih virov energije in minimalnim vplivom na okolje. Gojenje alg je tudi pomemben del modrega biogospodarstva in prispeva k </w:t>
      </w:r>
      <w:r w:rsidR="00C461B2">
        <w:rPr>
          <w:rFonts w:ascii="Arial" w:hAnsi="Arial" w:cs="Arial"/>
          <w:color w:val="000000"/>
          <w:sz w:val="20"/>
          <w:szCs w:val="20"/>
        </w:rPr>
        <w:t xml:space="preserve">razogljičenju sektorja in </w:t>
      </w:r>
      <w:r w:rsidRPr="00D440D4">
        <w:rPr>
          <w:rFonts w:ascii="Arial" w:hAnsi="Arial" w:cs="Arial"/>
          <w:color w:val="000000"/>
          <w:sz w:val="20"/>
          <w:szCs w:val="20"/>
        </w:rPr>
        <w:t>ogljičn</w:t>
      </w:r>
      <w:r w:rsidR="00C461B2">
        <w:rPr>
          <w:rFonts w:ascii="Arial" w:hAnsi="Arial" w:cs="Arial"/>
          <w:color w:val="000000"/>
          <w:sz w:val="20"/>
          <w:szCs w:val="20"/>
        </w:rPr>
        <w:t>i</w:t>
      </w:r>
      <w:r w:rsidRPr="00D440D4">
        <w:rPr>
          <w:rFonts w:ascii="Arial" w:hAnsi="Arial" w:cs="Arial"/>
          <w:color w:val="000000"/>
          <w:sz w:val="20"/>
          <w:szCs w:val="20"/>
        </w:rPr>
        <w:t xml:space="preserve"> nevtralnosti 2050.</w:t>
      </w:r>
      <w:r w:rsidR="00C461B2">
        <w:rPr>
          <w:rFonts w:ascii="Arial" w:hAnsi="Arial" w:cs="Arial"/>
          <w:color w:val="000000"/>
          <w:sz w:val="20"/>
          <w:szCs w:val="20"/>
        </w:rPr>
        <w:t xml:space="preserve"> </w:t>
      </w:r>
      <w:r w:rsidRPr="00D440D4">
        <w:rPr>
          <w:rFonts w:ascii="Arial" w:hAnsi="Arial" w:cs="Arial"/>
          <w:color w:val="000000"/>
          <w:sz w:val="20"/>
          <w:szCs w:val="20"/>
        </w:rPr>
        <w:t xml:space="preserve">Trenutno imamo v okviru uradnega certificiranega ekološkega ribogojstva dve toplovodni ribogojnici manjše kapacitete. Priložnost za ekološko vzrejo vidimo v toplovodni akvakulturi in pri gojenju školjk. S pomočjo ESPRA bomo spodbujali tudi ekološko proizvodnjo: to bo prispevalo k izpolnjevanju ciljev Strategije od vil do vilic - znatno povečanje obsega EU ekološke akvakulture, prav tako pa ključnega cilja Strategije za biotsko raznovrstnost: povečati obseg ekološkega kmetovanja in značilnosti biotske raznovrstnosti na kmetijskih zemljiščih. Spodbujanje lokalne proizvodnje in oskrbe gre z roko v roki s ciljem zmanjševanja ogljičnega odtisa in Strategijo od vil do vilic. Na pomembnost zagotavljanja lokalne oskrbe ter ohranjanja kratkih verig nas je opozorila tudi nedavna kriza, povezana s pojavom covid-19. V okviru naložb bo posebna pozornost namenjena manjšim ribogojnicam.; Večina akvakulture poteka v manjših družinskih proizvodnih obratih, ki so velikokrat povezani še s kmetijsko ali drugo dejavnostjo. Tem bomo omogočili lažji dostop do namenskih sredstev in jih spodbujali k uvajanju tehnoloških rešitev za boljše izkoriščanje naravnih virov, izboljšanju lastnih proizvodov ter prodaji končnemu potrošniku. Ti obrati imajo manjšo intenzivnost proizvodnje, omogoča pa na lokalnem nivoju pomembno preskrbo s hrano in boljšo kakovost izdelka. Omogočili bomo nakup opreme in lažji dostop do sredstev za male naložbe brez poslovnega načrta. Tudi s tovrstnimi poenostavitvami, ki jih kmetijski sektor pozna že nekaj časa, bomo prispevali svoj del k bolj jasnemu, lažjemu upravnemu okviru, kar je prav tako ena ključnih prioritet Strateških smernic za EU akvakulturo. Te aktivnosti bodo obenem komplementarne aktivnostim, financiranim iz Evropskega kmetijskega sklada za razvoj podeželja (EKSRP). V okviru akvakulture pa bomo posebno pozornost namenili vključevanju primernih dejavnosti akvakulture (zlasti tistih, ki ponujajo ekosistemske storitve) na zavarovanih območjih, kot so območja Natura 2000. Nadomestila pa bodo mogoča tudi v ekstenzivni in polintenzivni proizvodnji, ki sicer zmanjšuje ekonomsko učinkovitost, vendar hkrati zagotavlja ekosistemske storitve in ohranja habitate. Nadomestila bomo omogočili tudi za školjkarje v primeru pojava biotoksinov ter za prehod na ekološko vzrejo. Tudi te aktivnosti bodo prispevale k izvajanju Strateških smernic za razvoj EU akvakulture. S pomočjo ESPR 2014-2020 je bila financirana raziskava z namenom prostorskega umeščanja marikulture v okviru priprave PPP. Določena so bili štiri potencialna območja gojenja na morju, ki pa se lahko aktivirajo le ob popolni izkoriščenosti obstoječih območij. Zato bomo pregledali izkoriščenost obstoječih območij in spremljali vpliv ribogojnic na okolje, ko bodo nova območja razglašena. V okviru raziskav bomo pridobili tudi podatke o hranilnih vrednostih školjk, </w:t>
      </w:r>
      <w:r w:rsidRPr="00D440D4">
        <w:rPr>
          <w:rFonts w:ascii="Arial" w:hAnsi="Arial" w:cs="Arial"/>
          <w:color w:val="000000"/>
          <w:sz w:val="20"/>
          <w:szCs w:val="20"/>
        </w:rPr>
        <w:lastRenderedPageBreak/>
        <w:t xml:space="preserve">ki bodo pripomogli k usmerjanju promocijskih aktivnosti in večji vključenosti školjk v uravnoteženo prehrano. To je tudi eden od delovnih paketov projekta, ki je dobil značko Jadransko-Jonske makroregije v okviru 1. stebra. Ribogojcem bomo s pomočjo ESPRA omogočili tudi doseganje novih znanj in izmenjavo dobrih praks širše, ne le na področju okoljske, veterinarske in druge zakonodaje; z digitalizacijo in avtomatizacijo postopkov so potrebna znanja tudi na teh področjih, prav tako pa so potrebna znanja o sektorju akvakulture kot dejavnosti tudi pri samih odločevalcih. Poleg tega bomo okrepili sodelovanje med rejci in predelovalci, znanstveniki, nevladnimi okoljskimi organizacijami, upravljavci varovanih območij, ribogojci, predelovalci in nacionalno administracijo. Večja povezanost sektorja pa prispeva k prenovi upravljanja kot ključnemu cilju Misije morske zvezde 2030 ter izboljšuje odpornost sektorja. S tem bomo prispevali tudi poznavanju dobrobiti organizacije proizvajalcev. Pravno formalna oblika povezovanja se bo uvajala postopoma. Po eni strani z vključevanjem ribogojcev v aktivnosti za doseganje novih znanj in mreženje, po drugi strani pa s širšim vključevanjem rejcev vodnih živali v mehanizem CLLD na področju celotne RS. Nova znanja pa so močno povezana z inoviranjem; tu bomo spodbujali predvsem inovacije v sistemih z bolj učinkovitim izkoriščanjem vode (na primer uporaba nanomehurčkov, ozona, uporaba določenih kultur bakterij za izboljšanje biofiltra), inovacijam, povezanim z uvajanjem novih vrst, vključno z algami, ter inovacijam v marikulturi, ki bodo usmerjene v učinkovitejšo izrabo razpoložljivega prostora in povečanja proizvodnje, tudi z uvajanjem večtrofične marikulture. Z izbranimi aktivnostmi bomo prispevali k izpolnjevanju naslednjih ciljev Strateških smernic za konkurenčno in trajnostno EU akvakulturo: krepitvi odpornosti in konkurenčnosti; sodelovanju pri zelenem prehodu; zagotavljanju družbene sprejemljivosti in obveščanju potrošnikov ter krepitvi znanja in inovacij. Izbrane aktivnosti bodo prispevale tudi k izpolnjevanju ciljev 3.1 (točka B), 3.2 (točka B) ter 3.3 Strategije GFCM 2030. Izbrane aktivnosti bodo komplementarne aktivnostim, ki se bodo financirale v okviru Horizon Europe. Področje modrega gospodarstva v Strategiji pametne specializacije sicer ni koncentrirano v okviru samostojnega prednostnega ali fokusnega področja, je pa posamično močno prisotno predvsem znotraj naslednjih prednostnih področij: Mreže za prehod v krožno gospodarstvo (algne tehnologije), Materiali kot končni produkti (reciklaža), Zdravje-medicina (naravna zdravila in kozmetika, biofarmacevtika) pa tudi Tovarne prihodnosti, Mobilnost, Trajnostna pridelava hrane in Trajnostni turizem. </w:t>
      </w:r>
    </w:p>
    <w:p w14:paraId="10DCDD9E" w14:textId="77777777"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 xml:space="preserve">Tudi v predelovalni industriji se bomo s pomočjo ESPRA soočili z izzivi in priložnostmi; predelovalna industrija ima v RS dolgo tradicijo, je dobro razvita in ima dober potencial. V tej panogi imamo podjetja, ki so orientirana izvoz, kot tudi podjetja z nišnimi proizvodi ali kot dodana vrednost sektorja akvakulture, ki so bolj orientirana na lokalni trg. Omogočali bomo naložbe v povečanje in posodobitev proizvodnje v smislu novih tržno prepoznavnih proizvodov, boljše energetske učinkovitosti ter vključevanja v krožno gospodarstvo, večjo digitalizacijo in robotizacijo. Uporaba obnovljivih virov energije ter energije iz lastne proizvodnje za zmanjševanje stroškov bo omogočena tudi tej panogi. Poleg tega bodo tudi sektorju predelovalne industrije omogočene inovacije, zlasti v iskanju rešitev pri prodajnih težavah in iskanju novih modelov upravljanja ter v iskanju okoljskih rešitev. Predlagane aktivnosti bodo prispevale k zagotavljanju bolj kakovostnih lokalnih proizvodov, povečale njegovo trajnost in zmanjšale njegov vpliv na okolje. Prav tako pa bo pomemben prispevek inovacij v predelavi k Akcijskemu načrtu za krožno gospodarstvo kot ključnemu delu Zelenega dogovora 2050, na primer z inoviranjem na področju embalaže. Te aktivnosti bodo prav tako  komplementarne aktivnostim, ki se bodo izvajale v okviru Horizon Europe. Letna poraba rib na prebivalca (11 kg/leto) kot samooskrba z njimi (8 %) je v RS pod povprečjem v Evropski Uniji. S pomočjo ESPRA  bomo oba kazalnika povečali, tudi z večjim ozaveščanjem potrošnikov in razvojem akvakulture in predelave. Za večjo prepoznavnost sektorja so bistvene tudi promocijske dejavnosti in informiranje širše javnosti ter potrošnikov o pomenu ribiških proizvodov in proizvodov iz akvakulture v prehrani, posebej lokalno vzrejenih, ekoloških, ter predstavitev sektorja, ki te proizvode lahko zagotavlja. Te spodbude namreč ponujajo multiplikativne učinke na ohranjanje in nadaljnji razvoj sektorja. V okviru promocijskih aktivnosti bomo osveščali tudi o koristih ekološke vzreje in shemah kakovosti za proizvode iz akvakulture. Promocija ekološke vzreje pa gre z roko v roki s Strategijo od vil do vilic, še posebej pa z Akcijskim načrtom za razvoj ekološke proizvodnje (Os 1). Promocijske aktivnosti bodo komplementarno dopolnjevale aktivnosti mreženja in izmenjave znanj ter dobrih praks. Promocijske aktivnosti bodo usmerjene tudi v prodajalce na veliko (ribarnice, restavracije) ter </w:t>
      </w:r>
      <w:r w:rsidRPr="00D440D4">
        <w:rPr>
          <w:rFonts w:ascii="Arial" w:hAnsi="Arial" w:cs="Arial"/>
          <w:color w:val="000000"/>
          <w:sz w:val="20"/>
          <w:szCs w:val="20"/>
        </w:rPr>
        <w:lastRenderedPageBreak/>
        <w:t>javne ustanove, npr. šole in vrtce. Poudarek bo na pomenu ribiških proizvodov in proizvodov iz akvakulture v prehrani ter kvaliteti, ki je pogosto vezana na oskrbo iz kratkih prodajnih verig v smislu iz vode na krožnik, kar je v skladu s  s cilji Strategije od vil do vilic in trajnostnega načina zdravega prehranjevanja. V okviru teh aktivnosti bo RS del sredstev namenila tudi promociji EU akvakulture: to je bilo prepoznano kot ključna potreba Strateških smernic za EU akvakulturo.</w:t>
      </w:r>
    </w:p>
    <w:p w14:paraId="042EB1E6" w14:textId="65C47F73"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 xml:space="preserve">K ozelenitvi slovenskega morskega ribolova in sektorjev akvakulture ter predelave pa bo zelo pomemben del prispeval lokalni razvoj, ki ga vodi skupnost. Z Na podlagi rezultatov SWOT analize so bile zaznane številne potrebe, pa tudi izzivi in priložnosti. Pokazala in potrdila se je potreba po ohranitvi lokalnih ribiških območij in nadaljnjem izvajanju ukrepa CLLD. Za to imamo dobro popotnico: izkušnje z izvajanjem ukrepa CLLD, strokovno znanje, povezovanje deležnikov, animacija na terenu, prepoznavanje dodane vrednosti na območju LAS. V finančni perspektivi 2014-2020 je bilo izvajanje CLLD vključeno v skupni pristop z več skladi. Zaradi prevelikega administrativnega bremena, posledično pa daljših rokov (npr. za sprejem skupne uredbe, za potrjevanje strategij in vlog), je organ upravljanja na podlagi pobude sektorja morskega gospodarskega ribolova in akvakulture sprejel odločitev, da se bo CLLD v okviru ESPRA 2021-2027 izvajal samostojno. Kljub majhnosti in specifičnosti sektorjev morskega gospodarskega ribolova in akvakulture sta oba izjemnega pomena za Slovenijo, tako na obalnem, kot tudi na celinskih območjih. Samostojno izvajanje pristopa CLLD pomeni tudi to, da bodo strategije lokalnega razvoja, ki bodo pripravljene za črpanje sredstev v okviru ESPRA, usklajene z ostalimi strategijami lokalnega razvoja na izbranem območju. Zagotavljanje sinergij in komplementarnosti je ključnega pomena za čim bolj kakovosten razvoj lokalnih območij nasploh; le s skupnimi močmi in medsebojnim sodelovanjem nam bo uspelo zagotoviti diverzifikacijo izbranih območij. Zato bo posebna pozornost namenjena sodelovanju in koordinaciji z ostalimi skladi, mreženju s komunikacijskimi aktivnostmi, z aktivnim sodelovanjem v  medresorski delovni skupini in nasploh v okviru Ministrstva za kmetijstvo, gozdarstvo in prehrano (sodelovanje z Mrežo za podeželje). Prihodnje strategije lokalnega razvoja bodo omogočale boljši odziv na izzive izbranega lokalnega območja, usmerjene bodo v zeleno, modro in inovativno prihodnost lokalnega območja in vključenih sektorjev. Zavedamo se, da so izzivi različni glede na to, katere sektorje vključujemo, in odvisni od naravnih danosti ter geografskih omejitev. Zato smo cilje ločili na obalno območje (obalna akcijska skupina, ki vključuje morski gospodarski ribolov, morsko in sladkovodno akvakulturo) in celino (ki vključuje sektor sladkovodne akvakulture na celinskih vodah). S tem bomo v okviru CLLD zagotovili, da skupnosti na izbranih območjiha bolje izkoristijo potenciale, ki jih ponujajo trajnostno, krožno gospodarstvo, spodbujanje in krepitev okoljskih, kulturnih, socialnih in človeških virov, enakopravno vključevanje vseh na območju in zeleni prehod. Kriza, povezana s pojavom covid-19, je pokazala, da je odpornost prehranskega sektorja pomembna. Lokalne akcijske skupine so že v perspektivi 2014-2020 naredile velik korak h krepitvi lokalne ponudbe hrane in boljše prepoznavnosti njenih ponudnikov. A ta zaveza mora v prihodnji perspektivi 2021-2027 postati še bolj močna; le tako bodo projekti CLLD nadgradili aktivnosti v morskem gospodarskem ribolovu (PNU 1) in akvakulturi (PNU 2). S tem bomo prispevali h ključnemu cilju Strategije od vil do vilic: odpornosti prehranskega sektorja. Kratke verige z lokalnimi proizvodi pa imajo tudi nizek ogljični odtis in prispevajo k izpolnitvi ključnega cilja Zelenega dogovora: ogljično nevtralni Evropi v letu 2050. Morski gospodarski ribolov in akvakultura (morska in sladkovodna) sta kot del prehranskega sektorja močno odvisna tudi od naravnih virov (morje, ribolovni staleži, vode). Novo in boljše ravnovesje med naravo, prehranskim sektorjem in biotsko raznovrstnostjo je postavljeno v središče Strategije od vil do vilic in Strategije za biotsko raznovrstnost 2030. K izpolnjevanju njunih ciljev bo svoje prispeval tudi CLLD. Spodbujali bomo boljše sodelovanje med predstavniki sektorja in znanstveno-raziskovalne sfere na eni strani ter vsemi deležniki z območja na drugi strani. Svoj del odgovornosti pri doseganju boljšega stanja okolja pa nosi tudi boljše vključevanje načel krožnega gospodarstva v sam razvoj: tu so priložnosti v ponovni uporabi odpadnega materiala in uporabi obnovljivih virov energije. Lokalna območja temeljijo na socialnih in človeških virih, zato bodo prihodnje Strategije lokalnega razvoja morale nasloviti tudi izziv depopulacijskih območij, pomanjkanja mladih ter boljšega gospodarskega in družbenega vključevanja različnih kategorij prebivalstva v izbrano območje. Tudi Smernice za trajnostni razvoj EU akvakulture spodbujajo družbeno sprejemljivost akvakulture. Ta izziv v okviru CLLD omenja tudi Analiza na ravni morskega bazena. Zato smo za celinska območja določili poseben cilj: krepitev družbene </w:t>
      </w:r>
      <w:r w:rsidRPr="00D440D4">
        <w:rPr>
          <w:rFonts w:ascii="Arial" w:hAnsi="Arial" w:cs="Arial"/>
          <w:color w:val="000000"/>
          <w:sz w:val="20"/>
          <w:szCs w:val="20"/>
        </w:rPr>
        <w:lastRenderedPageBreak/>
        <w:t xml:space="preserve">sprejemljivosti akvakulture. Projekti, vezani na ta cilj, bodo zagotovo prispevali tudi k točki D cilja 3.3 Strategije GFCM 2030. Projekti CLLD lahko prispevajo k večji prepoznavnosti sektorjev ribolova, akvakulture in predelave  in osveščanju slehernega prebivalca lokalnega območja o koristih ribolova, akvakulture in njenih proizvodov za prehrano in zdravje ljudi, stanje narave in okolja, obenem pa se lahko zelo hitro odzovejo na potrebe lokalnega prebivalstva glede prehrane in tako potrošnika, skladno s Strategijo od vil do vilic, postavijo v središče prehranskega sistema. </w:t>
      </w:r>
      <w:r w:rsidR="000443D6">
        <w:rPr>
          <w:rFonts w:ascii="Arial" w:hAnsi="Arial" w:cs="Arial"/>
          <w:color w:val="000000"/>
          <w:sz w:val="20"/>
          <w:szCs w:val="20"/>
        </w:rPr>
        <w:t>C</w:t>
      </w:r>
      <w:r w:rsidRPr="00D440D4">
        <w:rPr>
          <w:rFonts w:ascii="Arial" w:hAnsi="Arial" w:cs="Arial"/>
          <w:color w:val="000000"/>
          <w:sz w:val="20"/>
          <w:szCs w:val="20"/>
        </w:rPr>
        <w:t>ilj</w:t>
      </w:r>
      <w:r w:rsidR="000443D6">
        <w:rPr>
          <w:rFonts w:ascii="Arial" w:hAnsi="Arial" w:cs="Arial"/>
          <w:color w:val="000000"/>
          <w:sz w:val="20"/>
          <w:szCs w:val="20"/>
        </w:rPr>
        <w:t xml:space="preserve"> 3</w:t>
      </w:r>
      <w:r w:rsidRPr="00D440D4">
        <w:rPr>
          <w:rFonts w:ascii="Arial" w:hAnsi="Arial" w:cs="Arial"/>
          <w:color w:val="000000"/>
          <w:sz w:val="20"/>
          <w:szCs w:val="20"/>
        </w:rPr>
        <w:t xml:space="preserve"> ESPRA </w:t>
      </w:r>
      <w:r w:rsidR="000443D6">
        <w:rPr>
          <w:rFonts w:ascii="Arial" w:hAnsi="Arial" w:cs="Arial"/>
          <w:color w:val="000000"/>
          <w:sz w:val="20"/>
          <w:szCs w:val="20"/>
        </w:rPr>
        <w:t>je</w:t>
      </w:r>
      <w:r w:rsidR="000443D6" w:rsidRPr="00D440D4">
        <w:rPr>
          <w:rFonts w:ascii="Arial" w:hAnsi="Arial" w:cs="Arial"/>
          <w:color w:val="000000"/>
          <w:sz w:val="20"/>
          <w:szCs w:val="20"/>
        </w:rPr>
        <w:t xml:space="preserve"> </w:t>
      </w:r>
      <w:r w:rsidRPr="00D440D4">
        <w:rPr>
          <w:rFonts w:ascii="Arial" w:hAnsi="Arial" w:cs="Arial"/>
          <w:color w:val="000000"/>
          <w:sz w:val="20"/>
          <w:szCs w:val="20"/>
        </w:rPr>
        <w:t>sinergič</w:t>
      </w:r>
      <w:r w:rsidR="000443D6">
        <w:rPr>
          <w:rFonts w:ascii="Arial" w:hAnsi="Arial" w:cs="Arial"/>
          <w:color w:val="000000"/>
          <w:sz w:val="20"/>
          <w:szCs w:val="20"/>
        </w:rPr>
        <w:t>en s potrebo št. 27 in 28 S</w:t>
      </w:r>
      <w:r w:rsidRPr="00D440D4">
        <w:rPr>
          <w:rFonts w:ascii="Arial" w:hAnsi="Arial" w:cs="Arial"/>
          <w:color w:val="000000"/>
          <w:sz w:val="20"/>
          <w:szCs w:val="20"/>
        </w:rPr>
        <w:t xml:space="preserve">trateškega načrta za SKP: </w:t>
      </w:r>
      <w:r w:rsidR="000443D6">
        <w:rPr>
          <w:rFonts w:ascii="Arial" w:hAnsi="Arial" w:cs="Arial"/>
          <w:color w:val="000000"/>
          <w:sz w:val="20"/>
          <w:szCs w:val="20"/>
        </w:rPr>
        <w:t xml:space="preserve">Izboljšanje kakovosti življenja in razvoj storitev ter infrastrukture v podeželskih območjih (27) ter krepitev družbene vključenosti, sodelovanja in integracije podeželskega prebivalstva (28). </w:t>
      </w:r>
      <w:r w:rsidRPr="00D440D4">
        <w:rPr>
          <w:rFonts w:ascii="Arial" w:hAnsi="Arial" w:cs="Arial"/>
          <w:color w:val="000000"/>
          <w:sz w:val="20"/>
          <w:szCs w:val="20"/>
        </w:rPr>
        <w:t xml:space="preserve">Projekti, izbrani v okviru CLLD, bodo komplementarni projektom, ki se območju izvajajo iz drugih skladov in iz nacionalnih iniciativ  (npr. projektom Slovenske turistične organizacije, kot je izbor inovativnih turističnih produktov, Sklad za pravični prehod, itd.). </w:t>
      </w:r>
    </w:p>
    <w:p w14:paraId="0E6B7137" w14:textId="77777777"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S pomočjo ESPRA bomo tudi prispevali k izpolnjevanju naslednjih načel Evropskega stebra socialnih pravic: 1.,2., 3., 4., 5., 6., 8., 10., 12., 17., 19. Mehki projekti CLLD pa bodo sinergični projektom v okviru Evropskega socialnega sklada plus (npr. usposabljanja, socialna vključenost različnih družbenih skupin).</w:t>
      </w:r>
    </w:p>
    <w:p w14:paraId="4AE30859" w14:textId="235784B5"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 xml:space="preserve">Razvoj je bil do sedaj močno povezan z uporabo naravnih virov. Priložnost za upravljanje morij, kljub celostni pomorski politiki, še nikoli ni bila tako velika: prvič v zgodovini smo pripravili celovit pomorski prostorski plan (PPP). Gre za krovni strateški (prostorsko-razvojni) dokument, ki daje prostorske-razvojne usmeritve za dejavnosti in rabe v slovenskem morju in v priobalnem pasu na kopnem ter tudi pobude za sodelovanje s sosednjimi državami in regionalno. PPP določa cilje in usmeritve za nadaljnji razvoj dejavnosti in rab na morju na način, da se dosega trajnostni prostorski razvoj, tj. trajnostno rast pomorskih gospodarstev, trajnostni razvoj morskih območij in trajnostno rabo morskih virov. Priprava takšnega dokumenta je bila ena ključnih zavez Barcelonske konvencije, katere podpisnica je tudi RS. Celovito in trajnostno upravljanje morij je za uspešen zeleni prehod ključnega pomena. Vse bolj pa smo se začeli zavedati, da se je glede na trende celostnega pristopa upravljanja morskega okolja in priobalnega pasu treba vse bolj posvečati medsektorskemu sodelovanju in povezovanju med posameznimi akterji, ki delujejo na morju in obali. S pomočjo ESPRA bomo v okviru četrte prednostne naloge (4. PNU) prispevali k omogočanju varnega, zaščitenega, čistega in trajnostno upravljanega morskega okolja. Biotska raznovrstnost je osnova vsega življenja na Zemlji, njena izguba pomeni izgubo vitalnih storitev, od katerih je odvisna družba, ekosistemi in okolje. Biotska </w:t>
      </w:r>
      <w:r w:rsidR="00251B02" w:rsidRPr="00D440D4">
        <w:rPr>
          <w:rFonts w:ascii="Arial" w:hAnsi="Arial" w:cs="Arial"/>
          <w:color w:val="000000"/>
          <w:sz w:val="20"/>
          <w:szCs w:val="20"/>
        </w:rPr>
        <w:t>raznovrstnost</w:t>
      </w:r>
      <w:r w:rsidRPr="00D440D4">
        <w:rPr>
          <w:rFonts w:ascii="Arial" w:hAnsi="Arial" w:cs="Arial"/>
          <w:color w:val="000000"/>
          <w:sz w:val="20"/>
          <w:szCs w:val="20"/>
        </w:rPr>
        <w:t xml:space="preserve"> nam pomaga omejiti učinek podnebnih sprememb in je kazalnik stanja okolja. Z izbranimi aktivnostmi 4. PNU bomo prispevali k izboljšanju upravljanja z zavarovanimi vrstami in habitati: poznavanje stanja vrst je pomembno, da lahko predpišemo nadaljnje ohranitvene ukrepe in izboljšamo njihovo stanje. Po podatkih Evropske agencije za okolje ima večina zavarovanih vrst v Evropi slabo stanje ohranjenosti, kar je posledica stalnih pritiskov nanje na kopnem in morju, prekomernega izkoriščanja in netrajnostnih praks upravljanja. Izguba biotske raznovrstnosti je lahko problem tudi zaradi podnebnih sprememb. Pri nas že opažamo višje temperature morja, izgubo identitete obalnih mokrišč in bledenje koral, čeprav je po ugotovitvah slovenskih morskih biologov sredozemska kamena korala pri nas še vedno manj ogrožena kot drugod v Jadranu. Težava je tudi širjenje vrst, ki so značilne za južnejša območja. Nekatere zavarovane vrste izginjajo zato je treba zagotoviti monitoring zavarovanih vrst, predvsem mehkužcev na območjih NATURA 2000 (prstaci, leščur). Kjer so bila nekatera območja NATURA 2000 na morju opredeljena kot varstveni ukrep vrste (vranjek - Phalacrocorax aristotelis), bo treba še naprej zagotavljati spremljanje stanje le-te. K ohranjanju biotske raznovrstnosti bo pripomoglo tudi poznavanje stanja habitatnih tipov. Poznavanje stanja morskih sesalcev (npr. velike pliskavke - Tursiops truncatus), ki so izrazito migratorna vrsta, je pomembno za zagotavljanje podatkov o njihovi razširjenosti in razporeditvi, številčnosti, socialni strukturi, rabi habitatov, prehranjevalnih navadah ter interakcijah z ribištvom in vplivom turizma. Morske želve so redni prebivalci Jadranskega morja in so v določenih sezonah v nekaterih predelih lahko celo zelo pogoste. V Jadranu je najbolj pogosta le glavata kareta (Caretta caretta). Največja težava, s katero se srečujejo morske želve v severnem Jadranu, tudi pri nas, je nenamerni ulov v ribiške mreže, problem pa predstavlja tudi plastika, ki jo zaužijejo, in rekreativni pomorski promet. Z aktivnostmi na 4. PNU  bomo prispevali k obnovi morskega ekosistema in naslednjima ciljema Strategije za biotsko raznovrstnost 2030: negativni vplivi na </w:t>
      </w:r>
      <w:r w:rsidRPr="00D440D4">
        <w:rPr>
          <w:rFonts w:ascii="Arial" w:hAnsi="Arial" w:cs="Arial"/>
          <w:color w:val="000000"/>
          <w:sz w:val="20"/>
          <w:szCs w:val="20"/>
        </w:rPr>
        <w:lastRenderedPageBreak/>
        <w:t>občutljive vrste in habitate, tudi na morsko dno z ribolovom in pridobivanjem, se znatno zmanjšajo, da se doseže dobro okoljsko stanje; prilov vrst se odpravi ali zmanjša na raven, ki omogoča obnovo in ohranjanje vrst. Z aktivnostmi za ohranjanje habitatnih tipov Natura 2000 ter za obnovo zaščitenih območij pa bomo sredstva ESPRA namenili za izpolnitev cilja 3 Strategije za biotsko raznovrstnost 2030: učinkovito upravljanje vseh zavarovanih območij z opredelitvijo jasnih ohranitvenih ciljev in ukrepov ter njihovo ustrezno spremljanje. Izbrane aktivnosti bodo komplementarne aktivnostim v okviru Misije morske zvezde 2030: Obnovitev naših oceanov in voda.</w:t>
      </w:r>
    </w:p>
    <w:p w14:paraId="02C40F1C" w14:textId="3D4F59D7" w:rsidR="00D440D4" w:rsidRPr="00D440D4" w:rsidRDefault="00D440D4" w:rsidP="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Slovenski del Jadranskega morja leži v severnem delu, ki je zaprto s Tržaškim zalivom. Za zagotavljanje dobrega stanja je potreben ekosistemski pristop. Poznavanje vseh rab morja, njihovih medsebojnih interakcij ter vplivov, bo zagotovil PPP. S pomočjo sredstev ESPRA bomo pripravili metodologijo za spremljanje prostorskega razvoja na morju in vzpostavili sistem za spremljanje izvajanja PPP. Na podlagi metodologije bo pripravljeno poročilo o stanju prostorskega razvoja na morju. V postopku priprave PPP pa se je pojavila tudi potreba po raziskovanju in evidentiranju podvodne kulturne dediščine, kot prvem koraku na poti k vzpostavitvi celostnega upravljanja s podvodno kulturno dediščino v sklopu trajnostnega upravljanja z morskim okoljem. Pomorski nadzor na morju je ključnega pomena za zagotavljanje varnega prometa, preprečevanja nesreč in reševanja na morju. Ena od ključnih dejavnosti celostnega upravljanja morskega okolja je povezljivost sistemov za podporo izvajanju pomorskega nadzora (CISE), kar prispeva k izvajanju aktivnosti A.2.1 Akcijskega načrta za izvajanje EU pomorske varnostne strategije (EUMSS). V perspektivi 2014-2020 smo z ESPR pomagali pri vzpostavitvi CISE sistema za izmenjavo podatkov, ki je trenutno v testni produkcijski fazi. RS je v tem kontekstu pokazala velik napredek v primerjavi z drugimi državami članicami. Za nadaljevanje tega projekta bo v okviru koordinacije služb na morju izdelan nabor informacij, ki se jih bo izmenjavalo v CISE Node, ki ga izdeluje in vzdržuje EMSA. Če se bo po določenem času ugotovilo, da so potrebne nadgradnje, bo ESPRA prispevala sredstva tudi za namen nadgradnje sistema CISE. Z ESPRA bomo prispevali k večji učinkovitosti in prepoznavnosti pomorskega nadzora, tudi v mednarodnih razsežnostih. Izbrane aktivnosti (organizacija mednarodnega dogodka, naložbe v opremo za izboljšanje pomorskega nadzora) bodo prispevale  k aktivnostim A.1.7, A.2.9 ter B.2.7 Akcijskega načrta EUMSS v povezavi s ciljem medsektorskega pristopa in upravljanja s tveganji EUMSS. Izbrane aktivnosti pomorskega nadzora, skupaj z aktivnostmi v okviru nadzora in izvrševanja 1. PNU, bodo sinergične naložbam, predvidenim v okviru Sklada za integrirano upravljanje meja, natančneje v okviru točke a) 2. odstavka 3. člena Uredbe EU 2021/1148. ESPRA bo z izbranimi aktivnostmi 4. PNU omogočil</w:t>
      </w:r>
      <w:r w:rsidR="007253BF">
        <w:rPr>
          <w:rFonts w:ascii="Arial" w:hAnsi="Arial" w:cs="Arial"/>
          <w:color w:val="000000"/>
          <w:sz w:val="20"/>
          <w:szCs w:val="20"/>
        </w:rPr>
        <w:t>-</w:t>
      </w:r>
      <w:r w:rsidRPr="00D440D4">
        <w:rPr>
          <w:rFonts w:ascii="Arial" w:hAnsi="Arial" w:cs="Arial"/>
          <w:color w:val="000000"/>
          <w:sz w:val="20"/>
          <w:szCs w:val="20"/>
        </w:rPr>
        <w:t>a tudi opredeljevanje in izvajanje drugih ohranitvenih ukrepov, predvidenih v Strategiji za biotsko raznovrstnost: vzpostavitvi skladnega omrežja zavarovanih območij Strategije EU za biotsko raznovrstnost do leta 2030, na ravni EU. ESPRA bo tudi omogočila projekte na flagshipih EUSAIR strategije, še 1.1, 1.3, 1.4, 1.5, 3.1, 3.2, 3.3 in 3.4.</w:t>
      </w:r>
    </w:p>
    <w:p w14:paraId="6F27E96F" w14:textId="57009F8A" w:rsidR="00001E91" w:rsidRPr="00001E91" w:rsidRDefault="00D440D4">
      <w:pPr>
        <w:pStyle w:val="Navadensplet"/>
        <w:pBdr>
          <w:top w:val="single" w:sz="4" w:space="1" w:color="auto"/>
          <w:left w:val="single" w:sz="4" w:space="4" w:color="auto"/>
          <w:bottom w:val="single" w:sz="4" w:space="1" w:color="auto"/>
          <w:right w:val="single" w:sz="4" w:space="4" w:color="auto"/>
        </w:pBdr>
        <w:spacing w:before="240"/>
        <w:jc w:val="both"/>
        <w:rPr>
          <w:rFonts w:ascii="Arial" w:hAnsi="Arial" w:cs="Arial"/>
          <w:color w:val="000000"/>
          <w:sz w:val="20"/>
          <w:szCs w:val="20"/>
        </w:rPr>
      </w:pPr>
      <w:r w:rsidRPr="00D440D4">
        <w:rPr>
          <w:rFonts w:ascii="Arial" w:hAnsi="Arial" w:cs="Arial"/>
          <w:color w:val="000000"/>
          <w:sz w:val="20"/>
          <w:szCs w:val="20"/>
        </w:rPr>
        <w:t>ESPRA je v Sloveniji morda med manjšimi skladi. Toda njeno izvajanje je ključnega pomena za doseganje ciljev Zelenega dogovora. Čas je, da tudi v Sloveniji s pomočjo ESPRA naredimo velik korak naprej, korak za obnovo naših morskih in vodnih ekosistemov, odmik od prekomerne uporabe naravnih virov in korak v bolj trajnostno, bolj zeleno in modro prihodnost.</w:t>
      </w:r>
    </w:p>
    <w:bookmarkEnd w:id="0"/>
    <w:p w14:paraId="1E2BACE5" w14:textId="77777777" w:rsidR="00B351E2" w:rsidRDefault="00B351E2">
      <w:pPr>
        <w:spacing w:after="200" w:line="276" w:lineRule="auto"/>
        <w:rPr>
          <w:rFonts w:cs="Arial"/>
          <w:i/>
          <w:noProof/>
          <w:szCs w:val="20"/>
        </w:rPr>
      </w:pPr>
    </w:p>
    <w:p w14:paraId="0C9496C6" w14:textId="77777777" w:rsidR="00582F99" w:rsidRDefault="00582F99">
      <w:pPr>
        <w:spacing w:after="200" w:line="276" w:lineRule="auto"/>
        <w:rPr>
          <w:rFonts w:cs="Arial"/>
          <w:i/>
          <w:noProof/>
          <w:szCs w:val="20"/>
        </w:rPr>
      </w:pPr>
    </w:p>
    <w:p w14:paraId="3B68EBA4" w14:textId="77777777" w:rsidR="00582F99" w:rsidRDefault="00582F99">
      <w:pPr>
        <w:spacing w:after="200" w:line="276" w:lineRule="auto"/>
        <w:rPr>
          <w:rFonts w:cs="Arial"/>
          <w:i/>
          <w:noProof/>
          <w:szCs w:val="20"/>
        </w:rPr>
        <w:sectPr w:rsidR="00582F99" w:rsidSect="00854925">
          <w:footerReference w:type="default" r:id="rId8"/>
          <w:headerReference w:type="first" r:id="rId9"/>
          <w:footerReference w:type="first" r:id="rId10"/>
          <w:pgSz w:w="11900" w:h="16840" w:code="9"/>
          <w:pgMar w:top="1701" w:right="1701" w:bottom="1134" w:left="1701" w:header="964" w:footer="794" w:gutter="0"/>
          <w:cols w:space="708"/>
          <w:titlePg/>
        </w:sectPr>
      </w:pPr>
    </w:p>
    <w:tbl>
      <w:tblPr>
        <w:tblpPr w:leftFromText="141" w:rightFromText="141" w:vertAnchor="text" w:horzAnchor="margin" w:tblpY="1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830"/>
        <w:gridCol w:w="5344"/>
        <w:gridCol w:w="3794"/>
      </w:tblGrid>
      <w:tr w:rsidR="00B351E2" w:rsidRPr="00A40660" w14:paraId="777AC2C1" w14:textId="77777777" w:rsidTr="00B351E2">
        <w:tc>
          <w:tcPr>
            <w:tcW w:w="0" w:type="auto"/>
            <w:gridSpan w:val="4"/>
            <w:shd w:val="clear" w:color="auto" w:fill="auto"/>
          </w:tcPr>
          <w:p w14:paraId="4324D7E2" w14:textId="77777777" w:rsidR="00B351E2" w:rsidRPr="00A40660" w:rsidRDefault="00B351E2" w:rsidP="00B351E2">
            <w:pPr>
              <w:spacing w:line="276" w:lineRule="auto"/>
              <w:rPr>
                <w:rFonts w:cs="Arial"/>
                <w:b/>
                <w:iCs/>
                <w:noProof/>
                <w:szCs w:val="20"/>
              </w:rPr>
            </w:pPr>
            <w:r w:rsidRPr="00A40660">
              <w:rPr>
                <w:rFonts w:cs="Arial"/>
                <w:b/>
                <w:iCs/>
                <w:noProof/>
                <w:szCs w:val="20"/>
              </w:rPr>
              <w:lastRenderedPageBreak/>
              <w:t>Preglednica 1A</w:t>
            </w:r>
          </w:p>
        </w:tc>
      </w:tr>
      <w:tr w:rsidR="00B351E2" w:rsidRPr="00A40660" w14:paraId="792A0A9E" w14:textId="77777777" w:rsidTr="000A4DE5">
        <w:tc>
          <w:tcPr>
            <w:tcW w:w="0" w:type="auto"/>
            <w:shd w:val="clear" w:color="auto" w:fill="auto"/>
          </w:tcPr>
          <w:p w14:paraId="3B8E5528" w14:textId="77777777" w:rsidR="00B351E2" w:rsidRPr="00A40660" w:rsidRDefault="00B351E2" w:rsidP="00B351E2">
            <w:pPr>
              <w:spacing w:line="276" w:lineRule="auto"/>
              <w:rPr>
                <w:rFonts w:cs="Arial"/>
                <w:b/>
                <w:iCs/>
                <w:noProof/>
                <w:szCs w:val="20"/>
              </w:rPr>
            </w:pPr>
            <w:r w:rsidRPr="00A40660">
              <w:rPr>
                <w:rFonts w:cs="Arial"/>
                <w:b/>
                <w:iCs/>
                <w:noProof/>
                <w:szCs w:val="20"/>
              </w:rPr>
              <w:t>Ciljne politike</w:t>
            </w:r>
          </w:p>
        </w:tc>
        <w:tc>
          <w:tcPr>
            <w:tcW w:w="0" w:type="auto"/>
            <w:shd w:val="clear" w:color="auto" w:fill="auto"/>
          </w:tcPr>
          <w:p w14:paraId="5E65C0DD" w14:textId="77777777" w:rsidR="00B351E2" w:rsidRPr="00A40660" w:rsidRDefault="00B351E2" w:rsidP="00B351E2">
            <w:pPr>
              <w:spacing w:line="276" w:lineRule="auto"/>
              <w:rPr>
                <w:rFonts w:cs="Arial"/>
                <w:b/>
                <w:iCs/>
                <w:noProof/>
                <w:szCs w:val="20"/>
              </w:rPr>
            </w:pPr>
            <w:r w:rsidRPr="00A40660">
              <w:rPr>
                <w:rFonts w:cs="Arial"/>
                <w:b/>
                <w:iCs/>
                <w:noProof/>
                <w:szCs w:val="20"/>
              </w:rPr>
              <w:t>Prednostna naloga</w:t>
            </w:r>
          </w:p>
        </w:tc>
        <w:tc>
          <w:tcPr>
            <w:tcW w:w="5344" w:type="dxa"/>
            <w:shd w:val="clear" w:color="auto" w:fill="auto"/>
          </w:tcPr>
          <w:p w14:paraId="00A4B641" w14:textId="6EC9174D" w:rsidR="00B351E2" w:rsidRPr="003A07A3" w:rsidRDefault="00B351E2" w:rsidP="00B351E2">
            <w:pPr>
              <w:spacing w:line="276" w:lineRule="auto"/>
              <w:rPr>
                <w:rFonts w:cs="Arial"/>
                <w:b/>
                <w:iCs/>
                <w:noProof/>
                <w:szCs w:val="20"/>
              </w:rPr>
            </w:pPr>
            <w:r w:rsidRPr="003A07A3">
              <w:rPr>
                <w:rFonts w:cs="Arial"/>
                <w:b/>
                <w:iCs/>
                <w:noProof/>
                <w:szCs w:val="20"/>
              </w:rPr>
              <w:t>SWOT analiza (za vsako prednost)</w:t>
            </w:r>
          </w:p>
          <w:p w14:paraId="49F09888" w14:textId="77777777" w:rsidR="00B351E2" w:rsidRPr="003A07A3" w:rsidRDefault="00B351E2" w:rsidP="00B351E2">
            <w:pPr>
              <w:spacing w:line="276" w:lineRule="auto"/>
              <w:rPr>
                <w:rFonts w:cs="Arial"/>
                <w:b/>
                <w:iCs/>
                <w:noProof/>
                <w:szCs w:val="20"/>
              </w:rPr>
            </w:pPr>
          </w:p>
        </w:tc>
        <w:tc>
          <w:tcPr>
            <w:tcW w:w="3794" w:type="dxa"/>
            <w:shd w:val="clear" w:color="auto" w:fill="auto"/>
          </w:tcPr>
          <w:p w14:paraId="2E1866BC" w14:textId="12350744" w:rsidR="00B351E2" w:rsidRPr="00A40660" w:rsidRDefault="00B351E2" w:rsidP="00B351E2">
            <w:pPr>
              <w:spacing w:line="276" w:lineRule="auto"/>
              <w:rPr>
                <w:rFonts w:cs="Arial"/>
                <w:b/>
                <w:iCs/>
                <w:noProof/>
                <w:szCs w:val="20"/>
              </w:rPr>
            </w:pPr>
            <w:r w:rsidRPr="00A40660">
              <w:rPr>
                <w:rFonts w:cs="Arial"/>
                <w:b/>
                <w:iCs/>
                <w:noProof/>
                <w:szCs w:val="20"/>
              </w:rPr>
              <w:t>Utem</w:t>
            </w:r>
            <w:r w:rsidR="00FE7D40">
              <w:rPr>
                <w:rFonts w:cs="Arial"/>
                <w:b/>
                <w:iCs/>
                <w:noProof/>
                <w:szCs w:val="20"/>
              </w:rPr>
              <w:t>e</w:t>
            </w:r>
            <w:r w:rsidRPr="00A40660">
              <w:rPr>
                <w:rFonts w:cs="Arial"/>
                <w:b/>
                <w:iCs/>
                <w:noProof/>
                <w:szCs w:val="20"/>
              </w:rPr>
              <w:t>ljitev (povzetek)</w:t>
            </w:r>
          </w:p>
        </w:tc>
      </w:tr>
      <w:tr w:rsidR="00B351E2" w:rsidRPr="00F700CD" w14:paraId="5D40BDC3" w14:textId="77777777" w:rsidTr="000A4DE5">
        <w:trPr>
          <w:trHeight w:val="42"/>
        </w:trPr>
        <w:tc>
          <w:tcPr>
            <w:tcW w:w="0" w:type="auto"/>
            <w:vMerge w:val="restart"/>
            <w:shd w:val="clear" w:color="auto" w:fill="auto"/>
          </w:tcPr>
          <w:p w14:paraId="5CE644CF" w14:textId="77777777" w:rsidR="00B351E2" w:rsidRPr="0042080C" w:rsidRDefault="00B351E2" w:rsidP="00B351E2">
            <w:pPr>
              <w:spacing w:line="276" w:lineRule="auto"/>
              <w:rPr>
                <w:rFonts w:cs="Arial"/>
                <w:b/>
                <w:iCs/>
                <w:noProof/>
                <w:szCs w:val="20"/>
              </w:rPr>
            </w:pPr>
            <w:r>
              <w:rPr>
                <w:rFonts w:cs="Arial"/>
                <w:b/>
                <w:iCs/>
                <w:noProof/>
                <w:szCs w:val="20"/>
              </w:rPr>
              <w:t>B</w:t>
            </w:r>
            <w:r w:rsidRPr="0042080C">
              <w:rPr>
                <w:rFonts w:cs="Arial"/>
                <w:b/>
                <w:iCs/>
                <w:noProof/>
                <w:szCs w:val="20"/>
              </w:rPr>
              <w:t>olj zelena, nizkoogljična Evropa s spodbujanjem prehoda na čisto in pravično energijo, zelene in modre naložbe, krožno gospodarstvo, prilagajanje podnebnim spremembam ter prepr</w:t>
            </w:r>
            <w:r>
              <w:rPr>
                <w:rFonts w:cs="Arial"/>
                <w:b/>
                <w:iCs/>
                <w:noProof/>
                <w:szCs w:val="20"/>
              </w:rPr>
              <w:t>ečevanje in upravljanje tveganj</w:t>
            </w:r>
          </w:p>
        </w:tc>
        <w:tc>
          <w:tcPr>
            <w:tcW w:w="0" w:type="auto"/>
            <w:vMerge w:val="restart"/>
            <w:shd w:val="clear" w:color="auto" w:fill="auto"/>
          </w:tcPr>
          <w:p w14:paraId="08EAAB52" w14:textId="77777777" w:rsidR="00B351E2" w:rsidRPr="00C32E93" w:rsidRDefault="00B351E2" w:rsidP="00B351E2">
            <w:pPr>
              <w:spacing w:line="276" w:lineRule="auto"/>
              <w:rPr>
                <w:rFonts w:cs="Arial"/>
                <w:b/>
                <w:iCs/>
                <w:noProof/>
                <w:szCs w:val="20"/>
              </w:rPr>
            </w:pPr>
            <w:r w:rsidRPr="00C32E93">
              <w:rPr>
                <w:rFonts w:cs="Arial"/>
                <w:b/>
                <w:iCs/>
                <w:noProof/>
                <w:szCs w:val="20"/>
              </w:rPr>
              <w:t>Spodbujanje trajnostnega ribištva in ohranjanje vodnih bioloških virov</w:t>
            </w:r>
          </w:p>
        </w:tc>
        <w:tc>
          <w:tcPr>
            <w:tcW w:w="5344" w:type="dxa"/>
            <w:shd w:val="clear" w:color="auto" w:fill="auto"/>
          </w:tcPr>
          <w:p w14:paraId="2DBB0E68" w14:textId="77777777" w:rsidR="00B351E2" w:rsidRPr="003A07A3" w:rsidRDefault="00B351E2" w:rsidP="00B351E2">
            <w:pPr>
              <w:tabs>
                <w:tab w:val="left" w:pos="2814"/>
              </w:tabs>
              <w:spacing w:line="276" w:lineRule="auto"/>
              <w:rPr>
                <w:rFonts w:cs="Arial"/>
                <w:b/>
                <w:iCs/>
                <w:noProof/>
                <w:szCs w:val="20"/>
              </w:rPr>
            </w:pPr>
            <w:r w:rsidRPr="003A07A3">
              <w:rPr>
                <w:rFonts w:cs="Arial"/>
                <w:b/>
                <w:iCs/>
                <w:noProof/>
                <w:szCs w:val="20"/>
              </w:rPr>
              <w:t>Prednosti</w:t>
            </w:r>
          </w:p>
          <w:p w14:paraId="7C24664C" w14:textId="423B3F11" w:rsidR="00B351E2" w:rsidRPr="004C7F4C" w:rsidRDefault="00B351E2" w:rsidP="00B351E2">
            <w:pPr>
              <w:tabs>
                <w:tab w:val="left" w:pos="2814"/>
              </w:tabs>
              <w:spacing w:line="276" w:lineRule="auto"/>
              <w:rPr>
                <w:i/>
                <w:u w:val="single"/>
              </w:rPr>
            </w:pPr>
            <w:r w:rsidRPr="004C7F4C">
              <w:rPr>
                <w:i/>
                <w:u w:val="single"/>
              </w:rPr>
              <w:t>Morski gospodarski ribolov</w:t>
            </w:r>
          </w:p>
          <w:p w14:paraId="6E1067D3" w14:textId="77777777" w:rsidR="001A01C7" w:rsidRPr="000A350D" w:rsidRDefault="001A01C7" w:rsidP="00F96204">
            <w:pPr>
              <w:pStyle w:val="Brezrazmikov"/>
              <w:numPr>
                <w:ilvl w:val="0"/>
                <w:numId w:val="10"/>
              </w:numPr>
            </w:pPr>
            <w:r w:rsidRPr="000A350D">
              <w:t>tradicija malega priobalnega ribolova –trajnostna naravnanost v primerjavi z industrijskim ribolovom (1,2)</w:t>
            </w:r>
          </w:p>
          <w:p w14:paraId="066C043E" w14:textId="77777777" w:rsidR="001A01C7" w:rsidRPr="000A350D" w:rsidRDefault="001A01C7" w:rsidP="00F96204">
            <w:pPr>
              <w:pStyle w:val="Brezrazmikov"/>
              <w:numPr>
                <w:ilvl w:val="0"/>
                <w:numId w:val="10"/>
              </w:numPr>
            </w:pPr>
            <w:r w:rsidRPr="000A350D">
              <w:t>razvit lokalni trg rib na obalnem območju (2)</w:t>
            </w:r>
          </w:p>
          <w:p w14:paraId="78EB6901" w14:textId="77777777" w:rsidR="001A01C7" w:rsidRPr="000A350D" w:rsidRDefault="001A01C7" w:rsidP="00F96204">
            <w:pPr>
              <w:pStyle w:val="Brezrazmikov"/>
              <w:numPr>
                <w:ilvl w:val="0"/>
                <w:numId w:val="10"/>
              </w:numPr>
            </w:pPr>
            <w:r w:rsidRPr="000A350D">
              <w:t>dobro sodelovanje ribičev in varstvenih ter znanstveno-raziskovalnih deležnikov (7)</w:t>
            </w:r>
          </w:p>
          <w:p w14:paraId="7A284B30" w14:textId="77777777" w:rsidR="001A01C7" w:rsidRPr="000A350D" w:rsidRDefault="001A01C7" w:rsidP="00F96204">
            <w:pPr>
              <w:pStyle w:val="Brezrazmikov"/>
              <w:numPr>
                <w:ilvl w:val="0"/>
                <w:numId w:val="10"/>
              </w:numPr>
            </w:pPr>
            <w:r w:rsidRPr="000A350D">
              <w:t>že vzpostavljen sistem zbiranja podatkov v skladu z DCF (5)</w:t>
            </w:r>
          </w:p>
          <w:p w14:paraId="6E55A397" w14:textId="77777777" w:rsidR="001A01C7" w:rsidRDefault="001A01C7" w:rsidP="00F96204">
            <w:pPr>
              <w:pStyle w:val="Brezrazmikov"/>
              <w:numPr>
                <w:ilvl w:val="0"/>
                <w:numId w:val="10"/>
              </w:numPr>
            </w:pPr>
            <w:r w:rsidRPr="000A350D">
              <w:t>regionalno sodelovanje na področju zbiranja podatkov in nadzora (GFCM) (1,5)</w:t>
            </w:r>
          </w:p>
          <w:p w14:paraId="2A5A339D" w14:textId="45A5A51E" w:rsidR="001A01C7" w:rsidRPr="003A07A3" w:rsidRDefault="001A01C7" w:rsidP="00F96204">
            <w:pPr>
              <w:pStyle w:val="Brezrazmikov"/>
              <w:numPr>
                <w:ilvl w:val="0"/>
                <w:numId w:val="10"/>
              </w:numPr>
            </w:pPr>
            <w:r w:rsidRPr="000A350D">
              <w:t>Investicije v ribiška pristanišča z 10-letno namembnostjo so prispevale k ohranitvi ribištva kot tradicije v osrčju slovenskih obalnih mest (3)</w:t>
            </w:r>
          </w:p>
          <w:p w14:paraId="7695F1AB" w14:textId="77777777" w:rsidR="00FB3B9C" w:rsidRDefault="00FB3B9C" w:rsidP="00FB3B9C">
            <w:pPr>
              <w:pStyle w:val="Brezrazmikov"/>
              <w:rPr>
                <w:i/>
                <w:u w:val="single"/>
              </w:rPr>
            </w:pPr>
          </w:p>
          <w:p w14:paraId="22FE23E8" w14:textId="25F9AE06" w:rsidR="00164B75" w:rsidRPr="00FB3B9C" w:rsidRDefault="001A01C7" w:rsidP="00FB3B9C">
            <w:pPr>
              <w:pStyle w:val="Brezrazmikov"/>
              <w:rPr>
                <w:i/>
                <w:u w:val="single"/>
              </w:rPr>
            </w:pPr>
            <w:r w:rsidRPr="00FB3B9C">
              <w:rPr>
                <w:i/>
                <w:u w:val="single"/>
              </w:rPr>
              <w:t>Varovanje in ohranjanje vodne biotske raznovrstnosti in ekosistemov</w:t>
            </w:r>
          </w:p>
          <w:p w14:paraId="29F2C9D5" w14:textId="097D0B21" w:rsidR="009D490A" w:rsidRDefault="000D6444" w:rsidP="00F96204">
            <w:pPr>
              <w:pStyle w:val="Brezrazmikov"/>
              <w:numPr>
                <w:ilvl w:val="0"/>
                <w:numId w:val="10"/>
              </w:numPr>
            </w:pPr>
            <w:r>
              <w:t>V Sloveniji imamo inovativen</w:t>
            </w:r>
            <w:r w:rsidR="009D490A">
              <w:t xml:space="preserve"> postopek predelave polyamida 6 (ki se nahaja v ribolovnem orodju) v najlonske niti</w:t>
            </w:r>
            <w:r w:rsidR="00737AEB">
              <w:t xml:space="preserve"> (10, 11)</w:t>
            </w:r>
          </w:p>
          <w:p w14:paraId="36A0377E" w14:textId="46DD1170" w:rsidR="001A01C7" w:rsidRPr="001A01C7" w:rsidRDefault="001A01C7" w:rsidP="00F96204">
            <w:pPr>
              <w:pStyle w:val="Brezrazmikov"/>
              <w:numPr>
                <w:ilvl w:val="0"/>
                <w:numId w:val="10"/>
              </w:numPr>
            </w:pPr>
            <w:r w:rsidRPr="001A01C7">
              <w:t>pestrost severnega dela Jadranskega morja (raznovrstnost habitatov in vodnih organizmov) (10)</w:t>
            </w:r>
          </w:p>
          <w:p w14:paraId="3B7DA322" w14:textId="77777777" w:rsidR="001A01C7" w:rsidRPr="001A01C7" w:rsidRDefault="001A01C7" w:rsidP="00F96204">
            <w:pPr>
              <w:pStyle w:val="Brezrazmikov"/>
              <w:numPr>
                <w:ilvl w:val="0"/>
                <w:numId w:val="10"/>
              </w:numPr>
            </w:pPr>
            <w:r w:rsidRPr="001A01C7">
              <w:t>opredeljeni in učinkoviti režimi za varstvo narave (10)</w:t>
            </w:r>
          </w:p>
          <w:p w14:paraId="5DE81855" w14:textId="77777777" w:rsidR="001A01C7" w:rsidRPr="001A01C7" w:rsidRDefault="001A01C7" w:rsidP="00F96204">
            <w:pPr>
              <w:pStyle w:val="Brezrazmikov"/>
              <w:numPr>
                <w:ilvl w:val="0"/>
                <w:numId w:val="10"/>
              </w:numPr>
            </w:pPr>
            <w:r w:rsidRPr="001A01C7">
              <w:lastRenderedPageBreak/>
              <w:t xml:space="preserve">ohranjena biotska raznovrstnost (8) </w:t>
            </w:r>
          </w:p>
          <w:p w14:paraId="2BFA4B93" w14:textId="77777777" w:rsidR="001A01C7" w:rsidRPr="001A01C7" w:rsidRDefault="001A01C7" w:rsidP="00F96204">
            <w:pPr>
              <w:pStyle w:val="Brezrazmikov"/>
              <w:numPr>
                <w:ilvl w:val="0"/>
                <w:numId w:val="10"/>
              </w:numPr>
            </w:pPr>
            <w:r w:rsidRPr="001A01C7">
              <w:t>upravljanje krajinskih parkov: Krajinskega parka Sečoveljske soline, Krajinski park Debeli rtič in Krajinskega parka Strunjan ter naravnega rezervata Škocjanski zatok (10)</w:t>
            </w:r>
          </w:p>
          <w:p w14:paraId="3C31FFF3" w14:textId="77777777" w:rsidR="001A01C7" w:rsidRPr="001A01C7" w:rsidRDefault="001A01C7" w:rsidP="00F96204">
            <w:pPr>
              <w:pStyle w:val="Brezrazmikov"/>
              <w:numPr>
                <w:ilvl w:val="0"/>
                <w:numId w:val="11"/>
              </w:numPr>
            </w:pPr>
            <w:r w:rsidRPr="001A01C7">
              <w:t>že vzpostavljena območja NATURA 2000 na morju, z vrstami in habitatnimi tipi v dobrem ohranitvenem stanju priobalnega  pasu in morskega bazena (10)</w:t>
            </w:r>
          </w:p>
          <w:p w14:paraId="6534D3EF" w14:textId="77777777" w:rsidR="001A01C7" w:rsidRPr="001A01C7" w:rsidRDefault="001A01C7" w:rsidP="00F96204">
            <w:pPr>
              <w:pStyle w:val="Brezrazmikov"/>
              <w:numPr>
                <w:ilvl w:val="0"/>
                <w:numId w:val="11"/>
              </w:numPr>
            </w:pPr>
            <w:r w:rsidRPr="001A01C7">
              <w:t>izkušnje z upravljanjem zavarovanih območij (9)</w:t>
            </w:r>
          </w:p>
          <w:p w14:paraId="61320578" w14:textId="77777777" w:rsidR="001A01C7" w:rsidRPr="001C6CA0" w:rsidRDefault="001A01C7" w:rsidP="00F96204">
            <w:pPr>
              <w:pStyle w:val="Brezrazmikov"/>
              <w:numPr>
                <w:ilvl w:val="0"/>
                <w:numId w:val="11"/>
              </w:numPr>
            </w:pPr>
            <w:r w:rsidRPr="001C6CA0">
              <w:t>vzpostavljena komunikacija in delo z uporabniki morskega okolja (7)</w:t>
            </w:r>
          </w:p>
          <w:p w14:paraId="37F3A74F" w14:textId="39B5A12F" w:rsidR="001A01C7" w:rsidRPr="001C6CA0" w:rsidRDefault="001A01C7" w:rsidP="001C6CA0">
            <w:pPr>
              <w:pStyle w:val="Brezrazmikov"/>
              <w:numPr>
                <w:ilvl w:val="0"/>
                <w:numId w:val="11"/>
              </w:numPr>
            </w:pPr>
            <w:r w:rsidRPr="009128AD">
              <w:t>poznavanje problematike in določanje ciljev stanja morskega oko</w:t>
            </w:r>
            <w:r w:rsidRPr="001C6CA0">
              <w:t>lja</w:t>
            </w:r>
            <w:r w:rsidR="00DF6BA5" w:rsidRPr="001C6CA0">
              <w:t>, zlasti za deskriptorje</w:t>
            </w:r>
            <w:r w:rsidR="009C222E" w:rsidRPr="008E6BB7">
              <w:t xml:space="preserve"> </w:t>
            </w:r>
            <w:r w:rsidRPr="001C6CA0">
              <w:t xml:space="preserve"> </w:t>
            </w:r>
            <w:r w:rsidR="001C6CA0">
              <w:t xml:space="preserve"> </w:t>
            </w:r>
            <w:r w:rsidR="001C6CA0" w:rsidRPr="001C6CA0">
              <w:t xml:space="preserve">kakovosti biotska raznovrstnost (D1), evtrofikacija (D5), onesnaževala (D8) in morski odpadki (D10)  </w:t>
            </w:r>
            <w:r w:rsidRPr="001C6CA0">
              <w:t>(7,12)</w:t>
            </w:r>
          </w:p>
          <w:p w14:paraId="0BCD6554" w14:textId="77777777" w:rsidR="001A01C7" w:rsidRDefault="001A01C7" w:rsidP="00F96204">
            <w:pPr>
              <w:pStyle w:val="Brezrazmikov"/>
              <w:numPr>
                <w:ilvl w:val="0"/>
                <w:numId w:val="11"/>
              </w:numPr>
            </w:pPr>
            <w:r w:rsidRPr="009128AD">
              <w:t>uspešno sodelovanje različnih deležnikov (ministrstva</w:t>
            </w:r>
            <w:r w:rsidRPr="000A350D">
              <w:t>, zavodi, nevladne organizacije) (8,9,10,11)</w:t>
            </w:r>
          </w:p>
          <w:p w14:paraId="5CA5276D" w14:textId="32B95A63" w:rsidR="001A01C7" w:rsidRPr="000A350D" w:rsidRDefault="001A01C7" w:rsidP="00F96204">
            <w:pPr>
              <w:pStyle w:val="Brezrazmikov"/>
              <w:numPr>
                <w:ilvl w:val="0"/>
                <w:numId w:val="11"/>
              </w:numPr>
            </w:pPr>
            <w:r w:rsidRPr="000A350D">
              <w:t>izdelan Program ukrepov upravljanja voda, ki določa podporo pri izvajanju ukrepov vezanih na obnovo celinskih voda pri vzpostavljanju  prehodnosti za vodne organizme v rečnem okolju (11)</w:t>
            </w:r>
          </w:p>
          <w:p w14:paraId="1FD9FB4A" w14:textId="77777777" w:rsidR="00DF6BA5" w:rsidRDefault="001A01C7" w:rsidP="00F96204">
            <w:pPr>
              <w:pStyle w:val="Brezrazmikov"/>
              <w:numPr>
                <w:ilvl w:val="0"/>
                <w:numId w:val="11"/>
              </w:numPr>
            </w:pPr>
            <w:r w:rsidRPr="000A350D">
              <w:t>izdelan in obstoječ sistem zbiranja podatkov v okviru Načrta upravljanja z morskim okoljem, ki določa ukrepe za izboljšanje stanja morskih voda (12)</w:t>
            </w:r>
          </w:p>
          <w:p w14:paraId="3E080122" w14:textId="157E0D89" w:rsidR="00164B75" w:rsidRPr="003A07A3" w:rsidRDefault="001A01C7" w:rsidP="00F96204">
            <w:pPr>
              <w:pStyle w:val="Brezrazmikov"/>
              <w:numPr>
                <w:ilvl w:val="0"/>
                <w:numId w:val="11"/>
              </w:numPr>
            </w:pPr>
            <w:r w:rsidRPr="000A350D">
              <w:t>izdelan Program upravljanja območij Natura 2000 (10)</w:t>
            </w:r>
          </w:p>
        </w:tc>
        <w:tc>
          <w:tcPr>
            <w:tcW w:w="3794" w:type="dxa"/>
            <w:vMerge w:val="restart"/>
            <w:shd w:val="clear" w:color="auto" w:fill="auto"/>
          </w:tcPr>
          <w:p w14:paraId="3A751B58" w14:textId="20CA6F03" w:rsidR="00D75D12" w:rsidRDefault="00D75D12" w:rsidP="00D75D12">
            <w:pPr>
              <w:jc w:val="both"/>
              <w:rPr>
                <w:iCs/>
              </w:rPr>
            </w:pPr>
            <w:r w:rsidRPr="00E70099">
              <w:rPr>
                <w:iCs/>
              </w:rPr>
              <w:lastRenderedPageBreak/>
              <w:t xml:space="preserve"> Dejavnost morskega gospodarskega ribolova je, ne glede na vse omejitve, s katerimi se ta sektor že leta sooča, izrednega pomena</w:t>
            </w:r>
            <w:r>
              <w:rPr>
                <w:iCs/>
              </w:rPr>
              <w:t>, saj zagotavlja oskrbo s svežimi morskimi ribami, dodaja vrednost turizmu in širi ponudbo v restavracijah</w:t>
            </w:r>
            <w:r w:rsidRPr="00E70099">
              <w:rPr>
                <w:iCs/>
              </w:rPr>
              <w:t xml:space="preserve">. Morski ribolov je kot gospodarska dejavnost močno vpet v življenje obalnih skupnosti in prispeva k ohranjanju njihove vitalnosti. </w:t>
            </w:r>
            <w:r>
              <w:rPr>
                <w:iCs/>
              </w:rPr>
              <w:t xml:space="preserve">Ribištvo je namreč med glavnimi dejavnostmi </w:t>
            </w:r>
            <w:r w:rsidR="000E21B8">
              <w:rPr>
                <w:iCs/>
              </w:rPr>
              <w:t>obalnih</w:t>
            </w:r>
            <w:r>
              <w:rPr>
                <w:iCs/>
              </w:rPr>
              <w:t xml:space="preserve"> občin. Izoli, ki je bila </w:t>
            </w:r>
            <w:r w:rsidR="000E21B8">
              <w:rPr>
                <w:iCs/>
              </w:rPr>
              <w:t>nekoč</w:t>
            </w:r>
            <w:r>
              <w:rPr>
                <w:iCs/>
              </w:rPr>
              <w:t xml:space="preserve"> majhna obmorska vasica, je namreč prav ribištvo dalo pečat mesta. </w:t>
            </w:r>
            <w:r w:rsidRPr="00E70099">
              <w:rPr>
                <w:iCs/>
              </w:rPr>
              <w:t>Slovenska ribiška flota je v primerjavi z ostalimi flotami na ravni EU relativno majhna</w:t>
            </w:r>
            <w:r>
              <w:rPr>
                <w:iCs/>
              </w:rPr>
              <w:t>, zato je tudi ulov v primerjavi z ulovom sosednjih držav majhen</w:t>
            </w:r>
            <w:r w:rsidRPr="00E70099">
              <w:rPr>
                <w:iCs/>
              </w:rPr>
              <w:t xml:space="preserve">. V letu 2020 je štela 136 registriranih plovil, kar kaže na trend zmanjševanja. Največje zmanjšanje flote se je zgodilo v letih 2012-2013, ko smo s pomočjo sredstev Evropskega sklada za ribištvo v finančni </w:t>
            </w:r>
            <w:r w:rsidRPr="00E70099">
              <w:rPr>
                <w:iCs/>
              </w:rPr>
              <w:lastRenderedPageBreak/>
              <w:t>perspektivi 2007-2013 razrezali nekaj plovil, ki so bila daljša od 24 metrov. Načrt upravljanja z ribištvom v RS navaja, da se vzporedno s tem celoten slovenski iztovor že desetletja hitro zmanjšuje. Tako je bil leta 2019 dosežen rekordno majhen ulov s samo 120 tonami iztovora, z manj kot 800 kg majhnih pelagičnih vrst. Leta 2020 pa je ulov znašal 150 ton</w:t>
            </w:r>
            <w:r>
              <w:rPr>
                <w:iCs/>
              </w:rPr>
              <w:t>. Večina morskega ulova se proda znanemu kupcu, del ulova pa se proda tudi na ribji borzi v Trstu.</w:t>
            </w:r>
          </w:p>
          <w:p w14:paraId="39A6DD3B" w14:textId="77777777" w:rsidR="00D75D12" w:rsidRDefault="00D75D12" w:rsidP="00D75D12">
            <w:pPr>
              <w:jc w:val="both"/>
              <w:rPr>
                <w:iCs/>
              </w:rPr>
            </w:pPr>
            <w:r w:rsidRPr="00E70099">
              <w:rPr>
                <w:iCs/>
              </w:rPr>
              <w:t>Floto je leta 2020 sestavljalo šest segmentov. Od vseh registriranih plovil v letu 2020 (136) je bilo aktivnih 70, neaktivnih pa 66 plovil. 120 plovil je pripadalo floti malega priobalnega ribolova</w:t>
            </w:r>
            <w:r>
              <w:rPr>
                <w:iCs/>
              </w:rPr>
              <w:t>, kar je 88 % celotne flote</w:t>
            </w:r>
            <w:r w:rsidRPr="00E70099">
              <w:rPr>
                <w:iCs/>
              </w:rPr>
              <w:t xml:space="preserve">. Večina plovil slovenske ribiške flote je v starostnih razredih med 15 in 40 let (65,47 %), sledijo plovila, stara od 40 do 60 let (25,18 %), plovila starosti do 60 let (7,19 %) ter eno plovilo, ki je starejše od 60 let (2,16 %). </w:t>
            </w:r>
            <w:r>
              <w:rPr>
                <w:iCs/>
              </w:rPr>
              <w:t xml:space="preserve">V povprečju pa je starost flote več kot 35 let. </w:t>
            </w:r>
            <w:r w:rsidRPr="00E70099">
              <w:rPr>
                <w:iCs/>
              </w:rPr>
              <w:t>Slovenska ribiška flota je večinoma sestavljena iz majhnih plovil</w:t>
            </w:r>
            <w:r>
              <w:rPr>
                <w:iCs/>
              </w:rPr>
              <w:t>, dolgih do 12 metrov</w:t>
            </w:r>
            <w:r w:rsidRPr="00E70099">
              <w:rPr>
                <w:iCs/>
              </w:rPr>
              <w:t xml:space="preserve">. Nobeno plovilo ne presega dolžine 18 metrov. </w:t>
            </w:r>
            <w:r w:rsidRPr="00397A64">
              <w:rPr>
                <w:iCs/>
              </w:rPr>
              <w:t>V letu 2019</w:t>
            </w:r>
            <w:r>
              <w:rPr>
                <w:iCs/>
              </w:rPr>
              <w:t xml:space="preserve"> j</w:t>
            </w:r>
            <w:r w:rsidRPr="00397A64">
              <w:rPr>
                <w:iCs/>
              </w:rPr>
              <w:t xml:space="preserve">e bilo 58 plovil (41,73 %) krajših od šest metrov, 65 (46,76 %) jih </w:t>
            </w:r>
            <w:r w:rsidRPr="00397A64">
              <w:rPr>
                <w:iCs/>
              </w:rPr>
              <w:lastRenderedPageBreak/>
              <w:t>je bilo v dolžinskem razredu od šest do 12</w:t>
            </w:r>
            <w:r>
              <w:rPr>
                <w:iCs/>
              </w:rPr>
              <w:t xml:space="preserve"> </w:t>
            </w:r>
            <w:r w:rsidRPr="00397A64">
              <w:rPr>
                <w:iCs/>
              </w:rPr>
              <w:t xml:space="preserve">metrov in 16 (11,51 %) v dolžinskem razredu od 12 do 18 metrov. </w:t>
            </w:r>
            <w:r w:rsidRPr="00E70099">
              <w:rPr>
                <w:iCs/>
              </w:rPr>
              <w:t xml:space="preserve">Slovenski ribiči zaradi manjšega iztovora in slabših pogojev za delo iščejo priložnosti za ustvarjanje zaslužka v drugih panogah, kot so turizem, akvakultura in podobno. Na podlagi SWOT analize se je pokazala potreba po ohranitvi in krepitvi ekonomsko, socialno in okoljsko trajnostnih ribolovnih dejavnosti morskih gospodarskih ribičev. </w:t>
            </w:r>
            <w:r>
              <w:rPr>
                <w:iCs/>
              </w:rPr>
              <w:t>S</w:t>
            </w:r>
            <w:r w:rsidRPr="00E70099">
              <w:rPr>
                <w:iCs/>
              </w:rPr>
              <w:t xml:space="preserve">lovenska ribiška flota </w:t>
            </w:r>
            <w:r>
              <w:rPr>
                <w:iCs/>
              </w:rPr>
              <w:t xml:space="preserve">je </w:t>
            </w:r>
            <w:r w:rsidRPr="00E70099">
              <w:rPr>
                <w:iCs/>
              </w:rPr>
              <w:t xml:space="preserve">stara, </w:t>
            </w:r>
            <w:r>
              <w:rPr>
                <w:iCs/>
              </w:rPr>
              <w:t xml:space="preserve">da se zagotovi njen zeleni prehod, pa je treba </w:t>
            </w:r>
            <w:r w:rsidRPr="00E70099">
              <w:rPr>
                <w:iCs/>
              </w:rPr>
              <w:t>omogoči</w:t>
            </w:r>
            <w:r>
              <w:rPr>
                <w:iCs/>
              </w:rPr>
              <w:t>ti</w:t>
            </w:r>
            <w:r w:rsidRPr="00E70099">
              <w:rPr>
                <w:iCs/>
              </w:rPr>
              <w:t xml:space="preserve"> naložbe v plovila, še zlasti za izboljšanje delovnih in zdravstvenih pogojev na krovu, izboljšav pogonskega sistema, okolju bolj prijaznih premazov ter zamenjave ribolovnega orodja z bolj selektivnim. </w:t>
            </w:r>
            <w:r>
              <w:rPr>
                <w:iCs/>
              </w:rPr>
              <w:t xml:space="preserve">Zaradi vse višjih cen goriva, pa tudi za zagotovitev manjšega onesnaževanja in večje energetske učinkovitosti, pa želimo omogočiti tudi zamenjavo glavnega ali pomožnega motorja v okviru specifičnega cilja 1.2 ob izpolnjevanju pogojev iz Uredbe (EU) 2021/1139. </w:t>
            </w:r>
          </w:p>
          <w:p w14:paraId="5181E73D" w14:textId="701085C3" w:rsidR="00D75D12" w:rsidRPr="00E70099" w:rsidRDefault="00D75D12" w:rsidP="00D75D12">
            <w:pPr>
              <w:jc w:val="both"/>
              <w:rPr>
                <w:iCs/>
              </w:rPr>
            </w:pPr>
            <w:r w:rsidRPr="00E70099">
              <w:rPr>
                <w:iCs/>
              </w:rPr>
              <w:t>Zamenjav</w:t>
            </w:r>
            <w:r>
              <w:rPr>
                <w:iCs/>
              </w:rPr>
              <w:t>a</w:t>
            </w:r>
            <w:r w:rsidRPr="00E70099">
              <w:rPr>
                <w:iCs/>
              </w:rPr>
              <w:t xml:space="preserve"> orodja za bolj selektivnega je ključno, če želimo ohraniti vire</w:t>
            </w:r>
            <w:r>
              <w:rPr>
                <w:iCs/>
              </w:rPr>
              <w:t xml:space="preserve"> in prispevati k izboljšanju biotske </w:t>
            </w:r>
            <w:r>
              <w:rPr>
                <w:iCs/>
              </w:rPr>
              <w:lastRenderedPageBreak/>
              <w:t>raznovrstnosti</w:t>
            </w:r>
            <w:r w:rsidRPr="00E70099">
              <w:rPr>
                <w:iCs/>
              </w:rPr>
              <w:t xml:space="preserve">. </w:t>
            </w:r>
            <w:r>
              <w:rPr>
                <w:iCs/>
              </w:rPr>
              <w:t>Temelj zagotavljanja kontinuirane preskrbe s hrano je namreč tudi zeleni prehod – izboljšanje stanja narave in okolja. K temu pa bo poleg bolj selektivnih orodij in ukrepom začasne ukinitev ribolovnih dejavnosti prispevala tudi zamenjava ribolovnega orodja s tistim, ki vsebuje Polyamid 6. Slovenija ima namreč podjetje, locirano nedaleč od obale, ki omogoča</w:t>
            </w:r>
            <w:r w:rsidR="000E21B8">
              <w:rPr>
                <w:iCs/>
              </w:rPr>
              <w:t xml:space="preserve"> </w:t>
            </w:r>
            <w:r>
              <w:rPr>
                <w:iCs/>
              </w:rPr>
              <w:t xml:space="preserve">predelavo </w:t>
            </w:r>
            <w:r w:rsidR="000E21B8">
              <w:rPr>
                <w:iCs/>
              </w:rPr>
              <w:t>takšnih</w:t>
            </w:r>
            <w:r>
              <w:rPr>
                <w:iCs/>
              </w:rPr>
              <w:t xml:space="preserve"> ribolovnih orodij, s čimer se sklene krog: poleg zelenega prehoda (nakupa takšnih ribolovnih orodij) bomo namreč omogočili tudi predelavo teh orodij v najlonske niti, kar bo močno prispevalo k načelom krožnega gospodarstva. Selektivnost prispeva k ohranjanju ribolovnih virov in posredno k ohranjanju biotske raznovrstnosti. </w:t>
            </w:r>
            <w:r w:rsidRPr="00E70099">
              <w:rPr>
                <w:iCs/>
              </w:rPr>
              <w:t xml:space="preserve">To je tudi ena od predlaganih aktivnosti v okviru Analize na ravni morskega bazena, ki jo je pripravila Evropska komisija. Večja selektivnost pa je vključena tudi v priporočilo MEDAC kot ena od aktivnosti s pozitivnim vplivom na okolje. Izvajanje omenjenih naložb bo omogočila aktivnost Konkurenčna in energetsko bolj učinkovita flota na cilju 1.1. </w:t>
            </w:r>
          </w:p>
          <w:p w14:paraId="7F9101F2" w14:textId="77777777" w:rsidR="00D75D12" w:rsidRDefault="00D75D12" w:rsidP="00D75D12">
            <w:pPr>
              <w:jc w:val="both"/>
              <w:rPr>
                <w:iCs/>
              </w:rPr>
            </w:pPr>
          </w:p>
          <w:p w14:paraId="7904AB9A" w14:textId="77777777" w:rsidR="00D75D12" w:rsidRPr="00E70099" w:rsidRDefault="00D75D12" w:rsidP="00D75D12">
            <w:pPr>
              <w:jc w:val="both"/>
              <w:rPr>
                <w:iCs/>
              </w:rPr>
            </w:pPr>
            <w:r w:rsidRPr="00E70099">
              <w:rPr>
                <w:iCs/>
              </w:rPr>
              <w:t>V okviru analize je bila prepoznana potreba po zagotovitvi strokovno-</w:t>
            </w:r>
            <w:r w:rsidRPr="00E70099">
              <w:rPr>
                <w:iCs/>
              </w:rPr>
              <w:lastRenderedPageBreak/>
              <w:t>tehnične pomoči morskim gospodarskim ribičem, in sicer pri pripravi vlog, svetovanju v zvezi s tehnološkim, gospodarskim in okoljevarstvenim področjem opravljanja ribiške dejavnosti, pomočjo pri pripravi in uveljavljanju ukrepov nacionalne in skupne ribiške politike Evropske unije, svetovanje in pomoč pri povezovanju ribičev ter vzpostavitvi in delovanju organizacij proizvajalcev v ribištvu, svetovanje na področju ribiških in z ribištvom povezanih predpisov, predvsem v okviru skupne ribiške politike Evropske unije in različnih mednarodnih organizacij, zastopanju v različnih organizacijah,         povezovanju z drugimi institucijami na področju ribištva, predvsem z vidika prenosa znanja in izkušenj znanstvenih, raziskovalnih in izobraževalnih institucij v prakso, obveščanju o novosti in koordiniranju aktivnosti. To pomoč bomo zagotovili v okviru aktivnosti svetovanje podjetjem v gospodarskem ribolovu na specifičnem cilju 1.1, ki bo zagotovo pripomogla k boljši trajnosti in konkurenčnosti slovenskega ribiškega sektorja, ki potrebuje nova znanja.</w:t>
            </w:r>
          </w:p>
          <w:p w14:paraId="43383B8A" w14:textId="77777777" w:rsidR="00D75D12" w:rsidRPr="00E70099" w:rsidRDefault="00D75D12" w:rsidP="00D75D12">
            <w:pPr>
              <w:jc w:val="both"/>
              <w:rPr>
                <w:iCs/>
              </w:rPr>
            </w:pPr>
            <w:r w:rsidRPr="00E70099">
              <w:rPr>
                <w:iCs/>
              </w:rPr>
              <w:t>V okviru analize</w:t>
            </w:r>
            <w:r>
              <w:rPr>
                <w:iCs/>
              </w:rPr>
              <w:t xml:space="preserve"> pa so ribiči </w:t>
            </w:r>
            <w:r w:rsidRPr="00E70099">
              <w:rPr>
                <w:iCs/>
              </w:rPr>
              <w:t xml:space="preserve"> </w:t>
            </w:r>
            <w:r>
              <w:rPr>
                <w:iCs/>
              </w:rPr>
              <w:t>izrazili tudi</w:t>
            </w:r>
            <w:r w:rsidRPr="00E70099">
              <w:rPr>
                <w:iCs/>
              </w:rPr>
              <w:t xml:space="preserve"> potreb</w:t>
            </w:r>
            <w:r>
              <w:rPr>
                <w:iCs/>
              </w:rPr>
              <w:t>o</w:t>
            </w:r>
            <w:r w:rsidRPr="00E70099">
              <w:rPr>
                <w:iCs/>
              </w:rPr>
              <w:t xml:space="preserve"> po posodobitvi obstoječih ribiških pristanišč za zagotovitev boljših </w:t>
            </w:r>
            <w:r w:rsidRPr="00E70099">
              <w:rPr>
                <w:iCs/>
              </w:rPr>
              <w:lastRenderedPageBreak/>
              <w:t xml:space="preserve">delovnih in trajnostnih pogojev. To bomo omogočili zlasti z nakupom opreme, ki izboljšuje delovne pogoje ribičev (npr. prenosni toaletni prostori, zabojnikov za shranjevanje </w:t>
            </w:r>
            <w:r>
              <w:rPr>
                <w:iCs/>
              </w:rPr>
              <w:t xml:space="preserve">uporabljenega </w:t>
            </w:r>
            <w:r w:rsidRPr="00E70099">
              <w:rPr>
                <w:iCs/>
              </w:rPr>
              <w:t xml:space="preserve">ribolovnega orodja. poleg tega pa še nakup naprav in opreme za povečanje kakovosti, nadzora in sledljivosti iztovorjenih ribiških proizvodov v ribiškem pristanišču (npr. naprav in opreme za čiščenje rib), nakup opreme za sidranje in privezovanje ribiških plovil, nakup različne opreme za izboljšanje delovnih pogojev (hladilnice, tehtnice, delovne mize itd.). Poleg tega pa smo predvideli tudi naložbe za izvajanje obvez, ki izhajajo iz skupne ribiške politike, v primeru prekinitve derogacije, ki jo ima Slovenija pri iztovoru zavržkov. </w:t>
            </w:r>
            <w:r>
              <w:rPr>
                <w:iCs/>
              </w:rPr>
              <w:t xml:space="preserve">V povezavi s tem bo v pristaniščih treba zagotoviti ločeno shranjevanje zavržkov in organizirati ravnanje z njimi. Omenjenim naložbam v pristaniščih </w:t>
            </w:r>
            <w:r w:rsidRPr="00E70099">
              <w:rPr>
                <w:iCs/>
              </w:rPr>
              <w:t xml:space="preserve">bo komplementaren nakup opreme </w:t>
            </w:r>
            <w:r>
              <w:rPr>
                <w:iCs/>
              </w:rPr>
              <w:t xml:space="preserve">(zabojnikov) </w:t>
            </w:r>
            <w:r w:rsidRPr="00E70099">
              <w:rPr>
                <w:iCs/>
              </w:rPr>
              <w:t>za zbiranje morskih odpadkov, ki se bo odvijalo na cilju 1.6.</w:t>
            </w:r>
          </w:p>
          <w:p w14:paraId="5F50FC11" w14:textId="0D1A6E77" w:rsidR="00D75D12" w:rsidRDefault="00D75D12" w:rsidP="00D75D12">
            <w:pPr>
              <w:jc w:val="both"/>
              <w:rPr>
                <w:iCs/>
              </w:rPr>
            </w:pPr>
            <w:r w:rsidRPr="00304A87">
              <w:rPr>
                <w:iCs/>
              </w:rPr>
              <w:t xml:space="preserve">Skladno s Strategijo od vil do vilic si želimo bolje spodbujati kratke prodajne verige v morskem ribištvu. To je sicer z določbami nadzorne uredbe precej omejeno – prodaja direktno </w:t>
            </w:r>
            <w:r w:rsidRPr="00304A87">
              <w:rPr>
                <w:iCs/>
              </w:rPr>
              <w:lastRenderedPageBreak/>
              <w:t xml:space="preserve">registriranemu kupcu </w:t>
            </w:r>
            <w:r w:rsidRPr="009E0D09">
              <w:rPr>
                <w:iCs/>
              </w:rPr>
              <w:t>ali prodaja s čolna sta lahko le do 30 kg. Ta količina se bo z revizijo nadzorne uredbe (Uredbe EU 1224/2009) predvidoma še zmanjšala, a prav zaradi majhnih količin je spodbujanje prodaje in uživanja lokalnih svežih in visoko kakovostnih morskih rib še toliko bolj smiselno.</w:t>
            </w:r>
            <w:r>
              <w:rPr>
                <w:iCs/>
              </w:rPr>
              <w:t xml:space="preserve"> </w:t>
            </w:r>
            <w:r w:rsidR="001E62A9">
              <w:rPr>
                <w:iCs/>
              </w:rPr>
              <w:t>Vzporedno s tem pa je treba iskati tudi rešitve za odpravljanje posledic podnebnih sprememb in krepitev gospodarske trajnosti sektorja.</w:t>
            </w:r>
          </w:p>
          <w:p w14:paraId="40E2F756" w14:textId="77777777" w:rsidR="00D75D12" w:rsidRPr="00E70099" w:rsidRDefault="00D75D12" w:rsidP="00D75D12">
            <w:pPr>
              <w:jc w:val="both"/>
              <w:rPr>
                <w:iCs/>
              </w:rPr>
            </w:pPr>
            <w:r w:rsidRPr="00E70099">
              <w:rPr>
                <w:iCs/>
              </w:rPr>
              <w:t xml:space="preserve">Pravila upravljanja in ohranjanja, poročanje, nadzor in druge obveznosti v zvezi s staleži rib v Jadranskem morju se nenehno povečujejo, tudi zaradi priporočil, sprejetih v okviru GFCM. Med pomembnejšimi priporočili, ki zadevajo Slovenijo, je </w:t>
            </w:r>
            <w:r w:rsidRPr="007B234E">
              <w:rPr>
                <w:iCs/>
              </w:rPr>
              <w:t>Priporočilo za vzpostavitev večletnega načrta za trajnost</w:t>
            </w:r>
            <w:r>
              <w:rPr>
                <w:iCs/>
              </w:rPr>
              <w:t xml:space="preserve">no izkoriščanje malih </w:t>
            </w:r>
            <w:r w:rsidRPr="007B234E">
              <w:rPr>
                <w:iCs/>
              </w:rPr>
              <w:t>pelagičnih staležev v Jadranskem morju (geografske podregije 17 in 18</w:t>
            </w:r>
            <w:r>
              <w:rPr>
                <w:iCs/>
              </w:rPr>
              <w:t>)</w:t>
            </w:r>
            <w:r w:rsidRPr="007B234E">
              <w:rPr>
                <w:iCs/>
              </w:rPr>
              <w:t xml:space="preserve"> ter  Priporočilo GFCM/43/2019/5 glede </w:t>
            </w:r>
            <w:r>
              <w:rPr>
                <w:iCs/>
              </w:rPr>
              <w:t>upravljanja pridnenih staležev. Prvo priporočilo GFCM za male pelagične staleže je p</w:t>
            </w:r>
            <w:r w:rsidRPr="00E70099">
              <w:rPr>
                <w:iCs/>
              </w:rPr>
              <w:t>riporočilo GFCM/37/2013/1</w:t>
            </w:r>
            <w:r>
              <w:rPr>
                <w:iCs/>
              </w:rPr>
              <w:t>, ki</w:t>
            </w:r>
            <w:r w:rsidRPr="00E70099">
              <w:rPr>
                <w:iCs/>
              </w:rPr>
              <w:t xml:space="preserve"> je hkrati prvi večletni načrt (VNU) za upravljanje Sredozemskega morja, ki ga je sprejel GFCM. Z njim je bilo med drugim </w:t>
            </w:r>
            <w:r w:rsidRPr="00E70099">
              <w:rPr>
                <w:iCs/>
              </w:rPr>
              <w:lastRenderedPageBreak/>
              <w:t xml:space="preserve">določeno, da plovila, ki lovijo staleže majhnih pelagičnih vrst (staleže sardel in sardonov), ne smejo biti aktivna več kot 180 dni na leto in največ 20 dni na mesec. Določena je bila najmanjša velikost za sardone 9 cm in za sardele 11 cm. Zaradi neugodnega stanja majhnih pelagičnih staležev so bili na 42. zasedanju GFCM leta 2018 sprejeti nadaljnji nujni ukrepi s sprejetjem Priporočila GFCM/42/2018/8 o nadaljnjih nujnih ukrepih v obdobju 2019–2021 za majhne pelagične staleže v Jadranskem morju (geografski podobmočji 17 in 18). Leta 2019 pa je bil sprejet še večletni načrt upravljanja za ključne pridnene staleže v Jadranskem morju. Slovenska ribiška flota ima veliko plovil, ki lovijo različne vrste v Jadranskem morju. V letu 2021 </w:t>
            </w:r>
            <w:r>
              <w:rPr>
                <w:iCs/>
              </w:rPr>
              <w:t xml:space="preserve">je bila sprejeta </w:t>
            </w:r>
            <w:r w:rsidRPr="00E70099">
              <w:rPr>
                <w:iCs/>
              </w:rPr>
              <w:t>GFCM</w:t>
            </w:r>
            <w:r>
              <w:rPr>
                <w:iCs/>
              </w:rPr>
              <w:t xml:space="preserve"> 2030 strategija za trajnostni ribolov in akvakulturo v Mediteranu in Črnem morju</w:t>
            </w:r>
            <w:r w:rsidRPr="00E70099">
              <w:rPr>
                <w:iCs/>
              </w:rPr>
              <w:t xml:space="preserve">, ki temelji na določbah Deklaracije Med Fish4Ever za Sredozemlje. Ker </w:t>
            </w:r>
            <w:r>
              <w:rPr>
                <w:iCs/>
              </w:rPr>
              <w:t>je</w:t>
            </w:r>
            <w:r w:rsidRPr="00E70099">
              <w:rPr>
                <w:iCs/>
              </w:rPr>
              <w:t xml:space="preserve"> obdobje veljavnosti </w:t>
            </w:r>
            <w:r>
              <w:rPr>
                <w:iCs/>
              </w:rPr>
              <w:t xml:space="preserve">omenjene </w:t>
            </w:r>
            <w:r w:rsidRPr="00E70099">
              <w:rPr>
                <w:iCs/>
              </w:rPr>
              <w:t xml:space="preserve">strategije do 2030, bodo tudi aktivnosti, ki jih bomo izvajali v okviru ESPRA, gotovo prispevale k izvajanju 5 stebrov strategije ter obeh Načrtov upravljanja v Jadranskem morju na podlagi priporočil GFCM (pridneni in pelagični staleži). </w:t>
            </w:r>
            <w:r>
              <w:rPr>
                <w:iCs/>
              </w:rPr>
              <w:lastRenderedPageBreak/>
              <w:t xml:space="preserve">Stanje staležev v Jadranskem morju ni dobro, zato bomo k njihovemu ohranjanju prispevali z začasnimi ukinitvami ribolova. </w:t>
            </w:r>
            <w:r w:rsidRPr="00E70099">
              <w:rPr>
                <w:iCs/>
              </w:rPr>
              <w:t xml:space="preserve">V času zapor ribolova </w:t>
            </w:r>
            <w:r>
              <w:rPr>
                <w:iCs/>
              </w:rPr>
              <w:t xml:space="preserve">pa </w:t>
            </w:r>
            <w:r w:rsidRPr="00E70099">
              <w:rPr>
                <w:iCs/>
              </w:rPr>
              <w:t>želimo ribičem omogočiti socioekonomska nadomestila v okviru cilja 1.3. Izvajanj</w:t>
            </w:r>
            <w:r>
              <w:rPr>
                <w:iCs/>
              </w:rPr>
              <w:t>e</w:t>
            </w:r>
            <w:r w:rsidRPr="00E70099">
              <w:rPr>
                <w:iCs/>
              </w:rPr>
              <w:t xml:space="preserve"> upravljavskih in ohranitvenih ukrepov bo </w:t>
            </w:r>
            <w:r>
              <w:rPr>
                <w:iCs/>
              </w:rPr>
              <w:t xml:space="preserve">zagotovo </w:t>
            </w:r>
            <w:r w:rsidRPr="00E70099">
              <w:rPr>
                <w:iCs/>
              </w:rPr>
              <w:t>prispevalo k večji trajnosti ribolovnih virov</w:t>
            </w:r>
            <w:r>
              <w:rPr>
                <w:iCs/>
              </w:rPr>
              <w:t xml:space="preserve"> in s tem tudi k ohranjanju biotske raznovrstnosti</w:t>
            </w:r>
            <w:r w:rsidRPr="00E70099">
              <w:rPr>
                <w:iCs/>
              </w:rPr>
              <w:t xml:space="preserve">. V okviru te aktivnosti bomo </w:t>
            </w:r>
            <w:r>
              <w:rPr>
                <w:iCs/>
              </w:rPr>
              <w:t xml:space="preserve">izvajali začasna </w:t>
            </w:r>
            <w:r w:rsidRPr="00E70099">
              <w:rPr>
                <w:iCs/>
              </w:rPr>
              <w:t xml:space="preserve"> prenehanja</w:t>
            </w:r>
            <w:r>
              <w:rPr>
                <w:iCs/>
              </w:rPr>
              <w:t xml:space="preserve"> ribolova tudi </w:t>
            </w:r>
            <w:r w:rsidRPr="00E70099">
              <w:rPr>
                <w:iCs/>
              </w:rPr>
              <w:t xml:space="preserve">zaradi </w:t>
            </w:r>
            <w:r w:rsidRPr="00020CDC">
              <w:rPr>
                <w:iCs/>
              </w:rPr>
              <w:t>ukrepov Komisije v primeru resne grožnje morskim biološkim virom iz 12. člena Uredbe (EU) 1380/2013,</w:t>
            </w:r>
            <w:r>
              <w:rPr>
                <w:iCs/>
              </w:rPr>
              <w:t xml:space="preserve"> </w:t>
            </w:r>
            <w:r w:rsidRPr="00020CDC">
              <w:rPr>
                <w:iCs/>
              </w:rPr>
              <w:t>nujnih ukrepov v skladu s 13. členom Uredbe (EU) 1380/2013</w:t>
            </w:r>
            <w:r>
              <w:rPr>
                <w:iCs/>
              </w:rPr>
              <w:t xml:space="preserve">, </w:t>
            </w:r>
            <w:r w:rsidRPr="00E70099">
              <w:rPr>
                <w:iCs/>
              </w:rPr>
              <w:t xml:space="preserve">okoljskih pojavov (npr. prekomeren pojav rebrače ali meduze) ter naravnih nesreč, če so razglašeni s strani odgovornih organov na državni ravni. </w:t>
            </w:r>
          </w:p>
          <w:p w14:paraId="5E376BF1" w14:textId="44E8894B" w:rsidR="00D75D12" w:rsidRPr="00E70099" w:rsidRDefault="00D75D12" w:rsidP="00D75D12">
            <w:pPr>
              <w:jc w:val="both"/>
              <w:rPr>
                <w:iCs/>
              </w:rPr>
            </w:pPr>
            <w:r>
              <w:rPr>
                <w:iCs/>
              </w:rPr>
              <w:t>Za dobro upravljanje s floto in ribolovnimi viri so potrebni kakovostni podatki.  Z</w:t>
            </w:r>
            <w:r w:rsidRPr="00E70099">
              <w:rPr>
                <w:iCs/>
              </w:rPr>
              <w:t>biranja in obdelav</w:t>
            </w:r>
            <w:r>
              <w:rPr>
                <w:iCs/>
              </w:rPr>
              <w:t>a</w:t>
            </w:r>
            <w:r w:rsidRPr="00E70099">
              <w:rPr>
                <w:iCs/>
              </w:rPr>
              <w:t xml:space="preserve"> podatkov za upravljanje ribištva</w:t>
            </w:r>
            <w:r>
              <w:rPr>
                <w:iCs/>
              </w:rPr>
              <w:t xml:space="preserve"> sta tudi obveza v </w:t>
            </w:r>
            <w:r w:rsidR="006A0D09">
              <w:rPr>
                <w:iCs/>
              </w:rPr>
              <w:t>okviru</w:t>
            </w:r>
            <w:r>
              <w:rPr>
                <w:iCs/>
              </w:rPr>
              <w:t xml:space="preserve"> skupne ribiške politike</w:t>
            </w:r>
            <w:r w:rsidRPr="00E70099">
              <w:rPr>
                <w:iCs/>
              </w:rPr>
              <w:t xml:space="preserve">. Zbiranje podatkov bo kot do sedaj usklajeno na regionalnem nivoju ob upoštevanju specifik slovenskega sektorja. Z ESPRA bomo obstoječi sistem zbiranja podatkov še izboljšali z boljšo komunikacijo med </w:t>
            </w:r>
            <w:r w:rsidRPr="00E70099">
              <w:rPr>
                <w:iCs/>
              </w:rPr>
              <w:lastRenderedPageBreak/>
              <w:t xml:space="preserve">Zavodom za ribištvo Slovenije in Ministrstvom, pristojnim za ribištvo, z naložbami v strojno in programsko IT opremo ter z izvajanjem študij, pilotnih projektov, raziskav, vzorčenj, delavnic, prenosom znanja in pripravami podatkov za druge potrebe. Metodologije in podatki, ki se zbirajo, bodo usklajeni na regionalni ravni. </w:t>
            </w:r>
            <w:r>
              <w:rPr>
                <w:iCs/>
              </w:rPr>
              <w:t xml:space="preserve">V okviru te aktivnosti bomo posodobili tudi obstoječe IT sisteme za zbiranje podatkov, prav tako pa podatke, ki jih že zbiramo, nadgradili z novimi podatki, na primer na področju akvakulture. </w:t>
            </w:r>
            <w:r w:rsidRPr="00E70099">
              <w:rPr>
                <w:iCs/>
              </w:rPr>
              <w:t xml:space="preserve">Pomemben del </w:t>
            </w:r>
            <w:r>
              <w:rPr>
                <w:iCs/>
              </w:rPr>
              <w:t xml:space="preserve">skupne ribiške politike, upravljanja z ribolovnimi vir in ribiško floto ter </w:t>
            </w:r>
            <w:r w:rsidRPr="00E70099">
              <w:rPr>
                <w:iCs/>
              </w:rPr>
              <w:t>prve prednostne naloge</w:t>
            </w:r>
            <w:r>
              <w:rPr>
                <w:iCs/>
              </w:rPr>
              <w:t xml:space="preserve"> Unije</w:t>
            </w:r>
            <w:r w:rsidRPr="00E70099">
              <w:rPr>
                <w:iCs/>
              </w:rPr>
              <w:t xml:space="preserve">, vezan na cilj 1.4, </w:t>
            </w:r>
            <w:r>
              <w:rPr>
                <w:iCs/>
              </w:rPr>
              <w:t xml:space="preserve">pa </w:t>
            </w:r>
            <w:r w:rsidRPr="00E70099">
              <w:rPr>
                <w:iCs/>
              </w:rPr>
              <w:t xml:space="preserve">je tudi izvajanje nadzora in izvrševanja. Ker se trenutno veljavni pravni okvir spreminja, smo z vidika zagotavljanja učinkovitega sistema nadzora, inšpekcij in izvrševanja predvideli naložbe na ribiških plovilih (kjer bo to potrebno) ter naložbe za izboljšanje dela ribiške inšpekcije in posodobitev obstoječih (tudi informacijskih) sistemov za uskladitev z novimi nadzornimi zahtevami. Na področju nadzora ribištva je ključno zagotoviti izpolnjevanje obveznosti, ki izhajajo iz nadzornega sistema skupne ribiške politike, prav tako je bistveno </w:t>
            </w:r>
            <w:r w:rsidRPr="00E70099">
              <w:rPr>
                <w:iCs/>
              </w:rPr>
              <w:lastRenderedPageBreak/>
              <w:t xml:space="preserve">zagotoviti izpolnjevanje ter pravočasen odziv na morebitne nove zahteve nadzornega sistema SRP. Poleg tega bo z vidika ustreznega izvajanja nadzornega sistema SRP v Sloveniji pomembno zagotoviti izpolnjevanje obveznosti, ki izhajajo iz poostrenega nadzora staležev, za katere veljajo posebni programi nadzora in inšpekcijskih pregledov. </w:t>
            </w:r>
            <w:r w:rsidRPr="00FB1882">
              <w:rPr>
                <w:iCs/>
              </w:rPr>
              <w:t xml:space="preserve">V obdobju 2021-2027 bo tako predvsem aktualno zagotoviti izpolnitev obveznosti, ki bodo izhajale iz vstopa v veljavo revizije Nadzorne uredbe (1224/2009), kar bo spodbujalo digitalizacijo, še posebej za plovila malega priobalnega ribolova. Z izpolnjevanjem teh obveznosti se bo prispevalo k doseganju največjega trajnostnega donosa staležev, ki jih lovijo slovenski ribiči, in s tem k ciljem evropskega Zelenega dogovora. </w:t>
            </w:r>
            <w:r>
              <w:rPr>
                <w:iCs/>
              </w:rPr>
              <w:t xml:space="preserve">  V okviru naložbenega izboljšanja nadzora bomo med drugim omogočili nakup tehnologij, </w:t>
            </w:r>
            <w:r w:rsidRPr="00FB1882">
              <w:rPr>
                <w:iCs/>
              </w:rPr>
              <w:t>namenjenih izpolnjevanju obveznosti v okviru nadzornega sistema skupne ribiške politike</w:t>
            </w:r>
            <w:r>
              <w:rPr>
                <w:iCs/>
              </w:rPr>
              <w:t>, komponent za</w:t>
            </w:r>
            <w:r w:rsidRPr="008331D2">
              <w:rPr>
                <w:iCs/>
              </w:rPr>
              <w:t xml:space="preserve"> zagotavljanje prenosa podatkov od akterjev, ki sodelujejo pri ribolovu in trženju ribiških proizvodov, zadevnim organom v RS in EU</w:t>
            </w:r>
            <w:r>
              <w:rPr>
                <w:iCs/>
              </w:rPr>
              <w:t xml:space="preserve">, komponent za </w:t>
            </w:r>
            <w:r w:rsidRPr="008331D2">
              <w:rPr>
                <w:iCs/>
              </w:rPr>
              <w:t xml:space="preserve">zagotovitev sledljivosti ribiških </w:t>
            </w:r>
            <w:r w:rsidRPr="008331D2">
              <w:rPr>
                <w:iCs/>
              </w:rPr>
              <w:lastRenderedPageBreak/>
              <w:t>proizvodov in proizvodov iz akvakulture, tudi razvoj elektronskih sistemov za daljinsko spremljanje in nadziranje izvajanja obveznosti iztovarjanja</w:t>
            </w:r>
            <w:r>
              <w:rPr>
                <w:iCs/>
              </w:rPr>
              <w:t>.</w:t>
            </w:r>
          </w:p>
          <w:p w14:paraId="0F34E441" w14:textId="4A0C9363" w:rsidR="00D75D12" w:rsidRDefault="00D75D12" w:rsidP="00D75D12">
            <w:pPr>
              <w:jc w:val="both"/>
            </w:pPr>
            <w:r w:rsidRPr="00E70099">
              <w:rPr>
                <w:iCs/>
              </w:rPr>
              <w:t xml:space="preserve">Poleg upravljavskih ukrepov za varovanje in ohranjanje ribolovnih virov bo treba, Skladno s Strategijo za biotsko raznovrstnost 20230, več napora vložiti v ohranjanje in izboljšanje biotske raznovrstnosti. </w:t>
            </w:r>
            <w:r>
              <w:rPr>
                <w:iCs/>
              </w:rPr>
              <w:t xml:space="preserve">Dobra biotska raznovrstnost, ohranjeni viri in narava, so predpogoj nadaljnjega gospodarskega razvoja. Da na tem področju v predhodni perspektivi ni bilo vloženih dovolj EU sredstev, ugotavlja tudi posebno </w:t>
            </w:r>
            <w:r w:rsidR="00C9242C">
              <w:rPr>
                <w:iCs/>
              </w:rPr>
              <w:t>poročilo</w:t>
            </w:r>
            <w:r>
              <w:rPr>
                <w:iCs/>
              </w:rPr>
              <w:t xml:space="preserve"> Evropskega računskega sodišča Morsko okolje: zaščita EU je obsežna, vendar ni poglobljena. Zato je </w:t>
            </w:r>
            <w:r w:rsidR="00C9242C">
              <w:rPr>
                <w:iCs/>
              </w:rPr>
              <w:t>izvajanje</w:t>
            </w:r>
            <w:r>
              <w:rPr>
                <w:iCs/>
              </w:rPr>
              <w:t xml:space="preserve"> Strategije za biotsko raznovrstnost v okviru tega cilja zelo pomembno.  Iz načrta upravljanja z morskim okoljem, ki je pripravljen za obdobje 2021-2027 n</w:t>
            </w:r>
            <w:r w:rsidRPr="00A8268F">
              <w:rPr>
                <w:iCs/>
              </w:rPr>
              <w:t>a podlagi obstoječih podatkov in prvega vrednotenja stanja morskega okolja</w:t>
            </w:r>
            <w:r>
              <w:rPr>
                <w:iCs/>
              </w:rPr>
              <w:t xml:space="preserve">, izhaja, da </w:t>
            </w:r>
            <w:r w:rsidRPr="00A8268F">
              <w:rPr>
                <w:iCs/>
              </w:rPr>
              <w:t xml:space="preserve">je za raven vrst v drugi presoji stanja na morsko okolje ocenjeno stanje morskega okolja kot dobro, vendar je stopnja zanesljivosti ocene nizka. </w:t>
            </w:r>
            <w:r>
              <w:rPr>
                <w:iCs/>
              </w:rPr>
              <w:t>S</w:t>
            </w:r>
            <w:r w:rsidRPr="00A8268F">
              <w:rPr>
                <w:iCs/>
              </w:rPr>
              <w:t xml:space="preserve">tanje bentoških habitatov </w:t>
            </w:r>
            <w:r>
              <w:rPr>
                <w:iCs/>
              </w:rPr>
              <w:t xml:space="preserve">je </w:t>
            </w:r>
            <w:r w:rsidRPr="00A8268F">
              <w:rPr>
                <w:iCs/>
              </w:rPr>
              <w:t xml:space="preserve">dobro, medtem ko je stanje mediolitoralnih habitatov slabo, ker se ti habitati zaradi antropogenih </w:t>
            </w:r>
            <w:r w:rsidRPr="00A8268F">
              <w:rPr>
                <w:iCs/>
              </w:rPr>
              <w:lastRenderedPageBreak/>
              <w:t>posegov krčijo. Biotska raznovrstnost je zelo kompleksen deskriptor</w:t>
            </w:r>
            <w:r>
              <w:rPr>
                <w:iCs/>
              </w:rPr>
              <w:t xml:space="preserve"> na podlagi </w:t>
            </w:r>
            <w:r w:rsidRPr="00A8268F">
              <w:rPr>
                <w:iCs/>
              </w:rPr>
              <w:t>Direktiv</w:t>
            </w:r>
            <w:r>
              <w:rPr>
                <w:iCs/>
              </w:rPr>
              <w:t>e</w:t>
            </w:r>
            <w:r w:rsidRPr="00A8268F">
              <w:rPr>
                <w:iCs/>
              </w:rPr>
              <w:t xml:space="preserve"> 2008/56/ES</w:t>
            </w:r>
            <w:r>
              <w:rPr>
                <w:iCs/>
              </w:rPr>
              <w:t xml:space="preserve"> </w:t>
            </w:r>
            <w:r w:rsidRPr="00A8268F">
              <w:rPr>
                <w:iCs/>
              </w:rPr>
              <w:t>in združuje deskriptorje: biotska raznovrstnost (D1), ribji stalež – komercialne vrste rib in lupinarjev (D3), elementi prehranjevalnih spletov (D4), neporočenost morskega dna (D6) in hidrografske razmere (D7).</w:t>
            </w:r>
            <w:r>
              <w:rPr>
                <w:iCs/>
              </w:rPr>
              <w:t xml:space="preserve"> </w:t>
            </w:r>
            <w:r w:rsidRPr="00E70099">
              <w:rPr>
                <w:iCs/>
              </w:rPr>
              <w:t xml:space="preserve">V okviru aktivnosti Varovanje in obnavljanje vodne in morske biotske raznovrstnosti želimo okrepiti sodelovanje ribiškega sektorja z znanstveno-raziskovalnim; </w:t>
            </w:r>
            <w:r>
              <w:rPr>
                <w:iCs/>
              </w:rPr>
              <w:t xml:space="preserve">v tem kontekstu </w:t>
            </w:r>
            <w:r w:rsidRPr="00E70099">
              <w:rPr>
                <w:iCs/>
              </w:rPr>
              <w:t>načrtujemo izvedbo projekta pasivnega zbiranja odpadlega ribolovnega orodja in morskih odpadkov iz morja</w:t>
            </w:r>
            <w:r>
              <w:rPr>
                <w:iCs/>
              </w:rPr>
              <w:t xml:space="preserve">. </w:t>
            </w:r>
            <w:r w:rsidRPr="00E70099">
              <w:rPr>
                <w:iCs/>
              </w:rPr>
              <w:t xml:space="preserve">V sodelovanju z Ministrstvom za okolje in prostor bodo pripravljene ustrezne podlage za celovito izvedbo projekta, tj. prenosa znanj med ribiči in znanstveniki, osveščanje javnosti o koristih vloge ribičev v projektu, plačila nadomestil ribičem za sodelovanje v projektu, promocija projekta, zbiranje in selekcija tako zbranih odpadkov ter, če bo to mogoče, reciklaža tako zbrane ribolovne opreme, kar bi močno prispevalo k t. i. modrim tehnologijam. V Sloveniji namreč imamo podjetje, ki se ukvarja s tehnologijo reciklaže mrež, vendar le tistih, ki so izdelane iz </w:t>
            </w:r>
            <w:r w:rsidRPr="00E70099">
              <w:rPr>
                <w:iCs/>
              </w:rPr>
              <w:lastRenderedPageBreak/>
              <w:t>materiala polyamid 6</w:t>
            </w:r>
            <w:r>
              <w:rPr>
                <w:iCs/>
              </w:rPr>
              <w:t>, in sicer v najlonske niti, ki se nato uporabijo na primer za športna oblačila</w:t>
            </w:r>
            <w:r w:rsidRPr="00E70099">
              <w:rPr>
                <w:iCs/>
              </w:rPr>
              <w:t xml:space="preserve">. Recikliranje odpadlih materialov je tudi eno od ključnih načel krožnega gospodarstva, kot pomemben del Zelenega dogovora 2050. </w:t>
            </w:r>
            <w:r>
              <w:rPr>
                <w:iCs/>
              </w:rPr>
              <w:t xml:space="preserve">Manjšo onesnaženost okolja in narave dosegamo ne le z njunim ohranjanjem, pač pa tudi z zmanjševanjem odpadkov oziroma sledenjem načelu »zero waste«. </w:t>
            </w:r>
            <w:r w:rsidRPr="00E70099">
              <w:rPr>
                <w:iCs/>
              </w:rPr>
              <w:t>Izkušnje s podobnimi projekti v Sloveniji že imamo</w:t>
            </w:r>
            <w:r>
              <w:rPr>
                <w:iCs/>
              </w:rPr>
              <w:t xml:space="preserve">, na primer </w:t>
            </w:r>
            <w:r w:rsidRPr="00E70099">
              <w:rPr>
                <w:iCs/>
              </w:rPr>
              <w:t xml:space="preserve"> v okviru projekta DeFishGear</w:t>
            </w:r>
            <w:r>
              <w:rPr>
                <w:iCs/>
              </w:rPr>
              <w:t xml:space="preserve">. </w:t>
            </w:r>
            <w:r w:rsidRPr="00E70099">
              <w:rPr>
                <w:iCs/>
              </w:rPr>
              <w:t xml:space="preserve">Podatki, ki bodo zbrani v okviru tega projekta, bodo prispevali </w:t>
            </w:r>
            <w:r>
              <w:rPr>
                <w:iCs/>
              </w:rPr>
              <w:t>ne le</w:t>
            </w:r>
            <w:r w:rsidRPr="00E70099">
              <w:rPr>
                <w:iCs/>
              </w:rPr>
              <w:t xml:space="preserve"> k izvajanju Direktive 2008/56 in spremljanju izvajanja Načrta upravljanja z morskim okoljem v RS</w:t>
            </w:r>
            <w:r>
              <w:rPr>
                <w:iCs/>
              </w:rPr>
              <w:t>, pač pa tudi k izvajanju t. i. SUP Direktive (Direktiva EU) 2019/904)</w:t>
            </w:r>
            <w:r w:rsidRPr="00E70099">
              <w:rPr>
                <w:iCs/>
              </w:rPr>
              <w:t xml:space="preserve">. </w:t>
            </w:r>
            <w:r>
              <w:rPr>
                <w:iCs/>
              </w:rPr>
              <w:t xml:space="preserve">V </w:t>
            </w:r>
            <w:r w:rsidRPr="00E70099">
              <w:rPr>
                <w:iCs/>
              </w:rPr>
              <w:t xml:space="preserve">okviru aktivnosti Varovanja in obnavljanja vodne in morske biotske raznovrstnosti </w:t>
            </w:r>
            <w:r>
              <w:rPr>
                <w:iCs/>
              </w:rPr>
              <w:t xml:space="preserve">bomo </w:t>
            </w:r>
            <w:r w:rsidRPr="00E70099">
              <w:rPr>
                <w:iCs/>
              </w:rPr>
              <w:t xml:space="preserve">izvedli tudi spremljanje stanja in stopnje obremenjenosti habitatnih tipov na podlagi meril, kazalnikov in parametrov iz Sklepa </w:t>
            </w:r>
            <w:r>
              <w:rPr>
                <w:iCs/>
              </w:rPr>
              <w:t xml:space="preserve">Komisije (EU) št. </w:t>
            </w:r>
            <w:r w:rsidRPr="00E70099">
              <w:rPr>
                <w:iCs/>
              </w:rPr>
              <w:t xml:space="preserve">2017/848 ter spremljanje stanja in stopnje obremenitve vrst morskih organizmov na podlagi meril, kazalnikov in parametrov iz </w:t>
            </w:r>
            <w:r>
              <w:rPr>
                <w:iCs/>
              </w:rPr>
              <w:t>omenjenega sklepa.</w:t>
            </w:r>
            <w:r w:rsidRPr="00E70099">
              <w:rPr>
                <w:iCs/>
              </w:rPr>
              <w:t xml:space="preserve">. </w:t>
            </w:r>
            <w:r>
              <w:rPr>
                <w:iCs/>
              </w:rPr>
              <w:t>Pridobili</w:t>
            </w:r>
            <w:r w:rsidRPr="00E70099">
              <w:rPr>
                <w:iCs/>
              </w:rPr>
              <w:t xml:space="preserve"> bomo tudi </w:t>
            </w:r>
            <w:r>
              <w:rPr>
                <w:iCs/>
              </w:rPr>
              <w:t>podatke</w:t>
            </w:r>
            <w:r w:rsidRPr="00E70099">
              <w:rPr>
                <w:iCs/>
              </w:rPr>
              <w:t xml:space="preserve"> o medsebojnih vplivih oziroma pritiskih dejavnosti na morju na </w:t>
            </w:r>
            <w:r w:rsidRPr="00E70099">
              <w:rPr>
                <w:iCs/>
              </w:rPr>
              <w:lastRenderedPageBreak/>
              <w:t>habitate oziroma na stanje morskega okolja</w:t>
            </w:r>
            <w:r>
              <w:rPr>
                <w:iCs/>
              </w:rPr>
              <w:t xml:space="preserve">, </w:t>
            </w:r>
            <w:r w:rsidRPr="00E70099">
              <w:rPr>
                <w:iCs/>
              </w:rPr>
              <w:t>pregled</w:t>
            </w:r>
            <w:r>
              <w:rPr>
                <w:iCs/>
              </w:rPr>
              <w:t>ali</w:t>
            </w:r>
            <w:r w:rsidRPr="00E70099">
              <w:rPr>
                <w:iCs/>
              </w:rPr>
              <w:t xml:space="preserve"> vse priobaln</w:t>
            </w:r>
            <w:r>
              <w:rPr>
                <w:iCs/>
              </w:rPr>
              <w:t>e</w:t>
            </w:r>
            <w:r w:rsidRPr="00E70099">
              <w:rPr>
                <w:iCs/>
              </w:rPr>
              <w:t xml:space="preserve"> habitatn</w:t>
            </w:r>
            <w:r>
              <w:rPr>
                <w:iCs/>
              </w:rPr>
              <w:t>e</w:t>
            </w:r>
            <w:r w:rsidRPr="00E70099">
              <w:rPr>
                <w:iCs/>
              </w:rPr>
              <w:t xml:space="preserve"> tip</w:t>
            </w:r>
            <w:r>
              <w:rPr>
                <w:iCs/>
              </w:rPr>
              <w:t>e</w:t>
            </w:r>
            <w:r w:rsidRPr="00E70099">
              <w:rPr>
                <w:iCs/>
              </w:rPr>
              <w:t xml:space="preserve"> na relaciji Koper-Izola</w:t>
            </w:r>
            <w:r>
              <w:rPr>
                <w:iCs/>
              </w:rPr>
              <w:t>, pridobili podatke o stanju tujerodnih vrst v slovenskem morju in povezanosti njihove pojavnosti s školjčišči ter prispevali k boljši povezanosti morskih ekosistemov v prostorskem smislu, poleg tega pa tudi s predlogi rab in dejavnosti na območjih, pomembnih za ohranjanje narave</w:t>
            </w:r>
            <w:r w:rsidRPr="00E70099">
              <w:rPr>
                <w:iCs/>
              </w:rPr>
              <w:t xml:space="preserve">. K </w:t>
            </w:r>
            <w:r>
              <w:rPr>
                <w:iCs/>
              </w:rPr>
              <w:t xml:space="preserve">izboljšanju upravljanja vseh zavarovanih območij (v slovenskem morju imamo poleg območij NATURA 2000 tudi ribolovne rezervate, in 2 krajinska parka; ribolov v rezervatih je prepovedan, v kraijnskih parkih pa se </w:t>
            </w:r>
            <w:r w:rsidR="006A0D09">
              <w:rPr>
                <w:iCs/>
              </w:rPr>
              <w:t>lahko</w:t>
            </w:r>
            <w:r>
              <w:rPr>
                <w:iCs/>
              </w:rPr>
              <w:t xml:space="preserve"> </w:t>
            </w:r>
            <w:r w:rsidR="006A0D09">
              <w:rPr>
                <w:iCs/>
              </w:rPr>
              <w:t>izvaja</w:t>
            </w:r>
            <w:r>
              <w:rPr>
                <w:iCs/>
              </w:rPr>
              <w:t xml:space="preserve"> le v določenih </w:t>
            </w:r>
            <w:r w:rsidR="006A0D09">
              <w:rPr>
                <w:iCs/>
              </w:rPr>
              <w:t>časovnih</w:t>
            </w:r>
            <w:r>
              <w:rPr>
                <w:iCs/>
              </w:rPr>
              <w:t xml:space="preserve"> območjih in pod pogoji, ki jih določi upravljalec). Aktivnosti, ki se bodo izvajale na cilju 1.6,</w:t>
            </w:r>
            <w:r w:rsidR="00C9242C">
              <w:rPr>
                <w:iCs/>
              </w:rPr>
              <w:t xml:space="preserve"> </w:t>
            </w:r>
            <w:r w:rsidRPr="00E70099">
              <w:rPr>
                <w:iCs/>
              </w:rPr>
              <w:t>bodo prispeval</w:t>
            </w:r>
            <w:r>
              <w:rPr>
                <w:iCs/>
              </w:rPr>
              <w:t xml:space="preserve">e </w:t>
            </w:r>
            <w:r w:rsidRPr="00E70099">
              <w:rPr>
                <w:iCs/>
              </w:rPr>
              <w:t xml:space="preserve"> </w:t>
            </w:r>
            <w:r>
              <w:rPr>
                <w:iCs/>
              </w:rPr>
              <w:t>k izboljšanju</w:t>
            </w:r>
            <w:r w:rsidR="00C9242C">
              <w:rPr>
                <w:iCs/>
              </w:rPr>
              <w:t xml:space="preserve"> </w:t>
            </w:r>
            <w:r w:rsidRPr="00E70099">
              <w:rPr>
                <w:iCs/>
              </w:rPr>
              <w:t xml:space="preserve">upravljanja z </w:t>
            </w:r>
            <w:r>
              <w:rPr>
                <w:iCs/>
              </w:rPr>
              <w:t xml:space="preserve">vsemi zavarovanimi </w:t>
            </w:r>
            <w:r w:rsidRPr="00E70099">
              <w:rPr>
                <w:iCs/>
              </w:rPr>
              <w:t xml:space="preserve">območji </w:t>
            </w:r>
            <w:r>
              <w:rPr>
                <w:iCs/>
              </w:rPr>
              <w:t xml:space="preserve">na morju ter  </w:t>
            </w:r>
            <w:r w:rsidRPr="00E70099">
              <w:rPr>
                <w:iCs/>
              </w:rPr>
              <w:t>NATURA 2000 ter izvajanja prednostnega okvira ukrepanja</w:t>
            </w:r>
            <w:r>
              <w:rPr>
                <w:iCs/>
              </w:rPr>
              <w:t xml:space="preserve"> za območja NATURA 2000</w:t>
            </w:r>
            <w:r w:rsidRPr="00E70099">
              <w:rPr>
                <w:iCs/>
              </w:rPr>
              <w:t>. Trenutno so zavarovani 3 odstotki slovenskega morja. V okviru Pomorskega prostorskega plana RS, ki je v pripravi, je predviden</w:t>
            </w:r>
            <w:r>
              <w:rPr>
                <w:iCs/>
              </w:rPr>
              <w:t xml:space="preserve">a širitev obstoječih zavarovanih območij; ESPRA bo prispevala tudi k vzpostavitvi novega </w:t>
            </w:r>
            <w:r>
              <w:rPr>
                <w:iCs/>
              </w:rPr>
              <w:lastRenderedPageBreak/>
              <w:t>zavarovanega območja</w:t>
            </w:r>
            <w:r w:rsidRPr="00E70099">
              <w:rPr>
                <w:iCs/>
              </w:rPr>
              <w:t xml:space="preserve">, kjer bo prepovedan ribolov </w:t>
            </w:r>
            <w:r>
              <w:rPr>
                <w:iCs/>
              </w:rPr>
              <w:t>s</w:t>
            </w:r>
            <w:r w:rsidRPr="00E70099">
              <w:rPr>
                <w:iCs/>
              </w:rPr>
              <w:t xml:space="preserve"> pridnenimi vlečnimi mrežami tipa tartana. To bo pripomoglo k izpolnjevanju enega od ciljev Strategije za biotsko raznovrstnost 2030, tj. zavarovanje kar 30 % EU morij do leta 2030. ESPRA bo prispevala tudi k izboljšanju stanja celinskih voda: na podlagi ukrepov iz 11. člena Direktive 2000/60 bomo </w:t>
            </w:r>
            <w:r>
              <w:rPr>
                <w:iCs/>
              </w:rPr>
              <w:t xml:space="preserve">pridobili podatke, potrebne </w:t>
            </w:r>
            <w:r w:rsidRPr="00E70099">
              <w:rPr>
                <w:iCs/>
              </w:rPr>
              <w:t xml:space="preserve">za določitev prioritet </w:t>
            </w:r>
            <w:r>
              <w:rPr>
                <w:iCs/>
              </w:rPr>
              <w:t>pri</w:t>
            </w:r>
            <w:r w:rsidRPr="00E70099">
              <w:rPr>
                <w:iCs/>
              </w:rPr>
              <w:t xml:space="preserve"> vzpostav</w:t>
            </w:r>
            <w:r>
              <w:rPr>
                <w:iCs/>
              </w:rPr>
              <w:t>ljanju</w:t>
            </w:r>
            <w:r w:rsidRPr="00E70099">
              <w:rPr>
                <w:iCs/>
              </w:rPr>
              <w:t xml:space="preserve"> prehodnosti za vodne organizme na obstoječih prečnih objektih in</w:t>
            </w:r>
            <w:r>
              <w:rPr>
                <w:iCs/>
              </w:rPr>
              <w:t xml:space="preserve"> podatke za</w:t>
            </w:r>
            <w:r w:rsidRPr="00E70099">
              <w:rPr>
                <w:iCs/>
              </w:rPr>
              <w:t xml:space="preserve"> pripravo projektne dokumentacije za izvedbo prehodov za ribje organizme na izbranih prioritetnih prečnih objektih Jadranskega vodnega območja. MEDAC, Mediteranski svetovalni svet, je marca 2021 izdal priporočila glede lajšanja posledic podnebnih sprememb; le-te so zelo povezane s premajhno selektivnostjo ribolovnih tehnik, prevelikim količinami odpadkov in mikroplastike v morju, porastom tujerodnih vrst in kopičenjem CO2, spremembami slanosti, kar vpliva tudi na spremembe pojavnosti komercialnih ribolovnih vrst: sestava pridnenih združb se je v sredozemskih regijah v zadnjih desetletjih spremenila z večjim prispevkom toplovodnih vrst, ki </w:t>
            </w:r>
            <w:r w:rsidRPr="00E70099">
              <w:rPr>
                <w:iCs/>
              </w:rPr>
              <w:lastRenderedPageBreak/>
              <w:t>postopoma kolonizirajo severna območja, sočasno z regresijo hladnovodnih vrst. Izbrane aktivnosti na 1. prednostni nalogi Unije zato prispevajo k izpolnjevanju priporočila.</w:t>
            </w:r>
          </w:p>
          <w:p w14:paraId="7388AC23" w14:textId="4B593EB0" w:rsidR="00B351E2" w:rsidRPr="00D86A66" w:rsidRDefault="00B351E2" w:rsidP="001042E7">
            <w:pPr>
              <w:autoSpaceDE w:val="0"/>
              <w:autoSpaceDN w:val="0"/>
              <w:adjustRightInd w:val="0"/>
              <w:jc w:val="both"/>
              <w:rPr>
                <w:rFonts w:cs="Arial"/>
                <w:iCs/>
                <w:noProof/>
                <w:szCs w:val="20"/>
              </w:rPr>
            </w:pPr>
          </w:p>
        </w:tc>
      </w:tr>
      <w:tr w:rsidR="00B351E2" w:rsidRPr="00ED4628" w14:paraId="034C014C" w14:textId="77777777" w:rsidTr="000A4DE5">
        <w:trPr>
          <w:trHeight w:val="39"/>
        </w:trPr>
        <w:tc>
          <w:tcPr>
            <w:tcW w:w="0" w:type="auto"/>
            <w:vMerge/>
            <w:shd w:val="clear" w:color="auto" w:fill="auto"/>
          </w:tcPr>
          <w:p w14:paraId="17BCD635" w14:textId="77777777" w:rsidR="00B351E2" w:rsidRPr="00147CC6" w:rsidRDefault="00B351E2" w:rsidP="00B351E2">
            <w:pPr>
              <w:spacing w:line="276" w:lineRule="auto"/>
              <w:rPr>
                <w:rFonts w:cs="Arial"/>
                <w:b/>
                <w:iCs/>
                <w:noProof/>
                <w:szCs w:val="20"/>
              </w:rPr>
            </w:pPr>
          </w:p>
        </w:tc>
        <w:tc>
          <w:tcPr>
            <w:tcW w:w="0" w:type="auto"/>
            <w:vMerge/>
            <w:shd w:val="clear" w:color="auto" w:fill="auto"/>
          </w:tcPr>
          <w:p w14:paraId="4272661A" w14:textId="77777777" w:rsidR="00B351E2" w:rsidRPr="00147CC6" w:rsidRDefault="00B351E2" w:rsidP="00B351E2">
            <w:pPr>
              <w:spacing w:line="276" w:lineRule="auto"/>
              <w:rPr>
                <w:rFonts w:cs="Arial"/>
                <w:i/>
                <w:iCs/>
                <w:noProof/>
                <w:szCs w:val="20"/>
              </w:rPr>
            </w:pPr>
          </w:p>
        </w:tc>
        <w:tc>
          <w:tcPr>
            <w:tcW w:w="5344" w:type="dxa"/>
            <w:shd w:val="clear" w:color="auto" w:fill="auto"/>
          </w:tcPr>
          <w:p w14:paraId="39C3CBC9" w14:textId="77777777" w:rsidR="00B351E2" w:rsidRPr="003A07A3" w:rsidRDefault="00B351E2" w:rsidP="00B351E2">
            <w:pPr>
              <w:tabs>
                <w:tab w:val="left" w:pos="2814"/>
              </w:tabs>
              <w:spacing w:line="276" w:lineRule="auto"/>
              <w:rPr>
                <w:rFonts w:cs="Arial"/>
                <w:b/>
                <w:iCs/>
                <w:noProof/>
                <w:szCs w:val="20"/>
              </w:rPr>
            </w:pPr>
            <w:r w:rsidRPr="003A07A3">
              <w:rPr>
                <w:rFonts w:cs="Arial"/>
                <w:b/>
                <w:iCs/>
                <w:noProof/>
                <w:szCs w:val="20"/>
              </w:rPr>
              <w:t>Slabosti</w:t>
            </w:r>
          </w:p>
          <w:p w14:paraId="276DBDC8" w14:textId="77777777" w:rsidR="00B351E2" w:rsidRPr="00BA1BDF" w:rsidRDefault="00B351E2" w:rsidP="00B351E2">
            <w:pPr>
              <w:tabs>
                <w:tab w:val="left" w:pos="2814"/>
              </w:tabs>
              <w:spacing w:line="276" w:lineRule="auto"/>
              <w:jc w:val="both"/>
              <w:rPr>
                <w:i/>
                <w:u w:val="single"/>
              </w:rPr>
            </w:pPr>
            <w:r w:rsidRPr="00BA1BDF">
              <w:rPr>
                <w:i/>
                <w:u w:val="single"/>
              </w:rPr>
              <w:t>Morski gospodarski ribolov</w:t>
            </w:r>
          </w:p>
          <w:p w14:paraId="2F9324FD" w14:textId="3DFA79A0" w:rsidR="00BA1BDF" w:rsidRPr="00BA1BDF" w:rsidRDefault="00BA1BDF" w:rsidP="00F96204">
            <w:pPr>
              <w:pStyle w:val="Brezrazmikov"/>
              <w:numPr>
                <w:ilvl w:val="0"/>
                <w:numId w:val="12"/>
              </w:numPr>
            </w:pPr>
            <w:r w:rsidRPr="00BA1BDF">
              <w:t>stara ribiška flota z zastarelo opremo in motorji (2</w:t>
            </w:r>
            <w:r w:rsidR="00DF7F1E">
              <w:t>,6</w:t>
            </w:r>
            <w:r w:rsidRPr="00BA1BDF">
              <w:t>)</w:t>
            </w:r>
          </w:p>
          <w:p w14:paraId="3AFECBC3" w14:textId="50B6C71C" w:rsidR="00BA1BDF" w:rsidRPr="00BA1BDF" w:rsidRDefault="00BA1BDF" w:rsidP="00F96204">
            <w:pPr>
              <w:pStyle w:val="Brezrazmikov"/>
              <w:numPr>
                <w:ilvl w:val="0"/>
                <w:numId w:val="12"/>
              </w:numPr>
            </w:pPr>
            <w:r w:rsidRPr="00BA1BDF">
              <w:lastRenderedPageBreak/>
              <w:t>slab socialno-ekonomski in konkurenčni položaj ribičev (2, 4</w:t>
            </w:r>
            <w:r w:rsidR="00DF7F1E">
              <w:t>, 5</w:t>
            </w:r>
            <w:r w:rsidRPr="00BA1BDF">
              <w:t>)</w:t>
            </w:r>
          </w:p>
          <w:p w14:paraId="5BDBC71D" w14:textId="77777777" w:rsidR="00BA1BDF" w:rsidRPr="001C6CA0" w:rsidRDefault="00BA1BDF" w:rsidP="00F96204">
            <w:pPr>
              <w:pStyle w:val="Brezrazmikov"/>
              <w:numPr>
                <w:ilvl w:val="0"/>
                <w:numId w:val="12"/>
              </w:numPr>
            </w:pPr>
            <w:r w:rsidRPr="00BA1BDF">
              <w:t xml:space="preserve">slaba izmenjava znanj med ribiči in znanstvenimi ter </w:t>
            </w:r>
            <w:r w:rsidRPr="001C6CA0">
              <w:t>naravovarstvenimi organizacijami (7)</w:t>
            </w:r>
          </w:p>
          <w:p w14:paraId="1972841F" w14:textId="04BFF6E4" w:rsidR="00BA1BDF" w:rsidRPr="001C6CA0" w:rsidRDefault="00BA1BDF" w:rsidP="00F96204">
            <w:pPr>
              <w:pStyle w:val="Brezrazmikov"/>
              <w:numPr>
                <w:ilvl w:val="0"/>
                <w:numId w:val="13"/>
              </w:numPr>
            </w:pPr>
            <w:r w:rsidRPr="009128AD">
              <w:t>negativni vplivi izvajanja ribolova na  vrste ter morske habitate (1)</w:t>
            </w:r>
          </w:p>
          <w:p w14:paraId="59693B88" w14:textId="3E11DDCF" w:rsidR="009D490A" w:rsidRPr="001C6CA0" w:rsidRDefault="009D490A" w:rsidP="009D490A">
            <w:pPr>
              <w:pStyle w:val="Odstavekseznama"/>
              <w:numPr>
                <w:ilvl w:val="0"/>
                <w:numId w:val="13"/>
              </w:numPr>
              <w:rPr>
                <w:rFonts w:eastAsia="Times New Roman" w:cs="Times New Roman"/>
                <w:szCs w:val="24"/>
                <w:lang w:eastAsia="en-US"/>
              </w:rPr>
            </w:pPr>
            <w:r w:rsidRPr="001C6CA0">
              <w:rPr>
                <w:rFonts w:eastAsia="Times New Roman" w:cs="Times New Roman"/>
                <w:szCs w:val="24"/>
                <w:lang w:eastAsia="en-US"/>
              </w:rPr>
              <w:t>prekomerna izkoriščenost znanstveno ocenjenih ribolovnih virov kot grožnja biotski raznovrstnosti  v Jadranu, prelov sardele in sardona ter slabo stanje ostalih gospodarskih vrst</w:t>
            </w:r>
            <w:r w:rsidR="00737AEB">
              <w:rPr>
                <w:rFonts w:eastAsia="Times New Roman" w:cs="Times New Roman"/>
                <w:szCs w:val="24"/>
                <w:lang w:eastAsia="en-US"/>
              </w:rPr>
              <w:t xml:space="preserve"> (2)</w:t>
            </w:r>
          </w:p>
          <w:p w14:paraId="7174DE20" w14:textId="6ACE7EB4" w:rsidR="009D490A" w:rsidRPr="001C6CA0" w:rsidRDefault="009D490A" w:rsidP="009D490A">
            <w:pPr>
              <w:pStyle w:val="Odstavekseznama"/>
              <w:numPr>
                <w:ilvl w:val="0"/>
                <w:numId w:val="13"/>
              </w:numPr>
              <w:rPr>
                <w:rFonts w:eastAsia="Times New Roman" w:cs="Times New Roman"/>
                <w:szCs w:val="24"/>
                <w:lang w:eastAsia="en-US"/>
              </w:rPr>
            </w:pPr>
            <w:r w:rsidRPr="001C6CA0">
              <w:rPr>
                <w:rFonts w:eastAsia="Times New Roman" w:cs="Times New Roman"/>
                <w:szCs w:val="24"/>
                <w:lang w:eastAsia="en-US"/>
              </w:rPr>
              <w:t xml:space="preserve">ribolovna </w:t>
            </w:r>
            <w:r w:rsidR="001C6CA0" w:rsidRPr="008E6BB7">
              <w:rPr>
                <w:rFonts w:eastAsia="Times New Roman" w:cs="Times New Roman"/>
                <w:szCs w:val="24"/>
                <w:lang w:eastAsia="en-US"/>
              </w:rPr>
              <w:t xml:space="preserve"> </w:t>
            </w:r>
            <w:r w:rsidRPr="001C6CA0">
              <w:rPr>
                <w:rFonts w:eastAsia="Times New Roman" w:cs="Times New Roman"/>
                <w:szCs w:val="24"/>
                <w:lang w:eastAsia="en-US"/>
              </w:rPr>
              <w:t>orodja se ne reciklirajo</w:t>
            </w:r>
            <w:r w:rsidR="001C6CA0" w:rsidRPr="008E6BB7">
              <w:rPr>
                <w:rFonts w:eastAsia="Times New Roman" w:cs="Times New Roman"/>
                <w:szCs w:val="24"/>
                <w:lang w:eastAsia="en-US"/>
              </w:rPr>
              <w:t xml:space="preserve">, </w:t>
            </w:r>
            <w:r w:rsidR="001833AC" w:rsidRPr="001C6CA0">
              <w:rPr>
                <w:rFonts w:eastAsia="Times New Roman" w:cs="Times New Roman"/>
                <w:szCs w:val="24"/>
                <w:lang w:eastAsia="en-US"/>
              </w:rPr>
              <w:t xml:space="preserve">če ne vsebujejo </w:t>
            </w:r>
            <w:r w:rsidR="001C6CA0" w:rsidRPr="008E6BB7">
              <w:rPr>
                <w:rFonts w:eastAsia="Times New Roman" w:cs="Times New Roman"/>
                <w:szCs w:val="24"/>
                <w:lang w:eastAsia="en-US"/>
              </w:rPr>
              <w:t>Polyamid 6</w:t>
            </w:r>
            <w:r w:rsidR="00737AEB">
              <w:rPr>
                <w:rFonts w:eastAsia="Times New Roman" w:cs="Times New Roman"/>
                <w:szCs w:val="24"/>
                <w:lang w:eastAsia="en-US"/>
              </w:rPr>
              <w:t xml:space="preserve"> (11)</w:t>
            </w:r>
          </w:p>
          <w:p w14:paraId="594351E8" w14:textId="655E047D" w:rsidR="00BA1BDF" w:rsidRPr="001C6CA0" w:rsidRDefault="00BA1BDF" w:rsidP="00F96204">
            <w:pPr>
              <w:pStyle w:val="Brezrazmikov"/>
              <w:numPr>
                <w:ilvl w:val="0"/>
                <w:numId w:val="13"/>
              </w:numPr>
            </w:pPr>
            <w:r w:rsidRPr="009128AD">
              <w:t>slabe zmožnosti za pripravo vlog na projekte, časovna omej</w:t>
            </w:r>
            <w:r w:rsidRPr="001C6CA0">
              <w:t>enost (4)</w:t>
            </w:r>
          </w:p>
          <w:p w14:paraId="62DF22CC" w14:textId="3EFC90C4" w:rsidR="00DF0843" w:rsidRPr="00BA1BDF" w:rsidRDefault="00DF0843" w:rsidP="00F96204">
            <w:pPr>
              <w:pStyle w:val="Brezrazmikov"/>
              <w:numPr>
                <w:ilvl w:val="0"/>
                <w:numId w:val="13"/>
              </w:numPr>
            </w:pPr>
            <w:r w:rsidRPr="001C6CA0">
              <w:t>slabša povezanost med IT sistemom zbiranja podatkov in IT sistemom</w:t>
            </w:r>
            <w:r>
              <w:t xml:space="preserve"> nadzora in izvrševanja</w:t>
            </w:r>
            <w:r w:rsidR="00737AEB">
              <w:t xml:space="preserve"> (9)</w:t>
            </w:r>
          </w:p>
          <w:p w14:paraId="047FC847" w14:textId="77777777" w:rsidR="00BA1BDF" w:rsidRDefault="00BA1BDF" w:rsidP="00164B75">
            <w:pPr>
              <w:tabs>
                <w:tab w:val="left" w:pos="2814"/>
              </w:tabs>
              <w:spacing w:line="276" w:lineRule="auto"/>
              <w:jc w:val="both"/>
              <w:rPr>
                <w:i/>
                <w:u w:val="single"/>
              </w:rPr>
            </w:pPr>
          </w:p>
          <w:p w14:paraId="6D9C9198" w14:textId="1E6166B3" w:rsidR="00164B75" w:rsidRDefault="00BA1BDF" w:rsidP="00164B75">
            <w:pPr>
              <w:tabs>
                <w:tab w:val="left" w:pos="2814"/>
              </w:tabs>
              <w:spacing w:line="276" w:lineRule="auto"/>
              <w:jc w:val="both"/>
              <w:rPr>
                <w:i/>
                <w:u w:val="single"/>
              </w:rPr>
            </w:pPr>
            <w:r w:rsidRPr="00BA1BDF">
              <w:rPr>
                <w:i/>
                <w:u w:val="single"/>
              </w:rPr>
              <w:t>Varovanje in ohranjanje vodne biotske raznovrstnosti in ekosistemov</w:t>
            </w:r>
          </w:p>
          <w:p w14:paraId="0A5CA733" w14:textId="77777777" w:rsidR="00EC6E99" w:rsidRPr="001C6CA0" w:rsidRDefault="00EC6E99" w:rsidP="005E68CD">
            <w:pPr>
              <w:numPr>
                <w:ilvl w:val="0"/>
                <w:numId w:val="5"/>
              </w:numPr>
              <w:tabs>
                <w:tab w:val="left" w:pos="2814"/>
              </w:tabs>
              <w:spacing w:line="276" w:lineRule="auto"/>
              <w:jc w:val="both"/>
            </w:pPr>
            <w:r w:rsidRPr="000A350D">
              <w:t xml:space="preserve">deljene in migratorne </w:t>
            </w:r>
            <w:r w:rsidRPr="001C6CA0">
              <w:t>populacije v Jadranu: težje pridobivanje podatkov in upravljanje (10)</w:t>
            </w:r>
          </w:p>
          <w:p w14:paraId="49030D76" w14:textId="7745370E" w:rsidR="00DF6BA5" w:rsidRPr="001C6CA0" w:rsidRDefault="00DF6BA5" w:rsidP="005E68CD">
            <w:pPr>
              <w:numPr>
                <w:ilvl w:val="0"/>
                <w:numId w:val="5"/>
              </w:numPr>
              <w:tabs>
                <w:tab w:val="left" w:pos="2814"/>
              </w:tabs>
              <w:spacing w:line="276" w:lineRule="auto"/>
              <w:jc w:val="both"/>
            </w:pPr>
            <w:r w:rsidRPr="009128AD">
              <w:t>prelov nekaterih</w:t>
            </w:r>
            <w:r w:rsidR="000054AF" w:rsidRPr="001C6CA0">
              <w:t xml:space="preserve"> migratornih deljenih staležev,</w:t>
            </w:r>
            <w:r w:rsidRPr="001C6CA0">
              <w:t xml:space="preserve"> vpliv</w:t>
            </w:r>
            <w:r w:rsidR="001C6CA0" w:rsidRPr="008E6BB7">
              <w:t>a</w:t>
            </w:r>
            <w:r w:rsidRPr="001C6CA0">
              <w:t xml:space="preserve"> na biotsko raznovrstnost</w:t>
            </w:r>
            <w:r w:rsidR="00737AEB">
              <w:t xml:space="preserve"> (2, 8, 12)</w:t>
            </w:r>
          </w:p>
          <w:p w14:paraId="3F330652" w14:textId="462088C7" w:rsidR="000054AF" w:rsidRPr="001C6CA0" w:rsidRDefault="000054AF" w:rsidP="005E68CD">
            <w:pPr>
              <w:numPr>
                <w:ilvl w:val="0"/>
                <w:numId w:val="5"/>
              </w:numPr>
              <w:tabs>
                <w:tab w:val="left" w:pos="2814"/>
              </w:tabs>
              <w:spacing w:line="276" w:lineRule="auto"/>
              <w:jc w:val="both"/>
            </w:pPr>
            <w:r w:rsidRPr="009128AD">
              <w:t>ribolov z vlečnimi orodji povzroča poškodbe morskega dna in vpliva na biotsko raznovrstnost</w:t>
            </w:r>
            <w:r w:rsidR="00737AEB">
              <w:t xml:space="preserve"> (12, 13)</w:t>
            </w:r>
          </w:p>
          <w:p w14:paraId="1F871224" w14:textId="255F0301" w:rsidR="00EC6E99" w:rsidRPr="001C6CA0" w:rsidRDefault="00EC6E99" w:rsidP="005E68CD">
            <w:pPr>
              <w:numPr>
                <w:ilvl w:val="0"/>
                <w:numId w:val="5"/>
              </w:numPr>
              <w:tabs>
                <w:tab w:val="left" w:pos="2814"/>
              </w:tabs>
              <w:spacing w:line="276" w:lineRule="auto"/>
              <w:jc w:val="both"/>
            </w:pPr>
            <w:r w:rsidRPr="001C6CA0">
              <w:t>premajhne kapacitete za izvajanje nadzora nad spr</w:t>
            </w:r>
            <w:r w:rsidR="00B607E2" w:rsidRPr="001C6CA0">
              <w:t xml:space="preserve">emljanjem omejitev in prepovedi </w:t>
            </w:r>
            <w:r w:rsidRPr="001C6CA0">
              <w:t>na zavarovanih območjih (11)</w:t>
            </w:r>
          </w:p>
          <w:p w14:paraId="1BCFB4EA" w14:textId="77777777" w:rsidR="00EC6E99" w:rsidRPr="000A350D" w:rsidRDefault="00EC6E99" w:rsidP="005E68CD">
            <w:pPr>
              <w:numPr>
                <w:ilvl w:val="0"/>
                <w:numId w:val="5"/>
              </w:numPr>
              <w:tabs>
                <w:tab w:val="left" w:pos="2814"/>
              </w:tabs>
              <w:spacing w:line="276" w:lineRule="auto"/>
              <w:jc w:val="both"/>
            </w:pPr>
            <w:r w:rsidRPr="000A350D">
              <w:lastRenderedPageBreak/>
              <w:t>prekinjena povezava med morskim in rečnim okoljem selitvene poti vodnih organizmov v rečnem okolju (11)</w:t>
            </w:r>
          </w:p>
          <w:p w14:paraId="0A5C3394" w14:textId="77777777" w:rsidR="00EC6E99" w:rsidRPr="000A350D" w:rsidRDefault="00EC6E99" w:rsidP="005E68CD">
            <w:pPr>
              <w:pStyle w:val="Odstavekseznama"/>
              <w:numPr>
                <w:ilvl w:val="0"/>
                <w:numId w:val="5"/>
              </w:numPr>
              <w:spacing w:line="240" w:lineRule="auto"/>
            </w:pPr>
            <w:r w:rsidRPr="000A350D">
              <w:t>nekateri vidiki morskih ekosistemov so še vedno slabo raziskani (7,12)</w:t>
            </w:r>
          </w:p>
          <w:p w14:paraId="0E335B95" w14:textId="77777777" w:rsidR="00EC6E99" w:rsidRPr="000A350D" w:rsidRDefault="00EC6E99" w:rsidP="005E68CD">
            <w:pPr>
              <w:pStyle w:val="Odstavekseznama"/>
              <w:numPr>
                <w:ilvl w:val="0"/>
                <w:numId w:val="5"/>
              </w:numPr>
              <w:spacing w:line="240" w:lineRule="auto"/>
            </w:pPr>
            <w:r w:rsidRPr="000A350D">
              <w:t>pomanjkljivo podrobnejše poznavanje stanja morskega okolja, predvsem z vidika korelacije aktivnost/dejavnost/-pritisk-vpliv na stanje morskih voda in kvantitativnih izhodiščnih in mejnih vrednosti elementov stanja morskega ekosistema (12)</w:t>
            </w:r>
          </w:p>
          <w:p w14:paraId="1D95F84D" w14:textId="77777777" w:rsidR="00EC6E99" w:rsidRDefault="00EC6E99" w:rsidP="005E68CD">
            <w:pPr>
              <w:pStyle w:val="Odstavekseznama"/>
              <w:numPr>
                <w:ilvl w:val="0"/>
                <w:numId w:val="5"/>
              </w:numPr>
              <w:spacing w:line="240" w:lineRule="auto"/>
            </w:pPr>
            <w:r w:rsidRPr="000A350D">
              <w:t>pomanjkanje skupnih zbirk podatkov v subregiji glede na različne rabe morskega okolja (7)</w:t>
            </w:r>
          </w:p>
          <w:p w14:paraId="6F8B5BA9" w14:textId="5B36E144" w:rsidR="00B351E2" w:rsidRPr="003A07A3" w:rsidRDefault="00EC6E99" w:rsidP="005E68CD">
            <w:pPr>
              <w:pStyle w:val="Odstavekseznama"/>
              <w:numPr>
                <w:ilvl w:val="0"/>
                <w:numId w:val="5"/>
              </w:numPr>
            </w:pPr>
            <w:r w:rsidRPr="000A350D">
              <w:t>ni vzpostavljenega celovitega sistema spremljanja dejavnosti na morju (spremlja se deskriptorje NUMO, resorji</w:t>
            </w:r>
            <w:r>
              <w:t xml:space="preserve"> </w:t>
            </w:r>
            <w:r w:rsidRPr="00EC6E99">
              <w:t>spremljajo dejavnosti iz svojih pristojnosti) (7,12)</w:t>
            </w:r>
          </w:p>
        </w:tc>
        <w:tc>
          <w:tcPr>
            <w:tcW w:w="3794" w:type="dxa"/>
            <w:vMerge/>
            <w:shd w:val="clear" w:color="auto" w:fill="auto"/>
          </w:tcPr>
          <w:p w14:paraId="50485E07" w14:textId="77777777" w:rsidR="00B351E2" w:rsidRPr="002B3453" w:rsidRDefault="00B351E2" w:rsidP="00B351E2">
            <w:pPr>
              <w:tabs>
                <w:tab w:val="left" w:pos="2814"/>
              </w:tabs>
              <w:spacing w:line="276" w:lineRule="auto"/>
              <w:rPr>
                <w:rFonts w:cs="Arial"/>
                <w:iCs/>
                <w:noProof/>
                <w:szCs w:val="20"/>
              </w:rPr>
            </w:pPr>
          </w:p>
        </w:tc>
      </w:tr>
      <w:tr w:rsidR="00B351E2" w:rsidRPr="00F700CD" w14:paraId="2D27F86C" w14:textId="77777777" w:rsidTr="000A4DE5">
        <w:trPr>
          <w:trHeight w:val="39"/>
        </w:trPr>
        <w:tc>
          <w:tcPr>
            <w:tcW w:w="0" w:type="auto"/>
            <w:vMerge/>
            <w:shd w:val="clear" w:color="auto" w:fill="auto"/>
          </w:tcPr>
          <w:p w14:paraId="15DA706B" w14:textId="77777777" w:rsidR="00B351E2" w:rsidRPr="002B3453" w:rsidRDefault="00B351E2" w:rsidP="00B351E2">
            <w:pPr>
              <w:spacing w:line="276" w:lineRule="auto"/>
              <w:rPr>
                <w:rFonts w:cs="Arial"/>
                <w:b/>
                <w:iCs/>
                <w:noProof/>
                <w:szCs w:val="20"/>
              </w:rPr>
            </w:pPr>
          </w:p>
        </w:tc>
        <w:tc>
          <w:tcPr>
            <w:tcW w:w="0" w:type="auto"/>
            <w:vMerge/>
            <w:shd w:val="clear" w:color="auto" w:fill="auto"/>
          </w:tcPr>
          <w:p w14:paraId="78176800" w14:textId="77777777" w:rsidR="00B351E2" w:rsidRPr="002B3453" w:rsidRDefault="00B351E2" w:rsidP="00B351E2">
            <w:pPr>
              <w:spacing w:line="276" w:lineRule="auto"/>
              <w:rPr>
                <w:rFonts w:cs="Arial"/>
                <w:i/>
                <w:iCs/>
                <w:noProof/>
                <w:szCs w:val="20"/>
              </w:rPr>
            </w:pPr>
          </w:p>
        </w:tc>
        <w:tc>
          <w:tcPr>
            <w:tcW w:w="5344" w:type="dxa"/>
            <w:shd w:val="clear" w:color="auto" w:fill="auto"/>
          </w:tcPr>
          <w:p w14:paraId="4D91E276" w14:textId="77777777" w:rsidR="00B351E2" w:rsidRDefault="001F6C21" w:rsidP="001A01C7">
            <w:pPr>
              <w:tabs>
                <w:tab w:val="left" w:pos="2814"/>
              </w:tabs>
              <w:spacing w:line="276" w:lineRule="auto"/>
              <w:jc w:val="both"/>
              <w:rPr>
                <w:b/>
              </w:rPr>
            </w:pPr>
            <w:r w:rsidRPr="001F6C21">
              <w:rPr>
                <w:b/>
              </w:rPr>
              <w:t>Priložnosti</w:t>
            </w:r>
          </w:p>
          <w:p w14:paraId="39BF4C96" w14:textId="417344DA" w:rsidR="001F6C21" w:rsidRPr="001F6C21" w:rsidRDefault="001F6C21" w:rsidP="001A01C7">
            <w:pPr>
              <w:tabs>
                <w:tab w:val="left" w:pos="2814"/>
              </w:tabs>
              <w:spacing w:line="276" w:lineRule="auto"/>
              <w:jc w:val="both"/>
              <w:rPr>
                <w:i/>
                <w:u w:val="single"/>
              </w:rPr>
            </w:pPr>
            <w:r w:rsidRPr="001F6C21">
              <w:rPr>
                <w:i/>
                <w:u w:val="single"/>
              </w:rPr>
              <w:t>Morski gospodarski ribolov</w:t>
            </w:r>
          </w:p>
          <w:p w14:paraId="30993EBF" w14:textId="32EC1F18" w:rsidR="00E53D16" w:rsidRDefault="00E53D16" w:rsidP="009C222E">
            <w:pPr>
              <w:pStyle w:val="Brezrazmikov"/>
              <w:numPr>
                <w:ilvl w:val="0"/>
                <w:numId w:val="15"/>
              </w:numPr>
            </w:pPr>
            <w:r>
              <w:t>z izboljšanjem delovnih in varnostnih pogojev se v obstoječih pristaniščih obdobje namembnosti 10 let lahko podaljša (3)</w:t>
            </w:r>
          </w:p>
          <w:p w14:paraId="0208DFE9" w14:textId="223251B7" w:rsidR="00E53D16" w:rsidRDefault="00E53D16" w:rsidP="009C222E">
            <w:pPr>
              <w:pStyle w:val="Brezrazmikov"/>
              <w:numPr>
                <w:ilvl w:val="0"/>
                <w:numId w:val="15"/>
              </w:numPr>
            </w:pPr>
            <w:r>
              <w:t>večja občutljivost potrošnikov na vprašanja kakovosti in varnosti hrane, in s tem tudi rib (2</w:t>
            </w:r>
            <w:r w:rsidR="00DF7F1E">
              <w:t>,5</w:t>
            </w:r>
            <w:r>
              <w:t>)</w:t>
            </w:r>
          </w:p>
          <w:p w14:paraId="29829BCD" w14:textId="71523C42" w:rsidR="00E53D16" w:rsidRDefault="00E53D16" w:rsidP="009C222E">
            <w:pPr>
              <w:pStyle w:val="Brezrazmikov"/>
              <w:numPr>
                <w:ilvl w:val="0"/>
                <w:numId w:val="15"/>
              </w:numPr>
            </w:pPr>
            <w:r>
              <w:t>zmogljivosti ribičev za izmenjavo znanj, dobrih praks, medsektorsko povezovanje (7</w:t>
            </w:r>
            <w:r w:rsidR="00DF7F1E">
              <w:t>,5</w:t>
            </w:r>
            <w:r>
              <w:t>)</w:t>
            </w:r>
          </w:p>
          <w:p w14:paraId="129FDD1F" w14:textId="40175245" w:rsidR="00E53D16" w:rsidRDefault="00E53D16" w:rsidP="009C222E">
            <w:pPr>
              <w:pStyle w:val="Brezrazmikov"/>
              <w:numPr>
                <w:ilvl w:val="0"/>
                <w:numId w:val="15"/>
              </w:numPr>
            </w:pPr>
            <w:r>
              <w:t>ohranjanje vodnih bioloških virov (1,7)</w:t>
            </w:r>
          </w:p>
          <w:p w14:paraId="19F2A9FB" w14:textId="1DEC328D" w:rsidR="00E53D16" w:rsidRDefault="00E53D16" w:rsidP="009C222E">
            <w:pPr>
              <w:pStyle w:val="Brezrazmikov"/>
              <w:numPr>
                <w:ilvl w:val="0"/>
                <w:numId w:val="15"/>
              </w:numPr>
            </w:pPr>
            <w:r>
              <w:t>spremembe zaradi novih obvez izvajanja SRP (1 3, 5, 6)</w:t>
            </w:r>
          </w:p>
          <w:p w14:paraId="0D6FD31C" w14:textId="6356EF12" w:rsidR="00E53D16" w:rsidRDefault="00E53D16" w:rsidP="009C222E">
            <w:pPr>
              <w:pStyle w:val="Brezrazmikov"/>
              <w:numPr>
                <w:ilvl w:val="0"/>
                <w:numId w:val="15"/>
              </w:numPr>
            </w:pPr>
            <w:r>
              <w:t>izvajanje</w:t>
            </w:r>
            <w:r w:rsidR="008C7A6D">
              <w:t xml:space="preserve"> priporočil GFCM </w:t>
            </w:r>
            <w:r>
              <w:t xml:space="preserve"> z namenom, da se dobi poglobljeno znanje o tem delu sektorja, sprejema ustrezne prilagojene ukrepe upravljanja, krepitve kapacitet in splošnega izboljšanja pogojev za vse vključene v mali </w:t>
            </w:r>
            <w:r>
              <w:lastRenderedPageBreak/>
              <w:t>priobalni ribolov ozaveščanje in trajnostne prakse potrošnje - obvezne deklaracije na izdelkih (1)</w:t>
            </w:r>
          </w:p>
          <w:p w14:paraId="229BE567" w14:textId="7CC901C7" w:rsidR="009D490A" w:rsidRDefault="009D490A" w:rsidP="009C222E">
            <w:pPr>
              <w:pStyle w:val="Brezrazmikov"/>
              <w:numPr>
                <w:ilvl w:val="0"/>
                <w:numId w:val="15"/>
              </w:numPr>
              <w:jc w:val="both"/>
            </w:pPr>
            <w:r>
              <w:t>zaustavitev trenda slabšanja stanja ribolovnih virov in prelova ribolovnih vrst, zlasti sardele in sardona, v Jadranu</w:t>
            </w:r>
            <w:r w:rsidR="00737AEB">
              <w:t xml:space="preserve"> (2,8, 12)</w:t>
            </w:r>
          </w:p>
          <w:p w14:paraId="51BC63ED" w14:textId="348E6CE0" w:rsidR="009D490A" w:rsidRDefault="009D490A" w:rsidP="009C222E">
            <w:pPr>
              <w:pStyle w:val="Brezrazmikov"/>
              <w:numPr>
                <w:ilvl w:val="0"/>
                <w:numId w:val="15"/>
              </w:numPr>
              <w:jc w:val="both"/>
            </w:pPr>
            <w:r>
              <w:t>izboljšanje stanja ribolovnih virov ter zagotavljanje MSY v okviru skupne ribiške politike</w:t>
            </w:r>
            <w:r w:rsidR="00737AEB">
              <w:t xml:space="preserve"> (1,2)</w:t>
            </w:r>
          </w:p>
          <w:p w14:paraId="6A329C13" w14:textId="2B721CB3" w:rsidR="00DF6BA5" w:rsidRDefault="00DF6BA5" w:rsidP="009C222E">
            <w:pPr>
              <w:pStyle w:val="Brezrazmikov"/>
              <w:numPr>
                <w:ilvl w:val="0"/>
                <w:numId w:val="15"/>
              </w:numPr>
              <w:jc w:val="both"/>
            </w:pPr>
            <w:r>
              <w:t xml:space="preserve">izboljšanje selektivnosti ribolovnih orodij in ribolovnih orodij, ki prispevajo k </w:t>
            </w:r>
            <w:r w:rsidR="00332447">
              <w:t xml:space="preserve">ohranjanju </w:t>
            </w:r>
            <w:r>
              <w:t>biotsk</w:t>
            </w:r>
            <w:r w:rsidR="00415662">
              <w:t>e</w:t>
            </w:r>
            <w:r>
              <w:t xml:space="preserve"> raznovrstnosti</w:t>
            </w:r>
          </w:p>
          <w:p w14:paraId="1602933F" w14:textId="0E6DF188" w:rsidR="00E53D16" w:rsidRDefault="00E53D16" w:rsidP="009C222E">
            <w:pPr>
              <w:pStyle w:val="Brezrazmikov"/>
              <w:numPr>
                <w:ilvl w:val="0"/>
                <w:numId w:val="15"/>
              </w:numPr>
            </w:pPr>
            <w:r>
              <w:t>razvoj novih tehnologij (2,7</w:t>
            </w:r>
            <w:r w:rsidR="00DF7F1E">
              <w:t>,6</w:t>
            </w:r>
            <w:r>
              <w:t>)</w:t>
            </w:r>
          </w:p>
          <w:p w14:paraId="33542F38" w14:textId="1388C8A8" w:rsidR="00E53D16" w:rsidRPr="001C6CA0" w:rsidRDefault="00E53D16" w:rsidP="009C222E">
            <w:pPr>
              <w:pStyle w:val="Brezrazmikov"/>
              <w:numPr>
                <w:ilvl w:val="0"/>
                <w:numId w:val="15"/>
              </w:numPr>
            </w:pPr>
            <w:r>
              <w:t xml:space="preserve">uporaba obnovljivih virov energije, boljša energetska učinkovitost, </w:t>
            </w:r>
            <w:r w:rsidR="00737AEB">
              <w:t xml:space="preserve">manjša poraba goriva in </w:t>
            </w:r>
            <w:r>
              <w:t xml:space="preserve">prilagajanje na </w:t>
            </w:r>
            <w:r w:rsidRPr="001C6CA0">
              <w:t>podnebne spremembe (2</w:t>
            </w:r>
            <w:r w:rsidR="00DF7F1E" w:rsidRPr="001C6CA0">
              <w:t>,</w:t>
            </w:r>
            <w:r w:rsidR="00737AEB">
              <w:t xml:space="preserve">4, </w:t>
            </w:r>
            <w:r w:rsidR="00DF7F1E" w:rsidRPr="001C6CA0">
              <w:t>6</w:t>
            </w:r>
            <w:r w:rsidR="001E62A9">
              <w:t>,10</w:t>
            </w:r>
            <w:r w:rsidRPr="001C6CA0">
              <w:t>)</w:t>
            </w:r>
          </w:p>
          <w:p w14:paraId="76A8CE10" w14:textId="5601D524" w:rsidR="003C1813" w:rsidRPr="001C6CA0" w:rsidRDefault="00737AEB" w:rsidP="008E6BB7">
            <w:pPr>
              <w:pStyle w:val="Brezrazmikov"/>
              <w:numPr>
                <w:ilvl w:val="0"/>
                <w:numId w:val="15"/>
              </w:numPr>
              <w:jc w:val="both"/>
            </w:pPr>
            <w:r>
              <w:t>Izvajanje</w:t>
            </w:r>
            <w:r w:rsidR="003C1813" w:rsidRPr="001C6CA0">
              <w:t xml:space="preserve"> projektov, ki bodo pripravljeni na podlagi </w:t>
            </w:r>
            <w:r w:rsidR="003C1813" w:rsidRPr="009128AD">
              <w:t>Flagshipov 2021-2027 Jadransko-Jonske makroregionalne strategije, še posebej flagshipi 1.1, 1.3</w:t>
            </w:r>
            <w:r w:rsidR="003C1813" w:rsidRPr="001C6CA0">
              <w:t>, 1.4, 1.5, 3.1, 3.2, 3.3, 3.4</w:t>
            </w:r>
            <w:r>
              <w:t xml:space="preserve"> (10, 11, 12)</w:t>
            </w:r>
          </w:p>
          <w:p w14:paraId="5709D86C" w14:textId="15AFFCEB" w:rsidR="009B568A" w:rsidRDefault="009B568A" w:rsidP="008E6BB7">
            <w:pPr>
              <w:pStyle w:val="Brezrazmikov"/>
              <w:numPr>
                <w:ilvl w:val="0"/>
                <w:numId w:val="15"/>
              </w:numPr>
              <w:jc w:val="both"/>
            </w:pPr>
            <w:r w:rsidRPr="001C6CA0">
              <w:t>Upoštevanje priporočil vmesnega vrednotenja OP ESPR 2014-2020 pri pripravi OP</w:t>
            </w:r>
            <w:r>
              <w:t xml:space="preserve"> ESPRA 2021-2027</w:t>
            </w:r>
            <w:r w:rsidR="00737AEB">
              <w:t xml:space="preserve"> (4)</w:t>
            </w:r>
          </w:p>
          <w:p w14:paraId="22DCDB8E" w14:textId="6800897C" w:rsidR="00E53D16" w:rsidRDefault="00E53D16" w:rsidP="001A01C7">
            <w:pPr>
              <w:tabs>
                <w:tab w:val="left" w:pos="2814"/>
              </w:tabs>
              <w:spacing w:line="276" w:lineRule="auto"/>
              <w:jc w:val="both"/>
            </w:pPr>
          </w:p>
          <w:p w14:paraId="0117D6BB" w14:textId="77777777" w:rsidR="001F6C21" w:rsidRPr="001C6CA0" w:rsidRDefault="001F6C21" w:rsidP="001A01C7">
            <w:pPr>
              <w:tabs>
                <w:tab w:val="left" w:pos="2814"/>
              </w:tabs>
              <w:spacing w:line="276" w:lineRule="auto"/>
              <w:jc w:val="both"/>
              <w:rPr>
                <w:i/>
                <w:u w:val="single"/>
              </w:rPr>
            </w:pPr>
            <w:r w:rsidRPr="001F6C21">
              <w:rPr>
                <w:i/>
                <w:u w:val="single"/>
              </w:rPr>
              <w:t xml:space="preserve">Varovanje in ohranjanje vodne biotske raznovrstnosti in </w:t>
            </w:r>
            <w:r w:rsidRPr="001C6CA0">
              <w:rPr>
                <w:i/>
                <w:u w:val="single"/>
              </w:rPr>
              <w:t>ekosistemov</w:t>
            </w:r>
          </w:p>
          <w:p w14:paraId="291A9495" w14:textId="25C664EF" w:rsidR="009C222E" w:rsidRPr="008E6BB7" w:rsidRDefault="009C222E" w:rsidP="009C222E">
            <w:pPr>
              <w:pStyle w:val="Brezrazmikov"/>
              <w:numPr>
                <w:ilvl w:val="0"/>
                <w:numId w:val="15"/>
              </w:numPr>
              <w:jc w:val="both"/>
            </w:pPr>
            <w:r w:rsidRPr="008E6BB7">
              <w:t>možnost reciklaže ribolovnih orodij, ki vsebujejo Polyamid 6, v Sloveniji, in sicer s pomočjo inovativne tehnologije, ter prispevek k ohranjanju biotske raznovrstnosti na morju</w:t>
            </w:r>
            <w:r w:rsidR="002852F3">
              <w:t xml:space="preserve"> (10, 11)</w:t>
            </w:r>
          </w:p>
          <w:p w14:paraId="7CBF0BD8" w14:textId="15432F28" w:rsidR="00A352CB" w:rsidRDefault="00A352CB" w:rsidP="009C222E">
            <w:pPr>
              <w:pStyle w:val="Brezrazmikov"/>
              <w:numPr>
                <w:ilvl w:val="0"/>
                <w:numId w:val="15"/>
              </w:numPr>
            </w:pPr>
            <w:r>
              <w:t>zavedanje in ozaveščanje širše javnosti o varovanju morskega okolja (9,10)</w:t>
            </w:r>
          </w:p>
          <w:p w14:paraId="4D74C0F6" w14:textId="6E15AE19" w:rsidR="00725670" w:rsidRDefault="00725670" w:rsidP="009C222E">
            <w:pPr>
              <w:pStyle w:val="Brezrazmikov"/>
              <w:numPr>
                <w:ilvl w:val="0"/>
                <w:numId w:val="15"/>
              </w:numPr>
            </w:pPr>
            <w:r>
              <w:t xml:space="preserve">ukrepi, financirani v obdobju 2014-2020 iz ESPR so pripomogli k izboljšanju načrtovanja ukrepov za novi Program upravljanja območij NATURA 2000 in </w:t>
            </w:r>
            <w:r w:rsidR="009825D7">
              <w:t>načrtovanju</w:t>
            </w:r>
            <w:r>
              <w:t xml:space="preserve"> potreb po zavarovanih območjih</w:t>
            </w:r>
            <w:r w:rsidR="002852F3">
              <w:t xml:space="preserve"> (14)</w:t>
            </w:r>
          </w:p>
          <w:p w14:paraId="48365CB2" w14:textId="191E68BF" w:rsidR="00A352CB" w:rsidRDefault="00A352CB" w:rsidP="009C222E">
            <w:pPr>
              <w:pStyle w:val="Brezrazmikov"/>
              <w:numPr>
                <w:ilvl w:val="0"/>
                <w:numId w:val="15"/>
              </w:numPr>
            </w:pPr>
            <w:r>
              <w:lastRenderedPageBreak/>
              <w:t>ohranjanje biotske raznovrstnosti</w:t>
            </w:r>
            <w:r w:rsidR="00DF6BA5">
              <w:t xml:space="preserve">, tudi v sodelovanju s sektorjem morskega gospodarskega ribolova </w:t>
            </w:r>
            <w:r>
              <w:t>(8,9,10)</w:t>
            </w:r>
          </w:p>
          <w:p w14:paraId="688F02FC" w14:textId="0F7B103A" w:rsidR="00A352CB" w:rsidRDefault="00A352CB" w:rsidP="009C222E">
            <w:pPr>
              <w:pStyle w:val="Brezrazmikov"/>
              <w:numPr>
                <w:ilvl w:val="0"/>
                <w:numId w:val="15"/>
              </w:numPr>
            </w:pPr>
            <w:r>
              <w:t>raznovrstnost habitatov in morskih organizmov v severnem delu Jadranskega morja (9,10)</w:t>
            </w:r>
          </w:p>
          <w:p w14:paraId="51727415" w14:textId="5D95E7B1" w:rsidR="00A352CB" w:rsidRDefault="00A352CB" w:rsidP="009C222E">
            <w:pPr>
              <w:pStyle w:val="Brezrazmikov"/>
              <w:numPr>
                <w:ilvl w:val="0"/>
                <w:numId w:val="15"/>
              </w:numPr>
            </w:pPr>
            <w:r>
              <w:t>občutljivost javnosti na stanje morskega okolja (10)</w:t>
            </w:r>
          </w:p>
          <w:p w14:paraId="2EDC311B" w14:textId="76BDB88D" w:rsidR="00A352CB" w:rsidRDefault="00A352CB" w:rsidP="009C222E">
            <w:pPr>
              <w:pStyle w:val="Brezrazmikov"/>
              <w:numPr>
                <w:ilvl w:val="0"/>
                <w:numId w:val="15"/>
              </w:numPr>
            </w:pPr>
            <w:r>
              <w:t>zavedanje širše javnosti o pomenu varovanja naravne in kulturne dediščine (10,11)</w:t>
            </w:r>
          </w:p>
          <w:p w14:paraId="5054ACBA" w14:textId="4D9E54D3" w:rsidR="00A352CB" w:rsidRDefault="00A352CB" w:rsidP="009C222E">
            <w:pPr>
              <w:pStyle w:val="Brezrazmikov"/>
              <w:numPr>
                <w:ilvl w:val="0"/>
                <w:numId w:val="15"/>
              </w:numPr>
            </w:pPr>
            <w:r>
              <w:t>vpetost v evro-sredozemsko regijo (9,10)</w:t>
            </w:r>
          </w:p>
          <w:p w14:paraId="5B734631" w14:textId="30047B88" w:rsidR="00A352CB" w:rsidRDefault="00A352CB" w:rsidP="009C222E">
            <w:pPr>
              <w:pStyle w:val="Brezrazmikov"/>
              <w:numPr>
                <w:ilvl w:val="0"/>
                <w:numId w:val="15"/>
              </w:numPr>
            </w:pPr>
            <w:r>
              <w:t>raziskovanje vplivov podnebnih sprememb na morsko okolje in prilagajanje nanje (7)</w:t>
            </w:r>
          </w:p>
          <w:p w14:paraId="12EFBACC" w14:textId="77777777" w:rsidR="00E53D16" w:rsidRDefault="00A352CB" w:rsidP="009C222E">
            <w:pPr>
              <w:pStyle w:val="Brezrazmikov"/>
              <w:numPr>
                <w:ilvl w:val="0"/>
                <w:numId w:val="15"/>
              </w:numPr>
            </w:pPr>
            <w:r>
              <w:t>politična usmeritev Evropske komisije: Zeleni dogovor za Evropo (7)</w:t>
            </w:r>
          </w:p>
          <w:p w14:paraId="032F920E" w14:textId="4F2AA7D7" w:rsidR="00E34625" w:rsidRPr="00E53D16" w:rsidRDefault="00E34625" w:rsidP="009C222E">
            <w:pPr>
              <w:pStyle w:val="Brezrazmikov"/>
              <w:numPr>
                <w:ilvl w:val="0"/>
                <w:numId w:val="15"/>
              </w:numPr>
            </w:pPr>
          </w:p>
        </w:tc>
        <w:tc>
          <w:tcPr>
            <w:tcW w:w="3794" w:type="dxa"/>
            <w:vMerge/>
            <w:shd w:val="clear" w:color="auto" w:fill="auto"/>
          </w:tcPr>
          <w:p w14:paraId="5302CAB9" w14:textId="77777777" w:rsidR="00B351E2" w:rsidRPr="002B034C" w:rsidRDefault="00B351E2" w:rsidP="00B351E2">
            <w:pPr>
              <w:tabs>
                <w:tab w:val="left" w:pos="2814"/>
              </w:tabs>
              <w:spacing w:line="276" w:lineRule="auto"/>
              <w:rPr>
                <w:rFonts w:cs="Arial"/>
                <w:iCs/>
                <w:noProof/>
                <w:szCs w:val="20"/>
              </w:rPr>
            </w:pPr>
          </w:p>
        </w:tc>
      </w:tr>
      <w:tr w:rsidR="00B351E2" w:rsidRPr="00F700CD" w14:paraId="374E34C7" w14:textId="77777777" w:rsidTr="000A4DE5">
        <w:trPr>
          <w:trHeight w:val="39"/>
        </w:trPr>
        <w:tc>
          <w:tcPr>
            <w:tcW w:w="0" w:type="auto"/>
            <w:vMerge/>
            <w:shd w:val="clear" w:color="auto" w:fill="auto"/>
          </w:tcPr>
          <w:p w14:paraId="71721036" w14:textId="77777777" w:rsidR="00B351E2" w:rsidRPr="002B034C" w:rsidRDefault="00B351E2" w:rsidP="00B351E2">
            <w:pPr>
              <w:spacing w:line="276" w:lineRule="auto"/>
              <w:rPr>
                <w:rFonts w:cs="Arial"/>
                <w:b/>
                <w:iCs/>
                <w:noProof/>
                <w:szCs w:val="20"/>
              </w:rPr>
            </w:pPr>
          </w:p>
        </w:tc>
        <w:tc>
          <w:tcPr>
            <w:tcW w:w="0" w:type="auto"/>
            <w:vMerge/>
            <w:shd w:val="clear" w:color="auto" w:fill="auto"/>
          </w:tcPr>
          <w:p w14:paraId="3FE4E4AC" w14:textId="77777777" w:rsidR="00B351E2" w:rsidRPr="002B034C" w:rsidRDefault="00B351E2" w:rsidP="00B351E2">
            <w:pPr>
              <w:spacing w:line="276" w:lineRule="auto"/>
              <w:rPr>
                <w:rFonts w:cs="Arial"/>
                <w:i/>
                <w:iCs/>
                <w:noProof/>
                <w:szCs w:val="20"/>
              </w:rPr>
            </w:pPr>
          </w:p>
        </w:tc>
        <w:tc>
          <w:tcPr>
            <w:tcW w:w="5344" w:type="dxa"/>
            <w:shd w:val="clear" w:color="auto" w:fill="auto"/>
          </w:tcPr>
          <w:p w14:paraId="4B257A78" w14:textId="788AE80C" w:rsidR="00B351E2" w:rsidRDefault="00B351E2" w:rsidP="00B351E2">
            <w:pPr>
              <w:tabs>
                <w:tab w:val="left" w:pos="2814"/>
              </w:tabs>
              <w:spacing w:line="276" w:lineRule="auto"/>
              <w:rPr>
                <w:rFonts w:cs="Arial"/>
                <w:b/>
                <w:iCs/>
                <w:noProof/>
                <w:szCs w:val="20"/>
              </w:rPr>
            </w:pPr>
            <w:r w:rsidRPr="00B762AE">
              <w:rPr>
                <w:rFonts w:cs="Arial"/>
                <w:b/>
                <w:iCs/>
                <w:noProof/>
                <w:szCs w:val="20"/>
              </w:rPr>
              <w:t>Nevarnosti</w:t>
            </w:r>
          </w:p>
          <w:p w14:paraId="03F50F3F" w14:textId="60CDB061" w:rsidR="00346655" w:rsidRPr="001F6C21" w:rsidRDefault="00346655" w:rsidP="00B351E2">
            <w:pPr>
              <w:tabs>
                <w:tab w:val="left" w:pos="2814"/>
              </w:tabs>
              <w:spacing w:line="276" w:lineRule="auto"/>
              <w:rPr>
                <w:rFonts w:cs="Arial"/>
                <w:bCs/>
                <w:i/>
                <w:iCs/>
                <w:noProof/>
                <w:szCs w:val="20"/>
                <w:u w:val="single"/>
              </w:rPr>
            </w:pPr>
            <w:r w:rsidRPr="001F6C21">
              <w:rPr>
                <w:rFonts w:cs="Arial"/>
                <w:bCs/>
                <w:i/>
                <w:iCs/>
                <w:noProof/>
                <w:szCs w:val="20"/>
                <w:u w:val="single"/>
              </w:rPr>
              <w:t>Morski gospodarski ribolov</w:t>
            </w:r>
          </w:p>
          <w:p w14:paraId="7EC01E3E" w14:textId="77777777" w:rsidR="00FD774C" w:rsidRPr="000A350D" w:rsidRDefault="00FD774C" w:rsidP="00F96204">
            <w:pPr>
              <w:pStyle w:val="Brezrazmikov"/>
              <w:numPr>
                <w:ilvl w:val="0"/>
                <w:numId w:val="16"/>
              </w:numPr>
              <w:rPr>
                <w:b/>
                <w:iCs/>
              </w:rPr>
            </w:pPr>
            <w:r w:rsidRPr="000A350D">
              <w:t>nenadni biološki pojavi na morju, pojav invazivnih tujerodnih vrst (rebrača, meduze, itd) ali ekstremni vremenski pojavi, zakisanje, dvig temperature, vse pogostejši in močnejši vetrovi (1)</w:t>
            </w:r>
          </w:p>
          <w:p w14:paraId="2B553F6A" w14:textId="77777777" w:rsidR="00FD774C" w:rsidRPr="000A350D" w:rsidRDefault="00FD774C" w:rsidP="00F96204">
            <w:pPr>
              <w:pStyle w:val="Brezrazmikov"/>
              <w:numPr>
                <w:ilvl w:val="0"/>
                <w:numId w:val="16"/>
              </w:numPr>
            </w:pPr>
            <w:r w:rsidRPr="000A350D">
              <w:t>pojav epidemij (1)</w:t>
            </w:r>
          </w:p>
          <w:p w14:paraId="006E87F9" w14:textId="77777777" w:rsidR="00FD774C" w:rsidRPr="000A350D" w:rsidRDefault="00FD774C" w:rsidP="00F96204">
            <w:pPr>
              <w:pStyle w:val="Brezrazmikov"/>
              <w:numPr>
                <w:ilvl w:val="0"/>
                <w:numId w:val="16"/>
              </w:numPr>
            </w:pPr>
            <w:r w:rsidRPr="000A350D">
              <w:t>ravno, plitko in muljasto morsko dno, ki ne predstavlja primernega življenjskega okolja za številne morske organizme, ki se pri nas nahajajo v zgodnjih dobah dozorevanja, nato pa se selijo južneje po Jadranskem morju (7)</w:t>
            </w:r>
          </w:p>
          <w:p w14:paraId="2B63135B" w14:textId="77777777" w:rsidR="00FD774C" w:rsidRPr="000A350D" w:rsidRDefault="00FD774C" w:rsidP="00F96204">
            <w:pPr>
              <w:pStyle w:val="Brezrazmikov"/>
              <w:numPr>
                <w:ilvl w:val="0"/>
                <w:numId w:val="16"/>
              </w:numPr>
            </w:pPr>
            <w:r w:rsidRPr="000A350D">
              <w:t>negativni trendi deljenih staležev v severnem delu Jadranskega morja (upad ribjih staležev in bentoških organizmov) (1)</w:t>
            </w:r>
          </w:p>
          <w:p w14:paraId="12EA50DF" w14:textId="77777777" w:rsidR="00FD774C" w:rsidRPr="000A350D" w:rsidRDefault="00FD774C" w:rsidP="00F96204">
            <w:pPr>
              <w:pStyle w:val="Brezrazmikov"/>
              <w:numPr>
                <w:ilvl w:val="0"/>
                <w:numId w:val="16"/>
              </w:numPr>
            </w:pPr>
            <w:r w:rsidRPr="000A350D">
              <w:t>z vidika razvoja obalnih mest obstaja želja, da se v pristaniščih širi komercialne priveze na račun privezov za ribiče (3)</w:t>
            </w:r>
          </w:p>
          <w:p w14:paraId="422D2C94" w14:textId="57827735" w:rsidR="00FD774C" w:rsidRPr="00FD774C" w:rsidRDefault="00FD774C" w:rsidP="00F96204">
            <w:pPr>
              <w:pStyle w:val="Brezrazmikov"/>
              <w:numPr>
                <w:ilvl w:val="0"/>
                <w:numId w:val="16"/>
              </w:numPr>
            </w:pPr>
            <w:r w:rsidRPr="000A350D">
              <w:rPr>
                <w:rFonts w:cs="Arial"/>
                <w:szCs w:val="20"/>
              </w:rPr>
              <w:lastRenderedPageBreak/>
              <w:t>pomanjkljiv nadzor nad ribolovom športnih ribičev na morju (6)</w:t>
            </w:r>
          </w:p>
          <w:p w14:paraId="1CB1A5C6" w14:textId="6F65BF6D" w:rsidR="00164B75" w:rsidRDefault="00FD774C" w:rsidP="00F96204">
            <w:pPr>
              <w:pStyle w:val="Brezrazmikov"/>
              <w:numPr>
                <w:ilvl w:val="0"/>
                <w:numId w:val="16"/>
              </w:numPr>
            </w:pPr>
            <w:r w:rsidRPr="000A350D">
              <w:t>podnebne spremembe (7)</w:t>
            </w:r>
          </w:p>
          <w:p w14:paraId="0F9AC0C2" w14:textId="77777777" w:rsidR="00B351E2" w:rsidRDefault="001F6C21" w:rsidP="00164B75">
            <w:pPr>
              <w:tabs>
                <w:tab w:val="left" w:pos="2814"/>
              </w:tabs>
              <w:spacing w:line="276" w:lineRule="auto"/>
              <w:jc w:val="both"/>
              <w:rPr>
                <w:i/>
                <w:u w:val="single"/>
              </w:rPr>
            </w:pPr>
            <w:r w:rsidRPr="001F6C21">
              <w:rPr>
                <w:i/>
                <w:u w:val="single"/>
              </w:rPr>
              <w:t>Varovanje in ohranjanje vodne biotske raznovrstnosti in ekosistemov</w:t>
            </w:r>
          </w:p>
          <w:p w14:paraId="6426A2FF" w14:textId="77777777" w:rsidR="00AF2CD2" w:rsidRPr="000A350D" w:rsidRDefault="00AF2CD2" w:rsidP="00F96204">
            <w:pPr>
              <w:pStyle w:val="Brezrazmikov"/>
              <w:numPr>
                <w:ilvl w:val="0"/>
                <w:numId w:val="17"/>
              </w:numPr>
              <w:rPr>
                <w:b/>
              </w:rPr>
            </w:pPr>
            <w:r w:rsidRPr="000A350D">
              <w:t>odpadki (vključno z mikro odpadki)</w:t>
            </w:r>
          </w:p>
          <w:p w14:paraId="3947F45E" w14:textId="77777777" w:rsidR="00AF2CD2" w:rsidRPr="000A350D" w:rsidRDefault="00AF2CD2" w:rsidP="00F96204">
            <w:pPr>
              <w:pStyle w:val="Brezrazmikov"/>
              <w:numPr>
                <w:ilvl w:val="0"/>
                <w:numId w:val="17"/>
              </w:numPr>
            </w:pPr>
            <w:r w:rsidRPr="000A350D">
              <w:t>onesnaženje morja in obalnega pasu z različnimi onesnaževali in emisijami (12)</w:t>
            </w:r>
          </w:p>
          <w:p w14:paraId="18768AED" w14:textId="77777777" w:rsidR="00AF2CD2" w:rsidRPr="000A350D" w:rsidRDefault="00AF2CD2" w:rsidP="00F96204">
            <w:pPr>
              <w:pStyle w:val="Brezrazmikov"/>
              <w:numPr>
                <w:ilvl w:val="0"/>
                <w:numId w:val="17"/>
              </w:numPr>
            </w:pPr>
            <w:r w:rsidRPr="000A350D">
              <w:t xml:space="preserve">preobremenitev okolja z dejavnostmi na obali in v morju (12) </w:t>
            </w:r>
          </w:p>
          <w:p w14:paraId="16BC523C" w14:textId="77777777" w:rsidR="00AF2CD2" w:rsidRPr="000A350D" w:rsidRDefault="00AF2CD2" w:rsidP="00F96204">
            <w:pPr>
              <w:pStyle w:val="Brezrazmikov"/>
              <w:numPr>
                <w:ilvl w:val="0"/>
                <w:numId w:val="17"/>
              </w:numPr>
            </w:pPr>
            <w:r w:rsidRPr="000A350D">
              <w:t>zaradi čezmejnih odpadkov nastaja obremenjenost morskega okolja (7)</w:t>
            </w:r>
          </w:p>
          <w:p w14:paraId="51AB7ABF" w14:textId="77777777" w:rsidR="00AF2CD2" w:rsidRPr="000A350D" w:rsidRDefault="00AF2CD2" w:rsidP="00F96204">
            <w:pPr>
              <w:pStyle w:val="Brezrazmikov"/>
              <w:numPr>
                <w:ilvl w:val="0"/>
                <w:numId w:val="17"/>
              </w:numPr>
              <w:rPr>
                <w:rFonts w:cs="Arial"/>
                <w:b/>
                <w:iCs/>
                <w:noProof/>
                <w:szCs w:val="20"/>
              </w:rPr>
            </w:pPr>
            <w:r w:rsidRPr="000A350D">
              <w:t>pojav invazivnih tujerodnih vrst (rebrača, meduze, itd) (8)</w:t>
            </w:r>
          </w:p>
          <w:p w14:paraId="3A90DF02" w14:textId="77777777" w:rsidR="00AF2CD2" w:rsidRPr="000A350D" w:rsidRDefault="00AF2CD2" w:rsidP="00F96204">
            <w:pPr>
              <w:pStyle w:val="Brezrazmikov"/>
              <w:numPr>
                <w:ilvl w:val="0"/>
                <w:numId w:val="17"/>
              </w:numPr>
            </w:pPr>
            <w:r w:rsidRPr="000A350D">
              <w:t>podnebne spremembe: – ekstremni vremenski pojavi, zakisanje, dvig temperature, vse pogostejši in močnejši vetrovi (10)</w:t>
            </w:r>
          </w:p>
          <w:p w14:paraId="62C81F99" w14:textId="77777777" w:rsidR="00AF2CD2" w:rsidRPr="000A350D" w:rsidRDefault="00AF2CD2" w:rsidP="00F96204">
            <w:pPr>
              <w:pStyle w:val="Brezrazmikov"/>
              <w:numPr>
                <w:ilvl w:val="0"/>
                <w:numId w:val="17"/>
              </w:numPr>
            </w:pPr>
            <w:r w:rsidRPr="000A350D">
              <w:t>čezmejni vplivi na biotsko raznovrstnost (za okolje nasploh), kot tudi zaradi politik sosednjih držav (npr. plinski terminali, naftne vrtine oz. druge dejavnosti v izključnih ekonomskih conah ostalih jadranskih držav) (8)</w:t>
            </w:r>
          </w:p>
          <w:p w14:paraId="3271228D" w14:textId="77777777" w:rsidR="00AF2CD2" w:rsidRPr="000A350D" w:rsidRDefault="00AF2CD2" w:rsidP="00F96204">
            <w:pPr>
              <w:pStyle w:val="Brezrazmikov"/>
              <w:numPr>
                <w:ilvl w:val="0"/>
                <w:numId w:val="17"/>
              </w:numPr>
            </w:pPr>
            <w:r w:rsidRPr="000A350D">
              <w:t>izguba vrst in habitatov (9)</w:t>
            </w:r>
          </w:p>
          <w:p w14:paraId="39473944" w14:textId="77777777" w:rsidR="00AF2CD2" w:rsidRPr="000A350D" w:rsidRDefault="00AF2CD2" w:rsidP="00F96204">
            <w:pPr>
              <w:pStyle w:val="Brezrazmikov"/>
              <w:numPr>
                <w:ilvl w:val="0"/>
                <w:numId w:val="17"/>
              </w:numPr>
            </w:pPr>
            <w:r w:rsidRPr="000A350D">
              <w:t>velika občutljivost morskega okolja zaradi majhne površine posameznih habitatov (9,10)</w:t>
            </w:r>
          </w:p>
          <w:p w14:paraId="7C6CA876" w14:textId="77777777" w:rsidR="00AF2CD2" w:rsidRPr="000A350D" w:rsidRDefault="00AF2CD2" w:rsidP="00F96204">
            <w:pPr>
              <w:pStyle w:val="Brezrazmikov"/>
              <w:numPr>
                <w:ilvl w:val="0"/>
                <w:numId w:val="17"/>
              </w:numPr>
            </w:pPr>
            <w:r w:rsidRPr="000A350D">
              <w:t>prekomerno večanje prometa (sidranje) (10)</w:t>
            </w:r>
          </w:p>
          <w:p w14:paraId="6F87B0FF" w14:textId="77777777" w:rsidR="00AF2CD2" w:rsidRPr="000A350D" w:rsidRDefault="00AF2CD2" w:rsidP="00F96204">
            <w:pPr>
              <w:pStyle w:val="Brezrazmikov"/>
              <w:numPr>
                <w:ilvl w:val="0"/>
                <w:numId w:val="17"/>
              </w:numPr>
            </w:pPr>
            <w:r w:rsidRPr="000A350D">
              <w:t>velik pritisk na obalne in morske habitate zaradi različnih deležnikov (9,10)</w:t>
            </w:r>
          </w:p>
          <w:p w14:paraId="439E29D6" w14:textId="77777777" w:rsidR="00AF2CD2" w:rsidRPr="000A350D" w:rsidRDefault="00AF2CD2" w:rsidP="00F96204">
            <w:pPr>
              <w:pStyle w:val="Brezrazmikov"/>
              <w:numPr>
                <w:ilvl w:val="0"/>
                <w:numId w:val="17"/>
              </w:numPr>
            </w:pPr>
            <w:r w:rsidRPr="000A350D">
              <w:t>neusklajeni pristopi za varstvo celinskih voda z vidika vzpostavljanja prehodnosti za vodne organizme (11)</w:t>
            </w:r>
          </w:p>
          <w:p w14:paraId="1BDB5C13" w14:textId="7DF43CB0" w:rsidR="00FD774C" w:rsidRPr="00B80A15" w:rsidRDefault="00AF2CD2" w:rsidP="00F96204">
            <w:pPr>
              <w:pStyle w:val="Brezrazmikov"/>
              <w:numPr>
                <w:ilvl w:val="0"/>
                <w:numId w:val="17"/>
              </w:numPr>
            </w:pPr>
            <w:r w:rsidRPr="000A350D">
              <w:t>neusklajeni pristopi za varstvo morskega okolja v regiji in podregiji (Sredozemlje, Jadran) (7,12)</w:t>
            </w:r>
          </w:p>
        </w:tc>
        <w:tc>
          <w:tcPr>
            <w:tcW w:w="3794" w:type="dxa"/>
            <w:vMerge/>
            <w:shd w:val="clear" w:color="auto" w:fill="auto"/>
          </w:tcPr>
          <w:p w14:paraId="496809D6" w14:textId="77777777" w:rsidR="00B351E2" w:rsidRPr="00186114" w:rsidRDefault="00B351E2" w:rsidP="00B351E2">
            <w:pPr>
              <w:tabs>
                <w:tab w:val="left" w:pos="2814"/>
              </w:tabs>
              <w:spacing w:line="276" w:lineRule="auto"/>
              <w:rPr>
                <w:rFonts w:cs="Arial"/>
                <w:iCs/>
                <w:noProof/>
                <w:szCs w:val="20"/>
              </w:rPr>
            </w:pPr>
          </w:p>
        </w:tc>
      </w:tr>
      <w:tr w:rsidR="00B351E2" w:rsidRPr="00F700CD" w14:paraId="1000849A" w14:textId="77777777" w:rsidTr="000A4DE5">
        <w:trPr>
          <w:trHeight w:val="39"/>
        </w:trPr>
        <w:tc>
          <w:tcPr>
            <w:tcW w:w="0" w:type="auto"/>
            <w:vMerge/>
            <w:shd w:val="clear" w:color="auto" w:fill="auto"/>
          </w:tcPr>
          <w:p w14:paraId="4E4B8E8F" w14:textId="77777777" w:rsidR="00B351E2" w:rsidRPr="00186114" w:rsidRDefault="00B351E2" w:rsidP="00B351E2">
            <w:pPr>
              <w:spacing w:line="276" w:lineRule="auto"/>
              <w:rPr>
                <w:rFonts w:cs="Arial"/>
                <w:b/>
                <w:iCs/>
                <w:noProof/>
                <w:szCs w:val="20"/>
              </w:rPr>
            </w:pPr>
          </w:p>
        </w:tc>
        <w:tc>
          <w:tcPr>
            <w:tcW w:w="0" w:type="auto"/>
            <w:vMerge/>
            <w:shd w:val="clear" w:color="auto" w:fill="auto"/>
          </w:tcPr>
          <w:p w14:paraId="43A8DCBD" w14:textId="77777777" w:rsidR="00B351E2" w:rsidRPr="00186114" w:rsidRDefault="00B351E2" w:rsidP="00B351E2">
            <w:pPr>
              <w:spacing w:line="276" w:lineRule="auto"/>
              <w:rPr>
                <w:rFonts w:cs="Arial"/>
                <w:i/>
                <w:iCs/>
                <w:noProof/>
                <w:szCs w:val="20"/>
              </w:rPr>
            </w:pPr>
          </w:p>
        </w:tc>
        <w:tc>
          <w:tcPr>
            <w:tcW w:w="5344" w:type="dxa"/>
            <w:shd w:val="clear" w:color="auto" w:fill="auto"/>
          </w:tcPr>
          <w:p w14:paraId="5A618FA1" w14:textId="61D8C15D" w:rsidR="00B351E2" w:rsidRDefault="00B351E2" w:rsidP="001A01C7">
            <w:pPr>
              <w:tabs>
                <w:tab w:val="left" w:pos="2814"/>
              </w:tabs>
              <w:spacing w:line="276" w:lineRule="auto"/>
              <w:jc w:val="both"/>
              <w:rPr>
                <w:rFonts w:cs="Arial"/>
                <w:b/>
                <w:iCs/>
                <w:noProof/>
                <w:szCs w:val="20"/>
              </w:rPr>
            </w:pPr>
            <w:r w:rsidRPr="00B762AE">
              <w:rPr>
                <w:rFonts w:cs="Arial"/>
                <w:b/>
                <w:iCs/>
                <w:noProof/>
                <w:szCs w:val="20"/>
              </w:rPr>
              <w:t xml:space="preserve">Opredelitev potreb na podlagi analize SWOT in ob upoštevanju elementov iz člena </w:t>
            </w:r>
            <w:r w:rsidR="00B025AC">
              <w:rPr>
                <w:rFonts w:cs="Arial"/>
                <w:b/>
                <w:iCs/>
                <w:noProof/>
                <w:szCs w:val="20"/>
              </w:rPr>
              <w:t>5</w:t>
            </w:r>
            <w:r w:rsidRPr="00B762AE">
              <w:rPr>
                <w:rFonts w:cs="Arial"/>
                <w:b/>
                <w:iCs/>
                <w:noProof/>
                <w:szCs w:val="20"/>
              </w:rPr>
              <w:t>(</w:t>
            </w:r>
            <w:r w:rsidR="00BC6790">
              <w:rPr>
                <w:rFonts w:cs="Arial"/>
                <w:b/>
                <w:iCs/>
                <w:noProof/>
                <w:szCs w:val="20"/>
              </w:rPr>
              <w:t>8</w:t>
            </w:r>
            <w:r w:rsidRPr="00B762AE">
              <w:rPr>
                <w:rFonts w:cs="Arial"/>
                <w:b/>
                <w:iCs/>
                <w:noProof/>
                <w:szCs w:val="20"/>
              </w:rPr>
              <w:t>) uredbe o ESPR</w:t>
            </w:r>
            <w:r w:rsidR="00577FA6">
              <w:rPr>
                <w:rFonts w:cs="Arial"/>
                <w:b/>
                <w:iCs/>
                <w:noProof/>
                <w:szCs w:val="20"/>
              </w:rPr>
              <w:t>A</w:t>
            </w:r>
          </w:p>
          <w:p w14:paraId="603DB1A3" w14:textId="77777777" w:rsidR="001A01C7" w:rsidRPr="00F67111" w:rsidRDefault="001A01C7" w:rsidP="001A01C7">
            <w:pPr>
              <w:tabs>
                <w:tab w:val="left" w:pos="2814"/>
              </w:tabs>
              <w:spacing w:line="276" w:lineRule="auto"/>
              <w:jc w:val="both"/>
              <w:rPr>
                <w:rFonts w:cs="Arial"/>
                <w:iCs/>
                <w:noProof/>
                <w:szCs w:val="20"/>
              </w:rPr>
            </w:pPr>
          </w:p>
          <w:p w14:paraId="0C887D69" w14:textId="77777777" w:rsidR="00F00271" w:rsidRPr="000A350D" w:rsidRDefault="00F00271" w:rsidP="00F00271">
            <w:pPr>
              <w:tabs>
                <w:tab w:val="left" w:pos="2814"/>
              </w:tabs>
              <w:jc w:val="both"/>
            </w:pPr>
            <w:r w:rsidRPr="000A350D">
              <w:t>Glede na SWOT analizo so se pokazale naslednje potrebe:</w:t>
            </w:r>
          </w:p>
          <w:p w14:paraId="6B3FDA44" w14:textId="77777777" w:rsidR="00F00271" w:rsidRPr="000A350D" w:rsidRDefault="00F00271" w:rsidP="00F00271"/>
          <w:p w14:paraId="0BA55A98" w14:textId="3B62291C" w:rsidR="00F00271" w:rsidRPr="000A350D" w:rsidRDefault="00F00271" w:rsidP="009105C3">
            <w:pPr>
              <w:pStyle w:val="Odstavekseznama"/>
              <w:numPr>
                <w:ilvl w:val="0"/>
                <w:numId w:val="18"/>
              </w:numPr>
              <w:spacing w:line="240" w:lineRule="auto"/>
              <w:jc w:val="both"/>
            </w:pPr>
            <w:r w:rsidRPr="000A350D">
              <w:t xml:space="preserve">Omogočanje nadomestil v primeru začasnih zapor ribolova kot posledica izvajanja </w:t>
            </w:r>
            <w:r w:rsidR="00FC3679">
              <w:t xml:space="preserve">priporočil </w:t>
            </w:r>
            <w:r w:rsidRPr="000A350D">
              <w:t>GFCM</w:t>
            </w:r>
            <w:r w:rsidR="00FC3679">
              <w:t xml:space="preserve"> za pridnene in male pelagične staleže</w:t>
            </w:r>
            <w:r w:rsidRPr="000A350D">
              <w:t xml:space="preserve"> </w:t>
            </w:r>
            <w:r w:rsidR="009105C3">
              <w:t>(</w:t>
            </w:r>
            <w:r w:rsidR="009105C3" w:rsidRPr="009105C3">
              <w:t xml:space="preserve">Priporočilo za vzpostavitev večletnega načrta za trajnostno izkoriščanje malih </w:t>
            </w:r>
            <w:r w:rsidR="00C11E18" w:rsidRPr="009105C3">
              <w:t>pelagičnih</w:t>
            </w:r>
            <w:r w:rsidR="009105C3" w:rsidRPr="009105C3">
              <w:t xml:space="preserve"> staležev v Jadranskem morju</w:t>
            </w:r>
            <w:r w:rsidR="009105C3">
              <w:t xml:space="preserve"> (geografske podregije 17 in 18 ter</w:t>
            </w:r>
            <w:r w:rsidR="009105C3" w:rsidRPr="00711D5B">
              <w:t xml:space="preserve"> </w:t>
            </w:r>
            <w:r w:rsidR="009105C3">
              <w:t xml:space="preserve">Priporočilo </w:t>
            </w:r>
            <w:r w:rsidR="009105C3" w:rsidRPr="00711D5B">
              <w:t>GFCM/43/2019/5</w:t>
            </w:r>
            <w:r w:rsidR="009105C3">
              <w:t xml:space="preserve"> glede upravljanja pridnenih staležev)</w:t>
            </w:r>
            <w:r w:rsidR="009105C3" w:rsidRPr="00711D5B">
              <w:t xml:space="preserve"> </w:t>
            </w:r>
            <w:r w:rsidRPr="000A350D">
              <w:t xml:space="preserve">ter doseganja MSY ali zaradi naravnih nesreč, okoljskih pojavov ali zdravstvenih kriz, prepoznanih s strani odgovornih organov RS. </w:t>
            </w:r>
          </w:p>
          <w:p w14:paraId="61911E4E" w14:textId="11A5A2FA" w:rsidR="00F00271" w:rsidRPr="000A350D" w:rsidRDefault="00F00271" w:rsidP="00F96204">
            <w:pPr>
              <w:pStyle w:val="Odstavekseznama"/>
              <w:numPr>
                <w:ilvl w:val="0"/>
                <w:numId w:val="18"/>
              </w:numPr>
              <w:spacing w:line="240" w:lineRule="auto"/>
              <w:jc w:val="both"/>
            </w:pPr>
            <w:r w:rsidRPr="000A350D">
              <w:t>Izboljšanje pogojev za trženje ulova gospodarskih ribičev in omogočanje investicij na plovilih, ki izboljšujejo delovne, zdravstvene pogoje ribičev, energetsko učinkovitost plovila in izkoristek goriva</w:t>
            </w:r>
            <w:r w:rsidR="00DF0429">
              <w:t>, prav tako pa večjo selektivnost ribolovnega orodja in nakup ribolovnega orodja, ki prispeva k ohranjanju biotske raznovrstnosti (</w:t>
            </w:r>
            <w:r w:rsidR="008679E2">
              <w:t xml:space="preserve">Polyamid 6 - </w:t>
            </w:r>
            <w:r w:rsidR="00DF0429">
              <w:t>reciklaža)</w:t>
            </w:r>
            <w:r w:rsidRPr="000A350D">
              <w:t>.</w:t>
            </w:r>
          </w:p>
          <w:p w14:paraId="1744932B" w14:textId="49D58113" w:rsidR="00F00271" w:rsidRPr="000A350D" w:rsidRDefault="00F00271" w:rsidP="00F96204">
            <w:pPr>
              <w:pStyle w:val="Odstavekseznama"/>
              <w:numPr>
                <w:ilvl w:val="0"/>
                <w:numId w:val="18"/>
              </w:numPr>
              <w:spacing w:line="240" w:lineRule="auto"/>
              <w:jc w:val="both"/>
            </w:pPr>
            <w:r w:rsidRPr="000A350D">
              <w:t>Zagotovitev primernih pogojev za delo v ribiških pristaniščih</w:t>
            </w:r>
            <w:r w:rsidR="00CE174B">
              <w:t>, opr</w:t>
            </w:r>
            <w:r w:rsidR="00C11E18">
              <w:t xml:space="preserve">eme za shranjevanje </w:t>
            </w:r>
            <w:r w:rsidR="00CE174B">
              <w:t xml:space="preserve">iztovarjanje in skladiščenje nenamernega ulova </w:t>
            </w:r>
            <w:r w:rsidR="00C11E18">
              <w:t xml:space="preserve">ter </w:t>
            </w:r>
            <w:r w:rsidR="00CE174B">
              <w:t xml:space="preserve">za shranjevanje </w:t>
            </w:r>
            <w:r w:rsidR="00C11E18">
              <w:t>odpadlega ribolovnega orodja (SUP Direktiva)</w:t>
            </w:r>
            <w:r w:rsidRPr="000A350D">
              <w:t>.</w:t>
            </w:r>
          </w:p>
          <w:p w14:paraId="3CCEA3A0" w14:textId="29045EC1" w:rsidR="00F00271" w:rsidRDefault="00F00271" w:rsidP="00F96204">
            <w:pPr>
              <w:pStyle w:val="Odstavekseznama"/>
              <w:numPr>
                <w:ilvl w:val="0"/>
                <w:numId w:val="18"/>
              </w:numPr>
              <w:spacing w:line="240" w:lineRule="auto"/>
              <w:jc w:val="both"/>
            </w:pPr>
            <w:r w:rsidRPr="000A350D">
              <w:t xml:space="preserve">Izboljšanje poslovanja ribičev z omogočanjem </w:t>
            </w:r>
            <w:r w:rsidR="00C11E18">
              <w:t xml:space="preserve">tehničnega in strokovnega nasveta, iskanje primernih rešitev za bolj trajnostne prakse, pomoč pri </w:t>
            </w:r>
            <w:r w:rsidRPr="000A350D">
              <w:t>priprav</w:t>
            </w:r>
            <w:r w:rsidR="00C11E18">
              <w:t>i</w:t>
            </w:r>
            <w:r w:rsidRPr="000A350D">
              <w:t xml:space="preserve"> vlog in poslovnih načrtov. </w:t>
            </w:r>
          </w:p>
          <w:p w14:paraId="40F8CEF4" w14:textId="09417631" w:rsidR="00DF7F1E" w:rsidRDefault="00DF7F1E" w:rsidP="00F96204">
            <w:pPr>
              <w:pStyle w:val="Odstavekseznama"/>
              <w:numPr>
                <w:ilvl w:val="0"/>
                <w:numId w:val="18"/>
              </w:numPr>
              <w:spacing w:line="240" w:lineRule="auto"/>
              <w:jc w:val="both"/>
            </w:pPr>
            <w:r>
              <w:lastRenderedPageBreak/>
              <w:t xml:space="preserve">Spodbujanje </w:t>
            </w:r>
            <w:r w:rsidR="008679E2">
              <w:t xml:space="preserve">dodajanja vrednosti ribškim proizvodom v okviru </w:t>
            </w:r>
            <w:r>
              <w:t>kratkih prodajnih verig</w:t>
            </w:r>
          </w:p>
          <w:p w14:paraId="03D088C9" w14:textId="3FF85896" w:rsidR="00DF7F1E" w:rsidRPr="000A350D" w:rsidRDefault="00DF7F1E" w:rsidP="00F96204">
            <w:pPr>
              <w:pStyle w:val="Odstavekseznama"/>
              <w:numPr>
                <w:ilvl w:val="0"/>
                <w:numId w:val="18"/>
              </w:numPr>
              <w:spacing w:line="240" w:lineRule="auto"/>
              <w:jc w:val="both"/>
            </w:pPr>
            <w:r>
              <w:t xml:space="preserve">Zamenjava ali posodobitev glavnega ali pomožnega motorja na plovilih </w:t>
            </w:r>
          </w:p>
          <w:p w14:paraId="5E680425" w14:textId="27B3CD29" w:rsidR="00F00271" w:rsidRDefault="00B5513D" w:rsidP="00F96204">
            <w:pPr>
              <w:pStyle w:val="Odstavekseznama"/>
              <w:numPr>
                <w:ilvl w:val="0"/>
                <w:numId w:val="18"/>
              </w:numPr>
              <w:spacing w:line="240" w:lineRule="auto"/>
              <w:jc w:val="both"/>
            </w:pPr>
            <w:r>
              <w:t>Izboljšanje sistema</w:t>
            </w:r>
            <w:r w:rsidRPr="000A350D">
              <w:t xml:space="preserve"> </w:t>
            </w:r>
            <w:r w:rsidR="00F00271" w:rsidRPr="000A350D">
              <w:t>zbiranja podatkov za potrebe izvajanje SRP, izboljšanje sistema zbiranja in upravljanja podatkov s strojno in programsko IT opremo in izvajanjem študij, pilotnih projektov, raziskav, vzorčenj, delavnic, prenosom znanja, pripravami podatkov in izvedbo zbiranja podatkov.</w:t>
            </w:r>
          </w:p>
          <w:p w14:paraId="5773E32B" w14:textId="43926371" w:rsidR="00F00271" w:rsidRDefault="00F00271" w:rsidP="00F96204">
            <w:pPr>
              <w:pStyle w:val="Odstavekseznama"/>
              <w:numPr>
                <w:ilvl w:val="0"/>
                <w:numId w:val="18"/>
              </w:numPr>
              <w:spacing w:line="240" w:lineRule="auto"/>
              <w:jc w:val="both"/>
            </w:pPr>
            <w:r w:rsidRPr="000A350D">
              <w:t>Izboljšanje sistema nadzora in izvrševanja ribištva ter izpolnitev obveznosti Republike Slovenije na področju nadzornega sistema skupne ribiške politike, kakršne bodo določene z revizijo Uredbe (ES) št. 1224/2009 o nadzornem sistemu, kot tudi z morebitnimi spremembami drugih zakonodajnih podlag na področju nadzornega sistema skupne ribiške politike.</w:t>
            </w:r>
          </w:p>
          <w:p w14:paraId="61FDB7F2" w14:textId="68D60CB4" w:rsidR="00DF0843" w:rsidRPr="000A350D" w:rsidRDefault="00DF0843" w:rsidP="00F96204">
            <w:pPr>
              <w:pStyle w:val="Odstavekseznama"/>
              <w:numPr>
                <w:ilvl w:val="0"/>
                <w:numId w:val="18"/>
              </w:numPr>
              <w:spacing w:line="240" w:lineRule="auto"/>
              <w:jc w:val="both"/>
            </w:pPr>
            <w:r>
              <w:t>Izboljšanje povezljivosti med IT sistemom zbiranja podatkov in IT sistemom za nadzor in izvrševanje – digitalizacija.</w:t>
            </w:r>
          </w:p>
          <w:p w14:paraId="13DEDFC3" w14:textId="48A86D59" w:rsidR="00F00271" w:rsidRDefault="00F00271" w:rsidP="00F96204">
            <w:pPr>
              <w:pStyle w:val="Odstavekseznama"/>
              <w:numPr>
                <w:ilvl w:val="0"/>
                <w:numId w:val="18"/>
              </w:numPr>
              <w:spacing w:line="240" w:lineRule="auto"/>
              <w:jc w:val="both"/>
            </w:pPr>
            <w:r w:rsidRPr="000A350D">
              <w:t>Izboljšanje sodelovanja med ribiči in znanstveniki</w:t>
            </w:r>
            <w:r w:rsidR="001E62A9">
              <w:t>, še zlasti pri odpravljanju posledic podnebnih sprememb in iskanju rešitev za gospodarsko trajnost</w:t>
            </w:r>
            <w:r w:rsidRPr="000A350D">
              <w:t>.</w:t>
            </w:r>
          </w:p>
          <w:p w14:paraId="6950CB84" w14:textId="6E9703BA" w:rsidR="00DF0429" w:rsidRDefault="00DF0429" w:rsidP="00F96204">
            <w:pPr>
              <w:pStyle w:val="Odstavekseznama"/>
              <w:numPr>
                <w:ilvl w:val="0"/>
                <w:numId w:val="18"/>
              </w:numPr>
              <w:spacing w:line="240" w:lineRule="auto"/>
              <w:jc w:val="both"/>
            </w:pPr>
            <w:r>
              <w:t>Zbiranje morskih odpadkov in odpadlega ribolovnega orodja.</w:t>
            </w:r>
          </w:p>
          <w:p w14:paraId="68251E5D" w14:textId="2AEF3695" w:rsidR="00B5513D" w:rsidRDefault="00B5513D" w:rsidP="00F96204">
            <w:pPr>
              <w:pStyle w:val="Odstavekseznama"/>
              <w:numPr>
                <w:ilvl w:val="0"/>
                <w:numId w:val="18"/>
              </w:numPr>
              <w:spacing w:line="240" w:lineRule="auto"/>
              <w:jc w:val="both"/>
            </w:pPr>
            <w:r>
              <w:t>Izvajanje ukrepov za dosego ali ohranitev dobrega okoljskega stanja v morskem okolju iz 1(1) Direktive 2008/56/ES.</w:t>
            </w:r>
          </w:p>
          <w:p w14:paraId="360DBA70" w14:textId="67585037" w:rsidR="00B5513D" w:rsidRPr="000A350D" w:rsidRDefault="00B5513D" w:rsidP="00F96204">
            <w:pPr>
              <w:pStyle w:val="Odstavekseznama"/>
              <w:numPr>
                <w:ilvl w:val="0"/>
                <w:numId w:val="18"/>
              </w:numPr>
              <w:spacing w:line="240" w:lineRule="auto"/>
              <w:jc w:val="both"/>
            </w:pPr>
            <w:r>
              <w:t>Izvajanje prostorskih varovalnih ukrepov, vzpostavljenih v skladu s členom 13(4) Direktive 20008/56/ES.</w:t>
            </w:r>
          </w:p>
          <w:p w14:paraId="683AE7F8" w14:textId="77777777" w:rsidR="00F00271" w:rsidRPr="000A350D" w:rsidRDefault="00F00271" w:rsidP="00F96204">
            <w:pPr>
              <w:pStyle w:val="Odstavekseznama"/>
              <w:numPr>
                <w:ilvl w:val="0"/>
                <w:numId w:val="18"/>
              </w:numPr>
              <w:spacing w:line="240" w:lineRule="auto"/>
              <w:jc w:val="both"/>
            </w:pPr>
            <w:r w:rsidRPr="000A350D">
              <w:t xml:space="preserve">Preprečevanje in obvladovanje vnosa in širjenja invazivnih tujerodnih vrst vključno z zbiranjem </w:t>
            </w:r>
            <w:r w:rsidRPr="000A350D">
              <w:lastRenderedPageBreak/>
              <w:t>informacij o razširjenosti tujerodnih vrst in njihovimi vplivi.</w:t>
            </w:r>
          </w:p>
          <w:p w14:paraId="36E214C6" w14:textId="4B9EB407" w:rsidR="00F00271" w:rsidRPr="000A350D" w:rsidRDefault="00E34625" w:rsidP="00F96204">
            <w:pPr>
              <w:pStyle w:val="Odstavekseznama"/>
              <w:numPr>
                <w:ilvl w:val="0"/>
                <w:numId w:val="18"/>
              </w:numPr>
              <w:spacing w:line="240" w:lineRule="auto"/>
              <w:jc w:val="both"/>
            </w:pPr>
            <w:r>
              <w:t>Izboljšanje upravljanja zavarovanih in var</w:t>
            </w:r>
            <w:r w:rsidR="00EB194E">
              <w:t>ovanih</w:t>
            </w:r>
            <w:r>
              <w:t xml:space="preserve"> območij na morju</w:t>
            </w:r>
            <w:r w:rsidR="00B5513D">
              <w:t>.</w:t>
            </w:r>
          </w:p>
          <w:p w14:paraId="1A43B730" w14:textId="57DF2B59" w:rsidR="00F00271" w:rsidRPr="000A350D" w:rsidRDefault="00E34625" w:rsidP="00F96204">
            <w:pPr>
              <w:pStyle w:val="Odstavekseznama"/>
              <w:numPr>
                <w:ilvl w:val="0"/>
                <w:numId w:val="18"/>
              </w:numPr>
              <w:spacing w:line="240" w:lineRule="auto"/>
              <w:jc w:val="both"/>
            </w:pPr>
            <w:r>
              <w:t>Izboljšanje u</w:t>
            </w:r>
            <w:r w:rsidR="00F00271" w:rsidRPr="000A350D">
              <w:t>pravljanj</w:t>
            </w:r>
            <w:r>
              <w:t>a</w:t>
            </w:r>
            <w:r w:rsidR="00F00271" w:rsidRPr="000A350D">
              <w:t xml:space="preserve"> z morskimi in obalnimi vrstami in habitati Natura 2000 (študije o vrstah in habitatih Natura 2000 ter o vplivih nanje; varstvo in obnova populacij (staležev) ter izvajanje ukrepov iz Programa upravljanja območij Natura 2000 na morju in obalnih območjih ter ukrepov iz prednostnega okvira ukrepanja</w:t>
            </w:r>
            <w:r w:rsidR="00B5513D">
              <w:t>.</w:t>
            </w:r>
          </w:p>
          <w:p w14:paraId="32D77C50" w14:textId="2D583507" w:rsidR="00F00271" w:rsidRPr="000A350D" w:rsidRDefault="00F12DBE" w:rsidP="00F96204">
            <w:pPr>
              <w:pStyle w:val="Odstavekseznama"/>
              <w:numPr>
                <w:ilvl w:val="0"/>
                <w:numId w:val="18"/>
              </w:numPr>
              <w:spacing w:line="240" w:lineRule="auto"/>
              <w:jc w:val="both"/>
            </w:pPr>
            <w:r>
              <w:t>Obnavljanje celinskih voda v skladu s programo</w:t>
            </w:r>
            <w:r w:rsidR="005728A6">
              <w:t>m</w:t>
            </w:r>
            <w:r>
              <w:t xml:space="preserve"> u</w:t>
            </w:r>
            <w:r w:rsidR="00540655">
              <w:t xml:space="preserve">krepov na podlagi 11. člena Direktive 2000/60/ES. </w:t>
            </w:r>
          </w:p>
          <w:p w14:paraId="3D53A70A" w14:textId="5E5A6A84" w:rsidR="001A01C7" w:rsidRPr="001A01C7" w:rsidRDefault="001A01C7" w:rsidP="00B5513D">
            <w:pPr>
              <w:tabs>
                <w:tab w:val="left" w:pos="2814"/>
              </w:tabs>
              <w:spacing w:line="276" w:lineRule="auto"/>
              <w:jc w:val="both"/>
              <w:rPr>
                <w:rFonts w:cs="Arial"/>
                <w:b/>
                <w:iCs/>
                <w:noProof/>
                <w:szCs w:val="20"/>
              </w:rPr>
            </w:pPr>
          </w:p>
        </w:tc>
        <w:tc>
          <w:tcPr>
            <w:tcW w:w="3794" w:type="dxa"/>
            <w:vMerge/>
            <w:shd w:val="clear" w:color="auto" w:fill="auto"/>
          </w:tcPr>
          <w:p w14:paraId="4D3BF3B0" w14:textId="77777777" w:rsidR="00B351E2" w:rsidRPr="00490EB8" w:rsidRDefault="00B351E2" w:rsidP="00B351E2">
            <w:pPr>
              <w:tabs>
                <w:tab w:val="left" w:pos="2814"/>
              </w:tabs>
              <w:spacing w:line="276" w:lineRule="auto"/>
              <w:rPr>
                <w:rFonts w:cs="Arial"/>
                <w:iCs/>
                <w:noProof/>
                <w:szCs w:val="20"/>
              </w:rPr>
            </w:pPr>
          </w:p>
        </w:tc>
      </w:tr>
    </w:tbl>
    <w:p w14:paraId="7EEBBD5E" w14:textId="77777777" w:rsidR="00F018CA" w:rsidRPr="00B63779" w:rsidRDefault="00F018CA" w:rsidP="00C8028B">
      <w:pPr>
        <w:spacing w:after="200" w:line="276" w:lineRule="auto"/>
        <w:ind w:firstLine="708"/>
        <w:rPr>
          <w:rFonts w:cs="Arial"/>
          <w:i/>
          <w:noProof/>
          <w:szCs w:val="20"/>
        </w:rPr>
      </w:pPr>
    </w:p>
    <w:tbl>
      <w:tblPr>
        <w:tblpPr w:leftFromText="141" w:rightFromText="141" w:vertAnchor="text" w:horzAnchor="margin" w:tblpY="-7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4"/>
        <w:gridCol w:w="1701"/>
        <w:gridCol w:w="5386"/>
        <w:gridCol w:w="3794"/>
      </w:tblGrid>
      <w:tr w:rsidR="00B351E2" w:rsidRPr="00B552BE" w14:paraId="2B0431D4" w14:textId="77777777" w:rsidTr="00B351E2">
        <w:tc>
          <w:tcPr>
            <w:tcW w:w="0" w:type="auto"/>
            <w:gridSpan w:val="4"/>
            <w:shd w:val="clear" w:color="auto" w:fill="auto"/>
          </w:tcPr>
          <w:p w14:paraId="34CCAC8B" w14:textId="77777777" w:rsidR="00B351E2" w:rsidRPr="00B552BE" w:rsidRDefault="00B351E2" w:rsidP="00B351E2">
            <w:pPr>
              <w:rPr>
                <w:b/>
              </w:rPr>
            </w:pPr>
            <w:r w:rsidRPr="00B552BE">
              <w:rPr>
                <w:b/>
              </w:rPr>
              <w:lastRenderedPageBreak/>
              <w:t>Preglednica 1A</w:t>
            </w:r>
          </w:p>
        </w:tc>
      </w:tr>
      <w:tr w:rsidR="00AE5FAB" w:rsidRPr="00B552BE" w14:paraId="23B47145" w14:textId="77777777" w:rsidTr="00876A94">
        <w:tc>
          <w:tcPr>
            <w:tcW w:w="3114" w:type="dxa"/>
            <w:shd w:val="clear" w:color="auto" w:fill="auto"/>
          </w:tcPr>
          <w:p w14:paraId="5AF869FB" w14:textId="77777777" w:rsidR="00B351E2" w:rsidRPr="00B552BE" w:rsidRDefault="00B351E2" w:rsidP="00B351E2">
            <w:pPr>
              <w:rPr>
                <w:b/>
              </w:rPr>
            </w:pPr>
            <w:r w:rsidRPr="00B552BE">
              <w:rPr>
                <w:b/>
              </w:rPr>
              <w:t>Ciljne politike</w:t>
            </w:r>
          </w:p>
        </w:tc>
        <w:tc>
          <w:tcPr>
            <w:tcW w:w="1701" w:type="dxa"/>
            <w:shd w:val="clear" w:color="auto" w:fill="auto"/>
          </w:tcPr>
          <w:p w14:paraId="0706A578" w14:textId="77777777" w:rsidR="00B351E2" w:rsidRPr="00B552BE" w:rsidRDefault="00B351E2" w:rsidP="00B351E2">
            <w:pPr>
              <w:rPr>
                <w:b/>
              </w:rPr>
            </w:pPr>
            <w:r w:rsidRPr="00B552BE">
              <w:rPr>
                <w:b/>
              </w:rPr>
              <w:t>Prednostna naloga</w:t>
            </w:r>
          </w:p>
        </w:tc>
        <w:tc>
          <w:tcPr>
            <w:tcW w:w="5386" w:type="dxa"/>
            <w:shd w:val="clear" w:color="auto" w:fill="auto"/>
          </w:tcPr>
          <w:p w14:paraId="2506938F" w14:textId="10B1C8DA" w:rsidR="00B351E2" w:rsidRPr="00B552BE" w:rsidRDefault="00B351E2" w:rsidP="00B351E2">
            <w:pPr>
              <w:rPr>
                <w:b/>
              </w:rPr>
            </w:pPr>
            <w:r w:rsidRPr="00B552BE">
              <w:rPr>
                <w:b/>
              </w:rPr>
              <w:t>SWOT analiza (za vsako prednost</w:t>
            </w:r>
            <w:r>
              <w:rPr>
                <w:b/>
              </w:rPr>
              <w:t>no nalogo</w:t>
            </w:r>
            <w:r w:rsidRPr="00B552BE">
              <w:rPr>
                <w:b/>
              </w:rPr>
              <w:t>)</w:t>
            </w:r>
          </w:p>
        </w:tc>
        <w:tc>
          <w:tcPr>
            <w:tcW w:w="3794" w:type="dxa"/>
            <w:shd w:val="clear" w:color="auto" w:fill="auto"/>
          </w:tcPr>
          <w:p w14:paraId="085799D0" w14:textId="77777777" w:rsidR="00B351E2" w:rsidRPr="00B552BE" w:rsidRDefault="00B351E2" w:rsidP="00B351E2">
            <w:pPr>
              <w:rPr>
                <w:b/>
              </w:rPr>
            </w:pPr>
            <w:r w:rsidRPr="00B552BE">
              <w:rPr>
                <w:b/>
              </w:rPr>
              <w:t>Utemeljitev (povzetek)</w:t>
            </w:r>
          </w:p>
        </w:tc>
      </w:tr>
      <w:tr w:rsidR="00950A25" w:rsidRPr="00F700CD" w14:paraId="62E375FF" w14:textId="77777777" w:rsidTr="00876A94">
        <w:trPr>
          <w:trHeight w:val="40"/>
        </w:trPr>
        <w:tc>
          <w:tcPr>
            <w:tcW w:w="3114" w:type="dxa"/>
            <w:vMerge w:val="restart"/>
            <w:shd w:val="clear" w:color="auto" w:fill="auto"/>
          </w:tcPr>
          <w:p w14:paraId="5C6A1A17" w14:textId="77777777" w:rsidR="00950A25" w:rsidRPr="00090944" w:rsidRDefault="00950A25" w:rsidP="00950A25">
            <w:pPr>
              <w:jc w:val="both"/>
            </w:pPr>
            <w:r w:rsidRPr="00090944">
              <w:t>Bolj zelena, nizkoogljična Evropa s spodbujanjem prehoda na čisto in pravično energijo, zelene in modre naložbe, krožno gospodarstvo, prilagajanje podnebnim spremembam ter preprečevanje in upravljanje tveganj</w:t>
            </w:r>
          </w:p>
        </w:tc>
        <w:tc>
          <w:tcPr>
            <w:tcW w:w="1701" w:type="dxa"/>
            <w:vMerge w:val="restart"/>
            <w:shd w:val="clear" w:color="auto" w:fill="auto"/>
          </w:tcPr>
          <w:p w14:paraId="6D77BCC5" w14:textId="77777777" w:rsidR="00950A25" w:rsidRPr="00090944" w:rsidRDefault="00950A25" w:rsidP="00950A25">
            <w:pPr>
              <w:jc w:val="both"/>
            </w:pPr>
            <w:r w:rsidRPr="00090944">
              <w:t>Spodbujanje trajnostnih dejavnosti akvakulture ter predelave in trženja ribiških proizvodov in proizvodov iz akvakulture</w:t>
            </w:r>
          </w:p>
        </w:tc>
        <w:tc>
          <w:tcPr>
            <w:tcW w:w="5386" w:type="dxa"/>
            <w:shd w:val="clear" w:color="auto" w:fill="auto"/>
          </w:tcPr>
          <w:p w14:paraId="3637579C" w14:textId="324925F5" w:rsidR="00950A25" w:rsidRPr="00794192" w:rsidRDefault="00FE498C" w:rsidP="00794192">
            <w:pPr>
              <w:pStyle w:val="Brezrazmikov"/>
              <w:rPr>
                <w:b/>
              </w:rPr>
            </w:pPr>
            <w:r w:rsidRPr="00794192">
              <w:rPr>
                <w:b/>
              </w:rPr>
              <w:t>Prednosti</w:t>
            </w:r>
          </w:p>
          <w:p w14:paraId="04618327" w14:textId="77777777" w:rsidR="00FE498C" w:rsidRPr="00794192" w:rsidRDefault="00FE498C" w:rsidP="00794192">
            <w:pPr>
              <w:pStyle w:val="Brezrazmikov"/>
              <w:rPr>
                <w:i/>
                <w:u w:val="single"/>
              </w:rPr>
            </w:pPr>
            <w:r w:rsidRPr="00794192">
              <w:rPr>
                <w:i/>
                <w:u w:val="single"/>
              </w:rPr>
              <w:t>Akvakultura</w:t>
            </w:r>
          </w:p>
          <w:p w14:paraId="70985093" w14:textId="77777777" w:rsidR="00EA2A34" w:rsidRPr="00AF69E7" w:rsidRDefault="00EA2A34" w:rsidP="00F96204">
            <w:pPr>
              <w:pStyle w:val="Brezrazmikov"/>
              <w:numPr>
                <w:ilvl w:val="0"/>
                <w:numId w:val="20"/>
              </w:numPr>
            </w:pPr>
            <w:r w:rsidRPr="00AF69E7">
              <w:t>tradicija vzreje, izkušnje, znanje ter poznavanje predvsem tehnologije klasične akvakulture (3)</w:t>
            </w:r>
          </w:p>
          <w:p w14:paraId="1E581D00" w14:textId="77777777" w:rsidR="00EA2A34" w:rsidRPr="00AF69E7" w:rsidRDefault="00EA2A34" w:rsidP="00F96204">
            <w:pPr>
              <w:pStyle w:val="Brezrazmikov"/>
              <w:numPr>
                <w:ilvl w:val="0"/>
                <w:numId w:val="20"/>
              </w:numPr>
            </w:pPr>
            <w:r w:rsidRPr="00AF69E7">
              <w:t>obrati akvakulture po celotnem ozemlju Slovenije (4)</w:t>
            </w:r>
          </w:p>
          <w:p w14:paraId="355D5DBF" w14:textId="77777777" w:rsidR="00EA2A34" w:rsidRPr="00AF69E7" w:rsidRDefault="00EA2A34" w:rsidP="00F96204">
            <w:pPr>
              <w:pStyle w:val="Brezrazmikov"/>
              <w:numPr>
                <w:ilvl w:val="0"/>
                <w:numId w:val="20"/>
              </w:numPr>
            </w:pPr>
            <w:r w:rsidRPr="00AF69E7">
              <w:t>obstoj različnih vrst akvakulture: toplovodna, hladnovodna in marikultura (8)</w:t>
            </w:r>
          </w:p>
          <w:p w14:paraId="59E22C92" w14:textId="77777777" w:rsidR="00EA2A34" w:rsidRPr="00AF69E7" w:rsidRDefault="00EA2A34" w:rsidP="00F96204">
            <w:pPr>
              <w:pStyle w:val="Brezrazmikov"/>
              <w:numPr>
                <w:ilvl w:val="0"/>
                <w:numId w:val="20"/>
              </w:numPr>
            </w:pPr>
            <w:r w:rsidRPr="00AF69E7">
              <w:t>v zadnjem obdobju uvajanje zaprtih sistemov (2)</w:t>
            </w:r>
          </w:p>
          <w:p w14:paraId="54D4C21E" w14:textId="77777777" w:rsidR="00EA2A34" w:rsidRPr="00AF69E7" w:rsidRDefault="00EA2A34" w:rsidP="00F96204">
            <w:pPr>
              <w:pStyle w:val="Brezrazmikov"/>
              <w:numPr>
                <w:ilvl w:val="0"/>
                <w:numId w:val="20"/>
              </w:numPr>
            </w:pPr>
            <w:r w:rsidRPr="00AF69E7">
              <w:t>visoka naravna produktivnost pri gojenju školjk (1)</w:t>
            </w:r>
          </w:p>
          <w:p w14:paraId="0127D404" w14:textId="77777777" w:rsidR="00EA2A34" w:rsidRPr="00AF69E7" w:rsidRDefault="00EA2A34" w:rsidP="00F96204">
            <w:pPr>
              <w:pStyle w:val="Brezrazmikov"/>
              <w:numPr>
                <w:ilvl w:val="0"/>
                <w:numId w:val="20"/>
              </w:numPr>
            </w:pPr>
            <w:r w:rsidRPr="00AF69E7">
              <w:t>raznolikost akvakulture in pestra ponudba na trgu proizvodov in kategorij vodnih organizmov (ikre, mladice, odrasle ribe) (1)</w:t>
            </w:r>
          </w:p>
          <w:p w14:paraId="6FFD4C21" w14:textId="77777777" w:rsidR="00EA2A34" w:rsidRPr="00AF69E7" w:rsidRDefault="00EA2A34" w:rsidP="00F96204">
            <w:pPr>
              <w:pStyle w:val="Brezrazmikov"/>
              <w:numPr>
                <w:ilvl w:val="0"/>
                <w:numId w:val="20"/>
              </w:numPr>
            </w:pPr>
            <w:r w:rsidRPr="00AF69E7">
              <w:t>gojitev avtohtonih vrst vodnih organizmov (1)</w:t>
            </w:r>
          </w:p>
          <w:p w14:paraId="635E9469" w14:textId="44B13200" w:rsidR="00EA2A34" w:rsidRPr="00AF69E7" w:rsidRDefault="00EA2A34" w:rsidP="00F96204">
            <w:pPr>
              <w:pStyle w:val="Brezrazmikov"/>
              <w:numPr>
                <w:ilvl w:val="0"/>
                <w:numId w:val="20"/>
              </w:numPr>
            </w:pPr>
            <w:r w:rsidRPr="00AF69E7">
              <w:t>diverzificirana dejavnost (majhni predelovalni obrati, športni ribolov, turizem, lastna predelava in direktno trženje do potrošnika itd) (1)</w:t>
            </w:r>
          </w:p>
          <w:p w14:paraId="3E706047" w14:textId="77777777" w:rsidR="00EA2A34" w:rsidRPr="00AF69E7" w:rsidRDefault="00EA2A34" w:rsidP="00F96204">
            <w:pPr>
              <w:pStyle w:val="Brezrazmikov"/>
              <w:numPr>
                <w:ilvl w:val="0"/>
                <w:numId w:val="20"/>
              </w:numPr>
            </w:pPr>
            <w:r w:rsidRPr="00AF69E7">
              <w:t>lokalna samooskrba in kratke trgovske verige (1)</w:t>
            </w:r>
          </w:p>
          <w:p w14:paraId="772E979C" w14:textId="782A5F5A" w:rsidR="00EA2A34" w:rsidRPr="00AF69E7" w:rsidRDefault="00EA2A34" w:rsidP="00F96204">
            <w:pPr>
              <w:pStyle w:val="Brezrazmikov"/>
              <w:numPr>
                <w:ilvl w:val="0"/>
                <w:numId w:val="20"/>
              </w:numPr>
            </w:pPr>
            <w:r w:rsidRPr="00AF69E7">
              <w:t>naravovarstvena vloga akvakulture (3)</w:t>
            </w:r>
          </w:p>
          <w:p w14:paraId="6523B06C" w14:textId="77777777" w:rsidR="00FE498C" w:rsidRPr="00794192" w:rsidRDefault="00FE498C" w:rsidP="00794192">
            <w:pPr>
              <w:pStyle w:val="Brezrazmikov"/>
              <w:rPr>
                <w:i/>
                <w:u w:val="single"/>
              </w:rPr>
            </w:pPr>
            <w:r w:rsidRPr="00794192">
              <w:rPr>
                <w:i/>
                <w:u w:val="single"/>
              </w:rPr>
              <w:t>Predelava in trženje proizvodov iz ribištva in akvakulture</w:t>
            </w:r>
          </w:p>
          <w:p w14:paraId="02EDA434" w14:textId="77777777" w:rsidR="00AF69E7" w:rsidRPr="00AF69E7" w:rsidRDefault="00AF69E7" w:rsidP="00F96204">
            <w:pPr>
              <w:pStyle w:val="Brezrazmikov"/>
              <w:numPr>
                <w:ilvl w:val="0"/>
                <w:numId w:val="20"/>
              </w:numPr>
            </w:pPr>
            <w:r w:rsidRPr="00AF69E7">
              <w:t>tradicija in izkušnje v predelovalni industriji (4)</w:t>
            </w:r>
          </w:p>
          <w:p w14:paraId="71C120E6" w14:textId="77777777" w:rsidR="00AF69E7" w:rsidRPr="00AF69E7" w:rsidRDefault="00AF69E7" w:rsidP="00F96204">
            <w:pPr>
              <w:pStyle w:val="Brezrazmikov"/>
              <w:numPr>
                <w:ilvl w:val="0"/>
                <w:numId w:val="20"/>
              </w:numPr>
            </w:pPr>
            <w:r w:rsidRPr="00AF69E7">
              <w:t>pestrost ponudbe proizvodov iz predelave (8)</w:t>
            </w:r>
          </w:p>
          <w:p w14:paraId="191818BC" w14:textId="77777777" w:rsidR="00AF69E7" w:rsidRPr="00AF69E7" w:rsidRDefault="00AF69E7" w:rsidP="00F96204">
            <w:pPr>
              <w:pStyle w:val="Brezrazmikov"/>
              <w:numPr>
                <w:ilvl w:val="0"/>
                <w:numId w:val="20"/>
              </w:numPr>
            </w:pPr>
            <w:r w:rsidRPr="00AF69E7">
              <w:t>dobava na lokalne trge in celovita distribucijska pokritost (6)</w:t>
            </w:r>
          </w:p>
          <w:p w14:paraId="4C79B48B" w14:textId="39B6FFC3" w:rsidR="00AF69E7" w:rsidRPr="00AF69E7" w:rsidRDefault="00AF69E7" w:rsidP="00F96204">
            <w:pPr>
              <w:pStyle w:val="Brezrazmikov"/>
              <w:numPr>
                <w:ilvl w:val="0"/>
                <w:numId w:val="20"/>
              </w:numPr>
            </w:pPr>
            <w:r w:rsidRPr="00AF69E7">
              <w:t>bližina trgov</w:t>
            </w:r>
            <w:r w:rsidR="0061123E">
              <w:t xml:space="preserve"> z navadami ribiških potrošnje </w:t>
            </w:r>
            <w:r w:rsidRPr="00AF69E7">
              <w:t>proizvodov in proizvodov iz akvakulture (6)</w:t>
            </w:r>
          </w:p>
          <w:p w14:paraId="741026F0" w14:textId="77777777" w:rsidR="00AF69E7" w:rsidRPr="00AF69E7" w:rsidRDefault="00AF69E7" w:rsidP="00F96204">
            <w:pPr>
              <w:pStyle w:val="Brezrazmikov"/>
              <w:numPr>
                <w:ilvl w:val="0"/>
                <w:numId w:val="20"/>
              </w:numPr>
            </w:pPr>
            <w:r w:rsidRPr="00AF69E7">
              <w:t>vse na enem mestu: proizvodnja v objektu akvakulture, lastna predelava in prodaja lastnih proizvodov (6)</w:t>
            </w:r>
          </w:p>
          <w:p w14:paraId="3542E59B" w14:textId="74A881AD" w:rsidR="00E85CB2" w:rsidRPr="00AF69E7" w:rsidRDefault="00AF69E7" w:rsidP="00F96204">
            <w:pPr>
              <w:pStyle w:val="Brezrazmikov"/>
              <w:numPr>
                <w:ilvl w:val="0"/>
                <w:numId w:val="20"/>
              </w:numPr>
            </w:pPr>
            <w:r w:rsidRPr="00AF69E7">
              <w:t>večje število manjših predelovalnih</w:t>
            </w:r>
            <w:r w:rsidR="0061123E">
              <w:t>0</w:t>
            </w:r>
          </w:p>
        </w:tc>
        <w:tc>
          <w:tcPr>
            <w:tcW w:w="3794" w:type="dxa"/>
            <w:vMerge w:val="restart"/>
            <w:shd w:val="clear" w:color="auto" w:fill="auto"/>
          </w:tcPr>
          <w:p w14:paraId="289C8DD1" w14:textId="7677252C" w:rsidR="00B76E8B" w:rsidRDefault="00B76E8B" w:rsidP="00B76E8B">
            <w:pPr>
              <w:jc w:val="both"/>
              <w:rPr>
                <w:rFonts w:cs="Arial"/>
                <w:szCs w:val="20"/>
              </w:rPr>
            </w:pPr>
            <w:r w:rsidRPr="00C34B92">
              <w:rPr>
                <w:rFonts w:cs="Arial"/>
                <w:szCs w:val="20"/>
              </w:rPr>
              <w:t xml:space="preserve"> Sektor akvakulture v RS je raznovrsten, razdrobljen, predvsem pa majhen in premalo prepoznaven. </w:t>
            </w:r>
            <w:r w:rsidRPr="00DB5F12">
              <w:rPr>
                <w:rFonts w:cs="Arial"/>
                <w:szCs w:val="20"/>
              </w:rPr>
              <w:t>V sektorju deluje skupno 102 subjekta, ki imajo prijavljeno dejavnost akvakulture, od tega 96 v sladkovodni akvakulturi (vir: Centralni register objektov akvakulture in komercialnih ribnikov). V tem sektorju se jih 83 ukvarja s hladnovodno vzrejo, 16 s toplovodno vzrejo, 3 imajo tudi RAS sisteme in eden akvaponiko. V marikulturi se 7 subjektov ukvarja s školjkarstvom, eden od njih pa ima poleg školjk tudi vzrejo morskih rib.</w:t>
            </w:r>
            <w:r>
              <w:rPr>
                <w:rFonts w:cs="Arial"/>
                <w:szCs w:val="20"/>
              </w:rPr>
              <w:t xml:space="preserve"> </w:t>
            </w:r>
            <w:r w:rsidRPr="008E5C2E">
              <w:rPr>
                <w:rFonts w:cs="Arial"/>
                <w:szCs w:val="20"/>
              </w:rPr>
              <w:t xml:space="preserve">Razen enega povezanega podjetja, ki sodi med velika podjetja, sodi večina podjetij med mikro in mala podjetja, med njimi je tudi veliko takih, kjer je akvakultura zastopana le kot dopolnilna dejavnost, ali na kmetiji ali pri kaki drugi dejavnosti. Z vzrejo rib za trg se ukvarjajo tudi nekatera društva, ki imajo koncesije za ribiško upravljanje in javni Zavod za ribištvo Slovenije, ki ima registrirano tudi tržno dejavnost akvakulture. </w:t>
            </w:r>
            <w:r w:rsidRPr="00C34B92">
              <w:rPr>
                <w:rFonts w:cs="Arial"/>
                <w:szCs w:val="20"/>
              </w:rPr>
              <w:t xml:space="preserve">Razen nekaj izjem nastopajo vsi proizvajalci večinoma na lokalnem trgu. Pogosto se v  akvakulturi zaradi ekonomske vzdržnosti išče dodano vrednost s predelavo proizvodov, različno turistično ponudbo, rekreacijskim ribolovom, </w:t>
            </w:r>
            <w:r w:rsidRPr="00C34B92">
              <w:rPr>
                <w:rFonts w:cs="Arial"/>
                <w:szCs w:val="20"/>
              </w:rPr>
              <w:lastRenderedPageBreak/>
              <w:t xml:space="preserve">diverzifikacijo itd. </w:t>
            </w:r>
            <w:r>
              <w:rPr>
                <w:rFonts w:cs="Arial"/>
                <w:szCs w:val="20"/>
              </w:rPr>
              <w:t xml:space="preserve">V letu 2019 je bilo v </w:t>
            </w:r>
            <w:r w:rsidR="006A0D09">
              <w:rPr>
                <w:rFonts w:cs="Arial"/>
                <w:szCs w:val="20"/>
              </w:rPr>
              <w:t>marikulturi</w:t>
            </w:r>
            <w:r>
              <w:rPr>
                <w:rFonts w:cs="Arial"/>
                <w:szCs w:val="20"/>
              </w:rPr>
              <w:t xml:space="preserve"> 35 delovno </w:t>
            </w:r>
            <w:r w:rsidR="006A0D09">
              <w:rPr>
                <w:rFonts w:cs="Arial"/>
                <w:szCs w:val="20"/>
              </w:rPr>
              <w:t>aktivnih</w:t>
            </w:r>
            <w:r>
              <w:rPr>
                <w:rFonts w:cs="Arial"/>
                <w:szCs w:val="20"/>
              </w:rPr>
              <w:t xml:space="preserve"> oseb, delovno aktivnih oseb s polnim delovnim časom pa 27, v </w:t>
            </w:r>
            <w:r w:rsidR="006A0D09">
              <w:rPr>
                <w:rFonts w:cs="Arial"/>
                <w:szCs w:val="20"/>
              </w:rPr>
              <w:t xml:space="preserve">sladkovodni </w:t>
            </w:r>
            <w:r>
              <w:rPr>
                <w:rFonts w:cs="Arial"/>
                <w:szCs w:val="20"/>
              </w:rPr>
              <w:t xml:space="preserve">akvakulturi je bilo leta 2019 skupaj 163 delovno aktivnih oseb, od tega s polnim delovnim časom 60. </w:t>
            </w:r>
            <w:r w:rsidR="006A0D09">
              <w:rPr>
                <w:rFonts w:cs="Arial"/>
                <w:szCs w:val="20"/>
              </w:rPr>
              <w:t>Prevladuje</w:t>
            </w:r>
            <w:r>
              <w:rPr>
                <w:rFonts w:cs="Arial"/>
                <w:szCs w:val="20"/>
              </w:rPr>
              <w:t xml:space="preserve"> torej delež oseb s skrajšanim delovnim časom. Od vseh delovno aktivnih oseb pa je bilo samozaposlenih 63. Podatki torej potrjujejo zgoraj napisano: razdrobljenost sektorja, majhni subjekti, ki se večinoma preživljajo tudi z drugimi dejavnostmi.</w:t>
            </w:r>
            <w:r w:rsidR="006A0D09">
              <w:rPr>
                <w:rFonts w:cs="Arial"/>
                <w:szCs w:val="20"/>
              </w:rPr>
              <w:t xml:space="preserve"> </w:t>
            </w:r>
            <w:r w:rsidRPr="00C34B92">
              <w:rPr>
                <w:rFonts w:cs="Arial"/>
                <w:szCs w:val="20"/>
              </w:rPr>
              <w:t>V Sloveniji je predvsem razširjena klasična hladnovodna akvakultura oziroma vzreja postrvjih vrst, pri kateri v zadnjih letih opažamo rahlo rast proizvodnje.</w:t>
            </w:r>
            <w:r>
              <w:rPr>
                <w:rFonts w:cs="Arial"/>
                <w:szCs w:val="20"/>
              </w:rPr>
              <w:t xml:space="preserve"> A</w:t>
            </w:r>
            <w:r w:rsidRPr="00C34B92">
              <w:rPr>
                <w:rFonts w:cs="Arial"/>
                <w:szCs w:val="20"/>
              </w:rPr>
              <w:t xml:space="preserve"> </w:t>
            </w:r>
            <w:r w:rsidRPr="00271854">
              <w:rPr>
                <w:rFonts w:cs="Arial"/>
                <w:szCs w:val="20"/>
              </w:rPr>
              <w:t xml:space="preserve">pri </w:t>
            </w:r>
            <w:r w:rsidR="006A0D09" w:rsidRPr="00271854">
              <w:rPr>
                <w:rFonts w:cs="Arial"/>
                <w:szCs w:val="20"/>
              </w:rPr>
              <w:t>postrvih</w:t>
            </w:r>
            <w:r w:rsidRPr="00271854">
              <w:rPr>
                <w:rFonts w:cs="Arial"/>
                <w:szCs w:val="20"/>
              </w:rPr>
              <w:t xml:space="preserve">, </w:t>
            </w:r>
            <w:r>
              <w:rPr>
                <w:rFonts w:cs="Arial"/>
                <w:szCs w:val="20"/>
              </w:rPr>
              <w:t xml:space="preserve">ki jih pri nas največ vzredimo, </w:t>
            </w:r>
            <w:r w:rsidRPr="00271854">
              <w:rPr>
                <w:rFonts w:cs="Arial"/>
                <w:szCs w:val="20"/>
              </w:rPr>
              <w:t>dosegamo le 65% samooskrbe.</w:t>
            </w:r>
            <w:r>
              <w:rPr>
                <w:rFonts w:cs="Arial"/>
                <w:szCs w:val="20"/>
              </w:rPr>
              <w:t xml:space="preserve"> Proizvodnja postrvi</w:t>
            </w:r>
            <w:r w:rsidRPr="00C34B92">
              <w:rPr>
                <w:rFonts w:cs="Arial"/>
                <w:szCs w:val="20"/>
              </w:rPr>
              <w:t xml:space="preserve"> lahko tako zaradi podnebnih sprememb, pojava epidemij, okoljskih zahtev in kot konkurence na trgu začne tudi upadati. Toplovodna akvakultura ima sicer v RS dolgo tradicijo, vendar je v zadnjih letih v nazadovanju, predvsem zaradi slabšanja vodnih razmer v zadrževalnikih in slabo vzdrževanih ribnikih ter škod na ribah zaradi plenilcev iz narave. </w:t>
            </w:r>
            <w:r w:rsidRPr="00271854">
              <w:rPr>
                <w:rFonts w:cs="Arial"/>
                <w:szCs w:val="20"/>
              </w:rPr>
              <w:t>Po podatkih C</w:t>
            </w:r>
            <w:r>
              <w:rPr>
                <w:rFonts w:cs="Arial"/>
                <w:szCs w:val="20"/>
              </w:rPr>
              <w:t>entralnega registra akvakulture (C</w:t>
            </w:r>
            <w:r w:rsidRPr="00271854">
              <w:rPr>
                <w:rFonts w:cs="Arial"/>
                <w:szCs w:val="20"/>
              </w:rPr>
              <w:t>RA</w:t>
            </w:r>
            <w:r>
              <w:rPr>
                <w:rFonts w:cs="Arial"/>
                <w:szCs w:val="20"/>
              </w:rPr>
              <w:t>)</w:t>
            </w:r>
            <w:r w:rsidRPr="00271854">
              <w:rPr>
                <w:rFonts w:cs="Arial"/>
                <w:szCs w:val="20"/>
              </w:rPr>
              <w:t xml:space="preserve"> in ribiškega </w:t>
            </w:r>
            <w:r w:rsidRPr="00271854">
              <w:rPr>
                <w:rFonts w:cs="Arial"/>
                <w:szCs w:val="20"/>
              </w:rPr>
              <w:lastRenderedPageBreak/>
              <w:t xml:space="preserve">katastra imamo v Sloveniji več kot 400 zadrževalnikov in ribnikov, od katerih se le v približno 40 izvaja vzreja vodnih organizmov. Med njimi je 11 ribnikov v upravljanju ribiških društev, ki gojijo ribe za izpust v naravo, 10 je ribnikov za gojitev mladic in okrog 20 ribnikov za gojenje toplovodnih rib za prehrano. </w:t>
            </w:r>
            <w:r w:rsidRPr="00C34B92">
              <w:rPr>
                <w:rFonts w:cs="Arial"/>
                <w:szCs w:val="20"/>
              </w:rPr>
              <w:t xml:space="preserve">Veliko je majhnih ribnikov, (do 1 Ha), ki so namenjeni športnemu ribolovu ali za lastno rabo. </w:t>
            </w:r>
            <w:r w:rsidRPr="00271854">
              <w:rPr>
                <w:rFonts w:cs="Arial"/>
                <w:szCs w:val="20"/>
              </w:rPr>
              <w:t xml:space="preserve">Od 5 zadrževalnikov, ki so bili zgrajeni tudi za namen akvakulture je v dveh akvakultura opuščena zaradi neustreznih pogojev zaradi zamuljenja. V preostalih treh s skupno površino 175 ha se v zadnjih letih proizvede med 80 do 100 tom krapovcev. </w:t>
            </w:r>
            <w:r>
              <w:rPr>
                <w:rFonts w:cs="Arial"/>
                <w:szCs w:val="20"/>
              </w:rPr>
              <w:t>A domači trg za</w:t>
            </w:r>
            <w:r w:rsidRPr="00271854">
              <w:rPr>
                <w:rFonts w:cs="Arial"/>
                <w:szCs w:val="20"/>
              </w:rPr>
              <w:t>enkrat ne kaže velikega zanimanja za krape</w:t>
            </w:r>
            <w:r>
              <w:rPr>
                <w:rFonts w:cs="Arial"/>
                <w:szCs w:val="20"/>
              </w:rPr>
              <w:t xml:space="preserve">. Ne glede na to </w:t>
            </w:r>
            <w:r w:rsidRPr="00271854">
              <w:rPr>
                <w:rFonts w:cs="Arial"/>
                <w:szCs w:val="20"/>
              </w:rPr>
              <w:t xml:space="preserve">uvoz iz drugih držav dosegel 20 % vrednosti domače proizvodnje. V Sloveniji ni večjih vodnih površin, ki bi bile prvenstveno namenjene toplovodni vzreji. Imamo le 5 večjih vodnih zadrževalnikov s skupno površino okrog 250 ha, v katerih je akvakultura vzporedna dejavnost. Tu poteka ekstenzivna oziroma polintenzivna vzreja krapov v polikulturi, pri kateri dosegajo v zadnjih letih povprečno le 500 kg letne proizvodnje na ha. V teh zadrževalnikih se vzredi 70 % </w:t>
            </w:r>
            <w:r w:rsidRPr="00271854">
              <w:rPr>
                <w:rFonts w:cs="Arial"/>
                <w:szCs w:val="20"/>
              </w:rPr>
              <w:lastRenderedPageBreak/>
              <w:t xml:space="preserve">toplovodnih vrst rib za prehrano v Sloveniji. </w:t>
            </w:r>
          </w:p>
          <w:p w14:paraId="18F96059" w14:textId="77777777" w:rsidR="00B76E8B" w:rsidRPr="00C34B92" w:rsidRDefault="00B76E8B" w:rsidP="00B76E8B">
            <w:pPr>
              <w:jc w:val="both"/>
              <w:rPr>
                <w:rFonts w:cs="Arial"/>
                <w:szCs w:val="20"/>
              </w:rPr>
            </w:pPr>
            <w:r w:rsidRPr="00C34B92">
              <w:rPr>
                <w:rFonts w:cs="Arial"/>
                <w:szCs w:val="20"/>
              </w:rPr>
              <w:t xml:space="preserve">Raziskave, ki smo jih financirali </w:t>
            </w:r>
            <w:r>
              <w:rPr>
                <w:rFonts w:cs="Arial"/>
                <w:szCs w:val="20"/>
              </w:rPr>
              <w:t xml:space="preserve">s pomočjo ESPR </w:t>
            </w:r>
            <w:r w:rsidRPr="00C34B92">
              <w:rPr>
                <w:rFonts w:cs="Arial"/>
                <w:szCs w:val="20"/>
              </w:rPr>
              <w:t>v obdobju 2014-2020, so pokazale, da površinskih celinskih vod</w:t>
            </w:r>
            <w:r>
              <w:rPr>
                <w:rFonts w:cs="Arial"/>
                <w:szCs w:val="20"/>
              </w:rPr>
              <w:t>, ki bi bile primerne</w:t>
            </w:r>
            <w:r w:rsidRPr="00C34B92">
              <w:rPr>
                <w:rFonts w:cs="Arial"/>
                <w:szCs w:val="20"/>
              </w:rPr>
              <w:t xml:space="preserve"> za nove objekte hladnovodne akvakulture</w:t>
            </w:r>
            <w:r>
              <w:rPr>
                <w:rFonts w:cs="Arial"/>
                <w:szCs w:val="20"/>
              </w:rPr>
              <w:t>,</w:t>
            </w:r>
            <w:r w:rsidRPr="00C34B92">
              <w:rPr>
                <w:rFonts w:cs="Arial"/>
                <w:szCs w:val="20"/>
              </w:rPr>
              <w:t xml:space="preserve"> ni veliko na voljo. Večje možnosti pa so se pokazale za odvzem podzemnih celinskih vod, in sicer do globine 150 metrov za uporabo v zaprtih RAS sistemih. </w:t>
            </w:r>
            <w:r w:rsidRPr="00271854">
              <w:rPr>
                <w:rFonts w:cs="Arial"/>
                <w:szCs w:val="20"/>
              </w:rPr>
              <w:t xml:space="preserve">Največja možnost takšnega zajema je na delu visoko izdatnih medzrnskih vodonosnikov, ki predstavljajo 4,2 % ozemlja Slovenije. </w:t>
            </w:r>
            <w:r w:rsidRPr="00C34B92">
              <w:rPr>
                <w:rFonts w:cs="Arial"/>
                <w:szCs w:val="20"/>
              </w:rPr>
              <w:t xml:space="preserve">Nacionalni strateški načrt za razvoj akvakulture (NSNA 2021-2030) omenja, da se uvajanje akvakulture z recirkulacijo vode (tako imenovanih »RAS sistemov«), zaprtih sistemov in drugih tehnologij (gojenje alg, večtrofični sistemi itd.) v akvakulturi v RS že uveljavlja in kaže, da bi lahko šel razvoj v tej smeri naprej, v povezavi z naložbami, ki pospešujejo uporabo obnovljivih virov in omogočajo uporabo tako pridobljene energije v okviru zaprtega sistema, katerega delovanje je sicer lahko, z energetskega vidika, precej drago. Prav tako bo v okviru investicij podpora dana digitalizaciji in robotizaciji, kjer bo to mogoče (npr. v </w:t>
            </w:r>
            <w:r w:rsidRPr="00C34B92">
              <w:rPr>
                <w:rFonts w:cs="Arial"/>
                <w:szCs w:val="20"/>
              </w:rPr>
              <w:lastRenderedPageBreak/>
              <w:t xml:space="preserve">zaprtih RAS sistemih, za hranjenje in online monitoring itd.). Omogočanje uporabe lastne energije v RAS sistemih ustreza tudi načelom krožnega gospodarstva, kar je ena od prioritet Zelenega dogovora 2050. </w:t>
            </w:r>
          </w:p>
          <w:p w14:paraId="31F1EC82" w14:textId="6D77356D" w:rsidR="00B76E8B" w:rsidRPr="00C34B92" w:rsidRDefault="00B76E8B" w:rsidP="00B76E8B">
            <w:pPr>
              <w:jc w:val="both"/>
              <w:rPr>
                <w:rFonts w:cs="Arial"/>
                <w:szCs w:val="20"/>
              </w:rPr>
            </w:pPr>
            <w:r w:rsidRPr="00C34B92">
              <w:rPr>
                <w:rFonts w:cs="Arial"/>
                <w:szCs w:val="20"/>
              </w:rPr>
              <w:t>V obdobju 2014-2020 je bila s pomočjo sredstev ESPR financirana tudi raziskava z namenom prostorskega umeščanja marikulture v okviru priprave pomorskega prostorskega plana</w:t>
            </w:r>
            <w:r>
              <w:rPr>
                <w:rFonts w:cs="Arial"/>
                <w:szCs w:val="20"/>
              </w:rPr>
              <w:t xml:space="preserve"> (v nadaljevanju: PPP)</w:t>
            </w:r>
            <w:r w:rsidRPr="00C34B92">
              <w:rPr>
                <w:rFonts w:cs="Arial"/>
                <w:szCs w:val="20"/>
              </w:rPr>
              <w:t xml:space="preserve">. Pred dejansko aktivacijo potencialnih območij bo treba izpolniti pogoje, ki so navedeni v PPP (npr. povečati izkoriščenost obstoječih območij, izvesti okoljsko presojo potencialnih območij idr.). </w:t>
            </w:r>
            <w:r>
              <w:rPr>
                <w:rFonts w:cs="Arial"/>
                <w:szCs w:val="20"/>
              </w:rPr>
              <w:t xml:space="preserve">Zato smo v OP ESPRA (aktivnost Akvakultura, ki temelji na znanju, in raziskave) vključili tudi pregled izkoriščenosti obstoječih območij. Načrt upravljanja z morskim okoljem, pripravljen na podlagi Direktive 2008/56/ES, pa kot ukrep navaja, da bo po umestitvi novih območij treba izvesti 5-letni monitoring vpliva marikulture na teh </w:t>
            </w:r>
            <w:r w:rsidR="006A0D09">
              <w:rPr>
                <w:rFonts w:cs="Arial"/>
                <w:szCs w:val="20"/>
              </w:rPr>
              <w:t>območjih</w:t>
            </w:r>
            <w:r>
              <w:rPr>
                <w:rFonts w:cs="Arial"/>
                <w:szCs w:val="20"/>
              </w:rPr>
              <w:t xml:space="preserve"> na morsko okolje. </w:t>
            </w:r>
            <w:r w:rsidRPr="00C34B92">
              <w:rPr>
                <w:rFonts w:cs="Arial"/>
                <w:szCs w:val="20"/>
              </w:rPr>
              <w:t xml:space="preserve">Težava z umeščanjem te dejavnosti v prostor je tudi zaradi drugih interesov in dejavnosti ter določenih nevarnosti za proizvodnjo zaradi bolezni in pojavljanja biotoksinov v primeru cvetenja morja. V </w:t>
            </w:r>
            <w:r w:rsidRPr="00C34B92">
              <w:rPr>
                <w:rFonts w:cs="Arial"/>
                <w:szCs w:val="20"/>
              </w:rPr>
              <w:lastRenderedPageBreak/>
              <w:t xml:space="preserve">Nacionalnem strateškem načrtu za razvoj akvakulture se možnosti nadaljnjega razvoja marikulture omenjajo tudi v kontekstu nadomeščanja morskega gospodarskega ulova, ki je v zadnjih letih močno upadel. </w:t>
            </w:r>
            <w:r>
              <w:rPr>
                <w:rFonts w:cs="Arial"/>
                <w:szCs w:val="20"/>
              </w:rPr>
              <w:t>Z</w:t>
            </w:r>
            <w:r w:rsidRPr="00C37230">
              <w:rPr>
                <w:rFonts w:cs="Arial"/>
                <w:szCs w:val="20"/>
              </w:rPr>
              <w:t xml:space="preserve">a gojitev mehkužcev ni potrebna ribja hrana, kot </w:t>
            </w:r>
            <w:r>
              <w:rPr>
                <w:rFonts w:cs="Arial"/>
                <w:szCs w:val="20"/>
              </w:rPr>
              <w:t>pri vzreji rib</w:t>
            </w:r>
            <w:r w:rsidRPr="00C37230">
              <w:rPr>
                <w:rFonts w:cs="Arial"/>
                <w:szCs w:val="20"/>
              </w:rPr>
              <w:t>. Prav tako je treba upoštevati pozitivni vidik gojenja školjk na morsko okolje, saj prečiščujejo morsko vodo.</w:t>
            </w:r>
            <w:r>
              <w:rPr>
                <w:rFonts w:cs="Arial"/>
                <w:szCs w:val="20"/>
              </w:rPr>
              <w:t xml:space="preserve"> </w:t>
            </w:r>
            <w:r w:rsidRPr="00C34B92">
              <w:rPr>
                <w:rFonts w:cs="Arial"/>
                <w:szCs w:val="20"/>
              </w:rPr>
              <w:t xml:space="preserve">V okviru marikulture po proizvodnji vzreja školjk močno presega vzrejo rib. </w:t>
            </w:r>
            <w:r w:rsidRPr="00C37230">
              <w:rPr>
                <w:rFonts w:cs="Arial"/>
                <w:szCs w:val="20"/>
              </w:rPr>
              <w:t xml:space="preserve">Proizvodnja gojenih školjk je od leta 1990 s 70 ton narasla na 302 ton v letu 2009 in 607 ton v letu 2018. Povečala se je tudi proizvodnja brancinov in školjk ladink. V letu 2018 je bilo v morju vzrejenih okoli 684 ton morskih organizmov, 6 % manj kot v 2017. </w:t>
            </w:r>
            <w:r>
              <w:rPr>
                <w:rFonts w:cs="Arial"/>
                <w:szCs w:val="20"/>
              </w:rPr>
              <w:t xml:space="preserve">V letu 2019 pa je bilo v marikulturi skupaj vzrejenih 913 ton rib in mehkužcev, a je bil v letu 2020 zaznan znaten padec na 45 % </w:t>
            </w:r>
            <w:r w:rsidRPr="00C34B92">
              <w:rPr>
                <w:rFonts w:cs="Arial"/>
                <w:szCs w:val="20"/>
              </w:rPr>
              <w:t xml:space="preserve">V zadnjih letih s povečevanjem proizvodnje se školjkarji vse pogosteje srečujejo z novimi problemi, kot so škode zaradi orad in pojava drugih tujerodnih vrst, ki lahko zmanjšujejo prirast školjk oziroma zmanjšujejo njihovo kvaliteto in s tem ceno. V okviru </w:t>
            </w:r>
            <w:r>
              <w:rPr>
                <w:rFonts w:cs="Arial"/>
                <w:szCs w:val="20"/>
              </w:rPr>
              <w:t>aktivnosti Akvakultura, ki ohranja habitate</w:t>
            </w:r>
            <w:r w:rsidRPr="00C34B92">
              <w:rPr>
                <w:rFonts w:cs="Arial"/>
                <w:szCs w:val="20"/>
              </w:rPr>
              <w:t xml:space="preserve"> bo zato školjkarjem dana možnost </w:t>
            </w:r>
            <w:r>
              <w:rPr>
                <w:rFonts w:cs="Arial"/>
                <w:szCs w:val="20"/>
              </w:rPr>
              <w:t>nadomestil</w:t>
            </w:r>
            <w:r w:rsidRPr="00C34B92">
              <w:rPr>
                <w:rFonts w:cs="Arial"/>
                <w:szCs w:val="20"/>
              </w:rPr>
              <w:t xml:space="preserve"> ob </w:t>
            </w:r>
            <w:r w:rsidRPr="00C34B92">
              <w:rPr>
                <w:rFonts w:cs="Arial"/>
                <w:szCs w:val="20"/>
              </w:rPr>
              <w:lastRenderedPageBreak/>
              <w:t xml:space="preserve">pojavu biotoksinov. Nadomestila pa bodo mogoča tudi v ekstenzivni in polintenzivni proizvodnji, ki sicer zmanjšuje ekonomsko učinkovitost, vendar hkrati zagotavlja ekosistemske storitve. Taki obrati akvakulture imajo tudi določeno okoljsko in socialno funkcijo in jim je smiselno zagotoviti obstoj, tako v smislu trženja določenih okoljskih aktivnosti kot nadomestil. Posebej na zavarovanih območjih, kjer so okoljske zahteve zvišane. Rejcem je smiselno ob izpadu dohodka omogočiti ustrezna nadomestila ter jih hkrati usposobiti za prepoznavanje ekosistemskega potenciala. Če se bo po aktivnostih ozaveščanja potrošnika in rejca pokazala potreba, bomo omogočili tudi nadomestila za prehod na ekološko akvakulturo. </w:t>
            </w:r>
            <w:r>
              <w:rPr>
                <w:rFonts w:cs="Arial"/>
                <w:szCs w:val="20"/>
              </w:rPr>
              <w:t xml:space="preserve">Ta so prav tako predvidena v okviru </w:t>
            </w:r>
            <w:r w:rsidRPr="0007473A">
              <w:rPr>
                <w:rFonts w:cs="Arial"/>
                <w:szCs w:val="20"/>
              </w:rPr>
              <w:t>aktivnosti Akvakultura, ki ohranja habitate</w:t>
            </w:r>
            <w:r>
              <w:rPr>
                <w:rFonts w:cs="Arial"/>
                <w:szCs w:val="20"/>
              </w:rPr>
              <w:t xml:space="preserve">. </w:t>
            </w:r>
            <w:r w:rsidRPr="00C34B92">
              <w:rPr>
                <w:rFonts w:cs="Arial"/>
                <w:szCs w:val="20"/>
              </w:rPr>
              <w:t xml:space="preserve">Ker je bila v okviru SWOT izpostavljena potreba po spodbujanju trajnostnih ribogojnih dejavnosti, zlasti krepitvi konkurenčnosti ribogojne proizvodnje, hkrati pa zagotavljanju dolgoročne okoljske trajnosti, bomo v okviru ESPRA 2021-2027 omogočili naložbe v sektorju akvakulture, in sicer v različnih obsegih; mogoče bodo tako investicije v </w:t>
            </w:r>
            <w:r w:rsidRPr="00C34B92">
              <w:rPr>
                <w:rFonts w:cs="Arial"/>
                <w:szCs w:val="20"/>
              </w:rPr>
              <w:lastRenderedPageBreak/>
              <w:t>obstoječih obratih akvakulture za izboljšanje okoljske trajnosti, kot v nove obrate</w:t>
            </w:r>
            <w:r>
              <w:rPr>
                <w:rFonts w:cs="Arial"/>
                <w:szCs w:val="20"/>
              </w:rPr>
              <w:t>.</w:t>
            </w:r>
            <w:r w:rsidRPr="00C34B92">
              <w:rPr>
                <w:rFonts w:cs="Arial"/>
                <w:szCs w:val="20"/>
              </w:rPr>
              <w:t xml:space="preserve">. Dobršen del slovenske akvakulture poteka v okviru manjših družinskih proizvodnih obratov, ki so velikokrat povezani še s kmetijsko ali kakšno drugo dejavnostjo. Predvsem tem bo treba omogočiti lažji dostop do namenskih sredstev in jih spodbujati za uvajanje tehnoloških rešitev za boljše izkoriščanje naravnih virov, izboljšanje lastnih proizvodov ter prodajo končnemu potrošniku. Ti obrati imajo manjšo intenzivnost proizvodnje, ki omogoča boljšo kakovost izdelka. Razpis za manjše ribogojce bo prilagojen, mogoč bo le nakup opreme, priprava poslovnega načrta na primer ne bo potrebna, postopkovno gledano bodo imeli vlagatelji manj dela, saj bo potrebnih manj prilog in bodo tako lažje dostopali do sredstev. Omejena bo tudi višina sredstev, ki jih manjši vlagatelji v tem primeru lahko pridobijo. A velikokrat v sektorju ribogojstva primanjkuje znanja, kako dosegati boljšo okoljsko trajnost. Analiza je pokazala, da je treba zagotoviti in okrepiti sodelovanje med samimi deležniki kot drugimi akterji v okviru izmenjav in širjenja znanja med rejci in predelovalci. Zato bodo tudi </w:t>
            </w:r>
            <w:r w:rsidRPr="00C34B92">
              <w:rPr>
                <w:rFonts w:cs="Arial"/>
                <w:szCs w:val="20"/>
              </w:rPr>
              <w:lastRenderedPageBreak/>
              <w:t>predstavniki sektorja predelave vključeni v izmenjavo znanj in dobrih praks v okviru specifičnega cilja 1. S tem se bo krepila tudi trenutno šibka povezanost med različnimi akterji: znanstveniki, nevladnimi okoljskimi organizacijami, upravljavci varovanih območij, ribogojci, predelovalci in nacionalno administracijo. Večja povezanost sektorja pa izboljšuje njegovo odpornost, kar se je pokazalo v času pandemije, povezane s Covid-19. Prav tako manjka poznavanje skupne organiziranosti trga</w:t>
            </w:r>
            <w:r>
              <w:rPr>
                <w:rFonts w:cs="Arial"/>
                <w:szCs w:val="20"/>
              </w:rPr>
              <w:t xml:space="preserve"> in njenih koristi za sektor</w:t>
            </w:r>
            <w:r w:rsidRPr="00C34B92">
              <w:rPr>
                <w:rFonts w:cs="Arial"/>
                <w:szCs w:val="20"/>
              </w:rPr>
              <w:t xml:space="preserve">. Rejce in predelovalce bomo v okviru prenosa znanj skušali še naprej animirati za ustanovitev organizacije proizvajalcev. Nekateri rejci so sicer že izrazili potrebo po povezovanju, vendar konkretnih pobud še niso pripravili, zato so jim bile predstavljene različne oblike povezovanja, prav tako pa so bili pozvani, da podajo svoj odziv glede ustanovitve organizacije proizvajalcev. Pravno formalna oblika povezovanja se bo uvajala postopoma. Po eni strani s širšim vključevanjem rejcev vodnih živali v mehanizem CLLD na področju celotne RS kot s skupnim delovanjem v okviru mreženja. Tako se bo krepilo njihovo zavedanje o pozitivnih učinkih </w:t>
            </w:r>
            <w:r w:rsidRPr="00C34B92">
              <w:rPr>
                <w:rFonts w:cs="Arial"/>
                <w:szCs w:val="20"/>
              </w:rPr>
              <w:lastRenderedPageBreak/>
              <w:t xml:space="preserve">povezovanja, kar bo lahko posledično vodilo v pravno formalne oblike povezovanja. Če v programskem obdobju 2021-2027 pride do priznanja organizacije proizvajalcev, bomo potrjevanje načrtov proizvodnje in trženja omogočili v okviru aktivnosti Konkurenčna, okolju prijazna predelovalna industrija. Ribogojcem manjkajo tudi znanja o načinih dodajanja vrednosti lastnim proizvodom ter koristi ekološke vzreje. Strateške smernice za trajnostni razvoj EU akvakulture promovirajo tudi ekološko akvakulturo. V Nacionalnem strateškem načrtu za trajnostni razvoj akvakulture v RS 2021-2030 navajamo, da imamo v okviru uradnega certificiranega ekološkega ribogojstva zaenkrat dve toplovodni ribogojnici manjše kapacitete. Priložnost za ekološko vzrejo pa vidimo bolj v toplovodni akvakulturi kot tudi pri gojenju školjk, kar se bo vsekakor spodbujalo. V svetu se namreč že kaže trend po ekološki vzreji, pri kateri se lahko ustvarja dodano vrednost proizvodom. Pri tem je pomembno, da se ustvarijo pogoji, ki so za posamezno vrsto vodnega organizma čim bolj podobni naravnim pogojem, v katerih živi. Določena je maksimalna gostota </w:t>
            </w:r>
            <w:r w:rsidRPr="00C34B92">
              <w:rPr>
                <w:rFonts w:cs="Arial"/>
                <w:szCs w:val="20"/>
              </w:rPr>
              <w:lastRenderedPageBreak/>
              <w:t xml:space="preserve">naselitve, prepovedana je uporaba gensko spremenjene hrane, uporaba določenih zdravil in kemikalij, prepovedana pa je tudi uporaba določenih tehničnih ukrepov, kot sta prezračevanje vode ali </w:t>
            </w:r>
            <w:r w:rsidR="006A0D09" w:rsidRPr="00C34B92">
              <w:rPr>
                <w:rFonts w:cs="Arial"/>
                <w:szCs w:val="20"/>
              </w:rPr>
              <w:t>vpihavanje</w:t>
            </w:r>
            <w:r w:rsidRPr="00C34B92">
              <w:rPr>
                <w:rFonts w:cs="Arial"/>
                <w:szCs w:val="20"/>
              </w:rPr>
              <w:t xml:space="preserve"> kisika. Ker je obremenjevanje okolja manjše kot pri klasični vzreji, bi morali povečevati delež take vzreje. Organ upravljanja bo tovrstne naložbe spodbujal. Izkušnje iz perspektive 2014-2020 kažejo, da pri nas za to obliko akvakulture pri vzreji postrvi zaenkrat še ni posebnega zanimanja, kar pripisujemo dražji hrani za ekološko vzrejo postrvi. Dokument Analiza na ravni morskega bazena, ki ga je pripravila Evropska komisija, omenja, da bi Evropski sklad za pomorstvo, ribištvo in akvakulturo 2021-2027 moral promovirati trajnostne prakse v akvakulturi, kot je ekološka akvakultura. V okviru aktivnosti prenosa znanj in izmenjave dobrih praks bomo zato skušali na ribogojce prenesti poznavanje praks doma in iz tujine in jim omogočiti izobraževanja v tem smislu. </w:t>
            </w:r>
            <w:r>
              <w:rPr>
                <w:rFonts w:cs="Arial"/>
                <w:szCs w:val="20"/>
              </w:rPr>
              <w:t xml:space="preserve">Spodbujanje ekološke vzreje bo prispevalo k izpolnitvi cilja Zelena dogovora, to je </w:t>
            </w:r>
            <w:r w:rsidRPr="00672001">
              <w:rPr>
                <w:rFonts w:cs="Arial"/>
                <w:szCs w:val="20"/>
              </w:rPr>
              <w:t>ekološko kmetovanje</w:t>
            </w:r>
            <w:r>
              <w:rPr>
                <w:rFonts w:cs="Arial"/>
                <w:szCs w:val="20"/>
              </w:rPr>
              <w:t xml:space="preserve"> do 2030</w:t>
            </w:r>
            <w:r w:rsidRPr="00672001">
              <w:rPr>
                <w:rFonts w:cs="Arial"/>
                <w:szCs w:val="20"/>
              </w:rPr>
              <w:t xml:space="preserve"> na 25 % kmetijskih zemljišč ter znatno</w:t>
            </w:r>
            <w:r>
              <w:rPr>
                <w:rFonts w:cs="Arial"/>
                <w:szCs w:val="20"/>
              </w:rPr>
              <w:t xml:space="preserve"> povišanje ravni </w:t>
            </w:r>
            <w:r w:rsidRPr="00672001">
              <w:rPr>
                <w:rFonts w:cs="Arial"/>
                <w:szCs w:val="20"/>
              </w:rPr>
              <w:t>ekološke akvakulture.</w:t>
            </w:r>
            <w:r>
              <w:rPr>
                <w:rFonts w:cs="Arial"/>
                <w:szCs w:val="20"/>
              </w:rPr>
              <w:t xml:space="preserve"> </w:t>
            </w:r>
            <w:r w:rsidRPr="00C34B92">
              <w:rPr>
                <w:rFonts w:cs="Arial"/>
                <w:szCs w:val="20"/>
              </w:rPr>
              <w:t xml:space="preserve">Kot že zapisano, </w:t>
            </w:r>
            <w:r w:rsidRPr="00C34B92">
              <w:rPr>
                <w:rFonts w:cs="Arial"/>
                <w:szCs w:val="20"/>
              </w:rPr>
              <w:lastRenderedPageBreak/>
              <w:t>je bila kot ključna potreba v okviru te prednostne naloge prepoznana tudi potreba po vlaganju v doseganje novih znanj in veščin. Brez novih znanj in veščin bodo ribogojci težko tekmovali z drugimi prehranskimi sektorji, tako v državi kot izven. Izmenjava znanja in mreženje med predstavniki sektorja bosta zagotovo prispevala k večji organiziranosti sektorja. Nova znanja pa potrebujejo tudi odločevalci v akvakulturi. Velikokrat se zaradi pomanjkanja konkretnih podatkov sprejemajo napačne ali zavajajoče odločitve. Že v perspektivi 2014-2020 so nam študije za prostorske možnosti za razvoj akvakulture dale konkretne rezultate glede razpoložljivosti vodnih virov in morja za morebitno širjenje akvakulture. Prav tako nam manjkajo (posodobljene) raziskave o vplivu akvakulture na okolje</w:t>
            </w:r>
            <w:r>
              <w:rPr>
                <w:rFonts w:cs="Arial"/>
                <w:szCs w:val="20"/>
              </w:rPr>
              <w:t>, na primer v primeru umeščanja novih parcel za gojenje na morju</w:t>
            </w:r>
            <w:r w:rsidRPr="00C34B92">
              <w:rPr>
                <w:rFonts w:cs="Arial"/>
                <w:szCs w:val="20"/>
              </w:rPr>
              <w:t xml:space="preserve">. </w:t>
            </w:r>
            <w:r>
              <w:rPr>
                <w:rFonts w:cs="Arial"/>
                <w:szCs w:val="20"/>
              </w:rPr>
              <w:t>Za ta namen bi bilo dobro tudi videti, kolikšna je izkoriščenost trenutnih parcel v okviru obstoječih območij, namenjenih gojenju morskih organizmov. Z</w:t>
            </w:r>
            <w:r w:rsidRPr="00C34B92">
              <w:rPr>
                <w:rFonts w:cs="Arial"/>
                <w:szCs w:val="20"/>
              </w:rPr>
              <w:t xml:space="preserve">a usmerjanje promocije bi prav prišli podatki o hranilnih vrednostih školjk. </w:t>
            </w:r>
            <w:r>
              <w:rPr>
                <w:rFonts w:cs="Arial"/>
                <w:szCs w:val="20"/>
              </w:rPr>
              <w:t xml:space="preserve">Omenjena študija je tudi </w:t>
            </w:r>
            <w:r w:rsidRPr="00C34B92">
              <w:rPr>
                <w:rFonts w:cs="Arial"/>
                <w:szCs w:val="20"/>
              </w:rPr>
              <w:t xml:space="preserve">eden od delovnih paketov </w:t>
            </w:r>
            <w:r w:rsidRPr="00C34B92">
              <w:rPr>
                <w:rFonts w:cs="Arial"/>
                <w:szCs w:val="20"/>
              </w:rPr>
              <w:lastRenderedPageBreak/>
              <w:t xml:space="preserve">projekta, ki je dobil značko Jadransko-Jonske makroregije. Brez novih znanj pa sektor ne bo dosegel napredka na področju inovacij. Inoviranje je ključni del prihodnjega razvoja, zato bomo, skladno s potrebami iz analize, ribogojskim podjetjem </w:t>
            </w:r>
            <w:r>
              <w:rPr>
                <w:rFonts w:cs="Arial"/>
                <w:szCs w:val="20"/>
              </w:rPr>
              <w:t xml:space="preserve">v sodelovanju z na primer </w:t>
            </w:r>
            <w:r w:rsidRPr="00C34B92">
              <w:rPr>
                <w:rFonts w:cs="Arial"/>
                <w:szCs w:val="20"/>
              </w:rPr>
              <w:t>raziskovalnim</w:t>
            </w:r>
            <w:r>
              <w:rPr>
                <w:rFonts w:cs="Arial"/>
                <w:szCs w:val="20"/>
              </w:rPr>
              <w:t>i</w:t>
            </w:r>
            <w:r w:rsidRPr="00C34B92">
              <w:rPr>
                <w:rFonts w:cs="Arial"/>
                <w:szCs w:val="20"/>
              </w:rPr>
              <w:t xml:space="preserve"> institucijam</w:t>
            </w:r>
            <w:r>
              <w:rPr>
                <w:rFonts w:cs="Arial"/>
                <w:szCs w:val="20"/>
              </w:rPr>
              <w:t>i</w:t>
            </w:r>
            <w:r w:rsidRPr="00C34B92">
              <w:rPr>
                <w:rFonts w:cs="Arial"/>
                <w:szCs w:val="20"/>
              </w:rPr>
              <w:t xml:space="preserve"> omogočili izvajanje inovacij. </w:t>
            </w:r>
            <w:r>
              <w:rPr>
                <w:rFonts w:cs="Arial"/>
                <w:szCs w:val="20"/>
              </w:rPr>
              <w:t xml:space="preserve">Če želimo do </w:t>
            </w:r>
            <w:r w:rsidRPr="00672001">
              <w:rPr>
                <w:rFonts w:cs="Arial"/>
                <w:szCs w:val="20"/>
              </w:rPr>
              <w:t>leta 2050 postati prva podnebno nevtralna celina</w:t>
            </w:r>
            <w:r>
              <w:rPr>
                <w:rFonts w:cs="Arial"/>
                <w:szCs w:val="20"/>
              </w:rPr>
              <w:t>, kar je cilj Zelenega dogovora,</w:t>
            </w:r>
            <w:r w:rsidRPr="00672001">
              <w:rPr>
                <w:rFonts w:cs="Arial"/>
                <w:szCs w:val="20"/>
              </w:rPr>
              <w:t xml:space="preserve"> </w:t>
            </w:r>
            <w:r>
              <w:rPr>
                <w:rFonts w:cs="Arial"/>
                <w:szCs w:val="20"/>
              </w:rPr>
              <w:t>so inovacije</w:t>
            </w:r>
            <w:r w:rsidRPr="00672001">
              <w:rPr>
                <w:rFonts w:cs="Arial"/>
                <w:szCs w:val="20"/>
              </w:rPr>
              <w:t xml:space="preserve"> edinstvena priložnost za posodobitev gospodarstva in družbe EU ter za njuno preusme</w:t>
            </w:r>
            <w:r>
              <w:rPr>
                <w:rFonts w:cs="Arial"/>
                <w:szCs w:val="20"/>
              </w:rPr>
              <w:t xml:space="preserve">ritev v trajnostno prihodnost. </w:t>
            </w:r>
            <w:r w:rsidRPr="00672001">
              <w:rPr>
                <w:rFonts w:cs="Arial"/>
                <w:szCs w:val="20"/>
              </w:rPr>
              <w:t>Raziskave in inovacij</w:t>
            </w:r>
            <w:r>
              <w:rPr>
                <w:rFonts w:cs="Arial"/>
                <w:szCs w:val="20"/>
              </w:rPr>
              <w:t xml:space="preserve">e imajo namreč osrednjo vlogo pri </w:t>
            </w:r>
            <w:r w:rsidRPr="00672001">
              <w:rPr>
                <w:rFonts w:cs="Arial"/>
                <w:szCs w:val="20"/>
              </w:rPr>
              <w:t>pospeševanju in izvajanju potrebnih prehodov</w:t>
            </w:r>
            <w:r>
              <w:rPr>
                <w:rFonts w:cs="Arial"/>
                <w:szCs w:val="20"/>
              </w:rPr>
              <w:t xml:space="preserve">. </w:t>
            </w:r>
            <w:r w:rsidRPr="00C34B92">
              <w:rPr>
                <w:rFonts w:cs="Arial"/>
                <w:szCs w:val="20"/>
              </w:rPr>
              <w:t xml:space="preserve">Investicije v obstoječe in nove objekte akvakulture, spodbujanje manjših rejcev k posodobitvi objektov s pomočjo sredstev ESPRA in prilagojenih razpisov, nadomestila v akvakulturi, mreženje med proizvajalci, nova znanja in novi podatki, pridobljeni z raziskavami in študijami ter inovacije bodo prispevali k večji ekonomski učinkovitosti, konkurenčnosti in sposobnosti preživetja nosilcev dejavnosti akvakulture. Zato smo te potrebe povezali s specifičnim ciljem 1 - Spodbujanje trajnostnih ribogojnih dejavnosti, zlasti krepitev </w:t>
            </w:r>
            <w:r w:rsidRPr="00C34B92">
              <w:rPr>
                <w:rFonts w:cs="Arial"/>
                <w:szCs w:val="20"/>
              </w:rPr>
              <w:lastRenderedPageBreak/>
              <w:t>konkurenčnosti ribogojne proizvodnje, hkrati pa zagotavljanje dolgoročne okoljske trajnosti.</w:t>
            </w:r>
          </w:p>
          <w:p w14:paraId="290AF738" w14:textId="77777777" w:rsidR="00B76E8B" w:rsidRPr="00C34B92" w:rsidRDefault="00B76E8B" w:rsidP="00B76E8B">
            <w:pPr>
              <w:jc w:val="both"/>
              <w:rPr>
                <w:rFonts w:cs="Arial"/>
                <w:szCs w:val="20"/>
              </w:rPr>
            </w:pPr>
          </w:p>
          <w:p w14:paraId="24BAD778" w14:textId="77777777" w:rsidR="00B76E8B" w:rsidRPr="00C34B92" w:rsidRDefault="00B76E8B" w:rsidP="00B76E8B">
            <w:pPr>
              <w:jc w:val="both"/>
              <w:rPr>
                <w:rFonts w:cs="Arial"/>
                <w:szCs w:val="20"/>
              </w:rPr>
            </w:pPr>
            <w:r w:rsidRPr="00C34B92">
              <w:rPr>
                <w:rFonts w:cs="Arial"/>
                <w:szCs w:val="20"/>
              </w:rPr>
              <w:t xml:space="preserve">Predelovalna industrija ribiških proizvodov in proizvodov iz akvakulture ima v RS dolgo tradicijo, je dobro razvita in ima, čeprav je večina surovine iz drugih držav EU oziroma uvoza iz tretjih držav, dober potencial. V tej panogi imamo tudi velika podjetja, orientirana predvsem na izvoz, pomembna pa so tudi manjša podjetja s specifičnimi, nišnimi proizvodi ali kot dodana vrednost sektorja akvakulture in so bolj orientirana na lokalni trg. Predelovalna industrija potrebuje predvsem nove naložbe v povečanje in posodobitev proizvodnje v smislu novih tržno prepoznavnih proizvodov, boljše energetske učinkovitosti ter vključevanja v krožno gospodarstvo. Ob tem so bile izražene tudi potrebe po naložbah v digitalizacijo in robotizacijo. Uporaba obnovljivih virov energije ter energije iz lastne proizvodnje za zmanjševanje stroškov bo tako omogočena tudi predelovalni industriji, s čimer bomo tudi v tem sektorju upoštevali načela krožnega gospodarstva, ki so ključnega pomena za zeleni prehod. </w:t>
            </w:r>
          </w:p>
          <w:p w14:paraId="2EE8CBF2" w14:textId="77777777" w:rsidR="00B76E8B" w:rsidRPr="00C34B92" w:rsidRDefault="00B76E8B" w:rsidP="00B76E8B">
            <w:pPr>
              <w:jc w:val="both"/>
              <w:rPr>
                <w:rFonts w:cs="Arial"/>
                <w:szCs w:val="20"/>
              </w:rPr>
            </w:pPr>
            <w:r w:rsidRPr="00C34B92">
              <w:rPr>
                <w:rFonts w:cs="Arial"/>
                <w:szCs w:val="20"/>
              </w:rPr>
              <w:lastRenderedPageBreak/>
              <w:t>Potrebe so tudi po večji izmenjavi znanj in usposabljanjih, kot po znanjih na področju novih tehnologij in digitalizacijskih veščin, ter trženjskem in upravljavskem znanju. Tu se vključijo tudi inovacije. V okviru SWOT analize se je pokazala potreba tudi po inoviranju na področju predelave in trženja, kar pomeni, da se bo širil tudi nabor možnih tem inoviranja. Inovacije bodo posredno prispevale tudi k osveščanju o okolju bolj prijaznih praksah, prav tako pa ponudile možnosti za iskanje rešitev pri prodajnih težavah. Večina intenzivne proizvodnje v akvakulturi je odvisna od hrane, ki je trenutno v glavnem vezana na surovine iz rib, zato je treba najti načine, kako zmanjšati to odvisnost, kar prav tako predstavlja potencial za inovacije. V okviru teh aktivnosti bodo omogočeni tudi ekološki pristopi v akvakulturi.</w:t>
            </w:r>
          </w:p>
          <w:p w14:paraId="79D10616" w14:textId="2970C7DE" w:rsidR="00950A25" w:rsidRPr="00B76E8B" w:rsidRDefault="00B76E8B" w:rsidP="009662E6">
            <w:pPr>
              <w:jc w:val="both"/>
              <w:rPr>
                <w:rFonts w:cs="Arial"/>
                <w:szCs w:val="20"/>
              </w:rPr>
            </w:pPr>
            <w:r w:rsidRPr="00C34B92">
              <w:rPr>
                <w:rFonts w:cs="Arial"/>
                <w:szCs w:val="20"/>
              </w:rPr>
              <w:t xml:space="preserve">Letna poraba rib na prebivalca (11 kg/leto) kot samooskrba z njimi (8%) je v RS krepko pod povprečjem v Evropski Uniji, interes pa je, da se oba kazalnika povečujeta, kar lahko dosežemo z večjim ozaveščanjem potrošnikov in razvojem akvakulture in predelave. Ugotovljeno je bilo, da se poraba rib v zadnjih letih nekoliko povečuje, proizvodnja pa povečini stagnira. Za večjo </w:t>
            </w:r>
            <w:r w:rsidRPr="00C34B92">
              <w:rPr>
                <w:rFonts w:cs="Arial"/>
                <w:szCs w:val="20"/>
              </w:rPr>
              <w:lastRenderedPageBreak/>
              <w:t xml:space="preserve">prepoznavnost sektorja so bistvene tudi promocijske dejavnosti in informiranje širše javnosti in potrošnikov o pomenu ribiških proizvodov in proizvodov iz akvakulture v prehrani, posebej lokalno vzrejenih, ekoloških, ter predstavitev sektorja, ki te proizvode lahko zagotavlja. Te spodbude namreč ponujajo multiplikativne učinke na ohranjanje in nadaljnji razvoj sektorja. Za doseganje višje ravni tako proizvodnje kot tudi potrošnje je tako nujno potrebno usposabljanje proizvajalcev in trgovcev kot ozaveščanje potrošnikov o pomenu ribiških proizvodov in proizvodov akvakulture v zdravi prehrani. V okviru promocijskih aktivnosti bomo osveščali tudi o koristih ekološke vzreje in shemah kakovosti za proizvode iz akvakulture. Na področju akvakulture in predelave skupnih shem namreč še nimamo, ekološka vzreja pa obstaja le v manjšem obsegu. Promocija le-te gre z roko v roki z Strategijo od vil do vilic, še posebej pa z Akcijskim načrtom za razvoj ekološke proizvodnje (Os 1). Promocijske aktivnosti bodo komplementarno dopolnjevale aktivnosti mreženja, izmenjave znanj in dobrih praks na specifičnem cilju 1. Iz ekonomskega vidika je namreč treba z višjo ceno </w:t>
            </w:r>
            <w:r w:rsidRPr="00C34B92">
              <w:rPr>
                <w:rFonts w:cs="Arial"/>
                <w:szCs w:val="20"/>
              </w:rPr>
              <w:lastRenderedPageBreak/>
              <w:t>ustvariti dodano vrednost proizvodov, kar pa mora prepoznati tudi potrošnik, katerega osveščanju bomo med drugim v zvezi z ekološko akvakulturo namenili tudi del sredstev v okviru promocije. Promocijske aktivnosti bodo usmerjene tudi v prodajalce na veliko (ribarnice, restavracije) ter javne ustanove, npr. šole in vrtce. Del promocijskih aktivnosti pa bo namenjen tudi promociji EU akvakulture skladno s Strateškimi smernicami za razvoj akvakulture</w:t>
            </w:r>
            <w:r>
              <w:rPr>
                <w:rFonts w:cs="Arial"/>
                <w:szCs w:val="20"/>
              </w:rPr>
              <w:t xml:space="preserve"> in gradivi, ki jih bo pripravila Evropska komisija</w:t>
            </w:r>
            <w:r w:rsidRPr="00C34B92">
              <w:rPr>
                <w:rFonts w:cs="Arial"/>
                <w:szCs w:val="20"/>
              </w:rPr>
              <w:t>. Ker so inovacijske in promocijske aktivnosti ter investicije v predelovalni industriji komplementarne potrebam iz specifičnega cilja 1, smo jih uvrstili v specifični cilj 2 - Spodbujanje trženja, kakovosti in dodane vrednosti ribiških proizvodov in proizvodov iz ribogojstva ter predelava teh proizvodov.</w:t>
            </w:r>
          </w:p>
        </w:tc>
      </w:tr>
      <w:tr w:rsidR="00950A25" w:rsidRPr="00F700CD" w14:paraId="66088C05" w14:textId="77777777" w:rsidTr="00876A94">
        <w:trPr>
          <w:trHeight w:val="20"/>
        </w:trPr>
        <w:tc>
          <w:tcPr>
            <w:tcW w:w="3114" w:type="dxa"/>
            <w:vMerge/>
            <w:shd w:val="clear" w:color="auto" w:fill="auto"/>
          </w:tcPr>
          <w:p w14:paraId="4B32A927" w14:textId="77777777" w:rsidR="00950A25" w:rsidRPr="00B552BE" w:rsidRDefault="00950A25" w:rsidP="00950A25">
            <w:pPr>
              <w:widowControl w:val="0"/>
              <w:pBdr>
                <w:top w:val="nil"/>
                <w:left w:val="nil"/>
                <w:bottom w:val="nil"/>
                <w:right w:val="nil"/>
                <w:between w:val="nil"/>
              </w:pBdr>
            </w:pPr>
          </w:p>
        </w:tc>
        <w:tc>
          <w:tcPr>
            <w:tcW w:w="1701" w:type="dxa"/>
            <w:vMerge/>
            <w:shd w:val="clear" w:color="auto" w:fill="auto"/>
          </w:tcPr>
          <w:p w14:paraId="71901E1F" w14:textId="77777777" w:rsidR="00950A25" w:rsidRPr="00B552BE" w:rsidRDefault="00950A25" w:rsidP="00950A25">
            <w:pPr>
              <w:widowControl w:val="0"/>
              <w:pBdr>
                <w:top w:val="nil"/>
                <w:left w:val="nil"/>
                <w:bottom w:val="nil"/>
                <w:right w:val="nil"/>
                <w:between w:val="nil"/>
              </w:pBdr>
            </w:pPr>
          </w:p>
        </w:tc>
        <w:tc>
          <w:tcPr>
            <w:tcW w:w="5386" w:type="dxa"/>
            <w:shd w:val="clear" w:color="auto" w:fill="auto"/>
          </w:tcPr>
          <w:p w14:paraId="40E08D1D" w14:textId="77777777" w:rsidR="00950A25" w:rsidRDefault="00950A25" w:rsidP="00950A25">
            <w:pPr>
              <w:tabs>
                <w:tab w:val="left" w:pos="2814"/>
              </w:tabs>
              <w:rPr>
                <w:b/>
              </w:rPr>
            </w:pPr>
            <w:r w:rsidRPr="00B552BE">
              <w:rPr>
                <w:b/>
              </w:rPr>
              <w:t>Slabosti</w:t>
            </w:r>
          </w:p>
          <w:p w14:paraId="01926323" w14:textId="346F0E7C" w:rsidR="00950A25" w:rsidRPr="00826CDC" w:rsidRDefault="00950A25" w:rsidP="00950A25">
            <w:pPr>
              <w:tabs>
                <w:tab w:val="left" w:pos="2814"/>
              </w:tabs>
              <w:rPr>
                <w:i/>
                <w:u w:val="single"/>
              </w:rPr>
            </w:pPr>
            <w:r w:rsidRPr="00826CDC">
              <w:rPr>
                <w:i/>
                <w:u w:val="single"/>
              </w:rPr>
              <w:t>Akvakultura</w:t>
            </w:r>
          </w:p>
          <w:p w14:paraId="641EBB3A" w14:textId="77777777" w:rsidR="00F55E60" w:rsidRDefault="00F55E60" w:rsidP="00F96204">
            <w:pPr>
              <w:pStyle w:val="Brezrazmikov"/>
              <w:numPr>
                <w:ilvl w:val="0"/>
                <w:numId w:val="21"/>
              </w:numPr>
            </w:pPr>
            <w:r>
              <w:t>slaba prepoznavnost sektorja (8)</w:t>
            </w:r>
          </w:p>
          <w:p w14:paraId="0A0182C1" w14:textId="77777777" w:rsidR="00F55E60" w:rsidRDefault="00F55E60" w:rsidP="00F96204">
            <w:pPr>
              <w:pStyle w:val="Brezrazmikov"/>
              <w:numPr>
                <w:ilvl w:val="0"/>
                <w:numId w:val="21"/>
              </w:numPr>
            </w:pPr>
            <w:r w:rsidRPr="00CE375C">
              <w:t xml:space="preserve">majhnost </w:t>
            </w:r>
            <w:r>
              <w:t>sektorja (4)</w:t>
            </w:r>
          </w:p>
          <w:p w14:paraId="7701E20E" w14:textId="77777777" w:rsidR="00F55E60" w:rsidRDefault="00F55E60" w:rsidP="00F96204">
            <w:pPr>
              <w:pStyle w:val="Brezrazmikov"/>
              <w:numPr>
                <w:ilvl w:val="0"/>
                <w:numId w:val="21"/>
              </w:numPr>
            </w:pPr>
            <w:r>
              <w:lastRenderedPageBreak/>
              <w:t>stari objekti akvakulture</w:t>
            </w:r>
            <w:r w:rsidRPr="00CE375C">
              <w:t xml:space="preserve"> </w:t>
            </w:r>
            <w:r>
              <w:t xml:space="preserve">in </w:t>
            </w:r>
            <w:r w:rsidRPr="00CE375C">
              <w:t xml:space="preserve">slaba tehnološka opremljenost </w:t>
            </w:r>
            <w:r>
              <w:t xml:space="preserve">in digitalizacija </w:t>
            </w:r>
            <w:r w:rsidRPr="00CE375C">
              <w:t>objekto</w:t>
            </w:r>
            <w:r>
              <w:t>v (1)</w:t>
            </w:r>
          </w:p>
          <w:p w14:paraId="1E4A18EA" w14:textId="77777777" w:rsidR="00F55E60" w:rsidRPr="0087778E" w:rsidRDefault="00F55E60" w:rsidP="00F96204">
            <w:pPr>
              <w:pStyle w:val="Brezrazmikov"/>
              <w:numPr>
                <w:ilvl w:val="0"/>
                <w:numId w:val="21"/>
              </w:numPr>
            </w:pPr>
            <w:r>
              <w:t>visoki fiksni stroški (1)</w:t>
            </w:r>
          </w:p>
          <w:p w14:paraId="1BAA9D28" w14:textId="77777777" w:rsidR="00F55E60" w:rsidRDefault="00F55E60" w:rsidP="00F96204">
            <w:pPr>
              <w:pStyle w:val="Brezrazmikov"/>
              <w:numPr>
                <w:ilvl w:val="0"/>
                <w:numId w:val="21"/>
              </w:numPr>
            </w:pPr>
            <w:r>
              <w:t>majhna produktivnost</w:t>
            </w:r>
            <w:r w:rsidRPr="00CE375C">
              <w:t xml:space="preserve"> </w:t>
            </w:r>
            <w:r>
              <w:t xml:space="preserve">in </w:t>
            </w:r>
            <w:r w:rsidRPr="00CE375C">
              <w:t xml:space="preserve">šibka ekonomska moč </w:t>
            </w:r>
            <w:r>
              <w:t>subjektov akvakulture (1)</w:t>
            </w:r>
          </w:p>
          <w:p w14:paraId="7B5BBA54" w14:textId="77777777" w:rsidR="00F55E60" w:rsidRPr="0087778E" w:rsidRDefault="00F55E60" w:rsidP="00F96204">
            <w:pPr>
              <w:pStyle w:val="Brezrazmikov"/>
              <w:numPr>
                <w:ilvl w:val="0"/>
                <w:numId w:val="21"/>
              </w:numPr>
            </w:pPr>
            <w:r>
              <w:t>slaba diverzifikacija (1)</w:t>
            </w:r>
          </w:p>
          <w:p w14:paraId="09082E91" w14:textId="3AD10D26" w:rsidR="00F55E60" w:rsidRDefault="00F55E60" w:rsidP="00F96204">
            <w:pPr>
              <w:pStyle w:val="Brezrazmikov"/>
              <w:numPr>
                <w:ilvl w:val="0"/>
                <w:numId w:val="21"/>
              </w:numPr>
            </w:pPr>
            <w:r w:rsidRPr="00CE375C">
              <w:t>šibka konkurenčna sposobnost</w:t>
            </w:r>
            <w:r>
              <w:t xml:space="preserve"> (4)</w:t>
            </w:r>
          </w:p>
          <w:p w14:paraId="0254A0E8" w14:textId="0703D37C" w:rsidR="00F55E60" w:rsidRDefault="0066304F" w:rsidP="00801488">
            <w:pPr>
              <w:pStyle w:val="Brezrazmikov"/>
              <w:numPr>
                <w:ilvl w:val="0"/>
                <w:numId w:val="21"/>
              </w:numPr>
            </w:pPr>
            <w:r>
              <w:t>šibka finančna sposobnost sektorja (manjši ribogojci)</w:t>
            </w:r>
            <w:r w:rsidR="00801488">
              <w:t xml:space="preserve"> (1)</w:t>
            </w:r>
            <w:r w:rsidR="00F55E60" w:rsidRPr="00CE375C">
              <w:t>zaosta</w:t>
            </w:r>
            <w:r w:rsidR="00F55E60">
              <w:t>ja</w:t>
            </w:r>
            <w:r w:rsidR="00F55E60" w:rsidRPr="00CE375C">
              <w:t xml:space="preserve">nje pri uvajanju novih tehnologij </w:t>
            </w:r>
            <w:r w:rsidR="00F55E60">
              <w:t xml:space="preserve"> in pristopov </w:t>
            </w:r>
            <w:r w:rsidR="00F55E60" w:rsidRPr="00CE375C">
              <w:t>vzreje</w:t>
            </w:r>
            <w:r w:rsidR="00F55E60">
              <w:t xml:space="preserve"> (7)</w:t>
            </w:r>
          </w:p>
          <w:p w14:paraId="03AD83E8" w14:textId="77777777" w:rsidR="00F55E60" w:rsidRDefault="00F55E60" w:rsidP="00F96204">
            <w:pPr>
              <w:pStyle w:val="Brezrazmikov"/>
              <w:numPr>
                <w:ilvl w:val="0"/>
                <w:numId w:val="21"/>
              </w:numPr>
            </w:pPr>
            <w:r>
              <w:t>pomanjkanje znanja in inovativnih pristopov pri vzreji (4)</w:t>
            </w:r>
          </w:p>
          <w:p w14:paraId="32AA016C" w14:textId="77777777" w:rsidR="00F55E60" w:rsidRDefault="00F55E60" w:rsidP="00F96204">
            <w:pPr>
              <w:pStyle w:val="Brezrazmikov"/>
              <w:numPr>
                <w:ilvl w:val="0"/>
                <w:numId w:val="21"/>
              </w:numPr>
            </w:pPr>
            <w:r>
              <w:t>pomanjkljiva izobraževalna podpora (4)</w:t>
            </w:r>
          </w:p>
          <w:p w14:paraId="3F05682A" w14:textId="77777777" w:rsidR="00F55E60" w:rsidRPr="008A66DB" w:rsidRDefault="00F55E60" w:rsidP="00F96204">
            <w:pPr>
              <w:pStyle w:val="Brezrazmikov"/>
              <w:numPr>
                <w:ilvl w:val="0"/>
                <w:numId w:val="21"/>
              </w:numPr>
            </w:pPr>
            <w:r>
              <w:t>slaba prepoznavnost proizvodov iz akvakulture (8)</w:t>
            </w:r>
          </w:p>
          <w:p w14:paraId="4D79D8FA" w14:textId="77777777" w:rsidR="00F55E60" w:rsidRPr="00B552BE" w:rsidRDefault="00F55E60" w:rsidP="00F96204">
            <w:pPr>
              <w:pStyle w:val="Brezrazmikov"/>
              <w:numPr>
                <w:ilvl w:val="0"/>
                <w:numId w:val="21"/>
              </w:numPr>
            </w:pPr>
            <w:r w:rsidRPr="00B552BE">
              <w:t>omejena območja za gojenje</w:t>
            </w:r>
            <w:r>
              <w:t xml:space="preserve"> školjk (5)</w:t>
            </w:r>
          </w:p>
          <w:p w14:paraId="5685DC84" w14:textId="77777777" w:rsidR="00F55E60" w:rsidRDefault="00F55E60" w:rsidP="00F96204">
            <w:pPr>
              <w:pStyle w:val="Brezrazmikov"/>
              <w:numPr>
                <w:ilvl w:val="0"/>
                <w:numId w:val="21"/>
              </w:numPr>
            </w:pPr>
            <w:r w:rsidRPr="00B552BE">
              <w:t>ni zaščite</w:t>
            </w:r>
            <w:r>
              <w:t xml:space="preserve"> oziroma oznake za poreklo</w:t>
            </w:r>
            <w:r w:rsidRPr="00B552BE">
              <w:t xml:space="preserve"> dom</w:t>
            </w:r>
            <w:r>
              <w:t>ačih izdelkov (8)</w:t>
            </w:r>
            <w:r w:rsidRPr="00B552BE">
              <w:t xml:space="preserve"> </w:t>
            </w:r>
          </w:p>
          <w:p w14:paraId="68698ACB" w14:textId="77777777" w:rsidR="00F55E60" w:rsidRDefault="00F55E60" w:rsidP="00F96204">
            <w:pPr>
              <w:pStyle w:val="Brezrazmikov"/>
              <w:numPr>
                <w:ilvl w:val="0"/>
                <w:numId w:val="21"/>
              </w:numPr>
            </w:pPr>
            <w:r>
              <w:t>odvisnost od nabave iker iz tujine (4)</w:t>
            </w:r>
          </w:p>
          <w:p w14:paraId="33FE7B98" w14:textId="77777777" w:rsidR="00F55E60" w:rsidRDefault="00F55E60" w:rsidP="00F96204">
            <w:pPr>
              <w:pStyle w:val="Brezrazmikov"/>
              <w:numPr>
                <w:ilvl w:val="0"/>
                <w:numId w:val="21"/>
              </w:numPr>
            </w:pPr>
            <w:r>
              <w:t>slaba organiziranost sektorja (4)</w:t>
            </w:r>
          </w:p>
          <w:p w14:paraId="59FA4A28" w14:textId="44D834A2" w:rsidR="00950A25" w:rsidRDefault="00F55E60" w:rsidP="00F96204">
            <w:pPr>
              <w:pStyle w:val="Brezrazmikov"/>
              <w:numPr>
                <w:ilvl w:val="0"/>
                <w:numId w:val="21"/>
              </w:numPr>
            </w:pPr>
            <w:r>
              <w:t>slaba zaščita pred plenilci iz narave (1 in 3)</w:t>
            </w:r>
          </w:p>
          <w:p w14:paraId="697465AE" w14:textId="386E7C77" w:rsidR="00950A25" w:rsidRPr="00826CDC" w:rsidRDefault="00950A25" w:rsidP="00950A25">
            <w:pPr>
              <w:tabs>
                <w:tab w:val="left" w:pos="2814"/>
              </w:tabs>
              <w:jc w:val="both"/>
              <w:rPr>
                <w:i/>
                <w:u w:val="single"/>
              </w:rPr>
            </w:pPr>
            <w:r w:rsidRPr="00826CDC">
              <w:rPr>
                <w:i/>
                <w:u w:val="single"/>
              </w:rPr>
              <w:t>Predelava in trženje proizvodov iz ribištva in akvakulture</w:t>
            </w:r>
          </w:p>
          <w:p w14:paraId="3EAA90A8" w14:textId="77777777" w:rsidR="00CE4655" w:rsidRPr="0047782D" w:rsidRDefault="00CE4655" w:rsidP="00F96204">
            <w:pPr>
              <w:pStyle w:val="Brezrazmikov"/>
              <w:numPr>
                <w:ilvl w:val="0"/>
                <w:numId w:val="22"/>
              </w:numPr>
            </w:pPr>
            <w:r>
              <w:t>slab</w:t>
            </w:r>
            <w:r w:rsidRPr="0047782D">
              <w:t>a prepo</w:t>
            </w:r>
            <w:r>
              <w:t>znavnost sektorja (8)</w:t>
            </w:r>
          </w:p>
          <w:p w14:paraId="307C52E6" w14:textId="77777777" w:rsidR="00CE4655" w:rsidRPr="002109DB" w:rsidRDefault="00CE4655" w:rsidP="00F96204">
            <w:pPr>
              <w:pStyle w:val="Brezrazmikov"/>
              <w:numPr>
                <w:ilvl w:val="0"/>
                <w:numId w:val="22"/>
              </w:numPr>
            </w:pPr>
            <w:r>
              <w:t>slabo poznavanje proizvodov iz trajnostnega ribolova in akvakulture (8)</w:t>
            </w:r>
          </w:p>
          <w:p w14:paraId="2C85218A" w14:textId="77777777" w:rsidR="00CE4655" w:rsidRDefault="00CE4655" w:rsidP="00F96204">
            <w:pPr>
              <w:pStyle w:val="Brezrazmikov"/>
              <w:numPr>
                <w:ilvl w:val="0"/>
                <w:numId w:val="22"/>
              </w:numPr>
            </w:pPr>
            <w:r>
              <w:t>pomanjkanje</w:t>
            </w:r>
            <w:r w:rsidRPr="006B0FB9">
              <w:t xml:space="preserve"> tehnološke opremljenosti obratov in proizvodnje</w:t>
            </w:r>
            <w:r>
              <w:t xml:space="preserve"> (6) </w:t>
            </w:r>
          </w:p>
          <w:p w14:paraId="0A6478C3" w14:textId="77777777" w:rsidR="00CE4655" w:rsidRDefault="00CE4655" w:rsidP="00F96204">
            <w:pPr>
              <w:pStyle w:val="Brezrazmikov"/>
              <w:numPr>
                <w:ilvl w:val="0"/>
                <w:numId w:val="22"/>
              </w:numPr>
            </w:pPr>
            <w:r>
              <w:t>nizka energetska učinkovitost predelovalnih obratov (6)</w:t>
            </w:r>
          </w:p>
          <w:p w14:paraId="4B798B35" w14:textId="77777777" w:rsidR="00CE4655" w:rsidRDefault="00CE4655" w:rsidP="00F96204">
            <w:pPr>
              <w:pStyle w:val="Brezrazmikov"/>
              <w:numPr>
                <w:ilvl w:val="0"/>
                <w:numId w:val="22"/>
              </w:numPr>
            </w:pPr>
            <w:r w:rsidRPr="0047782D">
              <w:t>pomanjkanje inovativnih pristopov v proizvodnem in trženjskem procesu</w:t>
            </w:r>
            <w:r>
              <w:t xml:space="preserve"> (7)</w:t>
            </w:r>
          </w:p>
          <w:p w14:paraId="58030B83" w14:textId="77777777" w:rsidR="00CE4655" w:rsidRDefault="00CE4655" w:rsidP="00F96204">
            <w:pPr>
              <w:pStyle w:val="Brezrazmikov"/>
              <w:numPr>
                <w:ilvl w:val="0"/>
                <w:numId w:val="22"/>
              </w:numPr>
            </w:pPr>
            <w:r>
              <w:t>nezadostna povezanost med subjekti proizvodne verige (4)</w:t>
            </w:r>
          </w:p>
          <w:p w14:paraId="16190F5B" w14:textId="4853F5A1" w:rsidR="00950A25" w:rsidRPr="00475D02" w:rsidRDefault="00CE4655" w:rsidP="00F96204">
            <w:pPr>
              <w:pStyle w:val="Brezrazmikov"/>
              <w:numPr>
                <w:ilvl w:val="0"/>
                <w:numId w:val="22"/>
              </w:numPr>
            </w:pPr>
            <w:r w:rsidRPr="0047782D">
              <w:t>pomanjkanje znanja ter pomanjkljiva raziskovalna in izobraževalna podpora</w:t>
            </w:r>
          </w:p>
        </w:tc>
        <w:tc>
          <w:tcPr>
            <w:tcW w:w="3794" w:type="dxa"/>
            <w:vMerge/>
            <w:shd w:val="clear" w:color="auto" w:fill="auto"/>
          </w:tcPr>
          <w:p w14:paraId="5A6EC1AA" w14:textId="77777777" w:rsidR="00950A25" w:rsidRPr="00B552BE" w:rsidRDefault="00950A25" w:rsidP="00950A25">
            <w:pPr>
              <w:widowControl w:val="0"/>
              <w:pBdr>
                <w:top w:val="nil"/>
                <w:left w:val="nil"/>
                <w:bottom w:val="nil"/>
                <w:right w:val="nil"/>
                <w:between w:val="nil"/>
              </w:pBdr>
            </w:pPr>
          </w:p>
        </w:tc>
      </w:tr>
      <w:tr w:rsidR="00950A25" w:rsidRPr="00F700CD" w14:paraId="12DC14F6" w14:textId="77777777" w:rsidTr="00876A94">
        <w:trPr>
          <w:trHeight w:val="20"/>
        </w:trPr>
        <w:tc>
          <w:tcPr>
            <w:tcW w:w="3114" w:type="dxa"/>
            <w:vMerge/>
            <w:shd w:val="clear" w:color="auto" w:fill="auto"/>
          </w:tcPr>
          <w:p w14:paraId="70F07FEB" w14:textId="77777777" w:rsidR="00950A25" w:rsidRPr="00B552BE" w:rsidRDefault="00950A25" w:rsidP="00950A25">
            <w:pPr>
              <w:widowControl w:val="0"/>
              <w:pBdr>
                <w:top w:val="nil"/>
                <w:left w:val="nil"/>
                <w:bottom w:val="nil"/>
                <w:right w:val="nil"/>
                <w:between w:val="nil"/>
              </w:pBdr>
            </w:pPr>
          </w:p>
        </w:tc>
        <w:tc>
          <w:tcPr>
            <w:tcW w:w="1701" w:type="dxa"/>
            <w:vMerge/>
            <w:shd w:val="clear" w:color="auto" w:fill="auto"/>
          </w:tcPr>
          <w:p w14:paraId="55684DFC" w14:textId="77777777" w:rsidR="00950A25" w:rsidRPr="00B552BE" w:rsidRDefault="00950A25" w:rsidP="00950A25">
            <w:pPr>
              <w:widowControl w:val="0"/>
              <w:pBdr>
                <w:top w:val="nil"/>
                <w:left w:val="nil"/>
                <w:bottom w:val="nil"/>
                <w:right w:val="nil"/>
                <w:between w:val="nil"/>
              </w:pBdr>
            </w:pPr>
          </w:p>
        </w:tc>
        <w:tc>
          <w:tcPr>
            <w:tcW w:w="5386" w:type="dxa"/>
            <w:shd w:val="clear" w:color="auto" w:fill="auto"/>
          </w:tcPr>
          <w:p w14:paraId="1D84A0E1" w14:textId="77777777" w:rsidR="00950A25" w:rsidRDefault="00950A25" w:rsidP="00950A25">
            <w:pPr>
              <w:tabs>
                <w:tab w:val="left" w:pos="2814"/>
              </w:tabs>
              <w:rPr>
                <w:b/>
              </w:rPr>
            </w:pPr>
            <w:r w:rsidRPr="00B552BE">
              <w:rPr>
                <w:b/>
              </w:rPr>
              <w:t>Priložnosti</w:t>
            </w:r>
            <w:r>
              <w:rPr>
                <w:b/>
              </w:rPr>
              <w:t>:</w:t>
            </w:r>
          </w:p>
          <w:p w14:paraId="2D88E554" w14:textId="4589A2C9" w:rsidR="00A46DDE" w:rsidRDefault="00A46DDE" w:rsidP="00FE498C">
            <w:pPr>
              <w:tabs>
                <w:tab w:val="left" w:pos="2814"/>
              </w:tabs>
              <w:rPr>
                <w:i/>
                <w:u w:val="single"/>
              </w:rPr>
            </w:pPr>
            <w:r w:rsidRPr="00A46DDE">
              <w:rPr>
                <w:i/>
                <w:u w:val="single"/>
              </w:rPr>
              <w:t>Akvakultura</w:t>
            </w:r>
          </w:p>
          <w:p w14:paraId="748D6E07" w14:textId="77777777" w:rsidR="00794192" w:rsidRDefault="00794192" w:rsidP="00794192">
            <w:pPr>
              <w:numPr>
                <w:ilvl w:val="0"/>
                <w:numId w:val="2"/>
              </w:numPr>
              <w:tabs>
                <w:tab w:val="left" w:pos="2814"/>
              </w:tabs>
              <w:spacing w:line="276" w:lineRule="auto"/>
              <w:jc w:val="both"/>
            </w:pPr>
            <w:r w:rsidRPr="00251D00">
              <w:t xml:space="preserve">vodnatost in </w:t>
            </w:r>
            <w:r>
              <w:t xml:space="preserve">dobra </w:t>
            </w:r>
            <w:r w:rsidRPr="00251D00">
              <w:t>kakovost vode</w:t>
            </w:r>
            <w:r>
              <w:t xml:space="preserve"> (1)</w:t>
            </w:r>
          </w:p>
          <w:p w14:paraId="70C2E692" w14:textId="77777777" w:rsidR="00794192" w:rsidRDefault="00794192" w:rsidP="00794192">
            <w:pPr>
              <w:numPr>
                <w:ilvl w:val="0"/>
                <w:numId w:val="1"/>
              </w:numPr>
              <w:tabs>
                <w:tab w:val="left" w:pos="2814"/>
              </w:tabs>
              <w:spacing w:line="276" w:lineRule="auto"/>
              <w:jc w:val="both"/>
            </w:pPr>
            <w:r>
              <w:t>razpoložljive podzemne vode</w:t>
            </w:r>
            <w:r w:rsidRPr="00F041EC">
              <w:t xml:space="preserve"> </w:t>
            </w:r>
            <w:r>
              <w:t>(2)</w:t>
            </w:r>
          </w:p>
          <w:p w14:paraId="00145BC4" w14:textId="77777777" w:rsidR="00794192" w:rsidRDefault="00794192" w:rsidP="00794192">
            <w:pPr>
              <w:numPr>
                <w:ilvl w:val="0"/>
                <w:numId w:val="2"/>
              </w:numPr>
              <w:tabs>
                <w:tab w:val="left" w:pos="2814"/>
              </w:tabs>
              <w:spacing w:line="276" w:lineRule="auto"/>
              <w:jc w:val="both"/>
            </w:pPr>
            <w:r w:rsidRPr="00F041EC">
              <w:t>neizkoriščeni vodni viri</w:t>
            </w:r>
            <w:r>
              <w:t xml:space="preserve"> (1)</w:t>
            </w:r>
          </w:p>
          <w:p w14:paraId="281110E6" w14:textId="77777777" w:rsidR="00794192" w:rsidRDefault="00794192" w:rsidP="00794192">
            <w:pPr>
              <w:numPr>
                <w:ilvl w:val="0"/>
                <w:numId w:val="2"/>
              </w:numPr>
              <w:tabs>
                <w:tab w:val="left" w:pos="2814"/>
              </w:tabs>
              <w:spacing w:line="276" w:lineRule="auto"/>
              <w:jc w:val="both"/>
            </w:pPr>
            <w:r w:rsidRPr="007B4CA5">
              <w:t>ugodno stanje habitatov</w:t>
            </w:r>
            <w:r>
              <w:t xml:space="preserve"> (1)</w:t>
            </w:r>
          </w:p>
          <w:p w14:paraId="31C1FEDB" w14:textId="77777777" w:rsidR="00794192" w:rsidRDefault="00794192" w:rsidP="00794192">
            <w:pPr>
              <w:numPr>
                <w:ilvl w:val="0"/>
                <w:numId w:val="2"/>
              </w:numPr>
              <w:tabs>
                <w:tab w:val="left" w:pos="2814"/>
              </w:tabs>
              <w:spacing w:line="276" w:lineRule="auto"/>
              <w:jc w:val="both"/>
            </w:pPr>
            <w:r>
              <w:t>nove tehnologije vzreje (2 in 7)</w:t>
            </w:r>
          </w:p>
          <w:p w14:paraId="7A5ADA9E" w14:textId="77777777" w:rsidR="00794192" w:rsidRDefault="00794192" w:rsidP="00794192">
            <w:pPr>
              <w:numPr>
                <w:ilvl w:val="0"/>
                <w:numId w:val="2"/>
              </w:numPr>
              <w:tabs>
                <w:tab w:val="left" w:pos="2814"/>
              </w:tabs>
              <w:spacing w:line="276" w:lineRule="auto"/>
              <w:jc w:val="both"/>
            </w:pPr>
            <w:r>
              <w:t>prilagajanje klimatskim spremembam (1)</w:t>
            </w:r>
          </w:p>
          <w:p w14:paraId="0A81CF0C" w14:textId="77777777" w:rsidR="00794192" w:rsidRDefault="00794192" w:rsidP="00794192">
            <w:pPr>
              <w:numPr>
                <w:ilvl w:val="0"/>
                <w:numId w:val="2"/>
              </w:numPr>
              <w:tabs>
                <w:tab w:val="left" w:pos="2814"/>
              </w:tabs>
              <w:spacing w:line="276" w:lineRule="auto"/>
              <w:jc w:val="both"/>
            </w:pPr>
            <w:r>
              <w:t>povečevanje potrošnje proizvodov iz akvakulture s strani potrošnikov (8)</w:t>
            </w:r>
          </w:p>
          <w:p w14:paraId="30F0A559" w14:textId="77777777" w:rsidR="00794192" w:rsidRPr="00C86817" w:rsidRDefault="00794192" w:rsidP="00794192">
            <w:pPr>
              <w:numPr>
                <w:ilvl w:val="0"/>
                <w:numId w:val="1"/>
              </w:numPr>
              <w:tabs>
                <w:tab w:val="left" w:pos="2814"/>
              </w:tabs>
              <w:spacing w:line="276" w:lineRule="auto"/>
            </w:pPr>
            <w:r>
              <w:t>povečano povpraševanje po proizvodih iz akvakulture iz trajnostne vzreje in z dodano vrednostjo s strani potrošnikov (8)</w:t>
            </w:r>
          </w:p>
          <w:p w14:paraId="1B0424B2" w14:textId="32794E1C" w:rsidR="00794192" w:rsidRDefault="00794192" w:rsidP="00794192">
            <w:pPr>
              <w:numPr>
                <w:ilvl w:val="0"/>
                <w:numId w:val="2"/>
              </w:numPr>
              <w:tabs>
                <w:tab w:val="left" w:pos="2814"/>
              </w:tabs>
              <w:spacing w:line="276" w:lineRule="auto"/>
              <w:jc w:val="both"/>
            </w:pPr>
            <w:r>
              <w:t>novi proizvodi v kozmetični, farmacevtski industriji (7)</w:t>
            </w:r>
          </w:p>
          <w:p w14:paraId="12F3AE31" w14:textId="77777777" w:rsidR="000054AF" w:rsidRDefault="000054AF" w:rsidP="000054AF">
            <w:pPr>
              <w:numPr>
                <w:ilvl w:val="0"/>
                <w:numId w:val="2"/>
              </w:numPr>
              <w:tabs>
                <w:tab w:val="left" w:pos="2814"/>
              </w:tabs>
              <w:spacing w:line="276" w:lineRule="auto"/>
              <w:jc w:val="both"/>
            </w:pPr>
            <w:r>
              <w:t>neizkoriščeni razpoložljivi vodni viri (npr. podzemne vode) (2)</w:t>
            </w:r>
          </w:p>
          <w:p w14:paraId="296E3B22" w14:textId="77777777" w:rsidR="000054AF" w:rsidRDefault="000054AF" w:rsidP="000054AF">
            <w:pPr>
              <w:numPr>
                <w:ilvl w:val="0"/>
                <w:numId w:val="2"/>
              </w:numPr>
              <w:tabs>
                <w:tab w:val="left" w:pos="2814"/>
              </w:tabs>
              <w:spacing w:line="276" w:lineRule="auto"/>
              <w:jc w:val="both"/>
            </w:pPr>
            <w:r>
              <w:t>neizkoriščen potencial obstoječih obratov akvakulture (1)</w:t>
            </w:r>
          </w:p>
          <w:p w14:paraId="09008095" w14:textId="77777777" w:rsidR="00794192" w:rsidRDefault="00794192" w:rsidP="00794192">
            <w:pPr>
              <w:numPr>
                <w:ilvl w:val="0"/>
                <w:numId w:val="1"/>
              </w:numPr>
              <w:tabs>
                <w:tab w:val="left" w:pos="2814"/>
              </w:tabs>
              <w:spacing w:line="276" w:lineRule="auto"/>
            </w:pPr>
            <w:r w:rsidRPr="00FB3EDB">
              <w:t>prostor za nova gojitvena območja</w:t>
            </w:r>
            <w:r>
              <w:t xml:space="preserve"> na morju (5)</w:t>
            </w:r>
          </w:p>
          <w:p w14:paraId="73518547" w14:textId="77777777" w:rsidR="00794192" w:rsidRDefault="00794192" w:rsidP="00794192">
            <w:pPr>
              <w:numPr>
                <w:ilvl w:val="0"/>
                <w:numId w:val="1"/>
              </w:numPr>
              <w:tabs>
                <w:tab w:val="left" w:pos="2814"/>
              </w:tabs>
              <w:spacing w:line="276" w:lineRule="auto"/>
            </w:pPr>
            <w:r>
              <w:t>porast turizma (rekreacijski ribolov, ekoturizem, kulinarične poti) (1)</w:t>
            </w:r>
          </w:p>
          <w:p w14:paraId="1395309C" w14:textId="77777777" w:rsidR="00794192" w:rsidRDefault="00794192" w:rsidP="00794192">
            <w:pPr>
              <w:numPr>
                <w:ilvl w:val="0"/>
                <w:numId w:val="1"/>
              </w:numPr>
              <w:tabs>
                <w:tab w:val="left" w:pos="2814"/>
              </w:tabs>
              <w:spacing w:line="276" w:lineRule="auto"/>
            </w:pPr>
            <w:r>
              <w:t>uporaba odpadkov iz akvakulture za nove proizvode (1)</w:t>
            </w:r>
          </w:p>
          <w:p w14:paraId="523E4E20" w14:textId="0E5225E7" w:rsidR="00794192" w:rsidRDefault="00794192" w:rsidP="00794192">
            <w:pPr>
              <w:numPr>
                <w:ilvl w:val="0"/>
                <w:numId w:val="1"/>
              </w:numPr>
              <w:tabs>
                <w:tab w:val="left" w:pos="2814"/>
              </w:tabs>
              <w:spacing w:line="276" w:lineRule="auto"/>
            </w:pPr>
            <w:r>
              <w:t>razpoložljivi obnovljivi viri energije v proizvodnji (sonce</w:t>
            </w:r>
            <w:r w:rsidR="00CE1BC3">
              <w:t>, veter, voda, geotermalna voda</w:t>
            </w:r>
            <w:r>
              <w:t xml:space="preserve"> itd) (2)</w:t>
            </w:r>
          </w:p>
          <w:p w14:paraId="602F60E3" w14:textId="5F7F13BB" w:rsidR="009B568A" w:rsidRDefault="001E62A9" w:rsidP="009B568A">
            <w:pPr>
              <w:pStyle w:val="Odstavekseznama"/>
              <w:numPr>
                <w:ilvl w:val="0"/>
                <w:numId w:val="1"/>
              </w:numPr>
              <w:rPr>
                <w:rFonts w:eastAsia="Times New Roman" w:cs="Times New Roman"/>
                <w:szCs w:val="24"/>
                <w:lang w:eastAsia="en-US"/>
              </w:rPr>
            </w:pPr>
            <w:r>
              <w:rPr>
                <w:rFonts w:eastAsia="Times New Roman" w:cs="Times New Roman"/>
                <w:szCs w:val="24"/>
                <w:lang w:eastAsia="en-US"/>
              </w:rPr>
              <w:t>u</w:t>
            </w:r>
            <w:r w:rsidR="009B568A" w:rsidRPr="009B568A">
              <w:rPr>
                <w:rFonts w:eastAsia="Times New Roman" w:cs="Times New Roman"/>
                <w:szCs w:val="24"/>
                <w:lang w:eastAsia="en-US"/>
              </w:rPr>
              <w:t>poštevanje priporočil vmesnega vrednotenja OP ESPR 2014-2020 pri pripravi OP ESPRA 2021-2027</w:t>
            </w:r>
            <w:r w:rsidR="00801488">
              <w:rPr>
                <w:rFonts w:eastAsia="Times New Roman" w:cs="Times New Roman"/>
                <w:szCs w:val="24"/>
                <w:lang w:eastAsia="en-US"/>
              </w:rPr>
              <w:t xml:space="preserve"> (</w:t>
            </w:r>
            <w:r w:rsidR="00670C63">
              <w:rPr>
                <w:rFonts w:eastAsia="Times New Roman" w:cs="Times New Roman"/>
                <w:szCs w:val="24"/>
                <w:lang w:eastAsia="en-US"/>
              </w:rPr>
              <w:t>2,4)</w:t>
            </w:r>
          </w:p>
          <w:p w14:paraId="1F52B22E" w14:textId="4AB9362B" w:rsidR="007253BF" w:rsidRDefault="001E62A9" w:rsidP="009B568A">
            <w:pPr>
              <w:pStyle w:val="Odstavekseznama"/>
              <w:numPr>
                <w:ilvl w:val="0"/>
                <w:numId w:val="1"/>
              </w:numPr>
              <w:rPr>
                <w:rFonts w:eastAsia="Times New Roman" w:cs="Times New Roman"/>
                <w:szCs w:val="24"/>
                <w:lang w:eastAsia="en-US"/>
              </w:rPr>
            </w:pPr>
            <w:r>
              <w:rPr>
                <w:rFonts w:eastAsia="Times New Roman" w:cs="Times New Roman"/>
                <w:szCs w:val="24"/>
                <w:lang w:eastAsia="en-US"/>
              </w:rPr>
              <w:t>u</w:t>
            </w:r>
            <w:r w:rsidR="007253BF">
              <w:rPr>
                <w:rFonts w:eastAsia="Times New Roman" w:cs="Times New Roman"/>
                <w:szCs w:val="24"/>
                <w:lang w:eastAsia="en-US"/>
              </w:rPr>
              <w:t>poraba načel krožnega gospodarstva (1)</w:t>
            </w:r>
          </w:p>
          <w:p w14:paraId="0084CCE3" w14:textId="77777777" w:rsidR="009B568A" w:rsidRDefault="009B568A" w:rsidP="009B568A">
            <w:pPr>
              <w:tabs>
                <w:tab w:val="left" w:pos="2814"/>
              </w:tabs>
              <w:spacing w:line="276" w:lineRule="auto"/>
              <w:ind w:left="720"/>
            </w:pPr>
          </w:p>
          <w:p w14:paraId="6AEA1243" w14:textId="77777777" w:rsidR="00A46DDE" w:rsidRDefault="00A46DDE" w:rsidP="00FE498C">
            <w:pPr>
              <w:tabs>
                <w:tab w:val="left" w:pos="2814"/>
              </w:tabs>
              <w:rPr>
                <w:i/>
                <w:u w:val="single"/>
              </w:rPr>
            </w:pPr>
            <w:r w:rsidRPr="00A46DDE">
              <w:rPr>
                <w:i/>
                <w:u w:val="single"/>
              </w:rPr>
              <w:lastRenderedPageBreak/>
              <w:t>Predelava in trženje proizvodov iz ribištva in akvakulture</w:t>
            </w:r>
          </w:p>
          <w:p w14:paraId="0AAC2C07" w14:textId="77777777" w:rsidR="00794192" w:rsidRDefault="00794192" w:rsidP="00FE498C">
            <w:pPr>
              <w:tabs>
                <w:tab w:val="left" w:pos="2814"/>
              </w:tabs>
              <w:rPr>
                <w:i/>
                <w:u w:val="single"/>
              </w:rPr>
            </w:pPr>
          </w:p>
          <w:p w14:paraId="531CED5A" w14:textId="77777777" w:rsidR="00794192" w:rsidRDefault="00794192" w:rsidP="00794192">
            <w:pPr>
              <w:numPr>
                <w:ilvl w:val="0"/>
                <w:numId w:val="2"/>
              </w:numPr>
              <w:tabs>
                <w:tab w:val="left" w:pos="2814"/>
              </w:tabs>
              <w:spacing w:line="276" w:lineRule="auto"/>
              <w:jc w:val="both"/>
            </w:pPr>
            <w:r>
              <w:t>nove tehnologije predelave (7)</w:t>
            </w:r>
          </w:p>
          <w:p w14:paraId="17CA8232" w14:textId="77777777" w:rsidR="00794192" w:rsidRPr="00BF2FB7" w:rsidRDefault="00794192" w:rsidP="00794192">
            <w:pPr>
              <w:numPr>
                <w:ilvl w:val="0"/>
                <w:numId w:val="2"/>
              </w:numPr>
              <w:tabs>
                <w:tab w:val="left" w:pos="2814"/>
              </w:tabs>
              <w:spacing w:line="276" w:lineRule="auto"/>
              <w:jc w:val="both"/>
            </w:pPr>
            <w:r>
              <w:t>novi proizvodi</w:t>
            </w:r>
          </w:p>
          <w:p w14:paraId="4EF16C3D" w14:textId="77777777" w:rsidR="00794192" w:rsidRDefault="00794192" w:rsidP="00794192">
            <w:pPr>
              <w:numPr>
                <w:ilvl w:val="0"/>
                <w:numId w:val="2"/>
              </w:numPr>
              <w:tabs>
                <w:tab w:val="left" w:pos="2814"/>
              </w:tabs>
              <w:spacing w:line="276" w:lineRule="auto"/>
              <w:jc w:val="both"/>
            </w:pPr>
            <w:r w:rsidRPr="002963F3">
              <w:t xml:space="preserve">zaupanje potrošnikov v proizvode iz </w:t>
            </w:r>
            <w:r>
              <w:t>vodnih organizmov (8)</w:t>
            </w:r>
          </w:p>
          <w:p w14:paraId="3F875C12" w14:textId="38D4E03D" w:rsidR="00794192" w:rsidRDefault="00794192" w:rsidP="00794192">
            <w:pPr>
              <w:numPr>
                <w:ilvl w:val="0"/>
                <w:numId w:val="2"/>
              </w:numPr>
              <w:tabs>
                <w:tab w:val="left" w:pos="2814"/>
              </w:tabs>
              <w:spacing w:line="276" w:lineRule="auto"/>
              <w:jc w:val="both"/>
            </w:pPr>
            <w:r>
              <w:t>povečevanje povpraševanj</w:t>
            </w:r>
            <w:r w:rsidR="00670C63">
              <w:t>a in</w:t>
            </w:r>
            <w:r>
              <w:t xml:space="preserve"> potrošnje predelanih ribiških proizvodov in proizvodov  iz akvakulture (8)</w:t>
            </w:r>
          </w:p>
          <w:p w14:paraId="3F87CDE5" w14:textId="2924D3D0" w:rsidR="00865F0A" w:rsidRPr="00794192" w:rsidRDefault="00794192" w:rsidP="007253BF">
            <w:pPr>
              <w:numPr>
                <w:ilvl w:val="0"/>
                <w:numId w:val="2"/>
              </w:numPr>
              <w:tabs>
                <w:tab w:val="left" w:pos="2814"/>
              </w:tabs>
              <w:spacing w:line="276" w:lineRule="auto"/>
              <w:jc w:val="both"/>
            </w:pPr>
            <w:r w:rsidRPr="00BF2FB7">
              <w:t xml:space="preserve">razpoložljivi obnovljivi viri energije v proizvodnji (sonce, veter, voda, </w:t>
            </w:r>
            <w:r>
              <w:t>geotermalna voda, itd) (6)</w:t>
            </w:r>
          </w:p>
        </w:tc>
        <w:tc>
          <w:tcPr>
            <w:tcW w:w="3794" w:type="dxa"/>
            <w:vMerge/>
            <w:shd w:val="clear" w:color="auto" w:fill="auto"/>
          </w:tcPr>
          <w:p w14:paraId="57F2A621" w14:textId="77777777" w:rsidR="00950A25" w:rsidRPr="00B552BE" w:rsidRDefault="00950A25" w:rsidP="00950A25">
            <w:pPr>
              <w:widowControl w:val="0"/>
              <w:pBdr>
                <w:top w:val="nil"/>
                <w:left w:val="nil"/>
                <w:bottom w:val="nil"/>
                <w:right w:val="nil"/>
                <w:between w:val="nil"/>
              </w:pBdr>
            </w:pPr>
          </w:p>
        </w:tc>
      </w:tr>
      <w:tr w:rsidR="00950A25" w:rsidRPr="00F700CD" w14:paraId="7BA3B373" w14:textId="77777777" w:rsidTr="00876A94">
        <w:trPr>
          <w:trHeight w:val="20"/>
        </w:trPr>
        <w:tc>
          <w:tcPr>
            <w:tcW w:w="3114" w:type="dxa"/>
            <w:vMerge/>
            <w:shd w:val="clear" w:color="auto" w:fill="auto"/>
          </w:tcPr>
          <w:p w14:paraId="201CD419" w14:textId="77777777" w:rsidR="00950A25" w:rsidRPr="00B552BE" w:rsidRDefault="00950A25" w:rsidP="00950A25">
            <w:pPr>
              <w:widowControl w:val="0"/>
              <w:pBdr>
                <w:top w:val="nil"/>
                <w:left w:val="nil"/>
                <w:bottom w:val="nil"/>
                <w:right w:val="nil"/>
                <w:between w:val="nil"/>
              </w:pBdr>
            </w:pPr>
          </w:p>
        </w:tc>
        <w:tc>
          <w:tcPr>
            <w:tcW w:w="1701" w:type="dxa"/>
            <w:vMerge/>
            <w:shd w:val="clear" w:color="auto" w:fill="auto"/>
          </w:tcPr>
          <w:p w14:paraId="0D017570" w14:textId="77777777" w:rsidR="00950A25" w:rsidRPr="00B552BE" w:rsidRDefault="00950A25" w:rsidP="00950A25">
            <w:pPr>
              <w:widowControl w:val="0"/>
              <w:pBdr>
                <w:top w:val="nil"/>
                <w:left w:val="nil"/>
                <w:bottom w:val="nil"/>
                <w:right w:val="nil"/>
                <w:between w:val="nil"/>
              </w:pBdr>
            </w:pPr>
          </w:p>
        </w:tc>
        <w:tc>
          <w:tcPr>
            <w:tcW w:w="5386" w:type="dxa"/>
            <w:shd w:val="clear" w:color="auto" w:fill="auto"/>
          </w:tcPr>
          <w:p w14:paraId="0C02FF90" w14:textId="77777777" w:rsidR="00950A25" w:rsidRDefault="00950A25" w:rsidP="00950A25">
            <w:pPr>
              <w:tabs>
                <w:tab w:val="left" w:pos="2814"/>
              </w:tabs>
              <w:rPr>
                <w:b/>
              </w:rPr>
            </w:pPr>
            <w:r w:rsidRPr="00B552BE">
              <w:rPr>
                <w:b/>
              </w:rPr>
              <w:t>Nevarnosti</w:t>
            </w:r>
          </w:p>
          <w:p w14:paraId="6A1301CA" w14:textId="09F4C732" w:rsidR="00950A25" w:rsidRPr="00A46DDE" w:rsidRDefault="00A46DDE" w:rsidP="00950A25">
            <w:pPr>
              <w:tabs>
                <w:tab w:val="left" w:pos="2814"/>
              </w:tabs>
              <w:rPr>
                <w:i/>
                <w:u w:val="single"/>
              </w:rPr>
            </w:pPr>
            <w:r w:rsidRPr="00A46DDE">
              <w:rPr>
                <w:i/>
                <w:u w:val="single"/>
              </w:rPr>
              <w:t>Akvakultura</w:t>
            </w:r>
          </w:p>
          <w:p w14:paraId="014B24D5" w14:textId="73FF7EEB" w:rsidR="00950A25" w:rsidRDefault="00950A25" w:rsidP="00950A25">
            <w:pPr>
              <w:tabs>
                <w:tab w:val="left" w:pos="2814"/>
              </w:tabs>
              <w:ind w:left="360"/>
            </w:pPr>
          </w:p>
          <w:p w14:paraId="4B7F4020" w14:textId="77777777" w:rsidR="00794192" w:rsidRDefault="00794192" w:rsidP="007B2571">
            <w:pPr>
              <w:numPr>
                <w:ilvl w:val="0"/>
                <w:numId w:val="3"/>
              </w:numPr>
              <w:tabs>
                <w:tab w:val="left" w:pos="2814"/>
              </w:tabs>
              <w:spacing w:line="276" w:lineRule="auto"/>
            </w:pPr>
            <w:r>
              <w:t>okoljske spremembe in naravne nesreče (1)</w:t>
            </w:r>
          </w:p>
          <w:p w14:paraId="6BCBF280" w14:textId="77777777" w:rsidR="00794192" w:rsidRDefault="00794192" w:rsidP="007B2571">
            <w:pPr>
              <w:numPr>
                <w:ilvl w:val="0"/>
                <w:numId w:val="3"/>
              </w:numPr>
              <w:tabs>
                <w:tab w:val="left" w:pos="2814"/>
              </w:tabs>
              <w:spacing w:line="276" w:lineRule="auto"/>
            </w:pPr>
            <w:r>
              <w:t>ekonomsko finančna kriza (1)</w:t>
            </w:r>
          </w:p>
          <w:p w14:paraId="0A230167" w14:textId="77777777" w:rsidR="00794192" w:rsidRDefault="00794192" w:rsidP="007B2571">
            <w:pPr>
              <w:numPr>
                <w:ilvl w:val="0"/>
                <w:numId w:val="3"/>
              </w:numPr>
              <w:tabs>
                <w:tab w:val="left" w:pos="2814"/>
              </w:tabs>
              <w:spacing w:line="276" w:lineRule="auto"/>
            </w:pPr>
            <w:r>
              <w:t>zamuljenje večjih zadrževalnikov vode (1)</w:t>
            </w:r>
          </w:p>
          <w:p w14:paraId="7BF98B48" w14:textId="77777777" w:rsidR="00794192" w:rsidRDefault="00794192" w:rsidP="007B2571">
            <w:pPr>
              <w:numPr>
                <w:ilvl w:val="0"/>
                <w:numId w:val="3"/>
              </w:numPr>
              <w:tabs>
                <w:tab w:val="left" w:pos="2814"/>
              </w:tabs>
              <w:spacing w:line="276" w:lineRule="auto"/>
            </w:pPr>
            <w:r>
              <w:t>ribojede ptice (</w:t>
            </w:r>
            <w:r w:rsidRPr="00490957">
              <w:t>kormorani</w:t>
            </w:r>
            <w:r>
              <w:t>)</w:t>
            </w:r>
            <w:r w:rsidRPr="00490957">
              <w:t xml:space="preserve"> in drugi p</w:t>
            </w:r>
            <w:r>
              <w:t>lenilci iz narave (3)</w:t>
            </w:r>
          </w:p>
          <w:p w14:paraId="2F613235" w14:textId="77777777" w:rsidR="00794192" w:rsidRDefault="00794192" w:rsidP="007B2571">
            <w:pPr>
              <w:numPr>
                <w:ilvl w:val="0"/>
                <w:numId w:val="3"/>
              </w:numPr>
              <w:tabs>
                <w:tab w:val="left" w:pos="2814"/>
              </w:tabs>
              <w:spacing w:line="276" w:lineRule="auto"/>
            </w:pPr>
            <w:r>
              <w:t>padec kupne moči potrošnikov (8)</w:t>
            </w:r>
          </w:p>
          <w:p w14:paraId="3ECFE835" w14:textId="2BCA9E40" w:rsidR="00794192" w:rsidRDefault="00794192" w:rsidP="007B2571">
            <w:pPr>
              <w:numPr>
                <w:ilvl w:val="0"/>
                <w:numId w:val="3"/>
              </w:numPr>
              <w:tabs>
                <w:tab w:val="left" w:pos="2814"/>
              </w:tabs>
              <w:spacing w:line="276" w:lineRule="auto"/>
            </w:pPr>
            <w:r w:rsidRPr="00AC5C22">
              <w:t>pomanjkanje surovine</w:t>
            </w:r>
            <w:r>
              <w:t xml:space="preserve"> (1)</w:t>
            </w:r>
          </w:p>
          <w:p w14:paraId="4897905A" w14:textId="77777777" w:rsidR="00950A25" w:rsidRDefault="00A46DDE" w:rsidP="00A735CC">
            <w:pPr>
              <w:tabs>
                <w:tab w:val="left" w:pos="2814"/>
              </w:tabs>
              <w:spacing w:line="276" w:lineRule="auto"/>
              <w:jc w:val="both"/>
              <w:rPr>
                <w:i/>
                <w:u w:val="single"/>
              </w:rPr>
            </w:pPr>
            <w:r w:rsidRPr="00A46DDE">
              <w:rPr>
                <w:i/>
                <w:u w:val="single"/>
              </w:rPr>
              <w:t>Predelava in trženje proizvodov iz ribištva in akvakulture</w:t>
            </w:r>
          </w:p>
          <w:p w14:paraId="0285AD19" w14:textId="77777777" w:rsidR="00794192" w:rsidRPr="00CF2245" w:rsidRDefault="00794192" w:rsidP="00794192">
            <w:pPr>
              <w:numPr>
                <w:ilvl w:val="0"/>
                <w:numId w:val="1"/>
              </w:numPr>
              <w:tabs>
                <w:tab w:val="left" w:pos="2814"/>
              </w:tabs>
              <w:spacing w:line="276" w:lineRule="auto"/>
            </w:pPr>
            <w:r w:rsidRPr="00CF2245">
              <w:t xml:space="preserve">naraščanje cen </w:t>
            </w:r>
            <w:r>
              <w:t xml:space="preserve">in </w:t>
            </w:r>
            <w:r w:rsidRPr="00CF2245">
              <w:t>pomanjkanje surovin, zlasti iz morskega ribolova</w:t>
            </w:r>
            <w:r>
              <w:t xml:space="preserve"> (6)</w:t>
            </w:r>
          </w:p>
          <w:p w14:paraId="5D4E4DA8" w14:textId="77777777" w:rsidR="00794192" w:rsidRDefault="00794192" w:rsidP="00794192">
            <w:pPr>
              <w:numPr>
                <w:ilvl w:val="0"/>
                <w:numId w:val="1"/>
              </w:numPr>
              <w:tabs>
                <w:tab w:val="left" w:pos="2814"/>
              </w:tabs>
              <w:spacing w:line="276" w:lineRule="auto"/>
            </w:pPr>
            <w:r>
              <w:t>ekonomsko-finančna kriza (6)</w:t>
            </w:r>
          </w:p>
          <w:p w14:paraId="2005FB01" w14:textId="77777777" w:rsidR="00794192" w:rsidRPr="009F53FE" w:rsidRDefault="00794192" w:rsidP="00794192">
            <w:pPr>
              <w:numPr>
                <w:ilvl w:val="0"/>
                <w:numId w:val="1"/>
              </w:numPr>
              <w:tabs>
                <w:tab w:val="left" w:pos="2814"/>
              </w:tabs>
              <w:spacing w:line="276" w:lineRule="auto"/>
            </w:pPr>
            <w:r w:rsidRPr="009F53FE">
              <w:t>pomanjkanje kvalificirane delovne sile</w:t>
            </w:r>
            <w:r>
              <w:t xml:space="preserve"> (4)</w:t>
            </w:r>
          </w:p>
          <w:p w14:paraId="207B1F18" w14:textId="77777777" w:rsidR="00794192" w:rsidRDefault="00794192" w:rsidP="00794192">
            <w:pPr>
              <w:numPr>
                <w:ilvl w:val="0"/>
                <w:numId w:val="1"/>
              </w:numPr>
              <w:tabs>
                <w:tab w:val="left" w:pos="2814"/>
              </w:tabs>
              <w:spacing w:line="276" w:lineRule="auto"/>
            </w:pPr>
            <w:r w:rsidRPr="00CF2245">
              <w:t>spreminjanje nakupovalnih navad potrošnikov</w:t>
            </w:r>
            <w:r>
              <w:t xml:space="preserve"> (8)</w:t>
            </w:r>
          </w:p>
          <w:p w14:paraId="50611804" w14:textId="77777777" w:rsidR="00794192" w:rsidRDefault="00794192" w:rsidP="00794192">
            <w:pPr>
              <w:numPr>
                <w:ilvl w:val="0"/>
                <w:numId w:val="1"/>
              </w:numPr>
              <w:tabs>
                <w:tab w:val="left" w:pos="2814"/>
              </w:tabs>
              <w:spacing w:line="276" w:lineRule="auto"/>
              <w:jc w:val="both"/>
            </w:pPr>
            <w:r>
              <w:t>negativni dogodki, ki vplivajo na zaupanje potrošnikov (8)</w:t>
            </w:r>
          </w:p>
          <w:p w14:paraId="67B9DF1A" w14:textId="788E3E4F" w:rsidR="00794192" w:rsidRPr="00794192" w:rsidRDefault="00794192" w:rsidP="00473017">
            <w:pPr>
              <w:numPr>
                <w:ilvl w:val="0"/>
                <w:numId w:val="1"/>
              </w:numPr>
              <w:tabs>
                <w:tab w:val="left" w:pos="2814"/>
              </w:tabs>
              <w:spacing w:line="276" w:lineRule="auto"/>
              <w:jc w:val="both"/>
            </w:pPr>
            <w:r w:rsidRPr="0047782D">
              <w:t>sezonska nihanja oskrbe s svežimi ribiški proizvodi</w:t>
            </w:r>
            <w:r>
              <w:t xml:space="preserve"> (8)</w:t>
            </w:r>
          </w:p>
        </w:tc>
        <w:tc>
          <w:tcPr>
            <w:tcW w:w="3794" w:type="dxa"/>
            <w:vMerge/>
            <w:shd w:val="clear" w:color="auto" w:fill="auto"/>
          </w:tcPr>
          <w:p w14:paraId="60B0D9E3" w14:textId="77777777" w:rsidR="00950A25" w:rsidRPr="00B552BE" w:rsidRDefault="00950A25" w:rsidP="00950A25">
            <w:pPr>
              <w:widowControl w:val="0"/>
              <w:pBdr>
                <w:top w:val="nil"/>
                <w:left w:val="nil"/>
                <w:bottom w:val="nil"/>
                <w:right w:val="nil"/>
                <w:between w:val="nil"/>
              </w:pBdr>
            </w:pPr>
          </w:p>
        </w:tc>
      </w:tr>
      <w:tr w:rsidR="00950A25" w:rsidRPr="001902C9" w14:paraId="25E93154" w14:textId="77777777" w:rsidTr="00876A94">
        <w:trPr>
          <w:trHeight w:val="420"/>
        </w:trPr>
        <w:tc>
          <w:tcPr>
            <w:tcW w:w="3114" w:type="dxa"/>
            <w:vMerge/>
            <w:shd w:val="clear" w:color="auto" w:fill="auto"/>
          </w:tcPr>
          <w:p w14:paraId="522848C0" w14:textId="77777777" w:rsidR="00950A25" w:rsidRPr="00B552BE" w:rsidRDefault="00950A25" w:rsidP="00950A25">
            <w:pPr>
              <w:widowControl w:val="0"/>
              <w:pBdr>
                <w:top w:val="nil"/>
                <w:left w:val="nil"/>
                <w:bottom w:val="nil"/>
                <w:right w:val="nil"/>
                <w:between w:val="nil"/>
              </w:pBdr>
            </w:pPr>
          </w:p>
        </w:tc>
        <w:tc>
          <w:tcPr>
            <w:tcW w:w="1701" w:type="dxa"/>
            <w:vMerge/>
            <w:shd w:val="clear" w:color="auto" w:fill="auto"/>
          </w:tcPr>
          <w:p w14:paraId="6E7BBEE5" w14:textId="77777777" w:rsidR="00950A25" w:rsidRPr="00B552BE" w:rsidRDefault="00950A25" w:rsidP="00950A25">
            <w:pPr>
              <w:widowControl w:val="0"/>
              <w:pBdr>
                <w:top w:val="nil"/>
                <w:left w:val="nil"/>
                <w:bottom w:val="nil"/>
                <w:right w:val="nil"/>
                <w:between w:val="nil"/>
              </w:pBdr>
            </w:pPr>
          </w:p>
        </w:tc>
        <w:tc>
          <w:tcPr>
            <w:tcW w:w="5386" w:type="dxa"/>
            <w:shd w:val="clear" w:color="auto" w:fill="auto"/>
          </w:tcPr>
          <w:p w14:paraId="1C574C88" w14:textId="3EE34FD0" w:rsidR="00950A25" w:rsidRPr="007247A5" w:rsidRDefault="00950A25" w:rsidP="00950A25">
            <w:pPr>
              <w:tabs>
                <w:tab w:val="left" w:pos="2814"/>
              </w:tabs>
              <w:rPr>
                <w:b/>
              </w:rPr>
            </w:pPr>
            <w:r w:rsidRPr="007247A5">
              <w:rPr>
                <w:b/>
              </w:rPr>
              <w:t xml:space="preserve">Opredelitev potreb na podlagi analize SWOT in ob upoštevanju elementov iz člena </w:t>
            </w:r>
            <w:r w:rsidR="00577FA6">
              <w:rPr>
                <w:b/>
              </w:rPr>
              <w:t>5</w:t>
            </w:r>
            <w:r w:rsidRPr="007247A5">
              <w:rPr>
                <w:b/>
              </w:rPr>
              <w:t>(6) uredbe o ESPR</w:t>
            </w:r>
            <w:r w:rsidR="00577FA6">
              <w:rPr>
                <w:b/>
              </w:rPr>
              <w:t>A</w:t>
            </w:r>
          </w:p>
          <w:p w14:paraId="5C1FC244" w14:textId="77777777" w:rsidR="00950A25" w:rsidRDefault="00950A25" w:rsidP="00950A25">
            <w:pPr>
              <w:tabs>
                <w:tab w:val="left" w:pos="2814"/>
              </w:tabs>
              <w:rPr>
                <w:b/>
              </w:rPr>
            </w:pPr>
            <w:r w:rsidRPr="007247A5">
              <w:rPr>
                <w:b/>
              </w:rPr>
              <w:t>[10 000 za posamezno prednostno nalogo]</w:t>
            </w:r>
          </w:p>
          <w:tbl>
            <w:tblPr>
              <w:tblStyle w:val="Tabelamrea"/>
              <w:tblW w:w="0" w:type="auto"/>
              <w:tblLook w:val="04A0" w:firstRow="1" w:lastRow="0" w:firstColumn="1" w:lastColumn="0" w:noHBand="0" w:noVBand="1"/>
            </w:tblPr>
            <w:tblGrid>
              <w:gridCol w:w="5160"/>
            </w:tblGrid>
            <w:tr w:rsidR="007B2571" w:rsidRPr="00CC150A" w14:paraId="3A1F1BC9" w14:textId="77777777" w:rsidTr="006D3B7E">
              <w:tc>
                <w:tcPr>
                  <w:tcW w:w="9062" w:type="dxa"/>
                </w:tcPr>
                <w:p w14:paraId="467CBB02" w14:textId="250224E5" w:rsidR="007B2571" w:rsidRPr="007B2571" w:rsidRDefault="007B2571" w:rsidP="00FE45E9">
                  <w:pPr>
                    <w:framePr w:hSpace="141" w:wrap="around" w:vAnchor="text" w:hAnchor="margin" w:y="-791"/>
                    <w:widowControl w:val="0"/>
                    <w:rPr>
                      <w:b/>
                      <w:lang w:val="sl-SI"/>
                    </w:rPr>
                  </w:pPr>
                  <w:r w:rsidRPr="007B2571">
                    <w:rPr>
                      <w:b/>
                      <w:lang w:val="sl-SI"/>
                    </w:rPr>
                    <w:t>OPREDELITEV POTREB NA AKVAKULTURI</w:t>
                  </w:r>
                </w:p>
              </w:tc>
            </w:tr>
            <w:tr w:rsidR="00473017" w:rsidRPr="00CC150A" w14:paraId="2D8296A0" w14:textId="77777777" w:rsidTr="006D3B7E">
              <w:tc>
                <w:tcPr>
                  <w:tcW w:w="9062" w:type="dxa"/>
                </w:tcPr>
                <w:p w14:paraId="41BDC7A2" w14:textId="15F4ADE6" w:rsidR="00473017" w:rsidRPr="00473017" w:rsidRDefault="00473017" w:rsidP="00FE45E9">
                  <w:pPr>
                    <w:framePr w:hSpace="141" w:wrap="around" w:vAnchor="text" w:hAnchor="margin" w:y="-791"/>
                    <w:tabs>
                      <w:tab w:val="left" w:pos="2814"/>
                    </w:tabs>
                    <w:jc w:val="both"/>
                    <w:rPr>
                      <w:lang w:val="sl-SI"/>
                    </w:rPr>
                  </w:pPr>
                  <w:r w:rsidRPr="00473017">
                    <w:rPr>
                      <w:lang w:val="sl-SI"/>
                    </w:rPr>
                    <w:t>1. Večanje konkurenčnosti akvakulture z naložbami v obstoječe in nove obrate akvakulture za:</w:t>
                  </w:r>
                </w:p>
                <w:p w14:paraId="28A074FC"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zagotavljanje večje produktivnosti,</w:t>
                  </w:r>
                </w:p>
                <w:p w14:paraId="2EB4A6F0" w14:textId="6212C5A8" w:rsid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vzrejo novih vrst,</w:t>
                  </w:r>
                </w:p>
                <w:p w14:paraId="05359733" w14:textId="24BF0DC7" w:rsidR="007E183E" w:rsidRPr="00473017" w:rsidRDefault="007E183E" w:rsidP="00FE45E9">
                  <w:pPr>
                    <w:framePr w:hSpace="141" w:wrap="around" w:vAnchor="text" w:hAnchor="margin" w:y="-791"/>
                    <w:numPr>
                      <w:ilvl w:val="0"/>
                      <w:numId w:val="23"/>
                    </w:numPr>
                    <w:tabs>
                      <w:tab w:val="left" w:pos="2814"/>
                    </w:tabs>
                    <w:spacing w:after="160" w:line="276" w:lineRule="auto"/>
                    <w:contextualSpacing/>
                    <w:jc w:val="both"/>
                    <w:rPr>
                      <w:lang w:val="sl-SI"/>
                    </w:rPr>
                  </w:pPr>
                  <w:r>
                    <w:rPr>
                      <w:lang w:val="sl-SI"/>
                    </w:rPr>
                    <w:t>ekološko vzrejo</w:t>
                  </w:r>
                </w:p>
                <w:p w14:paraId="63751249"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večjo izkoriščenost vodnih virov</w:t>
                  </w:r>
                </w:p>
                <w:p w14:paraId="1D4B7734"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 xml:space="preserve">zmanjšanja onesnaženja, </w:t>
                  </w:r>
                </w:p>
                <w:p w14:paraId="7328C2F4"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dobrobiti vodnih organizmov (npr. v opremo za omamljanje rib pred zakolom oz. usmrtitvijo),</w:t>
                  </w:r>
                </w:p>
                <w:p w14:paraId="7DCC0C43"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nadzor in zaščito pred plenilci iz narave,</w:t>
                  </w:r>
                </w:p>
                <w:p w14:paraId="17FF6FD6"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posodobitev opreme (delovni stroji, vključno z računalniško opremo in programi za računalniško vodenje proizvodnje, prodajo in sledljivost proizvodov iz akvakulture (digitalizacija, avtomatizacija in online monitoring), transportna sredstva in oprema za prevoz živih vodnih organizmov in proizvodov iz akvakulture)</w:t>
                  </w:r>
                </w:p>
                <w:p w14:paraId="3D722435"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t>diverzifikacijo dejavnosti (npr. izgradnja komercialnih ribnikov za lastno proizvodnjo kot dodatna turistična/gostinska ponudba, izgradnja dvoran za predstavitev akvakulture, naložbe v prostore za čiščenje, filetiranje in prodajo lastnih proizvodov</w:t>
                  </w:r>
                </w:p>
                <w:p w14:paraId="5EE3D952" w14:textId="77777777" w:rsidR="00473017" w:rsidRPr="00473017" w:rsidRDefault="00473017" w:rsidP="00FE45E9">
                  <w:pPr>
                    <w:framePr w:hSpace="141" w:wrap="around" w:vAnchor="text" w:hAnchor="margin" w:y="-791"/>
                    <w:numPr>
                      <w:ilvl w:val="0"/>
                      <w:numId w:val="23"/>
                    </w:numPr>
                    <w:tabs>
                      <w:tab w:val="left" w:pos="2814"/>
                    </w:tabs>
                    <w:spacing w:after="160" w:line="276" w:lineRule="auto"/>
                    <w:contextualSpacing/>
                    <w:jc w:val="both"/>
                    <w:rPr>
                      <w:lang w:val="sl-SI"/>
                    </w:rPr>
                  </w:pPr>
                  <w:r w:rsidRPr="00473017">
                    <w:rPr>
                      <w:lang w:val="sl-SI"/>
                    </w:rPr>
                    <w:lastRenderedPageBreak/>
                    <w:t>izgradnjo zaprtih RAS sistemov v povezavi z naložbami, ki omogočajo uporabo obnovljivih virov energije za lastne potrebe,</w:t>
                  </w:r>
                </w:p>
                <w:p w14:paraId="39BF3775" w14:textId="6A46F28F" w:rsidR="00473017" w:rsidRPr="00473017" w:rsidRDefault="00473017" w:rsidP="00FE45E9">
                  <w:pPr>
                    <w:framePr w:hSpace="141" w:wrap="around" w:vAnchor="text" w:hAnchor="margin" w:y="-791"/>
                    <w:spacing w:line="240" w:lineRule="auto"/>
                    <w:rPr>
                      <w:highlight w:val="yellow"/>
                      <w:lang w:val="sl-SI"/>
                    </w:rPr>
                  </w:pPr>
                  <w:r w:rsidRPr="00473017">
                    <w:rPr>
                      <w:lang w:val="sl-SI"/>
                    </w:rPr>
                    <w:t>2. Ohranjanje akvakulture za ohranitev ribnikov in habitatov ter marikulture v primeru pojava biotoksinov, omogočanje nadomestil za ekološko akvakulturo:</w:t>
                  </w:r>
                </w:p>
                <w:p w14:paraId="320474F4" w14:textId="77777777" w:rsidR="00473017" w:rsidRDefault="00473017" w:rsidP="00FE45E9">
                  <w:pPr>
                    <w:framePr w:hSpace="141" w:wrap="around" w:vAnchor="text" w:hAnchor="margin" w:y="-791"/>
                    <w:numPr>
                      <w:ilvl w:val="0"/>
                      <w:numId w:val="24"/>
                    </w:numPr>
                    <w:spacing w:line="240" w:lineRule="auto"/>
                    <w:jc w:val="both"/>
                    <w:rPr>
                      <w:lang w:val="sl-SI"/>
                    </w:rPr>
                  </w:pPr>
                  <w:r w:rsidRPr="00473017">
                    <w:rPr>
                      <w:lang w:val="sl-SI"/>
                    </w:rPr>
                    <w:t>omogočanje nadomestil v toplovodni akvakulturi za okoljske storitve v obratih akvakulture, ki niso ograjeni, v primeru ekstenzivne ali polintenzivne vzreje za vzdrževanje vzrejnih vodnih in priobalnih površin kot habitatov prostoživečih živali, in ko zaščita pred plenilci iz narave ni učinkovita;</w:t>
                  </w:r>
                  <w:r>
                    <w:rPr>
                      <w:lang w:val="sl-SI"/>
                    </w:rPr>
                    <w:t xml:space="preserve"> </w:t>
                  </w:r>
                </w:p>
                <w:p w14:paraId="54847002" w14:textId="77777777" w:rsidR="00473017" w:rsidRDefault="00473017" w:rsidP="00FE45E9">
                  <w:pPr>
                    <w:framePr w:hSpace="141" w:wrap="around" w:vAnchor="text" w:hAnchor="margin" w:y="-791"/>
                    <w:numPr>
                      <w:ilvl w:val="0"/>
                      <w:numId w:val="24"/>
                    </w:numPr>
                    <w:spacing w:line="240" w:lineRule="auto"/>
                    <w:jc w:val="both"/>
                    <w:rPr>
                      <w:lang w:val="sl-SI"/>
                    </w:rPr>
                  </w:pPr>
                  <w:r w:rsidRPr="00473017">
                    <w:rPr>
                      <w:lang w:val="sl-SI"/>
                    </w:rPr>
                    <w:t>omogočanje nadomestil zaradi posebnih pogojev vzreje (prepoved krmljenja, gnojenja, itd.)</w:t>
                  </w:r>
                  <w:r>
                    <w:rPr>
                      <w:lang w:val="sl-SI"/>
                    </w:rPr>
                    <w:t xml:space="preserve"> </w:t>
                  </w:r>
                </w:p>
                <w:p w14:paraId="12F37D3C" w14:textId="31EE19D2" w:rsidR="00473017" w:rsidRDefault="00473017" w:rsidP="00FE45E9">
                  <w:pPr>
                    <w:framePr w:hSpace="141" w:wrap="around" w:vAnchor="text" w:hAnchor="margin" w:y="-791"/>
                    <w:numPr>
                      <w:ilvl w:val="0"/>
                      <w:numId w:val="24"/>
                    </w:numPr>
                    <w:spacing w:line="240" w:lineRule="auto"/>
                    <w:jc w:val="both"/>
                    <w:rPr>
                      <w:lang w:val="sl-SI"/>
                    </w:rPr>
                  </w:pPr>
                  <w:r>
                    <w:rPr>
                      <w:lang w:val="sl-SI"/>
                    </w:rPr>
                    <w:t>omogočanje nadomestil školjkarjem ob pojavu biotoksinov</w:t>
                  </w:r>
                </w:p>
                <w:p w14:paraId="166160C3" w14:textId="087A9A1F" w:rsidR="007E183E" w:rsidRDefault="007E183E" w:rsidP="00FE45E9">
                  <w:pPr>
                    <w:framePr w:hSpace="141" w:wrap="around" w:vAnchor="text" w:hAnchor="margin" w:y="-791"/>
                    <w:numPr>
                      <w:ilvl w:val="0"/>
                      <w:numId w:val="24"/>
                    </w:numPr>
                    <w:spacing w:line="240" w:lineRule="auto"/>
                    <w:jc w:val="both"/>
                    <w:rPr>
                      <w:lang w:val="sl-SI"/>
                    </w:rPr>
                  </w:pPr>
                  <w:r>
                    <w:rPr>
                      <w:lang w:val="sl-SI"/>
                    </w:rPr>
                    <w:t>omogočanje nadomestil za prehod na ekološko akvakulturo</w:t>
                  </w:r>
                </w:p>
                <w:p w14:paraId="44C5BF2B" w14:textId="60522688" w:rsidR="00473017" w:rsidRPr="00473017" w:rsidRDefault="00473017" w:rsidP="00FE45E9">
                  <w:pPr>
                    <w:framePr w:hSpace="141" w:wrap="around" w:vAnchor="text" w:hAnchor="margin" w:y="-791"/>
                    <w:tabs>
                      <w:tab w:val="left" w:pos="2814"/>
                    </w:tabs>
                    <w:spacing w:line="240" w:lineRule="auto"/>
                    <w:rPr>
                      <w:lang w:val="sl-SI"/>
                    </w:rPr>
                  </w:pPr>
                  <w:r w:rsidRPr="00473017">
                    <w:rPr>
                      <w:lang w:val="sl-SI"/>
                    </w:rPr>
                    <w:t>3. Izboljšanje znanj v sektorju akvakulture in izven, mreženje in izmenjava dobrih praks:</w:t>
                  </w:r>
                </w:p>
                <w:p w14:paraId="6AE2E083" w14:textId="701F89F8" w:rsidR="00473017" w:rsidRPr="00473017" w:rsidRDefault="00473017" w:rsidP="00FE45E9">
                  <w:pPr>
                    <w:framePr w:hSpace="141" w:wrap="around" w:vAnchor="text" w:hAnchor="margin" w:y="-791"/>
                    <w:numPr>
                      <w:ilvl w:val="0"/>
                      <w:numId w:val="4"/>
                    </w:numPr>
                    <w:spacing w:line="276" w:lineRule="auto"/>
                    <w:rPr>
                      <w:lang w:val="sl-SI"/>
                    </w:rPr>
                  </w:pPr>
                  <w:r w:rsidRPr="00473017">
                    <w:rPr>
                      <w:lang w:val="sl-SI"/>
                    </w:rPr>
                    <w:t>mreženje in povezovanje med proizvajalci in odločevalci z vzpostavitvijo mrežne platforme</w:t>
                  </w:r>
                  <w:r w:rsidR="00E820B3">
                    <w:rPr>
                      <w:lang w:val="sl-SI"/>
                    </w:rPr>
                    <w:t xml:space="preserve"> za izmenjavo strokovnih novosti s področja akvakulture, novimi tehnologijami …</w:t>
                  </w:r>
                  <w:r w:rsidRPr="00473017">
                    <w:rPr>
                      <w:lang w:val="sl-SI"/>
                    </w:rPr>
                    <w:t>usposabljanja z različnih področij:</w:t>
                  </w:r>
                  <w:r>
                    <w:rPr>
                      <w:lang w:val="sl-SI"/>
                    </w:rPr>
                    <w:t xml:space="preserve"> zaprti sistemi v akvakulturi, u</w:t>
                  </w:r>
                  <w:r w:rsidRPr="00473017">
                    <w:rPr>
                      <w:lang w:val="sl-SI"/>
                    </w:rPr>
                    <w:t>činkovita raba vode z majhnim vplivom na okolje (količina vode, onesnaženje),</w:t>
                  </w:r>
                  <w:r>
                    <w:rPr>
                      <w:lang w:val="sl-SI"/>
                    </w:rPr>
                    <w:t xml:space="preserve"> </w:t>
                  </w:r>
                  <w:r w:rsidRPr="00473017">
                    <w:rPr>
                      <w:lang w:val="sl-SI"/>
                    </w:rPr>
                    <w:t>ekologija in dobrobit za posamezne vrste rib,</w:t>
                  </w:r>
                  <w:r>
                    <w:rPr>
                      <w:lang w:val="sl-SI"/>
                    </w:rPr>
                    <w:t xml:space="preserve"> </w:t>
                  </w:r>
                  <w:r w:rsidRPr="00473017">
                    <w:rPr>
                      <w:lang w:val="sl-SI"/>
                    </w:rPr>
                    <w:t>poznavanje zahtev posamezne vrste do okolja</w:t>
                  </w:r>
                  <w:r>
                    <w:rPr>
                      <w:lang w:val="sl-SI"/>
                    </w:rPr>
                    <w:t xml:space="preserve">, </w:t>
                  </w:r>
                  <w:r w:rsidRPr="00473017">
                    <w:rPr>
                      <w:lang w:val="sl-SI"/>
                    </w:rPr>
                    <w:t>ekološka vzreja</w:t>
                  </w:r>
                  <w:r>
                    <w:rPr>
                      <w:lang w:val="sl-SI"/>
                    </w:rPr>
                    <w:t xml:space="preserve">, </w:t>
                  </w:r>
                  <w:r w:rsidRPr="00473017">
                    <w:rPr>
                      <w:lang w:val="sl-SI"/>
                    </w:rPr>
                    <w:t xml:space="preserve">racionalna raba antibiotikov z ustrezno </w:t>
                  </w:r>
                  <w:r w:rsidRPr="00473017">
                    <w:rPr>
                      <w:lang w:val="sl-SI"/>
                    </w:rPr>
                    <w:lastRenderedPageBreak/>
                    <w:t>tehnologijo</w:t>
                  </w:r>
                  <w:r>
                    <w:rPr>
                      <w:lang w:val="sl-SI"/>
                    </w:rPr>
                    <w:t xml:space="preserve">, </w:t>
                  </w:r>
                  <w:r w:rsidRPr="00473017">
                    <w:rPr>
                      <w:lang w:val="sl-SI"/>
                    </w:rPr>
                    <w:t>organizacija delovnih procesov, trženja</w:t>
                  </w:r>
                </w:p>
                <w:p w14:paraId="1CCBE53F" w14:textId="77777777" w:rsidR="00473017" w:rsidRPr="00473017" w:rsidRDefault="00473017" w:rsidP="00FE45E9">
                  <w:pPr>
                    <w:framePr w:hSpace="141" w:wrap="around" w:vAnchor="text" w:hAnchor="margin" w:y="-791"/>
                    <w:numPr>
                      <w:ilvl w:val="0"/>
                      <w:numId w:val="4"/>
                    </w:numPr>
                    <w:tabs>
                      <w:tab w:val="left" w:pos="2814"/>
                    </w:tabs>
                    <w:spacing w:line="276" w:lineRule="auto"/>
                    <w:jc w:val="both"/>
                    <w:rPr>
                      <w:lang w:val="sl-SI"/>
                    </w:rPr>
                  </w:pPr>
                  <w:r w:rsidRPr="00473017">
                    <w:rPr>
                      <w:lang w:val="sl-SI"/>
                    </w:rPr>
                    <w:t>strokovne izmenjave za delavce v akvakulturi (npr. organizacija strokovnih srečanj),</w:t>
                  </w:r>
                </w:p>
                <w:p w14:paraId="4EC35994" w14:textId="3A4FF441" w:rsidR="00473017" w:rsidRPr="00473017" w:rsidRDefault="00473017" w:rsidP="00FE45E9">
                  <w:pPr>
                    <w:framePr w:hSpace="141" w:wrap="around" w:vAnchor="text" w:hAnchor="margin" w:y="-791"/>
                    <w:widowControl w:val="0"/>
                    <w:numPr>
                      <w:ilvl w:val="0"/>
                      <w:numId w:val="4"/>
                    </w:numPr>
                    <w:pBdr>
                      <w:top w:val="nil"/>
                      <w:left w:val="nil"/>
                      <w:bottom w:val="nil"/>
                      <w:right w:val="nil"/>
                      <w:between w:val="nil"/>
                    </w:pBdr>
                    <w:spacing w:line="240" w:lineRule="auto"/>
                    <w:rPr>
                      <w:lang w:val="sl-SI"/>
                    </w:rPr>
                  </w:pPr>
                  <w:r w:rsidRPr="00473017">
                    <w:rPr>
                      <w:lang w:val="sl-SI"/>
                    </w:rPr>
                    <w:t>predstavitev poklica ribogojca med mladimi</w:t>
                  </w:r>
                </w:p>
                <w:p w14:paraId="39DA5318" w14:textId="4F198098" w:rsidR="00473017" w:rsidRPr="00473017" w:rsidRDefault="00473017" w:rsidP="00FE45E9">
                  <w:pPr>
                    <w:framePr w:hSpace="141" w:wrap="around" w:vAnchor="text" w:hAnchor="margin" w:y="-791"/>
                    <w:widowControl w:val="0"/>
                    <w:pBdr>
                      <w:top w:val="nil"/>
                      <w:left w:val="nil"/>
                      <w:bottom w:val="nil"/>
                      <w:right w:val="nil"/>
                      <w:between w:val="nil"/>
                    </w:pBdr>
                    <w:spacing w:line="240" w:lineRule="auto"/>
                    <w:ind w:left="360"/>
                    <w:rPr>
                      <w:lang w:val="sl-SI"/>
                    </w:rPr>
                  </w:pPr>
                  <w:r w:rsidRPr="00473017">
                    <w:rPr>
                      <w:lang w:val="sl-SI"/>
                    </w:rPr>
                    <w:t>4. Upravljanje s tveganji in raziskave:</w:t>
                  </w:r>
                </w:p>
                <w:p w14:paraId="6794CD52" w14:textId="2986E330" w:rsidR="00473017" w:rsidRPr="00473017" w:rsidRDefault="00473017" w:rsidP="00FE45E9">
                  <w:pPr>
                    <w:framePr w:hSpace="141" w:wrap="around" w:vAnchor="text" w:hAnchor="margin" w:y="-791"/>
                    <w:widowControl w:val="0"/>
                    <w:numPr>
                      <w:ilvl w:val="0"/>
                      <w:numId w:val="26"/>
                    </w:numPr>
                    <w:pBdr>
                      <w:top w:val="nil"/>
                      <w:left w:val="nil"/>
                      <w:bottom w:val="nil"/>
                      <w:right w:val="nil"/>
                      <w:between w:val="nil"/>
                    </w:pBdr>
                    <w:spacing w:line="240" w:lineRule="auto"/>
                    <w:contextualSpacing/>
                    <w:jc w:val="both"/>
                    <w:rPr>
                      <w:lang w:val="sl-SI"/>
                    </w:rPr>
                  </w:pPr>
                  <w:r w:rsidRPr="00473017">
                    <w:rPr>
                      <w:lang w:val="sl-SI"/>
                    </w:rPr>
                    <w:t>Financiranje študij za potrebe akvakulture in odločevalcev v akvakulturi (npr. v povezavi s podnebnimi spremembami, ogljičnim odtisom, zmanjševanjem pretoka vode zaradi suš, prostorsko umeščanje in okoljska presoja, okoljske spremembe, študija hranilnih vrednosti školjk …</w:t>
                  </w:r>
                </w:p>
                <w:p w14:paraId="538F1CAA" w14:textId="07D3D881" w:rsidR="00473017" w:rsidRPr="00473017" w:rsidRDefault="00473017" w:rsidP="00FE45E9">
                  <w:pPr>
                    <w:pStyle w:val="Odstavekseznama"/>
                    <w:framePr w:hSpace="141" w:wrap="around" w:vAnchor="text" w:hAnchor="margin" w:y="-791"/>
                    <w:widowControl w:val="0"/>
                    <w:numPr>
                      <w:ilvl w:val="0"/>
                      <w:numId w:val="30"/>
                    </w:numPr>
                    <w:pBdr>
                      <w:top w:val="nil"/>
                      <w:left w:val="nil"/>
                      <w:bottom w:val="nil"/>
                      <w:right w:val="nil"/>
                      <w:between w:val="nil"/>
                    </w:pBdr>
                    <w:spacing w:line="240" w:lineRule="auto"/>
                    <w:jc w:val="both"/>
                    <w:rPr>
                      <w:lang w:val="sl-SI"/>
                    </w:rPr>
                  </w:pPr>
                  <w:r w:rsidRPr="00473017">
                    <w:rPr>
                      <w:lang w:val="sl-SI"/>
                    </w:rPr>
                    <w:t>Inovacije v akvakulturi predvsem z vidika:</w:t>
                  </w:r>
                </w:p>
                <w:p w14:paraId="505F3743" w14:textId="77777777" w:rsidR="00473017" w:rsidRPr="00473017" w:rsidRDefault="00473017" w:rsidP="00FE45E9">
                  <w:pPr>
                    <w:pStyle w:val="Odstavekseznama"/>
                    <w:framePr w:hSpace="141" w:wrap="around" w:vAnchor="text" w:hAnchor="margin" w:y="-791"/>
                    <w:widowControl w:val="0"/>
                    <w:numPr>
                      <w:ilvl w:val="0"/>
                      <w:numId w:val="28"/>
                    </w:numPr>
                    <w:pBdr>
                      <w:top w:val="nil"/>
                      <w:left w:val="nil"/>
                      <w:bottom w:val="nil"/>
                      <w:right w:val="nil"/>
                      <w:between w:val="nil"/>
                    </w:pBdr>
                    <w:spacing w:line="240" w:lineRule="auto"/>
                    <w:jc w:val="both"/>
                    <w:rPr>
                      <w:lang w:val="sl-SI"/>
                    </w:rPr>
                  </w:pPr>
                  <w:r w:rsidRPr="00473017">
                    <w:rPr>
                      <w:lang w:val="sl-SI"/>
                    </w:rPr>
                    <w:t>boljšega izkoriščanja naravnih virov</w:t>
                  </w:r>
                </w:p>
                <w:p w14:paraId="6FD7D9B5" w14:textId="77777777" w:rsidR="00473017" w:rsidRPr="00473017" w:rsidRDefault="00473017" w:rsidP="00FE45E9">
                  <w:pPr>
                    <w:pStyle w:val="Odstavekseznama"/>
                    <w:framePr w:hSpace="141" w:wrap="around" w:vAnchor="text" w:hAnchor="margin" w:y="-791"/>
                    <w:widowControl w:val="0"/>
                    <w:numPr>
                      <w:ilvl w:val="0"/>
                      <w:numId w:val="28"/>
                    </w:numPr>
                    <w:pBdr>
                      <w:top w:val="nil"/>
                      <w:left w:val="nil"/>
                      <w:bottom w:val="nil"/>
                      <w:right w:val="nil"/>
                      <w:between w:val="nil"/>
                    </w:pBdr>
                    <w:spacing w:line="240" w:lineRule="auto"/>
                    <w:jc w:val="both"/>
                    <w:rPr>
                      <w:lang w:val="sl-SI"/>
                    </w:rPr>
                  </w:pPr>
                  <w:r w:rsidRPr="00473017">
                    <w:rPr>
                      <w:lang w:val="sl-SI"/>
                    </w:rPr>
                    <w:t>zmanjšanja negativnih vplivov na okolje</w:t>
                  </w:r>
                </w:p>
                <w:p w14:paraId="46C7E2D3" w14:textId="77777777" w:rsidR="00473017" w:rsidRPr="00473017" w:rsidRDefault="00473017" w:rsidP="00FE45E9">
                  <w:pPr>
                    <w:pStyle w:val="Odstavekseznama"/>
                    <w:framePr w:hSpace="141" w:wrap="around" w:vAnchor="text" w:hAnchor="margin" w:y="-791"/>
                    <w:widowControl w:val="0"/>
                    <w:numPr>
                      <w:ilvl w:val="0"/>
                      <w:numId w:val="28"/>
                    </w:numPr>
                    <w:pBdr>
                      <w:top w:val="nil"/>
                      <w:left w:val="nil"/>
                      <w:bottom w:val="nil"/>
                      <w:right w:val="nil"/>
                      <w:between w:val="nil"/>
                    </w:pBdr>
                    <w:spacing w:line="240" w:lineRule="auto"/>
                    <w:jc w:val="both"/>
                    <w:rPr>
                      <w:lang w:val="sl-SI"/>
                    </w:rPr>
                  </w:pPr>
                  <w:r w:rsidRPr="00473017">
                    <w:rPr>
                      <w:lang w:val="sl-SI"/>
                    </w:rPr>
                    <w:t>uvajanja novih vrst in tehnologij vzreje in postopkov v proizvodnji</w:t>
                  </w:r>
                </w:p>
                <w:p w14:paraId="7D558C0B" w14:textId="77777777" w:rsidR="00473017" w:rsidRPr="00473017" w:rsidRDefault="00473017" w:rsidP="00FE45E9">
                  <w:pPr>
                    <w:pStyle w:val="Odstavekseznama"/>
                    <w:framePr w:hSpace="141" w:wrap="around" w:vAnchor="text" w:hAnchor="margin" w:y="-791"/>
                    <w:widowControl w:val="0"/>
                    <w:numPr>
                      <w:ilvl w:val="0"/>
                      <w:numId w:val="28"/>
                    </w:numPr>
                    <w:pBdr>
                      <w:top w:val="nil"/>
                      <w:left w:val="nil"/>
                      <w:bottom w:val="nil"/>
                      <w:right w:val="nil"/>
                      <w:between w:val="nil"/>
                    </w:pBdr>
                    <w:spacing w:line="240" w:lineRule="auto"/>
                    <w:jc w:val="both"/>
                    <w:rPr>
                      <w:lang w:val="sl-SI"/>
                    </w:rPr>
                  </w:pPr>
                  <w:r w:rsidRPr="00473017">
                    <w:rPr>
                      <w:lang w:val="sl-SI"/>
                    </w:rPr>
                    <w:t>iskanja rešitev pri prodajnih težavah, odziv na potrebo po novih tržnih zahtevah, kot je organska prodaja ali registracija blagovne znamke,</w:t>
                  </w:r>
                </w:p>
                <w:p w14:paraId="21860535" w14:textId="49F177D0" w:rsidR="007B2571" w:rsidRPr="00473017" w:rsidRDefault="00473017" w:rsidP="00FE45E9">
                  <w:pPr>
                    <w:pStyle w:val="Odstavekseznama"/>
                    <w:framePr w:hSpace="141" w:wrap="around" w:vAnchor="text" w:hAnchor="margin" w:y="-791"/>
                    <w:widowControl w:val="0"/>
                    <w:numPr>
                      <w:ilvl w:val="0"/>
                      <w:numId w:val="28"/>
                    </w:numPr>
                    <w:pBdr>
                      <w:top w:val="nil"/>
                      <w:left w:val="nil"/>
                      <w:bottom w:val="nil"/>
                      <w:right w:val="nil"/>
                      <w:between w:val="nil"/>
                    </w:pBdr>
                    <w:spacing w:line="240" w:lineRule="auto"/>
                    <w:jc w:val="both"/>
                    <w:rPr>
                      <w:lang w:val="sl-SI"/>
                    </w:rPr>
                  </w:pPr>
                  <w:r w:rsidRPr="00473017">
                    <w:rPr>
                      <w:lang w:val="sl-SI"/>
                    </w:rPr>
                    <w:t>razvoja oz. uvajanja novih vrst (npr. alge)</w:t>
                  </w:r>
                </w:p>
              </w:tc>
            </w:tr>
            <w:tr w:rsidR="00473017" w:rsidRPr="005A0D5E" w14:paraId="7A72A1B2" w14:textId="77777777" w:rsidTr="006D3B7E">
              <w:tc>
                <w:tcPr>
                  <w:tcW w:w="9062" w:type="dxa"/>
                </w:tcPr>
                <w:p w14:paraId="05D93FD6" w14:textId="433EA31E" w:rsidR="00473017" w:rsidRPr="00AC29EA" w:rsidRDefault="00473017" w:rsidP="00FE45E9">
                  <w:pPr>
                    <w:framePr w:hSpace="141" w:wrap="around" w:vAnchor="text" w:hAnchor="margin" w:y="-791"/>
                    <w:jc w:val="center"/>
                    <w:rPr>
                      <w:b/>
                      <w:lang w:val="it-IT"/>
                    </w:rPr>
                  </w:pPr>
                  <w:r w:rsidRPr="00AC29EA">
                    <w:rPr>
                      <w:b/>
                      <w:lang w:val="it-IT"/>
                    </w:rPr>
                    <w:lastRenderedPageBreak/>
                    <w:t xml:space="preserve">OPREDELITEV POTREB </w:t>
                  </w:r>
                  <w:r w:rsidR="007B2571" w:rsidRPr="00AC29EA">
                    <w:rPr>
                      <w:b/>
                      <w:lang w:val="it-IT"/>
                    </w:rPr>
                    <w:t>NA</w:t>
                  </w:r>
                  <w:r w:rsidRPr="00AC29EA">
                    <w:rPr>
                      <w:b/>
                      <w:lang w:val="it-IT"/>
                    </w:rPr>
                    <w:t xml:space="preserve"> PREDELAV</w:t>
                  </w:r>
                  <w:r w:rsidR="007B2571" w:rsidRPr="00AC29EA">
                    <w:rPr>
                      <w:b/>
                      <w:lang w:val="it-IT"/>
                    </w:rPr>
                    <w:t>I</w:t>
                  </w:r>
                  <w:r w:rsidRPr="00AC29EA">
                    <w:rPr>
                      <w:b/>
                      <w:lang w:val="it-IT"/>
                    </w:rPr>
                    <w:t xml:space="preserve"> IN TRŽENJ</w:t>
                  </w:r>
                  <w:r w:rsidR="007B2571" w:rsidRPr="00AC29EA">
                    <w:rPr>
                      <w:b/>
                      <w:lang w:val="it-IT"/>
                    </w:rPr>
                    <w:t>U</w:t>
                  </w:r>
                </w:p>
              </w:tc>
            </w:tr>
            <w:tr w:rsidR="00473017" w:rsidRPr="006442C7" w14:paraId="443F7E20" w14:textId="77777777" w:rsidTr="006D3B7E">
              <w:tc>
                <w:tcPr>
                  <w:tcW w:w="9062" w:type="dxa"/>
                </w:tcPr>
                <w:p w14:paraId="3FE5FC6E" w14:textId="69427428" w:rsidR="00473017" w:rsidRPr="007B2571" w:rsidRDefault="007B2571" w:rsidP="00FE45E9">
                  <w:pPr>
                    <w:framePr w:hSpace="141" w:wrap="around" w:vAnchor="text" w:hAnchor="margin" w:y="-791"/>
                    <w:spacing w:line="240" w:lineRule="auto"/>
                    <w:jc w:val="both"/>
                    <w:rPr>
                      <w:lang w:val="sl-SI"/>
                    </w:rPr>
                  </w:pPr>
                  <w:r w:rsidRPr="007B2571">
                    <w:rPr>
                      <w:lang w:val="sl-SI"/>
                    </w:rPr>
                    <w:t xml:space="preserve">1. </w:t>
                  </w:r>
                  <w:r w:rsidR="00473017" w:rsidRPr="007B2571">
                    <w:rPr>
                      <w:lang w:val="sl-SI"/>
                    </w:rPr>
                    <w:t>Naložbe v obstoječe in nove predelovalne obrate z namenom:</w:t>
                  </w:r>
                </w:p>
                <w:p w14:paraId="7511E2EC" w14:textId="77777777" w:rsidR="00473017" w:rsidRPr="007B2571" w:rsidRDefault="00473017" w:rsidP="00FE45E9">
                  <w:pPr>
                    <w:framePr w:hSpace="141" w:wrap="around" w:vAnchor="text" w:hAnchor="margin" w:y="-791"/>
                    <w:numPr>
                      <w:ilvl w:val="0"/>
                      <w:numId w:val="25"/>
                    </w:numPr>
                    <w:spacing w:line="240" w:lineRule="auto"/>
                    <w:jc w:val="both"/>
                    <w:rPr>
                      <w:lang w:val="sl-SI"/>
                    </w:rPr>
                  </w:pPr>
                  <w:r w:rsidRPr="007B2571">
                    <w:rPr>
                      <w:lang w:val="sl-SI"/>
                    </w:rPr>
                    <w:t>večje produktivnosti,</w:t>
                  </w:r>
                </w:p>
                <w:p w14:paraId="4A3B6534" w14:textId="77777777" w:rsidR="00473017" w:rsidRPr="007B2571" w:rsidRDefault="00473017" w:rsidP="00FE45E9">
                  <w:pPr>
                    <w:framePr w:hSpace="141" w:wrap="around" w:vAnchor="text" w:hAnchor="margin" w:y="-791"/>
                    <w:numPr>
                      <w:ilvl w:val="0"/>
                      <w:numId w:val="25"/>
                    </w:numPr>
                    <w:spacing w:line="240" w:lineRule="auto"/>
                    <w:jc w:val="both"/>
                    <w:rPr>
                      <w:lang w:val="sl-SI"/>
                    </w:rPr>
                  </w:pPr>
                  <w:r w:rsidRPr="007B2571">
                    <w:rPr>
                      <w:lang w:val="sl-SI"/>
                    </w:rPr>
                    <w:t>izkoriščanja obnovljivih virov energije za delovanje obrata predelave,</w:t>
                  </w:r>
                </w:p>
                <w:p w14:paraId="63A66444" w14:textId="77777777" w:rsidR="00473017" w:rsidRPr="007B2571" w:rsidRDefault="00473017" w:rsidP="00FE45E9">
                  <w:pPr>
                    <w:framePr w:hSpace="141" w:wrap="around" w:vAnchor="text" w:hAnchor="margin" w:y="-791"/>
                    <w:numPr>
                      <w:ilvl w:val="0"/>
                      <w:numId w:val="25"/>
                    </w:numPr>
                    <w:spacing w:line="240" w:lineRule="auto"/>
                    <w:jc w:val="both"/>
                    <w:rPr>
                      <w:lang w:val="sl-SI"/>
                    </w:rPr>
                  </w:pPr>
                  <w:r w:rsidRPr="007B2571">
                    <w:rPr>
                      <w:lang w:val="sl-SI"/>
                    </w:rPr>
                    <w:t>avtomatizacije, robotizacije in digitalizacije,</w:t>
                  </w:r>
                </w:p>
                <w:p w14:paraId="01615F85" w14:textId="77777777" w:rsidR="00473017" w:rsidRPr="007B2571" w:rsidRDefault="00473017" w:rsidP="00FE45E9">
                  <w:pPr>
                    <w:framePr w:hSpace="141" w:wrap="around" w:vAnchor="text" w:hAnchor="margin" w:y="-791"/>
                    <w:numPr>
                      <w:ilvl w:val="0"/>
                      <w:numId w:val="25"/>
                    </w:numPr>
                    <w:spacing w:line="240" w:lineRule="auto"/>
                    <w:jc w:val="both"/>
                    <w:rPr>
                      <w:lang w:val="sl-SI"/>
                    </w:rPr>
                  </w:pPr>
                  <w:r w:rsidRPr="007B2571">
                    <w:rPr>
                      <w:lang w:val="sl-SI"/>
                    </w:rPr>
                    <w:t xml:space="preserve">nakupa nove opreme (npr. opreme za pripravo polpripravljenih jedi, nakup </w:t>
                  </w:r>
                  <w:r w:rsidRPr="007B2571">
                    <w:rPr>
                      <w:lang w:val="sl-SI"/>
                    </w:rPr>
                    <w:lastRenderedPageBreak/>
                    <w:t>transportnih sredstev za prevoz proizvodov</w:t>
                  </w:r>
                </w:p>
                <w:p w14:paraId="285CC798" w14:textId="3272475A" w:rsidR="00473017" w:rsidRPr="007B2571" w:rsidRDefault="007B2571" w:rsidP="00FE45E9">
                  <w:pPr>
                    <w:framePr w:hSpace="141" w:wrap="around" w:vAnchor="text" w:hAnchor="margin" w:y="-791"/>
                    <w:spacing w:line="240" w:lineRule="auto"/>
                    <w:contextualSpacing/>
                    <w:rPr>
                      <w:lang w:val="sl-SI"/>
                    </w:rPr>
                  </w:pPr>
                  <w:r w:rsidRPr="007B2571">
                    <w:rPr>
                      <w:lang w:val="sl-SI"/>
                    </w:rPr>
                    <w:t xml:space="preserve">2. </w:t>
                  </w:r>
                  <w:r w:rsidR="00473017" w:rsidRPr="007B2571">
                    <w:rPr>
                      <w:lang w:val="sl-SI"/>
                    </w:rPr>
                    <w:t>Inovacije v predelavi in trženju predvsem iz vidika:</w:t>
                  </w:r>
                </w:p>
                <w:p w14:paraId="0A61CA75" w14:textId="77777777"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r w:rsidRPr="007B2571">
                    <w:rPr>
                      <w:lang w:val="sl-SI"/>
                    </w:rPr>
                    <w:t>boljšega izkoriščanja naravnih virov</w:t>
                  </w:r>
                </w:p>
                <w:p w14:paraId="64A0971F" w14:textId="77777777"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r w:rsidRPr="007B2571">
                    <w:rPr>
                      <w:lang w:val="sl-SI"/>
                    </w:rPr>
                    <w:t>zmanjšanja negativnih vplivov na okolje</w:t>
                  </w:r>
                </w:p>
                <w:p w14:paraId="7FD273AF" w14:textId="77777777"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r w:rsidRPr="007B2571">
                    <w:rPr>
                      <w:lang w:val="sl-SI"/>
                    </w:rPr>
                    <w:t>uvajanja novih vrst in tehnologij vzreje in postopkov v proizvodnji</w:t>
                  </w:r>
                </w:p>
                <w:p w14:paraId="47AD0CFD" w14:textId="77777777"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r w:rsidRPr="007B2571">
                    <w:rPr>
                      <w:lang w:val="sl-SI"/>
                    </w:rPr>
                    <w:t>iskanja rešitev pri prodajnih težavah, odziv na potrebo po novih tržnih zahtevah, kot je organska prodaja ali registracija blagovne znamke,</w:t>
                  </w:r>
                </w:p>
                <w:p w14:paraId="54D82F09" w14:textId="77777777"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r w:rsidRPr="007B2571">
                    <w:rPr>
                      <w:lang w:val="sl-SI"/>
                    </w:rPr>
                    <w:t>razvoja oz. uvajanja novih proizvodov, dodajanja vrednosti proizvodom,</w:t>
                  </w:r>
                </w:p>
                <w:p w14:paraId="0491400B" w14:textId="77777777"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r w:rsidRPr="007B2571">
                    <w:rPr>
                      <w:lang w:val="sl-SI"/>
                    </w:rPr>
                    <w:t>zmanjševanja zavržkov iz proizvodnje in vključevanja v krožno gospodarstvo</w:t>
                  </w:r>
                </w:p>
                <w:p w14:paraId="53529C51" w14:textId="7389A9FA" w:rsidR="00473017" w:rsidRPr="007B2571" w:rsidRDefault="00473017" w:rsidP="00FE45E9">
                  <w:pPr>
                    <w:pStyle w:val="Odstavekseznama"/>
                    <w:framePr w:hSpace="141" w:wrap="around" w:vAnchor="text" w:hAnchor="margin" w:y="-791"/>
                    <w:numPr>
                      <w:ilvl w:val="0"/>
                      <w:numId w:val="27"/>
                    </w:numPr>
                    <w:spacing w:line="240" w:lineRule="auto"/>
                    <w:jc w:val="both"/>
                    <w:rPr>
                      <w:lang w:val="sl-SI"/>
                    </w:rPr>
                  </w:pPr>
                </w:p>
                <w:p w14:paraId="2343C3B7" w14:textId="77777777" w:rsidR="00473017" w:rsidRPr="007B2571" w:rsidRDefault="00473017" w:rsidP="00FE45E9">
                  <w:pPr>
                    <w:pStyle w:val="Odstavekseznama"/>
                    <w:framePr w:hSpace="141" w:wrap="around" w:vAnchor="text" w:hAnchor="margin" w:y="-791"/>
                    <w:widowControl w:val="0"/>
                    <w:numPr>
                      <w:ilvl w:val="0"/>
                      <w:numId w:val="27"/>
                    </w:numPr>
                    <w:pBdr>
                      <w:top w:val="nil"/>
                      <w:left w:val="nil"/>
                      <w:bottom w:val="nil"/>
                      <w:right w:val="nil"/>
                      <w:between w:val="nil"/>
                    </w:pBdr>
                    <w:spacing w:line="240" w:lineRule="auto"/>
                    <w:jc w:val="both"/>
                    <w:rPr>
                      <w:lang w:val="sl-SI"/>
                    </w:rPr>
                  </w:pPr>
                  <w:r w:rsidRPr="007B2571">
                    <w:rPr>
                      <w:lang w:val="sl-SI"/>
                    </w:rPr>
                    <w:t>razvoj embalaže (npr. za izboljšanje kakovosti proizvodov ali vpliva na okolje, podaljšanja roka uporabnosti)</w:t>
                  </w:r>
                </w:p>
                <w:p w14:paraId="79B819B8" w14:textId="77777777" w:rsidR="00473017" w:rsidRPr="007B2571" w:rsidRDefault="00473017" w:rsidP="00FE45E9">
                  <w:pPr>
                    <w:pStyle w:val="Odstavekseznama"/>
                    <w:framePr w:hSpace="141" w:wrap="around" w:vAnchor="text" w:hAnchor="margin" w:y="-791"/>
                    <w:widowControl w:val="0"/>
                    <w:numPr>
                      <w:ilvl w:val="0"/>
                      <w:numId w:val="27"/>
                    </w:numPr>
                    <w:pBdr>
                      <w:top w:val="nil"/>
                      <w:left w:val="nil"/>
                      <w:bottom w:val="nil"/>
                      <w:right w:val="nil"/>
                      <w:between w:val="nil"/>
                    </w:pBdr>
                    <w:spacing w:line="240" w:lineRule="auto"/>
                    <w:jc w:val="both"/>
                    <w:rPr>
                      <w:lang w:val="sl-SI"/>
                    </w:rPr>
                  </w:pPr>
                  <w:r w:rsidRPr="007B2571">
                    <w:rPr>
                      <w:lang w:val="sl-SI"/>
                    </w:rPr>
                    <w:t>razvoj in diverzifikacijo v nove izdelke, predelovalno opremo, dodajanje vrednosti izdelkom, izboljšanje udobja za potrošnike, pakiranje, podaljšanje roka uporabnosti</w:t>
                  </w:r>
                </w:p>
                <w:p w14:paraId="220341A8" w14:textId="09022A56" w:rsidR="00473017" w:rsidRPr="007B2571" w:rsidRDefault="007B2571" w:rsidP="00FE45E9">
                  <w:pPr>
                    <w:framePr w:hSpace="141" w:wrap="around" w:vAnchor="text" w:hAnchor="margin" w:y="-791"/>
                    <w:widowControl w:val="0"/>
                    <w:pBdr>
                      <w:top w:val="nil"/>
                      <w:left w:val="nil"/>
                      <w:bottom w:val="nil"/>
                      <w:right w:val="nil"/>
                      <w:between w:val="nil"/>
                    </w:pBdr>
                    <w:spacing w:line="240" w:lineRule="auto"/>
                    <w:contextualSpacing/>
                    <w:jc w:val="both"/>
                    <w:rPr>
                      <w:highlight w:val="yellow"/>
                      <w:lang w:val="sl-SI"/>
                    </w:rPr>
                  </w:pPr>
                  <w:r w:rsidRPr="007B2571">
                    <w:rPr>
                      <w:rFonts w:eastAsia="Arial" w:cs="Arial"/>
                      <w:szCs w:val="20"/>
                      <w:lang w:val="sl-SI" w:eastAsia="sl-SI"/>
                    </w:rPr>
                    <w:t xml:space="preserve">3. </w:t>
                  </w:r>
                  <w:r w:rsidR="00473017" w:rsidRPr="007B2571">
                    <w:rPr>
                      <w:lang w:val="sl-SI"/>
                    </w:rPr>
                    <w:t>Promocija za povečanje porabe ribiških proizvodov in proizvodov iz akvakulture:</w:t>
                  </w:r>
                </w:p>
                <w:p w14:paraId="3514AEB7" w14:textId="77777777" w:rsidR="00473017" w:rsidRPr="007B2571" w:rsidRDefault="00473017" w:rsidP="00FE45E9">
                  <w:pPr>
                    <w:pStyle w:val="Brezrazmikov"/>
                    <w:framePr w:hSpace="141" w:wrap="around" w:vAnchor="text" w:hAnchor="margin" w:y="-791"/>
                    <w:numPr>
                      <w:ilvl w:val="0"/>
                      <w:numId w:val="29"/>
                    </w:numPr>
                    <w:rPr>
                      <w:lang w:val="sl-SI"/>
                    </w:rPr>
                  </w:pPr>
                  <w:r w:rsidRPr="007B2571">
                    <w:rPr>
                      <w:lang w:val="sl-SI"/>
                    </w:rPr>
                    <w:t>Ozaveščanje potrošnikov o EU akvakulturi,</w:t>
                  </w:r>
                </w:p>
                <w:p w14:paraId="757F66E3" w14:textId="77777777" w:rsidR="00473017" w:rsidRPr="007B2571" w:rsidRDefault="00473017" w:rsidP="00FE45E9">
                  <w:pPr>
                    <w:pStyle w:val="Brezrazmikov"/>
                    <w:framePr w:hSpace="141" w:wrap="around" w:vAnchor="text" w:hAnchor="margin" w:y="-791"/>
                    <w:numPr>
                      <w:ilvl w:val="0"/>
                      <w:numId w:val="29"/>
                    </w:numPr>
                    <w:rPr>
                      <w:lang w:val="sl-SI"/>
                    </w:rPr>
                  </w:pPr>
                  <w:r w:rsidRPr="007B2571">
                    <w:rPr>
                      <w:lang w:val="sl-SI"/>
                    </w:rPr>
                    <w:t>ozaveščanje potrošnikov o pomenu ribiških proizvodov in proizvodov iz akvakulture v prehrani,</w:t>
                  </w:r>
                </w:p>
                <w:p w14:paraId="339B0C73" w14:textId="77777777" w:rsidR="00473017" w:rsidRPr="007B2571" w:rsidRDefault="00473017" w:rsidP="00FE45E9">
                  <w:pPr>
                    <w:pStyle w:val="Brezrazmikov"/>
                    <w:framePr w:hSpace="141" w:wrap="around" w:vAnchor="text" w:hAnchor="margin" w:y="-791"/>
                    <w:numPr>
                      <w:ilvl w:val="0"/>
                      <w:numId w:val="29"/>
                    </w:numPr>
                    <w:rPr>
                      <w:lang w:val="sl-SI"/>
                    </w:rPr>
                  </w:pPr>
                  <w:r w:rsidRPr="007B2571">
                    <w:rPr>
                      <w:lang w:val="sl-SI"/>
                    </w:rPr>
                    <w:t>ozaveščanje potrošnikov o pomenu lokalnih in trajnostnih proizvodov,</w:t>
                  </w:r>
                </w:p>
                <w:p w14:paraId="5E396687" w14:textId="77777777" w:rsidR="00473017" w:rsidRPr="007B2571" w:rsidRDefault="00473017" w:rsidP="00FE45E9">
                  <w:pPr>
                    <w:pStyle w:val="Brezrazmikov"/>
                    <w:framePr w:hSpace="141" w:wrap="around" w:vAnchor="text" w:hAnchor="margin" w:y="-791"/>
                    <w:numPr>
                      <w:ilvl w:val="0"/>
                      <w:numId w:val="29"/>
                    </w:numPr>
                    <w:rPr>
                      <w:lang w:val="sl-SI"/>
                    </w:rPr>
                  </w:pPr>
                  <w:r w:rsidRPr="007B2571">
                    <w:rPr>
                      <w:lang w:val="sl-SI"/>
                    </w:rPr>
                    <w:t>ozaveščanje potrošnikov o pomenu ekološke vzreje,</w:t>
                  </w:r>
                </w:p>
                <w:p w14:paraId="5B1F1F36" w14:textId="77777777" w:rsidR="00473017" w:rsidRPr="007B2571" w:rsidRDefault="00473017" w:rsidP="00FE45E9">
                  <w:pPr>
                    <w:framePr w:hSpace="141" w:wrap="around" w:vAnchor="text" w:hAnchor="margin" w:y="-791"/>
                    <w:numPr>
                      <w:ilvl w:val="0"/>
                      <w:numId w:val="29"/>
                    </w:numPr>
                    <w:spacing w:after="160" w:line="259" w:lineRule="auto"/>
                    <w:contextualSpacing/>
                    <w:rPr>
                      <w:lang w:val="sl-SI"/>
                    </w:rPr>
                  </w:pPr>
                  <w:r w:rsidRPr="007B2571">
                    <w:rPr>
                      <w:lang w:val="sl-SI"/>
                    </w:rPr>
                    <w:t>predstavitev priprave jedi iz ribiških proizvodov in proizvodov iz akvakulture,</w:t>
                  </w:r>
                </w:p>
                <w:p w14:paraId="53FD301C" w14:textId="77777777" w:rsidR="00473017" w:rsidRPr="007B2571" w:rsidRDefault="00473017" w:rsidP="00FE45E9">
                  <w:pPr>
                    <w:framePr w:hSpace="141" w:wrap="around" w:vAnchor="text" w:hAnchor="margin" w:y="-791"/>
                    <w:numPr>
                      <w:ilvl w:val="0"/>
                      <w:numId w:val="29"/>
                    </w:numPr>
                    <w:spacing w:after="160" w:line="259" w:lineRule="auto"/>
                    <w:contextualSpacing/>
                    <w:rPr>
                      <w:lang w:val="sl-SI"/>
                    </w:rPr>
                  </w:pPr>
                  <w:r w:rsidRPr="007B2571">
                    <w:rPr>
                      <w:lang w:val="sl-SI"/>
                    </w:rPr>
                    <w:lastRenderedPageBreak/>
                    <w:t>ozaveščanje o ribištvu in  akvakulturi kot zdravi in okolju prijazni pridelavi hrane,</w:t>
                  </w:r>
                </w:p>
                <w:p w14:paraId="332B85AE" w14:textId="77777777" w:rsidR="00473017" w:rsidRPr="007B2571" w:rsidRDefault="00473017" w:rsidP="00FE45E9">
                  <w:pPr>
                    <w:framePr w:hSpace="141" w:wrap="around" w:vAnchor="text" w:hAnchor="margin" w:y="-791"/>
                    <w:numPr>
                      <w:ilvl w:val="0"/>
                      <w:numId w:val="29"/>
                    </w:numPr>
                    <w:spacing w:after="160" w:line="259" w:lineRule="auto"/>
                    <w:contextualSpacing/>
                    <w:rPr>
                      <w:b/>
                      <w:lang w:val="sl-SI"/>
                    </w:rPr>
                  </w:pPr>
                  <w:r w:rsidRPr="007B2571">
                    <w:rPr>
                      <w:lang w:val="sl-SI"/>
                    </w:rPr>
                    <w:t>postavitev aktivne spletne platforme za ozaveščanje sektorja in potrošnikov (npr. aktualni dogodki v zvezi z ribištvom akvakulturo, predelavo, trženjem, sejmi, izlovi, posebne sezonske ponudbe, recepti, novi proizvodi, pomen proizvodov iz ribištva in akvakulture itd.),</w:t>
                  </w:r>
                </w:p>
                <w:p w14:paraId="27B42015" w14:textId="77777777" w:rsidR="00473017" w:rsidRPr="007B2571" w:rsidRDefault="00473017" w:rsidP="00FE45E9">
                  <w:pPr>
                    <w:framePr w:hSpace="141" w:wrap="around" w:vAnchor="text" w:hAnchor="margin" w:y="-791"/>
                    <w:numPr>
                      <w:ilvl w:val="0"/>
                      <w:numId w:val="29"/>
                    </w:numPr>
                    <w:spacing w:after="160" w:line="259" w:lineRule="auto"/>
                    <w:contextualSpacing/>
                    <w:rPr>
                      <w:b/>
                      <w:lang w:val="sl-SI"/>
                    </w:rPr>
                  </w:pPr>
                  <w:r w:rsidRPr="007B2571">
                    <w:rPr>
                      <w:lang w:val="sl-SI"/>
                    </w:rPr>
                    <w:t>sodelovanje na sejmih</w:t>
                  </w:r>
                </w:p>
              </w:tc>
            </w:tr>
          </w:tbl>
          <w:p w14:paraId="5A080863" w14:textId="74615B26" w:rsidR="00950A25" w:rsidRPr="00090944" w:rsidRDefault="00950A25" w:rsidP="007B2890">
            <w:pPr>
              <w:widowControl w:val="0"/>
              <w:pBdr>
                <w:top w:val="nil"/>
                <w:left w:val="nil"/>
                <w:bottom w:val="nil"/>
                <w:right w:val="nil"/>
                <w:between w:val="nil"/>
              </w:pBdr>
              <w:spacing w:line="240" w:lineRule="auto"/>
            </w:pPr>
          </w:p>
        </w:tc>
        <w:tc>
          <w:tcPr>
            <w:tcW w:w="3794" w:type="dxa"/>
            <w:vMerge/>
            <w:shd w:val="clear" w:color="auto" w:fill="auto"/>
          </w:tcPr>
          <w:p w14:paraId="01369470" w14:textId="77777777" w:rsidR="00950A25" w:rsidRPr="00B552BE" w:rsidRDefault="00950A25" w:rsidP="00950A25">
            <w:pPr>
              <w:widowControl w:val="0"/>
              <w:pBdr>
                <w:top w:val="nil"/>
                <w:left w:val="nil"/>
                <w:bottom w:val="nil"/>
                <w:right w:val="nil"/>
                <w:between w:val="nil"/>
              </w:pBdr>
            </w:pPr>
          </w:p>
        </w:tc>
      </w:tr>
    </w:tbl>
    <w:p w14:paraId="7E163689" w14:textId="77777777" w:rsidR="00CB3BBA" w:rsidRPr="00B63779" w:rsidRDefault="00CB3BBA" w:rsidP="00CB3BBA">
      <w:pPr>
        <w:rPr>
          <w:rFonts w:cs="Arial"/>
          <w:i/>
          <w:noProof/>
          <w:szCs w:val="20"/>
        </w:rPr>
      </w:pPr>
    </w:p>
    <w:p w14:paraId="35371500" w14:textId="77777777" w:rsidR="00F018CA" w:rsidRDefault="00F018CA" w:rsidP="00A01763">
      <w:pPr>
        <w:rPr>
          <w:rFonts w:cs="Arial"/>
          <w:szCs w:val="20"/>
        </w:rPr>
      </w:pPr>
    </w:p>
    <w:p w14:paraId="1D2D8089" w14:textId="77777777" w:rsidR="00F018CA" w:rsidRDefault="00F018CA">
      <w:pPr>
        <w:spacing w:after="200" w:line="276" w:lineRule="auto"/>
        <w:rPr>
          <w:rFonts w:cs="Arial"/>
          <w:szCs w:val="20"/>
        </w:rPr>
      </w:pPr>
      <w:r>
        <w:rPr>
          <w:rFonts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gridCol w:w="5386"/>
        <w:gridCol w:w="3794"/>
      </w:tblGrid>
      <w:tr w:rsidR="00BA407E" w:rsidRPr="005F5E9A" w14:paraId="688B2A5F" w14:textId="77777777" w:rsidTr="00E04A73">
        <w:tc>
          <w:tcPr>
            <w:tcW w:w="0" w:type="auto"/>
            <w:gridSpan w:val="4"/>
            <w:shd w:val="clear" w:color="auto" w:fill="auto"/>
          </w:tcPr>
          <w:p w14:paraId="75A8D1F2" w14:textId="77777777" w:rsidR="00BA407E" w:rsidRPr="005F5E9A" w:rsidRDefault="00BA407E" w:rsidP="00E04A73">
            <w:pPr>
              <w:spacing w:line="276" w:lineRule="auto"/>
              <w:rPr>
                <w:rFonts w:cs="Arial"/>
                <w:b/>
                <w:iCs/>
                <w:noProof/>
                <w:szCs w:val="20"/>
              </w:rPr>
            </w:pPr>
            <w:r w:rsidRPr="005F5E9A">
              <w:rPr>
                <w:rFonts w:cs="Arial"/>
                <w:b/>
                <w:iCs/>
                <w:noProof/>
                <w:szCs w:val="20"/>
              </w:rPr>
              <w:lastRenderedPageBreak/>
              <w:t>Preglednica 1A</w:t>
            </w:r>
          </w:p>
        </w:tc>
      </w:tr>
      <w:tr w:rsidR="00BA407E" w:rsidRPr="005F5E9A" w14:paraId="6903E92E" w14:textId="77777777" w:rsidTr="004B517A">
        <w:tc>
          <w:tcPr>
            <w:tcW w:w="2830" w:type="dxa"/>
            <w:shd w:val="clear" w:color="auto" w:fill="auto"/>
          </w:tcPr>
          <w:p w14:paraId="3DE56949" w14:textId="77777777" w:rsidR="00BA407E" w:rsidRPr="005F5E9A" w:rsidRDefault="00BA407E" w:rsidP="00E04A73">
            <w:pPr>
              <w:spacing w:line="276" w:lineRule="auto"/>
              <w:rPr>
                <w:rFonts w:cs="Arial"/>
                <w:b/>
                <w:iCs/>
                <w:noProof/>
                <w:szCs w:val="20"/>
              </w:rPr>
            </w:pPr>
            <w:r w:rsidRPr="005F5E9A">
              <w:rPr>
                <w:rFonts w:cs="Arial"/>
                <w:b/>
                <w:iCs/>
                <w:noProof/>
                <w:szCs w:val="20"/>
              </w:rPr>
              <w:t>Ciljne politike</w:t>
            </w:r>
          </w:p>
        </w:tc>
        <w:tc>
          <w:tcPr>
            <w:tcW w:w="1985" w:type="dxa"/>
            <w:shd w:val="clear" w:color="auto" w:fill="auto"/>
          </w:tcPr>
          <w:p w14:paraId="2504E924" w14:textId="77777777" w:rsidR="00BA407E" w:rsidRPr="005F5E9A" w:rsidRDefault="00BA407E" w:rsidP="00E04A73">
            <w:pPr>
              <w:spacing w:line="276" w:lineRule="auto"/>
              <w:rPr>
                <w:rFonts w:cs="Arial"/>
                <w:b/>
                <w:iCs/>
                <w:noProof/>
                <w:szCs w:val="20"/>
              </w:rPr>
            </w:pPr>
            <w:r w:rsidRPr="005F5E9A">
              <w:rPr>
                <w:rFonts w:cs="Arial"/>
                <w:b/>
                <w:iCs/>
                <w:noProof/>
                <w:szCs w:val="20"/>
              </w:rPr>
              <w:t>Prednostna naloga</w:t>
            </w:r>
          </w:p>
        </w:tc>
        <w:tc>
          <w:tcPr>
            <w:tcW w:w="5386" w:type="dxa"/>
            <w:shd w:val="clear" w:color="auto" w:fill="auto"/>
          </w:tcPr>
          <w:p w14:paraId="4870D8D4" w14:textId="77777777" w:rsidR="00BA407E" w:rsidRPr="005F5E9A" w:rsidRDefault="00BA407E" w:rsidP="00E04A73">
            <w:pPr>
              <w:spacing w:line="276" w:lineRule="auto"/>
              <w:rPr>
                <w:rFonts w:cs="Arial"/>
                <w:b/>
                <w:iCs/>
                <w:noProof/>
                <w:szCs w:val="20"/>
              </w:rPr>
            </w:pPr>
            <w:r w:rsidRPr="005F5E9A">
              <w:rPr>
                <w:rFonts w:cs="Arial"/>
                <w:b/>
                <w:iCs/>
                <w:noProof/>
                <w:szCs w:val="20"/>
              </w:rPr>
              <w:t>SWOT analiza  (za vsako prednost)</w:t>
            </w:r>
          </w:p>
          <w:p w14:paraId="2C3B132F" w14:textId="77777777" w:rsidR="00BA407E" w:rsidRPr="005F5E9A" w:rsidRDefault="00BA407E" w:rsidP="00E04A73">
            <w:pPr>
              <w:spacing w:line="276" w:lineRule="auto"/>
              <w:rPr>
                <w:rFonts w:cs="Arial"/>
                <w:b/>
                <w:iCs/>
                <w:noProof/>
                <w:szCs w:val="20"/>
              </w:rPr>
            </w:pPr>
          </w:p>
        </w:tc>
        <w:tc>
          <w:tcPr>
            <w:tcW w:w="3794" w:type="dxa"/>
            <w:shd w:val="clear" w:color="auto" w:fill="auto"/>
          </w:tcPr>
          <w:p w14:paraId="715BC791" w14:textId="257F60A7" w:rsidR="00BA407E" w:rsidRPr="005F5E9A" w:rsidRDefault="00BA407E" w:rsidP="00E04A73">
            <w:pPr>
              <w:spacing w:line="276" w:lineRule="auto"/>
              <w:rPr>
                <w:rFonts w:cs="Arial"/>
                <w:b/>
                <w:iCs/>
                <w:noProof/>
                <w:szCs w:val="20"/>
              </w:rPr>
            </w:pPr>
            <w:r w:rsidRPr="005F5E9A">
              <w:rPr>
                <w:rFonts w:cs="Arial"/>
                <w:b/>
                <w:iCs/>
                <w:noProof/>
                <w:szCs w:val="20"/>
              </w:rPr>
              <w:t>Utem</w:t>
            </w:r>
            <w:r w:rsidR="00F33EF5">
              <w:rPr>
                <w:rFonts w:cs="Arial"/>
                <w:b/>
                <w:iCs/>
                <w:noProof/>
                <w:szCs w:val="20"/>
              </w:rPr>
              <w:t>e</w:t>
            </w:r>
            <w:r w:rsidRPr="005F5E9A">
              <w:rPr>
                <w:rFonts w:cs="Arial"/>
                <w:b/>
                <w:iCs/>
                <w:noProof/>
                <w:szCs w:val="20"/>
              </w:rPr>
              <w:t>ljitev (povzetek)</w:t>
            </w:r>
          </w:p>
        </w:tc>
      </w:tr>
      <w:tr w:rsidR="00BA407E" w:rsidRPr="000C55B1" w14:paraId="58BA17B4" w14:textId="77777777" w:rsidTr="004B517A">
        <w:trPr>
          <w:trHeight w:val="3153"/>
        </w:trPr>
        <w:tc>
          <w:tcPr>
            <w:tcW w:w="2830" w:type="dxa"/>
            <w:vMerge w:val="restart"/>
            <w:shd w:val="clear" w:color="auto" w:fill="auto"/>
          </w:tcPr>
          <w:p w14:paraId="56156BF1" w14:textId="77777777" w:rsidR="00BA407E" w:rsidRPr="00D91B2E" w:rsidRDefault="00BA407E" w:rsidP="00E04A73">
            <w:pPr>
              <w:spacing w:line="276" w:lineRule="auto"/>
              <w:rPr>
                <w:rFonts w:cs="Arial"/>
                <w:b/>
                <w:iCs/>
                <w:noProof/>
                <w:szCs w:val="20"/>
              </w:rPr>
            </w:pPr>
            <w:r w:rsidRPr="005F5E9A">
              <w:rPr>
                <w:rFonts w:cs="Arial"/>
                <w:b/>
                <w:szCs w:val="20"/>
              </w:rPr>
              <w:t>Evropa, ki je bližje državljanom in sicer s spodbujanjem trajnostnega in celostnega razvoja mest, podeželja in obalnih območij ter lokalnih pobud</w:t>
            </w:r>
          </w:p>
        </w:tc>
        <w:tc>
          <w:tcPr>
            <w:tcW w:w="1985" w:type="dxa"/>
            <w:vMerge w:val="restart"/>
            <w:shd w:val="clear" w:color="auto" w:fill="auto"/>
          </w:tcPr>
          <w:p w14:paraId="0EDADB6A" w14:textId="77777777" w:rsidR="00BA407E" w:rsidRPr="00D91B2E" w:rsidRDefault="00BA407E" w:rsidP="00E04A73">
            <w:pPr>
              <w:spacing w:line="276" w:lineRule="auto"/>
              <w:rPr>
                <w:rFonts w:cs="Arial"/>
                <w:b/>
                <w:iCs/>
                <w:noProof/>
                <w:szCs w:val="20"/>
              </w:rPr>
            </w:pPr>
            <w:r w:rsidRPr="00D91B2E">
              <w:rPr>
                <w:rFonts w:cs="Arial"/>
                <w:b/>
                <w:bCs/>
                <w:iCs/>
                <w:noProof/>
                <w:szCs w:val="20"/>
              </w:rPr>
              <w:t>Omogočati rast trajnostnega modrega gospodarstva in spodbujati uspešne obalne skupnosti</w:t>
            </w:r>
          </w:p>
          <w:p w14:paraId="7D202355" w14:textId="77777777" w:rsidR="00BA407E" w:rsidRPr="00D91B2E" w:rsidRDefault="00BA407E" w:rsidP="00E04A73">
            <w:pPr>
              <w:spacing w:line="276" w:lineRule="auto"/>
              <w:rPr>
                <w:rFonts w:cs="Arial"/>
                <w:b/>
                <w:iCs/>
                <w:noProof/>
                <w:szCs w:val="20"/>
              </w:rPr>
            </w:pPr>
          </w:p>
        </w:tc>
        <w:tc>
          <w:tcPr>
            <w:tcW w:w="5386" w:type="dxa"/>
            <w:shd w:val="clear" w:color="auto" w:fill="auto"/>
          </w:tcPr>
          <w:p w14:paraId="54F86C10" w14:textId="77777777" w:rsidR="00BA407E" w:rsidRPr="00D91B2E" w:rsidRDefault="00BA407E" w:rsidP="00E04A73">
            <w:pPr>
              <w:tabs>
                <w:tab w:val="left" w:pos="2814"/>
              </w:tabs>
              <w:spacing w:line="276" w:lineRule="auto"/>
              <w:rPr>
                <w:rFonts w:cs="Arial"/>
                <w:b/>
                <w:iCs/>
                <w:noProof/>
                <w:szCs w:val="20"/>
                <w:u w:val="single"/>
              </w:rPr>
            </w:pPr>
            <w:r w:rsidRPr="00D91B2E">
              <w:rPr>
                <w:rFonts w:cs="Arial"/>
                <w:b/>
                <w:iCs/>
                <w:noProof/>
                <w:szCs w:val="20"/>
                <w:u w:val="single"/>
              </w:rPr>
              <w:t>Prednosti</w:t>
            </w:r>
          </w:p>
          <w:p w14:paraId="0A5C9278" w14:textId="77777777" w:rsidR="00632518" w:rsidRPr="0009030C" w:rsidRDefault="00632518" w:rsidP="00F96204">
            <w:pPr>
              <w:pStyle w:val="Odstavekseznama"/>
              <w:numPr>
                <w:ilvl w:val="0"/>
                <w:numId w:val="31"/>
              </w:numPr>
              <w:tabs>
                <w:tab w:val="left" w:pos="2814"/>
              </w:tabs>
              <w:spacing w:after="160" w:line="260" w:lineRule="atLeast"/>
              <w:rPr>
                <w:iCs/>
              </w:rPr>
            </w:pPr>
            <w:r w:rsidRPr="0009030C">
              <w:rPr>
                <w:iCs/>
              </w:rPr>
              <w:t>bogata zgodovina gospodarskega ribolova in akvakulture (tradicija) (A1, B1)</w:t>
            </w:r>
          </w:p>
          <w:p w14:paraId="1C6BAB0F" w14:textId="77777777" w:rsidR="00632518" w:rsidRPr="0009030C" w:rsidRDefault="00632518" w:rsidP="00F96204">
            <w:pPr>
              <w:pStyle w:val="Odstavekseznama"/>
              <w:numPr>
                <w:ilvl w:val="0"/>
                <w:numId w:val="31"/>
              </w:numPr>
              <w:tabs>
                <w:tab w:val="left" w:pos="2814"/>
              </w:tabs>
              <w:spacing w:after="160" w:line="260" w:lineRule="atLeast"/>
              <w:rPr>
                <w:iCs/>
              </w:rPr>
            </w:pPr>
            <w:r w:rsidRPr="0009030C">
              <w:rPr>
                <w:iCs/>
              </w:rPr>
              <w:t>diverzifikacija gospodarskih ribičev (A1)</w:t>
            </w:r>
          </w:p>
          <w:p w14:paraId="698E3165" w14:textId="77777777" w:rsidR="00632518" w:rsidRPr="0009030C" w:rsidRDefault="00632518" w:rsidP="00F96204">
            <w:pPr>
              <w:pStyle w:val="Odstavekseznama"/>
              <w:numPr>
                <w:ilvl w:val="0"/>
                <w:numId w:val="31"/>
              </w:numPr>
              <w:tabs>
                <w:tab w:val="left" w:pos="2814"/>
              </w:tabs>
              <w:spacing w:after="160" w:line="260" w:lineRule="atLeast"/>
              <w:rPr>
                <w:iCs/>
              </w:rPr>
            </w:pPr>
            <w:r w:rsidRPr="0009030C">
              <w:rPr>
                <w:iCs/>
              </w:rPr>
              <w:t>ulov in vzreja kakovostne lokalne ribe in medijsko odmevni in prepoznani projekti (A1, B1)</w:t>
            </w:r>
          </w:p>
          <w:p w14:paraId="0316D0D8" w14:textId="77777777" w:rsidR="00632518" w:rsidRDefault="00632518" w:rsidP="00F96204">
            <w:pPr>
              <w:pStyle w:val="Odstavekseznama"/>
              <w:numPr>
                <w:ilvl w:val="0"/>
                <w:numId w:val="31"/>
              </w:numPr>
              <w:tabs>
                <w:tab w:val="left" w:pos="2814"/>
              </w:tabs>
              <w:spacing w:after="160" w:line="260" w:lineRule="atLeast"/>
              <w:rPr>
                <w:iCs/>
              </w:rPr>
            </w:pPr>
            <w:r w:rsidRPr="0009030C">
              <w:rPr>
                <w:iCs/>
              </w:rPr>
              <w:t>poznavanje nujno potrebnih naložb za nova delovna mesta in podpora lokalne skupnosti pri delovanju LAS-ov (povezanost skupnosti (enotno</w:t>
            </w:r>
            <w:r>
              <w:rPr>
                <w:iCs/>
              </w:rPr>
              <w:t>st, lokalna pripadnost) (A3, B3)</w:t>
            </w:r>
          </w:p>
          <w:p w14:paraId="254D8871" w14:textId="37A654FA" w:rsidR="00BA407E" w:rsidRPr="00632518" w:rsidRDefault="00632518" w:rsidP="00F96204">
            <w:pPr>
              <w:pStyle w:val="Odstavekseznama"/>
              <w:numPr>
                <w:ilvl w:val="0"/>
                <w:numId w:val="31"/>
              </w:numPr>
              <w:tabs>
                <w:tab w:val="left" w:pos="2814"/>
              </w:tabs>
              <w:spacing w:after="160" w:line="260" w:lineRule="atLeast"/>
              <w:rPr>
                <w:iCs/>
              </w:rPr>
            </w:pPr>
            <w:r w:rsidRPr="00632518">
              <w:rPr>
                <w:iCs/>
              </w:rPr>
              <w:t>izvajanje projektov sodelovanja med lokalnimi akcijskimi skupinami in čezmejna povezanost lokalnega prebivalstva (A3, B3)</w:t>
            </w:r>
          </w:p>
        </w:tc>
        <w:tc>
          <w:tcPr>
            <w:tcW w:w="3794" w:type="dxa"/>
            <w:vMerge w:val="restart"/>
            <w:shd w:val="clear" w:color="auto" w:fill="auto"/>
          </w:tcPr>
          <w:p w14:paraId="6DB8EC4A" w14:textId="6A7A3D67" w:rsidR="004B517A" w:rsidRDefault="004B517A" w:rsidP="004B517A">
            <w:pPr>
              <w:jc w:val="both"/>
            </w:pPr>
            <w:r>
              <w:t xml:space="preserve">Na podlagi rezultatov SWOT analize se je pokazala in potrdila potreba po ohranitvi lokalnih ribiških območij in nadaljnjem izvajanju ukrepa CLLD. Za to imamo dobro popotnico: izkušnje z izvajanjem ukrepa CLLD, strokovno znanje, povezovanje deležnikov, animacija na terenu, prepoznavanje dodane vrednosti na območju LAS. V finančni perspektivi 2014-2020 je bilo izvajanje CLLD s pomočjo Evropskega sklada za ribištvo (ESPR) vključeno v skupni pristop CLLD z več skladi. Zaradi prevelikega administrativnega bremena, posledično pa daljših rokov (npr. za sprejem skupne uredbe, za potrjevanje strategij in vlog), je organ upravljanja na podlagi pobude sektorja morskega gospodarskega ribolova in akvakulture sprejel odločitev, da se bo CLLD v okviru Evropskega sklada za pomorstvo, ribištvo in akvakulturo v obdobju 2021-2027 izvajal samostojno. Kljub majhnosti in specifičnosti sektorja morskega gospodarskega ribolova in akvakulture sta oba izjemnega pomena za Slovenijo, tako na obalnem, kot tudi celinskem področju. Ker so CLLD aktivnosti </w:t>
            </w:r>
            <w:r>
              <w:lastRenderedPageBreak/>
              <w:t>krovnega značaja, bodo pri zasledovanju navedenih ciljev nadgrajevale strategijo, ki je predstavljena v okviru drugih prednostnih nalog. Samostojno izvajanje pristopa CLLD pa ne pomeni, da strategije lokalnega razvoja, ki bodo pripravljene za črpanje sredstev v okviru ESPRA, ne bodo usklajene z ostalimi strategijami lokalnega razvoja na izbranem območju. Zagotavljanje komplementarnosti je ključnega pomena za čim bolj kakovosten razvoj lokalnih območij. Prihodnje strategije lokalnega razvoja pa bodo morale biti bolje usmerjene, zelene, modre, inovativne in omogočiti boljši odziv na izzive izbranega lokalnega območja ter</w:t>
            </w:r>
            <w:r w:rsidR="004B0473">
              <w:t xml:space="preserve"> </w:t>
            </w:r>
            <w:r>
              <w:t xml:space="preserve">diverzifikacijo izbranega lokalnega območja. Izzivi so različni glede na to, katere sektorje vključujejo, in odvisni od naravnih danosti ter geografskih omejitev. Zato smo potrebe, ki izhajajo iz SWOT analize, ločili na obalno območje (obalna akcijska skupina, ki vključuje morski gospodarski ribolov, morsko in sladkovodno akvakulturo) in celino (ki vključuje sektor sladkovodne akvakulture na celinskih vodah). CLLD namreč mora zagotoviti, da skupnosti na ribolovnih območjih ali območjih ribogojstva bolje izkoristijo in izkoristijo </w:t>
            </w:r>
            <w:r>
              <w:lastRenderedPageBreak/>
              <w:t>svoje priložnosti, ki jih ponuja trajnostno gospodarstvo, spodbujanje in krepitev okoljskih, kulturnih, socialnih in človeških virov.</w:t>
            </w:r>
          </w:p>
          <w:p w14:paraId="45BEEF4A" w14:textId="083B1CD9" w:rsidR="004B517A" w:rsidRDefault="004B517A" w:rsidP="004B517A">
            <w:pPr>
              <w:jc w:val="both"/>
            </w:pPr>
            <w:r>
              <w:t xml:space="preserve">Kriza, povezana s pojavom covid-19, je pokazala, kako pomembno je, da se EU v prihodnje vzpostavi močen in odporen prehranski sektor. Lokalne akcijske skupine so že v perspektivi 2014-2020 naredile korak h krepitvi lokalne ponudbe hrane in boljše prepoznavnosti njenih ponudnikov. A ta zaveza mora v prihodnji perspektivi 2021-2027 postati še bolj močna; le tako bodo projekti CLLD nadgradili aktivnosti v morskem gospodarskem ribolovu (prednostna naloga unije 1) in akvakulturi (prednostna naloga unije 2). Razvoj trajnostnega prehranskega sistema (na obalnem območju v povezavi s sektorji modrega gospodarstva) in dodajanje vrednosti proizvodom iz ribištva ter akvakulture je zato eden od ciljev, ki velja za obe območji. Kratke verige z lokalnimi proizvodi pa imajo tudi nizek ogljični odtis in prispevajo k izpolnitvi ključnega cilja Zelenega dogovora: </w:t>
            </w:r>
            <w:r w:rsidR="004B0473">
              <w:t xml:space="preserve">podnebno </w:t>
            </w:r>
            <w:r>
              <w:t xml:space="preserve">nevtralni Evropi v letu 2050. Morski gospodarski ribolov in akvakultura (morska in </w:t>
            </w:r>
            <w:r>
              <w:lastRenderedPageBreak/>
              <w:t xml:space="preserve">sladkovodna) sta kot del prehranskega sektorja močno odvisna tudi od naravnih virov (morje, ribolovni staleži, vode). Novo in boljše ravnovesje med naravo, prehranskim sektorjem in biotsko raznovrstnostjo je postavljeno v središče Strategije od vil do vilic in Strategije za biotsko raznovrstnost 2030. Brez boljše skrbi za stanje okolja in naravnih virov, posledično pa biotske raznovrstnosti, ciljev omenjenih strategij ne bo mogoče doseči. Tu je gotovo pomembno boljše sodelovanje med predstavniki sektorja in znanstveno-raziskovalne sfere na eni strani ter vsemi drugimi deležniki z območja na drugi strani. Le s pridobivanjem novih znanj bo mogoč boljši, bolj trajnosten razvoj. Svoj del odgovornosti pri doseganju boljšega stanja okolja pa nosi tudi vključevanje načel krožnega gospodarstva v sam razvoj: tu so priložnosti v ponovni uporabi odpadnega materiala in uporabi obnovljivih virov energije. Spopadanje z izzivi: stanje okolja, podnebne spremembe, ohranjanje biotske raznovrstnosti je vključeno v 2. cilj, ki velja za obe območji. Ne glede na zaveze Zelenega dogovora pa ne smemo pozabiti na dejstvo, da lokalna območja temeljijo na socialnih in </w:t>
            </w:r>
            <w:r>
              <w:lastRenderedPageBreak/>
              <w:t xml:space="preserve">človeških virih. Prihodnje Strategije lokalnega razvoja bodo morale nasloviti tudi izziv depopulacije območja, pomanjkanja mladih ter boljšega gospodarskega ter družbenega vključevanja različnih kategorij prebivalstva v lokalno območje. Ta izziv v okviru CLLD omenja tudi Analiza na ravni morskega bazena, ki jo je pripravila Evropska komisija. Krepitev medsektorskega povezovanja, vključevanja mladih in žensk, krepitev možnosti zaposlovanja ter izboljšanje dostopa prebivalcem območja do osnovnih storitev so aktivnosti, ki bodo zagotovo prispevale k cilju 3: krepitev vitalnosti skupnosti z večanjem družbene vključenosti, privabljanjem žensk in mladih ter ohranjanjem in ustvarjanjem novih delovnih mest. Tudi ta cilj velja za obalno in celinska območja. </w:t>
            </w:r>
          </w:p>
          <w:p w14:paraId="2096EACA" w14:textId="28A4CBEB" w:rsidR="00BA407E" w:rsidRPr="004B517A" w:rsidRDefault="004B517A" w:rsidP="004B517A">
            <w:pPr>
              <w:jc w:val="both"/>
            </w:pPr>
            <w:r>
              <w:t xml:space="preserve">Maja 2021 je Evropska komisija sprejela Smernice za trajnostni razvoj akvakulture. Ta ima kot del prehranskega sistema EU velik potencial za prihodnji razvoj. Zato je razvoj akvakulture vključen v okvir Prednostne naloge unije 2. Projekti CLLD pa lahko prispevajo k večji prepoznavnosti tega sektorja in osveščanju slehernega </w:t>
            </w:r>
            <w:r>
              <w:lastRenderedPageBreak/>
              <w:t xml:space="preserve">prebivalca lokalnega območja o koristih te dejavnosti in njenih proizvodov za prehrano, zdravje </w:t>
            </w:r>
            <w:r w:rsidR="00612312">
              <w:t xml:space="preserve">ljudi, stanje narave in okolja. </w:t>
            </w:r>
            <w:r>
              <w:t xml:space="preserve">Zato smo za celinska območja predvideli še 4. cilj: krepitev družbene sprejemljivosti akvakulture, kar je tudi pomemben </w:t>
            </w:r>
            <w:r w:rsidR="00612312">
              <w:t>del Strateških smernic</w:t>
            </w:r>
            <w:r>
              <w:t xml:space="preserve"> za razvoj akvakulture, ki jih je maja 2021 sprejela Evropska komisija (poglavje 2.3). Vsi štirje cilji vključujejo trajnostni, modri razvoj, sektorje morskega gospodarskega ribolova, morske in sladkovodne akvakulture in združujejo v cilju 3.1 prednostne naloge 3: Intervencije, ki prispevajo k omogočanju trajnostnega modrega gospodarstva v obalnih, otoških in celinskih območjih in k pospeševanju trajnostnega razvoja ribiških in akvakulturnih skupnosti. </w:t>
            </w:r>
          </w:p>
        </w:tc>
      </w:tr>
      <w:tr w:rsidR="00BA407E" w:rsidRPr="00D91B2E" w14:paraId="6FCF4131" w14:textId="77777777" w:rsidTr="004B517A">
        <w:trPr>
          <w:trHeight w:val="39"/>
        </w:trPr>
        <w:tc>
          <w:tcPr>
            <w:tcW w:w="2830" w:type="dxa"/>
            <w:vMerge/>
            <w:shd w:val="clear" w:color="auto" w:fill="auto"/>
          </w:tcPr>
          <w:p w14:paraId="762C49CD" w14:textId="77777777" w:rsidR="00BA407E" w:rsidRPr="00D91B2E" w:rsidRDefault="00BA407E" w:rsidP="00E04A73">
            <w:pPr>
              <w:spacing w:line="276" w:lineRule="auto"/>
              <w:rPr>
                <w:rFonts w:cs="Arial"/>
                <w:b/>
                <w:iCs/>
                <w:noProof/>
                <w:szCs w:val="20"/>
              </w:rPr>
            </w:pPr>
          </w:p>
        </w:tc>
        <w:tc>
          <w:tcPr>
            <w:tcW w:w="1985" w:type="dxa"/>
            <w:vMerge/>
            <w:shd w:val="clear" w:color="auto" w:fill="auto"/>
          </w:tcPr>
          <w:p w14:paraId="1C182F84" w14:textId="77777777" w:rsidR="00BA407E" w:rsidRPr="00D91B2E" w:rsidRDefault="00BA407E" w:rsidP="00E04A73">
            <w:pPr>
              <w:spacing w:line="276" w:lineRule="auto"/>
              <w:rPr>
                <w:rFonts w:cs="Arial"/>
                <w:i/>
                <w:iCs/>
                <w:noProof/>
                <w:szCs w:val="20"/>
              </w:rPr>
            </w:pPr>
          </w:p>
        </w:tc>
        <w:tc>
          <w:tcPr>
            <w:tcW w:w="5386" w:type="dxa"/>
            <w:shd w:val="clear" w:color="auto" w:fill="auto"/>
          </w:tcPr>
          <w:p w14:paraId="66E3A01C" w14:textId="77777777" w:rsidR="00BA407E" w:rsidRPr="00D91B2E" w:rsidRDefault="00BA407E" w:rsidP="00E04A73">
            <w:pPr>
              <w:tabs>
                <w:tab w:val="left" w:pos="2814"/>
              </w:tabs>
              <w:spacing w:line="276" w:lineRule="auto"/>
              <w:rPr>
                <w:rFonts w:cs="Arial"/>
                <w:szCs w:val="20"/>
              </w:rPr>
            </w:pPr>
            <w:r w:rsidRPr="00D91B2E">
              <w:rPr>
                <w:rFonts w:cs="Arial"/>
                <w:b/>
                <w:iCs/>
                <w:noProof/>
                <w:sz w:val="22"/>
                <w:szCs w:val="22"/>
                <w:u w:val="single"/>
              </w:rPr>
              <w:t>Slabosti</w:t>
            </w:r>
          </w:p>
          <w:p w14:paraId="6E5E1F45" w14:textId="77777777" w:rsidR="00632518" w:rsidRDefault="00632518" w:rsidP="00F96204">
            <w:pPr>
              <w:pStyle w:val="Brezrazmikov"/>
              <w:numPr>
                <w:ilvl w:val="0"/>
                <w:numId w:val="32"/>
              </w:numPr>
            </w:pPr>
            <w:r>
              <w:t>slab prenos znanja in pomanjkanje komunikacije na lokalnem področju ter nepovezanost sektorja gosp. ribištva in marikulture (A1, B1)</w:t>
            </w:r>
          </w:p>
          <w:p w14:paraId="2BE298C6" w14:textId="77777777" w:rsidR="00632518" w:rsidRDefault="00632518" w:rsidP="00F96204">
            <w:pPr>
              <w:pStyle w:val="Brezrazmikov"/>
              <w:numPr>
                <w:ilvl w:val="0"/>
                <w:numId w:val="32"/>
              </w:numPr>
            </w:pPr>
            <w:r>
              <w:t>možnost zavajanja potrošnikov, njihova premajhna osveščenost (izvor, neustrezne in pomanjkljive deklaracije, npr. zamrznjeni proizvodi, promovirani kot sveži), nezadostna promocija »SLO« ribe in ribjih izdelkov (A1, B1)</w:t>
            </w:r>
          </w:p>
          <w:p w14:paraId="2F0B9D67" w14:textId="77777777" w:rsidR="00632518" w:rsidRDefault="00632518" w:rsidP="00F96204">
            <w:pPr>
              <w:pStyle w:val="Brezrazmikov"/>
              <w:numPr>
                <w:ilvl w:val="0"/>
                <w:numId w:val="32"/>
              </w:numPr>
            </w:pPr>
            <w:r>
              <w:t>nezanimanje za ekološko vzrejo vodnih organizmov (A2, B2)</w:t>
            </w:r>
          </w:p>
          <w:p w14:paraId="6BA2381B" w14:textId="5ECE5A1E" w:rsidR="00632518" w:rsidRDefault="00632518" w:rsidP="00F96204">
            <w:pPr>
              <w:pStyle w:val="Brezrazmikov"/>
              <w:numPr>
                <w:ilvl w:val="0"/>
                <w:numId w:val="32"/>
              </w:numPr>
            </w:pPr>
            <w:r>
              <w:t>prezahtevni in predolgi birokratski postopki, nezadostna digitalizacija sektorjev (A3, B3)</w:t>
            </w:r>
          </w:p>
          <w:p w14:paraId="494F4CC8" w14:textId="727860C5" w:rsidR="00632518" w:rsidRDefault="00632518" w:rsidP="00F96204">
            <w:pPr>
              <w:pStyle w:val="Brezrazmikov"/>
              <w:numPr>
                <w:ilvl w:val="0"/>
                <w:numId w:val="32"/>
              </w:numPr>
            </w:pPr>
            <w:r>
              <w:t xml:space="preserve">slabo/premajhno ozaveščanje posameznih akterjev o pomembnosti povezovanja sektorja in premajhno zavedanje predstavnikov lokalnih </w:t>
            </w:r>
            <w:r>
              <w:lastRenderedPageBreak/>
              <w:t>skupnosti o njihovem poslanstvu za sektor ribištva in akvakulture (pomagajo ohranjati sektor) (A3, B3)</w:t>
            </w:r>
          </w:p>
          <w:p w14:paraId="024180EF" w14:textId="77777777" w:rsidR="00632518" w:rsidRDefault="00632518" w:rsidP="00F96204">
            <w:pPr>
              <w:pStyle w:val="Brezrazmikov"/>
              <w:numPr>
                <w:ilvl w:val="0"/>
                <w:numId w:val="32"/>
              </w:numPr>
            </w:pPr>
            <w:r>
              <w:t>neizvajanje dobrih pilotnih projektov v lokalnem okolju, kot zasnova za kasnejše projekte (A3, B3)</w:t>
            </w:r>
          </w:p>
          <w:p w14:paraId="25FBEFFF" w14:textId="77777777" w:rsidR="00632518" w:rsidRDefault="00632518" w:rsidP="00F96204">
            <w:pPr>
              <w:pStyle w:val="Brezrazmikov"/>
              <w:numPr>
                <w:ilvl w:val="0"/>
                <w:numId w:val="32"/>
              </w:numPr>
            </w:pPr>
            <w:r>
              <w:t>različni interesi lokalnega prebivalstva (turizem, kmetijstvo, ribiči, marikultura) in strateška usmerjenost občin samo v eno panogo (turizem) (A3, B3)</w:t>
            </w:r>
          </w:p>
          <w:p w14:paraId="4D32D2B2" w14:textId="0F254D92" w:rsidR="00632518" w:rsidRDefault="00632518" w:rsidP="00F96204">
            <w:pPr>
              <w:pStyle w:val="Brezrazmikov"/>
              <w:numPr>
                <w:ilvl w:val="0"/>
                <w:numId w:val="32"/>
              </w:numPr>
            </w:pPr>
            <w:r>
              <w:t>staranje populacije sektorja akvakulture in ribištva in upad zanimanja za izvajanje gosp</w:t>
            </w:r>
            <w:r w:rsidR="000D5CEF">
              <w:t>odarskega</w:t>
            </w:r>
            <w:r>
              <w:t xml:space="preserve"> ribolova (A3, B3)</w:t>
            </w:r>
          </w:p>
          <w:p w14:paraId="21FE9DEC" w14:textId="77777777" w:rsidR="00632518" w:rsidRDefault="00632518" w:rsidP="00F96204">
            <w:pPr>
              <w:pStyle w:val="Brezrazmikov"/>
              <w:numPr>
                <w:ilvl w:val="0"/>
                <w:numId w:val="32"/>
              </w:numPr>
            </w:pPr>
            <w:r>
              <w:t>slaba zastopanost žensk in njihovih znanj v sektorju (A3, B3)</w:t>
            </w:r>
          </w:p>
          <w:p w14:paraId="7BC85AC1" w14:textId="0CC41CD0" w:rsidR="00632518" w:rsidRPr="00D91B2E" w:rsidRDefault="00632518" w:rsidP="00F96204">
            <w:pPr>
              <w:pStyle w:val="Brezrazmikov"/>
              <w:numPr>
                <w:ilvl w:val="0"/>
                <w:numId w:val="32"/>
              </w:numPr>
            </w:pPr>
            <w:r>
              <w:t>ribiški LAS-i v trenutnem programskem obdobju ne pokrivajo celotno ozemlje Republike Slovenije, posledično manjše število potencialnih upravičencev (B4)</w:t>
            </w:r>
          </w:p>
        </w:tc>
        <w:tc>
          <w:tcPr>
            <w:tcW w:w="3794" w:type="dxa"/>
            <w:vMerge/>
            <w:shd w:val="clear" w:color="auto" w:fill="auto"/>
          </w:tcPr>
          <w:p w14:paraId="504E8849" w14:textId="77777777" w:rsidR="00BA407E" w:rsidRPr="00D91B2E" w:rsidRDefault="00BA407E" w:rsidP="00E04A73">
            <w:pPr>
              <w:tabs>
                <w:tab w:val="left" w:pos="2814"/>
              </w:tabs>
              <w:spacing w:line="276" w:lineRule="auto"/>
              <w:rPr>
                <w:rFonts w:cs="Arial"/>
                <w:iCs/>
                <w:noProof/>
                <w:szCs w:val="20"/>
              </w:rPr>
            </w:pPr>
          </w:p>
        </w:tc>
      </w:tr>
      <w:tr w:rsidR="00BA407E" w:rsidRPr="000C55B1" w14:paraId="5E390BAB" w14:textId="77777777" w:rsidTr="004B517A">
        <w:trPr>
          <w:trHeight w:val="39"/>
        </w:trPr>
        <w:tc>
          <w:tcPr>
            <w:tcW w:w="2830" w:type="dxa"/>
            <w:vMerge/>
            <w:shd w:val="clear" w:color="auto" w:fill="auto"/>
          </w:tcPr>
          <w:p w14:paraId="7D04EB7C" w14:textId="77777777" w:rsidR="00BA407E" w:rsidRPr="00D91B2E" w:rsidRDefault="00BA407E" w:rsidP="00E04A73">
            <w:pPr>
              <w:spacing w:line="276" w:lineRule="auto"/>
              <w:rPr>
                <w:rFonts w:cs="Arial"/>
                <w:b/>
                <w:iCs/>
                <w:noProof/>
                <w:szCs w:val="20"/>
              </w:rPr>
            </w:pPr>
          </w:p>
        </w:tc>
        <w:tc>
          <w:tcPr>
            <w:tcW w:w="1985" w:type="dxa"/>
            <w:vMerge/>
            <w:shd w:val="clear" w:color="auto" w:fill="auto"/>
          </w:tcPr>
          <w:p w14:paraId="40CAE976" w14:textId="77777777" w:rsidR="00BA407E" w:rsidRPr="00D91B2E" w:rsidRDefault="00BA407E" w:rsidP="00E04A73">
            <w:pPr>
              <w:spacing w:line="276" w:lineRule="auto"/>
              <w:rPr>
                <w:rFonts w:cs="Arial"/>
                <w:i/>
                <w:iCs/>
                <w:noProof/>
                <w:szCs w:val="20"/>
              </w:rPr>
            </w:pPr>
          </w:p>
        </w:tc>
        <w:tc>
          <w:tcPr>
            <w:tcW w:w="5386" w:type="dxa"/>
            <w:shd w:val="clear" w:color="auto" w:fill="auto"/>
          </w:tcPr>
          <w:p w14:paraId="436B1F9F" w14:textId="77777777" w:rsidR="00BA407E" w:rsidRPr="00D91B2E" w:rsidRDefault="00BA407E" w:rsidP="00E04A73">
            <w:pPr>
              <w:tabs>
                <w:tab w:val="left" w:pos="2814"/>
              </w:tabs>
              <w:spacing w:line="276" w:lineRule="auto"/>
              <w:rPr>
                <w:rFonts w:cs="Arial"/>
                <w:b/>
                <w:iCs/>
                <w:noProof/>
                <w:szCs w:val="20"/>
                <w:u w:val="single"/>
              </w:rPr>
            </w:pPr>
            <w:r w:rsidRPr="00D91B2E">
              <w:rPr>
                <w:rFonts w:cs="Arial"/>
                <w:b/>
                <w:iCs/>
                <w:noProof/>
                <w:szCs w:val="20"/>
                <w:u w:val="single"/>
              </w:rPr>
              <w:t>Priložnosti</w:t>
            </w:r>
          </w:p>
          <w:p w14:paraId="3D1ABBAF" w14:textId="77777777" w:rsidR="00632518" w:rsidRPr="00B30076" w:rsidRDefault="00632518" w:rsidP="00F96204">
            <w:pPr>
              <w:pStyle w:val="Brezrazmikov"/>
              <w:numPr>
                <w:ilvl w:val="0"/>
                <w:numId w:val="33"/>
              </w:numPr>
            </w:pPr>
            <w:r w:rsidRPr="00B30076">
              <w:t>povezovanje različnih panog na lokalnem območju (akvakultura, športni ribolov, vinogradništvo, sirarstvo, živinoreja, turizem, kulinarika…) zaradi povpraševanja potrošnika po visoko kakovostnih lokalnih proizvodih (A1,B1)</w:t>
            </w:r>
          </w:p>
          <w:p w14:paraId="459EECFC" w14:textId="77777777" w:rsidR="00632518" w:rsidRPr="00B30076" w:rsidRDefault="00632518" w:rsidP="00F96204">
            <w:pPr>
              <w:pStyle w:val="Brezrazmikov"/>
              <w:numPr>
                <w:ilvl w:val="0"/>
                <w:numId w:val="33"/>
              </w:numPr>
            </w:pPr>
            <w:r w:rsidRPr="00B30076">
              <w:t>povečanje prepoznavnosti lokalno pridelane hrane in njene kakovosti (A1,B1)</w:t>
            </w:r>
          </w:p>
          <w:p w14:paraId="7CF6532A" w14:textId="77777777" w:rsidR="00632518" w:rsidRPr="00B30076" w:rsidRDefault="00632518" w:rsidP="00F96204">
            <w:pPr>
              <w:pStyle w:val="Brezrazmikov"/>
              <w:numPr>
                <w:ilvl w:val="0"/>
                <w:numId w:val="33"/>
              </w:numPr>
            </w:pPr>
            <w:r w:rsidRPr="00B30076">
              <w:t>višji družinski standard (večja kupna moč) kot potencial povečanja porabe rib in ribjih izdelkov v gospodinjstvu (A1,B1)</w:t>
            </w:r>
          </w:p>
          <w:p w14:paraId="10E16760" w14:textId="77777777" w:rsidR="00632518" w:rsidRPr="00B30076" w:rsidRDefault="00632518" w:rsidP="00F96204">
            <w:pPr>
              <w:pStyle w:val="Brezrazmikov"/>
              <w:numPr>
                <w:ilvl w:val="0"/>
                <w:numId w:val="33"/>
              </w:numPr>
            </w:pPr>
            <w:r w:rsidRPr="00B30076">
              <w:t>promocija lokalnih ribjih proizvodov z različnimi sejmi, tekmovanji (bakalar) (A1,B1)</w:t>
            </w:r>
          </w:p>
          <w:p w14:paraId="32477DC1" w14:textId="77777777" w:rsidR="00632518" w:rsidRPr="00B30076" w:rsidRDefault="00632518" w:rsidP="00F96204">
            <w:pPr>
              <w:pStyle w:val="Brezrazmikov"/>
              <w:numPr>
                <w:ilvl w:val="0"/>
                <w:numId w:val="33"/>
              </w:numPr>
            </w:pPr>
            <w:r w:rsidRPr="00B30076">
              <w:t>povečanje zanimanja lokalnega prebivalstva po projektih, ki so usmerjeni v varovanje okolja in narave (vodnih virov),  ekologije (zmanjšanje odpadkov  in plastike) (A2)</w:t>
            </w:r>
          </w:p>
          <w:p w14:paraId="7BB03192" w14:textId="77777777" w:rsidR="00632518" w:rsidRPr="00B30076" w:rsidRDefault="00632518" w:rsidP="00F96204">
            <w:pPr>
              <w:pStyle w:val="Brezrazmikov"/>
              <w:numPr>
                <w:ilvl w:val="0"/>
                <w:numId w:val="33"/>
              </w:numPr>
            </w:pPr>
            <w:r w:rsidRPr="00B30076">
              <w:lastRenderedPageBreak/>
              <w:t>eliminiranje plastike (odpadna embalaža) v predelavi ribiških proizvodov, inovativnost in ustvarjalnost na lokalnem nivoju (inkubatorji, start up podjetja) (A3, B3)</w:t>
            </w:r>
          </w:p>
          <w:p w14:paraId="2E7B109C" w14:textId="77777777" w:rsidR="00632518" w:rsidRDefault="00632518" w:rsidP="00F96204">
            <w:pPr>
              <w:pStyle w:val="Brezrazmikov"/>
              <w:numPr>
                <w:ilvl w:val="0"/>
                <w:numId w:val="33"/>
              </w:numPr>
            </w:pPr>
            <w:r w:rsidRPr="00B30076">
              <w:t>povečan interes in povpraševanje ljudi ter organizacij za krožno gospodarstvo in zdravo družbo (A2,B2)</w:t>
            </w:r>
          </w:p>
          <w:p w14:paraId="58514B9C" w14:textId="3D2F38C2" w:rsidR="00BA407E" w:rsidRDefault="00632518" w:rsidP="00F96204">
            <w:pPr>
              <w:pStyle w:val="Brezrazmikov"/>
              <w:numPr>
                <w:ilvl w:val="0"/>
                <w:numId w:val="33"/>
              </w:numPr>
            </w:pPr>
            <w:r w:rsidRPr="00B30076">
              <w:t>aktivno sodelovanje celotnega lokalnega območja, ki ga pokriva LAS, ter medregijsko in meddržavno sodelovanje pri izmenjavi znanj (izobraževanje), idej (prenos dobrih praks) (A3,B3)</w:t>
            </w:r>
          </w:p>
          <w:p w14:paraId="1046F8EE" w14:textId="09202E08" w:rsidR="0066304F" w:rsidRPr="0066304F" w:rsidRDefault="00585F74" w:rsidP="008E6BB7">
            <w:pPr>
              <w:pStyle w:val="Brezrazmikov"/>
              <w:numPr>
                <w:ilvl w:val="0"/>
                <w:numId w:val="33"/>
              </w:numPr>
            </w:pPr>
            <w:r>
              <w:t xml:space="preserve">vključevanje vsebin Strategije pametne </w:t>
            </w:r>
            <w:r w:rsidR="00FD5DAC">
              <w:t>specializacije</w:t>
            </w:r>
            <w:r>
              <w:t>, zlasti za območja, pomembna za sektorje modrega gospodarstva</w:t>
            </w:r>
            <w:r w:rsidR="00670C63">
              <w:t xml:space="preserve"> (A1, A2, B1, B2)</w:t>
            </w:r>
          </w:p>
        </w:tc>
        <w:tc>
          <w:tcPr>
            <w:tcW w:w="3794" w:type="dxa"/>
            <w:vMerge/>
            <w:shd w:val="clear" w:color="auto" w:fill="auto"/>
          </w:tcPr>
          <w:p w14:paraId="0DC874E4" w14:textId="77777777" w:rsidR="00BA407E" w:rsidRPr="000C55B1" w:rsidRDefault="00BA407E" w:rsidP="00E04A73">
            <w:pPr>
              <w:tabs>
                <w:tab w:val="left" w:pos="2814"/>
              </w:tabs>
              <w:spacing w:line="276" w:lineRule="auto"/>
              <w:rPr>
                <w:rFonts w:cs="Arial"/>
                <w:iCs/>
                <w:noProof/>
                <w:szCs w:val="20"/>
              </w:rPr>
            </w:pPr>
          </w:p>
        </w:tc>
      </w:tr>
      <w:tr w:rsidR="00BA407E" w:rsidRPr="000C55B1" w14:paraId="326D9369" w14:textId="77777777" w:rsidTr="004B517A">
        <w:trPr>
          <w:trHeight w:val="39"/>
        </w:trPr>
        <w:tc>
          <w:tcPr>
            <w:tcW w:w="2830" w:type="dxa"/>
            <w:vMerge/>
            <w:shd w:val="clear" w:color="auto" w:fill="auto"/>
          </w:tcPr>
          <w:p w14:paraId="4D818BD7" w14:textId="77777777" w:rsidR="00BA407E" w:rsidRPr="000C55B1" w:rsidRDefault="00BA407E" w:rsidP="00E04A73">
            <w:pPr>
              <w:spacing w:line="276" w:lineRule="auto"/>
              <w:rPr>
                <w:rFonts w:cs="Arial"/>
                <w:b/>
                <w:iCs/>
                <w:noProof/>
                <w:szCs w:val="20"/>
              </w:rPr>
            </w:pPr>
          </w:p>
        </w:tc>
        <w:tc>
          <w:tcPr>
            <w:tcW w:w="1985" w:type="dxa"/>
            <w:vMerge/>
            <w:shd w:val="clear" w:color="auto" w:fill="auto"/>
          </w:tcPr>
          <w:p w14:paraId="7DDEA672" w14:textId="77777777" w:rsidR="00BA407E" w:rsidRPr="000C55B1" w:rsidRDefault="00BA407E" w:rsidP="00E04A73">
            <w:pPr>
              <w:spacing w:line="276" w:lineRule="auto"/>
              <w:rPr>
                <w:rFonts w:cs="Arial"/>
                <w:i/>
                <w:iCs/>
                <w:noProof/>
                <w:szCs w:val="20"/>
              </w:rPr>
            </w:pPr>
          </w:p>
        </w:tc>
        <w:tc>
          <w:tcPr>
            <w:tcW w:w="5386" w:type="dxa"/>
            <w:shd w:val="clear" w:color="auto" w:fill="auto"/>
          </w:tcPr>
          <w:p w14:paraId="61A46078" w14:textId="77777777" w:rsidR="00BA407E" w:rsidRPr="000C55B1" w:rsidRDefault="00BA407E" w:rsidP="00E04A73">
            <w:pPr>
              <w:tabs>
                <w:tab w:val="left" w:pos="2814"/>
              </w:tabs>
              <w:spacing w:line="276" w:lineRule="auto"/>
              <w:rPr>
                <w:rFonts w:cs="Arial"/>
                <w:b/>
                <w:iCs/>
                <w:noProof/>
                <w:sz w:val="22"/>
                <w:szCs w:val="22"/>
                <w:u w:val="single"/>
              </w:rPr>
            </w:pPr>
            <w:r w:rsidRPr="000C55B1">
              <w:rPr>
                <w:rFonts w:cs="Arial"/>
                <w:b/>
                <w:iCs/>
                <w:noProof/>
                <w:sz w:val="22"/>
                <w:szCs w:val="22"/>
                <w:u w:val="single"/>
              </w:rPr>
              <w:t>Nevarnosti</w:t>
            </w:r>
          </w:p>
          <w:p w14:paraId="7A7CC43E" w14:textId="77777777" w:rsidR="00632518" w:rsidRPr="00B30076" w:rsidRDefault="00632518" w:rsidP="00F96204">
            <w:pPr>
              <w:pStyle w:val="Brezrazmikov"/>
              <w:numPr>
                <w:ilvl w:val="0"/>
                <w:numId w:val="34"/>
              </w:numPr>
            </w:pPr>
            <w:r w:rsidRPr="00B30076">
              <w:t>negativni trendi deljenih staležev v severnem delu Jadranskega morja (upad ribjih staležev) (A2)</w:t>
            </w:r>
          </w:p>
          <w:p w14:paraId="1F817D14" w14:textId="77777777" w:rsidR="00632518" w:rsidRPr="00B30076" w:rsidRDefault="00632518" w:rsidP="00F96204">
            <w:pPr>
              <w:pStyle w:val="Brezrazmikov"/>
              <w:numPr>
                <w:ilvl w:val="0"/>
                <w:numId w:val="34"/>
              </w:numPr>
            </w:pPr>
            <w:r w:rsidRPr="00B30076">
              <w:t>onesnaženje morja in obalnega pasu  z različnimi  onesnaževali  in emisijami, onesnaženost okolja, odpadki (vključno z mikro odpadki), podnebne spremembe (A2,B2)</w:t>
            </w:r>
          </w:p>
          <w:p w14:paraId="45A83A2A" w14:textId="77777777" w:rsidR="00632518" w:rsidRPr="00B30076" w:rsidRDefault="00632518" w:rsidP="00F96204">
            <w:pPr>
              <w:pStyle w:val="Brezrazmikov"/>
              <w:numPr>
                <w:ilvl w:val="0"/>
                <w:numId w:val="34"/>
              </w:numPr>
            </w:pPr>
            <w:r w:rsidRPr="00B30076">
              <w:t>prekomerno večanje prometa (nevarnost nesreč, podvodni hrup, sidranje, mejne vrednosti, razlitja, trki, itd.) in kratkotrajno poslabšanje kakovosti vodnih virov in morja (naključni dogodki v industriji, komunali, transportu, kmetijstvu in turizmu) ter kot posledica naravnih nesreč (A2,B2)</w:t>
            </w:r>
          </w:p>
          <w:p w14:paraId="61CC2530" w14:textId="77777777" w:rsidR="00632518" w:rsidRPr="00B30076" w:rsidRDefault="00632518" w:rsidP="00F96204">
            <w:pPr>
              <w:pStyle w:val="Brezrazmikov"/>
              <w:numPr>
                <w:ilvl w:val="0"/>
                <w:numId w:val="34"/>
              </w:numPr>
            </w:pPr>
            <w:r w:rsidRPr="00B30076">
              <w:t>pojav gospodarske krize in epidemij (A3,B3)</w:t>
            </w:r>
          </w:p>
          <w:p w14:paraId="5528CC62" w14:textId="77777777" w:rsidR="00632518" w:rsidRDefault="00632518" w:rsidP="00F96204">
            <w:pPr>
              <w:pStyle w:val="Brezrazmikov"/>
              <w:numPr>
                <w:ilvl w:val="0"/>
                <w:numId w:val="34"/>
              </w:numPr>
            </w:pPr>
            <w:r w:rsidRPr="00B30076">
              <w:t>negativen vpliv ostalih panog (turizem, transport) in ustvarjanje novih zavarovanih območij (velja prepoved gospodarskega ribolova) (A3)</w:t>
            </w:r>
          </w:p>
          <w:p w14:paraId="4E7D47D4" w14:textId="251D9203" w:rsidR="00632518" w:rsidRPr="000C55B1" w:rsidRDefault="00632518" w:rsidP="00F96204">
            <w:pPr>
              <w:pStyle w:val="Brezrazmikov"/>
              <w:numPr>
                <w:ilvl w:val="0"/>
                <w:numId w:val="34"/>
              </w:numPr>
            </w:pPr>
          </w:p>
        </w:tc>
        <w:tc>
          <w:tcPr>
            <w:tcW w:w="3794" w:type="dxa"/>
            <w:vMerge/>
            <w:shd w:val="clear" w:color="auto" w:fill="auto"/>
          </w:tcPr>
          <w:p w14:paraId="373975EB" w14:textId="77777777" w:rsidR="00BA407E" w:rsidRPr="000C55B1" w:rsidRDefault="00BA407E" w:rsidP="00E04A73">
            <w:pPr>
              <w:tabs>
                <w:tab w:val="left" w:pos="2814"/>
              </w:tabs>
              <w:spacing w:line="276" w:lineRule="auto"/>
              <w:rPr>
                <w:rFonts w:cs="Arial"/>
                <w:iCs/>
                <w:noProof/>
                <w:szCs w:val="20"/>
              </w:rPr>
            </w:pPr>
          </w:p>
        </w:tc>
      </w:tr>
      <w:tr w:rsidR="00BA407E" w:rsidRPr="00F700CD" w14:paraId="4F83BC66" w14:textId="77777777" w:rsidTr="004B517A">
        <w:trPr>
          <w:trHeight w:val="39"/>
        </w:trPr>
        <w:tc>
          <w:tcPr>
            <w:tcW w:w="2830" w:type="dxa"/>
            <w:vMerge/>
            <w:shd w:val="clear" w:color="auto" w:fill="auto"/>
          </w:tcPr>
          <w:p w14:paraId="30BCF139" w14:textId="77777777" w:rsidR="00BA407E" w:rsidRPr="000C55B1" w:rsidRDefault="00BA407E" w:rsidP="00E04A73">
            <w:pPr>
              <w:spacing w:line="276" w:lineRule="auto"/>
              <w:rPr>
                <w:rFonts w:cs="Arial"/>
                <w:b/>
                <w:iCs/>
                <w:noProof/>
                <w:szCs w:val="20"/>
              </w:rPr>
            </w:pPr>
          </w:p>
        </w:tc>
        <w:tc>
          <w:tcPr>
            <w:tcW w:w="1985" w:type="dxa"/>
            <w:vMerge/>
            <w:shd w:val="clear" w:color="auto" w:fill="auto"/>
          </w:tcPr>
          <w:p w14:paraId="5B7ED586" w14:textId="77777777" w:rsidR="00BA407E" w:rsidRPr="000C55B1" w:rsidRDefault="00BA407E" w:rsidP="00E04A73">
            <w:pPr>
              <w:spacing w:line="276" w:lineRule="auto"/>
              <w:rPr>
                <w:rFonts w:cs="Arial"/>
                <w:i/>
                <w:iCs/>
                <w:noProof/>
                <w:szCs w:val="20"/>
              </w:rPr>
            </w:pPr>
          </w:p>
        </w:tc>
        <w:tc>
          <w:tcPr>
            <w:tcW w:w="5386" w:type="dxa"/>
            <w:shd w:val="clear" w:color="auto" w:fill="auto"/>
          </w:tcPr>
          <w:p w14:paraId="2BD249E7" w14:textId="7A774ADD" w:rsidR="00BA407E" w:rsidRPr="000C55B1" w:rsidRDefault="00BA407E" w:rsidP="00BA407E">
            <w:pPr>
              <w:tabs>
                <w:tab w:val="left" w:pos="2814"/>
              </w:tabs>
              <w:spacing w:line="276" w:lineRule="auto"/>
              <w:jc w:val="both"/>
              <w:rPr>
                <w:rFonts w:cs="Arial"/>
                <w:b/>
                <w:iCs/>
                <w:noProof/>
                <w:szCs w:val="20"/>
              </w:rPr>
            </w:pPr>
            <w:r w:rsidRPr="000C55B1">
              <w:rPr>
                <w:rFonts w:cs="Arial"/>
                <w:b/>
                <w:iCs/>
                <w:noProof/>
                <w:szCs w:val="20"/>
              </w:rPr>
              <w:t xml:space="preserve">Opredelitev potreb na podlagi analize SWOT in ob upoštevanju elementov iz člena </w:t>
            </w:r>
            <w:r w:rsidR="00AF6E51">
              <w:rPr>
                <w:rFonts w:cs="Arial"/>
                <w:b/>
                <w:iCs/>
                <w:noProof/>
                <w:szCs w:val="20"/>
              </w:rPr>
              <w:t>5</w:t>
            </w:r>
            <w:r w:rsidRPr="000C55B1">
              <w:rPr>
                <w:rFonts w:cs="Arial"/>
                <w:b/>
                <w:iCs/>
                <w:noProof/>
                <w:szCs w:val="20"/>
              </w:rPr>
              <w:t>(6) uredbe o ESPR</w:t>
            </w:r>
            <w:r w:rsidR="00AF6E51">
              <w:rPr>
                <w:rFonts w:cs="Arial"/>
                <w:b/>
                <w:iCs/>
                <w:noProof/>
                <w:szCs w:val="20"/>
              </w:rPr>
              <w:t>A</w:t>
            </w:r>
          </w:p>
          <w:p w14:paraId="47DF7C97" w14:textId="77777777" w:rsidR="00831BA6" w:rsidRPr="00137B84" w:rsidRDefault="00831BA6" w:rsidP="00F96204">
            <w:pPr>
              <w:pStyle w:val="Odstavekseznama"/>
              <w:numPr>
                <w:ilvl w:val="0"/>
                <w:numId w:val="36"/>
              </w:numPr>
              <w:spacing w:line="240" w:lineRule="auto"/>
              <w:rPr>
                <w:b/>
              </w:rPr>
            </w:pPr>
            <w:r w:rsidRPr="00137B84">
              <w:rPr>
                <w:b/>
              </w:rPr>
              <w:t>Za obalno LAS (ribištvo in marikultura) so bile izražene naslednje potrebe/cilji:</w:t>
            </w:r>
          </w:p>
          <w:p w14:paraId="63BB7F5A" w14:textId="024FD696" w:rsidR="00831BA6" w:rsidRDefault="00831BA6" w:rsidP="00F96204">
            <w:pPr>
              <w:pStyle w:val="Odstavekseznama"/>
              <w:numPr>
                <w:ilvl w:val="0"/>
                <w:numId w:val="35"/>
              </w:numPr>
              <w:spacing w:line="240" w:lineRule="auto"/>
              <w:jc w:val="both"/>
            </w:pPr>
            <w:r>
              <w:t>V</w:t>
            </w:r>
            <w:r w:rsidRPr="0059710B">
              <w:t xml:space="preserve">ključevanje sektorjev modrega gospodarstva v </w:t>
            </w:r>
            <w:r>
              <w:t>r</w:t>
            </w:r>
            <w:r w:rsidRPr="0059710B">
              <w:t>azvoj trajnostnega prehranskega sistema</w:t>
            </w:r>
            <w:r>
              <w:t>,</w:t>
            </w:r>
            <w:r w:rsidRPr="0059710B">
              <w:t xml:space="preserve"> trženja in dodajanja vrednosti proizvodom iz ribištva in </w:t>
            </w:r>
            <w:r>
              <w:t>akvakulture</w:t>
            </w:r>
          </w:p>
          <w:p w14:paraId="2B117903" w14:textId="77777777" w:rsidR="00831BA6" w:rsidRDefault="00831BA6" w:rsidP="00F96204">
            <w:pPr>
              <w:pStyle w:val="Odstavekseznama"/>
              <w:numPr>
                <w:ilvl w:val="0"/>
                <w:numId w:val="35"/>
              </w:numPr>
              <w:spacing w:line="240" w:lineRule="auto"/>
              <w:jc w:val="both"/>
            </w:pPr>
            <w:r>
              <w:t xml:space="preserve">Prispevanje sektorjev ribištva in akvakulture k blažitvi podnebnih sprememb in prilagajanje nanje ter ohranjanje biotske raznovrstnosti s podporo krožnega gospodarstva </w:t>
            </w:r>
            <w:r w:rsidRPr="009D0A54">
              <w:t>ter čiste energije</w:t>
            </w:r>
          </w:p>
          <w:p w14:paraId="585C2F58" w14:textId="77777777" w:rsidR="00831BA6" w:rsidRDefault="00831BA6" w:rsidP="00F96204">
            <w:pPr>
              <w:pStyle w:val="Odstavekseznama"/>
              <w:numPr>
                <w:ilvl w:val="0"/>
                <w:numId w:val="35"/>
              </w:numPr>
              <w:spacing w:line="240" w:lineRule="auto"/>
              <w:jc w:val="both"/>
            </w:pPr>
            <w:r>
              <w:t>Krepitev vitalnosti skupnosti z večanjem družbene vključenosti, privabljanjem žensk in mladih ter ohranjanjem in ustvarjanjem novih delovnih mest na področju ribištva in akvakulture</w:t>
            </w:r>
          </w:p>
          <w:p w14:paraId="3452E15C" w14:textId="77777777" w:rsidR="00BF49E5" w:rsidRPr="00137B84" w:rsidRDefault="00BF49E5" w:rsidP="00F96204">
            <w:pPr>
              <w:pStyle w:val="Odstavekseznama"/>
              <w:numPr>
                <w:ilvl w:val="0"/>
                <w:numId w:val="36"/>
              </w:numPr>
              <w:spacing w:line="240" w:lineRule="auto"/>
              <w:rPr>
                <w:b/>
              </w:rPr>
            </w:pPr>
            <w:r w:rsidRPr="00137B84">
              <w:rPr>
                <w:b/>
              </w:rPr>
              <w:t>Za celinske LAS (akvakultura) so bile izražene naslednje potrebe/cilji:</w:t>
            </w:r>
          </w:p>
          <w:p w14:paraId="6A9C4895" w14:textId="77777777" w:rsidR="00BF49E5" w:rsidRPr="00137B84" w:rsidRDefault="00BF49E5" w:rsidP="00F96204">
            <w:pPr>
              <w:pStyle w:val="Odstavekseznama"/>
              <w:numPr>
                <w:ilvl w:val="0"/>
                <w:numId w:val="37"/>
              </w:numPr>
              <w:spacing w:line="240" w:lineRule="auto"/>
              <w:jc w:val="both"/>
            </w:pPr>
            <w:r w:rsidRPr="00137B84">
              <w:t>Razvoj trajnostnega prehranskega sistema, trženja in dodajanja vrednosti proizvodom iz akvakulture</w:t>
            </w:r>
          </w:p>
          <w:p w14:paraId="089964E2" w14:textId="77777777" w:rsidR="00BF49E5" w:rsidRDefault="00BF49E5" w:rsidP="00F96204">
            <w:pPr>
              <w:pStyle w:val="Odstavekseznama"/>
              <w:numPr>
                <w:ilvl w:val="0"/>
                <w:numId w:val="37"/>
              </w:numPr>
              <w:spacing w:line="240" w:lineRule="auto"/>
            </w:pPr>
            <w:r>
              <w:t>Prispevanje k blažitvi podnebnih sprememb in prilagajanje nanje ter ohranjanje biotske raznovrstnosti s podporo krožnega gospodarstva ter čiste energije</w:t>
            </w:r>
          </w:p>
          <w:p w14:paraId="7FBFE307" w14:textId="77777777" w:rsidR="00BF49E5" w:rsidRDefault="00BF49E5" w:rsidP="00F96204">
            <w:pPr>
              <w:pStyle w:val="Odstavekseznama"/>
              <w:numPr>
                <w:ilvl w:val="0"/>
                <w:numId w:val="37"/>
              </w:numPr>
              <w:spacing w:line="240" w:lineRule="auto"/>
            </w:pPr>
            <w:r w:rsidRPr="00137B84">
              <w:t>Krepitev vitalnosti skupnosti z večanjem družbene vključenosti, privabljanjem žensk in mladih</w:t>
            </w:r>
            <w:r>
              <w:t xml:space="preserve"> </w:t>
            </w:r>
            <w:r w:rsidRPr="00137B84">
              <w:t>ter ohranjanjem in ustvarjanjem novih delovnih mest</w:t>
            </w:r>
          </w:p>
          <w:p w14:paraId="695540F8" w14:textId="678FBE78" w:rsidR="00BA407E" w:rsidRPr="00BA407E" w:rsidRDefault="00BF49E5" w:rsidP="00F96204">
            <w:pPr>
              <w:pStyle w:val="Odstavekseznama"/>
              <w:numPr>
                <w:ilvl w:val="0"/>
                <w:numId w:val="37"/>
              </w:numPr>
              <w:spacing w:line="240" w:lineRule="auto"/>
            </w:pPr>
            <w:r>
              <w:t>Krepitev družbene sprejemljivosti akvakulture</w:t>
            </w:r>
          </w:p>
        </w:tc>
        <w:tc>
          <w:tcPr>
            <w:tcW w:w="3794" w:type="dxa"/>
            <w:vMerge/>
            <w:shd w:val="clear" w:color="auto" w:fill="auto"/>
          </w:tcPr>
          <w:p w14:paraId="06AA54CC" w14:textId="77777777" w:rsidR="00BA407E" w:rsidRPr="00BA407E" w:rsidRDefault="00BA407E" w:rsidP="00E04A73">
            <w:pPr>
              <w:tabs>
                <w:tab w:val="left" w:pos="2814"/>
              </w:tabs>
              <w:spacing w:line="276" w:lineRule="auto"/>
              <w:rPr>
                <w:rFonts w:cs="Arial"/>
                <w:iCs/>
                <w:noProof/>
                <w:szCs w:val="20"/>
              </w:rPr>
            </w:pPr>
          </w:p>
        </w:tc>
      </w:tr>
    </w:tbl>
    <w:tbl>
      <w:tblPr>
        <w:tblpPr w:leftFromText="141" w:rightFromText="141"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1985"/>
        <w:gridCol w:w="5245"/>
        <w:gridCol w:w="3935"/>
      </w:tblGrid>
      <w:tr w:rsidR="00612312" w:rsidRPr="009677BE" w14:paraId="554B00E9" w14:textId="77777777" w:rsidTr="00612312">
        <w:tc>
          <w:tcPr>
            <w:tcW w:w="0" w:type="auto"/>
            <w:gridSpan w:val="4"/>
            <w:shd w:val="clear" w:color="auto" w:fill="auto"/>
          </w:tcPr>
          <w:p w14:paraId="29CDBFFC" w14:textId="77777777" w:rsidR="00612312" w:rsidRPr="009677BE" w:rsidRDefault="00612312" w:rsidP="00612312">
            <w:pPr>
              <w:rPr>
                <w:b/>
              </w:rPr>
            </w:pPr>
            <w:r w:rsidRPr="009677BE">
              <w:rPr>
                <w:b/>
              </w:rPr>
              <w:lastRenderedPageBreak/>
              <w:t>Preglednica 1A</w:t>
            </w:r>
          </w:p>
        </w:tc>
      </w:tr>
      <w:tr w:rsidR="00612312" w:rsidRPr="009677BE" w14:paraId="6576C2FE" w14:textId="77777777" w:rsidTr="00612312">
        <w:tc>
          <w:tcPr>
            <w:tcW w:w="2830" w:type="dxa"/>
            <w:shd w:val="clear" w:color="auto" w:fill="auto"/>
          </w:tcPr>
          <w:p w14:paraId="396EC6BB" w14:textId="77777777" w:rsidR="00612312" w:rsidRPr="009677BE" w:rsidRDefault="00612312" w:rsidP="00612312">
            <w:pPr>
              <w:rPr>
                <w:b/>
              </w:rPr>
            </w:pPr>
            <w:r w:rsidRPr="009677BE">
              <w:rPr>
                <w:b/>
              </w:rPr>
              <w:t>Ciljne politike</w:t>
            </w:r>
          </w:p>
        </w:tc>
        <w:tc>
          <w:tcPr>
            <w:tcW w:w="1985" w:type="dxa"/>
            <w:shd w:val="clear" w:color="auto" w:fill="auto"/>
          </w:tcPr>
          <w:p w14:paraId="69CAD6D6" w14:textId="77777777" w:rsidR="00612312" w:rsidRPr="009677BE" w:rsidRDefault="00612312" w:rsidP="00612312">
            <w:pPr>
              <w:rPr>
                <w:b/>
              </w:rPr>
            </w:pPr>
            <w:r w:rsidRPr="009677BE">
              <w:rPr>
                <w:b/>
              </w:rPr>
              <w:t>Prednostna naloga</w:t>
            </w:r>
          </w:p>
        </w:tc>
        <w:tc>
          <w:tcPr>
            <w:tcW w:w="5245" w:type="dxa"/>
            <w:shd w:val="clear" w:color="auto" w:fill="auto"/>
          </w:tcPr>
          <w:p w14:paraId="25A0C6F4" w14:textId="77777777" w:rsidR="00612312" w:rsidRPr="009677BE" w:rsidRDefault="00612312" w:rsidP="00612312">
            <w:pPr>
              <w:rPr>
                <w:b/>
              </w:rPr>
            </w:pPr>
            <w:r w:rsidRPr="009677BE">
              <w:rPr>
                <w:b/>
              </w:rPr>
              <w:t xml:space="preserve">SWOT analiza  </w:t>
            </w:r>
          </w:p>
          <w:p w14:paraId="23FD581B" w14:textId="77777777" w:rsidR="00612312" w:rsidRPr="009677BE" w:rsidRDefault="00612312" w:rsidP="00612312">
            <w:pPr>
              <w:rPr>
                <w:b/>
              </w:rPr>
            </w:pPr>
          </w:p>
        </w:tc>
        <w:tc>
          <w:tcPr>
            <w:tcW w:w="3935" w:type="dxa"/>
            <w:shd w:val="clear" w:color="auto" w:fill="auto"/>
          </w:tcPr>
          <w:p w14:paraId="4929D900" w14:textId="77777777" w:rsidR="00612312" w:rsidRPr="009677BE" w:rsidRDefault="00612312" w:rsidP="00612312">
            <w:pPr>
              <w:rPr>
                <w:b/>
              </w:rPr>
            </w:pPr>
            <w:r w:rsidRPr="009677BE">
              <w:rPr>
                <w:b/>
              </w:rPr>
              <w:t>Utemeljitev (povzetek)</w:t>
            </w:r>
          </w:p>
        </w:tc>
      </w:tr>
      <w:tr w:rsidR="00612312" w:rsidRPr="00F700CD" w14:paraId="19F1AE06" w14:textId="77777777" w:rsidTr="00612312">
        <w:trPr>
          <w:trHeight w:val="40"/>
        </w:trPr>
        <w:tc>
          <w:tcPr>
            <w:tcW w:w="2830" w:type="dxa"/>
            <w:vMerge w:val="restart"/>
            <w:shd w:val="clear" w:color="auto" w:fill="auto"/>
          </w:tcPr>
          <w:p w14:paraId="18237CFE" w14:textId="77777777" w:rsidR="00612312" w:rsidRPr="009677BE" w:rsidRDefault="00612312" w:rsidP="00612312">
            <w:pPr>
              <w:rPr>
                <w:b/>
              </w:rPr>
            </w:pPr>
            <w:r>
              <w:rPr>
                <w:b/>
              </w:rPr>
              <w:t>B</w:t>
            </w:r>
            <w:r w:rsidRPr="00387B09">
              <w:rPr>
                <w:b/>
              </w:rPr>
              <w:t>olj zelena, nizkoogljična Evropa s spodbujanjem prehoda na čisto in pravično energijo, zelene in modre naložbe, krožno gospodarstvo, prilagajanje podnebnim spremembam ter prepr</w:t>
            </w:r>
            <w:r>
              <w:rPr>
                <w:b/>
              </w:rPr>
              <w:t>ečevanje in upravljanje tveganj</w:t>
            </w:r>
          </w:p>
        </w:tc>
        <w:tc>
          <w:tcPr>
            <w:tcW w:w="1985" w:type="dxa"/>
            <w:vMerge w:val="restart"/>
            <w:shd w:val="clear" w:color="auto" w:fill="auto"/>
          </w:tcPr>
          <w:p w14:paraId="247ED346" w14:textId="77777777" w:rsidR="00612312" w:rsidRPr="00B929A0" w:rsidRDefault="00612312" w:rsidP="00612312">
            <w:pPr>
              <w:rPr>
                <w:b/>
              </w:rPr>
            </w:pPr>
            <w:r w:rsidRPr="00B929A0">
              <w:rPr>
                <w:b/>
              </w:rPr>
              <w:t xml:space="preserve">Krepitev mednarodnega upravljanja oceanov ter omogočanje varnih, zaščitenih, čistih in trajnostno </w:t>
            </w:r>
            <w:r w:rsidRPr="00B929A0">
              <w:rPr>
                <w:b/>
              </w:rPr>
              <w:lastRenderedPageBreak/>
              <w:t>upravljanih morij in oceanov</w:t>
            </w:r>
          </w:p>
        </w:tc>
        <w:tc>
          <w:tcPr>
            <w:tcW w:w="5245" w:type="dxa"/>
            <w:shd w:val="clear" w:color="auto" w:fill="auto"/>
          </w:tcPr>
          <w:p w14:paraId="307BE458" w14:textId="77777777" w:rsidR="00612312" w:rsidRPr="00757352" w:rsidRDefault="00612312" w:rsidP="00612312">
            <w:pPr>
              <w:tabs>
                <w:tab w:val="left" w:pos="2814"/>
              </w:tabs>
              <w:rPr>
                <w:b/>
              </w:rPr>
            </w:pPr>
            <w:r w:rsidRPr="00176EFE">
              <w:rPr>
                <w:b/>
              </w:rPr>
              <w:lastRenderedPageBreak/>
              <w:t>Prednosti</w:t>
            </w:r>
          </w:p>
          <w:p w14:paraId="1BF3DB7D" w14:textId="77777777" w:rsidR="00612312" w:rsidRDefault="00612312" w:rsidP="00612312">
            <w:pPr>
              <w:numPr>
                <w:ilvl w:val="0"/>
                <w:numId w:val="38"/>
              </w:numPr>
              <w:tabs>
                <w:tab w:val="left" w:pos="2814"/>
              </w:tabs>
              <w:spacing w:line="276" w:lineRule="auto"/>
              <w:jc w:val="both"/>
            </w:pPr>
            <w:r w:rsidRPr="009677BE">
              <w:t xml:space="preserve">raznolika raba morja </w:t>
            </w:r>
            <w:r>
              <w:t xml:space="preserve">in obalnega pasu </w:t>
            </w:r>
            <w:r w:rsidRPr="009677BE">
              <w:t>na majhnem prostoru</w:t>
            </w:r>
            <w:r>
              <w:t xml:space="preserve"> (2)</w:t>
            </w:r>
          </w:p>
          <w:p w14:paraId="753803E1" w14:textId="77777777" w:rsidR="00612312" w:rsidRDefault="00612312" w:rsidP="00612312">
            <w:pPr>
              <w:numPr>
                <w:ilvl w:val="0"/>
                <w:numId w:val="38"/>
              </w:numPr>
              <w:tabs>
                <w:tab w:val="left" w:pos="2814"/>
              </w:tabs>
              <w:spacing w:line="276" w:lineRule="auto"/>
              <w:jc w:val="both"/>
            </w:pPr>
            <w:r>
              <w:t>zavedanje o pomembnosti usklajenega delovanja na ravni pomorskega bazena (2)</w:t>
            </w:r>
          </w:p>
          <w:p w14:paraId="00F9B4CB" w14:textId="77777777" w:rsidR="00612312" w:rsidRPr="00C54172" w:rsidRDefault="00612312" w:rsidP="00612312">
            <w:pPr>
              <w:numPr>
                <w:ilvl w:val="0"/>
                <w:numId w:val="38"/>
              </w:numPr>
              <w:tabs>
                <w:tab w:val="left" w:pos="2814"/>
              </w:tabs>
              <w:spacing w:line="276" w:lineRule="auto"/>
              <w:jc w:val="both"/>
            </w:pPr>
            <w:r w:rsidRPr="00E66105">
              <w:t>ustaljene rabe in režimi</w:t>
            </w:r>
            <w:r>
              <w:t xml:space="preserve"> morskega okolja</w:t>
            </w:r>
            <w:r w:rsidRPr="00E66105">
              <w:t>, že vzpostavljene številne medsebojne prilagoditve</w:t>
            </w:r>
            <w:r>
              <w:t xml:space="preserve"> med različnimi panogami (pomorski promet, ribolov, akvakultura, turizem) (2)</w:t>
            </w:r>
          </w:p>
          <w:p w14:paraId="06999283" w14:textId="77777777" w:rsidR="00612312" w:rsidRDefault="00612312" w:rsidP="00612312">
            <w:pPr>
              <w:numPr>
                <w:ilvl w:val="0"/>
                <w:numId w:val="38"/>
              </w:numPr>
              <w:tabs>
                <w:tab w:val="left" w:pos="2814"/>
              </w:tabs>
              <w:spacing w:line="276" w:lineRule="auto"/>
              <w:jc w:val="both"/>
            </w:pPr>
            <w:r w:rsidRPr="009677BE">
              <w:lastRenderedPageBreak/>
              <w:t xml:space="preserve">usklajevanje interesov za poseganje v </w:t>
            </w:r>
            <w:r>
              <w:t xml:space="preserve">morski </w:t>
            </w:r>
            <w:r w:rsidRPr="009677BE">
              <w:t>prostor</w:t>
            </w:r>
            <w:r w:rsidRPr="007F0FBA">
              <w:t xml:space="preserve">: </w:t>
            </w:r>
            <w:r>
              <w:t xml:space="preserve">v pripravi </w:t>
            </w:r>
            <w:r w:rsidRPr="007F0FBA">
              <w:t xml:space="preserve">pomorski prostorski </w:t>
            </w:r>
            <w:r>
              <w:t xml:space="preserve">plan ter usklajeno </w:t>
            </w:r>
            <w:r w:rsidRPr="009677BE">
              <w:t>prostorsko načrtovanje (PP, DPN, OPN)</w:t>
            </w:r>
            <w:r>
              <w:t xml:space="preserve"> (2)</w:t>
            </w:r>
          </w:p>
          <w:p w14:paraId="4C9658FF" w14:textId="77777777" w:rsidR="00612312" w:rsidRPr="009100CF" w:rsidRDefault="00612312" w:rsidP="00612312">
            <w:pPr>
              <w:numPr>
                <w:ilvl w:val="0"/>
                <w:numId w:val="38"/>
              </w:numPr>
              <w:tabs>
                <w:tab w:val="left" w:pos="2814"/>
              </w:tabs>
              <w:spacing w:line="276" w:lineRule="auto"/>
              <w:jc w:val="both"/>
            </w:pPr>
            <w:r w:rsidRPr="00757352">
              <w:t>izdelan</w:t>
            </w:r>
            <w:r>
              <w:t xml:space="preserve"> </w:t>
            </w:r>
            <w:r w:rsidRPr="00757352">
              <w:t>Program</w:t>
            </w:r>
            <w:r w:rsidRPr="00A06283">
              <w:t xml:space="preserve"> upravljanja območij Natura 2000</w:t>
            </w:r>
            <w:r>
              <w:t xml:space="preserve"> za obdobje 2015 - 2020</w:t>
            </w:r>
            <w:r w:rsidRPr="00757352">
              <w:t xml:space="preserve"> </w:t>
            </w:r>
            <w:r>
              <w:t xml:space="preserve">in </w:t>
            </w:r>
            <w:r w:rsidRPr="00757352">
              <w:t xml:space="preserve"> osnutek Program</w:t>
            </w:r>
            <w:r w:rsidRPr="00A87DDC">
              <w:t>a</w:t>
            </w:r>
            <w:r w:rsidRPr="00A06283">
              <w:t xml:space="preserve"> upravljanja območij Natura 2000</w:t>
            </w:r>
            <w:r>
              <w:t xml:space="preserve"> za obdobje 2021 - 2027</w:t>
            </w:r>
            <w:r w:rsidRPr="00757352">
              <w:t xml:space="preserve"> z določenimi sistemi spremljanja in upravljanja območij varstva narave</w:t>
            </w:r>
            <w:r>
              <w:t xml:space="preserve"> (1)</w:t>
            </w:r>
          </w:p>
          <w:p w14:paraId="3EE116D2" w14:textId="77777777" w:rsidR="00612312" w:rsidRDefault="00612312" w:rsidP="00612312">
            <w:pPr>
              <w:numPr>
                <w:ilvl w:val="0"/>
                <w:numId w:val="38"/>
              </w:numPr>
              <w:tabs>
                <w:tab w:val="left" w:pos="2814"/>
              </w:tabs>
              <w:spacing w:line="276" w:lineRule="auto"/>
              <w:jc w:val="both"/>
            </w:pPr>
            <w:r>
              <w:t xml:space="preserve">razvita institucionalna </w:t>
            </w:r>
            <w:r w:rsidRPr="00E66105">
              <w:t>znanstvenoraziskovalna infrastruktura</w:t>
            </w:r>
            <w:r>
              <w:t xml:space="preserve"> za zbiranje podatkov o stanju morskega okolja (1,2)</w:t>
            </w:r>
          </w:p>
          <w:p w14:paraId="5C354B42" w14:textId="77777777" w:rsidR="00612312" w:rsidRPr="0047216F" w:rsidRDefault="00612312" w:rsidP="00612312">
            <w:pPr>
              <w:numPr>
                <w:ilvl w:val="0"/>
                <w:numId w:val="38"/>
              </w:numPr>
              <w:tabs>
                <w:tab w:val="left" w:pos="2814"/>
              </w:tabs>
              <w:spacing w:line="276" w:lineRule="auto"/>
              <w:jc w:val="both"/>
            </w:pPr>
            <w:r>
              <w:t xml:space="preserve">tradicija </w:t>
            </w:r>
            <w:r w:rsidRPr="009677BE">
              <w:t>izvajanje monitoringov v morskem okolju</w:t>
            </w:r>
            <w:r w:rsidRPr="0047216F">
              <w:t xml:space="preserve"> </w:t>
            </w:r>
            <w:r>
              <w:t>(1,2)</w:t>
            </w:r>
          </w:p>
          <w:p w14:paraId="0394FC12" w14:textId="77777777" w:rsidR="00612312" w:rsidRDefault="00612312" w:rsidP="00612312">
            <w:pPr>
              <w:numPr>
                <w:ilvl w:val="0"/>
                <w:numId w:val="38"/>
              </w:numPr>
              <w:tabs>
                <w:tab w:val="left" w:pos="2814"/>
              </w:tabs>
              <w:spacing w:line="276" w:lineRule="auto"/>
              <w:jc w:val="both"/>
            </w:pPr>
            <w:r>
              <w:t xml:space="preserve">že obstoječe </w:t>
            </w:r>
            <w:r w:rsidRPr="009677BE">
              <w:t>znanje</w:t>
            </w:r>
            <w:r>
              <w:t xml:space="preserve"> o </w:t>
            </w:r>
            <w:r w:rsidRPr="009677BE">
              <w:t>met</w:t>
            </w:r>
            <w:r>
              <w:t>odologijah</w:t>
            </w:r>
            <w:r w:rsidRPr="009677BE">
              <w:t>, biolog</w:t>
            </w:r>
            <w:r>
              <w:t>iji vrst in potrebah morskega okolja (1)</w:t>
            </w:r>
          </w:p>
          <w:p w14:paraId="0596F0E5" w14:textId="77777777" w:rsidR="00612312" w:rsidRDefault="00612312" w:rsidP="00612312">
            <w:pPr>
              <w:numPr>
                <w:ilvl w:val="0"/>
                <w:numId w:val="38"/>
              </w:numPr>
              <w:tabs>
                <w:tab w:val="left" w:pos="2814"/>
              </w:tabs>
              <w:spacing w:line="276" w:lineRule="auto"/>
              <w:jc w:val="both"/>
            </w:pPr>
            <w:r w:rsidRPr="009677BE">
              <w:t xml:space="preserve">poznavanje </w:t>
            </w:r>
            <w:r>
              <w:t xml:space="preserve">problematike in določanje ciljev stanja </w:t>
            </w:r>
            <w:r w:rsidRPr="006968C6">
              <w:t>morskega okolja</w:t>
            </w:r>
            <w:r>
              <w:t xml:space="preserve"> (1)</w:t>
            </w:r>
          </w:p>
          <w:p w14:paraId="0AA43712" w14:textId="77777777" w:rsidR="00612312" w:rsidRDefault="00612312" w:rsidP="00612312">
            <w:pPr>
              <w:numPr>
                <w:ilvl w:val="0"/>
                <w:numId w:val="38"/>
              </w:numPr>
              <w:tabs>
                <w:tab w:val="left" w:pos="2814"/>
              </w:tabs>
              <w:spacing w:line="276" w:lineRule="auto"/>
              <w:jc w:val="both"/>
            </w:pPr>
            <w:r w:rsidRPr="009100CF">
              <w:t>sodelovanje RS pri različnih okoljskih regionalnih projektih</w:t>
            </w:r>
            <w:r>
              <w:t xml:space="preserve"> (1)</w:t>
            </w:r>
          </w:p>
          <w:p w14:paraId="58E151A7" w14:textId="77777777" w:rsidR="00612312" w:rsidRDefault="00612312" w:rsidP="00612312">
            <w:pPr>
              <w:numPr>
                <w:ilvl w:val="0"/>
                <w:numId w:val="38"/>
              </w:numPr>
              <w:tabs>
                <w:tab w:val="left" w:pos="2814"/>
              </w:tabs>
              <w:spacing w:line="276" w:lineRule="auto"/>
              <w:jc w:val="both"/>
            </w:pPr>
            <w:r w:rsidRPr="009677BE">
              <w:t>že vzpostavljen sis</w:t>
            </w:r>
            <w:r>
              <w:t>tem nadzora pomorskega prometa (obstoječi podatki in informacijski</w:t>
            </w:r>
            <w:r w:rsidRPr="009677BE">
              <w:t xml:space="preserve"> sistemi v zvezi </w:t>
            </w:r>
            <w:r>
              <w:t>z nadzorom za</w:t>
            </w:r>
            <w:r w:rsidRPr="009677BE">
              <w:t xml:space="preserve"> izpolnjevanje EU in mednarodnih zahtev</w:t>
            </w:r>
            <w:r>
              <w:t>) (3)</w:t>
            </w:r>
          </w:p>
          <w:p w14:paraId="570662A3" w14:textId="77777777" w:rsidR="00612312" w:rsidRDefault="00612312" w:rsidP="00612312">
            <w:pPr>
              <w:numPr>
                <w:ilvl w:val="0"/>
                <w:numId w:val="38"/>
              </w:numPr>
              <w:tabs>
                <w:tab w:val="left" w:pos="2814"/>
              </w:tabs>
              <w:spacing w:line="276" w:lineRule="auto"/>
              <w:jc w:val="both"/>
            </w:pPr>
            <w:r w:rsidRPr="009677BE">
              <w:t xml:space="preserve">sodelovanje </w:t>
            </w:r>
            <w:r>
              <w:t>različnih deležnikov (ministrstva</w:t>
            </w:r>
            <w:r w:rsidRPr="009677BE">
              <w:t>, za</w:t>
            </w:r>
            <w:r>
              <w:t>vodi, nevladne organizacije) (1,2,3)</w:t>
            </w:r>
          </w:p>
          <w:p w14:paraId="2B02E16E" w14:textId="77777777" w:rsidR="00612312" w:rsidRDefault="00612312" w:rsidP="00612312">
            <w:pPr>
              <w:numPr>
                <w:ilvl w:val="0"/>
                <w:numId w:val="38"/>
              </w:numPr>
              <w:tabs>
                <w:tab w:val="left" w:pos="2814"/>
              </w:tabs>
              <w:spacing w:line="276" w:lineRule="auto"/>
              <w:jc w:val="both"/>
            </w:pPr>
            <w:r w:rsidRPr="009677BE">
              <w:t>znanje in izkušnje iz predhodnih obdobij</w:t>
            </w:r>
            <w:r>
              <w:t xml:space="preserve"> (1)</w:t>
            </w:r>
          </w:p>
          <w:p w14:paraId="288F071D" w14:textId="77777777" w:rsidR="00612312" w:rsidRPr="009100CF" w:rsidRDefault="00612312" w:rsidP="00612312">
            <w:pPr>
              <w:numPr>
                <w:ilvl w:val="0"/>
                <w:numId w:val="38"/>
              </w:numPr>
              <w:tabs>
                <w:tab w:val="left" w:pos="2814"/>
              </w:tabs>
              <w:spacing w:line="276" w:lineRule="auto"/>
              <w:jc w:val="both"/>
            </w:pPr>
            <w:r w:rsidRPr="009677BE">
              <w:t>tradicija mednarodnega sodelovanja</w:t>
            </w:r>
            <w:r>
              <w:t xml:space="preserve"> (2)</w:t>
            </w:r>
          </w:p>
        </w:tc>
        <w:tc>
          <w:tcPr>
            <w:tcW w:w="3935" w:type="dxa"/>
            <w:vMerge w:val="restart"/>
            <w:shd w:val="clear" w:color="auto" w:fill="auto"/>
          </w:tcPr>
          <w:p w14:paraId="1210A853" w14:textId="1ABE9626" w:rsidR="00612312" w:rsidRDefault="00612312" w:rsidP="00612312">
            <w:pPr>
              <w:pStyle w:val="Brezrazmikov"/>
              <w:jc w:val="both"/>
            </w:pPr>
            <w:r>
              <w:lastRenderedPageBreak/>
              <w:t xml:space="preserve">Slovensko morje in obala sta glede na površino majhna in dokaj obremenjena z različnimi dejavnostmi in rabami. Vse rabe morja in medsebojni vplivi so opredeljeni v pomorskem prostorskem planu, ki je v pripravi. Skladno z zakonom o varstvu narave imamo v slovenskem morju različna zavarovana območja. Po podatkih Agencije Republike Slovenije za okolje (januar 2021) je trenutno v sistemu </w:t>
            </w:r>
            <w:r>
              <w:lastRenderedPageBreak/>
              <w:t xml:space="preserve">zavarovanih območij v skladu z Zakonom o ohranjanju narave zavarovanega 1,57 % slovenskega morja. V omrežje Natura 200 pa je na morju vključenega 2,53 %. Z varovanjem morja in upravljanjem teh območij se ohranja biotska raznovrstnost. Ohranjanje in izboljšanje biotske raznovrstnosti ter trajnostna oskrba z ekosistemskimi storitvami so ena od zavez Zelenega dogovora. Za zagotovitev dobrega upravljanja so potrebni stalni podatki o stanju v morju. </w:t>
            </w:r>
            <w:r w:rsidR="0014208C">
              <w:t xml:space="preserve">Izboljšanje upravljanja vseh zavarovanih območij ter pridobivanje podatkov </w:t>
            </w:r>
            <w:r>
              <w:t>vrst</w:t>
            </w:r>
            <w:r w:rsidR="0014208C">
              <w:t>ah</w:t>
            </w:r>
            <w:r>
              <w:t xml:space="preserve"> in habitatnih tip</w:t>
            </w:r>
            <w:r w:rsidR="0014208C">
              <w:t>ih</w:t>
            </w:r>
            <w:r w:rsidRPr="001F23E9">
              <w:t xml:space="preserve"> </w:t>
            </w:r>
            <w:r>
              <w:t xml:space="preserve">na morju, vezanih na Direktivo 92/43/EGS in Direktivo 2009/147/ES, je bilo prepoznano kot ključna potreba te prednostne naloge. Znanje o morju je bilo prepoznano kot pomembna prioriteta za zagotavljanje ustreznih rab morja. Omenjeni potrebi in prioriteti bosta dobili rezultate v okviru aktivnosti </w:t>
            </w:r>
            <w:r w:rsidRPr="0057426F">
              <w:t>Izvajanje monitoringov na morju v skladu z Direktivo 92/43/EGS in Direktivo 2009/147/ES</w:t>
            </w:r>
            <w:r>
              <w:t>. Izguba biotske raznovrstnosti je lahko problem tudi zaradi podnebnih sprememb. Te se čutijo tudi v slovenskem morju: višje temperature morja prinašajo izrazito prerazporeditev vrst na celotnem Sredozemskem območju. Drugi pojavi so še: š</w:t>
            </w:r>
            <w:r w:rsidRPr="008C5892">
              <w:t>irjenje tujerodnih vrst in vrst iz južnejših delov, izguba identitete obalnih mokrišč in bledenje koral</w:t>
            </w:r>
            <w:r>
              <w:t xml:space="preserve">, čeprav </w:t>
            </w:r>
            <w:r w:rsidRPr="008C5892">
              <w:t xml:space="preserve">je </w:t>
            </w:r>
            <w:r>
              <w:t xml:space="preserve">po ugotovitvah slovenskih morskih biologov </w:t>
            </w:r>
            <w:r w:rsidRPr="008C5892">
              <w:t xml:space="preserve">sredozemska kamena korala pri nas še </w:t>
            </w:r>
            <w:r w:rsidRPr="008C5892">
              <w:lastRenderedPageBreak/>
              <w:t>vedno manj ogrožena, kot drugod</w:t>
            </w:r>
            <w:r>
              <w:t xml:space="preserve"> v Jadranu.</w:t>
            </w:r>
            <w:r w:rsidRPr="008C5892">
              <w:t xml:space="preserve"> Druga pereča težava je tropikalizacija ali širjenje vrst, ki so značilne za južnejša območja. V našem morju se tako pojavljajo novi plenilci, med katerimi je vse bolj pogosta riba skakavka.</w:t>
            </w:r>
            <w:r>
              <w:t xml:space="preserve"> V </w:t>
            </w:r>
            <w:r w:rsidRPr="008C5892">
              <w:t>slovenskem morju posamezni ribiči poročajo, da se</w:t>
            </w:r>
            <w:r>
              <w:t xml:space="preserve"> pojavljajo problemi s to ribo. Nekatere zavarovane vrste, npr. leščur, izginjajo; pred časom so ga skušali rešiti </w:t>
            </w:r>
            <w:r w:rsidRPr="008C5892">
              <w:t>pred smrtonosnim zajedavcem s p</w:t>
            </w:r>
            <w:r>
              <w:t>reselitvijo v Škocjanski zatok. Zato je treba zagotoviti monitoring mehkužcev na območjih NATURA 2000 (prstaci, leščur). Kjer so bila nekatera območja NATURA 2000 na morju opredeljena kot varstveni ukrep vrste (vranjek), bo treba še naprej zagotavljati spremljanje stanje te</w:t>
            </w:r>
            <w:r w:rsidR="0014208C">
              <w:t xml:space="preserve"> vrste</w:t>
            </w:r>
            <w:r>
              <w:t xml:space="preserve">. K ohranjanju biotske raznovrstnosti bo pripomoglo tudi poznavanje stanja habitatnih tipov. Poznavanje stanja morskih sesalcev (npr. velike pliskavke), ki so izrazito migratorna vrsta, je pomembno za zagotavljanje podatkov o njihovi </w:t>
            </w:r>
            <w:r w:rsidRPr="00B142BD">
              <w:t>razširjenost</w:t>
            </w:r>
            <w:r>
              <w:t>i in razporeditvi</w:t>
            </w:r>
            <w:r w:rsidRPr="00B142BD">
              <w:t>, številčnost</w:t>
            </w:r>
            <w:r>
              <w:t>i, socialni</w:t>
            </w:r>
            <w:r w:rsidRPr="00B142BD">
              <w:t xml:space="preserve"> struktur</w:t>
            </w:r>
            <w:r>
              <w:t>i, rabi habitatov, prehranjevalnih navadah ter interakcijah</w:t>
            </w:r>
            <w:r w:rsidRPr="00B142BD">
              <w:t xml:space="preserve"> z ribištvom in vpliv</w:t>
            </w:r>
            <w:r>
              <w:t>om</w:t>
            </w:r>
            <w:r w:rsidRPr="00B142BD">
              <w:t xml:space="preserve"> turizma.</w:t>
            </w:r>
            <w:r>
              <w:t xml:space="preserve"> </w:t>
            </w:r>
            <w:r w:rsidRPr="00B142BD">
              <w:t xml:space="preserve">Morske želve so redni prebivalci Jadranskega morja in so v določenih sezonah v nekaterih predelih lahko celo zelo pogoste. </w:t>
            </w:r>
            <w:r w:rsidR="001C6CA0">
              <w:t xml:space="preserve"> </w:t>
            </w:r>
            <w:r w:rsidR="001C6CA0" w:rsidRPr="001C6CA0">
              <w:t>Glavata kareta (Caretta caretta) je migratorna vrsta v bazenu Jadransko morje, zato je za ukrepanje na področju ohranjanja in varstva le-</w:t>
            </w:r>
            <w:r w:rsidR="001C6CA0">
              <w:t xml:space="preserve">te pomemben regionalen </w:t>
            </w:r>
            <w:r w:rsidR="001C6CA0">
              <w:lastRenderedPageBreak/>
              <w:t xml:space="preserve">pristop. </w:t>
            </w:r>
            <w:r w:rsidR="001C6CA0" w:rsidRPr="001C6CA0">
              <w:t>Za učinkovit regionalni pristop v bazenu Jadransko morje pa je pomembno zagotavljanje podatkov o njihovi razširjenosti in razporeditvi, številčnosti, socialni strukturi, rabi habitatov, prehranjevalnih navadah ter interakcijah z dejavnostmi na morju, ki predstavljajo pritisk nanje, kot npr.  ribištvo (nenamerni prilov) in pomorski promet (poškodbe, pogini, nasedanje na obalo)</w:t>
            </w:r>
            <w:r w:rsidR="001C6CA0">
              <w:t xml:space="preserve">. </w:t>
            </w:r>
            <w:r w:rsidR="001C6CA0" w:rsidRPr="001C6CA0">
              <w:t xml:space="preserve"> </w:t>
            </w:r>
            <w:r w:rsidR="00DF7F1E">
              <w:t xml:space="preserve"> </w:t>
            </w:r>
            <w:r w:rsidR="00DF7F1E" w:rsidRPr="00DF7F1E">
              <w:t>Vrsta se v morskih vodah, v pristojnosti R Slovenije, zadržuje predvsem med majem in oktobrom (Lazar in Žiža, 2010; Udovič, 2013). Letna nihanja temperature morja so ključni dejavnik, ki določa sezonsko prisotnost glavate karete in zato morske vode, v pristojnosti R Slovenije, predstavljajo poletni habitat za glavate karete (Lazar in Žiža, 2010).</w:t>
            </w:r>
            <w:r w:rsidR="00DF7F1E">
              <w:t xml:space="preserve"> Izvajanje ukrepov za varstvo glavate karete je zato ključnega pomena. </w:t>
            </w:r>
            <w:r>
              <w:t>Pred leti je bil v sodelovanju s slovenskimi ribiči izvede</w:t>
            </w:r>
            <w:r w:rsidR="00DF7F1E">
              <w:t>n</w:t>
            </w:r>
            <w:r>
              <w:t xml:space="preserve"> uspešen projekt Ohranimo želvo, v okviru katerega je bilo ribičem predano znanje, kako ravnati v primeru njenega zapleta v mrežo. Podajanje tega znanja se je nadaljevalo tudi v drugih projektih, kot je bil projekt NETCET in Life Euroturtels. Poznavanje stanja te vrste, njenih prehranjevalnih navad ter interakcij z ribiči je bistvenega pomena za določanje nadaljnjih ohranitvenih ukrepov. </w:t>
            </w:r>
          </w:p>
          <w:p w14:paraId="241621E4" w14:textId="77777777" w:rsidR="00612312" w:rsidRDefault="00612312" w:rsidP="00612312">
            <w:pPr>
              <w:pStyle w:val="Brezrazmikov"/>
              <w:jc w:val="both"/>
            </w:pPr>
          </w:p>
          <w:p w14:paraId="001EE1FA" w14:textId="77777777" w:rsidR="00612312" w:rsidRPr="00651074" w:rsidRDefault="00612312" w:rsidP="00612312">
            <w:pPr>
              <w:pStyle w:val="Brezrazmikov"/>
              <w:jc w:val="both"/>
            </w:pPr>
            <w:r>
              <w:lastRenderedPageBreak/>
              <w:t xml:space="preserve">Slovenski del morja leži v severnem delu Jadrana, ki je zaprto s Tržaškim zalivom. Ne glede na to, kdo upravlja z morjem, je za zagotavljanje dobrega stanja potreben skupen, ekosistemski pristop. Poznavanje vseh rab morja, njihovih medsebojnih interakcij ter vplivov, bo zagotovil pomorski prostorski plan, ki je v pripravi. Republika Slovenija je tako prvič in na podlagi </w:t>
            </w:r>
            <w:r w:rsidRPr="00651074">
              <w:t>Direktiv</w:t>
            </w:r>
            <w:r>
              <w:t>e</w:t>
            </w:r>
            <w:r w:rsidRPr="00651074">
              <w:t xml:space="preserve"> 2014/89/EU Evropskega parlamenta in Sveta z dne 23. julija 2014 o vzpostavitvi okvira za </w:t>
            </w:r>
            <w:r>
              <w:t xml:space="preserve">pomorsko prostorsko načrtovanje pripravila celovit prostorski plan za slovensko morje. Da je treba v prihodnje zagotoviti ohranitev usklajene raznolike rabe morja in priobalnega pasu na majhnem prostoru, vzpostaviti celovit sistem spremljanja stanja in procesov na območju morja in obale, ter s tem posledično periodičnega spremljanja izvajanja Pomorskega prostorskega plana Slovenije, je pokazala tudi SWOT analiza. V okviru operativnega programa bomo omogočili </w:t>
            </w:r>
            <w:r w:rsidRPr="00651074">
              <w:t>priprav</w:t>
            </w:r>
            <w:r>
              <w:t>o</w:t>
            </w:r>
            <w:r w:rsidRPr="00651074">
              <w:t xml:space="preserve"> metodologije za spremljanje prostorskega razvoja na morju, v okviru tega pa vzpostavitev sistema za spremljanje izvajanja Pomorskega prostorskega plana Slovenije (PPP), ki bo temeljil na monitoringu kazalcev in usklajevanju z deležniki.</w:t>
            </w:r>
            <w:r>
              <w:t xml:space="preserve"> Na podlagi metodologije pa bo pripravljeno ničelno</w:t>
            </w:r>
            <w:r w:rsidRPr="00651074">
              <w:t xml:space="preserve"> </w:t>
            </w:r>
            <w:r>
              <w:t>poročilo</w:t>
            </w:r>
            <w:r w:rsidRPr="00651074">
              <w:t xml:space="preserve"> o stanju prostorskega razvoja na morju.</w:t>
            </w:r>
          </w:p>
          <w:p w14:paraId="3BCFE580" w14:textId="77777777" w:rsidR="00612312" w:rsidRDefault="00612312" w:rsidP="00612312">
            <w:pPr>
              <w:pStyle w:val="Brezrazmikov"/>
              <w:jc w:val="both"/>
            </w:pPr>
            <w:r>
              <w:t xml:space="preserve">V postopku priprave pomorskega prostorskega plana pa se je pojavila tudi potreba po raziskovanju in evidentiranju </w:t>
            </w:r>
            <w:r>
              <w:lastRenderedPageBreak/>
              <w:t>podvodne kulturne dediščine, kot prvem koraku na poti k vzpostavitvi celostnega upravljanja s podvodno kulturno dediščino v sklopu trajnostnega upravljanja z morskim okoljem. Arheološke ostaline, ki so odložene na dnu slovenskega morja ali v njegovem podtalju, so avtentičen in za mnoga obdobja poglavitni vir znanja o zgodovinskem razvoju človeštva in njegovi povezanosti z naravnim okoljem. Z znanstvenim raziskovanjem in interpretiranjem te ostaline pridobijo vrednost zaradi svojega kulturnega, vzgojnega, simbolnega, identifikacijskega in razvojnega potenciala. Kot družba jih zato štejemo za svojo podvodno kulturno dediščino (PKD) in stremimo k trajnemu ohranjanju njihove vrednosti. PKD je krhka in ranljiva, saj jo poleg naravnih dejavnikov ogrožajo vse številčnejše in obsežnejše pomorske dejavnosti. Izpovednost arheoloških ostalin je pogojena s stopnjo njihove ohranjenosti in celovitostjo arheološkega najdišča kot originalnega kraja deponiranja ostalin. Neraziskano in razdejano arheološko najdišče tako pomeni trajno in nenadomestljivo izgubo podatkov o preteklosti.</w:t>
            </w:r>
          </w:p>
          <w:p w14:paraId="31A42363" w14:textId="77777777" w:rsidR="00612312" w:rsidRDefault="00612312" w:rsidP="00612312">
            <w:pPr>
              <w:pStyle w:val="Brezrazmikov"/>
              <w:jc w:val="both"/>
            </w:pPr>
          </w:p>
          <w:p w14:paraId="00EE648F" w14:textId="2876405E" w:rsidR="00612312" w:rsidRDefault="00612312" w:rsidP="00612312">
            <w:pPr>
              <w:pStyle w:val="Brezrazmikov"/>
              <w:jc w:val="both"/>
            </w:pPr>
            <w:r>
              <w:t xml:space="preserve">Pomorski nadzor na morju je ključnega pomena za zagotavljanje varnega prometa, preprečevanja nesreč in reševanja na morju. Ena od ključnih dejavnosti celostnega upravljanja morskega okolja je povezljivost sistemov za podporo izvajanju pomorskega nadzora </w:t>
            </w:r>
            <w:r>
              <w:lastRenderedPageBreak/>
              <w:t xml:space="preserve">(CISE). Uprava RS za pomorstvo kot nacionalni organ, ki opravlja funkcije obalne straže na nacionalni ravni in na ravni Unije ter po potrebi na mednarodni ravni, je v perspektivi 2014-2020 iz ESPR pomagala pri začetku z vzpostavitvijo CISE sistema za izmenjavo podatkov. </w:t>
            </w:r>
            <w:r w:rsidRPr="002A0E12">
              <w:t xml:space="preserve">Trenutni sistem CISE je v </w:t>
            </w:r>
            <w:r w:rsidR="005059EC">
              <w:t>produkcijski</w:t>
            </w:r>
            <w:r w:rsidR="005059EC" w:rsidRPr="002A0E12">
              <w:t xml:space="preserve"> </w:t>
            </w:r>
            <w:r w:rsidRPr="002A0E12">
              <w:t>fazi. Če se bo po določenem času ugotovilo, da slabo deluje in da so potrebne nadgradnje, se bo vlagalo tudi na tem področju. Za izvajanje učinkovitega pomorskega nadzora pa se je izrazila tudi potreba po organizaciji skupnega dogodka</w:t>
            </w:r>
            <w:r w:rsidR="005059EC">
              <w:t xml:space="preserve"> (mednarodne konference)</w:t>
            </w:r>
            <w:r w:rsidRPr="002A0E12">
              <w:t xml:space="preserve"> in nakupa opreme za izboljšanje pomorskega nadzora ter opreme za nadzor nad širjenjem onesnaženja na morju. V naslednji perspektivi predlagane aktivnosti bodo prispevale k dodatnemu izboljšanju in delovanju CISE z zagotavljanjem storitev varovanja in komunikacijskih storitev, ki temeljijo na najsodobnejši tehnologiji, vključno z infrastrukturo in senzorji, nameščenimi na kateri koli vrsti platforme</w:t>
            </w:r>
            <w:r>
              <w:t xml:space="preserve">. </w:t>
            </w:r>
            <w:r w:rsidR="00296D56" w:rsidRPr="00296D56">
              <w:t>V sklopu koordinacije skupnih s</w:t>
            </w:r>
            <w:r w:rsidR="0014208C">
              <w:t>lužb na morju (policija, vojska</w:t>
            </w:r>
            <w:r w:rsidR="00296D56" w:rsidRPr="00296D56">
              <w:t xml:space="preserve">, carina, ribiška inšpekcija in Uprave RS za pomorstvo URSP), bo izdelan nabor informacij katere se bo izmenjavalo v CISE Node, ki ga izdeluje in vzdržuje EMSA. </w:t>
            </w:r>
            <w:r>
              <w:t xml:space="preserve">S povečanjem izmenjave informacij in sodelovanja na področju funkcij obalne straže se bomo lažje soočili z analizami operativnih izzivov in nastajajočimi tveganji na področju nadzora pomorstva; </w:t>
            </w:r>
            <w:r>
              <w:lastRenderedPageBreak/>
              <w:t xml:space="preserve">temu bo namenjena organizacija </w:t>
            </w:r>
            <w:r w:rsidR="00296D56">
              <w:t xml:space="preserve">mednarodne </w:t>
            </w:r>
            <w:r>
              <w:t>konference</w:t>
            </w:r>
            <w:r w:rsidR="0014208C">
              <w:t xml:space="preserve">, v kateri bodo vključeni </w:t>
            </w:r>
            <w:r w:rsidR="00FA1B16" w:rsidRPr="00FA1B16">
              <w:t>vsi deležniki Jadransko Jonske makro regije (pomorski nadzor, varovanje okolja, ribiški n</w:t>
            </w:r>
            <w:r w:rsidR="0014208C">
              <w:t>adzor, nedovoljene migracije…)</w:t>
            </w:r>
            <w:r>
              <w:t>. Konferenca po navadi poteka pod pokroviteljstvom Ministrstva za pomorstvo, države gostiteljice in, kot že v preteklosti, najpomembnejših mednarodnih, regionalnih in nacionalnih organizacij, ki delujejo na področju varovanja morskega okolja pred naključnimi dogodki. Konferenca</w:t>
            </w:r>
            <w:r w:rsidR="00296D56">
              <w:t xml:space="preserve"> bo</w:t>
            </w:r>
            <w:r>
              <w:t xml:space="preserve"> ponosno vključ</w:t>
            </w:r>
            <w:r w:rsidR="00296D56">
              <w:t>evala</w:t>
            </w:r>
            <w:r>
              <w:t xml:space="preserve"> Mednarodno pomorsko organizacijo (IMO), IMO/UNEP Regionalni center za ukrepanje ob izrednih dogodkih v Sredozemskem morju (REMPEC), Evropsko agencijo za pomorsko varnost (EMSA), Mednarodni sklad za kompenzacijo onesnaženja z nafto (IOPCF), Mednarodno organizacijo za nadzor razlitja (ISCO), Mednarodno zvezo imetnikov onesnaževalcev tankerjev (ITOPF) in Center za dokumentacijo, raziskave in eksperimentiranje o nenamernem onesnaževanju vode (Cedre). Izboljšanje pomorskega nadzora se bo obenem zagotovilo tudi z nakupom opreme. </w:t>
            </w:r>
          </w:p>
          <w:p w14:paraId="54948263" w14:textId="77777777" w:rsidR="00612312" w:rsidRDefault="00612312" w:rsidP="00612312">
            <w:pPr>
              <w:pStyle w:val="Brezrazmikov"/>
              <w:jc w:val="both"/>
            </w:pPr>
          </w:p>
          <w:p w14:paraId="605AF1E5" w14:textId="77777777" w:rsidR="00612312" w:rsidRDefault="00612312" w:rsidP="00612312">
            <w:pPr>
              <w:pStyle w:val="Brezrazmikov"/>
              <w:jc w:val="both"/>
            </w:pPr>
            <w:r>
              <w:t xml:space="preserve">Ker je v skladu z izraženimi potrebami podporo treba zagotoviti nadaljnjemu spremljanju zavarovanih območij na morju, izvajanju Direktive o habitatih in Direktive o pticah, spremljanju izvajanja pomorskega prostorskega plana ter </w:t>
            </w:r>
            <w:r>
              <w:lastRenderedPageBreak/>
              <w:t>nadaljnji krepitvi pomorskega nadzora, smo vse zgoraj omenjene aktivnosti vključili v cilj 1.4: i</w:t>
            </w:r>
            <w:r w:rsidRPr="00E304E3">
              <w:t>ntervencije, ki prispevajo h krepitvi trajnostnega upravljanja morij in oceanov s promocijo znanja o morju, pomorskega nadzora ali sodelovanja obalnih straž.</w:t>
            </w:r>
          </w:p>
          <w:p w14:paraId="1BFED302" w14:textId="6833830D" w:rsidR="00612312" w:rsidRPr="009677BE" w:rsidRDefault="00612312" w:rsidP="00612312">
            <w:pPr>
              <w:pStyle w:val="Brezrazmikov"/>
              <w:jc w:val="both"/>
            </w:pPr>
            <w:r>
              <w:t>Poznavanje stanja vrst in habitatnih tipov Natura 2000, na območjih Natura 2000, kot tudi izven njih, ter pritiskov nanje bo pripomoglo k izboljšanem</w:t>
            </w:r>
            <w:r w:rsidR="0014208C">
              <w:t>u</w:t>
            </w:r>
            <w:r>
              <w:t xml:space="preserve"> upravljanju območij Natura 2000 in zavarovanih območij v skladu s Strategijo EU za biotsko raznovrstnost do leta 2030. K temu bodo pripomogli tudi predvideni ukrepi za varstvo območij Natura 2000 in za varstvo zavarovanih območij. Skupno z ukrepi pomorskega prostorskega načrtovanja in pomorskega nadzora na morju pa se bo omogočilo tudi opredeljevanje in izvajanje drugih ohranitvenih ukrepov, predvidenih v Strategiji in s tem, ob upoštevanju nacionalnih okoliščin, prispevalo k skupnim zadanim ciljem vzpostavitve skladnega omrežja zavarovanih območij Strategije EU za biotsko raznovrstnost do leta 2030, na ravni EU.</w:t>
            </w:r>
          </w:p>
        </w:tc>
      </w:tr>
      <w:tr w:rsidR="00612312" w:rsidRPr="00F700CD" w14:paraId="079BE644" w14:textId="77777777" w:rsidTr="00612312">
        <w:trPr>
          <w:trHeight w:val="20"/>
        </w:trPr>
        <w:tc>
          <w:tcPr>
            <w:tcW w:w="2830" w:type="dxa"/>
            <w:vMerge/>
            <w:shd w:val="clear" w:color="auto" w:fill="auto"/>
          </w:tcPr>
          <w:p w14:paraId="67ADDBCB" w14:textId="77777777" w:rsidR="00612312" w:rsidRPr="009677BE" w:rsidRDefault="00612312" w:rsidP="00612312">
            <w:pPr>
              <w:widowControl w:val="0"/>
              <w:pBdr>
                <w:top w:val="nil"/>
                <w:left w:val="nil"/>
                <w:bottom w:val="nil"/>
                <w:right w:val="nil"/>
                <w:between w:val="nil"/>
              </w:pBdr>
            </w:pPr>
          </w:p>
        </w:tc>
        <w:tc>
          <w:tcPr>
            <w:tcW w:w="1985" w:type="dxa"/>
            <w:vMerge/>
            <w:shd w:val="clear" w:color="auto" w:fill="auto"/>
          </w:tcPr>
          <w:p w14:paraId="13D5DCC1" w14:textId="77777777" w:rsidR="00612312" w:rsidRPr="009677BE" w:rsidRDefault="00612312" w:rsidP="00612312">
            <w:pPr>
              <w:widowControl w:val="0"/>
              <w:pBdr>
                <w:top w:val="nil"/>
                <w:left w:val="nil"/>
                <w:bottom w:val="nil"/>
                <w:right w:val="nil"/>
                <w:between w:val="nil"/>
              </w:pBdr>
            </w:pPr>
          </w:p>
        </w:tc>
        <w:tc>
          <w:tcPr>
            <w:tcW w:w="5245" w:type="dxa"/>
            <w:shd w:val="clear" w:color="auto" w:fill="auto"/>
          </w:tcPr>
          <w:p w14:paraId="0E82A212" w14:textId="77777777" w:rsidR="00612312" w:rsidRDefault="00612312" w:rsidP="00612312">
            <w:pPr>
              <w:tabs>
                <w:tab w:val="left" w:pos="2814"/>
              </w:tabs>
              <w:rPr>
                <w:b/>
              </w:rPr>
            </w:pPr>
            <w:r>
              <w:rPr>
                <w:b/>
              </w:rPr>
              <w:t>Slabosti</w:t>
            </w:r>
          </w:p>
          <w:p w14:paraId="44904ABB" w14:textId="1C674044" w:rsidR="00612312" w:rsidRDefault="00612312" w:rsidP="00612312">
            <w:pPr>
              <w:pStyle w:val="Odstavekseznama"/>
              <w:numPr>
                <w:ilvl w:val="0"/>
                <w:numId w:val="39"/>
              </w:numPr>
              <w:tabs>
                <w:tab w:val="left" w:pos="2814"/>
              </w:tabs>
              <w:jc w:val="both"/>
            </w:pPr>
            <w:r w:rsidRPr="0000311D">
              <w:lastRenderedPageBreak/>
              <w:t xml:space="preserve">nekateri vidiki morskih ekosistemov so </w:t>
            </w:r>
            <w:r>
              <w:t xml:space="preserve">še vedno </w:t>
            </w:r>
            <w:r w:rsidRPr="0000311D">
              <w:t>slabo raziskani</w:t>
            </w:r>
            <w:r>
              <w:t xml:space="preserve"> (1)</w:t>
            </w:r>
          </w:p>
          <w:p w14:paraId="6E8FB8A1" w14:textId="77777777" w:rsidR="00612312" w:rsidRPr="0000311D" w:rsidRDefault="00612312" w:rsidP="00612312">
            <w:pPr>
              <w:pStyle w:val="Odstavekseznama"/>
              <w:numPr>
                <w:ilvl w:val="0"/>
                <w:numId w:val="39"/>
              </w:numPr>
              <w:tabs>
                <w:tab w:val="left" w:pos="2814"/>
              </w:tabs>
              <w:jc w:val="both"/>
            </w:pPr>
            <w:r w:rsidRPr="0000311D">
              <w:t>pomanjkanje skupnih zbirk podatkov v subregiji glede na različne rabe morskega okolja</w:t>
            </w:r>
            <w:r>
              <w:t xml:space="preserve"> (1,2)</w:t>
            </w:r>
          </w:p>
          <w:p w14:paraId="1AAAEA62" w14:textId="77777777" w:rsidR="00612312" w:rsidRPr="0000311D" w:rsidRDefault="00612312" w:rsidP="00612312">
            <w:pPr>
              <w:pStyle w:val="Odstavekseznama"/>
              <w:numPr>
                <w:ilvl w:val="0"/>
                <w:numId w:val="39"/>
              </w:numPr>
              <w:tabs>
                <w:tab w:val="left" w:pos="2814"/>
              </w:tabs>
              <w:jc w:val="both"/>
            </w:pPr>
            <w:r w:rsidRPr="00FD245D">
              <w:t>neizmenjava podatkov na makro</w:t>
            </w:r>
            <w:r>
              <w:t xml:space="preserve"> </w:t>
            </w:r>
            <w:r w:rsidRPr="00FD245D">
              <w:t>regionalnem nivoju</w:t>
            </w:r>
            <w:r>
              <w:t xml:space="preserve"> (2)</w:t>
            </w:r>
          </w:p>
          <w:p w14:paraId="29EE68AD" w14:textId="77777777" w:rsidR="00612312" w:rsidRPr="009677BE" w:rsidRDefault="00612312" w:rsidP="00612312">
            <w:pPr>
              <w:pStyle w:val="Odstavekseznama"/>
              <w:numPr>
                <w:ilvl w:val="0"/>
                <w:numId w:val="39"/>
              </w:numPr>
              <w:tabs>
                <w:tab w:val="left" w:pos="2814"/>
              </w:tabs>
              <w:jc w:val="both"/>
            </w:pPr>
            <w:r>
              <w:t xml:space="preserve">časovna omejenost </w:t>
            </w:r>
            <w:r w:rsidRPr="009677BE">
              <w:t xml:space="preserve"> </w:t>
            </w:r>
            <w:r>
              <w:t>raziskav – ni kontinuitete (2)</w:t>
            </w:r>
          </w:p>
          <w:p w14:paraId="3A327BBB" w14:textId="77777777" w:rsidR="00612312" w:rsidRPr="009677BE" w:rsidRDefault="00612312" w:rsidP="00612312">
            <w:pPr>
              <w:pStyle w:val="Odstavekseznama"/>
              <w:numPr>
                <w:ilvl w:val="0"/>
                <w:numId w:val="39"/>
              </w:numPr>
              <w:tabs>
                <w:tab w:val="left" w:pos="2814"/>
              </w:tabs>
              <w:jc w:val="both"/>
            </w:pPr>
            <w:r>
              <w:t xml:space="preserve">nezadostna </w:t>
            </w:r>
            <w:r w:rsidRPr="009677BE">
              <w:t>informacijska podpora</w:t>
            </w:r>
            <w:r>
              <w:t xml:space="preserve"> (2)</w:t>
            </w:r>
          </w:p>
          <w:p w14:paraId="3DC18854" w14:textId="77777777" w:rsidR="00612312" w:rsidRPr="005E73A9" w:rsidRDefault="00612312" w:rsidP="00612312">
            <w:pPr>
              <w:pStyle w:val="Odstavekseznama"/>
              <w:numPr>
                <w:ilvl w:val="0"/>
                <w:numId w:val="39"/>
              </w:numPr>
              <w:tabs>
                <w:tab w:val="left" w:pos="2814"/>
              </w:tabs>
              <w:jc w:val="both"/>
            </w:pPr>
            <w:r w:rsidRPr="005E73A9">
              <w:t>relativno omejene prostorske možnosti, parcialna neskladja med rabami</w:t>
            </w:r>
            <w:r>
              <w:t xml:space="preserve"> (2)</w:t>
            </w:r>
          </w:p>
          <w:p w14:paraId="4497DEB9" w14:textId="77777777" w:rsidR="00612312" w:rsidRDefault="00612312" w:rsidP="00612312">
            <w:pPr>
              <w:pStyle w:val="Odstavekseznama"/>
              <w:numPr>
                <w:ilvl w:val="0"/>
                <w:numId w:val="39"/>
              </w:numPr>
              <w:tabs>
                <w:tab w:val="left" w:pos="2814"/>
              </w:tabs>
              <w:jc w:val="both"/>
            </w:pPr>
            <w:r w:rsidRPr="005E73A9">
              <w:t>velik spekter vseh uporabnikov morja in posledično potreba po različnih prilagoditvah</w:t>
            </w:r>
            <w:r>
              <w:t xml:space="preserve"> (2)</w:t>
            </w:r>
          </w:p>
          <w:p w14:paraId="114841BE" w14:textId="77777777" w:rsidR="00612312" w:rsidRPr="00107D66" w:rsidRDefault="00612312" w:rsidP="00612312">
            <w:pPr>
              <w:pStyle w:val="Odstavekseznama"/>
              <w:numPr>
                <w:ilvl w:val="0"/>
                <w:numId w:val="39"/>
              </w:numPr>
              <w:tabs>
                <w:tab w:val="left" w:pos="2814"/>
              </w:tabs>
              <w:jc w:val="both"/>
            </w:pPr>
            <w:r>
              <w:t>konflikti med različnimi rabami (pomorski promet</w:t>
            </w:r>
            <w:r w:rsidRPr="005E73A9">
              <w:t xml:space="preserve">, sidranje, </w:t>
            </w:r>
            <w:r>
              <w:t xml:space="preserve">pridneni </w:t>
            </w:r>
            <w:r w:rsidRPr="005E73A9">
              <w:t>ribolov</w:t>
            </w:r>
            <w:r>
              <w:t>, turizem, itd.) in varstvom (narava in kulturna dediščina) zaradi omejene velikosti območja (2)</w:t>
            </w:r>
          </w:p>
          <w:p w14:paraId="1C0EC408" w14:textId="77777777" w:rsidR="00612312" w:rsidRDefault="00612312" w:rsidP="00612312">
            <w:pPr>
              <w:numPr>
                <w:ilvl w:val="0"/>
                <w:numId w:val="39"/>
              </w:numPr>
              <w:tabs>
                <w:tab w:val="left" w:pos="2814"/>
              </w:tabs>
              <w:spacing w:line="276" w:lineRule="auto"/>
              <w:jc w:val="both"/>
            </w:pPr>
            <w:r w:rsidRPr="00C15F77">
              <w:t>ni vzpostavljen</w:t>
            </w:r>
            <w:r>
              <w:t xml:space="preserve">ega </w:t>
            </w:r>
            <w:r w:rsidRPr="00C15F77">
              <w:t>celovit</w:t>
            </w:r>
            <w:r>
              <w:t xml:space="preserve">ega sistema </w:t>
            </w:r>
            <w:r w:rsidRPr="00C15F77">
              <w:t>spremljanja dejavnosti na morju (spremlja se deskriptorje NUMO, resorji spremljajo dejavnosti iz svojih pristojnosti)</w:t>
            </w:r>
            <w:r>
              <w:t xml:space="preserve"> (2)</w:t>
            </w:r>
          </w:p>
          <w:p w14:paraId="7D832E9C" w14:textId="77777777" w:rsidR="00612312" w:rsidRDefault="00612312" w:rsidP="00612312">
            <w:pPr>
              <w:numPr>
                <w:ilvl w:val="0"/>
                <w:numId w:val="39"/>
              </w:numPr>
              <w:tabs>
                <w:tab w:val="left" w:pos="2814"/>
              </w:tabs>
              <w:spacing w:line="276" w:lineRule="auto"/>
              <w:jc w:val="both"/>
            </w:pPr>
            <w:r>
              <w:t>podvodna kulturna dediščina je izpostavljena in ogrožena ter podvržena nenadzorovanemu intenzivnemu uničevanju s strani tovornega pomorskega</w:t>
            </w:r>
            <w:r w:rsidRPr="00352176">
              <w:t xml:space="preserve"> promet</w:t>
            </w:r>
            <w:r>
              <w:t xml:space="preserve">a </w:t>
            </w:r>
            <w:r w:rsidRPr="00352176">
              <w:t>(gradnja pristaniške infrastrukture, poglabljanje plovnih poti, si</w:t>
            </w:r>
            <w:r>
              <w:t>dranje tovornih ladij) in ribištva (uporaba</w:t>
            </w:r>
            <w:r w:rsidRPr="00922F6C">
              <w:t xml:space="preserve"> pridnenih vlečnih mrež in drugih ribolovnih orodij, ki invazivno vplivajo na morsko dno</w:t>
            </w:r>
            <w:r>
              <w:t xml:space="preserve">), ter poškodbam  zaradi sidranja manjših plovil in nenadzorovanega in nedovoljenega odnašanja premičnih </w:t>
            </w:r>
            <w:r>
              <w:lastRenderedPageBreak/>
              <w:t>arheoloških ostalin/predmetov kulturne dediščine (2)</w:t>
            </w:r>
          </w:p>
          <w:p w14:paraId="2CA0105B" w14:textId="77777777" w:rsidR="00612312" w:rsidRPr="002F3943" w:rsidRDefault="00612312" w:rsidP="00612312">
            <w:pPr>
              <w:pStyle w:val="Odstavekseznama"/>
              <w:numPr>
                <w:ilvl w:val="0"/>
                <w:numId w:val="39"/>
              </w:numPr>
              <w:tabs>
                <w:tab w:val="left" w:pos="2814"/>
              </w:tabs>
              <w:jc w:val="both"/>
            </w:pPr>
            <w:r w:rsidRPr="009677BE">
              <w:t xml:space="preserve">slabša pripravljenost za sodelovanje med različnimi deležniki </w:t>
            </w:r>
            <w:r>
              <w:t xml:space="preserve">na morju </w:t>
            </w:r>
            <w:r w:rsidRPr="009677BE">
              <w:t>(policija, vojska</w:t>
            </w:r>
            <w:r>
              <w:t>) (3)</w:t>
            </w:r>
          </w:p>
        </w:tc>
        <w:tc>
          <w:tcPr>
            <w:tcW w:w="3935" w:type="dxa"/>
            <w:vMerge/>
            <w:shd w:val="clear" w:color="auto" w:fill="auto"/>
          </w:tcPr>
          <w:p w14:paraId="13A04C4D" w14:textId="77777777" w:rsidR="00612312" w:rsidRPr="009677BE" w:rsidRDefault="00612312" w:rsidP="00612312">
            <w:pPr>
              <w:widowControl w:val="0"/>
              <w:pBdr>
                <w:top w:val="nil"/>
                <w:left w:val="nil"/>
                <w:bottom w:val="nil"/>
                <w:right w:val="nil"/>
                <w:between w:val="nil"/>
              </w:pBdr>
            </w:pPr>
          </w:p>
        </w:tc>
      </w:tr>
      <w:tr w:rsidR="00612312" w:rsidRPr="00F700CD" w14:paraId="57D7629F" w14:textId="77777777" w:rsidTr="00612312">
        <w:trPr>
          <w:trHeight w:val="20"/>
        </w:trPr>
        <w:tc>
          <w:tcPr>
            <w:tcW w:w="2830" w:type="dxa"/>
            <w:vMerge/>
            <w:shd w:val="clear" w:color="auto" w:fill="auto"/>
          </w:tcPr>
          <w:p w14:paraId="02DD6C57" w14:textId="77777777" w:rsidR="00612312" w:rsidRPr="009677BE" w:rsidRDefault="00612312" w:rsidP="00612312">
            <w:pPr>
              <w:widowControl w:val="0"/>
              <w:pBdr>
                <w:top w:val="nil"/>
                <w:left w:val="nil"/>
                <w:bottom w:val="nil"/>
                <w:right w:val="nil"/>
                <w:between w:val="nil"/>
              </w:pBdr>
            </w:pPr>
          </w:p>
        </w:tc>
        <w:tc>
          <w:tcPr>
            <w:tcW w:w="1985" w:type="dxa"/>
            <w:vMerge/>
            <w:shd w:val="clear" w:color="auto" w:fill="auto"/>
          </w:tcPr>
          <w:p w14:paraId="0391EA79" w14:textId="77777777" w:rsidR="00612312" w:rsidRPr="009677BE" w:rsidRDefault="00612312" w:rsidP="00612312">
            <w:pPr>
              <w:widowControl w:val="0"/>
              <w:pBdr>
                <w:top w:val="nil"/>
                <w:left w:val="nil"/>
                <w:bottom w:val="nil"/>
                <w:right w:val="nil"/>
                <w:between w:val="nil"/>
              </w:pBdr>
            </w:pPr>
          </w:p>
        </w:tc>
        <w:tc>
          <w:tcPr>
            <w:tcW w:w="5245" w:type="dxa"/>
            <w:shd w:val="clear" w:color="auto" w:fill="auto"/>
          </w:tcPr>
          <w:p w14:paraId="0FDCE586" w14:textId="77777777" w:rsidR="00612312" w:rsidRDefault="00612312" w:rsidP="00612312">
            <w:pPr>
              <w:tabs>
                <w:tab w:val="left" w:pos="2814"/>
              </w:tabs>
              <w:rPr>
                <w:b/>
              </w:rPr>
            </w:pPr>
            <w:r w:rsidRPr="00A85393">
              <w:rPr>
                <w:b/>
              </w:rPr>
              <w:t>Priložnosti</w:t>
            </w:r>
          </w:p>
          <w:p w14:paraId="285E0DAE" w14:textId="65C39662" w:rsidR="00612312" w:rsidRDefault="00612312" w:rsidP="00612312">
            <w:pPr>
              <w:pStyle w:val="Odstavekseznama"/>
              <w:numPr>
                <w:ilvl w:val="0"/>
                <w:numId w:val="40"/>
              </w:numPr>
              <w:tabs>
                <w:tab w:val="left" w:pos="2814"/>
              </w:tabs>
              <w:jc w:val="both"/>
            </w:pPr>
            <w:r w:rsidRPr="0047216F">
              <w:t>raznovrstnost</w:t>
            </w:r>
            <w:r>
              <w:t xml:space="preserve"> habitatov in vodnih organizmov v severnem delu</w:t>
            </w:r>
            <w:r w:rsidRPr="0047216F">
              <w:t xml:space="preserve"> Jadranskega morja</w:t>
            </w:r>
            <w:r>
              <w:t xml:space="preserve"> (1)</w:t>
            </w:r>
          </w:p>
          <w:p w14:paraId="3B3F85CB" w14:textId="77777777" w:rsidR="00612312" w:rsidRPr="002F3943" w:rsidRDefault="00612312" w:rsidP="00612312">
            <w:pPr>
              <w:pStyle w:val="Odstavekseznama"/>
              <w:numPr>
                <w:ilvl w:val="0"/>
                <w:numId w:val="40"/>
              </w:numPr>
              <w:tabs>
                <w:tab w:val="left" w:pos="2814"/>
              </w:tabs>
              <w:jc w:val="both"/>
              <w:rPr>
                <w:b/>
              </w:rPr>
            </w:pPr>
            <w:r w:rsidRPr="009100CF">
              <w:t>občutljivost javnosti na stanje morskega okolja</w:t>
            </w:r>
            <w:r>
              <w:t xml:space="preserve"> (1,2)</w:t>
            </w:r>
          </w:p>
          <w:p w14:paraId="0EFC9A13" w14:textId="77777777" w:rsidR="00612312" w:rsidRPr="001030E4" w:rsidRDefault="00612312" w:rsidP="00612312">
            <w:pPr>
              <w:pStyle w:val="Odstavekseznama"/>
              <w:numPr>
                <w:ilvl w:val="0"/>
                <w:numId w:val="40"/>
              </w:numPr>
              <w:tabs>
                <w:tab w:val="left" w:pos="2814"/>
              </w:tabs>
              <w:jc w:val="both"/>
            </w:pPr>
            <w:r w:rsidRPr="00A85393">
              <w:t>raziskovalni potencial znanstvenih institucij</w:t>
            </w:r>
            <w:r>
              <w:t>: razvoj novih tehnologij (1,2)</w:t>
            </w:r>
          </w:p>
          <w:p w14:paraId="0BAF741E" w14:textId="77777777" w:rsidR="00612312" w:rsidRDefault="00612312" w:rsidP="00612312">
            <w:pPr>
              <w:pStyle w:val="Odstavekseznama"/>
              <w:numPr>
                <w:ilvl w:val="0"/>
                <w:numId w:val="40"/>
              </w:numPr>
              <w:tabs>
                <w:tab w:val="left" w:pos="2814"/>
              </w:tabs>
              <w:jc w:val="both"/>
            </w:pPr>
            <w:r>
              <w:t>raziskovanje vplivov</w:t>
            </w:r>
            <w:r w:rsidRPr="009677BE">
              <w:t xml:space="preserve"> podnebn</w:t>
            </w:r>
            <w:r>
              <w:t>ih</w:t>
            </w:r>
            <w:r w:rsidRPr="009677BE">
              <w:t xml:space="preserve"> sprememb</w:t>
            </w:r>
            <w:r>
              <w:t xml:space="preserve"> na morsko okolje in prilagajanje nanje (1,2)</w:t>
            </w:r>
          </w:p>
          <w:p w14:paraId="650652A0" w14:textId="77777777" w:rsidR="00612312" w:rsidRDefault="00612312" w:rsidP="00612312">
            <w:pPr>
              <w:pStyle w:val="Odstavekseznama"/>
              <w:numPr>
                <w:ilvl w:val="0"/>
                <w:numId w:val="40"/>
              </w:numPr>
              <w:tabs>
                <w:tab w:val="left" w:pos="2814"/>
              </w:tabs>
              <w:jc w:val="both"/>
            </w:pPr>
            <w:r>
              <w:t xml:space="preserve">zavedanje in ozaveščanje širše javnosti </w:t>
            </w:r>
            <w:r w:rsidRPr="009677BE">
              <w:t>o var</w:t>
            </w:r>
            <w:r>
              <w:t>ovanju morskega</w:t>
            </w:r>
            <w:r w:rsidRPr="009677BE">
              <w:t xml:space="preserve"> </w:t>
            </w:r>
            <w:r>
              <w:t>okolja (1,2)</w:t>
            </w:r>
          </w:p>
          <w:p w14:paraId="3E9CB903" w14:textId="77777777" w:rsidR="00612312" w:rsidRDefault="00612312" w:rsidP="00612312">
            <w:pPr>
              <w:numPr>
                <w:ilvl w:val="0"/>
                <w:numId w:val="41"/>
              </w:numPr>
              <w:tabs>
                <w:tab w:val="left" w:pos="2814"/>
              </w:tabs>
              <w:spacing w:line="276" w:lineRule="auto"/>
              <w:jc w:val="both"/>
            </w:pPr>
            <w:r>
              <w:t>politična usmeritev Evropske komisije: Zeleni dogovor za Evropo (1)</w:t>
            </w:r>
          </w:p>
          <w:p w14:paraId="1D728FB8" w14:textId="77777777" w:rsidR="00612312" w:rsidRPr="009100CF" w:rsidRDefault="00612312" w:rsidP="00612312">
            <w:pPr>
              <w:numPr>
                <w:ilvl w:val="0"/>
                <w:numId w:val="41"/>
              </w:numPr>
              <w:tabs>
                <w:tab w:val="left" w:pos="2814"/>
              </w:tabs>
              <w:spacing w:line="276" w:lineRule="auto"/>
              <w:jc w:val="both"/>
            </w:pPr>
            <w:r w:rsidRPr="00176EFE">
              <w:t>vpetost v evro-sredozemsko regijo</w:t>
            </w:r>
            <w:r>
              <w:t xml:space="preserve"> (2)</w:t>
            </w:r>
          </w:p>
        </w:tc>
        <w:tc>
          <w:tcPr>
            <w:tcW w:w="3935" w:type="dxa"/>
            <w:vMerge/>
            <w:shd w:val="clear" w:color="auto" w:fill="auto"/>
          </w:tcPr>
          <w:p w14:paraId="4F004156" w14:textId="77777777" w:rsidR="00612312" w:rsidRPr="009677BE" w:rsidRDefault="00612312" w:rsidP="00612312">
            <w:pPr>
              <w:widowControl w:val="0"/>
              <w:pBdr>
                <w:top w:val="nil"/>
                <w:left w:val="nil"/>
                <w:bottom w:val="nil"/>
                <w:right w:val="nil"/>
                <w:between w:val="nil"/>
              </w:pBdr>
            </w:pPr>
          </w:p>
        </w:tc>
      </w:tr>
      <w:tr w:rsidR="00612312" w:rsidRPr="00F700CD" w14:paraId="6744C831" w14:textId="77777777" w:rsidTr="00612312">
        <w:trPr>
          <w:trHeight w:val="20"/>
        </w:trPr>
        <w:tc>
          <w:tcPr>
            <w:tcW w:w="2830" w:type="dxa"/>
            <w:vMerge/>
            <w:shd w:val="clear" w:color="auto" w:fill="auto"/>
          </w:tcPr>
          <w:p w14:paraId="7CEF5A8E" w14:textId="77777777" w:rsidR="00612312" w:rsidRPr="009677BE" w:rsidRDefault="00612312" w:rsidP="00612312">
            <w:pPr>
              <w:widowControl w:val="0"/>
              <w:pBdr>
                <w:top w:val="nil"/>
                <w:left w:val="nil"/>
                <w:bottom w:val="nil"/>
                <w:right w:val="nil"/>
                <w:between w:val="nil"/>
              </w:pBdr>
            </w:pPr>
          </w:p>
        </w:tc>
        <w:tc>
          <w:tcPr>
            <w:tcW w:w="1985" w:type="dxa"/>
            <w:vMerge/>
            <w:shd w:val="clear" w:color="auto" w:fill="auto"/>
          </w:tcPr>
          <w:p w14:paraId="0571EFE7" w14:textId="77777777" w:rsidR="00612312" w:rsidRPr="009677BE" w:rsidRDefault="00612312" w:rsidP="00612312">
            <w:pPr>
              <w:widowControl w:val="0"/>
              <w:pBdr>
                <w:top w:val="nil"/>
                <w:left w:val="nil"/>
                <w:bottom w:val="nil"/>
                <w:right w:val="nil"/>
                <w:between w:val="nil"/>
              </w:pBdr>
            </w:pPr>
          </w:p>
        </w:tc>
        <w:tc>
          <w:tcPr>
            <w:tcW w:w="5245" w:type="dxa"/>
            <w:shd w:val="clear" w:color="auto" w:fill="auto"/>
          </w:tcPr>
          <w:p w14:paraId="7F0D1D32" w14:textId="77777777" w:rsidR="00612312" w:rsidRPr="00A85393" w:rsidRDefault="00612312" w:rsidP="00612312">
            <w:pPr>
              <w:tabs>
                <w:tab w:val="left" w:pos="2814"/>
              </w:tabs>
              <w:rPr>
                <w:b/>
              </w:rPr>
            </w:pPr>
            <w:r w:rsidRPr="00A85393">
              <w:rPr>
                <w:b/>
              </w:rPr>
              <w:t>Nevarnosti</w:t>
            </w:r>
          </w:p>
          <w:p w14:paraId="352614C8" w14:textId="77777777" w:rsidR="00612312" w:rsidRPr="00AB29CC" w:rsidRDefault="00612312" w:rsidP="00612312">
            <w:pPr>
              <w:numPr>
                <w:ilvl w:val="0"/>
                <w:numId w:val="42"/>
              </w:numPr>
              <w:tabs>
                <w:tab w:val="left" w:pos="2814"/>
              </w:tabs>
              <w:spacing w:line="276" w:lineRule="auto"/>
              <w:jc w:val="both"/>
            </w:pPr>
            <w:r w:rsidRPr="00AB29CC">
              <w:t>prostorska omejenost razvojnih možnosti morskega bazena in priobalnega pasu</w:t>
            </w:r>
            <w:r>
              <w:t xml:space="preserve"> (2)</w:t>
            </w:r>
          </w:p>
          <w:p w14:paraId="10F7FBD3" w14:textId="77777777" w:rsidR="00612312" w:rsidRPr="009677BE" w:rsidRDefault="00612312" w:rsidP="00612312">
            <w:pPr>
              <w:numPr>
                <w:ilvl w:val="0"/>
                <w:numId w:val="42"/>
              </w:numPr>
              <w:tabs>
                <w:tab w:val="left" w:pos="2814"/>
              </w:tabs>
              <w:spacing w:line="276" w:lineRule="auto"/>
              <w:jc w:val="both"/>
            </w:pPr>
            <w:r w:rsidRPr="009677BE">
              <w:t xml:space="preserve">navzkrižje </w:t>
            </w:r>
            <w:r>
              <w:t xml:space="preserve">različnih </w:t>
            </w:r>
            <w:r w:rsidRPr="009677BE">
              <w:t>interesov</w:t>
            </w:r>
            <w:r>
              <w:t xml:space="preserve"> (2)</w:t>
            </w:r>
          </w:p>
          <w:p w14:paraId="148485DA" w14:textId="77777777" w:rsidR="00612312" w:rsidRPr="00C84657" w:rsidRDefault="00612312" w:rsidP="00612312">
            <w:pPr>
              <w:numPr>
                <w:ilvl w:val="0"/>
                <w:numId w:val="42"/>
              </w:numPr>
              <w:tabs>
                <w:tab w:val="left" w:pos="2814"/>
              </w:tabs>
              <w:spacing w:line="276" w:lineRule="auto"/>
              <w:jc w:val="both"/>
            </w:pPr>
            <w:r w:rsidRPr="005E73A9">
              <w:t>pomorski promet in pristaniške dejavnosti povzr</w:t>
            </w:r>
            <w:r>
              <w:t>očajo negativne vplive na morsko okolje (1,3)</w:t>
            </w:r>
          </w:p>
          <w:p w14:paraId="3B0FB883" w14:textId="77777777" w:rsidR="00612312" w:rsidRPr="009677BE" w:rsidRDefault="00612312" w:rsidP="00612312">
            <w:pPr>
              <w:numPr>
                <w:ilvl w:val="0"/>
                <w:numId w:val="42"/>
              </w:numPr>
              <w:tabs>
                <w:tab w:val="left" w:pos="2814"/>
              </w:tabs>
              <w:spacing w:line="276" w:lineRule="auto"/>
              <w:jc w:val="both"/>
            </w:pPr>
            <w:r>
              <w:t>odpadki (vključno z mikro odpadki) (3)</w:t>
            </w:r>
          </w:p>
          <w:p w14:paraId="65265BE5" w14:textId="77777777" w:rsidR="00612312" w:rsidRDefault="00612312" w:rsidP="00612312">
            <w:pPr>
              <w:numPr>
                <w:ilvl w:val="0"/>
                <w:numId w:val="42"/>
              </w:numPr>
              <w:tabs>
                <w:tab w:val="left" w:pos="2814"/>
              </w:tabs>
              <w:spacing w:line="276" w:lineRule="auto"/>
              <w:jc w:val="both"/>
            </w:pPr>
            <w:r>
              <w:t>onesnaženje  z različnimi  onesnaževali  in emisijami (3)</w:t>
            </w:r>
          </w:p>
          <w:p w14:paraId="0BA04606" w14:textId="77777777" w:rsidR="00612312" w:rsidRPr="009677BE" w:rsidRDefault="00612312" w:rsidP="00612312">
            <w:pPr>
              <w:numPr>
                <w:ilvl w:val="0"/>
                <w:numId w:val="42"/>
              </w:numPr>
              <w:tabs>
                <w:tab w:val="left" w:pos="2814"/>
              </w:tabs>
              <w:spacing w:line="276" w:lineRule="auto"/>
              <w:jc w:val="both"/>
            </w:pPr>
            <w:r>
              <w:t>vnos in širjenje invazivnih tujerodnih vrst (1,3)</w:t>
            </w:r>
          </w:p>
          <w:p w14:paraId="1EAB01E3" w14:textId="77777777" w:rsidR="00612312" w:rsidRPr="009677BE" w:rsidRDefault="00612312" w:rsidP="00612312">
            <w:pPr>
              <w:numPr>
                <w:ilvl w:val="0"/>
                <w:numId w:val="42"/>
              </w:numPr>
              <w:tabs>
                <w:tab w:val="left" w:pos="2814"/>
              </w:tabs>
              <w:spacing w:line="276" w:lineRule="auto"/>
              <w:jc w:val="both"/>
            </w:pPr>
            <w:r>
              <w:lastRenderedPageBreak/>
              <w:t xml:space="preserve">negativen </w:t>
            </w:r>
            <w:r w:rsidRPr="009677BE">
              <w:t>vpliv turizma na biotsko raznovrstnost</w:t>
            </w:r>
            <w:r>
              <w:t xml:space="preserve"> (1)</w:t>
            </w:r>
          </w:p>
          <w:p w14:paraId="217433AA" w14:textId="77777777" w:rsidR="00612312" w:rsidRPr="009677BE" w:rsidRDefault="00612312" w:rsidP="00612312">
            <w:pPr>
              <w:numPr>
                <w:ilvl w:val="0"/>
                <w:numId w:val="42"/>
              </w:numPr>
              <w:tabs>
                <w:tab w:val="left" w:pos="2814"/>
              </w:tabs>
              <w:spacing w:line="276" w:lineRule="auto"/>
              <w:jc w:val="both"/>
            </w:pPr>
            <w:r>
              <w:t>podnebne</w:t>
            </w:r>
            <w:r w:rsidRPr="009677BE">
              <w:t xml:space="preserve"> spremembe</w:t>
            </w:r>
            <w:r>
              <w:t xml:space="preserve">: </w:t>
            </w:r>
            <w:r w:rsidRPr="00AB29CC">
              <w:t>ekstremni vremenski pojavi, zakisanje, dvig temperature, vse pogostejši in močnejši vetrovi</w:t>
            </w:r>
            <w:r>
              <w:t xml:space="preserve"> (1)</w:t>
            </w:r>
          </w:p>
          <w:p w14:paraId="01EEBE34" w14:textId="77777777" w:rsidR="00612312" w:rsidRPr="009677BE" w:rsidRDefault="00612312" w:rsidP="00612312">
            <w:pPr>
              <w:numPr>
                <w:ilvl w:val="0"/>
                <w:numId w:val="42"/>
              </w:numPr>
              <w:tabs>
                <w:tab w:val="left" w:pos="2814"/>
              </w:tabs>
              <w:spacing w:line="276" w:lineRule="auto"/>
              <w:jc w:val="both"/>
            </w:pPr>
            <w:r w:rsidRPr="009677BE">
              <w:t>nezadosten nadzor nad balastnimi vodami</w:t>
            </w:r>
            <w:r>
              <w:t xml:space="preserve"> (3)</w:t>
            </w:r>
          </w:p>
          <w:p w14:paraId="3F038245" w14:textId="77777777" w:rsidR="00612312" w:rsidRPr="009677BE" w:rsidRDefault="00612312" w:rsidP="00612312">
            <w:pPr>
              <w:numPr>
                <w:ilvl w:val="0"/>
                <w:numId w:val="42"/>
              </w:numPr>
              <w:tabs>
                <w:tab w:val="left" w:pos="2814"/>
              </w:tabs>
              <w:spacing w:line="276" w:lineRule="auto"/>
              <w:jc w:val="both"/>
            </w:pPr>
            <w:r w:rsidRPr="009677BE">
              <w:t>turizem (sidranje in odpadki)</w:t>
            </w:r>
            <w:r>
              <w:t xml:space="preserve"> (1,2)</w:t>
            </w:r>
          </w:p>
          <w:p w14:paraId="04A95F73" w14:textId="77777777" w:rsidR="00612312" w:rsidRPr="00645149" w:rsidRDefault="00612312" w:rsidP="00612312">
            <w:pPr>
              <w:numPr>
                <w:ilvl w:val="0"/>
                <w:numId w:val="42"/>
              </w:numPr>
              <w:tabs>
                <w:tab w:val="left" w:pos="2814"/>
              </w:tabs>
              <w:spacing w:line="276" w:lineRule="auto"/>
              <w:jc w:val="both"/>
            </w:pPr>
            <w:r w:rsidRPr="009677BE">
              <w:t>izginjanje domorodnih vrst</w:t>
            </w:r>
            <w:r>
              <w:t xml:space="preserve"> (1)</w:t>
            </w:r>
          </w:p>
          <w:p w14:paraId="70BF62BE" w14:textId="77777777" w:rsidR="00612312" w:rsidRPr="009677BE" w:rsidRDefault="00612312" w:rsidP="00612312">
            <w:pPr>
              <w:numPr>
                <w:ilvl w:val="0"/>
                <w:numId w:val="42"/>
              </w:numPr>
              <w:tabs>
                <w:tab w:val="left" w:pos="2814"/>
              </w:tabs>
              <w:spacing w:line="276" w:lineRule="auto"/>
              <w:jc w:val="both"/>
            </w:pPr>
            <w:r>
              <w:t xml:space="preserve">povečana raba </w:t>
            </w:r>
            <w:r w:rsidRPr="009677BE">
              <w:t>morskega okolja</w:t>
            </w:r>
            <w:r>
              <w:t>, ki</w:t>
            </w:r>
            <w:r w:rsidRPr="009677BE">
              <w:t xml:space="preserve"> </w:t>
            </w:r>
            <w:r>
              <w:t>se že kaže v slabšanju stanja morskih voda (1)</w:t>
            </w:r>
          </w:p>
          <w:p w14:paraId="793BF40D" w14:textId="77777777" w:rsidR="00612312" w:rsidRPr="009677BE" w:rsidRDefault="00612312" w:rsidP="00612312">
            <w:pPr>
              <w:numPr>
                <w:ilvl w:val="0"/>
                <w:numId w:val="43"/>
              </w:numPr>
              <w:tabs>
                <w:tab w:val="left" w:pos="2814"/>
              </w:tabs>
              <w:spacing w:line="276" w:lineRule="auto"/>
              <w:jc w:val="both"/>
            </w:pPr>
            <w:r w:rsidRPr="009677BE">
              <w:t xml:space="preserve">pomanjkanje </w:t>
            </w:r>
            <w:r>
              <w:t xml:space="preserve">ažuriranih </w:t>
            </w:r>
            <w:r w:rsidRPr="009677BE">
              <w:t>informacij o dogajanju</w:t>
            </w:r>
            <w:r>
              <w:t xml:space="preserve"> na morju, tudi od drugih držav (2,3)</w:t>
            </w:r>
          </w:p>
          <w:p w14:paraId="0C0E9F9F" w14:textId="77777777" w:rsidR="00612312" w:rsidRDefault="00612312" w:rsidP="00612312">
            <w:pPr>
              <w:numPr>
                <w:ilvl w:val="0"/>
                <w:numId w:val="43"/>
              </w:numPr>
              <w:tabs>
                <w:tab w:val="left" w:pos="2814"/>
              </w:tabs>
              <w:spacing w:line="276" w:lineRule="auto"/>
              <w:jc w:val="both"/>
            </w:pPr>
            <w:r w:rsidRPr="005E73A9">
              <w:t xml:space="preserve">obremenjenost morja </w:t>
            </w:r>
            <w:r>
              <w:t>s številnimi</w:t>
            </w:r>
            <w:r w:rsidRPr="005E73A9">
              <w:t xml:space="preserve"> rabami</w:t>
            </w:r>
            <w:r>
              <w:t xml:space="preserve"> na morju in obali, še posebej </w:t>
            </w:r>
            <w:r w:rsidRPr="00495047">
              <w:t>s pomorskim prometom</w:t>
            </w:r>
            <w:r>
              <w:t xml:space="preserve"> in turizmom</w:t>
            </w:r>
            <w:r w:rsidRPr="00495047">
              <w:t xml:space="preserve"> (vplivi na okolje)</w:t>
            </w:r>
            <w:r>
              <w:t xml:space="preserve"> (1,2)</w:t>
            </w:r>
          </w:p>
          <w:p w14:paraId="280E44D8" w14:textId="77777777" w:rsidR="00612312" w:rsidRDefault="00612312" w:rsidP="00612312">
            <w:pPr>
              <w:numPr>
                <w:ilvl w:val="0"/>
                <w:numId w:val="44"/>
              </w:numPr>
              <w:tabs>
                <w:tab w:val="left" w:pos="2814"/>
              </w:tabs>
              <w:spacing w:line="276" w:lineRule="auto"/>
              <w:jc w:val="both"/>
            </w:pPr>
            <w:r w:rsidRPr="005E73A9">
              <w:t>izvajanje pritiska na naravne entitete z različnimi antropogenimi posegi v obalnem pasu</w:t>
            </w:r>
            <w:r>
              <w:t xml:space="preserve"> (1)</w:t>
            </w:r>
          </w:p>
          <w:p w14:paraId="4673E125" w14:textId="77777777" w:rsidR="00612312" w:rsidRPr="00FA5F17" w:rsidRDefault="00612312" w:rsidP="00612312">
            <w:pPr>
              <w:numPr>
                <w:ilvl w:val="0"/>
                <w:numId w:val="44"/>
              </w:numPr>
              <w:tabs>
                <w:tab w:val="left" w:pos="2814"/>
              </w:tabs>
              <w:spacing w:line="276" w:lineRule="auto"/>
              <w:jc w:val="both"/>
            </w:pPr>
            <w:r>
              <w:t>n</w:t>
            </w:r>
            <w:r w:rsidRPr="00EB0A17">
              <w:t>adaljnje nenadzorovano poseganje v podvodno kulturno dediščin</w:t>
            </w:r>
            <w:r>
              <w:t>o</w:t>
            </w:r>
            <w:r w:rsidRPr="00EB0A17">
              <w:t xml:space="preserve"> in posledično nepovratno izgubljanje varovanih kulturnih vrednot morskega okolja</w:t>
            </w:r>
            <w:r>
              <w:t xml:space="preserve"> (2)</w:t>
            </w:r>
          </w:p>
        </w:tc>
        <w:tc>
          <w:tcPr>
            <w:tcW w:w="3935" w:type="dxa"/>
            <w:vMerge/>
            <w:shd w:val="clear" w:color="auto" w:fill="auto"/>
          </w:tcPr>
          <w:p w14:paraId="669117A3" w14:textId="77777777" w:rsidR="00612312" w:rsidRPr="009677BE" w:rsidRDefault="00612312" w:rsidP="00612312">
            <w:pPr>
              <w:widowControl w:val="0"/>
              <w:pBdr>
                <w:top w:val="nil"/>
                <w:left w:val="nil"/>
                <w:bottom w:val="nil"/>
                <w:right w:val="nil"/>
                <w:between w:val="nil"/>
              </w:pBdr>
            </w:pPr>
          </w:p>
        </w:tc>
      </w:tr>
      <w:tr w:rsidR="00612312" w:rsidRPr="00F700CD" w14:paraId="018580CD" w14:textId="77777777" w:rsidTr="00612312">
        <w:trPr>
          <w:trHeight w:val="699"/>
        </w:trPr>
        <w:tc>
          <w:tcPr>
            <w:tcW w:w="2830" w:type="dxa"/>
            <w:vMerge/>
            <w:shd w:val="clear" w:color="auto" w:fill="auto"/>
          </w:tcPr>
          <w:p w14:paraId="54C0E2EE" w14:textId="77777777" w:rsidR="00612312" w:rsidRPr="009677BE" w:rsidRDefault="00612312" w:rsidP="00612312">
            <w:pPr>
              <w:widowControl w:val="0"/>
              <w:pBdr>
                <w:top w:val="nil"/>
                <w:left w:val="nil"/>
                <w:bottom w:val="nil"/>
                <w:right w:val="nil"/>
                <w:between w:val="nil"/>
              </w:pBdr>
            </w:pPr>
          </w:p>
        </w:tc>
        <w:tc>
          <w:tcPr>
            <w:tcW w:w="1985" w:type="dxa"/>
            <w:vMerge/>
            <w:shd w:val="clear" w:color="auto" w:fill="auto"/>
          </w:tcPr>
          <w:p w14:paraId="06CEAA38" w14:textId="77777777" w:rsidR="00612312" w:rsidRPr="009677BE" w:rsidRDefault="00612312" w:rsidP="00612312">
            <w:pPr>
              <w:widowControl w:val="0"/>
              <w:pBdr>
                <w:top w:val="nil"/>
                <w:left w:val="nil"/>
                <w:bottom w:val="nil"/>
                <w:right w:val="nil"/>
                <w:between w:val="nil"/>
              </w:pBdr>
            </w:pPr>
          </w:p>
        </w:tc>
        <w:tc>
          <w:tcPr>
            <w:tcW w:w="5245" w:type="dxa"/>
            <w:shd w:val="clear" w:color="auto" w:fill="auto"/>
          </w:tcPr>
          <w:p w14:paraId="4164CD15" w14:textId="5B9015C3" w:rsidR="00612312" w:rsidRDefault="00612312" w:rsidP="00612312">
            <w:pPr>
              <w:tabs>
                <w:tab w:val="left" w:pos="2814"/>
              </w:tabs>
              <w:jc w:val="both"/>
              <w:rPr>
                <w:b/>
              </w:rPr>
            </w:pPr>
            <w:r w:rsidRPr="00E66105">
              <w:rPr>
                <w:b/>
              </w:rPr>
              <w:t>Opredelitev potreb na podlagi analize SWOT in ob upošt</w:t>
            </w:r>
            <w:r>
              <w:rPr>
                <w:b/>
              </w:rPr>
              <w:t xml:space="preserve">evanju elementov iz člena </w:t>
            </w:r>
            <w:r w:rsidR="00A9686A">
              <w:rPr>
                <w:b/>
              </w:rPr>
              <w:t>5</w:t>
            </w:r>
            <w:r>
              <w:rPr>
                <w:b/>
              </w:rPr>
              <w:t>(6) U</w:t>
            </w:r>
            <w:r w:rsidRPr="00E66105">
              <w:rPr>
                <w:b/>
              </w:rPr>
              <w:t>redbe o ESPR</w:t>
            </w:r>
            <w:r w:rsidR="00A9686A">
              <w:rPr>
                <w:b/>
              </w:rPr>
              <w:t>A</w:t>
            </w:r>
          </w:p>
          <w:p w14:paraId="531C74F2" w14:textId="77777777" w:rsidR="00612312" w:rsidRDefault="00612312" w:rsidP="00612312">
            <w:pPr>
              <w:jc w:val="both"/>
            </w:pPr>
            <w:r w:rsidRPr="00171D45">
              <w:t xml:space="preserve">Na podlagi SWOT analize se je pokazala potreba po pridobivanju znanj o morskem okolju in priobalnem pasu z namenom celovitega upravljanja in predvsem učinkovitejšega integriranega  sodelovanja med vsemi akterji. Hkrati je treba izboljšati sodelovanje in povezovanje podatkov med različnimi resorji, ki jih zbirajo, z namenom zagotavljanja učinkovitega pomorskega nadzora. V tem okvirju je treba nasloviti  tudi </w:t>
            </w:r>
            <w:r w:rsidRPr="00171D45">
              <w:lastRenderedPageBreak/>
              <w:t xml:space="preserve">potrebo po vzpostaviti celovitega sistema spremljanja stanja in procesov na območju morja in priobalnem pasu, ter s tem zagotoviti podporo izvajanju Pomorskega prostorskega plana Slovenije. </w:t>
            </w:r>
            <w:r>
              <w:t>Na 4. Prednostni nalogi smo prepoznali naslednje potrebe:</w:t>
            </w:r>
          </w:p>
          <w:p w14:paraId="05BF4B59" w14:textId="77777777" w:rsidR="00612312" w:rsidRPr="00B929A0" w:rsidRDefault="00612312" w:rsidP="00612312">
            <w:pPr>
              <w:pStyle w:val="Odstavekseznama"/>
              <w:numPr>
                <w:ilvl w:val="0"/>
                <w:numId w:val="46"/>
              </w:numPr>
              <w:tabs>
                <w:tab w:val="left" w:pos="2814"/>
              </w:tabs>
              <w:spacing w:line="240" w:lineRule="auto"/>
              <w:jc w:val="both"/>
            </w:pPr>
            <w:r>
              <w:t>I</w:t>
            </w:r>
            <w:r w:rsidRPr="00B929A0">
              <w:t>zvajanj</w:t>
            </w:r>
            <w:r>
              <w:t>e</w:t>
            </w:r>
            <w:r w:rsidRPr="00B929A0">
              <w:t xml:space="preserve"> monitoringa vrst in habitatnih tipov, vezanih na Direktivo 92/43/EGS in Direktivo 2009/147/ES na morju</w:t>
            </w:r>
            <w:r>
              <w:t>, in sicer:</w:t>
            </w:r>
          </w:p>
          <w:p w14:paraId="16BA4A3C" w14:textId="77777777" w:rsidR="00612312" w:rsidRDefault="00612312" w:rsidP="00612312">
            <w:pPr>
              <w:pStyle w:val="Odstavekseznama"/>
              <w:numPr>
                <w:ilvl w:val="0"/>
                <w:numId w:val="47"/>
              </w:numPr>
              <w:tabs>
                <w:tab w:val="left" w:pos="2814"/>
              </w:tabs>
              <w:jc w:val="both"/>
            </w:pPr>
            <w:r>
              <w:t>spremljanje stanja morskih in obalnih vrst in habitatnih tipov Natura 2000 (na obstoječih območjih Natura 2000 in tudi izven)</w:t>
            </w:r>
          </w:p>
          <w:p w14:paraId="03BE9C6B" w14:textId="77777777" w:rsidR="00612312" w:rsidRPr="00033E5B" w:rsidRDefault="00612312" w:rsidP="00612312">
            <w:pPr>
              <w:pStyle w:val="Odstavekseznama"/>
              <w:numPr>
                <w:ilvl w:val="0"/>
                <w:numId w:val="47"/>
              </w:numPr>
              <w:tabs>
                <w:tab w:val="left" w:pos="2814"/>
              </w:tabs>
              <w:jc w:val="both"/>
            </w:pPr>
            <w:r>
              <w:t>spremljanje pritiskov in groženj na vrste in habitatne tipe Natura 2000 (na primer promet, akvakultura idr.)</w:t>
            </w:r>
          </w:p>
          <w:p w14:paraId="42836653" w14:textId="77777777" w:rsidR="00612312" w:rsidRDefault="00612312" w:rsidP="00612312">
            <w:pPr>
              <w:pStyle w:val="Odstavekseznama"/>
              <w:numPr>
                <w:ilvl w:val="0"/>
                <w:numId w:val="47"/>
              </w:numPr>
              <w:tabs>
                <w:tab w:val="left" w:pos="2814"/>
              </w:tabs>
              <w:jc w:val="both"/>
            </w:pPr>
            <w:r>
              <w:t>krepitev sodelovanja</w:t>
            </w:r>
            <w:r w:rsidRPr="00E66105">
              <w:t xml:space="preserve"> z upravljavci </w:t>
            </w:r>
            <w:r>
              <w:t xml:space="preserve">zavarovanih </w:t>
            </w:r>
            <w:r w:rsidRPr="00E66105">
              <w:t>območij</w:t>
            </w:r>
            <w:r>
              <w:t xml:space="preserve"> v zvezi z zbiranjem, upravljanjem in uporabo podatkov o vrstah in habitatnih tipih</w:t>
            </w:r>
            <w:r w:rsidRPr="00A24E3A">
              <w:t>, vezanih na Direktivo 92/43/EGS in Direktivo 2009/147/ES</w:t>
            </w:r>
          </w:p>
          <w:p w14:paraId="45F9537F" w14:textId="27F63DCA" w:rsidR="00612312" w:rsidRDefault="00612312" w:rsidP="00612312">
            <w:pPr>
              <w:pStyle w:val="Odstavekseznama"/>
              <w:numPr>
                <w:ilvl w:val="0"/>
                <w:numId w:val="47"/>
              </w:numPr>
              <w:jc w:val="both"/>
            </w:pPr>
            <w:r>
              <w:t xml:space="preserve">vodenje baze podatkov za vrste in habitatne tipe Natura 2000, </w:t>
            </w:r>
            <w:r w:rsidRPr="00FC0C9E">
              <w:t>zavarovane vrste in invazivne tujerodne vrste;</w:t>
            </w:r>
          </w:p>
          <w:p w14:paraId="090504B5" w14:textId="77777777" w:rsidR="00612312" w:rsidRPr="00FC0C9E" w:rsidRDefault="00612312" w:rsidP="00612312">
            <w:pPr>
              <w:pStyle w:val="Odstavekseznama"/>
              <w:numPr>
                <w:ilvl w:val="0"/>
                <w:numId w:val="47"/>
              </w:numPr>
              <w:jc w:val="both"/>
            </w:pPr>
            <w:r>
              <w:t>izvajanje ukrepov za ohranjanje habitatnih tipov NATURA 2000 ter za obnovo zavarovanih območij</w:t>
            </w:r>
          </w:p>
          <w:p w14:paraId="209257DE" w14:textId="77777777" w:rsidR="00612312" w:rsidRPr="00B929A0" w:rsidRDefault="00612312" w:rsidP="00612312">
            <w:pPr>
              <w:pStyle w:val="Odstavekseznama"/>
              <w:numPr>
                <w:ilvl w:val="0"/>
                <w:numId w:val="46"/>
              </w:numPr>
              <w:spacing w:line="240" w:lineRule="auto"/>
              <w:jc w:val="both"/>
            </w:pPr>
            <w:r>
              <w:t>P</w:t>
            </w:r>
            <w:r w:rsidRPr="00B929A0">
              <w:t>odpora pomorskemu prostorskemu načrtovanju, kot je določeno v Direktivi 2014/89/EU</w:t>
            </w:r>
            <w:r>
              <w:t>:</w:t>
            </w:r>
          </w:p>
          <w:p w14:paraId="29419766" w14:textId="77777777" w:rsidR="00612312" w:rsidRDefault="00612312" w:rsidP="00612312">
            <w:pPr>
              <w:numPr>
                <w:ilvl w:val="0"/>
                <w:numId w:val="45"/>
              </w:numPr>
              <w:spacing w:line="276" w:lineRule="auto"/>
              <w:jc w:val="both"/>
            </w:pPr>
            <w:r>
              <w:t>spremljanje</w:t>
            </w:r>
            <w:r w:rsidRPr="00FD245D">
              <w:t xml:space="preserve"> </w:t>
            </w:r>
            <w:r>
              <w:t>stanja, procesov in sprememb</w:t>
            </w:r>
            <w:r w:rsidRPr="00FD245D">
              <w:t xml:space="preserve"> na območju morja in obale</w:t>
            </w:r>
            <w:r>
              <w:t xml:space="preserve"> oziroma spremljanje medsebojnega</w:t>
            </w:r>
            <w:r w:rsidRPr="00C15F77">
              <w:t xml:space="preserve"> vpliv</w:t>
            </w:r>
            <w:r>
              <w:t>a dejavnosti</w:t>
            </w:r>
            <w:r w:rsidRPr="00C15F77">
              <w:t xml:space="preserve"> v </w:t>
            </w:r>
            <w:r>
              <w:t>okviru okoljskih, socialnih in ekonomskih podatkov</w:t>
            </w:r>
            <w:r w:rsidRPr="00C15F77">
              <w:t xml:space="preserve"> ter </w:t>
            </w:r>
            <w:r>
              <w:t xml:space="preserve">v </w:t>
            </w:r>
            <w:r>
              <w:lastRenderedPageBreak/>
              <w:t xml:space="preserve">povezavi s </w:t>
            </w:r>
            <w:r w:rsidRPr="00C15F77">
              <w:t>pomorskimi fizičnimi podatki o morskih vodah</w:t>
            </w:r>
            <w:r>
              <w:t xml:space="preserve"> v skladu z Direktivo</w:t>
            </w:r>
            <w:r w:rsidRPr="0000311D">
              <w:t xml:space="preserve"> </w:t>
            </w:r>
            <w:r w:rsidRPr="00A535C3">
              <w:t>2014/89/EU</w:t>
            </w:r>
            <w:r>
              <w:t>;</w:t>
            </w:r>
          </w:p>
          <w:p w14:paraId="5459DCED" w14:textId="77777777" w:rsidR="00612312" w:rsidRDefault="00612312" w:rsidP="00612312">
            <w:pPr>
              <w:numPr>
                <w:ilvl w:val="0"/>
                <w:numId w:val="45"/>
              </w:numPr>
              <w:spacing w:line="276" w:lineRule="auto"/>
              <w:jc w:val="both"/>
            </w:pPr>
            <w:r w:rsidRPr="00B14B59">
              <w:t>uresničevanje javnega interesa na področju celostnega ohranja</w:t>
            </w:r>
            <w:r>
              <w:t xml:space="preserve">nja podvodne kulturne dediščine, in sicer: </w:t>
            </w:r>
          </w:p>
          <w:p w14:paraId="167D44C5" w14:textId="77777777" w:rsidR="00612312" w:rsidRPr="00B929A0" w:rsidRDefault="00612312" w:rsidP="00612312">
            <w:pPr>
              <w:numPr>
                <w:ilvl w:val="0"/>
                <w:numId w:val="45"/>
              </w:numPr>
              <w:spacing w:line="276" w:lineRule="auto"/>
              <w:jc w:val="both"/>
            </w:pPr>
            <w:r>
              <w:t>i</w:t>
            </w:r>
            <w:r w:rsidRPr="00B929A0">
              <w:t>dentificiranje podvodne kulturne dediščine na še neraziskanih območjih morja</w:t>
            </w:r>
            <w:r>
              <w:t>,</w:t>
            </w:r>
          </w:p>
          <w:p w14:paraId="5EC3F6C8" w14:textId="77777777" w:rsidR="00612312" w:rsidRDefault="00612312" w:rsidP="00612312">
            <w:pPr>
              <w:numPr>
                <w:ilvl w:val="0"/>
                <w:numId w:val="45"/>
              </w:numPr>
              <w:spacing w:line="276" w:lineRule="auto"/>
              <w:jc w:val="both"/>
            </w:pPr>
            <w:r w:rsidRPr="00B14B59">
              <w:t>vzpostavitev pravnih režimov varstva za registrirano</w:t>
            </w:r>
            <w:r>
              <w:t xml:space="preserve"> podvodne kulturne dediščine,</w:t>
            </w:r>
          </w:p>
          <w:p w14:paraId="1EDF3FDC" w14:textId="77777777" w:rsidR="00612312" w:rsidRDefault="00612312" w:rsidP="00612312">
            <w:pPr>
              <w:numPr>
                <w:ilvl w:val="0"/>
                <w:numId w:val="45"/>
              </w:numPr>
              <w:spacing w:line="276" w:lineRule="auto"/>
              <w:jc w:val="both"/>
            </w:pPr>
            <w:r w:rsidRPr="00B14B59">
              <w:t xml:space="preserve">izvajanje varstvenih in omilitvenih ukrepov za ogroženo </w:t>
            </w:r>
            <w:r>
              <w:t>podvodno kulturno dediščino.</w:t>
            </w:r>
          </w:p>
          <w:p w14:paraId="75A18F4B" w14:textId="130B35AD" w:rsidR="00612312" w:rsidRDefault="00612312" w:rsidP="00612312">
            <w:pPr>
              <w:pStyle w:val="Odstavekseznama"/>
              <w:numPr>
                <w:ilvl w:val="0"/>
                <w:numId w:val="46"/>
              </w:numPr>
              <w:spacing w:line="240" w:lineRule="auto"/>
              <w:jc w:val="both"/>
            </w:pPr>
            <w:r>
              <w:t>Podpora pomorskemu nadzor</w:t>
            </w:r>
            <w:r w:rsidR="00397FB8">
              <w:t>u</w:t>
            </w:r>
            <w:r>
              <w:t xml:space="preserve"> in izvajanju CISE. </w:t>
            </w:r>
            <w:r w:rsidRPr="00BE0F88">
              <w:t>V naslednji perspektivi predlagane aktivnosti bodo prispevale k dodatnemu izboljšanju in delovanju CISE z zagotavljanjem storitev varovanja in komunikacijskih storitev, ki temeljijo na najsodobnejši tehnologiji, vključno z infrastrukturo in senzorji, nameščenimi na kateri koli vrsti platforme. S povečanjem izmenjave informacij in sodelovanja na področju funkcij obalne straže, se bomo lažje soočili z analizami operativnih izzivov in nastajajočimi tveganji na področju nadzora pomorstva;</w:t>
            </w:r>
          </w:p>
          <w:p w14:paraId="52032F2D" w14:textId="77777777" w:rsidR="00612312" w:rsidRPr="003B5135" w:rsidRDefault="00612312" w:rsidP="00612312">
            <w:pPr>
              <w:jc w:val="both"/>
            </w:pPr>
            <w:r>
              <w:t xml:space="preserve">Predvideva se: </w:t>
            </w:r>
          </w:p>
          <w:p w14:paraId="5F359FCC" w14:textId="77777777" w:rsidR="00612312" w:rsidRDefault="00612312" w:rsidP="00612312">
            <w:pPr>
              <w:numPr>
                <w:ilvl w:val="0"/>
                <w:numId w:val="45"/>
              </w:numPr>
              <w:spacing w:line="276" w:lineRule="auto"/>
              <w:jc w:val="both"/>
            </w:pPr>
            <w:r>
              <w:t>organizacija dogodka ADRIASPILLCON,</w:t>
            </w:r>
          </w:p>
          <w:p w14:paraId="274035C5" w14:textId="77777777" w:rsidR="00612312" w:rsidRDefault="00612312" w:rsidP="00612312">
            <w:pPr>
              <w:numPr>
                <w:ilvl w:val="0"/>
                <w:numId w:val="45"/>
              </w:numPr>
              <w:spacing w:line="276" w:lineRule="auto"/>
              <w:jc w:val="both"/>
            </w:pPr>
            <w:r>
              <w:t>nakup simulatorja za nadzor nad širjenjem onesnaženja na morju – ogljikovodiki in kemikalije, pri čemer je treba zagotoviti nakup programske opreme, licence in usposabljanja kadra</w:t>
            </w:r>
          </w:p>
          <w:p w14:paraId="655B862E" w14:textId="77777777" w:rsidR="00612312" w:rsidRPr="00286A77" w:rsidRDefault="00612312" w:rsidP="00612312">
            <w:pPr>
              <w:numPr>
                <w:ilvl w:val="0"/>
                <w:numId w:val="45"/>
              </w:numPr>
              <w:spacing w:line="276" w:lineRule="auto"/>
              <w:jc w:val="both"/>
            </w:pPr>
            <w:r>
              <w:lastRenderedPageBreak/>
              <w:t>nakup opreme (CCTV) za nadzor na morju (postavitev nad strunjanskim krajinskim parkom ali sečoveljskimi solinami).</w:t>
            </w:r>
          </w:p>
        </w:tc>
        <w:tc>
          <w:tcPr>
            <w:tcW w:w="3935" w:type="dxa"/>
            <w:vMerge/>
            <w:shd w:val="clear" w:color="auto" w:fill="auto"/>
          </w:tcPr>
          <w:p w14:paraId="033774B9" w14:textId="77777777" w:rsidR="00612312" w:rsidRPr="009677BE" w:rsidRDefault="00612312" w:rsidP="00612312">
            <w:pPr>
              <w:widowControl w:val="0"/>
              <w:pBdr>
                <w:top w:val="nil"/>
                <w:left w:val="nil"/>
                <w:bottom w:val="nil"/>
                <w:right w:val="nil"/>
                <w:between w:val="nil"/>
              </w:pBdr>
            </w:pPr>
          </w:p>
        </w:tc>
      </w:tr>
    </w:tbl>
    <w:p w14:paraId="0BDF67EE" w14:textId="77777777" w:rsidR="00BA407E" w:rsidRPr="003E2F8D" w:rsidRDefault="00BA407E">
      <w:pPr>
        <w:spacing w:after="200" w:line="276" w:lineRule="auto"/>
        <w:rPr>
          <w:rFonts w:cs="Arial"/>
          <w:szCs w:val="20"/>
        </w:rPr>
      </w:pPr>
    </w:p>
    <w:p w14:paraId="0415EE2B" w14:textId="77777777" w:rsidR="00B351E2" w:rsidRPr="00093B54" w:rsidRDefault="00B351E2">
      <w:pPr>
        <w:spacing w:after="200" w:line="276" w:lineRule="auto"/>
        <w:rPr>
          <w:rFonts w:cs="Arial"/>
          <w:szCs w:val="20"/>
        </w:rPr>
        <w:sectPr w:rsidR="00B351E2" w:rsidRPr="00093B54" w:rsidSect="001D56ED">
          <w:pgSz w:w="16840" w:h="11900" w:orient="landscape" w:code="9"/>
          <w:pgMar w:top="1701" w:right="1701" w:bottom="1701" w:left="1134" w:header="964" w:footer="794" w:gutter="0"/>
          <w:cols w:space="708"/>
          <w:docGrid w:linePitch="272"/>
        </w:sectPr>
      </w:pPr>
    </w:p>
    <w:p w14:paraId="469BD82A" w14:textId="77A468DB" w:rsidR="00B5082F" w:rsidRDefault="003A7DDF" w:rsidP="002458C0">
      <w:pPr>
        <w:pStyle w:val="Naslov1"/>
      </w:pPr>
      <w:bookmarkStart w:id="3" w:name="_Toc106099899"/>
      <w:r>
        <w:lastRenderedPageBreak/>
        <w:t>2. Prednostne naloge</w:t>
      </w:r>
      <w:bookmarkEnd w:id="3"/>
    </w:p>
    <w:p w14:paraId="00EA743E" w14:textId="1A901F41" w:rsidR="00B5082F" w:rsidRDefault="00B5082F" w:rsidP="008E6BB7">
      <w:pPr>
        <w:rPr>
          <w:i/>
        </w:rPr>
      </w:pPr>
      <w:r>
        <w:rPr>
          <w:i/>
        </w:rPr>
        <w:t>Sklic: člen 22(2)(c)</w:t>
      </w:r>
      <w:r w:rsidR="00131122">
        <w:rPr>
          <w:i/>
        </w:rPr>
        <w:t xml:space="preserve"> </w:t>
      </w:r>
      <w:r>
        <w:rPr>
          <w:i/>
        </w:rPr>
        <w:t>in 22(3)</w:t>
      </w:r>
      <w:r w:rsidR="00914365">
        <w:rPr>
          <w:i/>
        </w:rPr>
        <w:t xml:space="preserve"> uredbe o skupnih določbah</w:t>
      </w:r>
    </w:p>
    <w:p w14:paraId="164656F2" w14:textId="77777777" w:rsidR="00B5082F" w:rsidRDefault="00B5082F" w:rsidP="008E6BB7">
      <w:pPr>
        <w:rPr>
          <w:i/>
        </w:rPr>
      </w:pPr>
    </w:p>
    <w:p w14:paraId="585E92A1" w14:textId="64675E23" w:rsidR="005B3058" w:rsidRPr="008E6BB7" w:rsidRDefault="005B3058" w:rsidP="008E6BB7">
      <w:pPr>
        <w:pStyle w:val="Naslov2"/>
        <w:rPr>
          <w:i/>
        </w:rPr>
      </w:pPr>
      <w:bookmarkStart w:id="4" w:name="_Toc106099900"/>
      <w:r w:rsidRPr="00AC6084">
        <w:t>2.</w:t>
      </w:r>
      <w:r w:rsidR="003A7DDF">
        <w:t>1</w:t>
      </w:r>
      <w:r w:rsidRPr="00AC6084">
        <w:t xml:space="preserve"> Prednostne naloge razen za tehnično pomoč</w:t>
      </w:r>
      <w:bookmarkEnd w:id="4"/>
      <w:r w:rsidRPr="00AC6084">
        <w:t xml:space="preserve"> </w:t>
      </w:r>
    </w:p>
    <w:p w14:paraId="18300ADC" w14:textId="1DE9F6B6" w:rsidR="005B3058" w:rsidRPr="00A40660" w:rsidRDefault="00A47A2C" w:rsidP="00C857A1">
      <w:pPr>
        <w:pStyle w:val="Naslov2"/>
      </w:pPr>
      <w:bookmarkStart w:id="5" w:name="_Toc106099901"/>
      <w:r w:rsidRPr="00A40660">
        <w:t>2.1</w:t>
      </w:r>
      <w:r w:rsidR="003A7DDF">
        <w:t>.1</w:t>
      </w:r>
      <w:r w:rsidRPr="00A40660">
        <w:t xml:space="preserve"> Naziv prednostne naloge</w:t>
      </w:r>
      <w:bookmarkEnd w:id="5"/>
    </w:p>
    <w:p w14:paraId="061D642E" w14:textId="43E73C71" w:rsidR="005B3058" w:rsidRPr="00A40660" w:rsidRDefault="006D4DC0" w:rsidP="005C667A">
      <w:pPr>
        <w:jc w:val="both"/>
        <w:rPr>
          <w:rFonts w:cs="Arial"/>
          <w:szCs w:val="20"/>
        </w:rPr>
      </w:pPr>
      <w:bookmarkStart w:id="6" w:name="_Toc106099902"/>
      <w:r w:rsidRPr="00C857A1">
        <w:rPr>
          <w:rStyle w:val="Naslov3Znak"/>
          <w:lang w:val="sl-SI"/>
        </w:rPr>
        <w:t>2.1.1</w:t>
      </w:r>
      <w:r w:rsidR="003A7DDF">
        <w:rPr>
          <w:rStyle w:val="Naslov3Znak"/>
          <w:lang w:val="sl-SI"/>
        </w:rPr>
        <w:t>.1</w:t>
      </w:r>
      <w:r w:rsidRPr="00C857A1">
        <w:rPr>
          <w:rStyle w:val="Naslov3Znak"/>
          <w:lang w:val="sl-SI"/>
        </w:rPr>
        <w:t xml:space="preserve"> Specifični cilj</w:t>
      </w:r>
      <w:bookmarkEnd w:id="6"/>
      <w:r w:rsidRPr="00A40660">
        <w:rPr>
          <w:rFonts w:cs="Arial"/>
          <w:b/>
          <w:bCs/>
          <w:szCs w:val="20"/>
        </w:rPr>
        <w:t xml:space="preserve"> </w:t>
      </w:r>
      <w:r w:rsidRPr="00A40660">
        <w:rPr>
          <w:rFonts w:cs="Arial"/>
          <w:szCs w:val="20"/>
        </w:rPr>
        <w:t xml:space="preserve">– ponovi se za vsak izbran specifični cilj za prednostne naloge </w:t>
      </w:r>
      <w:r w:rsidR="003A7DDF">
        <w:rPr>
          <w:rFonts w:cs="Arial"/>
          <w:szCs w:val="20"/>
        </w:rPr>
        <w:t xml:space="preserve">ki niso </w:t>
      </w:r>
      <w:r w:rsidRPr="00A40660">
        <w:rPr>
          <w:rFonts w:cs="Arial"/>
          <w:szCs w:val="20"/>
        </w:rPr>
        <w:t xml:space="preserve"> tehničn</w:t>
      </w:r>
      <w:r w:rsidR="003A7DDF">
        <w:rPr>
          <w:rFonts w:cs="Arial"/>
          <w:szCs w:val="20"/>
        </w:rPr>
        <w:t>a</w:t>
      </w:r>
      <w:r w:rsidRPr="00A40660">
        <w:rPr>
          <w:rFonts w:cs="Arial"/>
          <w:szCs w:val="20"/>
        </w:rPr>
        <w:t xml:space="preserve"> pomoč</w:t>
      </w:r>
      <w:r w:rsidR="003A7DDF">
        <w:rPr>
          <w:rFonts w:cs="Arial"/>
          <w:szCs w:val="20"/>
        </w:rPr>
        <w:t>.</w:t>
      </w:r>
    </w:p>
    <w:p w14:paraId="3098EC6A" w14:textId="2C348462" w:rsidR="005B3058" w:rsidRPr="00A40660" w:rsidRDefault="005B3058" w:rsidP="00C857A1">
      <w:pPr>
        <w:pStyle w:val="Naslov4"/>
      </w:pPr>
      <w:r w:rsidRPr="00A40660">
        <w:t>2.1.1.1</w:t>
      </w:r>
      <w:r w:rsidR="003A7DDF">
        <w:t>.1</w:t>
      </w:r>
      <w:r w:rsidRPr="00A40660">
        <w:t xml:space="preserve"> </w:t>
      </w:r>
      <w:r w:rsidR="002D326D">
        <w:t>Ukrepi</w:t>
      </w:r>
      <w:r w:rsidRPr="00A40660">
        <w:t xml:space="preserve"> skladov</w:t>
      </w:r>
    </w:p>
    <w:p w14:paraId="75B25EB8" w14:textId="75C75F2B" w:rsidR="005B3058" w:rsidRDefault="005B3058" w:rsidP="005B3058">
      <w:pPr>
        <w:rPr>
          <w:rFonts w:cs="Arial"/>
          <w:i/>
          <w:iCs/>
          <w:szCs w:val="20"/>
        </w:rPr>
      </w:pPr>
      <w:r w:rsidRPr="00A40660">
        <w:rPr>
          <w:rFonts w:cs="Arial"/>
          <w:i/>
          <w:iCs/>
          <w:szCs w:val="20"/>
        </w:rPr>
        <w:t xml:space="preserve">Sklic: člen </w:t>
      </w:r>
      <w:r w:rsidR="001A5B6C">
        <w:rPr>
          <w:rFonts w:cs="Arial"/>
          <w:i/>
          <w:iCs/>
          <w:szCs w:val="20"/>
        </w:rPr>
        <w:t>22</w:t>
      </w:r>
      <w:r w:rsidRPr="00A40660">
        <w:rPr>
          <w:rFonts w:cs="Arial"/>
          <w:i/>
          <w:iCs/>
          <w:szCs w:val="20"/>
        </w:rPr>
        <w:t>(3)(d)(i)(iii)(iv)(v)(vi)</w:t>
      </w:r>
      <w:r w:rsidR="00B5082F">
        <w:rPr>
          <w:rFonts w:cs="Arial"/>
          <w:i/>
          <w:iCs/>
          <w:szCs w:val="20"/>
        </w:rPr>
        <w:t xml:space="preserve"> CPR</w:t>
      </w:r>
    </w:p>
    <w:p w14:paraId="56E8AC3B" w14:textId="77777777" w:rsidR="00697618" w:rsidRDefault="00697618" w:rsidP="005B3058">
      <w:pPr>
        <w:rPr>
          <w:rFonts w:cs="Arial"/>
          <w:i/>
          <w:iCs/>
          <w:szCs w:val="20"/>
        </w:rPr>
      </w:pPr>
    </w:p>
    <w:p w14:paraId="37244926" w14:textId="77777777" w:rsidR="00697618" w:rsidRPr="00C43378" w:rsidRDefault="00697618" w:rsidP="00697618">
      <w:pPr>
        <w:pBdr>
          <w:top w:val="single" w:sz="4" w:space="1" w:color="auto"/>
          <w:left w:val="single" w:sz="4" w:space="4" w:color="auto"/>
          <w:bottom w:val="single" w:sz="4" w:space="1" w:color="auto"/>
          <w:right w:val="single" w:sz="4" w:space="4" w:color="auto"/>
        </w:pBdr>
        <w:jc w:val="both"/>
        <w:rPr>
          <w:b/>
          <w:iCs/>
        </w:rPr>
      </w:pPr>
      <w:r w:rsidRPr="00C43378">
        <w:rPr>
          <w:iCs/>
        </w:rPr>
        <w:t>Prednostna naloga:</w:t>
      </w:r>
      <w:r w:rsidRPr="00C43378">
        <w:rPr>
          <w:b/>
          <w:iCs/>
        </w:rPr>
        <w:t xml:space="preserve"> </w:t>
      </w:r>
      <w:bookmarkStart w:id="7" w:name="_Hlk59423865"/>
      <w:r w:rsidR="00C43378" w:rsidRPr="00C43378">
        <w:rPr>
          <w:b/>
          <w:iCs/>
        </w:rPr>
        <w:t>Spodbujanje trajnostnega ribištva in ohranjanje vodnih bioloških virov</w:t>
      </w:r>
    </w:p>
    <w:p w14:paraId="0616F7FF" w14:textId="68032759" w:rsidR="00697618" w:rsidRPr="00B63779" w:rsidRDefault="00697618" w:rsidP="00085BAD">
      <w:pPr>
        <w:pBdr>
          <w:top w:val="single" w:sz="4" w:space="1" w:color="auto"/>
          <w:left w:val="single" w:sz="4" w:space="4" w:color="auto"/>
          <w:bottom w:val="single" w:sz="4" w:space="1" w:color="auto"/>
          <w:right w:val="single" w:sz="4" w:space="4" w:color="auto"/>
        </w:pBdr>
        <w:spacing w:line="240" w:lineRule="auto"/>
        <w:jc w:val="both"/>
        <w:rPr>
          <w:b/>
          <w:iCs/>
        </w:rPr>
      </w:pPr>
      <w:r w:rsidRPr="00C43378">
        <w:rPr>
          <w:iCs/>
        </w:rPr>
        <w:t>Specifični cilj</w:t>
      </w:r>
      <w:r w:rsidR="00085BAD">
        <w:rPr>
          <w:iCs/>
        </w:rPr>
        <w:t xml:space="preserve"> 1.1</w:t>
      </w:r>
      <w:r w:rsidRPr="00C43378">
        <w:rPr>
          <w:iCs/>
        </w:rPr>
        <w:t>:</w:t>
      </w:r>
      <w:r w:rsidRPr="00C43378">
        <w:rPr>
          <w:b/>
          <w:iCs/>
        </w:rPr>
        <w:t xml:space="preserve"> </w:t>
      </w:r>
      <w:r w:rsidR="00C43378" w:rsidRPr="00C43378">
        <w:rPr>
          <w:rFonts w:cs="Arial"/>
          <w:b/>
          <w:iCs/>
          <w:szCs w:val="20"/>
        </w:rPr>
        <w:t>Krepitev ekonomsko, socialno in okoljsko trajnostnih ribolovnih dejavnosti</w:t>
      </w:r>
    </w:p>
    <w:bookmarkEnd w:id="7"/>
    <w:p w14:paraId="3A34A62A" w14:textId="77777777" w:rsidR="00C43378" w:rsidRDefault="00C43378" w:rsidP="000F6487">
      <w:pPr>
        <w:rPr>
          <w:rFonts w:cs="Arial"/>
          <w:i/>
          <w:iCs/>
          <w:szCs w:val="20"/>
        </w:rPr>
      </w:pPr>
    </w:p>
    <w:p w14:paraId="10D75966" w14:textId="7C9ADDF8" w:rsidR="000F6487" w:rsidRDefault="000F6487" w:rsidP="000F6487">
      <w:pPr>
        <w:rPr>
          <w:i/>
          <w:iCs/>
          <w:noProof/>
        </w:rPr>
      </w:pPr>
      <w:r w:rsidRPr="00C43378">
        <w:rPr>
          <w:rFonts w:cs="Arial"/>
          <w:i/>
          <w:noProof/>
          <w:szCs w:val="20"/>
        </w:rPr>
        <w:t xml:space="preserve">Povezane vrste ukrepov– Člen </w:t>
      </w:r>
      <w:r w:rsidR="002A6F4E">
        <w:rPr>
          <w:rFonts w:cs="Arial"/>
          <w:i/>
          <w:noProof/>
          <w:szCs w:val="20"/>
        </w:rPr>
        <w:t>22</w:t>
      </w:r>
      <w:r w:rsidRPr="00C43378">
        <w:rPr>
          <w:rFonts w:cs="Arial"/>
          <w:i/>
          <w:noProof/>
          <w:szCs w:val="20"/>
        </w:rPr>
        <w:t xml:space="preserve">(3)(d)(i) SSO: </w:t>
      </w:r>
      <w:r w:rsidRPr="00C43378">
        <w:rPr>
          <w:i/>
          <w:iCs/>
          <w:noProof/>
        </w:rPr>
        <w:t>Besedilno polje  [8 000]</w:t>
      </w:r>
    </w:p>
    <w:p w14:paraId="569EA505" w14:textId="0E0E21B6" w:rsidR="00286A77" w:rsidRDefault="00286A77" w:rsidP="00632BF1">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 xml:space="preserve">Glede na potrebe, opredeljene v SWOT analizi, bo Republika Slovenija v </w:t>
      </w:r>
      <w:r w:rsidR="00085BAD">
        <w:rPr>
          <w:rFonts w:cs="Arial"/>
          <w:b/>
          <w:bCs/>
          <w:color w:val="000000"/>
          <w:szCs w:val="20"/>
        </w:rPr>
        <w:t>okviru ESPRA  izvajal</w:t>
      </w:r>
      <w:r w:rsidR="006D3B7E">
        <w:rPr>
          <w:rFonts w:cs="Arial"/>
          <w:b/>
          <w:bCs/>
          <w:color w:val="000000"/>
          <w:szCs w:val="20"/>
        </w:rPr>
        <w:t>a</w:t>
      </w:r>
      <w:r w:rsidR="00085BAD">
        <w:rPr>
          <w:rFonts w:cs="Arial"/>
          <w:b/>
          <w:bCs/>
          <w:color w:val="000000"/>
          <w:szCs w:val="20"/>
        </w:rPr>
        <w:t xml:space="preserve"> naslednje aktivnosti:</w:t>
      </w:r>
    </w:p>
    <w:p w14:paraId="6D1514B4" w14:textId="77777777" w:rsidR="00085BAD" w:rsidRDefault="00085BAD" w:rsidP="00632BF1">
      <w:pPr>
        <w:pBdr>
          <w:top w:val="single" w:sz="4" w:space="1" w:color="auto"/>
          <w:left w:val="single" w:sz="4" w:space="4" w:color="auto"/>
          <w:bottom w:val="single" w:sz="4" w:space="0" w:color="auto"/>
          <w:right w:val="single" w:sz="4" w:space="13" w:color="auto"/>
        </w:pBdr>
        <w:jc w:val="both"/>
        <w:rPr>
          <w:rFonts w:cs="Arial"/>
          <w:b/>
          <w:bCs/>
          <w:color w:val="000000"/>
          <w:szCs w:val="20"/>
        </w:rPr>
      </w:pPr>
    </w:p>
    <w:p w14:paraId="7D988BB0" w14:textId="30AC59C2" w:rsidR="00286A77" w:rsidRDefault="00085BAD" w:rsidP="00632BF1">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 xml:space="preserve">1. Konkurenčna in energetsko bolj učinkovita flota: </w:t>
      </w:r>
    </w:p>
    <w:p w14:paraId="148A9EAD" w14:textId="78CD24B4" w:rsidR="00085BAD" w:rsidRPr="00085BAD" w:rsidRDefault="006A6653"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Podpirali</w:t>
      </w:r>
      <w:r w:rsidR="00085BAD" w:rsidRPr="00085BAD">
        <w:rPr>
          <w:rFonts w:cs="Arial"/>
          <w:bCs/>
          <w:color w:val="000000"/>
          <w:szCs w:val="20"/>
        </w:rPr>
        <w:t xml:space="preserve"> se bodo </w:t>
      </w:r>
      <w:r w:rsidR="00085BAD">
        <w:rPr>
          <w:rFonts w:cs="Arial"/>
          <w:bCs/>
          <w:color w:val="000000"/>
          <w:szCs w:val="20"/>
        </w:rPr>
        <w:t xml:space="preserve">različni tipi naložbenih aktivnosti </w:t>
      </w:r>
      <w:r w:rsidR="00085BAD" w:rsidRPr="00085BAD">
        <w:rPr>
          <w:rFonts w:cs="Arial"/>
          <w:bCs/>
          <w:color w:val="000000"/>
          <w:szCs w:val="20"/>
        </w:rPr>
        <w:t>v slovensko ribolovno floto, ki</w:t>
      </w:r>
      <w:r w:rsidR="00EB296D">
        <w:rPr>
          <w:rFonts w:cs="Arial"/>
          <w:bCs/>
          <w:color w:val="000000"/>
          <w:szCs w:val="20"/>
        </w:rPr>
        <w:t xml:space="preserve"> je stara in dotrajana</w:t>
      </w:r>
      <w:r w:rsidR="00D51656">
        <w:rPr>
          <w:rFonts w:cs="Arial"/>
          <w:bCs/>
          <w:color w:val="000000"/>
          <w:szCs w:val="20"/>
        </w:rPr>
        <w:t xml:space="preserve">. </w:t>
      </w:r>
      <w:r w:rsidR="00D51656" w:rsidRPr="00D51656">
        <w:rPr>
          <w:rFonts w:cs="Arial"/>
          <w:bCs/>
          <w:color w:val="000000"/>
          <w:szCs w:val="20"/>
        </w:rPr>
        <w:t>Vse aktivnosti bodo omogočale tudi posodobitev plovil malega priobalnega ribolova, kjer b</w:t>
      </w:r>
      <w:r w:rsidR="00D51656">
        <w:rPr>
          <w:rFonts w:cs="Arial"/>
          <w:bCs/>
          <w:color w:val="000000"/>
          <w:szCs w:val="20"/>
        </w:rPr>
        <w:t xml:space="preserve">odo plovila izpolnjevala pogoje, </w:t>
      </w:r>
      <w:r w:rsidR="00EB296D">
        <w:rPr>
          <w:rFonts w:cs="Arial"/>
          <w:bCs/>
          <w:color w:val="000000"/>
          <w:szCs w:val="20"/>
        </w:rPr>
        <w:t>predvsem</w:t>
      </w:r>
      <w:r w:rsidR="0092074A">
        <w:rPr>
          <w:rFonts w:cs="Arial"/>
          <w:bCs/>
          <w:color w:val="000000"/>
          <w:szCs w:val="20"/>
        </w:rPr>
        <w:t xml:space="preserve"> pa</w:t>
      </w:r>
      <w:r w:rsidR="00EB296D">
        <w:rPr>
          <w:rFonts w:cs="Arial"/>
          <w:bCs/>
          <w:color w:val="000000"/>
          <w:szCs w:val="20"/>
        </w:rPr>
        <w:t>:</w:t>
      </w:r>
    </w:p>
    <w:p w14:paraId="24F60AD2" w14:textId="2423ACAF"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a.)</w:t>
      </w:r>
      <w:r w:rsidRPr="00085BAD">
        <w:rPr>
          <w:rFonts w:cs="Arial"/>
          <w:bCs/>
          <w:color w:val="000000"/>
          <w:szCs w:val="20"/>
        </w:rPr>
        <w:tab/>
      </w:r>
      <w:r w:rsidR="00EB296D">
        <w:rPr>
          <w:rFonts w:cs="Arial"/>
          <w:bCs/>
          <w:color w:val="000000"/>
          <w:szCs w:val="20"/>
        </w:rPr>
        <w:t>Naložbe</w:t>
      </w:r>
      <w:r w:rsidRPr="00085BAD">
        <w:rPr>
          <w:rFonts w:cs="Arial"/>
          <w:bCs/>
          <w:color w:val="000000"/>
          <w:szCs w:val="20"/>
        </w:rPr>
        <w:t xml:space="preserve"> v proizvodno opremo na krovu</w:t>
      </w:r>
      <w:r w:rsidR="00EB296D">
        <w:rPr>
          <w:rFonts w:cs="Arial"/>
          <w:bCs/>
          <w:color w:val="000000"/>
          <w:szCs w:val="20"/>
        </w:rPr>
        <w:t>;</w:t>
      </w:r>
    </w:p>
    <w:p w14:paraId="0E09E811" w14:textId="4DC398A3"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Podpora bo namenjena</w:t>
      </w:r>
      <w:r w:rsidR="00EB296D">
        <w:rPr>
          <w:rFonts w:cs="Arial"/>
          <w:bCs/>
          <w:color w:val="000000"/>
          <w:szCs w:val="20"/>
        </w:rPr>
        <w:t xml:space="preserve"> </w:t>
      </w:r>
      <w:r w:rsidRPr="00085BAD">
        <w:rPr>
          <w:rFonts w:cs="Arial"/>
          <w:bCs/>
          <w:color w:val="000000"/>
          <w:szCs w:val="20"/>
        </w:rPr>
        <w:t>npr. izboljšanj</w:t>
      </w:r>
      <w:r w:rsidR="00EB296D">
        <w:rPr>
          <w:rFonts w:cs="Arial"/>
          <w:bCs/>
          <w:color w:val="000000"/>
          <w:szCs w:val="20"/>
        </w:rPr>
        <w:t>u</w:t>
      </w:r>
      <w:r w:rsidRPr="00085BAD">
        <w:rPr>
          <w:rFonts w:cs="Arial"/>
          <w:bCs/>
          <w:color w:val="000000"/>
          <w:szCs w:val="20"/>
        </w:rPr>
        <w:t xml:space="preserve"> po</w:t>
      </w:r>
      <w:r w:rsidR="00EB296D">
        <w:rPr>
          <w:rFonts w:cs="Arial"/>
          <w:bCs/>
          <w:color w:val="000000"/>
          <w:szCs w:val="20"/>
        </w:rPr>
        <w:t>gojev, povezanih z zamrzovanjem</w:t>
      </w:r>
      <w:r w:rsidRPr="00085BAD">
        <w:rPr>
          <w:rFonts w:cs="Arial"/>
          <w:bCs/>
          <w:color w:val="000000"/>
          <w:szCs w:val="20"/>
        </w:rPr>
        <w:t xml:space="preserve">. Podpirale se bodo naložbe v </w:t>
      </w:r>
      <w:r w:rsidR="00EB296D">
        <w:rPr>
          <w:rFonts w:cs="Arial"/>
          <w:bCs/>
          <w:color w:val="000000"/>
          <w:szCs w:val="20"/>
        </w:rPr>
        <w:t>proizvodn</w:t>
      </w:r>
      <w:r w:rsidR="0092074A">
        <w:rPr>
          <w:rFonts w:cs="Arial"/>
          <w:bCs/>
          <w:color w:val="000000"/>
          <w:szCs w:val="20"/>
        </w:rPr>
        <w:t>j</w:t>
      </w:r>
      <w:r w:rsidR="00EB296D">
        <w:rPr>
          <w:rFonts w:cs="Arial"/>
          <w:bCs/>
          <w:color w:val="000000"/>
          <w:szCs w:val="20"/>
        </w:rPr>
        <w:t>o</w:t>
      </w:r>
      <w:r w:rsidRPr="00085BAD">
        <w:rPr>
          <w:rFonts w:cs="Arial"/>
          <w:bCs/>
          <w:color w:val="000000"/>
          <w:szCs w:val="20"/>
        </w:rPr>
        <w:t xml:space="preserve">, ki bo omogočala večjo učinkovitost in trajnostnost pri izvajanju ribolovnih aktivnosti. </w:t>
      </w:r>
      <w:r w:rsidR="00EB296D">
        <w:rPr>
          <w:rFonts w:cs="Arial"/>
          <w:bCs/>
          <w:color w:val="000000"/>
          <w:szCs w:val="20"/>
        </w:rPr>
        <w:t>Podpirale se bodo tudi naložbe</w:t>
      </w:r>
      <w:r w:rsidRPr="00085BAD">
        <w:rPr>
          <w:rFonts w:cs="Arial"/>
          <w:bCs/>
          <w:color w:val="000000"/>
          <w:szCs w:val="20"/>
        </w:rPr>
        <w:t>, ki bodo omogočale zmanjšanje uporabe energije ter izboljševale energ</w:t>
      </w:r>
      <w:r w:rsidR="0092074A">
        <w:rPr>
          <w:rFonts w:cs="Arial"/>
          <w:bCs/>
          <w:color w:val="000000"/>
          <w:szCs w:val="20"/>
        </w:rPr>
        <w:t>ets</w:t>
      </w:r>
      <w:r w:rsidRPr="00085BAD">
        <w:rPr>
          <w:rFonts w:cs="Arial"/>
          <w:bCs/>
          <w:color w:val="000000"/>
          <w:szCs w:val="20"/>
        </w:rPr>
        <w:t>ko učinkovitost.</w:t>
      </w:r>
      <w:r>
        <w:rPr>
          <w:rFonts w:cs="Arial"/>
          <w:bCs/>
          <w:color w:val="000000"/>
          <w:szCs w:val="20"/>
        </w:rPr>
        <w:t xml:space="preserve"> </w:t>
      </w:r>
    </w:p>
    <w:p w14:paraId="647489C6" w14:textId="63C38293" w:rsid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b.)</w:t>
      </w:r>
      <w:r w:rsidRPr="00085BAD">
        <w:rPr>
          <w:rFonts w:cs="Arial"/>
          <w:bCs/>
          <w:color w:val="000000"/>
          <w:szCs w:val="20"/>
        </w:rPr>
        <w:tab/>
      </w:r>
      <w:r w:rsidR="00EB296D">
        <w:rPr>
          <w:rFonts w:cs="Arial"/>
          <w:bCs/>
          <w:color w:val="000000"/>
          <w:szCs w:val="20"/>
        </w:rPr>
        <w:t>Naložbe</w:t>
      </w:r>
      <w:r w:rsidRPr="00085BAD">
        <w:rPr>
          <w:rFonts w:cs="Arial"/>
          <w:bCs/>
          <w:color w:val="000000"/>
          <w:szCs w:val="20"/>
        </w:rPr>
        <w:t xml:space="preserve"> za izboljšanj</w:t>
      </w:r>
      <w:r>
        <w:rPr>
          <w:rFonts w:cs="Arial"/>
          <w:bCs/>
          <w:color w:val="000000"/>
          <w:szCs w:val="20"/>
        </w:rPr>
        <w:t>e navigacije</w:t>
      </w:r>
      <w:r w:rsidR="00713EB2">
        <w:rPr>
          <w:rFonts w:cs="Arial"/>
          <w:bCs/>
          <w:color w:val="000000"/>
          <w:szCs w:val="20"/>
        </w:rPr>
        <w:t>, plovnosti plovila</w:t>
      </w:r>
      <w:r>
        <w:rPr>
          <w:rFonts w:cs="Arial"/>
          <w:bCs/>
          <w:color w:val="000000"/>
          <w:szCs w:val="20"/>
        </w:rPr>
        <w:t xml:space="preserve"> in nadzora motorja</w:t>
      </w:r>
    </w:p>
    <w:p w14:paraId="134D579A" w14:textId="4F8015BA"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Ker je slovenska ribiška flota stara, se predvidevajo naložbe v plovila za izboljšave pogonskega sistema s ciljem zmanjšanj</w:t>
      </w:r>
      <w:r w:rsidR="00EB296D">
        <w:rPr>
          <w:rFonts w:cs="Arial"/>
          <w:bCs/>
          <w:color w:val="000000"/>
          <w:szCs w:val="20"/>
        </w:rPr>
        <w:t>a</w:t>
      </w:r>
      <w:r w:rsidRPr="00085BAD">
        <w:rPr>
          <w:rFonts w:cs="Arial"/>
          <w:bCs/>
          <w:color w:val="000000"/>
          <w:szCs w:val="20"/>
        </w:rPr>
        <w:t xml:space="preserve"> uporabljene energije in energetske učinkovitosti.</w:t>
      </w:r>
      <w:r w:rsidR="0092074A">
        <w:rPr>
          <w:rFonts w:cs="Arial"/>
          <w:bCs/>
          <w:color w:val="000000"/>
          <w:szCs w:val="20"/>
        </w:rPr>
        <w:t xml:space="preserve"> Naložbe v pogonski sistem bodo usmerjene v zamenjavo osovine oziroma ladijskih vijakov in sistema za prenos moči motorja.</w:t>
      </w:r>
    </w:p>
    <w:p w14:paraId="72F91F9E" w14:textId="7FCE6066"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c.)</w:t>
      </w:r>
      <w:r w:rsidRPr="00085BAD">
        <w:rPr>
          <w:rFonts w:cs="Arial"/>
          <w:bCs/>
          <w:color w:val="000000"/>
          <w:szCs w:val="20"/>
        </w:rPr>
        <w:tab/>
      </w:r>
      <w:r w:rsidR="007319C2">
        <w:rPr>
          <w:rFonts w:cs="Arial"/>
          <w:bCs/>
          <w:color w:val="000000"/>
          <w:szCs w:val="20"/>
        </w:rPr>
        <w:t>Zamenjava</w:t>
      </w:r>
      <w:r w:rsidR="007319C2" w:rsidRPr="00085BAD">
        <w:rPr>
          <w:rFonts w:cs="Arial"/>
          <w:bCs/>
          <w:color w:val="000000"/>
          <w:szCs w:val="20"/>
        </w:rPr>
        <w:t xml:space="preserve"> </w:t>
      </w:r>
      <w:r w:rsidRPr="00085BAD">
        <w:rPr>
          <w:rFonts w:cs="Arial"/>
          <w:bCs/>
          <w:color w:val="000000"/>
          <w:szCs w:val="20"/>
        </w:rPr>
        <w:t>ribolovnega orodja</w:t>
      </w:r>
    </w:p>
    <w:p w14:paraId="6F57C582" w14:textId="469C7EDF" w:rsidR="001B5B93"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Mož</w:t>
      </w:r>
      <w:r w:rsidR="007319C2">
        <w:rPr>
          <w:rFonts w:cs="Arial"/>
          <w:bCs/>
          <w:color w:val="000000"/>
          <w:szCs w:val="20"/>
        </w:rPr>
        <w:t>en bo nakup bolj selektivnega</w:t>
      </w:r>
      <w:r w:rsidRPr="00085BAD">
        <w:rPr>
          <w:rFonts w:cs="Arial"/>
          <w:bCs/>
          <w:color w:val="000000"/>
          <w:szCs w:val="20"/>
        </w:rPr>
        <w:t xml:space="preserve"> ribolovnega orodja, ki zmanjšuje neželen </w:t>
      </w:r>
      <w:r w:rsidR="00EB296D">
        <w:rPr>
          <w:rFonts w:cs="Arial"/>
          <w:bCs/>
          <w:color w:val="000000"/>
          <w:szCs w:val="20"/>
        </w:rPr>
        <w:t xml:space="preserve">ulov in </w:t>
      </w:r>
      <w:r w:rsidRPr="00085BAD">
        <w:rPr>
          <w:rFonts w:cs="Arial"/>
          <w:bCs/>
          <w:color w:val="000000"/>
          <w:szCs w:val="20"/>
        </w:rPr>
        <w:t xml:space="preserve">prilov (orodja, katerih mrežna očesa bodo </w:t>
      </w:r>
      <w:r w:rsidR="00133711">
        <w:rPr>
          <w:rFonts w:cs="Arial"/>
          <w:bCs/>
          <w:color w:val="000000"/>
          <w:szCs w:val="20"/>
        </w:rPr>
        <w:t xml:space="preserve">večja </w:t>
      </w:r>
      <w:r w:rsidRPr="00085BAD">
        <w:rPr>
          <w:rFonts w:cs="Arial"/>
          <w:bCs/>
          <w:color w:val="000000"/>
          <w:szCs w:val="20"/>
        </w:rPr>
        <w:t>od predpisanih z Sredozemsko uredbo 1976/2006)</w:t>
      </w:r>
      <w:r w:rsidR="00FE54DF">
        <w:rPr>
          <w:rFonts w:cs="Arial"/>
          <w:bCs/>
          <w:color w:val="000000"/>
          <w:szCs w:val="20"/>
        </w:rPr>
        <w:t>. To bo prispevalo k bolj trajnostnemu ribolovu</w:t>
      </w:r>
      <w:r w:rsidRPr="00085BAD">
        <w:rPr>
          <w:rFonts w:cs="Arial"/>
          <w:bCs/>
          <w:color w:val="000000"/>
          <w:szCs w:val="20"/>
        </w:rPr>
        <w:t xml:space="preserve">, </w:t>
      </w:r>
      <w:r w:rsidR="00EB296D">
        <w:rPr>
          <w:rFonts w:cs="Arial"/>
          <w:bCs/>
          <w:color w:val="000000"/>
          <w:szCs w:val="20"/>
        </w:rPr>
        <w:t xml:space="preserve">izvajanje tega tipa aktivnosti bo imelo večji vpliv na ohranjanje virov, </w:t>
      </w:r>
      <w:r w:rsidR="00133711">
        <w:rPr>
          <w:rFonts w:cs="Arial"/>
          <w:bCs/>
          <w:color w:val="000000"/>
          <w:szCs w:val="20"/>
        </w:rPr>
        <w:t>na zmanjšanje prelova vrst, za katere je znanstvena ocena slaba, prav tako pa bo aktivnost omogočila doseganje MSY</w:t>
      </w:r>
      <w:r w:rsidR="007319C2">
        <w:rPr>
          <w:rFonts w:cs="Arial"/>
          <w:bCs/>
          <w:color w:val="000000"/>
          <w:szCs w:val="20"/>
        </w:rPr>
        <w:t xml:space="preserve"> v okviru skupne ribiške politike ter imela pozitiven vpliv na biotsko raznovrstnost</w:t>
      </w:r>
      <w:r w:rsidR="001541F8">
        <w:rPr>
          <w:rFonts w:cs="Arial"/>
          <w:bCs/>
          <w:color w:val="000000"/>
          <w:szCs w:val="20"/>
        </w:rPr>
        <w:t xml:space="preserve">. </w:t>
      </w:r>
    </w:p>
    <w:p w14:paraId="5A3ED699" w14:textId="4FAB7780" w:rsidR="00085BAD" w:rsidRPr="00085BAD" w:rsidRDefault="00133711"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 xml:space="preserve">V okviru nakupa novih ribolovnih orodij bomo omogočili tudi nakup ribolovnih orodij, ki vsebujejo </w:t>
      </w:r>
      <w:r w:rsidR="007319C2">
        <w:rPr>
          <w:rFonts w:cs="Arial"/>
          <w:bCs/>
          <w:color w:val="000000"/>
          <w:szCs w:val="20"/>
        </w:rPr>
        <w:t>Polyamid</w:t>
      </w:r>
      <w:r>
        <w:rPr>
          <w:rFonts w:cs="Arial"/>
          <w:bCs/>
          <w:color w:val="000000"/>
          <w:szCs w:val="20"/>
        </w:rPr>
        <w:t xml:space="preserve"> 6. </w:t>
      </w:r>
      <w:r w:rsidR="007319C2">
        <w:rPr>
          <w:rFonts w:cs="Arial"/>
          <w:bCs/>
          <w:color w:val="000000"/>
          <w:szCs w:val="20"/>
        </w:rPr>
        <w:t xml:space="preserve">V Sloveniji je locirano podjetje, ki s pomočjo inovativne tehnologije plastiko, polyamid 6, reciklira in spreminja v najlonske niti; te se nato uporabijo za izdelavo športnih oblačil. Ker bi bila ribolovnim orodjem, ki vsebujejo Polyamid 6, na ta način omogočena dejanska reciklaža, bi bil to dober prispevek k večji biotski raznovrstnosti, saj odpadlo ribolovno orodje največkrat pristane na deponijah ali pa v morju. Zamenjava ribolovnih orodij s takšnimi bi bila </w:t>
      </w:r>
      <w:r w:rsidR="00085BAD" w:rsidRPr="00085BAD">
        <w:rPr>
          <w:rFonts w:cs="Arial"/>
          <w:bCs/>
          <w:color w:val="000000"/>
          <w:szCs w:val="20"/>
        </w:rPr>
        <w:t>komplementarn</w:t>
      </w:r>
      <w:r w:rsidR="007319C2">
        <w:rPr>
          <w:rFonts w:cs="Arial"/>
          <w:bCs/>
          <w:color w:val="000000"/>
          <w:szCs w:val="20"/>
        </w:rPr>
        <w:t>a aktivnosti zbiranja morskih odpadkov in odpadlega ribolovnega orodjana</w:t>
      </w:r>
      <w:r w:rsidR="00085BAD" w:rsidRPr="00085BAD">
        <w:rPr>
          <w:rFonts w:cs="Arial"/>
          <w:bCs/>
          <w:color w:val="000000"/>
          <w:szCs w:val="20"/>
        </w:rPr>
        <w:t xml:space="preserve"> cilj</w:t>
      </w:r>
      <w:r w:rsidR="007319C2">
        <w:rPr>
          <w:rFonts w:cs="Arial"/>
          <w:bCs/>
          <w:color w:val="000000"/>
          <w:szCs w:val="20"/>
        </w:rPr>
        <w:t>u</w:t>
      </w:r>
      <w:r w:rsidR="00085BAD" w:rsidRPr="00085BAD">
        <w:rPr>
          <w:rFonts w:cs="Arial"/>
          <w:bCs/>
          <w:color w:val="000000"/>
          <w:szCs w:val="20"/>
        </w:rPr>
        <w:t xml:space="preserve"> </w:t>
      </w:r>
      <w:r w:rsidR="00085BAD" w:rsidRPr="00085BAD">
        <w:rPr>
          <w:rFonts w:cs="Arial"/>
          <w:bCs/>
          <w:color w:val="000000"/>
          <w:szCs w:val="20"/>
        </w:rPr>
        <w:lastRenderedPageBreak/>
        <w:t>1.6.</w:t>
      </w:r>
      <w:r w:rsidR="009138B2">
        <w:rPr>
          <w:rFonts w:cs="Arial"/>
          <w:bCs/>
          <w:color w:val="000000"/>
          <w:szCs w:val="20"/>
        </w:rPr>
        <w:t xml:space="preserve"> Aktivnost bo prispevala k izpolnjevanju cilja 4.3, točke D, GFCM Strategije 2030, saj bo ribiče spodbudila k sodelovanju v krožnem gospodarstvu.</w:t>
      </w:r>
    </w:p>
    <w:p w14:paraId="37BBA27E" w14:textId="77777777"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d.)</w:t>
      </w:r>
      <w:r w:rsidRPr="00085BAD">
        <w:rPr>
          <w:rFonts w:cs="Arial"/>
          <w:bCs/>
          <w:color w:val="000000"/>
          <w:szCs w:val="20"/>
        </w:rPr>
        <w:tab/>
        <w:t>Zmanjšanje/ preprečevanje onesnaženja/kontaminacije</w:t>
      </w:r>
    </w:p>
    <w:p w14:paraId="34559FBB" w14:textId="7B15FCEB"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 xml:space="preserve">Omogočene bodo </w:t>
      </w:r>
      <w:r w:rsidR="00C429DA">
        <w:rPr>
          <w:rFonts w:cs="Arial"/>
          <w:bCs/>
          <w:color w:val="000000"/>
          <w:szCs w:val="20"/>
        </w:rPr>
        <w:t>naložbe</w:t>
      </w:r>
      <w:r w:rsidRPr="00085BAD">
        <w:rPr>
          <w:rFonts w:cs="Arial"/>
          <w:bCs/>
          <w:color w:val="000000"/>
          <w:szCs w:val="20"/>
        </w:rPr>
        <w:t xml:space="preserve"> v bolj ekološke premaze plovil</w:t>
      </w:r>
      <w:r w:rsidR="007A6F9C">
        <w:rPr>
          <w:rFonts w:cs="Arial"/>
          <w:bCs/>
          <w:color w:val="000000"/>
          <w:szCs w:val="20"/>
        </w:rPr>
        <w:t>.</w:t>
      </w:r>
    </w:p>
    <w:p w14:paraId="74C0C561" w14:textId="77777777"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e.)</w:t>
      </w:r>
      <w:r w:rsidRPr="00085BAD">
        <w:rPr>
          <w:rFonts w:cs="Arial"/>
          <w:bCs/>
          <w:color w:val="000000"/>
          <w:szCs w:val="20"/>
        </w:rPr>
        <w:tab/>
        <w:t>Naložbe v varnostno opremo</w:t>
      </w:r>
    </w:p>
    <w:p w14:paraId="22611B0B" w14:textId="1036054A" w:rsidR="00085BAD" w:rsidRP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 xml:space="preserve">Podpirale se bodo </w:t>
      </w:r>
      <w:r w:rsidR="0083768C">
        <w:rPr>
          <w:rFonts w:cs="Arial"/>
          <w:bCs/>
          <w:color w:val="000000"/>
          <w:szCs w:val="20"/>
        </w:rPr>
        <w:t>naložbe</w:t>
      </w:r>
      <w:r w:rsidRPr="00085BAD">
        <w:rPr>
          <w:rFonts w:cs="Arial"/>
          <w:bCs/>
          <w:color w:val="000000"/>
          <w:szCs w:val="20"/>
        </w:rPr>
        <w:t>, povezane z izboljšanimi zdravstvenimi pogoji, varnostjo pri delu ter boljšimi delovnimi pogoji (npr. nakup naprav za gašenje požarov, alarmnih sistemov</w:t>
      </w:r>
      <w:r w:rsidR="008741EC">
        <w:rPr>
          <w:rFonts w:cs="Arial"/>
          <w:bCs/>
          <w:color w:val="000000"/>
          <w:szCs w:val="20"/>
        </w:rPr>
        <w:t>, nakup AIS postaj</w:t>
      </w:r>
      <w:r w:rsidRPr="00085BAD">
        <w:rPr>
          <w:rFonts w:cs="Arial"/>
          <w:bCs/>
          <w:color w:val="000000"/>
          <w:szCs w:val="20"/>
        </w:rPr>
        <w:t xml:space="preserve"> itd.) </w:t>
      </w:r>
    </w:p>
    <w:p w14:paraId="661CEB97" w14:textId="01093F44" w:rsid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f.)</w:t>
      </w:r>
      <w:r w:rsidRPr="00085BAD">
        <w:rPr>
          <w:rFonts w:cs="Arial"/>
          <w:bCs/>
          <w:color w:val="000000"/>
          <w:szCs w:val="20"/>
        </w:rPr>
        <w:tab/>
        <w:t>Naložbe v delovne pogoje</w:t>
      </w:r>
    </w:p>
    <w:p w14:paraId="0FEDD095" w14:textId="40B597C3" w:rsidR="00085BAD" w:rsidRDefault="00085BAD"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r w:rsidRPr="00085BAD">
        <w:rPr>
          <w:rFonts w:cs="Arial"/>
          <w:bCs/>
          <w:color w:val="000000"/>
          <w:szCs w:val="20"/>
        </w:rPr>
        <w:t>Glede na to, da je slovenska flota sestavljena iz plovil, ki so večinoma plovila malega priobalnega ribolova, je večkrat na plovilih težava zagotavljati dobre delovne pogoje. Zato bomo ribičem omogočili izvajanje operacij, ki izboljšujejo delovne pogoje (oprema wc-jev, zavet</w:t>
      </w:r>
      <w:r w:rsidR="00AB0F29">
        <w:rPr>
          <w:rFonts w:cs="Arial"/>
          <w:bCs/>
          <w:color w:val="000000"/>
          <w:szCs w:val="20"/>
        </w:rPr>
        <w:t>ij …</w:t>
      </w:r>
      <w:r w:rsidRPr="00085BAD">
        <w:rPr>
          <w:rFonts w:cs="Arial"/>
          <w:bCs/>
          <w:color w:val="000000"/>
          <w:szCs w:val="20"/>
        </w:rPr>
        <w:t>).</w:t>
      </w:r>
    </w:p>
    <w:p w14:paraId="42696579" w14:textId="2300362B" w:rsidR="001541F8" w:rsidRDefault="001541F8" w:rsidP="001541F8">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 xml:space="preserve">Pričakujemo, da bomo z izvajanjem tega tipa aktivnosti pripomogli k izvajanju Strategije GFCM do leta 2030, in sicer stebra 1, aktivnosti C cilja 1.2, stebra 5, točke B cilja 5.2, stebra 4, točk A in B cilja 4.1, </w:t>
      </w:r>
    </w:p>
    <w:p w14:paraId="5DB09956" w14:textId="77777777" w:rsidR="001541F8" w:rsidRPr="00085BAD" w:rsidRDefault="001541F8" w:rsidP="00085BAD">
      <w:pPr>
        <w:pBdr>
          <w:top w:val="single" w:sz="4" w:space="1" w:color="auto"/>
          <w:left w:val="single" w:sz="4" w:space="4" w:color="auto"/>
          <w:bottom w:val="single" w:sz="4" w:space="0" w:color="auto"/>
          <w:right w:val="single" w:sz="4" w:space="13" w:color="auto"/>
        </w:pBdr>
        <w:jc w:val="both"/>
        <w:rPr>
          <w:rFonts w:cs="Arial"/>
          <w:bCs/>
          <w:color w:val="000000"/>
          <w:szCs w:val="20"/>
        </w:rPr>
      </w:pPr>
    </w:p>
    <w:p w14:paraId="65C04AD6" w14:textId="01D4E41B" w:rsidR="00F911C5" w:rsidRDefault="00E7344B" w:rsidP="009C1A4B">
      <w:pPr>
        <w:pBdr>
          <w:top w:val="single" w:sz="4" w:space="1" w:color="auto"/>
          <w:left w:val="single" w:sz="4" w:space="4" w:color="auto"/>
          <w:bottom w:val="single" w:sz="4" w:space="0" w:color="auto"/>
          <w:right w:val="single" w:sz="4" w:space="13" w:color="auto"/>
        </w:pBdr>
        <w:jc w:val="both"/>
        <w:rPr>
          <w:rFonts w:cs="Arial"/>
          <w:b/>
          <w:bCs/>
          <w:iCs/>
          <w:color w:val="000000"/>
          <w:szCs w:val="20"/>
        </w:rPr>
      </w:pPr>
      <w:r>
        <w:rPr>
          <w:rFonts w:cs="Arial"/>
          <w:b/>
          <w:iCs/>
          <w:color w:val="000000"/>
          <w:szCs w:val="20"/>
        </w:rPr>
        <w:t>2</w:t>
      </w:r>
      <w:r w:rsidR="00085BAD" w:rsidRPr="006D3B7E">
        <w:rPr>
          <w:rFonts w:cs="Arial"/>
          <w:b/>
          <w:bCs/>
          <w:iCs/>
          <w:color w:val="000000"/>
          <w:szCs w:val="20"/>
        </w:rPr>
        <w:t>.</w:t>
      </w:r>
      <w:r>
        <w:rPr>
          <w:rFonts w:cs="Arial"/>
          <w:b/>
          <w:bCs/>
          <w:iCs/>
          <w:color w:val="000000"/>
          <w:szCs w:val="20"/>
        </w:rPr>
        <w:t xml:space="preserve"> </w:t>
      </w:r>
      <w:r w:rsidR="00085BAD" w:rsidRPr="006D3B7E">
        <w:rPr>
          <w:rFonts w:cs="Arial"/>
          <w:b/>
          <w:bCs/>
          <w:iCs/>
          <w:color w:val="000000"/>
          <w:szCs w:val="20"/>
        </w:rPr>
        <w:t>Pristanišča</w:t>
      </w:r>
      <w:r w:rsidR="00085BAD">
        <w:rPr>
          <w:rFonts w:cs="Arial"/>
          <w:b/>
          <w:bCs/>
          <w:iCs/>
          <w:color w:val="000000"/>
          <w:szCs w:val="20"/>
        </w:rPr>
        <w:t>, ki zagotavljajo ustrezne delovne in trajnostne pogoje za ribiče</w:t>
      </w:r>
    </w:p>
    <w:p w14:paraId="334655DF" w14:textId="77777777" w:rsidR="00681EFB" w:rsidRDefault="00681EFB" w:rsidP="00CD10B6">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V okviru te aktivnosti bomo izvajali naslednje tipe aktivnosti:</w:t>
      </w:r>
    </w:p>
    <w:p w14:paraId="1947BA0F" w14:textId="1AAD51EE" w:rsidR="001C6A4C" w:rsidRDefault="001C6A4C" w:rsidP="00CD10B6">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47A53B28" w14:textId="1F01AA60" w:rsidR="00681EFB" w:rsidRPr="00681EFB" w:rsidRDefault="00681EFB" w:rsidP="00681EFB">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a) Ureditev</w:t>
      </w:r>
      <w:r w:rsidRPr="00681EFB">
        <w:rPr>
          <w:rFonts w:cs="Arial"/>
          <w:bCs/>
          <w:iCs/>
          <w:color w:val="000000"/>
          <w:szCs w:val="20"/>
        </w:rPr>
        <w:t>, ki izboljšuje varnostne in delovne pogoje ribičev – prispevek k modremu gospodarstvu (</w:t>
      </w:r>
      <w:r>
        <w:rPr>
          <w:rFonts w:cs="Arial"/>
          <w:bCs/>
          <w:iCs/>
          <w:color w:val="000000"/>
          <w:szCs w:val="20"/>
        </w:rPr>
        <w:t>zavetja za ribiče</w:t>
      </w:r>
      <w:r w:rsidRPr="00681EFB">
        <w:rPr>
          <w:rFonts w:cs="Arial"/>
          <w:bCs/>
          <w:iCs/>
          <w:color w:val="000000"/>
          <w:szCs w:val="20"/>
        </w:rPr>
        <w:t>; infrastruktura, naprave in oprema za izboljšanje varnostnih in delovnih pogojev v pristaniščih; prostori ali zabojniki za shranjevanje ribolovne opreme, delovnih pripomočkov in opreme v ribiškem pristanišču; hladilnice, tehtnice, delovne mize itd.);</w:t>
      </w:r>
    </w:p>
    <w:p w14:paraId="28DB4F2A" w14:textId="42C0D163" w:rsidR="00681EFB" w:rsidRPr="00681EFB" w:rsidRDefault="00681EFB" w:rsidP="00681EFB">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681EFB">
        <w:rPr>
          <w:rFonts w:cs="Arial"/>
          <w:bCs/>
          <w:iCs/>
          <w:color w:val="000000"/>
          <w:szCs w:val="20"/>
        </w:rPr>
        <w:t>b)</w:t>
      </w:r>
      <w:r>
        <w:rPr>
          <w:rFonts w:cs="Arial"/>
          <w:bCs/>
          <w:iCs/>
          <w:color w:val="000000"/>
          <w:szCs w:val="20"/>
        </w:rPr>
        <w:t xml:space="preserve"> Ureditev z</w:t>
      </w:r>
      <w:r w:rsidRPr="00681EFB">
        <w:rPr>
          <w:rFonts w:cs="Arial"/>
          <w:bCs/>
          <w:iCs/>
          <w:color w:val="000000"/>
          <w:szCs w:val="20"/>
        </w:rPr>
        <w:t>a povečanje kakovosti, nadzora in sledljivosti iztovorjenih ribiških proizvodov v ribiškem pristanišču, vključno z izboljšanjem higienskih pogojev (npr. naprav in opreme za čiščenje rib);</w:t>
      </w:r>
    </w:p>
    <w:p w14:paraId="0078CBBD" w14:textId="7EDCD429" w:rsidR="00681EFB" w:rsidRPr="00681EFB" w:rsidRDefault="00681EFB" w:rsidP="00681EFB">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681EFB">
        <w:rPr>
          <w:rFonts w:cs="Arial"/>
          <w:bCs/>
          <w:iCs/>
          <w:color w:val="000000"/>
          <w:szCs w:val="20"/>
        </w:rPr>
        <w:t xml:space="preserve">c) </w:t>
      </w:r>
      <w:r>
        <w:rPr>
          <w:rFonts w:cs="Arial"/>
          <w:bCs/>
          <w:iCs/>
          <w:color w:val="000000"/>
          <w:szCs w:val="20"/>
        </w:rPr>
        <w:t>Ureditev</w:t>
      </w:r>
      <w:r w:rsidRPr="00681EFB">
        <w:rPr>
          <w:rFonts w:cs="Arial"/>
          <w:bCs/>
          <w:iCs/>
          <w:color w:val="000000"/>
          <w:szCs w:val="20"/>
        </w:rPr>
        <w:t xml:space="preserve"> za sidranje in privezovanje ribiških plovil ter prispevanje k splošni varnosti v ribiškem pristanišču; </w:t>
      </w:r>
    </w:p>
    <w:p w14:paraId="352CBE18" w14:textId="03DF394C" w:rsidR="00681EFB" w:rsidRPr="00681EFB" w:rsidRDefault="00681EFB" w:rsidP="00681EFB">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681EFB">
        <w:rPr>
          <w:rFonts w:cs="Arial"/>
          <w:bCs/>
          <w:iCs/>
          <w:color w:val="000000"/>
          <w:szCs w:val="20"/>
        </w:rPr>
        <w:t xml:space="preserve">d) </w:t>
      </w:r>
      <w:r>
        <w:rPr>
          <w:rFonts w:cs="Arial"/>
          <w:bCs/>
          <w:iCs/>
          <w:color w:val="000000"/>
          <w:szCs w:val="20"/>
        </w:rPr>
        <w:t>Ureditev</w:t>
      </w:r>
      <w:r w:rsidRPr="00681EFB">
        <w:rPr>
          <w:rFonts w:cs="Arial"/>
          <w:bCs/>
          <w:iCs/>
          <w:color w:val="000000"/>
          <w:szCs w:val="20"/>
        </w:rPr>
        <w:t xml:space="preserve"> za prispevanje k varovanju okolja, vključno z možnostjo ureditve zabojnikov za shranjevanje odpadlega ribolovnega orodja ter povečanjem energetske učinkovitosti; </w:t>
      </w:r>
      <w:r>
        <w:rPr>
          <w:rFonts w:cs="Arial"/>
          <w:bCs/>
          <w:iCs/>
          <w:color w:val="000000"/>
          <w:szCs w:val="20"/>
        </w:rPr>
        <w:t>Tovrstne naložbe bodo komplementarne aktivnosti Varovanje in ohranjanje vodne in morske biotske raznovrstnost na cilju 1.6</w:t>
      </w:r>
      <w:r>
        <w:rPr>
          <w:rFonts w:cs="Arial"/>
          <w:bCs/>
          <w:iCs/>
          <w:color w:val="000000"/>
          <w:szCs w:val="20"/>
        </w:rPr>
        <w:t>;</w:t>
      </w:r>
    </w:p>
    <w:p w14:paraId="43B7BB86" w14:textId="641ABE20" w:rsidR="00F67BFC" w:rsidRPr="00CD10B6" w:rsidRDefault="00681EFB" w:rsidP="00681EFB">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681EFB">
        <w:rPr>
          <w:rFonts w:cs="Arial"/>
          <w:bCs/>
          <w:iCs/>
          <w:color w:val="000000"/>
          <w:szCs w:val="20"/>
        </w:rPr>
        <w:t xml:space="preserve">d) </w:t>
      </w:r>
      <w:r>
        <w:rPr>
          <w:rFonts w:cs="Arial"/>
          <w:bCs/>
          <w:iCs/>
          <w:color w:val="000000"/>
          <w:szCs w:val="20"/>
        </w:rPr>
        <w:t>Ureditev</w:t>
      </w:r>
      <w:r w:rsidRPr="00681EFB">
        <w:rPr>
          <w:rFonts w:cs="Arial"/>
          <w:bCs/>
          <w:iCs/>
          <w:color w:val="000000"/>
          <w:szCs w:val="20"/>
        </w:rPr>
        <w:t xml:space="preserve"> za izvajanje obveznosti iztovora neželenega ulova. Slovenija ima trenutno s strani Evropske komisije de minimis izjeme (Delegirani uredbi Komisije 2018/161 in 2021/2064). Če katera od teh izjem preneha veljati, bo ta aktivnost namenjena tudi nakupu naprav in opreme za izvajanje obveznosti iztovora zavržkov. Za ta namen se bo podprlo tudi naložbe za olajšanje iztovarjanja in skladiščenje neželenega ulova, ki ga bo treba iztovoriti in obravnavati ter hraniti ločeno od ulova za prehrano ljudi</w:t>
      </w:r>
      <w:r>
        <w:rPr>
          <w:rFonts w:cs="Arial"/>
          <w:bCs/>
          <w:iCs/>
          <w:color w:val="000000"/>
          <w:szCs w:val="20"/>
        </w:rPr>
        <w:t>.</w:t>
      </w:r>
    </w:p>
    <w:p w14:paraId="2ED245D7" w14:textId="43A1ACB2" w:rsidR="005A0368" w:rsidRDefault="005A0368" w:rsidP="00CD10B6">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3F77844D" w14:textId="3D465936" w:rsidR="00E11F90" w:rsidRPr="008E6BB7" w:rsidRDefault="007F2859" w:rsidP="00E11F90">
      <w:pPr>
        <w:pBdr>
          <w:top w:val="single" w:sz="4" w:space="1" w:color="auto"/>
          <w:left w:val="single" w:sz="4" w:space="4" w:color="auto"/>
          <w:bottom w:val="single" w:sz="4" w:space="0" w:color="auto"/>
          <w:right w:val="single" w:sz="4" w:space="13" w:color="auto"/>
        </w:pBdr>
        <w:jc w:val="both"/>
        <w:rPr>
          <w:rFonts w:cs="Arial"/>
          <w:b/>
          <w:bCs/>
          <w:iCs/>
          <w:color w:val="000000"/>
          <w:szCs w:val="20"/>
        </w:rPr>
      </w:pPr>
      <w:r>
        <w:rPr>
          <w:rFonts w:cs="Arial"/>
          <w:b/>
          <w:bCs/>
          <w:iCs/>
          <w:color w:val="000000"/>
          <w:szCs w:val="20"/>
        </w:rPr>
        <w:t>3</w:t>
      </w:r>
      <w:r w:rsidR="00E11F90" w:rsidRPr="008E6BB7">
        <w:rPr>
          <w:rFonts w:cs="Arial"/>
          <w:b/>
          <w:bCs/>
          <w:iCs/>
          <w:color w:val="000000"/>
          <w:szCs w:val="20"/>
        </w:rPr>
        <w:t>. Spodbujanje ohranjanja kakovosti proizvodov znotraj kratkih verig za ribiške proizvode</w:t>
      </w:r>
    </w:p>
    <w:p w14:paraId="3AADED6E" w14:textId="0ED74EE2" w:rsidR="00216B35" w:rsidRDefault="00E11F90" w:rsidP="00E11F90">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E11F90">
        <w:rPr>
          <w:rFonts w:cs="Arial"/>
          <w:bCs/>
          <w:iCs/>
          <w:color w:val="000000"/>
          <w:szCs w:val="20"/>
        </w:rPr>
        <w:t xml:space="preserve">Sektor slovenskega morskega ribištva se nahaja pred številnimi izzivi, med katerimi je tudi zagotavljanje višje kakovosti ribiških proizvodov, ohranjanje kratkih verig ter dvig dodane vrednosti. Večina slovenskega ulova se proda na mestu prve prodaje v Trstu. Tudi nova nadzorna uredba EU bo omogočala prodajo manjših količin kupcu direktno od ribiča, kar je dobra podlaga za spodbujanje kratkih verig, ki so lokalno, ob obali, že vzpostavljene, tudi v drugih regijah. Še posebej, ker so te prepoznane kot pomemben del prehranske varnosti v skladu s Strategijo od vil do vilic. Prehranska varnost je postala še toliko bolj pomembna ob pojavu pandemije, povezane s COVID-19. Kratke verige prispevajo k bolj trajnostnemu prehranskemu sistemu, v skladu s pričakovanji potrošnikov. OP ESPRA 2021-2027 bo sektor morskega gospodarskega ribolova spodbudil k ohranitvi in dvigu kakovosti proizvodov preko ohranjanja kratkih prodajnih oziroma dobavnih verig pri prevozu in distribuciji ulova ribičev do končnega odjemalca, ob zagotavljanju </w:t>
      </w:r>
      <w:r w:rsidRPr="00E11F90">
        <w:rPr>
          <w:rFonts w:cs="Arial"/>
          <w:bCs/>
          <w:iCs/>
          <w:color w:val="000000"/>
          <w:szCs w:val="20"/>
        </w:rPr>
        <w:lastRenderedPageBreak/>
        <w:t>nepretrgane hladne verige. Ocenjujemo, da je pomembno spodbujati ukrepe za ohranitev kratkih verig ter za dodatna krajšanja verig od proizvajalca do potrošnika ter izvajanje promocijskih dejavnosti v sklopu turistične ponudbe, s poudarkom na svežini in kakovosti lokalnega ulova. Raziskave (v: Aragon, 2018) so pokazale, da dajejo potrošniki prednost domačim izdelkom pred uvoženimi, saj menijo, da so ti izdelki višje kakovosti, so bolj varni in bolj sveži. Vzroke za takšno mnenje je mogoče iskati tako na področju racionalnega kot tudi emocionalnega/simboličnega. Z racionalnega stališča veljajo domači izdelki za bolj sveže zaradi dejstva, da so ribe hitro pokvarljive in je zato pomembno, da se na poti od mesta ulova do prodaje uporabi kar najmanj prezervacijskih postopkov. Ob nakupu rib so potrošniki najbolj pozorni na vrsto ribe in rok trajanja, kar pri sveži ribi seveda kaže na dimenzijo svežine. Na tem mestu vidimo mnoge priložnosti za ohranjanje lokalnega sektorja ribištva ter za lokalno preskrbo trga s svežimi ribami ter ribiškimi proizvodi. Navedene aktivnosti bi omogočale ohra</w:t>
      </w:r>
      <w:r w:rsidR="008D242B">
        <w:rPr>
          <w:rFonts w:cs="Arial"/>
          <w:bCs/>
          <w:iCs/>
          <w:color w:val="000000"/>
          <w:szCs w:val="20"/>
        </w:rPr>
        <w:t>njanje nekaterih delovnih mest in promocijo poklica ribiča.</w:t>
      </w:r>
    </w:p>
    <w:p w14:paraId="74F9E002" w14:textId="1173C75E" w:rsidR="0045623E" w:rsidRPr="00714475" w:rsidRDefault="0045623E" w:rsidP="00E11F90">
      <w:pPr>
        <w:pBdr>
          <w:top w:val="single" w:sz="4" w:space="1" w:color="auto"/>
          <w:left w:val="single" w:sz="4" w:space="4" w:color="auto"/>
          <w:bottom w:val="single" w:sz="4" w:space="0" w:color="auto"/>
          <w:right w:val="single" w:sz="4" w:space="13" w:color="auto"/>
        </w:pBdr>
        <w:jc w:val="both"/>
        <w:rPr>
          <w:rFonts w:cs="Arial"/>
          <w:b/>
          <w:bCs/>
          <w:iCs/>
          <w:color w:val="000000"/>
          <w:szCs w:val="20"/>
        </w:rPr>
      </w:pPr>
    </w:p>
    <w:p w14:paraId="21B40FAE" w14:textId="0CE7024C" w:rsidR="0045623E" w:rsidRPr="00714475" w:rsidRDefault="0045623E" w:rsidP="00E11F90">
      <w:pPr>
        <w:pBdr>
          <w:top w:val="single" w:sz="4" w:space="1" w:color="auto"/>
          <w:left w:val="single" w:sz="4" w:space="4" w:color="auto"/>
          <w:bottom w:val="single" w:sz="4" w:space="0" w:color="auto"/>
          <w:right w:val="single" w:sz="4" w:space="13" w:color="auto"/>
        </w:pBdr>
        <w:jc w:val="both"/>
        <w:rPr>
          <w:rFonts w:cs="Arial"/>
          <w:b/>
          <w:bCs/>
          <w:iCs/>
          <w:color w:val="000000"/>
          <w:szCs w:val="20"/>
        </w:rPr>
      </w:pPr>
      <w:r w:rsidRPr="00714475">
        <w:rPr>
          <w:rFonts w:cs="Arial"/>
          <w:b/>
          <w:bCs/>
          <w:iCs/>
          <w:color w:val="000000"/>
          <w:szCs w:val="20"/>
        </w:rPr>
        <w:t>4. Blažitev podnebnih sprememb in krepitev ekonomske trajnosti sektorja</w:t>
      </w:r>
    </w:p>
    <w:p w14:paraId="3CEA3D78" w14:textId="2CDE1451" w:rsidR="001E62A9" w:rsidRDefault="001E62A9" w:rsidP="00E11F90">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Z</w:t>
      </w:r>
      <w:r w:rsidRPr="001E62A9">
        <w:rPr>
          <w:rFonts w:cs="Arial"/>
          <w:bCs/>
          <w:iCs/>
          <w:color w:val="000000"/>
          <w:szCs w:val="20"/>
        </w:rPr>
        <w:t xml:space="preserve"> globalnimi </w:t>
      </w:r>
      <w:r>
        <w:rPr>
          <w:rFonts w:cs="Arial"/>
          <w:bCs/>
          <w:iCs/>
          <w:color w:val="000000"/>
          <w:szCs w:val="20"/>
        </w:rPr>
        <w:t>podnebnimi</w:t>
      </w:r>
      <w:r w:rsidRPr="001E62A9">
        <w:rPr>
          <w:rFonts w:cs="Arial"/>
          <w:bCs/>
          <w:iCs/>
          <w:color w:val="000000"/>
          <w:szCs w:val="20"/>
        </w:rPr>
        <w:t xml:space="preserve"> spremembami in kot posledica človeških posegov v morje (turizem, gospodarstvo), se </w:t>
      </w:r>
      <w:r w:rsidR="001D6BE8">
        <w:rPr>
          <w:rFonts w:cs="Arial"/>
          <w:bCs/>
          <w:iCs/>
          <w:color w:val="000000"/>
          <w:szCs w:val="20"/>
        </w:rPr>
        <w:t>biotska raznovrstnost na morju spreminja. Š</w:t>
      </w:r>
      <w:r w:rsidRPr="001E62A9">
        <w:rPr>
          <w:rFonts w:cs="Arial"/>
          <w:bCs/>
          <w:iCs/>
          <w:color w:val="000000"/>
          <w:szCs w:val="20"/>
        </w:rPr>
        <w:t>tevilo nekaterih organizmov</w:t>
      </w:r>
      <w:r w:rsidR="001D6BE8">
        <w:rPr>
          <w:rFonts w:cs="Arial"/>
          <w:bCs/>
          <w:iCs/>
          <w:color w:val="000000"/>
          <w:szCs w:val="20"/>
        </w:rPr>
        <w:t>, ki bi lahko bili plenilci meduz,</w:t>
      </w:r>
      <w:r w:rsidRPr="001E62A9">
        <w:rPr>
          <w:rFonts w:cs="Arial"/>
          <w:bCs/>
          <w:iCs/>
          <w:color w:val="000000"/>
          <w:szCs w:val="20"/>
        </w:rPr>
        <w:t xml:space="preserve"> </w:t>
      </w:r>
      <w:r w:rsidR="001D6BE8">
        <w:rPr>
          <w:rFonts w:cs="Arial"/>
          <w:bCs/>
          <w:iCs/>
          <w:color w:val="000000"/>
          <w:szCs w:val="20"/>
        </w:rPr>
        <w:t xml:space="preserve">se </w:t>
      </w:r>
      <w:r w:rsidRPr="001E62A9">
        <w:rPr>
          <w:rFonts w:cs="Arial"/>
          <w:bCs/>
          <w:iCs/>
          <w:color w:val="000000"/>
          <w:szCs w:val="20"/>
        </w:rPr>
        <w:t>manjša</w:t>
      </w:r>
      <w:r w:rsidR="001D6BE8">
        <w:rPr>
          <w:rFonts w:cs="Arial"/>
          <w:bCs/>
          <w:iCs/>
          <w:color w:val="000000"/>
          <w:szCs w:val="20"/>
        </w:rPr>
        <w:t>, zato se njihova prisotnost v slovenskem morju povečuje. Meduze so obenem tudi zelo prilagodljiva bitja. Njihov večji pojav v zadnji</w:t>
      </w:r>
      <w:r w:rsidR="003F6F43">
        <w:rPr>
          <w:rFonts w:cs="Arial"/>
          <w:bCs/>
          <w:iCs/>
          <w:color w:val="000000"/>
          <w:szCs w:val="20"/>
        </w:rPr>
        <w:t>h</w:t>
      </w:r>
      <w:r w:rsidR="001D6BE8">
        <w:rPr>
          <w:rFonts w:cs="Arial"/>
          <w:bCs/>
          <w:iCs/>
          <w:color w:val="000000"/>
          <w:szCs w:val="20"/>
        </w:rPr>
        <w:t xml:space="preserve"> letih </w:t>
      </w:r>
      <w:r w:rsidRPr="001E62A9">
        <w:rPr>
          <w:rFonts w:cs="Arial"/>
          <w:bCs/>
          <w:iCs/>
          <w:color w:val="000000"/>
          <w:szCs w:val="20"/>
        </w:rPr>
        <w:t>opažajo tako znanstveniki, kakor tudi gospodarstveniki, med njimi ribiči. Znani so primeri, ko so meduze zamašile izpuste čistilnih naprav</w:t>
      </w:r>
      <w:r w:rsidR="001D6BE8">
        <w:rPr>
          <w:rFonts w:cs="Arial"/>
          <w:bCs/>
          <w:iCs/>
          <w:color w:val="000000"/>
          <w:szCs w:val="20"/>
        </w:rPr>
        <w:t>,</w:t>
      </w:r>
      <w:r w:rsidRPr="001E62A9">
        <w:rPr>
          <w:rFonts w:cs="Arial"/>
          <w:bCs/>
          <w:iCs/>
          <w:color w:val="000000"/>
          <w:szCs w:val="20"/>
        </w:rPr>
        <w:t xml:space="preserve"> ter primeri, ko se meduze ujamejo v mreže ribičev, jih </w:t>
      </w:r>
      <w:r w:rsidR="001D6BE8">
        <w:rPr>
          <w:rFonts w:cs="Arial"/>
          <w:bCs/>
          <w:iCs/>
          <w:color w:val="000000"/>
          <w:szCs w:val="20"/>
        </w:rPr>
        <w:t>trgajo in s tem povzročajo gospodarsko škodo.</w:t>
      </w:r>
      <w:r w:rsidRPr="001E62A9">
        <w:rPr>
          <w:rFonts w:cs="Arial"/>
          <w:bCs/>
          <w:iCs/>
          <w:color w:val="000000"/>
          <w:szCs w:val="20"/>
        </w:rPr>
        <w:t xml:space="preserve"> Ravno ribiči, zaradi svoje redne prisotnost</w:t>
      </w:r>
      <w:r w:rsidR="001D6BE8">
        <w:rPr>
          <w:rFonts w:cs="Arial"/>
          <w:bCs/>
          <w:iCs/>
          <w:color w:val="000000"/>
          <w:szCs w:val="20"/>
        </w:rPr>
        <w:t>i</w:t>
      </w:r>
      <w:r w:rsidRPr="001E62A9">
        <w:rPr>
          <w:rFonts w:cs="Arial"/>
          <w:bCs/>
          <w:iCs/>
          <w:color w:val="000000"/>
          <w:szCs w:val="20"/>
        </w:rPr>
        <w:t xml:space="preserve"> na morju</w:t>
      </w:r>
      <w:r w:rsidR="001D6BE8">
        <w:rPr>
          <w:rFonts w:cs="Arial"/>
          <w:bCs/>
          <w:iCs/>
          <w:color w:val="000000"/>
          <w:szCs w:val="20"/>
        </w:rPr>
        <w:t>,</w:t>
      </w:r>
      <w:r w:rsidRPr="001E62A9">
        <w:rPr>
          <w:rFonts w:cs="Arial"/>
          <w:bCs/>
          <w:iCs/>
          <w:color w:val="000000"/>
          <w:szCs w:val="20"/>
        </w:rPr>
        <w:t xml:space="preserve"> poročajo o značilnem porastu meduzne bio</w:t>
      </w:r>
      <w:r w:rsidR="003F6F43">
        <w:rPr>
          <w:rFonts w:cs="Arial"/>
          <w:bCs/>
          <w:iCs/>
          <w:color w:val="000000"/>
          <w:szCs w:val="20"/>
        </w:rPr>
        <w:t>mase v zadnjih petnajstih letih</w:t>
      </w:r>
      <w:r w:rsidR="001D6BE8">
        <w:rPr>
          <w:rFonts w:cs="Arial"/>
          <w:bCs/>
          <w:iCs/>
          <w:color w:val="000000"/>
          <w:szCs w:val="20"/>
        </w:rPr>
        <w:t>.</w:t>
      </w:r>
      <w:r w:rsidR="001D6BE8" w:rsidRPr="001D6BE8">
        <w:t xml:space="preserve"> </w:t>
      </w:r>
      <w:r w:rsidR="001D6BE8" w:rsidRPr="001D6BE8">
        <w:rPr>
          <w:rFonts w:cs="Arial"/>
          <w:bCs/>
          <w:iCs/>
          <w:color w:val="000000"/>
          <w:szCs w:val="20"/>
        </w:rPr>
        <w:t>Meduze se namreč ujamejo v mreže ter povzročajo škodo na dveh nivojih: (i) zaradi svoje teže trgajo mreže in povečuje se strošek zaradi njihove pogostejše zamenjave ter (ii) zmanjšujejo ulov rib, saj mašijo mreže, ki postanejo nedostopne za ulov rib.</w:t>
      </w:r>
      <w:r w:rsidR="001D6BE8">
        <w:rPr>
          <w:rFonts w:cs="Arial"/>
          <w:bCs/>
          <w:iCs/>
          <w:color w:val="000000"/>
          <w:szCs w:val="20"/>
        </w:rPr>
        <w:t xml:space="preserve"> </w:t>
      </w:r>
      <w:r w:rsidR="001D6BE8" w:rsidRPr="001D6BE8">
        <w:rPr>
          <w:rFonts w:cs="Arial"/>
          <w:bCs/>
          <w:iCs/>
          <w:color w:val="000000"/>
          <w:szCs w:val="20"/>
        </w:rPr>
        <w:t xml:space="preserve">V najhujših letih je tako </w:t>
      </w:r>
      <w:r w:rsidR="003F6F43">
        <w:rPr>
          <w:rFonts w:cs="Arial"/>
          <w:bCs/>
          <w:iCs/>
          <w:color w:val="000000"/>
          <w:szCs w:val="20"/>
        </w:rPr>
        <w:t>ocenjena izguba tudi d</w:t>
      </w:r>
      <w:r w:rsidR="001D6BE8" w:rsidRPr="001D6BE8">
        <w:rPr>
          <w:rFonts w:cs="Arial"/>
          <w:bCs/>
          <w:iCs/>
          <w:color w:val="000000"/>
          <w:szCs w:val="20"/>
        </w:rPr>
        <w:t>o 30 % na letni ravni. Meduze, ki se pomotoma ujamejo v mreže ribičev</w:t>
      </w:r>
      <w:r w:rsidR="003F6F43">
        <w:rPr>
          <w:rFonts w:cs="Arial"/>
          <w:bCs/>
          <w:iCs/>
          <w:color w:val="000000"/>
          <w:szCs w:val="20"/>
        </w:rPr>
        <w:t>,</w:t>
      </w:r>
      <w:r w:rsidR="001D6BE8" w:rsidRPr="001D6BE8">
        <w:rPr>
          <w:rFonts w:cs="Arial"/>
          <w:bCs/>
          <w:iCs/>
          <w:color w:val="000000"/>
          <w:szCs w:val="20"/>
        </w:rPr>
        <w:t xml:space="preserve"> predstavljajo odpad. </w:t>
      </w:r>
      <w:r w:rsidR="003F6F43">
        <w:rPr>
          <w:rFonts w:cs="Arial"/>
          <w:bCs/>
          <w:iCs/>
          <w:color w:val="000000"/>
          <w:szCs w:val="20"/>
        </w:rPr>
        <w:t xml:space="preserve">Pri iskanju </w:t>
      </w:r>
      <w:r w:rsidR="001D6BE8">
        <w:rPr>
          <w:rFonts w:cs="Arial"/>
          <w:bCs/>
          <w:iCs/>
          <w:color w:val="000000"/>
          <w:szCs w:val="20"/>
        </w:rPr>
        <w:t xml:space="preserve">rešitev za krepitev gospodarske trajnosti lahko zelo pomaga povezava z modrimi biotehnologijami. </w:t>
      </w:r>
      <w:r w:rsidR="001D6BE8" w:rsidRPr="001D6BE8">
        <w:rPr>
          <w:rFonts w:cs="Arial"/>
          <w:bCs/>
          <w:iCs/>
          <w:color w:val="000000"/>
          <w:szCs w:val="20"/>
        </w:rPr>
        <w:t>V Sporočilu</w:t>
      </w:r>
      <w:r w:rsidR="001D6BE8">
        <w:rPr>
          <w:rFonts w:cs="Arial"/>
          <w:bCs/>
          <w:iCs/>
          <w:color w:val="000000"/>
          <w:szCs w:val="20"/>
        </w:rPr>
        <w:t xml:space="preserve"> Evropske komisije</w:t>
      </w:r>
      <w:r w:rsidR="001D6BE8" w:rsidRPr="001D6BE8">
        <w:rPr>
          <w:rFonts w:cs="Arial"/>
          <w:bCs/>
          <w:iCs/>
          <w:color w:val="000000"/>
          <w:szCs w:val="20"/>
        </w:rPr>
        <w:t xml:space="preserve"> o novem pristopu za trajnostno modro gospodarstvo v EU (COM(2021) 240) je poudarjen pomen oblikovanja novih ekonomskih modelov, ki temeljijo na inovacijah, krožnem gospodarstvu in spodbujanju trajnostne uporabe novih virov za proizvodnjo npr. prehranskih dopolnil, kozmetičnih pripomočkov, novih materialov.</w:t>
      </w:r>
      <w:r w:rsidR="001D6BE8">
        <w:rPr>
          <w:rFonts w:cs="Arial"/>
          <w:bCs/>
          <w:iCs/>
          <w:color w:val="000000"/>
          <w:szCs w:val="20"/>
        </w:rPr>
        <w:t xml:space="preserve"> Pri meduzah je na primer takšna priložnost v pridobivanju kolagena ter iskanju </w:t>
      </w:r>
      <w:r w:rsidR="003F6F43">
        <w:rPr>
          <w:rFonts w:cs="Arial"/>
          <w:bCs/>
          <w:iCs/>
          <w:color w:val="000000"/>
          <w:szCs w:val="20"/>
        </w:rPr>
        <w:t xml:space="preserve">trajnih gospodarskih </w:t>
      </w:r>
      <w:r w:rsidR="001D6BE8">
        <w:rPr>
          <w:rFonts w:cs="Arial"/>
          <w:bCs/>
          <w:iCs/>
          <w:color w:val="000000"/>
          <w:szCs w:val="20"/>
        </w:rPr>
        <w:t xml:space="preserve">rešitev za ribiče. Ta tip aktivnosti pa bo odprt tudi za iskanje drugih rešitev za odpravljanje posledic podnebnih sprememb ter iskanje dolgoročnih modelov za krepitev gospodarske trajnosti </w:t>
      </w:r>
      <w:r w:rsidR="003F6F43">
        <w:rPr>
          <w:rFonts w:cs="Arial"/>
          <w:bCs/>
          <w:iCs/>
          <w:color w:val="000000"/>
          <w:szCs w:val="20"/>
        </w:rPr>
        <w:t>sektorja morskega gospodarskega ribolova.</w:t>
      </w:r>
    </w:p>
    <w:p w14:paraId="6167E445" w14:textId="77777777" w:rsidR="001146BA" w:rsidRDefault="001146BA" w:rsidP="00A92105">
      <w:pPr>
        <w:jc w:val="both"/>
        <w:rPr>
          <w:noProof/>
        </w:rPr>
      </w:pPr>
      <w:bookmarkStart w:id="8" w:name="_Hlk60831801"/>
    </w:p>
    <w:p w14:paraId="6B6E79D4" w14:textId="03B8F189" w:rsidR="00BC39FE" w:rsidRPr="00BC39FE" w:rsidRDefault="00BC39FE" w:rsidP="00A92105">
      <w:pPr>
        <w:jc w:val="both"/>
        <w:rPr>
          <w:i/>
          <w:noProof/>
        </w:rPr>
      </w:pPr>
      <w:r w:rsidRPr="00BC39FE">
        <w:rPr>
          <w:i/>
          <w:noProof/>
        </w:rPr>
        <w:t>Glavne ciljne skupine</w:t>
      </w:r>
      <w:r w:rsidR="00582756">
        <w:rPr>
          <w:i/>
          <w:noProof/>
        </w:rPr>
        <w:t xml:space="preserve"> – Člen 22(3)(d)(iii)</w:t>
      </w:r>
    </w:p>
    <w:p w14:paraId="2326C462" w14:textId="6D6C365D" w:rsidR="00697618" w:rsidRPr="00BC39FE" w:rsidRDefault="009C1A4B" w:rsidP="00A92105">
      <w:pPr>
        <w:jc w:val="both"/>
        <w:rPr>
          <w:noProof/>
        </w:rPr>
      </w:pPr>
      <w:r w:rsidRPr="00BC39FE">
        <w:rPr>
          <w:noProof/>
        </w:rPr>
        <w:t>Glavne ciljne skupine</w:t>
      </w:r>
      <w:r w:rsidR="00FB4210" w:rsidRPr="00BC39FE">
        <w:rPr>
          <w:noProof/>
        </w:rPr>
        <w:t xml:space="preserve"> za aktivnosti pod točko 1</w:t>
      </w:r>
      <w:r w:rsidR="00BC39FE">
        <w:rPr>
          <w:noProof/>
        </w:rPr>
        <w:t xml:space="preserve"> </w:t>
      </w:r>
      <w:r w:rsidRPr="00BC39FE">
        <w:rPr>
          <w:noProof/>
        </w:rPr>
        <w:t xml:space="preserve">so ribiči, </w:t>
      </w:r>
      <w:r w:rsidR="00BC39FE">
        <w:rPr>
          <w:noProof/>
        </w:rPr>
        <w:t xml:space="preserve">ki delajo na plovilu, </w:t>
      </w:r>
      <w:r w:rsidRPr="00BC39FE">
        <w:rPr>
          <w:noProof/>
        </w:rPr>
        <w:t>lastniki in upravljavci ribiških plovil</w:t>
      </w:r>
      <w:r w:rsidR="00FB4210" w:rsidRPr="00BC39FE">
        <w:rPr>
          <w:noProof/>
        </w:rPr>
        <w:t>, ki imajo veljavno dovoljenje za gospodarski ribolov.</w:t>
      </w:r>
      <w:r w:rsidR="00354523" w:rsidRPr="00BC39FE">
        <w:rPr>
          <w:noProof/>
        </w:rPr>
        <w:t xml:space="preserve"> Za aktivnosti pod točko 2 so glavne ciljne skupine </w:t>
      </w:r>
      <w:r w:rsidR="006A4186" w:rsidRPr="00BC39FE">
        <w:rPr>
          <w:noProof/>
        </w:rPr>
        <w:t xml:space="preserve">lastniki </w:t>
      </w:r>
      <w:r w:rsidR="00BC39FE">
        <w:rPr>
          <w:noProof/>
        </w:rPr>
        <w:t>ribiških</w:t>
      </w:r>
      <w:r w:rsidR="006A4186" w:rsidRPr="00BC39FE">
        <w:rPr>
          <w:noProof/>
        </w:rPr>
        <w:t xml:space="preserve"> plovil, ribiči, upravljavci ribiških plovil</w:t>
      </w:r>
      <w:r w:rsidR="00B95C21" w:rsidRPr="00BC39FE">
        <w:rPr>
          <w:noProof/>
        </w:rPr>
        <w:t xml:space="preserve">, </w:t>
      </w:r>
      <w:r w:rsidR="00BC39FE">
        <w:rPr>
          <w:noProof/>
        </w:rPr>
        <w:t xml:space="preserve">odločevalci in strokovnjaki na področjih, povezanih s skupno ribiško politiko, ter subjekt, izbran za izvajanje storitev, </w:t>
      </w:r>
      <w:r w:rsidR="00B95C21" w:rsidRPr="00BC39FE">
        <w:rPr>
          <w:noProof/>
        </w:rPr>
        <w:t>pod točko 3 pa ribiči, lastniki in upravlja</w:t>
      </w:r>
      <w:r w:rsidR="00BC39FE">
        <w:rPr>
          <w:noProof/>
        </w:rPr>
        <w:t xml:space="preserve">vci ribiških plovil ter upravljavci pristanišč in lokalne skupnosti oziroma </w:t>
      </w:r>
      <w:r w:rsidR="00F911C5" w:rsidRPr="00BC39FE">
        <w:rPr>
          <w:noProof/>
        </w:rPr>
        <w:t>obalne občine, v katerih se nahajajo ribiška pristanišča.</w:t>
      </w:r>
    </w:p>
    <w:bookmarkEnd w:id="8"/>
    <w:p w14:paraId="1D1C874B" w14:textId="5E10711D" w:rsidR="009C1A4B" w:rsidRDefault="009C1A4B" w:rsidP="000F6487">
      <w:pPr>
        <w:rPr>
          <w:noProof/>
        </w:rPr>
      </w:pPr>
    </w:p>
    <w:p w14:paraId="37D04A77" w14:textId="56B5DE08" w:rsidR="00BC39FE" w:rsidRPr="00BC39FE" w:rsidRDefault="00BC39FE" w:rsidP="000F6487">
      <w:pPr>
        <w:rPr>
          <w:i/>
          <w:noProof/>
        </w:rPr>
      </w:pPr>
      <w:r w:rsidRPr="00BC39FE">
        <w:rPr>
          <w:i/>
          <w:noProof/>
        </w:rPr>
        <w:t xml:space="preserve">Aktivnosti, ki ohranjajo enakost, vključenost in nediskriminacijo – Člen </w:t>
      </w:r>
      <w:r w:rsidR="00340359">
        <w:rPr>
          <w:i/>
          <w:noProof/>
        </w:rPr>
        <w:t>22</w:t>
      </w:r>
      <w:r w:rsidRPr="00BC39FE">
        <w:rPr>
          <w:i/>
          <w:noProof/>
        </w:rPr>
        <w:t>(3)(d)(i</w:t>
      </w:r>
      <w:r w:rsidR="009405FF">
        <w:rPr>
          <w:i/>
          <w:noProof/>
        </w:rPr>
        <w:t>v</w:t>
      </w:r>
      <w:r w:rsidRPr="00BC39FE">
        <w:rPr>
          <w:i/>
          <w:noProof/>
        </w:rPr>
        <w:t>)</w:t>
      </w:r>
    </w:p>
    <w:p w14:paraId="00E44881" w14:textId="00CA5862" w:rsidR="00BC39FE" w:rsidRDefault="00C2417D" w:rsidP="00BC39FE">
      <w:pPr>
        <w:jc w:val="both"/>
        <w:rPr>
          <w:noProof/>
        </w:rPr>
      </w:pPr>
      <w:r w:rsidRPr="00C2417D">
        <w:rPr>
          <w:noProof/>
        </w:rPr>
        <w:t xml:space="preserve">Slovenija bo pri izvajanju vseh aktivnosti posebno pozornost posvečala načelu enakosti, vključenosti in nediskriminiacije. Vsi potecialni deležniki bodo hkrati vključeni v aktivnosti obveščanja in predstavljanja vseh podlag za izvajanje aktivnosti. Varstvo pravic posameznika glede na človekove pravice in svoboščine ter enakost pred zakonom v RS zakonsko ureja </w:t>
      </w:r>
      <w:r w:rsidRPr="00C2417D">
        <w:rPr>
          <w:noProof/>
        </w:rPr>
        <w:lastRenderedPageBreak/>
        <w:t xml:space="preserve">Ministrstvo za delo, družino, socialne zadeve in enake možnosti. V okviru OP ESPRA 2021-2027 se bodo enake možnosti in boj proti diskriminaciji glede na različne osebne okoliščine (npr. spol, starost, invalidnost, rasna, etnična, </w:t>
      </w:r>
      <w:r w:rsidR="00BA2FDD">
        <w:rPr>
          <w:noProof/>
        </w:rPr>
        <w:t>narodna</w:t>
      </w:r>
      <w:r w:rsidRPr="00C2417D">
        <w:rPr>
          <w:noProof/>
        </w:rPr>
        <w:t xml:space="preserve"> in verska pripadnost, spolna usmerjenost) 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2651CBE8" w14:textId="77777777" w:rsidR="00C2417D" w:rsidRPr="00BC39FE" w:rsidRDefault="00C2417D" w:rsidP="00BC39FE">
      <w:pPr>
        <w:jc w:val="both"/>
        <w:rPr>
          <w:noProof/>
        </w:rPr>
      </w:pPr>
    </w:p>
    <w:p w14:paraId="2148B906" w14:textId="012A5626" w:rsidR="00697618" w:rsidRPr="00BC39FE" w:rsidRDefault="00697618" w:rsidP="00697618">
      <w:pPr>
        <w:rPr>
          <w:rFonts w:cs="Arial"/>
          <w:i/>
          <w:noProof/>
          <w:szCs w:val="20"/>
        </w:rPr>
      </w:pPr>
      <w:r w:rsidRPr="00BC39FE">
        <w:rPr>
          <w:rFonts w:cs="Arial"/>
          <w:i/>
          <w:noProof/>
          <w:szCs w:val="20"/>
        </w:rPr>
        <w:t xml:space="preserve">Posebna ciljna območja, vključno z načrtovano uporabo teritorialnih orodij– Člen </w:t>
      </w:r>
      <w:r w:rsidR="00340359">
        <w:rPr>
          <w:rFonts w:cs="Arial"/>
          <w:i/>
          <w:noProof/>
          <w:szCs w:val="20"/>
        </w:rPr>
        <w:t>22</w:t>
      </w:r>
      <w:r w:rsidRPr="00BC39FE">
        <w:rPr>
          <w:rFonts w:cs="Arial"/>
          <w:i/>
          <w:noProof/>
          <w:szCs w:val="20"/>
        </w:rPr>
        <w:t>(3)(d)(v) Besedilno polje  [2 000]</w:t>
      </w:r>
    </w:p>
    <w:p w14:paraId="3F2A31BC" w14:textId="4AF79BC1" w:rsidR="00FB4210" w:rsidRPr="00BC39FE" w:rsidRDefault="00FB4210" w:rsidP="000640AD">
      <w:pPr>
        <w:jc w:val="both"/>
        <w:rPr>
          <w:noProof/>
        </w:rPr>
      </w:pPr>
      <w:r w:rsidRPr="00BC39FE">
        <w:rPr>
          <w:noProof/>
        </w:rPr>
        <w:t>Aktivnosti se bodo izvajale na Obali, ki je povezana z morjem, in torej z deja</w:t>
      </w:r>
      <w:r w:rsidR="00BC39FE" w:rsidRPr="00BC39FE">
        <w:rPr>
          <w:noProof/>
        </w:rPr>
        <w:t xml:space="preserve">vnostjo morskega gospodoarskega </w:t>
      </w:r>
      <w:r w:rsidRPr="00BC39FE">
        <w:rPr>
          <w:noProof/>
        </w:rPr>
        <w:t xml:space="preserve">ribolova. Slovenija gospodarskega ribolova na celinskih vodah nima. </w:t>
      </w:r>
      <w:r w:rsidR="006B6BE2" w:rsidRPr="00BC39FE">
        <w:rPr>
          <w:noProof/>
        </w:rPr>
        <w:t xml:space="preserve">Slovenija uporablja le mehanizem </w:t>
      </w:r>
      <w:r w:rsidR="0081768A" w:rsidRPr="00BC39FE">
        <w:rPr>
          <w:noProof/>
        </w:rPr>
        <w:t>lokalnega razvoja, ki ga vodi skupnost.</w:t>
      </w:r>
      <w:r w:rsidR="000640AD">
        <w:rPr>
          <w:noProof/>
        </w:rPr>
        <w:t xml:space="preserve"> Uporaba teritorialnega orodja </w:t>
      </w:r>
      <w:r w:rsidRPr="00BC39FE">
        <w:rPr>
          <w:noProof/>
        </w:rPr>
        <w:t>celostni razvoj, ki ga vodi skupnost, je podrobneje opisana v okviru tretje prednostne naloge.</w:t>
      </w:r>
    </w:p>
    <w:p w14:paraId="216417BB" w14:textId="77777777" w:rsidR="00FB4210" w:rsidRPr="00FB4210" w:rsidRDefault="00FB4210" w:rsidP="000F6487">
      <w:pPr>
        <w:rPr>
          <w:noProof/>
        </w:rPr>
      </w:pPr>
    </w:p>
    <w:p w14:paraId="4DE2500C" w14:textId="50379FAF" w:rsidR="00697618" w:rsidRPr="00AC29EA" w:rsidRDefault="00697618" w:rsidP="00697618">
      <w:pPr>
        <w:rPr>
          <w:rFonts w:cs="Arial"/>
          <w:b/>
          <w:i/>
          <w:iCs/>
          <w:noProof/>
          <w:szCs w:val="20"/>
        </w:rPr>
      </w:pPr>
      <w:r w:rsidRPr="00AC29EA">
        <w:rPr>
          <w:rFonts w:cs="Arial"/>
          <w:i/>
          <w:noProof/>
          <w:szCs w:val="20"/>
        </w:rPr>
        <w:t xml:space="preserve">Medregionalni in transnacionalni ukrepi –Člen </w:t>
      </w:r>
      <w:r w:rsidR="00340359">
        <w:rPr>
          <w:rFonts w:cs="Arial"/>
          <w:i/>
          <w:noProof/>
          <w:szCs w:val="20"/>
        </w:rPr>
        <w:t>22</w:t>
      </w:r>
      <w:r w:rsidRPr="00AC29EA">
        <w:rPr>
          <w:rFonts w:cs="Arial"/>
          <w:i/>
          <w:noProof/>
          <w:szCs w:val="20"/>
        </w:rPr>
        <w:t>(3)(d)(v</w:t>
      </w:r>
      <w:r w:rsidR="00340359">
        <w:rPr>
          <w:rFonts w:cs="Arial"/>
          <w:i/>
          <w:noProof/>
          <w:szCs w:val="20"/>
        </w:rPr>
        <w:t>i</w:t>
      </w:r>
      <w:r w:rsidRPr="00AC29EA">
        <w:rPr>
          <w:rFonts w:cs="Arial"/>
          <w:i/>
          <w:noProof/>
          <w:szCs w:val="20"/>
        </w:rPr>
        <w:t>) Besedilno polje  [2 000]</w:t>
      </w:r>
    </w:p>
    <w:p w14:paraId="7E25BAFE" w14:textId="17EF3827" w:rsidR="00697618" w:rsidRPr="00AC29EA" w:rsidRDefault="0081768A" w:rsidP="000F6487">
      <w:pPr>
        <w:rPr>
          <w:iCs/>
          <w:noProof/>
        </w:rPr>
      </w:pPr>
      <w:bookmarkStart w:id="9" w:name="_Hlk55917820"/>
      <w:r w:rsidRPr="00AC29EA">
        <w:rPr>
          <w:iCs/>
          <w:noProof/>
        </w:rPr>
        <w:t>Medregionalni in transnacionalni ukrepi niso predvideni.</w:t>
      </w:r>
    </w:p>
    <w:bookmarkEnd w:id="9"/>
    <w:p w14:paraId="4F49F421" w14:textId="77777777" w:rsidR="00FB4210" w:rsidRPr="00AC29EA" w:rsidRDefault="00FB4210" w:rsidP="000F6487">
      <w:pPr>
        <w:rPr>
          <w:i/>
          <w:iCs/>
          <w:noProof/>
        </w:rPr>
      </w:pPr>
    </w:p>
    <w:p w14:paraId="08838BED" w14:textId="00F5D90B" w:rsidR="00697618" w:rsidRPr="00AC29EA" w:rsidRDefault="00697618" w:rsidP="00697618">
      <w:pPr>
        <w:rPr>
          <w:rFonts w:cs="Arial"/>
          <w:b/>
          <w:i/>
          <w:iCs/>
          <w:noProof/>
          <w:szCs w:val="20"/>
          <w:lang w:val="it-IT"/>
        </w:rPr>
      </w:pPr>
      <w:r w:rsidRPr="00AC29EA">
        <w:rPr>
          <w:rFonts w:cs="Arial"/>
          <w:i/>
          <w:noProof/>
          <w:szCs w:val="20"/>
          <w:lang w:val="it-IT"/>
        </w:rPr>
        <w:t xml:space="preserve">Načrtovana uporaba finančnih instrumentov– Člen </w:t>
      </w:r>
      <w:r w:rsidR="00340359">
        <w:rPr>
          <w:rFonts w:cs="Arial"/>
          <w:i/>
          <w:noProof/>
          <w:szCs w:val="20"/>
          <w:lang w:val="it-IT"/>
        </w:rPr>
        <w:t>22</w:t>
      </w:r>
      <w:r w:rsidRPr="00AC29EA">
        <w:rPr>
          <w:rFonts w:cs="Arial"/>
          <w:i/>
          <w:noProof/>
          <w:szCs w:val="20"/>
          <w:lang w:val="it-IT"/>
        </w:rPr>
        <w:t>(3)(d)(vi</w:t>
      </w:r>
      <w:r w:rsidR="00340359">
        <w:rPr>
          <w:rFonts w:cs="Arial"/>
          <w:i/>
          <w:noProof/>
          <w:szCs w:val="20"/>
          <w:lang w:val="it-IT"/>
        </w:rPr>
        <w:t>i</w:t>
      </w:r>
      <w:r w:rsidRPr="00AC29EA">
        <w:rPr>
          <w:rFonts w:cs="Arial"/>
          <w:i/>
          <w:noProof/>
          <w:szCs w:val="20"/>
          <w:lang w:val="it-IT"/>
        </w:rPr>
        <w:t>) Besedilno polje  [1 000]</w:t>
      </w:r>
    </w:p>
    <w:p w14:paraId="789FA6AB" w14:textId="7462F9E6" w:rsidR="007253BF" w:rsidRDefault="007253BF" w:rsidP="00714475">
      <w:pPr>
        <w:spacing w:after="200" w:line="276" w:lineRule="auto"/>
        <w:jc w:val="both"/>
        <w:rPr>
          <w:iCs/>
        </w:rPr>
      </w:pPr>
      <w:r w:rsidRPr="00AC29EA">
        <w:rPr>
          <w:noProof/>
          <w:lang w:val="it-IT"/>
        </w:rPr>
        <w:t xml:space="preserve">Ministrstvo za kmetijstvo, gozdarstvo in prehrano Republike Slovenije, Sektor za ribištvo, je </w:t>
      </w:r>
      <w:r>
        <w:rPr>
          <w:noProof/>
          <w:lang w:val="it-IT"/>
        </w:rPr>
        <w:t xml:space="preserve">kot organ upravljanja za Evropski sklad za pomorstvo, ribištvo in akvakulturo </w:t>
      </w:r>
      <w:r w:rsidRPr="00AC29EA">
        <w:rPr>
          <w:noProof/>
          <w:lang w:val="it-IT"/>
        </w:rPr>
        <w:t xml:space="preserve">pristopil k javnemu naročilu, ki ga </w:t>
      </w:r>
      <w:r>
        <w:rPr>
          <w:noProof/>
          <w:lang w:val="it-IT"/>
        </w:rPr>
        <w:t xml:space="preserve">je </w:t>
      </w:r>
      <w:r w:rsidRPr="00AC29EA">
        <w:rPr>
          <w:noProof/>
          <w:lang w:val="it-IT"/>
        </w:rPr>
        <w:t>priprav</w:t>
      </w:r>
      <w:r>
        <w:rPr>
          <w:noProof/>
          <w:lang w:val="it-IT"/>
        </w:rPr>
        <w:t>ila</w:t>
      </w:r>
      <w:r w:rsidRPr="00AC29EA">
        <w:rPr>
          <w:noProof/>
          <w:lang w:val="it-IT"/>
        </w:rPr>
        <w:t xml:space="preserve"> Služba Vlade RS za regionalni razvoj in kohezijsko politiko</w:t>
      </w:r>
      <w:r>
        <w:rPr>
          <w:noProof/>
          <w:lang w:val="it-IT"/>
        </w:rPr>
        <w:t xml:space="preserve"> kot organ upravljanja za kohezijske sklade</w:t>
      </w:r>
      <w:r w:rsidRPr="00AC29EA">
        <w:rPr>
          <w:noProof/>
          <w:lang w:val="it-IT"/>
        </w:rPr>
        <w:t>. V okviru tega javnega naročila</w:t>
      </w:r>
      <w:r>
        <w:rPr>
          <w:noProof/>
          <w:lang w:val="it-IT"/>
        </w:rPr>
        <w:t xml:space="preserve"> je bila v skladu s 3. odstavkom 58. člena Uredbe EU št. 2021/1060 pripravljena ex-ante analiza </w:t>
      </w:r>
      <w:r w:rsidR="00494199">
        <w:rPr>
          <w:noProof/>
          <w:lang w:val="it-IT"/>
        </w:rPr>
        <w:t xml:space="preserve">potreb in ocena </w:t>
      </w:r>
      <w:r>
        <w:rPr>
          <w:noProof/>
          <w:lang w:val="it-IT"/>
        </w:rPr>
        <w:t>vrzeli za vzpostavitev finančnih instrumentov</w:t>
      </w:r>
      <w:r w:rsidRPr="00AC29EA">
        <w:rPr>
          <w:noProof/>
          <w:lang w:val="it-IT"/>
        </w:rPr>
        <w:t xml:space="preserve"> za kohezijske sklade</w:t>
      </w:r>
      <w:r>
        <w:rPr>
          <w:noProof/>
          <w:lang w:val="it-IT"/>
        </w:rPr>
        <w:t xml:space="preserve"> in </w:t>
      </w:r>
      <w:r w:rsidRPr="00AC29EA">
        <w:rPr>
          <w:noProof/>
          <w:lang w:val="it-IT"/>
        </w:rPr>
        <w:t xml:space="preserve">ESPRA. </w:t>
      </w:r>
      <w:r>
        <w:rPr>
          <w:noProof/>
          <w:lang w:val="it-IT"/>
        </w:rPr>
        <w:t>Skupen</w:t>
      </w:r>
      <w:r w:rsidRPr="00AC29EA">
        <w:rPr>
          <w:noProof/>
          <w:lang w:val="it-IT"/>
        </w:rPr>
        <w:t xml:space="preserve"> pristop</w:t>
      </w:r>
      <w:r>
        <w:rPr>
          <w:noProof/>
          <w:lang w:val="it-IT"/>
        </w:rPr>
        <w:t xml:space="preserve"> obeh organov upravljanja</w:t>
      </w:r>
      <w:r w:rsidRPr="00AC29EA">
        <w:rPr>
          <w:noProof/>
          <w:lang w:val="it-IT"/>
        </w:rPr>
        <w:t xml:space="preserve"> je za Sektor za ribištvo sprejemljiv zaradi majhne administrativne usposobljenosti na tem področju in zaradi izkušenj, ki</w:t>
      </w:r>
      <w:r>
        <w:rPr>
          <w:noProof/>
          <w:lang w:val="it-IT"/>
        </w:rPr>
        <w:t xml:space="preserve"> </w:t>
      </w:r>
      <w:r w:rsidRPr="00AC29EA">
        <w:rPr>
          <w:noProof/>
          <w:lang w:val="it-IT"/>
        </w:rPr>
        <w:t xml:space="preserve">jih ima SVRK pri izvajanju finančnih instrumentov </w:t>
      </w:r>
      <w:r>
        <w:rPr>
          <w:noProof/>
          <w:lang w:val="it-IT"/>
        </w:rPr>
        <w:t xml:space="preserve">do sedaj. </w:t>
      </w:r>
      <w:r w:rsidR="00494199" w:rsidRPr="00494199">
        <w:rPr>
          <w:noProof/>
          <w:lang w:val="it-IT"/>
        </w:rPr>
        <w:t xml:space="preserve">V sklopu </w:t>
      </w:r>
      <w:r w:rsidR="00494199">
        <w:rPr>
          <w:noProof/>
          <w:lang w:val="it-IT"/>
        </w:rPr>
        <w:t xml:space="preserve">javnega naročila </w:t>
      </w:r>
      <w:r w:rsidR="00494199" w:rsidRPr="00494199">
        <w:rPr>
          <w:noProof/>
          <w:lang w:val="it-IT"/>
        </w:rPr>
        <w:t>je bila preučena tudi smotrnost uporabe sredstev ESPRA za</w:t>
      </w:r>
      <w:r w:rsidR="00494199">
        <w:rPr>
          <w:noProof/>
          <w:lang w:val="it-IT"/>
        </w:rPr>
        <w:t xml:space="preserve"> finančne instrumente</w:t>
      </w:r>
      <w:r w:rsidR="00494199" w:rsidRPr="00494199">
        <w:rPr>
          <w:noProof/>
          <w:lang w:val="it-IT"/>
        </w:rPr>
        <w:t xml:space="preserve">. Podano je mnenje, da v luči otežene izvedbe ocene primernosti uporabe </w:t>
      </w:r>
      <w:r w:rsidR="00494199">
        <w:rPr>
          <w:noProof/>
          <w:lang w:val="it-IT"/>
        </w:rPr>
        <w:t>finančnih instrumentov za specifične cilje</w:t>
      </w:r>
      <w:r w:rsidR="00494199" w:rsidRPr="00494199">
        <w:rPr>
          <w:noProof/>
          <w:lang w:val="it-IT"/>
        </w:rPr>
        <w:t xml:space="preserve">, ki se v primeru sklada ESPRA razlikujejo od drugih </w:t>
      </w:r>
      <w:r w:rsidR="00494199">
        <w:rPr>
          <w:noProof/>
          <w:lang w:val="it-IT"/>
        </w:rPr>
        <w:t>specifičnih ciljev</w:t>
      </w:r>
      <w:r w:rsidR="00494199" w:rsidRPr="00494199">
        <w:rPr>
          <w:noProof/>
          <w:lang w:val="it-IT"/>
        </w:rPr>
        <w:t xml:space="preserve">, majhnega vzorca relevantnih podjetij, zajetih v spletni vprašalnik, zaradi nizkega obsega razpoložljivih sredstev, majhnosti in razdrobljenosti zajetih sektorjev ribištva, pomorstva in akvakulture, ter tudi zaradi negativnih izkušenj s podobnimi </w:t>
      </w:r>
      <w:r w:rsidR="00494199">
        <w:rPr>
          <w:noProof/>
          <w:lang w:val="it-IT"/>
        </w:rPr>
        <w:t>finančnimi instrumenti</w:t>
      </w:r>
      <w:r w:rsidR="00494199" w:rsidRPr="00494199">
        <w:rPr>
          <w:noProof/>
          <w:lang w:val="it-IT"/>
        </w:rPr>
        <w:t xml:space="preserve"> iz drugih držav članic, izvedba </w:t>
      </w:r>
      <w:r w:rsidR="00494199">
        <w:rPr>
          <w:noProof/>
          <w:lang w:val="it-IT"/>
        </w:rPr>
        <w:t>finančnih instrumentov iz sklada ESPRA ni smiselna.</w:t>
      </w:r>
    </w:p>
    <w:p w14:paraId="5CBB96F0" w14:textId="6849F743" w:rsidR="00E304F8" w:rsidRDefault="00C43378">
      <w:pPr>
        <w:spacing w:after="200" w:line="276" w:lineRule="auto"/>
        <w:rPr>
          <w:iCs/>
        </w:rPr>
      </w:pPr>
      <w:r>
        <w:rPr>
          <w:iCs/>
        </w:rPr>
        <w:br w:type="page"/>
      </w:r>
    </w:p>
    <w:p w14:paraId="4BFD085A" w14:textId="77777777" w:rsidR="00E304F8" w:rsidRPr="00293FAE" w:rsidRDefault="00E304F8" w:rsidP="00E304F8">
      <w:pPr>
        <w:pBdr>
          <w:top w:val="single" w:sz="4" w:space="1" w:color="auto"/>
          <w:left w:val="single" w:sz="4" w:space="4" w:color="auto"/>
          <w:bottom w:val="single" w:sz="4" w:space="1" w:color="auto"/>
          <w:right w:val="single" w:sz="4" w:space="4" w:color="auto"/>
        </w:pBdr>
        <w:jc w:val="both"/>
        <w:rPr>
          <w:b/>
          <w:iCs/>
        </w:rPr>
      </w:pPr>
      <w:r w:rsidRPr="0081768A">
        <w:rPr>
          <w:iCs/>
        </w:rPr>
        <w:lastRenderedPageBreak/>
        <w:t>Prednostna naloga:</w:t>
      </w:r>
      <w:r w:rsidRPr="0081768A">
        <w:rPr>
          <w:b/>
          <w:iCs/>
        </w:rPr>
        <w:t xml:space="preserve"> Spodbujanje trajnostnega ribištva in ohranjanje vodnih bioloških virov</w:t>
      </w:r>
    </w:p>
    <w:p w14:paraId="45364979" w14:textId="3CCE1BAA" w:rsidR="00E304F8" w:rsidRPr="00C43378" w:rsidRDefault="00E304F8" w:rsidP="00E304F8">
      <w:pPr>
        <w:pBdr>
          <w:top w:val="single" w:sz="4" w:space="1" w:color="auto"/>
          <w:left w:val="single" w:sz="4" w:space="4" w:color="auto"/>
          <w:bottom w:val="single" w:sz="4" w:space="1" w:color="auto"/>
          <w:right w:val="single" w:sz="4" w:space="4" w:color="auto"/>
        </w:pBdr>
        <w:jc w:val="both"/>
        <w:rPr>
          <w:b/>
          <w:iCs/>
        </w:rPr>
      </w:pPr>
      <w:r w:rsidRPr="00EB70EE">
        <w:rPr>
          <w:iCs/>
        </w:rPr>
        <w:t>Specifični cilj:</w:t>
      </w:r>
      <w:r w:rsidRPr="0081768A">
        <w:rPr>
          <w:b/>
          <w:iCs/>
        </w:rPr>
        <w:t xml:space="preserve"> </w:t>
      </w:r>
      <w:r>
        <w:rPr>
          <w:iCs/>
        </w:rPr>
        <w:t>1.2</w:t>
      </w:r>
      <w:r w:rsidRPr="006D3B7E">
        <w:rPr>
          <w:iCs/>
        </w:rPr>
        <w:t>:</w:t>
      </w:r>
      <w:r>
        <w:rPr>
          <w:b/>
          <w:iCs/>
        </w:rPr>
        <w:t xml:space="preserve"> Povečanje energetske učinkovitosti in zmanjšanje emisij CO2 z zamenjavo ali posodobitvijo motorjev ribiških plovil</w:t>
      </w:r>
    </w:p>
    <w:p w14:paraId="794E5AFE" w14:textId="77777777" w:rsidR="00E304F8" w:rsidRDefault="00E304F8">
      <w:pPr>
        <w:spacing w:after="200" w:line="276" w:lineRule="auto"/>
        <w:rPr>
          <w:iCs/>
        </w:rPr>
      </w:pPr>
    </w:p>
    <w:p w14:paraId="182F4319" w14:textId="77777777" w:rsidR="006005A9" w:rsidRDefault="006005A9" w:rsidP="006005A9">
      <w:pPr>
        <w:rPr>
          <w:i/>
          <w:iCs/>
          <w:noProof/>
        </w:rPr>
      </w:pPr>
      <w:r w:rsidRPr="00C43378">
        <w:rPr>
          <w:rFonts w:cs="Arial"/>
          <w:i/>
          <w:noProof/>
          <w:szCs w:val="20"/>
        </w:rPr>
        <w:t xml:space="preserve">Povezane vrste ukrepov– Člen </w:t>
      </w:r>
      <w:r>
        <w:rPr>
          <w:rFonts w:cs="Arial"/>
          <w:i/>
          <w:noProof/>
          <w:szCs w:val="20"/>
        </w:rPr>
        <w:t>22</w:t>
      </w:r>
      <w:r w:rsidRPr="00C43378">
        <w:rPr>
          <w:rFonts w:cs="Arial"/>
          <w:i/>
          <w:noProof/>
          <w:szCs w:val="20"/>
        </w:rPr>
        <w:t xml:space="preserve">(3)(d)(i) SSO: </w:t>
      </w:r>
      <w:r w:rsidRPr="00C43378">
        <w:rPr>
          <w:i/>
          <w:iCs/>
          <w:noProof/>
        </w:rPr>
        <w:t>Besedilno polje  [8 000]</w:t>
      </w:r>
    </w:p>
    <w:p w14:paraId="682DE461" w14:textId="77777777" w:rsidR="006005A9" w:rsidRDefault="006005A9" w:rsidP="006005A9">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Glede na potrebe, opredeljene v SWOT analizi, bo Republika Slovenija v okviru ESPRA  izvajala naslednje aktivnosti:</w:t>
      </w:r>
    </w:p>
    <w:p w14:paraId="439F5653" w14:textId="77777777" w:rsidR="006005A9" w:rsidRDefault="006005A9" w:rsidP="006005A9">
      <w:pPr>
        <w:pBdr>
          <w:top w:val="single" w:sz="4" w:space="1" w:color="auto"/>
          <w:left w:val="single" w:sz="4" w:space="4" w:color="auto"/>
          <w:bottom w:val="single" w:sz="4" w:space="0" w:color="auto"/>
          <w:right w:val="single" w:sz="4" w:space="13" w:color="auto"/>
        </w:pBdr>
        <w:jc w:val="both"/>
        <w:rPr>
          <w:rFonts w:cs="Arial"/>
          <w:b/>
          <w:bCs/>
          <w:color w:val="000000"/>
          <w:szCs w:val="20"/>
        </w:rPr>
      </w:pPr>
    </w:p>
    <w:p w14:paraId="52BF7602" w14:textId="0B9AD93E" w:rsidR="006005A9" w:rsidRDefault="006005A9" w:rsidP="006005A9">
      <w:pPr>
        <w:pBdr>
          <w:top w:val="single" w:sz="4" w:space="1" w:color="auto"/>
          <w:left w:val="single" w:sz="4" w:space="4" w:color="auto"/>
          <w:bottom w:val="single" w:sz="4" w:space="0" w:color="auto"/>
          <w:right w:val="single" w:sz="4" w:space="13" w:color="auto"/>
        </w:pBdr>
        <w:jc w:val="both"/>
        <w:rPr>
          <w:rFonts w:cs="Arial"/>
          <w:b/>
          <w:bCs/>
          <w:iCs/>
          <w:color w:val="000000"/>
          <w:szCs w:val="20"/>
        </w:rPr>
      </w:pPr>
      <w:r>
        <w:rPr>
          <w:rFonts w:cs="Arial"/>
          <w:b/>
          <w:bCs/>
          <w:iCs/>
          <w:color w:val="000000"/>
          <w:szCs w:val="20"/>
        </w:rPr>
        <w:t>5</w:t>
      </w:r>
      <w:r w:rsidRPr="006D3B7E">
        <w:rPr>
          <w:rFonts w:cs="Arial"/>
          <w:b/>
          <w:bCs/>
          <w:iCs/>
          <w:color w:val="000000"/>
          <w:szCs w:val="20"/>
        </w:rPr>
        <w:t xml:space="preserve">. </w:t>
      </w:r>
      <w:r>
        <w:rPr>
          <w:rFonts w:cs="Arial"/>
          <w:b/>
          <w:bCs/>
          <w:iCs/>
          <w:color w:val="000000"/>
          <w:szCs w:val="20"/>
        </w:rPr>
        <w:t>Zamenjava ali posodobitev glavnega ali pomožnega motorja</w:t>
      </w:r>
    </w:p>
    <w:p w14:paraId="556F4A77" w14:textId="1419D95B" w:rsidR="006005A9" w:rsidRPr="008E6BB7" w:rsidRDefault="006005A9" w:rsidP="006005A9">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V okviru SWOT analize se je, večinoma pri nekaterih plovilih</w:t>
      </w:r>
      <w:r w:rsidR="00A159E1">
        <w:rPr>
          <w:rFonts w:cs="Arial"/>
          <w:bCs/>
          <w:iCs/>
          <w:color w:val="000000"/>
          <w:szCs w:val="20"/>
        </w:rPr>
        <w:t>,</w:t>
      </w:r>
      <w:r>
        <w:rPr>
          <w:rFonts w:cs="Arial"/>
          <w:bCs/>
          <w:iCs/>
          <w:color w:val="000000"/>
          <w:szCs w:val="20"/>
        </w:rPr>
        <w:t xml:space="preserve"> ki so daljša od 12 metrov </w:t>
      </w:r>
      <w:r w:rsidR="00BD56DA">
        <w:rPr>
          <w:rFonts w:cs="Arial"/>
          <w:bCs/>
          <w:iCs/>
          <w:color w:val="000000"/>
          <w:szCs w:val="20"/>
        </w:rPr>
        <w:t>i</w:t>
      </w:r>
      <w:r>
        <w:rPr>
          <w:rFonts w:cs="Arial"/>
          <w:bCs/>
          <w:iCs/>
          <w:color w:val="000000"/>
          <w:szCs w:val="20"/>
        </w:rPr>
        <w:t xml:space="preserve">n ne pripadajo malemu priobalnemu ribolovu, pokazala potreba po zamenjavi glavnega motorja. </w:t>
      </w:r>
      <w:r w:rsidR="00F34A8D">
        <w:rPr>
          <w:rFonts w:cs="Arial"/>
          <w:bCs/>
          <w:iCs/>
          <w:color w:val="000000"/>
          <w:szCs w:val="20"/>
        </w:rPr>
        <w:t xml:space="preserve">Iz načrta upravljanja z morskim ribištvom v RS 2021 izhaja, da je </w:t>
      </w:r>
      <w:r w:rsidR="00CD2984">
        <w:rPr>
          <w:rFonts w:cs="Arial"/>
          <w:bCs/>
          <w:iCs/>
          <w:color w:val="000000"/>
          <w:szCs w:val="20"/>
        </w:rPr>
        <w:t xml:space="preserve">v segmentu DTS 12-18 poraba goriva na kilogram ulova najvišja (2,6 litra za kilogram ulova v letu 2017) in je zato razmerje med ribolovnim naporom in ceno goriva zelo visoko. </w:t>
      </w:r>
      <w:r>
        <w:rPr>
          <w:rFonts w:cs="Arial"/>
          <w:bCs/>
          <w:iCs/>
          <w:color w:val="000000"/>
          <w:szCs w:val="20"/>
        </w:rPr>
        <w:t xml:space="preserve">Pri plovilih malega priobalnega ribolova pa se je pokazal predvsem interes po zamenjavi zunajkrmnih motorjev. </w:t>
      </w:r>
      <w:r w:rsidR="00BD56DA">
        <w:rPr>
          <w:rFonts w:cs="Arial"/>
          <w:bCs/>
          <w:iCs/>
          <w:color w:val="000000"/>
          <w:szCs w:val="20"/>
        </w:rPr>
        <w:t xml:space="preserve">Plovila slovenske ribiške flote imajo namreč večinoma motorje, ki so v povprečju stari okoli 30 let. </w:t>
      </w:r>
      <w:r>
        <w:rPr>
          <w:rFonts w:cs="Arial"/>
          <w:bCs/>
          <w:iCs/>
          <w:color w:val="000000"/>
          <w:szCs w:val="20"/>
        </w:rPr>
        <w:t xml:space="preserve">Z zamenjavo motorja </w:t>
      </w:r>
      <w:r w:rsidR="00BD56DA">
        <w:rPr>
          <w:rFonts w:cs="Arial"/>
          <w:bCs/>
          <w:iCs/>
          <w:color w:val="000000"/>
          <w:szCs w:val="20"/>
        </w:rPr>
        <w:t xml:space="preserve">bi se po eni strani omogočila posodobitev plovil v smislu manjšega izpusta CO2, uporabi energetsko učinkovitejših tehnologij, kot so opredeljene z delegirano uredbo Komisije, ter po drugi strani manjše porabe goriv. </w:t>
      </w:r>
      <w:r w:rsidR="00980562">
        <w:rPr>
          <w:rFonts w:cs="Arial"/>
          <w:bCs/>
          <w:iCs/>
          <w:color w:val="000000"/>
          <w:szCs w:val="20"/>
        </w:rPr>
        <w:t>Aktivnost se bo izvajala o</w:t>
      </w:r>
      <w:r w:rsidR="00F34A8D">
        <w:rPr>
          <w:rFonts w:cs="Arial"/>
          <w:bCs/>
          <w:iCs/>
          <w:color w:val="000000"/>
          <w:szCs w:val="20"/>
        </w:rPr>
        <w:t>b upoštevanju pogojev iz 18. člena Uredbe EU 2021/1139 Evropskega parlamenta in Sveta (zadevno plovilo mora pripadati segmentu flote, ki je v ravnovesju z razpoložljivimi ribolovnimi možnostmi)</w:t>
      </w:r>
      <w:r w:rsidR="002B538A">
        <w:rPr>
          <w:rFonts w:cs="Arial"/>
          <w:bCs/>
          <w:iCs/>
          <w:color w:val="000000"/>
          <w:szCs w:val="20"/>
        </w:rPr>
        <w:t xml:space="preserve">. Podatki morajo </w:t>
      </w:r>
      <w:r w:rsidR="00A64A05">
        <w:rPr>
          <w:rFonts w:cs="Arial"/>
          <w:bCs/>
          <w:iCs/>
          <w:color w:val="000000"/>
          <w:szCs w:val="20"/>
        </w:rPr>
        <w:t>biti</w:t>
      </w:r>
      <w:r w:rsidR="002B538A">
        <w:rPr>
          <w:rFonts w:cs="Arial"/>
          <w:bCs/>
          <w:iCs/>
          <w:color w:val="000000"/>
          <w:szCs w:val="20"/>
        </w:rPr>
        <w:t xml:space="preserve"> razvidni iz </w:t>
      </w:r>
      <w:r w:rsidR="00F34A8D">
        <w:rPr>
          <w:rFonts w:cs="Arial"/>
          <w:bCs/>
          <w:iCs/>
          <w:color w:val="000000"/>
          <w:szCs w:val="20"/>
        </w:rPr>
        <w:t>Po</w:t>
      </w:r>
      <w:r w:rsidR="002B538A">
        <w:rPr>
          <w:rFonts w:cs="Arial"/>
          <w:bCs/>
          <w:iCs/>
          <w:color w:val="000000"/>
          <w:szCs w:val="20"/>
        </w:rPr>
        <w:t xml:space="preserve">ročila o ribolovni zmogljivosti (angl. </w:t>
      </w:r>
      <w:r w:rsidR="002B538A" w:rsidRPr="008E6BB7">
        <w:rPr>
          <w:rFonts w:cs="Arial"/>
          <w:bCs/>
          <w:i/>
          <w:iCs/>
          <w:color w:val="000000"/>
          <w:szCs w:val="20"/>
        </w:rPr>
        <w:t>Fleet report</w:t>
      </w:r>
      <w:r w:rsidR="002B538A">
        <w:rPr>
          <w:rFonts w:cs="Arial"/>
          <w:bCs/>
          <w:iCs/>
          <w:color w:val="000000"/>
          <w:szCs w:val="20"/>
        </w:rPr>
        <w:t>)</w:t>
      </w:r>
      <w:r w:rsidR="008C6478">
        <w:rPr>
          <w:rFonts w:cs="Arial"/>
          <w:bCs/>
          <w:iCs/>
          <w:color w:val="000000"/>
          <w:szCs w:val="20"/>
        </w:rPr>
        <w:t>, ki je pripravljeno v skladu s členom 22 Uredbe (EU) št. 1380/2013.</w:t>
      </w:r>
    </w:p>
    <w:p w14:paraId="26646F51" w14:textId="5C815271" w:rsidR="00E304F8" w:rsidRDefault="00E304F8">
      <w:pPr>
        <w:spacing w:after="200" w:line="276" w:lineRule="auto"/>
        <w:rPr>
          <w:iCs/>
        </w:rPr>
      </w:pPr>
      <w:r>
        <w:rPr>
          <w:iCs/>
        </w:rPr>
        <w:br w:type="page"/>
      </w:r>
    </w:p>
    <w:p w14:paraId="6E680A33" w14:textId="77777777" w:rsidR="00C43378" w:rsidRPr="00AC29EA" w:rsidRDefault="00C43378" w:rsidP="00610A3A">
      <w:pPr>
        <w:spacing w:after="200" w:line="276" w:lineRule="auto"/>
        <w:jc w:val="both"/>
        <w:rPr>
          <w:noProof/>
        </w:rPr>
      </w:pPr>
    </w:p>
    <w:p w14:paraId="760F3EBB" w14:textId="77777777" w:rsidR="00C43378" w:rsidRPr="00293FAE" w:rsidRDefault="00C43378" w:rsidP="00C43378">
      <w:pPr>
        <w:pBdr>
          <w:top w:val="single" w:sz="4" w:space="1" w:color="auto"/>
          <w:left w:val="single" w:sz="4" w:space="4" w:color="auto"/>
          <w:bottom w:val="single" w:sz="4" w:space="1" w:color="auto"/>
          <w:right w:val="single" w:sz="4" w:space="4" w:color="auto"/>
        </w:pBdr>
        <w:jc w:val="both"/>
        <w:rPr>
          <w:b/>
          <w:iCs/>
        </w:rPr>
      </w:pPr>
      <w:bookmarkStart w:id="10" w:name="_Hlk59425679"/>
      <w:r w:rsidRPr="0081768A">
        <w:rPr>
          <w:iCs/>
        </w:rPr>
        <w:t>Prednostna naloga:</w:t>
      </w:r>
      <w:r w:rsidRPr="0081768A">
        <w:rPr>
          <w:b/>
          <w:iCs/>
        </w:rPr>
        <w:t xml:space="preserve"> Spodbujanje trajnostnega ribištva in ohranjanje vodnih bioloških virov</w:t>
      </w:r>
    </w:p>
    <w:p w14:paraId="41E670A3" w14:textId="7643BC86" w:rsidR="00C43378" w:rsidRPr="00C43378" w:rsidRDefault="00C43378" w:rsidP="00C43378">
      <w:pPr>
        <w:pBdr>
          <w:top w:val="single" w:sz="4" w:space="1" w:color="auto"/>
          <w:left w:val="single" w:sz="4" w:space="4" w:color="auto"/>
          <w:bottom w:val="single" w:sz="4" w:space="1" w:color="auto"/>
          <w:right w:val="single" w:sz="4" w:space="4" w:color="auto"/>
        </w:pBdr>
        <w:jc w:val="both"/>
        <w:rPr>
          <w:b/>
          <w:iCs/>
        </w:rPr>
      </w:pPr>
      <w:r w:rsidRPr="00EB70EE">
        <w:rPr>
          <w:iCs/>
        </w:rPr>
        <w:t>Specifični cilj:</w:t>
      </w:r>
      <w:r w:rsidRPr="0081768A">
        <w:rPr>
          <w:b/>
          <w:iCs/>
        </w:rPr>
        <w:t xml:space="preserve"> </w:t>
      </w:r>
      <w:r w:rsidR="006D3B7E" w:rsidRPr="006D3B7E">
        <w:rPr>
          <w:iCs/>
        </w:rPr>
        <w:t>1.3:</w:t>
      </w:r>
      <w:r w:rsidR="006D3B7E">
        <w:rPr>
          <w:b/>
          <w:iCs/>
        </w:rPr>
        <w:t xml:space="preserve"> </w:t>
      </w:r>
      <w:r w:rsidR="006D3B7E" w:rsidRPr="006D3B7E">
        <w:rPr>
          <w:b/>
          <w:iCs/>
        </w:rPr>
        <w:t>Spodbujanje prilagajanja ribolovnih zmogljivosti ribolovnim možnostim v primerih trajnega prenehanja ribolovne dejavnosti ter prispevanje k primernemu življenjskemu standardu v primerih začasnega prenehanja ribolovnih dejavnosti</w:t>
      </w:r>
    </w:p>
    <w:bookmarkEnd w:id="10"/>
    <w:p w14:paraId="407BFBD9" w14:textId="1D9946E2" w:rsidR="00C43378" w:rsidRDefault="00C43378" w:rsidP="00C43378">
      <w:pPr>
        <w:rPr>
          <w:rFonts w:cs="Arial"/>
          <w:i/>
          <w:iCs/>
          <w:szCs w:val="20"/>
        </w:rPr>
      </w:pPr>
    </w:p>
    <w:p w14:paraId="76B60A7D" w14:textId="36946E7D" w:rsidR="000576B6" w:rsidRDefault="000576B6" w:rsidP="000576B6">
      <w:pPr>
        <w:rPr>
          <w:i/>
          <w:iCs/>
          <w:noProof/>
        </w:rPr>
      </w:pPr>
      <w:r w:rsidRPr="00C43378">
        <w:rPr>
          <w:rFonts w:cs="Arial"/>
          <w:i/>
          <w:noProof/>
          <w:szCs w:val="20"/>
        </w:rPr>
        <w:t xml:space="preserve">Povezane vrste ukrepov– Člen </w:t>
      </w:r>
      <w:r w:rsidR="00A32CED">
        <w:rPr>
          <w:rFonts w:cs="Arial"/>
          <w:i/>
          <w:noProof/>
          <w:szCs w:val="20"/>
        </w:rPr>
        <w:t>22</w:t>
      </w:r>
      <w:r w:rsidRPr="00C43378">
        <w:rPr>
          <w:rFonts w:cs="Arial"/>
          <w:i/>
          <w:noProof/>
          <w:szCs w:val="20"/>
        </w:rPr>
        <w:t xml:space="preserve">(3)(d)(i) SSO: </w:t>
      </w:r>
      <w:r w:rsidRPr="00C43378">
        <w:rPr>
          <w:i/>
          <w:iCs/>
          <w:noProof/>
        </w:rPr>
        <w:t>Besedilno polje  [8 000]</w:t>
      </w:r>
    </w:p>
    <w:p w14:paraId="40BD54EC" w14:textId="7859CCF8" w:rsidR="000576B6" w:rsidRDefault="000576B6" w:rsidP="000576B6">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Glede na potrebe, opredeljene v SWOT analizi, bo Republika Slovenija v okviru ESPRA  izvajal</w:t>
      </w:r>
      <w:r w:rsidR="006D3B7E">
        <w:rPr>
          <w:rFonts w:cs="Arial"/>
          <w:b/>
          <w:bCs/>
          <w:color w:val="000000"/>
          <w:szCs w:val="20"/>
        </w:rPr>
        <w:t>a</w:t>
      </w:r>
      <w:r>
        <w:rPr>
          <w:rFonts w:cs="Arial"/>
          <w:b/>
          <w:bCs/>
          <w:color w:val="000000"/>
          <w:szCs w:val="20"/>
        </w:rPr>
        <w:t xml:space="preserve"> naslednje aktivnosti:</w:t>
      </w:r>
    </w:p>
    <w:p w14:paraId="2819477F" w14:textId="77777777" w:rsidR="00E304F8" w:rsidRDefault="00E304F8" w:rsidP="000576B6">
      <w:pPr>
        <w:pBdr>
          <w:top w:val="single" w:sz="4" w:space="1" w:color="auto"/>
          <w:left w:val="single" w:sz="4" w:space="4" w:color="auto"/>
          <w:bottom w:val="single" w:sz="4" w:space="0" w:color="auto"/>
          <w:right w:val="single" w:sz="4" w:space="13" w:color="auto"/>
        </w:pBdr>
        <w:jc w:val="both"/>
        <w:rPr>
          <w:rFonts w:cs="Arial"/>
          <w:b/>
          <w:bCs/>
          <w:color w:val="000000"/>
          <w:szCs w:val="20"/>
        </w:rPr>
      </w:pPr>
    </w:p>
    <w:p w14:paraId="4CCABB74" w14:textId="451851CE" w:rsidR="000576B6" w:rsidRDefault="006D3B7E" w:rsidP="000576B6">
      <w:pPr>
        <w:pBdr>
          <w:top w:val="single" w:sz="4" w:space="1" w:color="auto"/>
          <w:left w:val="single" w:sz="4" w:space="4" w:color="auto"/>
          <w:bottom w:val="single" w:sz="4" w:space="0" w:color="auto"/>
          <w:right w:val="single" w:sz="4" w:space="13" w:color="auto"/>
        </w:pBdr>
        <w:jc w:val="both"/>
        <w:rPr>
          <w:rFonts w:cs="Arial"/>
          <w:b/>
          <w:bCs/>
          <w:iCs/>
          <w:color w:val="000000"/>
          <w:szCs w:val="20"/>
        </w:rPr>
      </w:pPr>
      <w:r w:rsidRPr="006D3B7E">
        <w:rPr>
          <w:rFonts w:cs="Arial"/>
          <w:b/>
          <w:bCs/>
          <w:iCs/>
          <w:color w:val="000000"/>
          <w:szCs w:val="20"/>
        </w:rPr>
        <w:t>4. Začasno prenehanje ribolovnih dejavnosti</w:t>
      </w:r>
    </w:p>
    <w:p w14:paraId="308A3C4F" w14:textId="3EB421A5" w:rsidR="0012239D" w:rsidRDefault="007A7951" w:rsidP="000576B6">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Aktivnost začasnega prenehanja ribolovnih aktivnosti bo tesno povezan</w:t>
      </w:r>
      <w:r w:rsidR="00D4173C">
        <w:rPr>
          <w:rFonts w:ascii="Helv" w:eastAsiaTheme="minorHAnsi" w:hAnsi="Helv" w:cs="Helv"/>
          <w:color w:val="000000"/>
          <w:szCs w:val="20"/>
        </w:rPr>
        <w:t>a</w:t>
      </w:r>
      <w:r>
        <w:rPr>
          <w:rFonts w:ascii="Helv" w:eastAsiaTheme="minorHAnsi" w:hAnsi="Helv" w:cs="Helv"/>
          <w:color w:val="000000"/>
          <w:szCs w:val="20"/>
        </w:rPr>
        <w:t xml:space="preserve"> z ekološkim stanjem morja, </w:t>
      </w:r>
      <w:r w:rsidR="00D4173C">
        <w:rPr>
          <w:rFonts w:ascii="Helv" w:eastAsiaTheme="minorHAnsi" w:hAnsi="Helv" w:cs="Helv"/>
          <w:color w:val="000000"/>
          <w:szCs w:val="20"/>
        </w:rPr>
        <w:t xml:space="preserve">stanjem (izkoriščenostjo) ribolovnih virov, </w:t>
      </w:r>
      <w:r w:rsidR="0012239D">
        <w:rPr>
          <w:rFonts w:ascii="Helv" w:eastAsiaTheme="minorHAnsi" w:hAnsi="Helv" w:cs="Helv"/>
          <w:color w:val="000000"/>
          <w:szCs w:val="20"/>
        </w:rPr>
        <w:t xml:space="preserve">naravnimi nesrečami in okoljskimi pojavi ter </w:t>
      </w:r>
      <w:r>
        <w:rPr>
          <w:rFonts w:ascii="Helv" w:eastAsiaTheme="minorHAnsi" w:hAnsi="Helv" w:cs="Helv"/>
          <w:color w:val="000000"/>
          <w:szCs w:val="20"/>
        </w:rPr>
        <w:t>z izvajanjem večletnih načrtov upravljanja pridnenih in pelagičnih staležev</w:t>
      </w:r>
      <w:r w:rsidR="00E248EA">
        <w:rPr>
          <w:rFonts w:ascii="Helv" w:eastAsiaTheme="minorHAnsi" w:hAnsi="Helv" w:cs="Helv"/>
          <w:color w:val="000000"/>
          <w:szCs w:val="20"/>
        </w:rPr>
        <w:t xml:space="preserve"> v skladu s priporočili GFCM</w:t>
      </w:r>
      <w:r w:rsidR="00D4173C">
        <w:rPr>
          <w:rFonts w:ascii="Helv" w:eastAsiaTheme="minorHAnsi" w:hAnsi="Helv" w:cs="Helv"/>
          <w:color w:val="000000"/>
          <w:szCs w:val="20"/>
        </w:rPr>
        <w:t>.</w:t>
      </w:r>
      <w:r w:rsidR="00E248EA">
        <w:rPr>
          <w:rFonts w:ascii="Helv" w:eastAsiaTheme="minorHAnsi" w:hAnsi="Helv" w:cs="Helv"/>
          <w:color w:val="000000"/>
          <w:szCs w:val="20"/>
        </w:rPr>
        <w:t xml:space="preserve"> </w:t>
      </w:r>
      <w:r w:rsidR="0012239D">
        <w:rPr>
          <w:rFonts w:ascii="Helv" w:eastAsiaTheme="minorHAnsi" w:hAnsi="Helv" w:cs="Helv"/>
          <w:color w:val="000000"/>
          <w:szCs w:val="20"/>
        </w:rPr>
        <w:t xml:space="preserve"> Skladno z Načrtom upravljanja z </w:t>
      </w:r>
      <w:r w:rsidR="005E3D43">
        <w:rPr>
          <w:rFonts w:ascii="Helv" w:eastAsiaTheme="minorHAnsi" w:hAnsi="Helv" w:cs="Helv"/>
          <w:color w:val="000000"/>
          <w:szCs w:val="20"/>
        </w:rPr>
        <w:t xml:space="preserve">morskim gospodarskim </w:t>
      </w:r>
      <w:r w:rsidR="0012239D">
        <w:rPr>
          <w:rFonts w:ascii="Helv" w:eastAsiaTheme="minorHAnsi" w:hAnsi="Helv" w:cs="Helv"/>
          <w:color w:val="000000"/>
          <w:szCs w:val="20"/>
        </w:rPr>
        <w:t>ribištvom v</w:t>
      </w:r>
      <w:r w:rsidR="005E3D43">
        <w:rPr>
          <w:rFonts w:ascii="Helv" w:eastAsiaTheme="minorHAnsi" w:hAnsi="Helv" w:cs="Helv"/>
          <w:color w:val="000000"/>
          <w:szCs w:val="20"/>
        </w:rPr>
        <w:t xml:space="preserve"> teritorialnih vodah in notranjih morskih vodah</w:t>
      </w:r>
      <w:r w:rsidR="0012239D">
        <w:rPr>
          <w:rFonts w:ascii="Helv" w:eastAsiaTheme="minorHAnsi" w:hAnsi="Helv" w:cs="Helv"/>
          <w:color w:val="000000"/>
          <w:szCs w:val="20"/>
        </w:rPr>
        <w:t xml:space="preserve"> RS</w:t>
      </w:r>
      <w:r w:rsidR="005E3D43">
        <w:rPr>
          <w:rFonts w:ascii="Helv" w:eastAsiaTheme="minorHAnsi" w:hAnsi="Helv" w:cs="Helv"/>
          <w:color w:val="000000"/>
          <w:szCs w:val="20"/>
        </w:rPr>
        <w:t xml:space="preserve">, pripravljenim na podlagi Uredbe Sveta (ES) št. 1967/2006 in v skladu z 9. členom Uredbe (EU) št. 1380/2013, </w:t>
      </w:r>
      <w:r w:rsidR="0012239D">
        <w:rPr>
          <w:rFonts w:ascii="Helv" w:eastAsiaTheme="minorHAnsi" w:hAnsi="Helv" w:cs="Helv"/>
          <w:color w:val="000000"/>
          <w:szCs w:val="20"/>
        </w:rPr>
        <w:t>se bo ta aktivnost uporabljala za izvajanje:</w:t>
      </w:r>
    </w:p>
    <w:p w14:paraId="55826936" w14:textId="1D5001A0" w:rsidR="0012239D" w:rsidRDefault="0012239D" w:rsidP="000576B6">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a) ohranitvenih ukrepov iz ročk a), b), c) in j) prvega odstavka 7. člena Uredbe (EU) 1380/2013 ali enakovrednih ohranitvenih ukrepov, sprejetih z regionalnim upravljanjem ribištva,</w:t>
      </w:r>
    </w:p>
    <w:p w14:paraId="6088DE10" w14:textId="43244133" w:rsidR="0012239D" w:rsidRDefault="0012239D" w:rsidP="000576B6">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 xml:space="preserve">b) ukrepov Komisije v primeru resne grožnje morskim biološkim virom iz 12. člena </w:t>
      </w:r>
      <w:r w:rsidRPr="0012239D">
        <w:rPr>
          <w:rFonts w:ascii="Helv" w:eastAsiaTheme="minorHAnsi" w:hAnsi="Helv" w:cs="Helv"/>
          <w:color w:val="000000"/>
          <w:szCs w:val="20"/>
        </w:rPr>
        <w:t>Uredbe (EU) 1380/2013</w:t>
      </w:r>
      <w:r>
        <w:rPr>
          <w:rFonts w:ascii="Helv" w:eastAsiaTheme="minorHAnsi" w:hAnsi="Helv" w:cs="Helv"/>
          <w:color w:val="000000"/>
          <w:szCs w:val="20"/>
        </w:rPr>
        <w:t>,</w:t>
      </w:r>
    </w:p>
    <w:p w14:paraId="60E618AB" w14:textId="51BD7E16" w:rsidR="0012239D" w:rsidRDefault="0012239D" w:rsidP="0012239D">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 xml:space="preserve">c) nujnih ukrepov v skladu s 13. členom </w:t>
      </w:r>
      <w:r w:rsidRPr="0012239D">
        <w:rPr>
          <w:rFonts w:ascii="Helv" w:eastAsiaTheme="minorHAnsi" w:hAnsi="Helv" w:cs="Helv"/>
          <w:color w:val="000000"/>
          <w:szCs w:val="20"/>
        </w:rPr>
        <w:t>Uredbe (EU) 1380/2013</w:t>
      </w:r>
      <w:r>
        <w:rPr>
          <w:rFonts w:ascii="Helv" w:eastAsiaTheme="minorHAnsi" w:hAnsi="Helv" w:cs="Helv"/>
          <w:color w:val="000000"/>
          <w:szCs w:val="20"/>
        </w:rPr>
        <w:t>,</w:t>
      </w:r>
    </w:p>
    <w:p w14:paraId="6D9AF7D1" w14:textId="5348B6CA" w:rsidR="0012239D" w:rsidRPr="0012239D" w:rsidRDefault="0012239D" w:rsidP="0012239D">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d) prekinitve uporabe sporazuma ali protokola o partnerstvu o trajnostnem ribištvu zaradi višje sile in</w:t>
      </w:r>
    </w:p>
    <w:p w14:paraId="22170C39" w14:textId="5A7013E7" w:rsidR="0012239D" w:rsidRDefault="0012239D" w:rsidP="000576B6">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e) zaradi naravne nesreče ali okoljskih pojavov ali zdravstvenih kriz, kot jih uradno priznajo pristojni organi zadevne države članice.</w:t>
      </w:r>
    </w:p>
    <w:p w14:paraId="32D17E92" w14:textId="77777777" w:rsidR="0012239D" w:rsidRDefault="0012239D" w:rsidP="000576B6">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p>
    <w:p w14:paraId="5A7AEF5C" w14:textId="0ABFDD8C" w:rsidR="0012239D" w:rsidRDefault="0012239D" w:rsidP="0012239D">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 xml:space="preserve">V okviru točke b) se bodo izvajala priporočila GFCM. </w:t>
      </w:r>
      <w:r w:rsidRPr="0012239D">
        <w:rPr>
          <w:rFonts w:ascii="Helv" w:eastAsiaTheme="minorHAnsi" w:hAnsi="Helv" w:cs="Helv"/>
          <w:color w:val="000000"/>
          <w:szCs w:val="20"/>
        </w:rPr>
        <w:t xml:space="preserve">Med pomembnejšimi </w:t>
      </w:r>
      <w:r w:rsidR="009705AC">
        <w:rPr>
          <w:rFonts w:ascii="Helv" w:eastAsiaTheme="minorHAnsi" w:hAnsi="Helv" w:cs="Helv"/>
          <w:color w:val="000000"/>
          <w:szCs w:val="20"/>
        </w:rPr>
        <w:t>so</w:t>
      </w:r>
      <w:r w:rsidRPr="0012239D">
        <w:rPr>
          <w:rFonts w:ascii="Helv" w:eastAsiaTheme="minorHAnsi" w:hAnsi="Helv" w:cs="Helv"/>
          <w:color w:val="000000"/>
          <w:szCs w:val="20"/>
        </w:rPr>
        <w:t xml:space="preserve"> priporočilo GFCM/42/2018/8 v obdobju 2019–2021 za majhne pelagične staleže v Jadranskem morju</w:t>
      </w:r>
      <w:r w:rsidR="009705AC">
        <w:rPr>
          <w:rFonts w:ascii="Helv" w:eastAsiaTheme="minorHAnsi" w:hAnsi="Helv" w:cs="Helv"/>
          <w:color w:val="000000"/>
          <w:szCs w:val="20"/>
        </w:rPr>
        <w:t xml:space="preserve"> ter </w:t>
      </w:r>
      <w:r w:rsidR="009705AC" w:rsidRPr="009705AC">
        <w:rPr>
          <w:rFonts w:ascii="Helv" w:eastAsiaTheme="minorHAnsi" w:hAnsi="Helv" w:cs="Helv"/>
          <w:color w:val="000000"/>
          <w:szCs w:val="20"/>
        </w:rPr>
        <w:t>GFCM/43/2019/5</w:t>
      </w:r>
      <w:r w:rsidR="009705AC">
        <w:rPr>
          <w:rFonts w:ascii="Helv" w:eastAsiaTheme="minorHAnsi" w:hAnsi="Helv" w:cs="Helv"/>
          <w:color w:val="000000"/>
          <w:szCs w:val="20"/>
        </w:rPr>
        <w:t xml:space="preserve">, ki ureja večletni načrt upravljanja za trajnostni pridneni ribolov. </w:t>
      </w:r>
      <w:r w:rsidR="009705AC" w:rsidRPr="009705AC">
        <w:rPr>
          <w:rFonts w:ascii="Helv" w:eastAsiaTheme="minorHAnsi" w:hAnsi="Helv" w:cs="Helv"/>
          <w:color w:val="000000"/>
          <w:szCs w:val="20"/>
        </w:rPr>
        <w:t xml:space="preserve">Na podlagi večletnih načrtov upravljanja s staleži se bodo določala obdobja zapore gospodarskega ribolova za posamezne segmente flote in posamezne tehnologije ribolova ter na posameznih območjih ribolovnega morja. </w:t>
      </w:r>
      <w:r>
        <w:rPr>
          <w:rFonts w:ascii="Helv" w:eastAsiaTheme="minorHAnsi" w:hAnsi="Helv" w:cs="Helv"/>
          <w:color w:val="000000"/>
          <w:szCs w:val="20"/>
        </w:rPr>
        <w:t xml:space="preserve">Časovno obdobje izvajanja je od </w:t>
      </w:r>
      <w:r w:rsidRPr="0012239D">
        <w:rPr>
          <w:rFonts w:ascii="Helv" w:eastAsiaTheme="minorHAnsi" w:hAnsi="Helv" w:cs="Helv"/>
          <w:color w:val="000000"/>
          <w:szCs w:val="20"/>
        </w:rPr>
        <w:t xml:space="preserve">15.3. do 15.4. </w:t>
      </w:r>
      <w:r>
        <w:rPr>
          <w:rFonts w:ascii="Helv" w:eastAsiaTheme="minorHAnsi" w:hAnsi="Helv" w:cs="Helv"/>
          <w:color w:val="000000"/>
          <w:szCs w:val="20"/>
        </w:rPr>
        <w:t xml:space="preserve">za </w:t>
      </w:r>
      <w:r w:rsidR="009705AC">
        <w:rPr>
          <w:rFonts w:ascii="Helv" w:eastAsiaTheme="minorHAnsi" w:hAnsi="Helv" w:cs="Helv"/>
          <w:color w:val="000000"/>
          <w:szCs w:val="20"/>
        </w:rPr>
        <w:t xml:space="preserve">male pelagične staleže (sardela </w:t>
      </w:r>
      <w:r w:rsidRPr="0012239D">
        <w:rPr>
          <w:rFonts w:ascii="Helv" w:eastAsiaTheme="minorHAnsi" w:hAnsi="Helv" w:cs="Helv"/>
          <w:color w:val="000000"/>
          <w:szCs w:val="20"/>
        </w:rPr>
        <w:t>in sardon)</w:t>
      </w:r>
      <w:r w:rsidR="009705AC">
        <w:rPr>
          <w:rFonts w:ascii="Helv" w:eastAsiaTheme="minorHAnsi" w:hAnsi="Helv" w:cs="Helv"/>
          <w:color w:val="000000"/>
          <w:szCs w:val="20"/>
        </w:rPr>
        <w:t xml:space="preserve"> ter</w:t>
      </w:r>
      <w:r w:rsidRPr="0012239D">
        <w:rPr>
          <w:rFonts w:ascii="Helv" w:eastAsiaTheme="minorHAnsi" w:hAnsi="Helv" w:cs="Helv"/>
          <w:color w:val="000000"/>
          <w:szCs w:val="20"/>
        </w:rPr>
        <w:t xml:space="preserve"> od 1.</w:t>
      </w:r>
      <w:r w:rsidR="009705AC">
        <w:rPr>
          <w:rFonts w:ascii="Helv" w:eastAsiaTheme="minorHAnsi" w:hAnsi="Helv" w:cs="Helv"/>
          <w:color w:val="000000"/>
          <w:szCs w:val="20"/>
        </w:rPr>
        <w:t xml:space="preserve"> </w:t>
      </w:r>
      <w:r w:rsidRPr="0012239D">
        <w:rPr>
          <w:rFonts w:ascii="Helv" w:eastAsiaTheme="minorHAnsi" w:hAnsi="Helv" w:cs="Helv"/>
          <w:color w:val="000000"/>
          <w:szCs w:val="20"/>
        </w:rPr>
        <w:t xml:space="preserve">4. do 30. 4. </w:t>
      </w:r>
      <w:r w:rsidR="009705AC">
        <w:rPr>
          <w:rFonts w:ascii="Helv" w:eastAsiaTheme="minorHAnsi" w:hAnsi="Helv" w:cs="Helv"/>
          <w:color w:val="000000"/>
          <w:szCs w:val="20"/>
        </w:rPr>
        <w:t xml:space="preserve">za pridnene ribolovne staleže. </w:t>
      </w:r>
      <w:r w:rsidR="00AD7B1A">
        <w:rPr>
          <w:rFonts w:ascii="Helv" w:eastAsiaTheme="minorHAnsi" w:hAnsi="Helv" w:cs="Helv"/>
          <w:color w:val="000000"/>
          <w:szCs w:val="20"/>
        </w:rPr>
        <w:t xml:space="preserve">Ciljna ribolovna orodja so OTB, GNS, GT. </w:t>
      </w:r>
      <w:r w:rsidR="00256A1D">
        <w:rPr>
          <w:rFonts w:ascii="Helv" w:eastAsiaTheme="minorHAnsi" w:hAnsi="Helv" w:cs="Helv"/>
          <w:color w:val="000000"/>
          <w:szCs w:val="20"/>
        </w:rPr>
        <w:t>V primeru okoljskih pojavov bodo najverjetneje zajeti tudi drugi segmenti flote v odvisnosti od okoljskega pojava</w:t>
      </w:r>
      <w:r w:rsidR="00434A17">
        <w:rPr>
          <w:rFonts w:ascii="Helv" w:eastAsiaTheme="minorHAnsi" w:hAnsi="Helv" w:cs="Helv"/>
          <w:color w:val="000000"/>
          <w:szCs w:val="20"/>
        </w:rPr>
        <w:t xml:space="preserve"> </w:t>
      </w:r>
      <w:r w:rsidR="0045623E">
        <w:rPr>
          <w:rFonts w:ascii="Helv" w:eastAsiaTheme="minorHAnsi" w:hAnsi="Helv" w:cs="Helv"/>
          <w:color w:val="000000"/>
          <w:szCs w:val="20"/>
        </w:rPr>
        <w:t>oziroma</w:t>
      </w:r>
      <w:r w:rsidR="00434A17">
        <w:rPr>
          <w:rFonts w:ascii="Helv" w:eastAsiaTheme="minorHAnsi" w:hAnsi="Helv" w:cs="Helv"/>
          <w:color w:val="000000"/>
          <w:szCs w:val="20"/>
        </w:rPr>
        <w:t xml:space="preserve"> vpliva le-tega na </w:t>
      </w:r>
      <w:r w:rsidR="0045623E">
        <w:rPr>
          <w:rFonts w:ascii="Helv" w:eastAsiaTheme="minorHAnsi" w:hAnsi="Helv" w:cs="Helv"/>
          <w:color w:val="000000"/>
          <w:szCs w:val="20"/>
        </w:rPr>
        <w:t>posamezne</w:t>
      </w:r>
      <w:r w:rsidR="00434A17">
        <w:rPr>
          <w:rFonts w:ascii="Helv" w:eastAsiaTheme="minorHAnsi" w:hAnsi="Helv" w:cs="Helv"/>
          <w:color w:val="000000"/>
          <w:szCs w:val="20"/>
        </w:rPr>
        <w:t xml:space="preserve"> segmente flote</w:t>
      </w:r>
      <w:r w:rsidR="00256A1D">
        <w:rPr>
          <w:rFonts w:ascii="Helv" w:eastAsiaTheme="minorHAnsi" w:hAnsi="Helv" w:cs="Helv"/>
          <w:color w:val="000000"/>
          <w:szCs w:val="20"/>
        </w:rPr>
        <w:t xml:space="preserve">. </w:t>
      </w:r>
      <w:r w:rsidR="00AD7B1A">
        <w:rPr>
          <w:rFonts w:ascii="Helv" w:eastAsiaTheme="minorHAnsi" w:hAnsi="Helv" w:cs="Helv"/>
          <w:color w:val="000000"/>
          <w:szCs w:val="20"/>
        </w:rPr>
        <w:t xml:space="preserve">Upoštevajo se </w:t>
      </w:r>
      <w:r w:rsidR="00434A17">
        <w:rPr>
          <w:rFonts w:ascii="Helv" w:eastAsiaTheme="minorHAnsi" w:hAnsi="Helv" w:cs="Helv"/>
          <w:color w:val="000000"/>
          <w:szCs w:val="20"/>
        </w:rPr>
        <w:t xml:space="preserve">pogoji iz 21. člena uredbe (EU) št. </w:t>
      </w:r>
      <w:r w:rsidR="00AD7B1A">
        <w:rPr>
          <w:rFonts w:ascii="Helv" w:eastAsiaTheme="minorHAnsi" w:hAnsi="Helv" w:cs="Helv"/>
          <w:color w:val="000000"/>
          <w:szCs w:val="20"/>
        </w:rPr>
        <w:t>2021/1139.</w:t>
      </w:r>
    </w:p>
    <w:p w14:paraId="792B64A1" w14:textId="318FF8B9" w:rsidR="0012239D" w:rsidRDefault="009705AC" w:rsidP="0012239D">
      <w:pPr>
        <w:pBdr>
          <w:top w:val="single" w:sz="4" w:space="1" w:color="auto"/>
          <w:left w:val="single" w:sz="4" w:space="4" w:color="auto"/>
          <w:bottom w:val="single" w:sz="4" w:space="0" w:color="auto"/>
          <w:right w:val="single" w:sz="4" w:space="13" w:color="auto"/>
        </w:pBdr>
        <w:jc w:val="both"/>
        <w:rPr>
          <w:rFonts w:eastAsiaTheme="minorHAnsi" w:cs="Arial"/>
          <w:color w:val="000000"/>
          <w:szCs w:val="20"/>
        </w:rPr>
      </w:pPr>
      <w:r>
        <w:rPr>
          <w:rFonts w:ascii="Helv" w:eastAsiaTheme="minorHAnsi" w:hAnsi="Helv" w:cs="Helv"/>
          <w:color w:val="000000"/>
          <w:szCs w:val="20"/>
        </w:rPr>
        <w:t>V času začasnega prenehanja ribolovnih dejavnosti se bodo ribičem, ki bod</w:t>
      </w:r>
      <w:r>
        <w:rPr>
          <w:rFonts w:eastAsiaTheme="minorHAnsi" w:cs="Arial"/>
          <w:color w:val="000000"/>
          <w:szCs w:val="20"/>
        </w:rPr>
        <w:t>o izpolnjevali pogoje, izpla</w:t>
      </w:r>
      <w:r>
        <w:rPr>
          <w:rFonts w:ascii="Helv" w:eastAsiaTheme="minorHAnsi" w:hAnsi="Helv" w:cs="Helv"/>
          <w:color w:val="000000"/>
          <w:szCs w:val="20"/>
        </w:rPr>
        <w:t xml:space="preserve">čala </w:t>
      </w:r>
      <w:r>
        <w:rPr>
          <w:rFonts w:eastAsiaTheme="minorHAnsi" w:cs="Arial"/>
          <w:color w:val="000000"/>
          <w:szCs w:val="20"/>
        </w:rPr>
        <w:t>nadomestila. Za</w:t>
      </w:r>
      <w:r>
        <w:rPr>
          <w:rFonts w:ascii="Helv" w:eastAsiaTheme="minorHAnsi" w:hAnsi="Helv" w:cs="Helv"/>
          <w:color w:val="000000"/>
          <w:szCs w:val="20"/>
        </w:rPr>
        <w:t xml:space="preserve">časno prenehanje ribolovnih dejavnosti se bo uporabilo tudi za </w:t>
      </w:r>
      <w:r>
        <w:rPr>
          <w:rFonts w:eastAsiaTheme="minorHAnsi" w:cs="Arial"/>
          <w:color w:val="000000"/>
          <w:szCs w:val="20"/>
        </w:rPr>
        <w:t>izvajanje drugih nacionalnih ukrepov</w:t>
      </w:r>
      <w:r>
        <w:rPr>
          <w:rFonts w:ascii="Helv" w:eastAsiaTheme="minorHAnsi" w:hAnsi="Helv" w:cs="Helv"/>
          <w:color w:val="000000"/>
          <w:szCs w:val="20"/>
        </w:rPr>
        <w:t>, če bodo zadevna plovila izpolnjevala pogoje.</w:t>
      </w:r>
      <w:r>
        <w:rPr>
          <w:rFonts w:eastAsiaTheme="minorHAnsi" w:cs="Arial"/>
          <w:color w:val="000000"/>
          <w:szCs w:val="20"/>
        </w:rPr>
        <w:t xml:space="preserve"> Ta aktivnost bo </w:t>
      </w:r>
      <w:r>
        <w:rPr>
          <w:rFonts w:ascii="Helv" w:eastAsiaTheme="minorHAnsi" w:hAnsi="Helv" w:cs="Helv"/>
          <w:color w:val="000000"/>
          <w:szCs w:val="20"/>
        </w:rPr>
        <w:t>prispevala k ohranjanju gospodarsko pomembnih ribolovnih virov in doseganju MSY za vrste, ki so prekomerno izkoriščene oziroma prelovljene. Obenem pa se bo ribičem omogočilo nadomestila tudi v primeru prenehanja zaradi okoljskih pojavov (npr. prekomeren pojav rebrače, meduze ali zapora ribolova zaradi drugih obvez) ter naravnih nesreč, č</w:t>
      </w:r>
      <w:r>
        <w:rPr>
          <w:rFonts w:eastAsiaTheme="minorHAnsi" w:cs="Arial"/>
          <w:color w:val="000000"/>
          <w:szCs w:val="20"/>
        </w:rPr>
        <w:t xml:space="preserve">e bodo ti razglašeni s strani ustreznih državnih organov. </w:t>
      </w:r>
      <w:r w:rsidR="00C461B2">
        <w:rPr>
          <w:rFonts w:eastAsiaTheme="minorHAnsi" w:cs="Arial"/>
          <w:color w:val="000000"/>
          <w:szCs w:val="20"/>
        </w:rPr>
        <w:t xml:space="preserve">Ocenjujemo, da </w:t>
      </w:r>
      <w:r w:rsidR="0045623E">
        <w:rPr>
          <w:rFonts w:eastAsiaTheme="minorHAnsi" w:cs="Arial"/>
          <w:color w:val="000000"/>
          <w:szCs w:val="20"/>
        </w:rPr>
        <w:t>se</w:t>
      </w:r>
      <w:r w:rsidR="00C461B2">
        <w:rPr>
          <w:rFonts w:eastAsiaTheme="minorHAnsi" w:cs="Arial"/>
          <w:color w:val="000000"/>
          <w:szCs w:val="20"/>
        </w:rPr>
        <w:t xml:space="preserve"> bo med </w:t>
      </w:r>
      <w:r w:rsidR="0045623E">
        <w:rPr>
          <w:rFonts w:eastAsiaTheme="minorHAnsi" w:cs="Arial"/>
          <w:color w:val="000000"/>
          <w:szCs w:val="20"/>
        </w:rPr>
        <w:t>izvajanjem tega tipa aktivnosti ribolovni napor v celotnem obdobju zmanjša</w:t>
      </w:r>
      <w:r w:rsidR="00C461B2">
        <w:rPr>
          <w:rFonts w:eastAsiaTheme="minorHAnsi" w:cs="Arial"/>
          <w:color w:val="000000"/>
          <w:szCs w:val="20"/>
        </w:rPr>
        <w:t>l</w:t>
      </w:r>
      <w:r w:rsidR="0045623E">
        <w:rPr>
          <w:rFonts w:eastAsiaTheme="minorHAnsi" w:cs="Arial"/>
          <w:color w:val="000000"/>
          <w:szCs w:val="20"/>
        </w:rPr>
        <w:t xml:space="preserve"> za</w:t>
      </w:r>
      <w:r w:rsidR="00C461B2">
        <w:rPr>
          <w:rFonts w:eastAsiaTheme="minorHAnsi" w:cs="Arial"/>
          <w:color w:val="000000"/>
          <w:szCs w:val="20"/>
        </w:rPr>
        <w:t xml:space="preserve"> </w:t>
      </w:r>
      <w:r w:rsidR="00420734">
        <w:rPr>
          <w:rFonts w:eastAsiaTheme="minorHAnsi" w:cs="Arial"/>
          <w:color w:val="000000"/>
          <w:szCs w:val="20"/>
        </w:rPr>
        <w:t>6</w:t>
      </w:r>
      <w:r w:rsidR="0045623E">
        <w:rPr>
          <w:rFonts w:eastAsiaTheme="minorHAnsi" w:cs="Arial"/>
          <w:color w:val="000000"/>
          <w:szCs w:val="20"/>
        </w:rPr>
        <w:t xml:space="preserve"> </w:t>
      </w:r>
      <w:r w:rsidR="0045623E" w:rsidRPr="00D61266">
        <w:rPr>
          <w:rFonts w:eastAsiaTheme="minorHAnsi" w:cs="Arial"/>
          <w:color w:val="000000"/>
          <w:szCs w:val="20"/>
        </w:rPr>
        <w:t>%.</w:t>
      </w:r>
    </w:p>
    <w:p w14:paraId="1CE5FFC8" w14:textId="77777777" w:rsidR="0045623E" w:rsidRDefault="0045623E" w:rsidP="0012239D">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p>
    <w:p w14:paraId="07D1501B" w14:textId="1F3D1816" w:rsidR="0012239D" w:rsidRDefault="009705AC" w:rsidP="0012239D">
      <w:pPr>
        <w:pBdr>
          <w:top w:val="single" w:sz="4" w:space="1" w:color="auto"/>
          <w:left w:val="single" w:sz="4" w:space="4" w:color="auto"/>
          <w:bottom w:val="single" w:sz="4" w:space="0" w:color="auto"/>
          <w:right w:val="single" w:sz="4" w:space="13" w:color="auto"/>
        </w:pBdr>
        <w:jc w:val="both"/>
        <w:rPr>
          <w:rFonts w:ascii="Helv" w:eastAsiaTheme="minorHAnsi" w:hAnsi="Helv" w:cs="Helv"/>
          <w:color w:val="000000"/>
          <w:szCs w:val="20"/>
        </w:rPr>
      </w:pPr>
      <w:r>
        <w:rPr>
          <w:rFonts w:ascii="Helv" w:eastAsiaTheme="minorHAnsi" w:hAnsi="Helv" w:cs="Helv"/>
          <w:color w:val="000000"/>
          <w:szCs w:val="20"/>
        </w:rPr>
        <w:t>Ta aktivnost bo prispevala tudi k izvajanju cilja 1.2 GFCM Strategije 2030.</w:t>
      </w:r>
    </w:p>
    <w:p w14:paraId="18861D6C" w14:textId="1C3A345A" w:rsidR="000576B6" w:rsidRDefault="000576B6" w:rsidP="006D3B7E">
      <w:pPr>
        <w:jc w:val="both"/>
        <w:rPr>
          <w:noProof/>
        </w:rPr>
      </w:pPr>
    </w:p>
    <w:p w14:paraId="48E62FB8" w14:textId="0C9FA9C4" w:rsidR="006D3B7E" w:rsidRPr="00BC39FE" w:rsidRDefault="006D3B7E" w:rsidP="006D3B7E">
      <w:pPr>
        <w:jc w:val="both"/>
        <w:rPr>
          <w:i/>
          <w:noProof/>
        </w:rPr>
      </w:pPr>
      <w:r w:rsidRPr="00BC39FE">
        <w:rPr>
          <w:i/>
          <w:noProof/>
        </w:rPr>
        <w:lastRenderedPageBreak/>
        <w:t>Glavne ciljne skupine</w:t>
      </w:r>
      <w:r w:rsidR="000E4597">
        <w:rPr>
          <w:i/>
          <w:noProof/>
        </w:rPr>
        <w:t xml:space="preserve"> – Člen 22(3)(d)(</w:t>
      </w:r>
      <w:r w:rsidR="005953F3">
        <w:rPr>
          <w:i/>
          <w:noProof/>
        </w:rPr>
        <w:t>iii</w:t>
      </w:r>
      <w:r w:rsidR="000E4597">
        <w:rPr>
          <w:i/>
          <w:noProof/>
        </w:rPr>
        <w:t>)</w:t>
      </w:r>
    </w:p>
    <w:p w14:paraId="41C18899" w14:textId="29A10589" w:rsidR="006D3B7E" w:rsidRPr="00BC39FE" w:rsidRDefault="006D3B7E" w:rsidP="006D3B7E">
      <w:pPr>
        <w:jc w:val="both"/>
        <w:rPr>
          <w:noProof/>
        </w:rPr>
      </w:pPr>
      <w:r w:rsidRPr="00BC39FE">
        <w:rPr>
          <w:noProof/>
        </w:rPr>
        <w:t xml:space="preserve">Glavne ciljne skupine za aktivnosti so ribiči, </w:t>
      </w:r>
      <w:r>
        <w:rPr>
          <w:noProof/>
        </w:rPr>
        <w:t xml:space="preserve">ki delajo na plovilu, </w:t>
      </w:r>
      <w:r w:rsidRPr="00BC39FE">
        <w:rPr>
          <w:noProof/>
        </w:rPr>
        <w:t xml:space="preserve">lastniki in upravljavci ribiških plovil, ki imajo veljavno dovoljenje za gospodarski ribolov. </w:t>
      </w:r>
    </w:p>
    <w:p w14:paraId="38A23EDB" w14:textId="77777777" w:rsidR="006D3B7E" w:rsidRDefault="006D3B7E" w:rsidP="006D3B7E">
      <w:pPr>
        <w:jc w:val="both"/>
        <w:rPr>
          <w:noProof/>
        </w:rPr>
      </w:pPr>
    </w:p>
    <w:p w14:paraId="43523944" w14:textId="5C338B05" w:rsidR="006D3B7E" w:rsidRPr="00BC39FE" w:rsidRDefault="006D3B7E" w:rsidP="006D3B7E">
      <w:pPr>
        <w:jc w:val="both"/>
        <w:rPr>
          <w:i/>
          <w:noProof/>
        </w:rPr>
      </w:pPr>
      <w:r w:rsidRPr="00BC39FE">
        <w:rPr>
          <w:i/>
          <w:noProof/>
        </w:rPr>
        <w:t xml:space="preserve">Aktivnosti, ki ohranjajo enakost, vključenost in nediskriminacijo – Člen </w:t>
      </w:r>
      <w:r w:rsidR="005953F3">
        <w:rPr>
          <w:i/>
          <w:noProof/>
        </w:rPr>
        <w:t>22</w:t>
      </w:r>
      <w:r w:rsidRPr="00BC39FE">
        <w:rPr>
          <w:i/>
          <w:noProof/>
        </w:rPr>
        <w:t>(3)(d)(i</w:t>
      </w:r>
      <w:r w:rsidR="005953F3">
        <w:rPr>
          <w:i/>
          <w:noProof/>
        </w:rPr>
        <w:t>v</w:t>
      </w:r>
      <w:r w:rsidRPr="00BC39FE">
        <w:rPr>
          <w:i/>
          <w:noProof/>
        </w:rPr>
        <w:t>)</w:t>
      </w:r>
    </w:p>
    <w:p w14:paraId="446BBA26" w14:textId="316E170B" w:rsidR="006D3B7E" w:rsidRDefault="006D3B7E" w:rsidP="006D3B7E">
      <w:pPr>
        <w:jc w:val="both"/>
        <w:rPr>
          <w:noProof/>
        </w:rPr>
      </w:pPr>
      <w:r>
        <w:rPr>
          <w:noProof/>
        </w:rPr>
        <w:t xml:space="preserve">Slovenija bo pri izvajanju vseh aktivnosti posebno pozornost posvečala načelu enakosti, vključenosti in nediskriminiacije. Vsi potecialni deležniki bodo hkrati vključeni v aktivnosti obveščanja in predstavljanja vseh podlag za izvajanje aktivnosti. Varstvo pravic posameznika 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starost, invalidnost, rasna, etnična, </w:t>
      </w:r>
      <w:r w:rsidR="00BA2FDD">
        <w:rPr>
          <w:noProof/>
        </w:rPr>
        <w:t>narodna</w:t>
      </w:r>
      <w:r>
        <w:rPr>
          <w:noProof/>
        </w:rPr>
        <w:t xml:space="preserve"> in verska pripadnost, spolna usmerjenost) </w:t>
      </w:r>
      <w:r w:rsidR="00381EF0">
        <w:rPr>
          <w:noProof/>
        </w:rPr>
        <w:t>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73D1127A" w14:textId="77777777" w:rsidR="006D3B7E" w:rsidRPr="00BC39FE" w:rsidRDefault="006D3B7E" w:rsidP="006D3B7E">
      <w:pPr>
        <w:jc w:val="both"/>
        <w:rPr>
          <w:noProof/>
        </w:rPr>
      </w:pPr>
    </w:p>
    <w:p w14:paraId="36BEC7E2" w14:textId="1D4DBAE7" w:rsidR="006D3B7E" w:rsidRPr="00BC39FE" w:rsidRDefault="006D3B7E" w:rsidP="006D3B7E">
      <w:pPr>
        <w:jc w:val="both"/>
        <w:rPr>
          <w:rFonts w:cs="Arial"/>
          <w:i/>
          <w:noProof/>
          <w:szCs w:val="20"/>
        </w:rPr>
      </w:pPr>
      <w:r w:rsidRPr="00BC39FE">
        <w:rPr>
          <w:rFonts w:cs="Arial"/>
          <w:i/>
          <w:noProof/>
          <w:szCs w:val="20"/>
        </w:rPr>
        <w:t xml:space="preserve">Posebna ciljna območja, vključno z načrtovano uporabo teritorialnih orodij– Člen </w:t>
      </w:r>
      <w:r w:rsidR="002E5B22">
        <w:rPr>
          <w:rFonts w:cs="Arial"/>
          <w:i/>
          <w:noProof/>
          <w:szCs w:val="20"/>
        </w:rPr>
        <w:t>22</w:t>
      </w:r>
      <w:r w:rsidRPr="00BC39FE">
        <w:rPr>
          <w:rFonts w:cs="Arial"/>
          <w:i/>
          <w:noProof/>
          <w:szCs w:val="20"/>
        </w:rPr>
        <w:t>(3)(d)(v) Besedilno polje  [2 000]</w:t>
      </w:r>
    </w:p>
    <w:p w14:paraId="500702CA" w14:textId="21919F7B" w:rsidR="006D3B7E" w:rsidRPr="00BC39FE" w:rsidRDefault="006D3B7E" w:rsidP="006D3B7E">
      <w:pPr>
        <w:jc w:val="both"/>
        <w:rPr>
          <w:noProof/>
        </w:rPr>
      </w:pPr>
      <w:r w:rsidRPr="00BC39FE">
        <w:rPr>
          <w:noProof/>
        </w:rPr>
        <w:t>Aktivnosti se bodo izvajale na Obali, ki je povezana z morjem, in torej z dejavnostjo morskega gospodoarskega ribolova. Slovenija gospodarskega ribolova na celinskih vodah nima. Slovenija uporablja le mehanizem lokalnega razvoja, ki ga vodi skupnost. Uporaba teritorialnega orodja, celost</w:t>
      </w:r>
      <w:r w:rsidR="000640AD">
        <w:rPr>
          <w:noProof/>
        </w:rPr>
        <w:t xml:space="preserve">ni razvoj, ki ga vodi skupnost, </w:t>
      </w:r>
      <w:r w:rsidRPr="00BC39FE">
        <w:rPr>
          <w:noProof/>
        </w:rPr>
        <w:t>je podrobneje opisana v okviru tretje prednostne naloge.</w:t>
      </w:r>
    </w:p>
    <w:p w14:paraId="3802E97B" w14:textId="77777777" w:rsidR="006D3B7E" w:rsidRPr="00FB4210" w:rsidRDefault="006D3B7E" w:rsidP="006D3B7E">
      <w:pPr>
        <w:jc w:val="both"/>
        <w:rPr>
          <w:noProof/>
        </w:rPr>
      </w:pPr>
    </w:p>
    <w:p w14:paraId="62C3F550" w14:textId="4A07DF46" w:rsidR="006D3B7E" w:rsidRPr="00AC29EA" w:rsidRDefault="006D3B7E" w:rsidP="006D3B7E">
      <w:pPr>
        <w:jc w:val="both"/>
        <w:rPr>
          <w:rFonts w:cs="Arial"/>
          <w:b/>
          <w:i/>
          <w:iCs/>
          <w:noProof/>
          <w:szCs w:val="20"/>
        </w:rPr>
      </w:pPr>
      <w:r w:rsidRPr="00AC29EA">
        <w:rPr>
          <w:rFonts w:cs="Arial"/>
          <w:i/>
          <w:noProof/>
          <w:szCs w:val="20"/>
        </w:rPr>
        <w:t xml:space="preserve">Medregionalni in transnacionalni ukrepi –Člen </w:t>
      </w:r>
      <w:r w:rsidR="00597ADB">
        <w:rPr>
          <w:rFonts w:cs="Arial"/>
          <w:i/>
          <w:noProof/>
          <w:szCs w:val="20"/>
        </w:rPr>
        <w:t>22</w:t>
      </w:r>
      <w:r w:rsidRPr="00AC29EA">
        <w:rPr>
          <w:rFonts w:cs="Arial"/>
          <w:i/>
          <w:noProof/>
          <w:szCs w:val="20"/>
        </w:rPr>
        <w:t>(3)(d)(v</w:t>
      </w:r>
      <w:r w:rsidR="00597ADB">
        <w:rPr>
          <w:rFonts w:cs="Arial"/>
          <w:i/>
          <w:noProof/>
          <w:szCs w:val="20"/>
        </w:rPr>
        <w:t>i</w:t>
      </w:r>
      <w:r w:rsidRPr="00AC29EA">
        <w:rPr>
          <w:rFonts w:cs="Arial"/>
          <w:i/>
          <w:noProof/>
          <w:szCs w:val="20"/>
        </w:rPr>
        <w:t>) Besedilno polje  [2 000]</w:t>
      </w:r>
    </w:p>
    <w:p w14:paraId="12A6F1E8" w14:textId="77777777" w:rsidR="006D3B7E" w:rsidRPr="00AC29EA" w:rsidRDefault="006D3B7E" w:rsidP="006D3B7E">
      <w:pPr>
        <w:jc w:val="both"/>
        <w:rPr>
          <w:iCs/>
          <w:noProof/>
        </w:rPr>
      </w:pPr>
      <w:r w:rsidRPr="00AC29EA">
        <w:rPr>
          <w:iCs/>
          <w:noProof/>
        </w:rPr>
        <w:t>Medregionalni in transnacionalni ukrepi niso predvideni.</w:t>
      </w:r>
    </w:p>
    <w:p w14:paraId="299AFDB7" w14:textId="77777777" w:rsidR="006D3B7E" w:rsidRPr="00AC29EA" w:rsidRDefault="006D3B7E" w:rsidP="006D3B7E">
      <w:pPr>
        <w:jc w:val="both"/>
        <w:rPr>
          <w:i/>
          <w:iCs/>
          <w:noProof/>
        </w:rPr>
      </w:pPr>
    </w:p>
    <w:p w14:paraId="3A04244E" w14:textId="2B0D527A" w:rsidR="006D3B7E" w:rsidRPr="00AC29EA" w:rsidRDefault="006D3B7E" w:rsidP="006D3B7E">
      <w:pPr>
        <w:jc w:val="both"/>
        <w:rPr>
          <w:rFonts w:cs="Arial"/>
          <w:b/>
          <w:i/>
          <w:iCs/>
          <w:noProof/>
          <w:szCs w:val="20"/>
          <w:lang w:val="it-IT"/>
        </w:rPr>
      </w:pPr>
      <w:r w:rsidRPr="00AC29EA">
        <w:rPr>
          <w:rFonts w:cs="Arial"/>
          <w:i/>
          <w:noProof/>
          <w:szCs w:val="20"/>
          <w:lang w:val="it-IT"/>
        </w:rPr>
        <w:t xml:space="preserve">Načrtovana uporaba finančnih instrumentov– Člen </w:t>
      </w:r>
      <w:r w:rsidR="007E2A42">
        <w:rPr>
          <w:rFonts w:cs="Arial"/>
          <w:i/>
          <w:noProof/>
          <w:szCs w:val="20"/>
          <w:lang w:val="it-IT"/>
        </w:rPr>
        <w:t>22</w:t>
      </w:r>
      <w:r w:rsidRPr="00AC29EA">
        <w:rPr>
          <w:rFonts w:cs="Arial"/>
          <w:i/>
          <w:noProof/>
          <w:szCs w:val="20"/>
          <w:lang w:val="it-IT"/>
        </w:rPr>
        <w:t>(3)(d)(vi</w:t>
      </w:r>
      <w:r w:rsidR="007E2A42">
        <w:rPr>
          <w:rFonts w:cs="Arial"/>
          <w:i/>
          <w:noProof/>
          <w:szCs w:val="20"/>
          <w:lang w:val="it-IT"/>
        </w:rPr>
        <w:t>i</w:t>
      </w:r>
      <w:r w:rsidRPr="00AC29EA">
        <w:rPr>
          <w:rFonts w:cs="Arial"/>
          <w:i/>
          <w:noProof/>
          <w:szCs w:val="20"/>
          <w:lang w:val="it-IT"/>
        </w:rPr>
        <w:t>) Besedilno polje  [1 000]</w:t>
      </w:r>
    </w:p>
    <w:p w14:paraId="77514813" w14:textId="04E1666E" w:rsidR="00234072" w:rsidRDefault="003B0014" w:rsidP="00714475">
      <w:pPr>
        <w:spacing w:after="200" w:line="276" w:lineRule="auto"/>
        <w:jc w:val="both"/>
        <w:rPr>
          <w:noProof/>
          <w:lang w:val="it-IT"/>
        </w:rPr>
      </w:pPr>
      <w:r w:rsidRPr="003B0014">
        <w:rPr>
          <w:noProof/>
          <w:lang w:val="it-IT"/>
        </w:rPr>
        <w:t>Ministrstvo za kmetijstvo, gozdarstvo in prehrano Republike Slovenije, Sektor za ribištvo, je kot organ upravljanja za Evropski sklad za pomorstvo, ribištvo in akvakulturo pristopil k javnemu naročilu, ki ga je pripravila Služba Vlade RS za regionalni razvoj in kohezijsko politiko kot organ upravljanja za kohezijske sklade. V okviru tega javnega naročila je bila v skladu s 3. odstavkom 58. člena Uredbe EU št. 2021/1060 pripravljena ex-ante analiza potreb in ocena vrzeli za vzpostavitev finančnih instrumentov za kohezijske sklade in ESPRA. Skupen pristop obeh organov upravljanja je za Sektor za ribištvo sprejemljiv zaradi majhne administrativne usposobljenosti na tem področju in zaradi izkušenj, ki jih ima SVRK pri izvajanju finančnih instrumentov do sedaj. V sklopu javnega naročila je bila preučena tudi smotrnost uporabe sredstev ESPRA za finančne instrumente. Podano je mnenje, da v luči otežene izvedbe ocene primernosti uporabe finančnih instrumentov za specifične cilje, ki se v primeru sklada ESPRA razlikujejo od drugih specifičnih ciljev, majhnega vzorca relevantnih podjetij, zajetih v spletni vprašalnik, zaradi nizkega obsega razpoložljivih sredstev, majhnosti in razdrobljenosti zajetih sektorjev ribištva, pomorstva in akvakulture, ter tudi zaradi negativnih izkušenj s podobnimi finančnimi instrumenti iz drugih držav članic, izvedba finančnih instrumentov iz sklada ESPRA ni smiselna.</w:t>
      </w:r>
      <w:r w:rsidR="00234072">
        <w:rPr>
          <w:noProof/>
          <w:lang w:val="it-IT"/>
        </w:rPr>
        <w:br w:type="page"/>
      </w:r>
    </w:p>
    <w:p w14:paraId="04EC7526" w14:textId="77777777" w:rsidR="00C43378" w:rsidRPr="00C43378" w:rsidRDefault="00C43378" w:rsidP="00C43378">
      <w:pPr>
        <w:pBdr>
          <w:top w:val="single" w:sz="4" w:space="1" w:color="auto"/>
          <w:left w:val="single" w:sz="4" w:space="4" w:color="auto"/>
          <w:bottom w:val="single" w:sz="4" w:space="1" w:color="auto"/>
          <w:right w:val="single" w:sz="4" w:space="4" w:color="auto"/>
        </w:pBdr>
        <w:jc w:val="both"/>
        <w:rPr>
          <w:b/>
          <w:iCs/>
        </w:rPr>
      </w:pPr>
      <w:bookmarkStart w:id="11" w:name="_Hlk59425759"/>
      <w:r w:rsidRPr="00C43378">
        <w:rPr>
          <w:iCs/>
        </w:rPr>
        <w:lastRenderedPageBreak/>
        <w:t>Prednostna naloga:</w:t>
      </w:r>
      <w:r w:rsidRPr="00C43378">
        <w:rPr>
          <w:b/>
          <w:iCs/>
        </w:rPr>
        <w:t xml:space="preserve"> Spodbujanje trajnostnega ribištva in ohranjanje vodnih bioloških virov</w:t>
      </w:r>
    </w:p>
    <w:p w14:paraId="7E56E647" w14:textId="71CA6B08" w:rsidR="00C43378" w:rsidRPr="00C43378" w:rsidRDefault="00823DEE" w:rsidP="00C43378">
      <w:pPr>
        <w:pBdr>
          <w:top w:val="single" w:sz="4" w:space="1" w:color="auto"/>
          <w:left w:val="single" w:sz="4" w:space="4" w:color="auto"/>
          <w:bottom w:val="single" w:sz="4" w:space="1" w:color="auto"/>
          <w:right w:val="single" w:sz="4" w:space="4" w:color="auto"/>
        </w:pBdr>
        <w:jc w:val="both"/>
        <w:rPr>
          <w:b/>
          <w:iCs/>
        </w:rPr>
      </w:pPr>
      <w:r>
        <w:rPr>
          <w:iCs/>
        </w:rPr>
        <w:t xml:space="preserve">Specifični cilj 1.4: </w:t>
      </w:r>
      <w:r w:rsidRPr="00823DEE">
        <w:rPr>
          <w:b/>
          <w:iCs/>
        </w:rPr>
        <w:t>Spodbujanje učinkovitega nadzora in izvrševanja ribištva, vključno z bojem proti nezakonitemu, neprijavljenemu in nereguliranemu ribolovu, ter pridobivanja zanesljivih podatkov za odločanje, temelječe na znanju</w:t>
      </w:r>
    </w:p>
    <w:bookmarkEnd w:id="11"/>
    <w:p w14:paraId="50D93D41" w14:textId="77777777" w:rsidR="00C2417D" w:rsidRDefault="00C2417D" w:rsidP="00BA5340">
      <w:pPr>
        <w:spacing w:after="200" w:line="276" w:lineRule="auto"/>
        <w:jc w:val="both"/>
        <w:rPr>
          <w:rFonts w:cs="Arial"/>
          <w:i/>
          <w:iCs/>
          <w:szCs w:val="20"/>
        </w:rPr>
      </w:pPr>
    </w:p>
    <w:p w14:paraId="3BE64279" w14:textId="67D451DC" w:rsidR="007A7951" w:rsidRDefault="007A7951" w:rsidP="007A7951">
      <w:pPr>
        <w:rPr>
          <w:i/>
          <w:iCs/>
          <w:noProof/>
        </w:rPr>
      </w:pPr>
      <w:r w:rsidRPr="00C43378">
        <w:rPr>
          <w:rFonts w:cs="Arial"/>
          <w:i/>
          <w:noProof/>
          <w:szCs w:val="20"/>
        </w:rPr>
        <w:t xml:space="preserve">Povezane vrste ukrepov– Člen </w:t>
      </w:r>
      <w:r w:rsidR="008154F0">
        <w:rPr>
          <w:rFonts w:cs="Arial"/>
          <w:i/>
          <w:noProof/>
          <w:szCs w:val="20"/>
        </w:rPr>
        <w:t>22</w:t>
      </w:r>
      <w:r w:rsidRPr="00C43378">
        <w:rPr>
          <w:rFonts w:cs="Arial"/>
          <w:i/>
          <w:noProof/>
          <w:szCs w:val="20"/>
        </w:rPr>
        <w:t xml:space="preserve">(3)(d)(i) SSO: </w:t>
      </w:r>
      <w:r w:rsidRPr="00C43378">
        <w:rPr>
          <w:i/>
          <w:iCs/>
          <w:noProof/>
        </w:rPr>
        <w:t>Besedilno polje  [8 000]</w:t>
      </w:r>
    </w:p>
    <w:p w14:paraId="0B90F174" w14:textId="77777777" w:rsidR="007A7951" w:rsidRDefault="007A7951" w:rsidP="007A7951">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Glede na potrebe, opredeljene v SWOT analizi, bo Republika Slovenija v okviru ESPRA  izvajala naslednje aktivnosti:</w:t>
      </w:r>
    </w:p>
    <w:p w14:paraId="528BAC48" w14:textId="63430CE0" w:rsidR="007A7951" w:rsidRPr="006D3B7E" w:rsidRDefault="007A7951" w:rsidP="007A7951">
      <w:pPr>
        <w:pBdr>
          <w:top w:val="single" w:sz="4" w:space="1" w:color="auto"/>
          <w:left w:val="single" w:sz="4" w:space="4" w:color="auto"/>
          <w:bottom w:val="single" w:sz="4" w:space="0" w:color="auto"/>
          <w:right w:val="single" w:sz="4" w:space="13" w:color="auto"/>
        </w:pBdr>
        <w:jc w:val="both"/>
        <w:rPr>
          <w:rFonts w:cs="Arial"/>
          <w:b/>
          <w:bCs/>
          <w:iCs/>
          <w:color w:val="000000"/>
          <w:szCs w:val="20"/>
        </w:rPr>
      </w:pPr>
    </w:p>
    <w:p w14:paraId="16444861" w14:textId="23A25794" w:rsidR="0090059F" w:rsidRPr="0090059F" w:rsidRDefault="0090059F" w:rsidP="0090059F">
      <w:pPr>
        <w:pBdr>
          <w:top w:val="single" w:sz="4" w:space="1" w:color="auto"/>
          <w:left w:val="single" w:sz="4" w:space="4" w:color="auto"/>
          <w:bottom w:val="single" w:sz="4" w:space="0" w:color="auto"/>
          <w:right w:val="single" w:sz="4" w:space="13" w:color="auto"/>
        </w:pBdr>
        <w:jc w:val="both"/>
        <w:rPr>
          <w:rFonts w:cs="Arial"/>
          <w:b/>
          <w:bCs/>
          <w:iCs/>
          <w:color w:val="000000"/>
          <w:szCs w:val="20"/>
        </w:rPr>
      </w:pPr>
      <w:r w:rsidRPr="0090059F">
        <w:rPr>
          <w:rFonts w:cs="Arial"/>
          <w:b/>
          <w:bCs/>
          <w:iCs/>
          <w:color w:val="000000"/>
          <w:szCs w:val="20"/>
        </w:rPr>
        <w:t>5. Zbiranje podatkov</w:t>
      </w:r>
    </w:p>
    <w:p w14:paraId="76B4D879" w14:textId="399CCBC1" w:rsidR="00A62455" w:rsidRPr="00A62455" w:rsidRDefault="00803752"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803752">
        <w:rPr>
          <w:rFonts w:cs="Arial"/>
          <w:bCs/>
          <w:iCs/>
          <w:color w:val="000000"/>
          <w:szCs w:val="20"/>
        </w:rPr>
        <w:t xml:space="preserve">Za zagotovitev podatkov v skladu z določili SRP ter drugih nacionalnih in mednarodnih institucij se bodo aktivnosti zbiranja in obdelave podatkov za upravljanje ribištva izvajale tudi v obdobju 2021-2027. Republika Slovenija na podlagi EU zakonodaje, zajete v DC-MAP, pripravi delovni načrt za zbiranje podatkov v sektorju ribištva, akvakulture in ribiško-predelovalne industrije za posamezno obdobje enega leta ali več let in ga predloži v potrditev Evropski komisiji. Posamezni delovni načrt za zbiranje podatkov predstavlja posamezno operacijo. </w:t>
      </w:r>
      <w:r w:rsidR="00A62455" w:rsidRPr="00A62455">
        <w:rPr>
          <w:rFonts w:cs="Arial"/>
          <w:bCs/>
          <w:iCs/>
          <w:color w:val="000000"/>
          <w:szCs w:val="20"/>
        </w:rPr>
        <w:t xml:space="preserve">V okviru okvira zbiranja podatkov se bodo izvajali naslednji tipi aktivnosti: </w:t>
      </w:r>
    </w:p>
    <w:p w14:paraId="12E18C3A" w14:textId="77777777" w:rsidR="00A62455" w:rsidRP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71CD40B1" w14:textId="2FE5B72A" w:rsidR="00A62455" w:rsidRPr="002F4B6B" w:rsidRDefault="006A0D09"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a</w:t>
      </w:r>
      <w:r w:rsidR="00A62455" w:rsidRPr="008E6BB7">
        <w:rPr>
          <w:rFonts w:cs="Arial"/>
          <w:bCs/>
          <w:iCs/>
          <w:color w:val="000000"/>
          <w:szCs w:val="20"/>
        </w:rPr>
        <w:t xml:space="preserve">) </w:t>
      </w:r>
      <w:r w:rsidR="00A62455" w:rsidRPr="002F4B6B">
        <w:rPr>
          <w:rFonts w:cs="Arial"/>
          <w:bCs/>
          <w:iCs/>
          <w:color w:val="000000"/>
          <w:szCs w:val="20"/>
        </w:rPr>
        <w:t>Posodobitev IT sistemov za zbiranja podatkov</w:t>
      </w:r>
    </w:p>
    <w:p w14:paraId="6A37CC45" w14:textId="2C2C8083" w:rsid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A62455">
        <w:rPr>
          <w:rFonts w:cs="Arial"/>
          <w:bCs/>
          <w:iCs/>
          <w:color w:val="000000"/>
          <w:szCs w:val="20"/>
        </w:rPr>
        <w:t xml:space="preserve">V okviru tega tipa aktivnosti bomo predvsem omogočili nakup strojne in programske opreme za zbiranje podatkov, kar bo izboljšalo zbiranje podatkov. S posodobitvijo programske opreme se bodo zmanjšale možnosti za napake pri vnosu podatkov, kar bo pripomoglo k bolj natančnim podatkom. Poleg tega bomo zagotovili povezovanje med različnimi bazami podatkov, s čimer bodo tudi na področju zbiranja podatkov prispevali k boljši digitalizaciji. </w:t>
      </w:r>
    </w:p>
    <w:p w14:paraId="424AE733" w14:textId="77777777" w:rsidR="00A62455" w:rsidRP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79A46A93" w14:textId="1AB088B9" w:rsidR="00A62455" w:rsidRPr="002F4B6B" w:rsidRDefault="006A0D09"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b</w:t>
      </w:r>
      <w:r w:rsidR="00A62455" w:rsidRPr="002F4B6B">
        <w:rPr>
          <w:rFonts w:cs="Arial"/>
          <w:bCs/>
          <w:iCs/>
          <w:color w:val="000000"/>
          <w:szCs w:val="20"/>
        </w:rPr>
        <w:t>) Izboljšanje zbiranja podatkov</w:t>
      </w:r>
    </w:p>
    <w:p w14:paraId="33997EBE" w14:textId="00AA85BC" w:rsid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A62455">
        <w:rPr>
          <w:rFonts w:cs="Arial"/>
          <w:bCs/>
          <w:iCs/>
          <w:color w:val="000000"/>
          <w:szCs w:val="20"/>
        </w:rPr>
        <w:t xml:space="preserve">V okviru te aktivnosti si želim predvsem financirati stroške, ki nastanejo pri organizaciji sestankov z institucijo, ki zbira podatke (Zavod za ribištvo Slovenije), regionalnih sestankov (na primer sestankov v okviru Generalne komisije za ribištvo v Mediteranu in Črnem morju) in sestankov z Evropsko komisijo, srečevanj v okviru RCG, zagotavljanje večje kakovosti podatkov in odzivnosti na data call. Z regionalnim sodelovanjem v okviru regionalnih srečanj se bo izboljšalo sodelovanje med državami in pripomoglo k boljšim načinom zbiranja in obdelavi podatkov na lokalnem nivoju. V okviru te aktivnosti poleg upravnega izboljšanja zbiranja podatkov želimo zagotoviti tudi nakup opreme, ki bo prav tako prispevala k večji kakovosti podatkov. </w:t>
      </w:r>
    </w:p>
    <w:p w14:paraId="28D92649" w14:textId="77777777" w:rsidR="00A62455" w:rsidRP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22A003E2" w14:textId="0179D91C" w:rsidR="00A62455" w:rsidRPr="002F4B6B" w:rsidRDefault="006A0D09"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c</w:t>
      </w:r>
      <w:r w:rsidR="00A62455" w:rsidRPr="002F4B6B">
        <w:rPr>
          <w:rFonts w:cs="Arial"/>
          <w:bCs/>
          <w:iCs/>
          <w:color w:val="000000"/>
          <w:szCs w:val="20"/>
        </w:rPr>
        <w:t>) Raziskave na morju in vzorčenje</w:t>
      </w:r>
    </w:p>
    <w:p w14:paraId="6FC1CC2A" w14:textId="54F8561B" w:rsid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A62455">
        <w:rPr>
          <w:rFonts w:cs="Arial"/>
          <w:bCs/>
          <w:iCs/>
          <w:color w:val="000000"/>
          <w:szCs w:val="20"/>
        </w:rPr>
        <w:t>V okviru tega tipa aktivnosti bomo omogočili financiranje različnih raziskav na morju, v okviru katerih se pridobivajo podatki iz DCF. Poleg tega se bodo izvajala tudi biološka vzorčenja, opredeljena v vsakokratnem delovnem načrtu zbiranja podatkov (Raziskave na morju: MEDITS, SoleMon, MEDIAS, OTBSLO in Volantina)</w:t>
      </w:r>
    </w:p>
    <w:p w14:paraId="560C2D8A" w14:textId="77777777" w:rsidR="00A62455" w:rsidRP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78C26A01" w14:textId="3A8AA79E" w:rsidR="00A62455" w:rsidRPr="002F4B6B" w:rsidRDefault="006A0D09"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d</w:t>
      </w:r>
      <w:r w:rsidR="00A62455" w:rsidRPr="002F4B6B">
        <w:rPr>
          <w:rFonts w:cs="Arial"/>
          <w:bCs/>
          <w:iCs/>
          <w:color w:val="000000"/>
          <w:szCs w:val="20"/>
        </w:rPr>
        <w:t xml:space="preserve">) Druge raziskave in pilotni projekti </w:t>
      </w:r>
    </w:p>
    <w:p w14:paraId="0CA2792F" w14:textId="08A77084" w:rsidR="00A62455" w:rsidRDefault="00A62455" w:rsidP="00A62455">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A62455">
        <w:rPr>
          <w:rFonts w:cs="Arial"/>
          <w:bCs/>
          <w:iCs/>
          <w:color w:val="000000"/>
          <w:szCs w:val="20"/>
        </w:rPr>
        <w:t xml:space="preserve">V okviru zbiranja podatkov se bodo zbirali tudi </w:t>
      </w:r>
      <w:r w:rsidR="006E6605">
        <w:rPr>
          <w:rFonts w:cs="Arial"/>
          <w:bCs/>
          <w:iCs/>
          <w:color w:val="000000"/>
          <w:szCs w:val="20"/>
        </w:rPr>
        <w:t xml:space="preserve">socioekonomski podatki, </w:t>
      </w:r>
      <w:r w:rsidRPr="00A62455">
        <w:rPr>
          <w:rFonts w:cs="Arial"/>
          <w:bCs/>
          <w:iCs/>
          <w:color w:val="000000"/>
          <w:szCs w:val="20"/>
        </w:rPr>
        <w:t>podatki o prostočasnem ribolovu na morju kar pripomore k večji natančnosti podatkov o ulovu v slovenskem morju in raziskave vpliva ribolova ter drugih aktivnosti na morju na morsko okolje, ti podatki pa bodo lahko kasneje uporabljeni pri novih projektih v zvezi z ohranjanjem morskega okolja.</w:t>
      </w:r>
      <w:r w:rsidR="008B2B14">
        <w:rPr>
          <w:rFonts w:cs="Arial"/>
          <w:bCs/>
          <w:iCs/>
          <w:color w:val="000000"/>
          <w:szCs w:val="20"/>
        </w:rPr>
        <w:t xml:space="preserve"> </w:t>
      </w:r>
      <w:r w:rsidR="00980562">
        <w:rPr>
          <w:rFonts w:cs="Arial"/>
          <w:bCs/>
          <w:iCs/>
          <w:color w:val="000000"/>
          <w:szCs w:val="20"/>
        </w:rPr>
        <w:t xml:space="preserve">Če bo potrebno, se </w:t>
      </w:r>
      <w:r w:rsidR="008B2B14">
        <w:rPr>
          <w:rFonts w:cs="Arial"/>
          <w:bCs/>
          <w:iCs/>
          <w:color w:val="000000"/>
          <w:szCs w:val="20"/>
        </w:rPr>
        <w:t>bodo zbirali tudi podatki na področju akvakulture.</w:t>
      </w:r>
    </w:p>
    <w:p w14:paraId="61635127" w14:textId="77777777" w:rsidR="00A62455" w:rsidRDefault="00A62455" w:rsidP="0090059F">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6B9B2491" w14:textId="66D10152" w:rsidR="00A62455" w:rsidRDefault="00F37041" w:rsidP="0090059F">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 xml:space="preserve">Vse te aktivnosti bodo prispevale k cilju 1.1, točki A, </w:t>
      </w:r>
      <w:r w:rsidR="00733878">
        <w:rPr>
          <w:rFonts w:cs="Arial"/>
          <w:bCs/>
          <w:iCs/>
          <w:color w:val="000000"/>
          <w:szCs w:val="20"/>
        </w:rPr>
        <w:t xml:space="preserve">ter cilji 4.2 </w:t>
      </w:r>
      <w:r>
        <w:rPr>
          <w:rFonts w:cs="Arial"/>
          <w:bCs/>
          <w:iCs/>
          <w:color w:val="000000"/>
          <w:szCs w:val="20"/>
        </w:rPr>
        <w:t>GFCM Strategije 2030</w:t>
      </w:r>
    </w:p>
    <w:p w14:paraId="0215152B" w14:textId="1396C8C6" w:rsidR="0090059F" w:rsidRPr="0090059F" w:rsidRDefault="0090059F" w:rsidP="0090059F">
      <w:pPr>
        <w:pBdr>
          <w:top w:val="single" w:sz="4" w:space="1" w:color="auto"/>
          <w:left w:val="single" w:sz="4" w:space="4" w:color="auto"/>
          <w:bottom w:val="single" w:sz="4" w:space="0" w:color="auto"/>
          <w:right w:val="single" w:sz="4" w:space="13" w:color="auto"/>
        </w:pBdr>
        <w:jc w:val="both"/>
        <w:rPr>
          <w:rFonts w:cs="Arial"/>
          <w:b/>
          <w:bCs/>
          <w:iCs/>
          <w:color w:val="000000"/>
          <w:szCs w:val="20"/>
        </w:rPr>
      </w:pPr>
      <w:r w:rsidRPr="0090059F">
        <w:rPr>
          <w:rFonts w:cs="Arial"/>
          <w:b/>
          <w:bCs/>
          <w:iCs/>
          <w:color w:val="000000"/>
          <w:szCs w:val="20"/>
        </w:rPr>
        <w:lastRenderedPageBreak/>
        <w:t>6. Nadzor in izvrševanje</w:t>
      </w:r>
    </w:p>
    <w:p w14:paraId="519E691E" w14:textId="725E4B9F" w:rsidR="00234072" w:rsidRDefault="0090059F"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r w:rsidRPr="0090059F">
        <w:rPr>
          <w:rFonts w:cs="Arial"/>
          <w:bCs/>
          <w:iCs/>
          <w:color w:val="000000"/>
          <w:szCs w:val="20"/>
        </w:rPr>
        <w:t xml:space="preserve">Na področju nadzora ribištva je ključno zagotoviti izpolnjevanje obveznosti, ki izhajajo iz nadzornega sistema skupne ribiške politike, prav tako je bistveno zagotoviti izpolnjevanje ter pravočasen odziv na morebitne nove zahteve nadzornega sistema SRP. </w:t>
      </w:r>
      <w:r w:rsidR="00F12DBE">
        <w:rPr>
          <w:rFonts w:cs="Arial"/>
          <w:bCs/>
          <w:iCs/>
          <w:color w:val="000000"/>
          <w:szCs w:val="20"/>
        </w:rPr>
        <w:t>V obdobju 2021-2027 bo tako predvsem aktualno zagotoviti izpolnitev obveznosti, ki bodo izhajale iz vstopa v veljavo revizije Nadzorne uredbe (1224/2009), kar bo spodbujalo digitalizacijo, še posebej za plovila malega priobalnega ribolova. Z</w:t>
      </w:r>
      <w:r w:rsidR="00C57945">
        <w:rPr>
          <w:rFonts w:cs="Arial"/>
          <w:bCs/>
          <w:iCs/>
          <w:color w:val="000000"/>
          <w:szCs w:val="20"/>
        </w:rPr>
        <w:t xml:space="preserve"> izpolnjevanjem teh obveznosti </w:t>
      </w:r>
      <w:r w:rsidR="00F12DBE">
        <w:rPr>
          <w:rFonts w:cs="Arial"/>
          <w:bCs/>
          <w:iCs/>
          <w:color w:val="000000"/>
          <w:szCs w:val="20"/>
        </w:rPr>
        <w:t xml:space="preserve">se bo prispevalo k doseganju največjega trajnostnega donosa staležev, ki jih lovijo slovenski ribiči, in s tem k ciljem evropskega Zelenega dogovora. </w:t>
      </w:r>
      <w:r w:rsidRPr="0090059F">
        <w:rPr>
          <w:rFonts w:cs="Arial"/>
          <w:bCs/>
          <w:iCs/>
          <w:color w:val="000000"/>
          <w:szCs w:val="20"/>
        </w:rPr>
        <w:t xml:space="preserve">Če bo to potrebno, bomo omogočili povezave z drugimi (informacijskimi) sistemi oziroma vzpostavitev </w:t>
      </w:r>
      <w:r w:rsidR="00F12DBE">
        <w:rPr>
          <w:rFonts w:cs="Arial"/>
          <w:bCs/>
          <w:iCs/>
          <w:color w:val="000000"/>
          <w:szCs w:val="20"/>
        </w:rPr>
        <w:t>modulov v obstoječih informacijskih sistemih, da se zagotovi večja digitalizacija nadzora v skladu z veljavno zakonodajo oziroma obveznostmi na področju skupne ribiške politike EU</w:t>
      </w:r>
      <w:r w:rsidRPr="0090059F">
        <w:rPr>
          <w:rFonts w:cs="Arial"/>
          <w:bCs/>
          <w:iCs/>
          <w:color w:val="000000"/>
          <w:szCs w:val="20"/>
        </w:rPr>
        <w:t xml:space="preserve">. </w:t>
      </w:r>
      <w:r w:rsidR="004879E3">
        <w:rPr>
          <w:rFonts w:cs="Arial"/>
          <w:bCs/>
          <w:iCs/>
          <w:color w:val="000000"/>
          <w:szCs w:val="20"/>
        </w:rPr>
        <w:t xml:space="preserve">Pričakujemo, da bo v okviru nadzora izvedenih </w:t>
      </w:r>
      <w:r w:rsidR="004879E3" w:rsidRPr="00E731C8">
        <w:rPr>
          <w:rFonts w:cs="Arial"/>
          <w:bCs/>
          <w:iCs/>
          <w:color w:val="000000"/>
          <w:szCs w:val="20"/>
        </w:rPr>
        <w:t xml:space="preserve">skupaj </w:t>
      </w:r>
      <w:r w:rsidR="00CB3E92" w:rsidRPr="00E731C8">
        <w:rPr>
          <w:rFonts w:cs="Arial"/>
          <w:bCs/>
          <w:iCs/>
          <w:color w:val="000000"/>
          <w:szCs w:val="20"/>
        </w:rPr>
        <w:t>2</w:t>
      </w:r>
      <w:r w:rsidR="00E731C8">
        <w:rPr>
          <w:rFonts w:cs="Arial"/>
          <w:bCs/>
          <w:iCs/>
          <w:color w:val="000000"/>
          <w:szCs w:val="20"/>
        </w:rPr>
        <w:t>2</w:t>
      </w:r>
      <w:r w:rsidR="004879E3" w:rsidRPr="00E731C8">
        <w:rPr>
          <w:rFonts w:cs="Arial"/>
          <w:bCs/>
          <w:iCs/>
          <w:color w:val="000000"/>
          <w:szCs w:val="20"/>
        </w:rPr>
        <w:t xml:space="preserve"> operacij</w:t>
      </w:r>
      <w:r w:rsidR="004879E3">
        <w:rPr>
          <w:rFonts w:cs="Arial"/>
          <w:bCs/>
          <w:iCs/>
          <w:color w:val="000000"/>
          <w:szCs w:val="20"/>
        </w:rPr>
        <w:t xml:space="preserve"> do zaključka leta 2029</w:t>
      </w:r>
      <w:r w:rsidR="00CB3E92">
        <w:rPr>
          <w:rFonts w:cs="Arial"/>
          <w:bCs/>
          <w:iCs/>
          <w:color w:val="000000"/>
          <w:szCs w:val="20"/>
        </w:rPr>
        <w:t xml:space="preserve"> upoštevajoč dejstvo, da gre za javna naročila, v okviru katerih gre za nakup več naprav hkrati</w:t>
      </w:r>
      <w:r w:rsidR="004879E3">
        <w:rPr>
          <w:rFonts w:cs="Arial"/>
          <w:bCs/>
          <w:iCs/>
          <w:color w:val="000000"/>
          <w:szCs w:val="20"/>
        </w:rPr>
        <w:t xml:space="preserve">. </w:t>
      </w:r>
      <w:r w:rsidR="00F12DBE">
        <w:rPr>
          <w:rFonts w:cs="Arial"/>
          <w:bCs/>
          <w:iCs/>
          <w:color w:val="000000"/>
          <w:szCs w:val="20"/>
        </w:rPr>
        <w:t xml:space="preserve">Ker ena operacija zajema eno javno naročilo, to pomeni, da se v okviru ene operacije </w:t>
      </w:r>
      <w:r w:rsidR="00E105CE">
        <w:rPr>
          <w:rFonts w:cs="Arial"/>
          <w:bCs/>
          <w:iCs/>
          <w:color w:val="000000"/>
          <w:szCs w:val="20"/>
        </w:rPr>
        <w:t xml:space="preserve">lahko nabavi več nadzornih sredstev hkrati. </w:t>
      </w:r>
      <w:r w:rsidR="00442017">
        <w:rPr>
          <w:rFonts w:cs="Arial"/>
          <w:bCs/>
          <w:iCs/>
          <w:color w:val="000000"/>
          <w:szCs w:val="20"/>
        </w:rPr>
        <w:t>V okviru nadzora in izvrševanja smo predvideli dva tipa aktivnosti:</w:t>
      </w:r>
    </w:p>
    <w:p w14:paraId="309953C5" w14:textId="744D24D3" w:rsidR="00442017" w:rsidRPr="008B2B14" w:rsidRDefault="006A0D09"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a</w:t>
      </w:r>
      <w:r w:rsidR="00442017" w:rsidRPr="008B2B14">
        <w:rPr>
          <w:rFonts w:cs="Arial"/>
          <w:bCs/>
          <w:iCs/>
          <w:color w:val="000000"/>
          <w:szCs w:val="20"/>
        </w:rPr>
        <w:t>) Upravno izboljšanje nadzora</w:t>
      </w:r>
    </w:p>
    <w:p w14:paraId="24315A24" w14:textId="1909DBA8" w:rsidR="00442017" w:rsidRDefault="00442017"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 xml:space="preserve">V okviru te aktivnosti bomo krili predvsem stroške usposabljanja in </w:t>
      </w:r>
      <w:r w:rsidR="00A83B06">
        <w:rPr>
          <w:rFonts w:cs="Arial"/>
          <w:bCs/>
          <w:iCs/>
          <w:color w:val="000000"/>
          <w:szCs w:val="20"/>
        </w:rPr>
        <w:t>izmenjave</w:t>
      </w:r>
      <w:r>
        <w:rPr>
          <w:rFonts w:cs="Arial"/>
          <w:bCs/>
          <w:iCs/>
          <w:color w:val="000000"/>
          <w:szCs w:val="20"/>
        </w:rPr>
        <w:t xml:space="preserve"> za osebje, </w:t>
      </w:r>
      <w:r w:rsidR="00A83B06">
        <w:rPr>
          <w:rFonts w:cs="Arial"/>
          <w:bCs/>
          <w:iCs/>
          <w:color w:val="000000"/>
          <w:szCs w:val="20"/>
        </w:rPr>
        <w:t xml:space="preserve">tudi znotraj EU, </w:t>
      </w:r>
      <w:r>
        <w:rPr>
          <w:rFonts w:cs="Arial"/>
          <w:bCs/>
          <w:iCs/>
          <w:color w:val="000000"/>
          <w:szCs w:val="20"/>
        </w:rPr>
        <w:t xml:space="preserve">odgovorno za spremljanje in nadzor ribištva, organizacijo in izvedbo seminarjev s področja zagotavljanja skladnosti s pravili SRP, izvajanje obveznosti za odpravo pomanjkljivosti v sistemu nadzora ribištva (npr. izgradnja prenovljenega sistema ocene tveganja in načrtovanja </w:t>
      </w:r>
      <w:r w:rsidR="00A83B06">
        <w:rPr>
          <w:rFonts w:cs="Arial"/>
          <w:bCs/>
          <w:iCs/>
          <w:color w:val="000000"/>
          <w:szCs w:val="20"/>
        </w:rPr>
        <w:t>inšpekci</w:t>
      </w:r>
      <w:r>
        <w:rPr>
          <w:rFonts w:cs="Arial"/>
          <w:bCs/>
          <w:iCs/>
          <w:color w:val="000000"/>
          <w:szCs w:val="20"/>
        </w:rPr>
        <w:t>jskih pregledov) ter druge operativne stroške, nastale ob poostrenem nadzoru staležev, za katere veljajo posebni programi nadzora in inšpekcijs</w:t>
      </w:r>
      <w:r w:rsidR="00A83B06">
        <w:rPr>
          <w:rFonts w:cs="Arial"/>
          <w:bCs/>
          <w:iCs/>
          <w:color w:val="000000"/>
          <w:szCs w:val="20"/>
        </w:rPr>
        <w:t>kih pregledov.</w:t>
      </w:r>
    </w:p>
    <w:p w14:paraId="641FA656" w14:textId="1657C716" w:rsidR="00A83B06" w:rsidRDefault="00A83B06"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407D4CA4" w14:textId="4E8AA272" w:rsidR="00A83B06" w:rsidRPr="008B2B14" w:rsidRDefault="006A0D09"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b</w:t>
      </w:r>
      <w:r w:rsidR="00A83B06" w:rsidRPr="008B2B14">
        <w:rPr>
          <w:rFonts w:cs="Arial"/>
          <w:bCs/>
          <w:iCs/>
          <w:color w:val="000000"/>
          <w:szCs w:val="20"/>
        </w:rPr>
        <w:t>) Investicijsko izboljšanje in digitalizacija nadzora ribištva</w:t>
      </w:r>
    </w:p>
    <w:p w14:paraId="349FE38D" w14:textId="0FE804E1" w:rsidR="00442017" w:rsidRDefault="00A83B06"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V okviru tega tipa aktivnosti bomo zagotovili nakup, namestitev in razvoj tehnologij, namenjenih izpolnjevanju obveznosti v okviru nadzornega sistema skupne ribiške politike (npr. oprema FMC centra, nadgradnja modula znotraj sistema PELAGUS, nadgradnja informacijskega sistema eNis z modulom za upravljanje incidentov FMC centra in ugotovljenih neskladij ter z medsebojno povezavo sistema InfoRib in modula Valid, nakup prevoznih sredstev za osebje, ki izvaja nadzor, zamenjav</w:t>
      </w:r>
      <w:r w:rsidR="009B7129">
        <w:rPr>
          <w:rFonts w:cs="Arial"/>
          <w:bCs/>
          <w:iCs/>
          <w:color w:val="000000"/>
          <w:szCs w:val="20"/>
        </w:rPr>
        <w:t>o</w:t>
      </w:r>
      <w:r>
        <w:rPr>
          <w:rFonts w:cs="Arial"/>
          <w:bCs/>
          <w:iCs/>
          <w:color w:val="000000"/>
          <w:szCs w:val="20"/>
        </w:rPr>
        <w:t xml:space="preserve"> in nakup sistemske stro</w:t>
      </w:r>
      <w:r w:rsidR="009B7129">
        <w:rPr>
          <w:rFonts w:cs="Arial"/>
          <w:bCs/>
          <w:iCs/>
          <w:color w:val="000000"/>
          <w:szCs w:val="20"/>
        </w:rPr>
        <w:t>jne opreme, razvoj in nadgradnjo</w:t>
      </w:r>
      <w:r>
        <w:rPr>
          <w:rFonts w:cs="Arial"/>
          <w:bCs/>
          <w:iCs/>
          <w:color w:val="000000"/>
          <w:szCs w:val="20"/>
        </w:rPr>
        <w:t xml:space="preserve"> aplikacijskih rešitev za nadzor ribištva in podatkovn</w:t>
      </w:r>
      <w:r w:rsidR="009B7129">
        <w:rPr>
          <w:rFonts w:cs="Arial"/>
          <w:bCs/>
          <w:iCs/>
          <w:color w:val="000000"/>
          <w:szCs w:val="20"/>
        </w:rPr>
        <w:t>o</w:t>
      </w:r>
      <w:r>
        <w:rPr>
          <w:rFonts w:cs="Arial"/>
          <w:bCs/>
          <w:iCs/>
          <w:color w:val="000000"/>
          <w:szCs w:val="20"/>
        </w:rPr>
        <w:t xml:space="preserve"> povezanost sistemov z medsebojno izmenjavo podatkov), razvoj tehnologij in sistemov za podporo medsektorski in čezmejni izmenjavi informacij med organi znotraj države in na ravni EU, vključenimi v pomorski nadzor (npr. </w:t>
      </w:r>
      <w:r w:rsidR="009B7129">
        <w:rPr>
          <w:rFonts w:cs="Arial"/>
          <w:bCs/>
          <w:iCs/>
          <w:color w:val="000000"/>
          <w:szCs w:val="20"/>
        </w:rPr>
        <w:t>vpeljavo</w:t>
      </w:r>
      <w:r>
        <w:rPr>
          <w:rFonts w:cs="Arial"/>
          <w:bCs/>
          <w:iCs/>
          <w:color w:val="000000"/>
          <w:szCs w:val="20"/>
        </w:rPr>
        <w:t xml:space="preserve"> modernih tehnologij in digitalizacije </w:t>
      </w:r>
      <w:r w:rsidR="00F52F12">
        <w:rPr>
          <w:rFonts w:cs="Arial"/>
          <w:bCs/>
          <w:iCs/>
          <w:color w:val="000000"/>
          <w:szCs w:val="20"/>
        </w:rPr>
        <w:t xml:space="preserve">za vsa plovila </w:t>
      </w:r>
      <w:r>
        <w:rPr>
          <w:rFonts w:cs="Arial"/>
          <w:bCs/>
          <w:iCs/>
          <w:color w:val="000000"/>
          <w:szCs w:val="20"/>
        </w:rPr>
        <w:t>za zagotovitev večje učinkovitosti nadzora in skladnosti z nadzornim sistemom EFCA in EMSA in napredno prostorsko GIS analitiko ipd.</w:t>
      </w:r>
      <w:r w:rsidR="00286B69">
        <w:rPr>
          <w:rFonts w:cs="Arial"/>
          <w:bCs/>
          <w:iCs/>
          <w:color w:val="000000"/>
          <w:szCs w:val="20"/>
        </w:rPr>
        <w:t>)</w:t>
      </w:r>
      <w:r>
        <w:rPr>
          <w:rFonts w:cs="Arial"/>
          <w:bCs/>
          <w:iCs/>
          <w:color w:val="000000"/>
          <w:szCs w:val="20"/>
        </w:rPr>
        <w:t xml:space="preserve">, nakup </w:t>
      </w:r>
      <w:r w:rsidR="00DE451A">
        <w:rPr>
          <w:rFonts w:cs="Arial"/>
          <w:bCs/>
          <w:iCs/>
          <w:color w:val="000000"/>
          <w:szCs w:val="20"/>
        </w:rPr>
        <w:t xml:space="preserve">sredstev za izvajanje nazora (npr. plovila, letalniki </w:t>
      </w:r>
      <w:r>
        <w:rPr>
          <w:rFonts w:cs="Arial"/>
          <w:bCs/>
          <w:iCs/>
          <w:color w:val="000000"/>
          <w:szCs w:val="20"/>
        </w:rPr>
        <w:t xml:space="preserve">za nadzor dejavnosti na morju, </w:t>
      </w:r>
      <w:r w:rsidR="009B7129">
        <w:rPr>
          <w:rFonts w:cs="Arial"/>
          <w:bCs/>
          <w:iCs/>
          <w:color w:val="000000"/>
          <w:szCs w:val="20"/>
        </w:rPr>
        <w:t>naprednih senzorjev in tehnologij za določanje pozicij plovil in ribolovnih orodij na morju, videonadzorna oprema za daljinsko zaznavanje plovil ter drugi senzorji za spremljanje ribolovnih aktivnosti na morju), razvoj, nakup in namestitev komponent za zagotavljanje prenosa podatkov od akterjev, ki sodelujejo pri trženju ribiških proizvodov, zadevnim organom v RS in EU (npr, izgradnja naprednih rešitev za izmenjavo podatkov na ravni DČ in evropskimi nadzornimi organi preko evropskega sistema FLUX, vpeljava mobilne aplikacije za sledenje ribiških aktivnosti</w:t>
      </w:r>
      <w:r w:rsidR="00F52F12">
        <w:rPr>
          <w:rFonts w:cs="Arial"/>
          <w:bCs/>
          <w:iCs/>
          <w:color w:val="000000"/>
          <w:szCs w:val="20"/>
        </w:rPr>
        <w:t xml:space="preserve"> za vsa plovila</w:t>
      </w:r>
      <w:r w:rsidR="009B7129">
        <w:rPr>
          <w:rFonts w:cs="Arial"/>
          <w:bCs/>
          <w:iCs/>
          <w:color w:val="000000"/>
          <w:szCs w:val="20"/>
        </w:rPr>
        <w:t>, poročanje ulova, iztovora in prve prodaje), nakup in namestitev komponent za zagotovitev sledljivosti ribiških proizvodov in proizvodov iz akvakulture</w:t>
      </w:r>
      <w:r w:rsidR="0023476C">
        <w:rPr>
          <w:rFonts w:cs="Arial"/>
          <w:bCs/>
          <w:iCs/>
          <w:color w:val="000000"/>
          <w:szCs w:val="20"/>
        </w:rPr>
        <w:t xml:space="preserve"> v skladu s členom 58 Uredbe eu ŠT. 1224/2009</w:t>
      </w:r>
      <w:r w:rsidR="009B7129">
        <w:rPr>
          <w:rFonts w:cs="Arial"/>
          <w:bCs/>
          <w:iCs/>
          <w:color w:val="000000"/>
          <w:szCs w:val="20"/>
        </w:rPr>
        <w:t>, ter nakup druge opreme za ose</w:t>
      </w:r>
      <w:r w:rsidR="00286B69">
        <w:rPr>
          <w:rFonts w:cs="Arial"/>
          <w:bCs/>
          <w:iCs/>
          <w:color w:val="000000"/>
          <w:szCs w:val="20"/>
        </w:rPr>
        <w:t>bje, ki izvaja nadzor ribištva.</w:t>
      </w:r>
      <w:r w:rsidR="00DE451A">
        <w:rPr>
          <w:rFonts w:cs="Arial"/>
          <w:bCs/>
          <w:iCs/>
          <w:color w:val="000000"/>
          <w:szCs w:val="20"/>
        </w:rPr>
        <w:t xml:space="preserve"> Sistem nadzora se bo prav tako prilagodil in nadgradil za izvajanje obveznosti iztovora.</w:t>
      </w:r>
      <w:r w:rsidR="00F52F12">
        <w:rPr>
          <w:rFonts w:cs="Arial"/>
          <w:bCs/>
          <w:iCs/>
          <w:color w:val="000000"/>
          <w:szCs w:val="20"/>
        </w:rPr>
        <w:t xml:space="preserve"> </w:t>
      </w:r>
    </w:p>
    <w:p w14:paraId="571BE319" w14:textId="7A428E86" w:rsidR="00442017" w:rsidRDefault="00442017"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p>
    <w:p w14:paraId="3AC88604" w14:textId="48EF13C5" w:rsidR="006A0D09" w:rsidRDefault="00674022" w:rsidP="007A7951">
      <w:pPr>
        <w:pBdr>
          <w:top w:val="single" w:sz="4" w:space="1" w:color="auto"/>
          <w:left w:val="single" w:sz="4" w:space="4" w:color="auto"/>
          <w:bottom w:val="single" w:sz="4" w:space="0" w:color="auto"/>
          <w:right w:val="single" w:sz="4" w:space="13" w:color="auto"/>
        </w:pBdr>
        <w:jc w:val="both"/>
        <w:rPr>
          <w:rFonts w:cs="Arial"/>
          <w:bCs/>
          <w:iCs/>
          <w:color w:val="000000"/>
          <w:szCs w:val="20"/>
        </w:rPr>
      </w:pPr>
      <w:r>
        <w:rPr>
          <w:rFonts w:cs="Arial"/>
          <w:bCs/>
          <w:iCs/>
          <w:color w:val="000000"/>
          <w:szCs w:val="20"/>
        </w:rPr>
        <w:t xml:space="preserve">Omenjene aktivnosti bodo prispevale k </w:t>
      </w:r>
      <w:r w:rsidR="0007458F">
        <w:rPr>
          <w:rFonts w:cs="Arial"/>
          <w:bCs/>
          <w:iCs/>
          <w:color w:val="000000"/>
          <w:szCs w:val="20"/>
        </w:rPr>
        <w:t>izpolnjevanju cilja 2.1, točke D, ter cilja 2.3 in 2.4 GFCM Strategije 2030.</w:t>
      </w:r>
    </w:p>
    <w:p w14:paraId="23A142D8" w14:textId="77777777" w:rsidR="007A7951" w:rsidRDefault="007A7951" w:rsidP="007A7951">
      <w:pPr>
        <w:jc w:val="both"/>
        <w:rPr>
          <w:noProof/>
        </w:rPr>
      </w:pPr>
    </w:p>
    <w:p w14:paraId="7C8E2A49" w14:textId="54FBE5B1" w:rsidR="007A7951" w:rsidRPr="00BC39FE" w:rsidRDefault="007A7951" w:rsidP="007A7951">
      <w:pPr>
        <w:jc w:val="both"/>
        <w:rPr>
          <w:i/>
          <w:noProof/>
        </w:rPr>
      </w:pPr>
      <w:r w:rsidRPr="00BC39FE">
        <w:rPr>
          <w:i/>
          <w:noProof/>
        </w:rPr>
        <w:t>Glavne ciljne skupine</w:t>
      </w:r>
      <w:r w:rsidR="004763F8">
        <w:rPr>
          <w:i/>
          <w:noProof/>
        </w:rPr>
        <w:t xml:space="preserve"> – Člen 22(3)(d)(iii)</w:t>
      </w:r>
    </w:p>
    <w:p w14:paraId="19211DAE" w14:textId="268817FC" w:rsidR="007A7951" w:rsidRDefault="004077BB" w:rsidP="007A7951">
      <w:pPr>
        <w:jc w:val="both"/>
        <w:rPr>
          <w:noProof/>
        </w:rPr>
      </w:pPr>
      <w:r>
        <w:rPr>
          <w:noProof/>
        </w:rPr>
        <w:t>Glavne ciljne skupine v okviru aktivnosti 5. so raziskovalna</w:t>
      </w:r>
      <w:r w:rsidR="0007458F">
        <w:rPr>
          <w:noProof/>
        </w:rPr>
        <w:t xml:space="preserve"> </w:t>
      </w:r>
      <w:r>
        <w:rPr>
          <w:noProof/>
        </w:rPr>
        <w:t>in znantvena telesa, državni organi, ki uporabljajo zbrane podatke za odločitve na področju npr. okolja, voda, morja in ribištva, ribiči in zaposleni v sektorju akvakuture in predelave, Evropska komisija. Glavne ciljne skupine v okviru aktivnosti 6. so ribiči in lastniki ribiških plovil, ministrstvo, pristojno za upravljanje z ribištvom, in inšpektorat RS za kmetijstvo, gozdarstvo in hrano, v okviru katerega deluje ribiška inšpekcija.</w:t>
      </w:r>
    </w:p>
    <w:p w14:paraId="79C39F1F" w14:textId="77777777" w:rsidR="00275CCF" w:rsidRDefault="00275CCF" w:rsidP="007A7951">
      <w:pPr>
        <w:jc w:val="both"/>
        <w:rPr>
          <w:noProof/>
        </w:rPr>
      </w:pPr>
    </w:p>
    <w:p w14:paraId="267C4965" w14:textId="62684239" w:rsidR="007A7951" w:rsidRPr="00BC39FE" w:rsidRDefault="007A7951" w:rsidP="007A7951">
      <w:pPr>
        <w:jc w:val="both"/>
        <w:rPr>
          <w:i/>
          <w:noProof/>
        </w:rPr>
      </w:pPr>
      <w:r w:rsidRPr="00BC39FE">
        <w:rPr>
          <w:i/>
          <w:noProof/>
        </w:rPr>
        <w:t xml:space="preserve">Aktivnosti, ki ohranjajo enakost, vključenost in nediskriminacijo – Člen </w:t>
      </w:r>
      <w:r w:rsidR="000470FA">
        <w:rPr>
          <w:i/>
          <w:noProof/>
        </w:rPr>
        <w:t>22</w:t>
      </w:r>
      <w:r w:rsidRPr="00BC39FE">
        <w:rPr>
          <w:i/>
          <w:noProof/>
        </w:rPr>
        <w:t>(3)(d)(i</w:t>
      </w:r>
      <w:r w:rsidR="000470FA">
        <w:rPr>
          <w:i/>
          <w:noProof/>
        </w:rPr>
        <w:t>v</w:t>
      </w:r>
      <w:r w:rsidRPr="00BC39FE">
        <w:rPr>
          <w:i/>
          <w:noProof/>
        </w:rPr>
        <w:t>)</w:t>
      </w:r>
    </w:p>
    <w:p w14:paraId="09186F7A" w14:textId="59FB6C6A" w:rsidR="007A7951" w:rsidRDefault="007A7951" w:rsidP="007A7951">
      <w:pPr>
        <w:jc w:val="both"/>
        <w:rPr>
          <w:noProof/>
        </w:rPr>
      </w:pPr>
      <w:r>
        <w:rPr>
          <w:noProof/>
        </w:rPr>
        <w:t xml:space="preserve">Slovenija bo pri izvajanju vseh aktivnosti posebno pozornost posvečala načelu enakosti, vključenosti in nediskriminiacije. Vsi potecialni deležniki bodo hkrati vključeni v aktivnosti obveščanja in predstavljanja vseh podlag za izvajanje aktivnosti. Varstvo pravic posameznika 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starost, invalidnost, rasna, etnična, </w:t>
      </w:r>
      <w:r w:rsidR="00BA2FDD">
        <w:rPr>
          <w:noProof/>
        </w:rPr>
        <w:t>narodna</w:t>
      </w:r>
      <w:r>
        <w:rPr>
          <w:noProof/>
        </w:rPr>
        <w:t xml:space="preserve"> in verska pripadnost, spolna usmerjenost) 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09794F40" w14:textId="77777777" w:rsidR="007A7951" w:rsidRPr="00BC39FE" w:rsidRDefault="007A7951" w:rsidP="007A7951">
      <w:pPr>
        <w:jc w:val="both"/>
        <w:rPr>
          <w:noProof/>
        </w:rPr>
      </w:pPr>
    </w:p>
    <w:p w14:paraId="0DE1F902" w14:textId="1A1E297B" w:rsidR="007A7951" w:rsidRPr="00BC39FE" w:rsidRDefault="007A7951" w:rsidP="007A7951">
      <w:pPr>
        <w:jc w:val="both"/>
        <w:rPr>
          <w:rFonts w:cs="Arial"/>
          <w:i/>
          <w:noProof/>
          <w:szCs w:val="20"/>
        </w:rPr>
      </w:pPr>
      <w:r w:rsidRPr="00BC39FE">
        <w:rPr>
          <w:rFonts w:cs="Arial"/>
          <w:i/>
          <w:noProof/>
          <w:szCs w:val="20"/>
        </w:rPr>
        <w:t xml:space="preserve">Posebna ciljna območja, vključno z načrtovano uporabo teritorialnih orodij– Člen </w:t>
      </w:r>
      <w:r w:rsidR="0073528B">
        <w:rPr>
          <w:rFonts w:cs="Arial"/>
          <w:i/>
          <w:noProof/>
          <w:szCs w:val="20"/>
        </w:rPr>
        <w:t>22</w:t>
      </w:r>
      <w:r w:rsidRPr="00BC39FE">
        <w:rPr>
          <w:rFonts w:cs="Arial"/>
          <w:i/>
          <w:noProof/>
          <w:szCs w:val="20"/>
        </w:rPr>
        <w:t>(3)(d)(v) Besedilno polje  [2 000]</w:t>
      </w:r>
    </w:p>
    <w:p w14:paraId="311A8264" w14:textId="37AF2766" w:rsidR="007A7951" w:rsidRPr="00BC39FE" w:rsidRDefault="007A7951" w:rsidP="007A7951">
      <w:pPr>
        <w:jc w:val="both"/>
        <w:rPr>
          <w:noProof/>
        </w:rPr>
      </w:pPr>
      <w:r w:rsidRPr="00BC39FE">
        <w:rPr>
          <w:noProof/>
        </w:rPr>
        <w:t xml:space="preserve">Aktivnosti </w:t>
      </w:r>
      <w:r w:rsidR="004077BB">
        <w:rPr>
          <w:noProof/>
        </w:rPr>
        <w:t xml:space="preserve">pod št. 5 </w:t>
      </w:r>
      <w:r w:rsidRPr="00BC39FE">
        <w:rPr>
          <w:noProof/>
        </w:rPr>
        <w:t>se bodo izvajale na Obali</w:t>
      </w:r>
      <w:r w:rsidR="004077BB">
        <w:rPr>
          <w:noProof/>
        </w:rPr>
        <w:t xml:space="preserve"> in na celini, saj so namenjene sodelovanju odločevalcev in raziskovalcev s sektorjem morskega gospodarskega ribolova</w:t>
      </w:r>
      <w:r w:rsidRPr="00BC39FE">
        <w:rPr>
          <w:noProof/>
        </w:rPr>
        <w:t>,</w:t>
      </w:r>
      <w:r w:rsidR="004077BB">
        <w:rPr>
          <w:noProof/>
        </w:rPr>
        <w:t xml:space="preserve"> marikulture in predelave. Aktivnosti pod št. 6 se bodo izvajale na Obali, </w:t>
      </w:r>
      <w:r w:rsidRPr="00BC39FE">
        <w:rPr>
          <w:noProof/>
        </w:rPr>
        <w:t xml:space="preserve">ki je povezana </w:t>
      </w:r>
      <w:r w:rsidR="004077BB">
        <w:rPr>
          <w:noProof/>
        </w:rPr>
        <w:t>z dejavnostjo morskega gospoda</w:t>
      </w:r>
      <w:r w:rsidRPr="00BC39FE">
        <w:rPr>
          <w:noProof/>
        </w:rPr>
        <w:t xml:space="preserve">rskega ribolova. </w:t>
      </w:r>
      <w:r w:rsidR="004077BB">
        <w:rPr>
          <w:noProof/>
        </w:rPr>
        <w:t xml:space="preserve">Tam ima sedež tudi ribiška inšpekcija, ki izvaja inšpekcijski nadzor nad dejavnostjo morskega gospodarskega ribolova. </w:t>
      </w:r>
      <w:r w:rsidRPr="00BC39FE">
        <w:rPr>
          <w:noProof/>
        </w:rPr>
        <w:t>Slovenija gospodarskega ribolova na celinskih vodah nima. Slovenija uporablja le mehanizem lokalnega razvoja, ki ga vodi skupnost. Uporaba teritorialnega orodja, celost</w:t>
      </w:r>
      <w:r w:rsidR="004077BB">
        <w:rPr>
          <w:noProof/>
        </w:rPr>
        <w:t xml:space="preserve">ni razvoj, ki ga vodi skupnost, </w:t>
      </w:r>
      <w:r w:rsidRPr="00BC39FE">
        <w:rPr>
          <w:noProof/>
        </w:rPr>
        <w:t>je podrobneje opisana v okviru tretje prednostne naloge.</w:t>
      </w:r>
    </w:p>
    <w:p w14:paraId="610906CD" w14:textId="77777777" w:rsidR="007A7951" w:rsidRPr="00FB4210" w:rsidRDefault="007A7951" w:rsidP="007A7951">
      <w:pPr>
        <w:jc w:val="both"/>
        <w:rPr>
          <w:noProof/>
        </w:rPr>
      </w:pPr>
    </w:p>
    <w:p w14:paraId="3256C376" w14:textId="122A1925" w:rsidR="007A7951" w:rsidRPr="00AC29EA" w:rsidRDefault="007A7951" w:rsidP="007A7951">
      <w:pPr>
        <w:jc w:val="both"/>
        <w:rPr>
          <w:rFonts w:cs="Arial"/>
          <w:b/>
          <w:i/>
          <w:iCs/>
          <w:noProof/>
          <w:szCs w:val="20"/>
        </w:rPr>
      </w:pPr>
      <w:r w:rsidRPr="00AC29EA">
        <w:rPr>
          <w:rFonts w:cs="Arial"/>
          <w:i/>
          <w:noProof/>
          <w:szCs w:val="20"/>
        </w:rPr>
        <w:t xml:space="preserve">Medregionalni in transnacionalni ukrepi –Člen </w:t>
      </w:r>
      <w:r w:rsidR="007920E3">
        <w:rPr>
          <w:rFonts w:cs="Arial"/>
          <w:i/>
          <w:noProof/>
          <w:szCs w:val="20"/>
        </w:rPr>
        <w:t>22</w:t>
      </w:r>
      <w:r w:rsidRPr="00AC29EA">
        <w:rPr>
          <w:rFonts w:cs="Arial"/>
          <w:i/>
          <w:noProof/>
          <w:szCs w:val="20"/>
        </w:rPr>
        <w:t>(3)(d)(v</w:t>
      </w:r>
      <w:r w:rsidR="007920E3">
        <w:rPr>
          <w:rFonts w:cs="Arial"/>
          <w:i/>
          <w:noProof/>
          <w:szCs w:val="20"/>
        </w:rPr>
        <w:t>i</w:t>
      </w:r>
      <w:r w:rsidRPr="00AC29EA">
        <w:rPr>
          <w:rFonts w:cs="Arial"/>
          <w:i/>
          <w:noProof/>
          <w:szCs w:val="20"/>
        </w:rPr>
        <w:t>) Besedilno polje  [2 000]</w:t>
      </w:r>
    </w:p>
    <w:p w14:paraId="4595494D" w14:textId="77777777" w:rsidR="007A7951" w:rsidRPr="00AC29EA" w:rsidRDefault="007A7951" w:rsidP="007A7951">
      <w:pPr>
        <w:jc w:val="both"/>
        <w:rPr>
          <w:iCs/>
          <w:noProof/>
        </w:rPr>
      </w:pPr>
      <w:r w:rsidRPr="00AC29EA">
        <w:rPr>
          <w:iCs/>
          <w:noProof/>
        </w:rPr>
        <w:t>Medregionalni in transnacionalni ukrepi niso predvideni.</w:t>
      </w:r>
    </w:p>
    <w:p w14:paraId="0B29FB19" w14:textId="77777777" w:rsidR="007A7951" w:rsidRPr="00AC29EA" w:rsidRDefault="007A7951" w:rsidP="007A7951">
      <w:pPr>
        <w:jc w:val="both"/>
        <w:rPr>
          <w:i/>
          <w:iCs/>
          <w:noProof/>
        </w:rPr>
      </w:pPr>
    </w:p>
    <w:p w14:paraId="6492A5AD" w14:textId="74136286" w:rsidR="007A7951" w:rsidRPr="00AC29EA" w:rsidRDefault="007A7951" w:rsidP="007A7951">
      <w:pPr>
        <w:jc w:val="both"/>
        <w:rPr>
          <w:rFonts w:cs="Arial"/>
          <w:b/>
          <w:i/>
          <w:iCs/>
          <w:noProof/>
          <w:szCs w:val="20"/>
          <w:lang w:val="it-IT"/>
        </w:rPr>
      </w:pPr>
      <w:r w:rsidRPr="00AC29EA">
        <w:rPr>
          <w:rFonts w:cs="Arial"/>
          <w:i/>
          <w:noProof/>
          <w:szCs w:val="20"/>
          <w:lang w:val="it-IT"/>
        </w:rPr>
        <w:t xml:space="preserve">Načrtovana uporaba finančnih instrumentov– Člen </w:t>
      </w:r>
      <w:r w:rsidR="00347EE4">
        <w:rPr>
          <w:rFonts w:cs="Arial"/>
          <w:i/>
          <w:noProof/>
          <w:szCs w:val="20"/>
          <w:lang w:val="it-IT"/>
        </w:rPr>
        <w:t>22</w:t>
      </w:r>
      <w:r w:rsidRPr="00AC29EA">
        <w:rPr>
          <w:rFonts w:cs="Arial"/>
          <w:i/>
          <w:noProof/>
          <w:szCs w:val="20"/>
          <w:lang w:val="it-IT"/>
        </w:rPr>
        <w:t>(3)(d)(vi</w:t>
      </w:r>
      <w:r w:rsidR="00347EE4">
        <w:rPr>
          <w:rFonts w:cs="Arial"/>
          <w:i/>
          <w:noProof/>
          <w:szCs w:val="20"/>
          <w:lang w:val="it-IT"/>
        </w:rPr>
        <w:t>i</w:t>
      </w:r>
      <w:r w:rsidRPr="00AC29EA">
        <w:rPr>
          <w:rFonts w:cs="Arial"/>
          <w:i/>
          <w:noProof/>
          <w:szCs w:val="20"/>
          <w:lang w:val="it-IT"/>
        </w:rPr>
        <w:t>) Besedilno polje  [1 000]</w:t>
      </w:r>
    </w:p>
    <w:p w14:paraId="27375D88" w14:textId="62CC8085" w:rsidR="00234072" w:rsidRDefault="001059B3">
      <w:pPr>
        <w:spacing w:after="200" w:line="276" w:lineRule="auto"/>
        <w:rPr>
          <w:rFonts w:cs="Arial"/>
          <w:iCs/>
          <w:szCs w:val="20"/>
          <w:lang w:val="it-IT"/>
        </w:rPr>
      </w:pPr>
      <w:r w:rsidRPr="001059B3">
        <w:rPr>
          <w:noProof/>
          <w:lang w:val="it-IT"/>
        </w:rPr>
        <w:t>V okviru te prednostne naloge se ukrepi izvajajo za potrebe RS v skladu z javnimi naročili. Upravičenec je Ministrstvo za kmeti</w:t>
      </w:r>
      <w:r>
        <w:rPr>
          <w:noProof/>
          <w:lang w:val="it-IT"/>
        </w:rPr>
        <w:t xml:space="preserve">jstvo, gozdarstvo in prehrano. </w:t>
      </w:r>
      <w:r w:rsidR="00234072">
        <w:rPr>
          <w:rFonts w:cs="Arial"/>
          <w:iCs/>
          <w:szCs w:val="20"/>
          <w:lang w:val="it-IT"/>
        </w:rPr>
        <w:br w:type="page"/>
      </w:r>
    </w:p>
    <w:p w14:paraId="6B66DF3B" w14:textId="77777777" w:rsidR="00C43378" w:rsidRPr="00C43378" w:rsidRDefault="00C43378" w:rsidP="00C43378">
      <w:pPr>
        <w:pBdr>
          <w:top w:val="single" w:sz="4" w:space="1" w:color="auto"/>
          <w:left w:val="single" w:sz="4" w:space="4" w:color="auto"/>
          <w:bottom w:val="single" w:sz="4" w:space="1" w:color="auto"/>
          <w:right w:val="single" w:sz="4" w:space="4" w:color="auto"/>
        </w:pBdr>
        <w:jc w:val="both"/>
        <w:rPr>
          <w:b/>
          <w:iCs/>
        </w:rPr>
      </w:pPr>
      <w:bookmarkStart w:id="12" w:name="_Hlk59426800"/>
      <w:r w:rsidRPr="00C43378">
        <w:rPr>
          <w:iCs/>
        </w:rPr>
        <w:lastRenderedPageBreak/>
        <w:t>Prednostna naloga:</w:t>
      </w:r>
      <w:r w:rsidRPr="00C43378">
        <w:rPr>
          <w:b/>
          <w:iCs/>
        </w:rPr>
        <w:t xml:space="preserve"> Spodbujanje trajnostnega ribištva in ohranjanje vodnih bioloških virov</w:t>
      </w:r>
    </w:p>
    <w:p w14:paraId="648EC355" w14:textId="2401374A" w:rsidR="00C43378" w:rsidRPr="00AC4D46" w:rsidRDefault="00AC4D46" w:rsidP="00C43378">
      <w:pPr>
        <w:pBdr>
          <w:top w:val="single" w:sz="4" w:space="1" w:color="auto"/>
          <w:left w:val="single" w:sz="4" w:space="4" w:color="auto"/>
          <w:bottom w:val="single" w:sz="4" w:space="1" w:color="auto"/>
          <w:right w:val="single" w:sz="4" w:space="4" w:color="auto"/>
        </w:pBdr>
        <w:jc w:val="both"/>
        <w:rPr>
          <w:b/>
          <w:iCs/>
        </w:rPr>
      </w:pPr>
      <w:r>
        <w:rPr>
          <w:iCs/>
        </w:rPr>
        <w:t xml:space="preserve">Specifični cilj 1.6: </w:t>
      </w:r>
      <w:r w:rsidRPr="00AC4D46">
        <w:rPr>
          <w:b/>
          <w:iCs/>
        </w:rPr>
        <w:t>Prispevanje k varstvu in obnavljanju vodne in morske biotske raznovrstnosti in ekosistemov</w:t>
      </w:r>
    </w:p>
    <w:bookmarkEnd w:id="12"/>
    <w:p w14:paraId="3BF6D4D3" w14:textId="77777777" w:rsidR="00E0268B" w:rsidRDefault="00E0268B" w:rsidP="00AC4D46">
      <w:pPr>
        <w:rPr>
          <w:rFonts w:cs="Arial"/>
          <w:i/>
          <w:noProof/>
          <w:szCs w:val="20"/>
        </w:rPr>
      </w:pPr>
    </w:p>
    <w:p w14:paraId="7D365A65" w14:textId="5A6B5FAE" w:rsidR="00AC4D46" w:rsidRDefault="00AC4D46" w:rsidP="00AC4D46">
      <w:pPr>
        <w:rPr>
          <w:i/>
          <w:iCs/>
          <w:noProof/>
        </w:rPr>
      </w:pPr>
      <w:r w:rsidRPr="00C43378">
        <w:rPr>
          <w:rFonts w:cs="Arial"/>
          <w:i/>
          <w:noProof/>
          <w:szCs w:val="20"/>
        </w:rPr>
        <w:t xml:space="preserve">Povezane vrste ukrepov– Člen </w:t>
      </w:r>
      <w:r w:rsidR="009167D9">
        <w:rPr>
          <w:rFonts w:cs="Arial"/>
          <w:i/>
          <w:noProof/>
          <w:szCs w:val="20"/>
        </w:rPr>
        <w:t>22</w:t>
      </w:r>
      <w:r w:rsidRPr="00C43378">
        <w:rPr>
          <w:rFonts w:cs="Arial"/>
          <w:i/>
          <w:noProof/>
          <w:szCs w:val="20"/>
        </w:rPr>
        <w:t xml:space="preserve">(3)(d)(i) SSO: </w:t>
      </w:r>
      <w:r w:rsidRPr="00C43378">
        <w:rPr>
          <w:i/>
          <w:iCs/>
          <w:noProof/>
        </w:rPr>
        <w:t>Besedilno polje  [8 000]</w:t>
      </w:r>
    </w:p>
    <w:p w14:paraId="2936D220" w14:textId="7A2EC400" w:rsidR="00AC4D46" w:rsidRDefault="00AC4D46" w:rsidP="00AC4D46">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Glede na potrebe, opredeljene v SWOT analizi, bo Republika Slovenija v okviru ESPRA  izvajala naslednje aktivnosti:</w:t>
      </w:r>
    </w:p>
    <w:p w14:paraId="6F22346D" w14:textId="497A9E67" w:rsidR="00AC4D46" w:rsidRDefault="00AC4D46" w:rsidP="00AC4D46">
      <w:pPr>
        <w:pBdr>
          <w:top w:val="single" w:sz="4" w:space="1" w:color="auto"/>
          <w:left w:val="single" w:sz="4" w:space="4" w:color="auto"/>
          <w:bottom w:val="single" w:sz="4" w:space="0" w:color="auto"/>
          <w:right w:val="single" w:sz="4" w:space="13" w:color="auto"/>
        </w:pBdr>
        <w:jc w:val="both"/>
        <w:rPr>
          <w:rFonts w:cs="Arial"/>
          <w:b/>
          <w:bCs/>
          <w:color w:val="000000"/>
          <w:szCs w:val="20"/>
        </w:rPr>
      </w:pPr>
    </w:p>
    <w:p w14:paraId="52D4FBE5" w14:textId="168F1ED4" w:rsidR="00CA2551" w:rsidRDefault="00C00AAB" w:rsidP="00C00AAB">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 xml:space="preserve">7. </w:t>
      </w:r>
      <w:r w:rsidRPr="00C00AAB">
        <w:rPr>
          <w:rFonts w:cs="Arial"/>
          <w:b/>
          <w:bCs/>
          <w:color w:val="000000"/>
          <w:szCs w:val="20"/>
        </w:rPr>
        <w:t>Varovanje in obnavljanje vodne i</w:t>
      </w:r>
      <w:r>
        <w:rPr>
          <w:rFonts w:cs="Arial"/>
          <w:b/>
          <w:bCs/>
          <w:color w:val="000000"/>
          <w:szCs w:val="20"/>
        </w:rPr>
        <w:t>n morske biotske raznovrstnosti</w:t>
      </w:r>
    </w:p>
    <w:p w14:paraId="0B9E769F" w14:textId="67B18ADA" w:rsidR="00CA2551" w:rsidRPr="008E6BB7" w:rsidRDefault="00CA2551" w:rsidP="00C00AAB">
      <w:pPr>
        <w:pBdr>
          <w:top w:val="single" w:sz="4" w:space="1" w:color="auto"/>
          <w:left w:val="single" w:sz="4" w:space="4" w:color="auto"/>
          <w:bottom w:val="single" w:sz="4" w:space="0" w:color="auto"/>
          <w:right w:val="single" w:sz="4" w:space="13" w:color="auto"/>
        </w:pBdr>
        <w:jc w:val="both"/>
        <w:rPr>
          <w:rFonts w:cs="Arial"/>
          <w:bCs/>
          <w:color w:val="000000"/>
          <w:szCs w:val="20"/>
        </w:rPr>
      </w:pPr>
      <w:r w:rsidRPr="008E6BB7">
        <w:rPr>
          <w:rFonts w:cs="Arial"/>
          <w:bCs/>
          <w:color w:val="000000"/>
          <w:szCs w:val="20"/>
        </w:rPr>
        <w:t>Izvajali se bodo naslednji tipi aktivnosti:</w:t>
      </w:r>
    </w:p>
    <w:p w14:paraId="668746F7" w14:textId="648D1E21" w:rsidR="00555189" w:rsidRPr="006E155E" w:rsidRDefault="006A0D09" w:rsidP="006E155E">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a</w:t>
      </w:r>
      <w:r w:rsidR="005C1206" w:rsidRPr="006A0D09">
        <w:rPr>
          <w:rFonts w:cs="Arial"/>
          <w:bCs/>
          <w:color w:val="000000"/>
          <w:szCs w:val="20"/>
        </w:rPr>
        <w:t xml:space="preserve">) </w:t>
      </w:r>
      <w:r w:rsidR="00982617" w:rsidRPr="00904E25">
        <w:rPr>
          <w:rFonts w:cs="Arial"/>
          <w:bCs/>
          <w:color w:val="000000"/>
          <w:szCs w:val="20"/>
        </w:rPr>
        <w:t>A</w:t>
      </w:r>
      <w:r w:rsidR="005C1206" w:rsidRPr="00904E25">
        <w:rPr>
          <w:rFonts w:cs="Arial"/>
          <w:bCs/>
          <w:color w:val="000000"/>
          <w:szCs w:val="20"/>
        </w:rPr>
        <w:t xml:space="preserve">ktivnost </w:t>
      </w:r>
      <w:r w:rsidR="00555189" w:rsidRPr="00904E25">
        <w:rPr>
          <w:rFonts w:cs="Arial"/>
          <w:bCs/>
          <w:color w:val="000000"/>
          <w:szCs w:val="20"/>
        </w:rPr>
        <w:t>za zmanjšanje obremenitve morskega okolja z odpadki</w:t>
      </w:r>
      <w:r w:rsidR="00555189" w:rsidRPr="006A0D09">
        <w:rPr>
          <w:rFonts w:cs="Arial"/>
          <w:bCs/>
          <w:color w:val="000000"/>
          <w:szCs w:val="20"/>
        </w:rPr>
        <w:t>, ki</w:t>
      </w:r>
      <w:r w:rsidR="00555189">
        <w:rPr>
          <w:rFonts w:cs="Arial"/>
          <w:bCs/>
          <w:color w:val="000000"/>
          <w:szCs w:val="20"/>
        </w:rPr>
        <w:t xml:space="preserve"> je v</w:t>
      </w:r>
      <w:r w:rsidR="00555189" w:rsidRPr="00555189">
        <w:rPr>
          <w:rFonts w:cs="Arial"/>
          <w:bCs/>
          <w:color w:val="000000"/>
          <w:szCs w:val="20"/>
        </w:rPr>
        <w:t>ezan na deskriptor</w:t>
      </w:r>
      <w:r w:rsidR="005C1206">
        <w:rPr>
          <w:rFonts w:cs="Arial"/>
          <w:bCs/>
          <w:color w:val="000000"/>
          <w:szCs w:val="20"/>
        </w:rPr>
        <w:t xml:space="preserve"> kakovosti m</w:t>
      </w:r>
      <w:r w:rsidR="00555189">
        <w:rPr>
          <w:rFonts w:cs="Arial"/>
          <w:bCs/>
          <w:color w:val="000000"/>
          <w:szCs w:val="20"/>
        </w:rPr>
        <w:t>orski odpadki (D10)</w:t>
      </w:r>
      <w:r w:rsidR="005C1206">
        <w:rPr>
          <w:rFonts w:cs="Arial"/>
          <w:bCs/>
          <w:color w:val="000000"/>
          <w:szCs w:val="20"/>
        </w:rPr>
        <w:t xml:space="preserve"> Direktive 2008/56/ES</w:t>
      </w:r>
      <w:r w:rsidR="00555189">
        <w:rPr>
          <w:rFonts w:cs="Arial"/>
          <w:bCs/>
          <w:color w:val="000000"/>
          <w:szCs w:val="20"/>
        </w:rPr>
        <w:t>.</w:t>
      </w:r>
      <w:r w:rsidR="00555189" w:rsidRPr="00555189">
        <w:rPr>
          <w:rFonts w:cs="Arial"/>
          <w:bCs/>
          <w:color w:val="000000"/>
          <w:szCs w:val="20"/>
        </w:rPr>
        <w:t xml:space="preserve"> Slovensko morje je preobremenjeno z odpadki, ki se pojavljajo na morskem dnu in na vodni površini. Prav tako je bilo prepoznano, da se med odpadki najbolj prisotni odpadki iz polimernih materialov. S poznavanjem vrste odpadka in sestave odpadka ter rabe orodja na ribiških plovilih lahko pomembno prispevamo k trajnostni</w:t>
      </w:r>
      <w:r w:rsidR="00627AC5">
        <w:rPr>
          <w:rFonts w:cs="Arial"/>
          <w:bCs/>
          <w:color w:val="000000"/>
          <w:szCs w:val="20"/>
        </w:rPr>
        <w:t>m</w:t>
      </w:r>
      <w:r w:rsidR="00555189" w:rsidRPr="00555189">
        <w:rPr>
          <w:rFonts w:cs="Arial"/>
          <w:bCs/>
          <w:color w:val="000000"/>
          <w:szCs w:val="20"/>
        </w:rPr>
        <w:t xml:space="preserve"> ribiškim praksam, npr. predlogom za zamenjavo orodij. Poleg tega s pasivnim pobiranjem odpadkov iz morskih voda prispevamo k zmanjševanju obremenjenosti morskega okolja z odpadki.</w:t>
      </w:r>
      <w:r w:rsidR="00555189">
        <w:rPr>
          <w:rFonts w:cs="Arial"/>
          <w:bCs/>
          <w:color w:val="000000"/>
          <w:szCs w:val="20"/>
        </w:rPr>
        <w:t xml:space="preserve"> Pomanjkanje podatkov o odpadkih na morskem dnu v severnem Jadranu kot ključno temo prepoznava tudi Analiza na ravni </w:t>
      </w:r>
      <w:r w:rsidR="00555189" w:rsidRPr="00A74B84">
        <w:rPr>
          <w:rFonts w:cs="Arial"/>
          <w:bCs/>
          <w:color w:val="000000"/>
          <w:szCs w:val="20"/>
        </w:rPr>
        <w:t xml:space="preserve">morskega bazena, ki jo je pripravila Evropska komisija. </w:t>
      </w:r>
      <w:r w:rsidR="002A70E8" w:rsidRPr="00A74B84">
        <w:rPr>
          <w:rFonts w:cs="Arial"/>
          <w:bCs/>
          <w:color w:val="000000"/>
          <w:szCs w:val="20"/>
        </w:rPr>
        <w:t xml:space="preserve">V okviru te aktivnosti je predviden </w:t>
      </w:r>
      <w:r w:rsidR="002A70E8" w:rsidRPr="00657714">
        <w:rPr>
          <w:rFonts w:cs="Arial"/>
          <w:bCs/>
          <w:color w:val="000000"/>
          <w:szCs w:val="20"/>
        </w:rPr>
        <w:t>večletni projekt zbiranja morskih odpadkov.</w:t>
      </w:r>
      <w:r w:rsidR="002A70E8" w:rsidRPr="00A74B84">
        <w:rPr>
          <w:rFonts w:cs="Arial"/>
          <w:bCs/>
          <w:color w:val="000000"/>
          <w:szCs w:val="20"/>
        </w:rPr>
        <w:t xml:space="preserve"> V okviru tega projekta se bodo izvedle naslednje aktivnosti: študija o uporabljenih materialih na ribiških plovilih, animacija ribičev in delavnica glede zbiranja morskih odpadkov</w:t>
      </w:r>
      <w:r w:rsidR="00982617" w:rsidRPr="00657714">
        <w:rPr>
          <w:rFonts w:cs="Arial"/>
          <w:bCs/>
          <w:color w:val="000000"/>
          <w:szCs w:val="20"/>
        </w:rPr>
        <w:t xml:space="preserve">; usposabljanje in širjenje znanj sta ključna dela </w:t>
      </w:r>
      <w:r w:rsidR="00982617" w:rsidRPr="00A74B84">
        <w:rPr>
          <w:rFonts w:cs="Arial"/>
          <w:bCs/>
          <w:color w:val="000000"/>
          <w:szCs w:val="20"/>
        </w:rPr>
        <w:t>Barcelonske konvencije</w:t>
      </w:r>
      <w:r w:rsidR="00982617">
        <w:rPr>
          <w:rFonts w:cs="Arial"/>
          <w:bCs/>
          <w:color w:val="000000"/>
          <w:szCs w:val="20"/>
        </w:rPr>
        <w:t xml:space="preserve">; </w:t>
      </w:r>
      <w:r w:rsidR="002A70E8" w:rsidRPr="002A70E8">
        <w:rPr>
          <w:rFonts w:cs="Arial"/>
          <w:bCs/>
          <w:color w:val="000000"/>
          <w:szCs w:val="20"/>
        </w:rPr>
        <w:t xml:space="preserve"> </w:t>
      </w:r>
      <w:r w:rsidR="00982617">
        <w:rPr>
          <w:rFonts w:cs="Arial"/>
          <w:bCs/>
          <w:color w:val="000000"/>
          <w:szCs w:val="20"/>
        </w:rPr>
        <w:t>p</w:t>
      </w:r>
      <w:r w:rsidR="002A70E8">
        <w:rPr>
          <w:rFonts w:cs="Arial"/>
          <w:bCs/>
          <w:color w:val="000000"/>
          <w:szCs w:val="20"/>
        </w:rPr>
        <w:t>osebej bo izvedena aktivnost pobiranja morskih odpadkov</w:t>
      </w:r>
      <w:r w:rsidR="00152DBD">
        <w:rPr>
          <w:rFonts w:cs="Arial"/>
          <w:bCs/>
          <w:color w:val="000000"/>
          <w:szCs w:val="20"/>
        </w:rPr>
        <w:t xml:space="preserve"> in izgubljenega ribolovnega orodja iz morja</w:t>
      </w:r>
      <w:r w:rsidR="002A70E8">
        <w:rPr>
          <w:rFonts w:cs="Arial"/>
          <w:bCs/>
          <w:color w:val="000000"/>
          <w:szCs w:val="20"/>
        </w:rPr>
        <w:t xml:space="preserve">. V okviru tega projekta bodo ribičem, ki se bodo za sodelovanje v projektu odločili, izplačana nadomestila. </w:t>
      </w:r>
      <w:r w:rsidR="00982617">
        <w:rPr>
          <w:rFonts w:cs="Arial"/>
          <w:bCs/>
          <w:color w:val="000000"/>
          <w:szCs w:val="20"/>
        </w:rPr>
        <w:t xml:space="preserve"> </w:t>
      </w:r>
      <w:r w:rsidR="001750BB">
        <w:rPr>
          <w:rFonts w:cs="Arial"/>
          <w:bCs/>
          <w:color w:val="000000"/>
          <w:szCs w:val="20"/>
        </w:rPr>
        <w:t xml:space="preserve">V tem projektu bomo sofinancirali tudi </w:t>
      </w:r>
      <w:r w:rsidR="002A70E8" w:rsidRPr="002A70E8">
        <w:rPr>
          <w:rFonts w:cs="Arial"/>
          <w:bCs/>
          <w:color w:val="000000"/>
          <w:szCs w:val="20"/>
        </w:rPr>
        <w:t>priprav</w:t>
      </w:r>
      <w:r w:rsidR="001750BB">
        <w:rPr>
          <w:rFonts w:cs="Arial"/>
          <w:bCs/>
          <w:color w:val="000000"/>
          <w:szCs w:val="20"/>
        </w:rPr>
        <w:t>o</w:t>
      </w:r>
      <w:r w:rsidR="002A70E8" w:rsidRPr="002A70E8">
        <w:rPr>
          <w:rFonts w:cs="Arial"/>
          <w:bCs/>
          <w:color w:val="000000"/>
          <w:szCs w:val="20"/>
        </w:rPr>
        <w:t xml:space="preserve"> promocijskega videa, v katerem bodo ključno vlogo odigrali ribiči, ki bodo p</w:t>
      </w:r>
      <w:r w:rsidR="001750BB">
        <w:rPr>
          <w:rFonts w:cs="Arial"/>
          <w:bCs/>
          <w:color w:val="000000"/>
          <w:szCs w:val="20"/>
        </w:rPr>
        <w:t xml:space="preserve">ristopili k izvajanju projekta. </w:t>
      </w:r>
      <w:r w:rsidR="00555189">
        <w:rPr>
          <w:rFonts w:cs="Arial"/>
          <w:bCs/>
          <w:color w:val="000000"/>
          <w:szCs w:val="20"/>
        </w:rPr>
        <w:t xml:space="preserve">Osveščanje splošne javnosti o tovrstnih aktivnostih je ena ključnih tem Barcelonske konvencije. Ta tip aktivnosti </w:t>
      </w:r>
      <w:r w:rsidR="00555189" w:rsidRPr="00555189">
        <w:rPr>
          <w:rFonts w:cs="Arial"/>
          <w:bCs/>
          <w:color w:val="000000"/>
          <w:szCs w:val="20"/>
        </w:rPr>
        <w:t>na področju EU morij in oceanov</w:t>
      </w:r>
      <w:r w:rsidR="00555189">
        <w:rPr>
          <w:rFonts w:cs="Arial"/>
          <w:bCs/>
          <w:color w:val="000000"/>
          <w:szCs w:val="20"/>
        </w:rPr>
        <w:t xml:space="preserve"> v okviru Zelenega dogovora</w:t>
      </w:r>
      <w:r w:rsidR="00555189" w:rsidRPr="00555189">
        <w:rPr>
          <w:rFonts w:cs="Arial"/>
          <w:bCs/>
          <w:color w:val="000000"/>
          <w:szCs w:val="20"/>
        </w:rPr>
        <w:t xml:space="preserve"> naslavlja prioriteto »</w:t>
      </w:r>
      <w:r w:rsidR="00555189">
        <w:rPr>
          <w:rFonts w:cs="Arial"/>
          <w:bCs/>
          <w:color w:val="000000"/>
          <w:szCs w:val="20"/>
        </w:rPr>
        <w:t xml:space="preserve">zmanjševanje onesnaženja vode« in </w:t>
      </w:r>
      <w:r w:rsidR="00555189" w:rsidRPr="00555189">
        <w:rPr>
          <w:rFonts w:cs="Arial"/>
          <w:bCs/>
          <w:color w:val="000000"/>
          <w:szCs w:val="20"/>
        </w:rPr>
        <w:t xml:space="preserve">prispeva tudi k cilju </w:t>
      </w:r>
      <w:r w:rsidR="00555189">
        <w:rPr>
          <w:rFonts w:cs="Arial"/>
          <w:bCs/>
          <w:color w:val="000000"/>
          <w:szCs w:val="20"/>
        </w:rPr>
        <w:t>zmanjšanja</w:t>
      </w:r>
      <w:r w:rsidR="00555189" w:rsidRPr="00555189">
        <w:rPr>
          <w:rFonts w:cs="Arial"/>
          <w:bCs/>
          <w:color w:val="000000"/>
          <w:szCs w:val="20"/>
        </w:rPr>
        <w:t xml:space="preserve"> količin</w:t>
      </w:r>
      <w:r w:rsidR="00555189">
        <w:rPr>
          <w:rFonts w:cs="Arial"/>
          <w:bCs/>
          <w:color w:val="000000"/>
          <w:szCs w:val="20"/>
        </w:rPr>
        <w:t>e</w:t>
      </w:r>
      <w:r w:rsidR="00555189" w:rsidRPr="00555189">
        <w:rPr>
          <w:rFonts w:cs="Arial"/>
          <w:bCs/>
          <w:color w:val="000000"/>
          <w:szCs w:val="20"/>
        </w:rPr>
        <w:t xml:space="preserve"> plastičnih odpadkov v morjih za 50 % in mikroplastike, ki se spušča v</w:t>
      </w:r>
      <w:r w:rsidR="00555189">
        <w:rPr>
          <w:rFonts w:cs="Arial"/>
          <w:bCs/>
          <w:color w:val="000000"/>
          <w:szCs w:val="20"/>
        </w:rPr>
        <w:t xml:space="preserve"> </w:t>
      </w:r>
      <w:r w:rsidR="00555189" w:rsidRPr="00555189">
        <w:rPr>
          <w:rFonts w:cs="Arial"/>
          <w:bCs/>
          <w:color w:val="000000"/>
          <w:szCs w:val="20"/>
        </w:rPr>
        <w:t>okolje, za 30 %</w:t>
      </w:r>
      <w:r w:rsidR="00555189">
        <w:rPr>
          <w:rFonts w:cs="Arial"/>
          <w:bCs/>
          <w:color w:val="000000"/>
          <w:szCs w:val="20"/>
        </w:rPr>
        <w:t>.</w:t>
      </w:r>
      <w:r w:rsidR="006E155E">
        <w:rPr>
          <w:rFonts w:cs="Arial"/>
          <w:bCs/>
          <w:color w:val="000000"/>
          <w:szCs w:val="20"/>
        </w:rPr>
        <w:t xml:space="preserve"> </w:t>
      </w:r>
      <w:r w:rsidR="006E155E" w:rsidRPr="006E155E">
        <w:rPr>
          <w:rFonts w:cs="Arial"/>
          <w:bCs/>
          <w:color w:val="000000"/>
          <w:szCs w:val="20"/>
        </w:rPr>
        <w:t xml:space="preserve">%. Aktivnost bo prispevala k izvajanju določb Direktive 2008/56/ES na način, da se bo zagotovilo podatke o prisotnosti in strukturi morskih odpadkov skladno z določbami Sklepa 848/2017, in sicer za </w:t>
      </w:r>
      <w:r w:rsidR="00680F78" w:rsidRPr="006E155E">
        <w:rPr>
          <w:rFonts w:cs="Arial"/>
          <w:bCs/>
          <w:color w:val="000000"/>
          <w:szCs w:val="20"/>
        </w:rPr>
        <w:t>element</w:t>
      </w:r>
      <w:r w:rsidR="006E155E" w:rsidRPr="006E155E">
        <w:rPr>
          <w:rFonts w:cs="Arial"/>
          <w:bCs/>
          <w:color w:val="000000"/>
          <w:szCs w:val="20"/>
        </w:rPr>
        <w:t xml:space="preserve"> meril D10C1. Podatki se bodo uporabili za pripravo tretjega načrta upravljanja z morskim okoljem. Aktivnost pasovnega odstranjevanja odpadkov prispeva tudi k neposrednemu </w:t>
      </w:r>
      <w:r w:rsidR="00680F78" w:rsidRPr="006E155E">
        <w:rPr>
          <w:rFonts w:cs="Arial"/>
          <w:bCs/>
          <w:color w:val="000000"/>
          <w:szCs w:val="20"/>
        </w:rPr>
        <w:t>zmanjševanju</w:t>
      </w:r>
      <w:r w:rsidR="006E155E" w:rsidRPr="006E155E">
        <w:rPr>
          <w:rFonts w:cs="Arial"/>
          <w:bCs/>
          <w:color w:val="000000"/>
          <w:szCs w:val="20"/>
        </w:rPr>
        <w:t xml:space="preserve"> pritiskov morskih odpadkov na morske organizme. Aktivnost v tem primeru naslavlja tudi merili D10C3 in D10C4 iz Sklepa 848/2017.</w:t>
      </w:r>
    </w:p>
    <w:p w14:paraId="766B50D9" w14:textId="77777777" w:rsidR="00555189" w:rsidRDefault="00555189" w:rsidP="002A70E8">
      <w:pPr>
        <w:pBdr>
          <w:top w:val="single" w:sz="4" w:space="1" w:color="auto"/>
          <w:left w:val="single" w:sz="4" w:space="4" w:color="auto"/>
          <w:bottom w:val="single" w:sz="4" w:space="0" w:color="auto"/>
          <w:right w:val="single" w:sz="4" w:space="13" w:color="auto"/>
        </w:pBdr>
        <w:jc w:val="both"/>
        <w:rPr>
          <w:rFonts w:cs="Arial"/>
          <w:bCs/>
          <w:color w:val="000000"/>
          <w:szCs w:val="20"/>
        </w:rPr>
      </w:pPr>
    </w:p>
    <w:p w14:paraId="564475C7" w14:textId="7FED912B" w:rsidR="005C1206" w:rsidRPr="006E155E" w:rsidRDefault="006A0D09" w:rsidP="006E155E">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
          <w:bCs/>
          <w:color w:val="000000"/>
          <w:szCs w:val="20"/>
        </w:rPr>
        <w:t>b</w:t>
      </w:r>
      <w:r w:rsidR="005C1206" w:rsidRPr="008E6BB7">
        <w:rPr>
          <w:rFonts w:cs="Arial"/>
          <w:b/>
          <w:bCs/>
          <w:color w:val="000000"/>
          <w:szCs w:val="20"/>
        </w:rPr>
        <w:t xml:space="preserve">) </w:t>
      </w:r>
      <w:r w:rsidR="00CA2551" w:rsidRPr="00904E25">
        <w:rPr>
          <w:rFonts w:cs="Arial"/>
          <w:bCs/>
          <w:color w:val="000000"/>
          <w:szCs w:val="20"/>
        </w:rPr>
        <w:t>A</w:t>
      </w:r>
      <w:r w:rsidR="005C1206" w:rsidRPr="00904E25">
        <w:rPr>
          <w:rFonts w:cs="Arial"/>
          <w:bCs/>
          <w:color w:val="000000"/>
          <w:szCs w:val="20"/>
        </w:rPr>
        <w:t>ktivnost  za zmanjšanje pritiska na biotsko raznovrstnost in stanje bentoških habitatnih tipov</w:t>
      </w:r>
      <w:r w:rsidR="005C1206" w:rsidRPr="006A0D09">
        <w:rPr>
          <w:rFonts w:cs="Arial"/>
          <w:bCs/>
          <w:color w:val="000000"/>
          <w:szCs w:val="20"/>
        </w:rPr>
        <w:t xml:space="preserve"> zaradi morskega ribištva. Aktivnost je vezana na deskriptorje kakovosti biotska raznovrstnost  (D1) in n</w:t>
      </w:r>
      <w:r w:rsidR="005C1206" w:rsidRPr="00904E25">
        <w:rPr>
          <w:rFonts w:cs="Arial"/>
          <w:bCs/>
          <w:color w:val="000000"/>
          <w:szCs w:val="20"/>
        </w:rPr>
        <w:t>eoporečnost</w:t>
      </w:r>
      <w:r w:rsidR="005C1206" w:rsidRPr="005C1206">
        <w:rPr>
          <w:rFonts w:cs="Arial"/>
          <w:bCs/>
          <w:color w:val="000000"/>
          <w:szCs w:val="20"/>
        </w:rPr>
        <w:t xml:space="preserve"> morskega dna (D6)</w:t>
      </w:r>
      <w:r w:rsidR="005C1206">
        <w:rPr>
          <w:rFonts w:cs="Arial"/>
          <w:bCs/>
          <w:color w:val="000000"/>
          <w:szCs w:val="20"/>
        </w:rPr>
        <w:t xml:space="preserve">. Ker potrebujemo več znanja o ribolovnih orodjih za zmanjšanje vpliva na morsko okolje (projekt se bo izvajal v sodelovanju z morskimi gospodarskimi ribiči), </w:t>
      </w:r>
      <w:r w:rsidR="005C1206" w:rsidRPr="005C1206">
        <w:rPr>
          <w:rFonts w:cs="Arial"/>
          <w:bCs/>
          <w:color w:val="000000"/>
          <w:szCs w:val="20"/>
        </w:rPr>
        <w:t>bo</w:t>
      </w:r>
      <w:r w:rsidR="005C1206">
        <w:rPr>
          <w:rFonts w:cs="Arial"/>
          <w:bCs/>
          <w:color w:val="000000"/>
          <w:szCs w:val="20"/>
        </w:rPr>
        <w:t>do</w:t>
      </w:r>
      <w:r w:rsidR="005C1206" w:rsidRPr="005C1206">
        <w:rPr>
          <w:rFonts w:cs="Arial"/>
          <w:bCs/>
          <w:color w:val="000000"/>
          <w:szCs w:val="20"/>
        </w:rPr>
        <w:t xml:space="preserve"> podatki, pridobljeni v okviru </w:t>
      </w:r>
      <w:r w:rsidR="005C1206">
        <w:rPr>
          <w:rFonts w:cs="Arial"/>
          <w:bCs/>
          <w:color w:val="000000"/>
          <w:szCs w:val="20"/>
        </w:rPr>
        <w:t>tega tipa aktivnosti</w:t>
      </w:r>
      <w:r w:rsidR="005C1206" w:rsidRPr="005C1206">
        <w:rPr>
          <w:rFonts w:cs="Arial"/>
          <w:bCs/>
          <w:color w:val="000000"/>
          <w:szCs w:val="20"/>
        </w:rPr>
        <w:t xml:space="preserve">, </w:t>
      </w:r>
      <w:r w:rsidR="005C1206">
        <w:rPr>
          <w:rFonts w:cs="Arial"/>
          <w:bCs/>
          <w:color w:val="000000"/>
          <w:szCs w:val="20"/>
        </w:rPr>
        <w:t>pripomogli k boljšemu</w:t>
      </w:r>
      <w:r w:rsidR="005C1206" w:rsidRPr="005C1206">
        <w:rPr>
          <w:rFonts w:cs="Arial"/>
          <w:bCs/>
          <w:color w:val="000000"/>
          <w:szCs w:val="20"/>
        </w:rPr>
        <w:t xml:space="preserve"> upravljanj</w:t>
      </w:r>
      <w:r w:rsidR="005C1206">
        <w:rPr>
          <w:rFonts w:cs="Arial"/>
          <w:bCs/>
          <w:color w:val="000000"/>
          <w:szCs w:val="20"/>
        </w:rPr>
        <w:t>u</w:t>
      </w:r>
      <w:r w:rsidR="005C1206" w:rsidRPr="005C1206">
        <w:rPr>
          <w:rFonts w:cs="Arial"/>
          <w:bCs/>
          <w:color w:val="000000"/>
          <w:szCs w:val="20"/>
        </w:rPr>
        <w:t xml:space="preserve"> ribištva. Stanje bentoških habitatnih tipov v litoralu in mediolitoralu je slabo, medtem ko je stanje cirkalitoralni</w:t>
      </w:r>
      <w:r w:rsidR="00174F78">
        <w:rPr>
          <w:rFonts w:cs="Arial"/>
          <w:bCs/>
          <w:color w:val="000000"/>
          <w:szCs w:val="20"/>
        </w:rPr>
        <w:t>h</w:t>
      </w:r>
      <w:r w:rsidR="005C1206" w:rsidRPr="005C1206">
        <w:rPr>
          <w:rFonts w:cs="Arial"/>
          <w:bCs/>
          <w:color w:val="000000"/>
          <w:szCs w:val="20"/>
        </w:rPr>
        <w:t xml:space="preserve"> bentoških habitatov dobro, a pod velikim pritiskom pomorstva in morskega ribolova. Prav tako je zaznan trend upadanja biotske raznovrstnosti. </w:t>
      </w:r>
      <w:r w:rsidR="00202FB0">
        <w:rPr>
          <w:rFonts w:cs="Arial"/>
          <w:bCs/>
          <w:color w:val="000000"/>
          <w:szCs w:val="20"/>
        </w:rPr>
        <w:t xml:space="preserve">Rezultati te aktivnosti bodo prispevali k usmerjanju za morebitno zamenjavo pridnenega ribolovnega orodja. </w:t>
      </w:r>
      <w:r w:rsidR="005C1206" w:rsidRPr="005C1206">
        <w:rPr>
          <w:rFonts w:cs="Arial"/>
          <w:bCs/>
          <w:color w:val="000000"/>
          <w:szCs w:val="20"/>
        </w:rPr>
        <w:t xml:space="preserve">Prav tako se z ustreznim ribolovnim orodjem zmanjša poškodbe morskega dna oziroma bentoških habitatnih tipov. </w:t>
      </w:r>
      <w:r w:rsidR="005C1206">
        <w:rPr>
          <w:rFonts w:cs="Arial"/>
          <w:bCs/>
          <w:color w:val="000000"/>
          <w:szCs w:val="20"/>
        </w:rPr>
        <w:t>Ta aktivnost na p</w:t>
      </w:r>
      <w:r w:rsidR="005C1206" w:rsidRPr="005C1206">
        <w:rPr>
          <w:rFonts w:cs="Arial"/>
          <w:bCs/>
          <w:color w:val="000000"/>
          <w:szCs w:val="20"/>
        </w:rPr>
        <w:t>odročju EU morij in oceanov naslavlja prioriteto »</w:t>
      </w:r>
      <w:r w:rsidR="005C1206">
        <w:rPr>
          <w:rFonts w:cs="Arial"/>
          <w:bCs/>
          <w:color w:val="000000"/>
          <w:szCs w:val="20"/>
        </w:rPr>
        <w:t xml:space="preserve">varovanje naše biotske raznovrstnosti in ekosistemov v okviru Zelenega dogovora, </w:t>
      </w:r>
      <w:r w:rsidR="005C1206" w:rsidRPr="005C1206">
        <w:rPr>
          <w:rFonts w:cs="Arial"/>
          <w:bCs/>
          <w:color w:val="000000"/>
          <w:szCs w:val="20"/>
        </w:rPr>
        <w:t>saj s selektivnim ribolovnim orodjem prispevamo k izboljšanju stanja bentoških habitatov ter morski</w:t>
      </w:r>
      <w:r w:rsidR="006E155E">
        <w:rPr>
          <w:rFonts w:cs="Arial"/>
          <w:bCs/>
          <w:color w:val="000000"/>
          <w:szCs w:val="20"/>
        </w:rPr>
        <w:t>h</w:t>
      </w:r>
      <w:r w:rsidR="005C1206" w:rsidRPr="005C1206">
        <w:rPr>
          <w:rFonts w:cs="Arial"/>
          <w:bCs/>
          <w:color w:val="000000"/>
          <w:szCs w:val="20"/>
        </w:rPr>
        <w:t xml:space="preserve"> vrst.</w:t>
      </w:r>
      <w:r w:rsidR="006E155E">
        <w:rPr>
          <w:rFonts w:cs="Arial"/>
          <w:bCs/>
          <w:color w:val="000000"/>
          <w:szCs w:val="20"/>
        </w:rPr>
        <w:t xml:space="preserve"> </w:t>
      </w:r>
      <w:r w:rsidR="006E155E" w:rsidRPr="006E155E">
        <w:rPr>
          <w:rFonts w:cs="Arial"/>
          <w:bCs/>
          <w:color w:val="000000"/>
          <w:szCs w:val="20"/>
        </w:rPr>
        <w:t xml:space="preserve">Aktivnost bo prispevala k </w:t>
      </w:r>
      <w:r w:rsidR="006E155E" w:rsidRPr="006E155E">
        <w:rPr>
          <w:rFonts w:cs="Arial"/>
          <w:bCs/>
          <w:color w:val="000000"/>
          <w:szCs w:val="20"/>
        </w:rPr>
        <w:lastRenderedPageBreak/>
        <w:t xml:space="preserve">izvajanju določb Direktive 2008/ES/56 za merila D6C1, D6C2 in D6C3. Saj se bo z aktivostjo pridobilo </w:t>
      </w:r>
      <w:r w:rsidR="00680F78" w:rsidRPr="006E155E">
        <w:rPr>
          <w:rFonts w:cs="Arial"/>
          <w:bCs/>
          <w:color w:val="000000"/>
          <w:szCs w:val="20"/>
        </w:rPr>
        <w:t>natančnejše</w:t>
      </w:r>
      <w:r w:rsidR="006E155E" w:rsidRPr="006E155E">
        <w:rPr>
          <w:rFonts w:cs="Arial"/>
          <w:bCs/>
          <w:color w:val="000000"/>
          <w:szCs w:val="20"/>
        </w:rPr>
        <w:t xml:space="preserve"> podatke o stanju bentoških habitatov cirkalitorala ter posredno ocenilo tudi vpliv morskega ribištva nanje. Na podlagi podatkov o vplivu morskega ribištva na bentoške habitate cirkalitorala se bodo v prihodnjih letih po potrebi ribiške prakse na tem območju prilagodile na način, da bo vpliv na bentoške habitate čim manjši.</w:t>
      </w:r>
    </w:p>
    <w:p w14:paraId="41934655" w14:textId="4AA8E8F2" w:rsidR="005C1206" w:rsidRDefault="005C1206" w:rsidP="002A70E8">
      <w:pPr>
        <w:pBdr>
          <w:top w:val="single" w:sz="4" w:space="1" w:color="auto"/>
          <w:left w:val="single" w:sz="4" w:space="4" w:color="auto"/>
          <w:bottom w:val="single" w:sz="4" w:space="0" w:color="auto"/>
          <w:right w:val="single" w:sz="4" w:space="13" w:color="auto"/>
        </w:pBdr>
        <w:jc w:val="both"/>
        <w:rPr>
          <w:rFonts w:cs="Arial"/>
          <w:bCs/>
          <w:color w:val="000000"/>
          <w:szCs w:val="20"/>
        </w:rPr>
      </w:pPr>
    </w:p>
    <w:p w14:paraId="49B5290C" w14:textId="62947F83" w:rsidR="005C1206" w:rsidRPr="00CA2551" w:rsidRDefault="006A0D09" w:rsidP="00982617">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
          <w:bCs/>
          <w:color w:val="000000"/>
          <w:szCs w:val="20"/>
        </w:rPr>
        <w:t>c</w:t>
      </w:r>
      <w:r w:rsidR="005C1206" w:rsidRPr="008E6BB7">
        <w:rPr>
          <w:rFonts w:cs="Arial"/>
          <w:b/>
          <w:bCs/>
          <w:color w:val="000000"/>
          <w:szCs w:val="20"/>
        </w:rPr>
        <w:t xml:space="preserve">) </w:t>
      </w:r>
      <w:r w:rsidR="00982617" w:rsidRPr="00904E25">
        <w:rPr>
          <w:rFonts w:cs="Arial"/>
          <w:bCs/>
          <w:color w:val="000000"/>
          <w:szCs w:val="20"/>
        </w:rPr>
        <w:t>Aktivnosti za spremljanje tujerodnih vrst in za preprečevanje vnosa in širjenja invazivnih tujerodnih vrst.</w:t>
      </w:r>
      <w:r w:rsidR="00982617" w:rsidRPr="006A0D09">
        <w:rPr>
          <w:rFonts w:cs="Arial"/>
          <w:bCs/>
          <w:color w:val="000000"/>
          <w:szCs w:val="20"/>
        </w:rPr>
        <w:t xml:space="preserve"> Aktivnost je vezana na deskriptorja kakovosti biotska raznovrstnost (D1) in Tujerodne vrste morskih</w:t>
      </w:r>
      <w:r w:rsidR="00982617" w:rsidRPr="00982617">
        <w:rPr>
          <w:rFonts w:cs="Arial"/>
          <w:bCs/>
          <w:color w:val="000000"/>
          <w:szCs w:val="20"/>
        </w:rPr>
        <w:t xml:space="preserve"> organizmov (D2) v okviru MSFD. S temi aktivnostmi se bo prispevalo tudi k izvajanju Uredbe EU 1143/2014 o invazivnih tujerodnih vrstah. Zaradi stalnega spreminjanja stanja v naravi in za določanje pojavnosti in trenda tujerodnih vrst je treba redno spremljati pojavljanje tujerodnih vrst in preučevati njihove vplive na biotsko raznovrstnost ter po potrebi tudi na posamezne gospodarske aktivnosti na morju, kot sta ribištvo in marikultura. V okviru aktivnosti se bo izvajalo redno spremljanje stanja tujerodnih vrst na območjih, kjer je njihova naselitev najverjetnejša, to je na območjih pristanišč, na izlivnih območjih in na območjih marikultur</w:t>
      </w:r>
      <w:r w:rsidR="00955D15">
        <w:rPr>
          <w:rFonts w:cs="Arial"/>
          <w:bCs/>
          <w:color w:val="000000"/>
          <w:szCs w:val="20"/>
        </w:rPr>
        <w:t xml:space="preserve">, </w:t>
      </w:r>
      <w:r w:rsidR="00955D15" w:rsidRPr="00955D15">
        <w:rPr>
          <w:rFonts w:cs="Arial"/>
          <w:bCs/>
          <w:color w:val="000000"/>
          <w:szCs w:val="20"/>
        </w:rPr>
        <w:t>izvajalo pa se bo tudi osveščanje javnosti in njihovo vključevanje v zbiranje podatkov</w:t>
      </w:r>
      <w:r w:rsidR="00982617" w:rsidRPr="00955D15">
        <w:rPr>
          <w:rFonts w:cs="Arial"/>
          <w:bCs/>
          <w:color w:val="000000"/>
          <w:szCs w:val="20"/>
        </w:rPr>
        <w:t>.</w:t>
      </w:r>
      <w:r w:rsidR="00982617" w:rsidRPr="00982617">
        <w:rPr>
          <w:rFonts w:cs="Arial"/>
          <w:bCs/>
          <w:color w:val="000000"/>
          <w:szCs w:val="20"/>
        </w:rPr>
        <w:t xml:space="preserve"> </w:t>
      </w:r>
      <w:r w:rsidR="006E155E" w:rsidRPr="006E155E">
        <w:rPr>
          <w:rFonts w:cs="Arial"/>
          <w:bCs/>
          <w:color w:val="000000"/>
          <w:szCs w:val="20"/>
        </w:rPr>
        <w:t xml:space="preserve">Aktivnost bo prispevala k izvajanju določb Direktive 2008/ES/56 za merila D2C1, D2C2. </w:t>
      </w:r>
      <w:r w:rsidR="00982617" w:rsidRPr="00982617">
        <w:rPr>
          <w:rFonts w:cs="Arial"/>
          <w:bCs/>
          <w:color w:val="000000"/>
          <w:szCs w:val="20"/>
        </w:rPr>
        <w:t>Po izkušnjah iz preteklega finančnega obdobja podatki o tujerodnih vrstah in njihove raziskave prispevajo pri načrtovanju aktivnosti na morju in upravljanju naravovarstveno pomembnih območij. Omogočajo tudi strokovno podprto osveščanje deležnikov in s tem prispevajo k obravnavi poti vnosa in širjenja invazivnih tujerodnih vrst.</w:t>
      </w:r>
      <w:r w:rsidR="00982617">
        <w:rPr>
          <w:rFonts w:cs="Arial"/>
          <w:bCs/>
          <w:color w:val="000000"/>
          <w:szCs w:val="20"/>
        </w:rPr>
        <w:t xml:space="preserve"> </w:t>
      </w:r>
      <w:r w:rsidR="00982617" w:rsidRPr="00982617">
        <w:rPr>
          <w:rFonts w:cs="Arial"/>
          <w:bCs/>
          <w:color w:val="000000"/>
          <w:szCs w:val="20"/>
        </w:rPr>
        <w:t>Ta aktivnost na področju EU morij in oceanov naslavlja prioriteto »varovanje naše biotske raznovrstnosti in ekosistemov« v okviru Zelenega dogovora, saj z ustreznim poznavanjem stanja in posledično upravljanjem prispevamo k izboljšanju stanja bentoških habitatov ter morski</w:t>
      </w:r>
      <w:r w:rsidR="00955D15">
        <w:rPr>
          <w:rFonts w:cs="Arial"/>
          <w:bCs/>
          <w:color w:val="000000"/>
          <w:szCs w:val="20"/>
        </w:rPr>
        <w:t>h</w:t>
      </w:r>
      <w:r w:rsidR="00982617" w:rsidRPr="00982617">
        <w:rPr>
          <w:rFonts w:cs="Arial"/>
          <w:bCs/>
          <w:color w:val="000000"/>
          <w:szCs w:val="20"/>
        </w:rPr>
        <w:t xml:space="preserve"> vrst</w:t>
      </w:r>
      <w:r w:rsidR="00955D15">
        <w:rPr>
          <w:rFonts w:cs="Arial"/>
          <w:bCs/>
          <w:color w:val="000000"/>
          <w:szCs w:val="20"/>
        </w:rPr>
        <w:t xml:space="preserve"> in </w:t>
      </w:r>
      <w:r w:rsidR="00955D15" w:rsidRPr="00955D15">
        <w:rPr>
          <w:rFonts w:cs="Arial"/>
          <w:bCs/>
          <w:color w:val="000000"/>
          <w:szCs w:val="20"/>
        </w:rPr>
        <w:t>k doseganju zavez Strategije EU za biotsko raznovrstnost do leta 2030 za zmanjševanje vpliva invazivnih tujerodnih vrst na ogrožene vrste</w:t>
      </w:r>
      <w:r w:rsidR="00982617" w:rsidRPr="00982617">
        <w:rPr>
          <w:rFonts w:cs="Arial"/>
          <w:bCs/>
          <w:color w:val="000000"/>
          <w:szCs w:val="20"/>
        </w:rPr>
        <w:t>.</w:t>
      </w:r>
    </w:p>
    <w:p w14:paraId="04E3C642" w14:textId="56F6833B" w:rsidR="005C1206" w:rsidRPr="008E6BB7" w:rsidRDefault="005C1206" w:rsidP="002A70E8">
      <w:pPr>
        <w:pBdr>
          <w:top w:val="single" w:sz="4" w:space="1" w:color="auto"/>
          <w:left w:val="single" w:sz="4" w:space="4" w:color="auto"/>
          <w:bottom w:val="single" w:sz="4" w:space="0" w:color="auto"/>
          <w:right w:val="single" w:sz="4" w:space="13" w:color="auto"/>
        </w:pBdr>
        <w:jc w:val="both"/>
        <w:rPr>
          <w:rFonts w:cs="Arial"/>
          <w:b/>
          <w:bCs/>
          <w:color w:val="000000"/>
          <w:szCs w:val="20"/>
        </w:rPr>
      </w:pPr>
    </w:p>
    <w:p w14:paraId="0296BB67" w14:textId="385824AD" w:rsidR="0040006F" w:rsidRPr="006A0D09" w:rsidRDefault="006A0D09" w:rsidP="00CA2551">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
          <w:bCs/>
          <w:color w:val="000000"/>
          <w:szCs w:val="20"/>
        </w:rPr>
        <w:t>d</w:t>
      </w:r>
      <w:r w:rsidR="00CA2551" w:rsidRPr="008E6BB7">
        <w:rPr>
          <w:rFonts w:cs="Arial"/>
          <w:b/>
          <w:bCs/>
          <w:color w:val="000000"/>
          <w:szCs w:val="20"/>
        </w:rPr>
        <w:t xml:space="preserve">) </w:t>
      </w:r>
      <w:r w:rsidR="00CA2551" w:rsidRPr="00904E25">
        <w:rPr>
          <w:rFonts w:cs="Arial"/>
          <w:bCs/>
          <w:color w:val="000000"/>
          <w:szCs w:val="20"/>
        </w:rPr>
        <w:t>Aktivnost za zmanjšanje pritiska na bentoške habitatne tipe v obalnih morskih vodah zaradi urbanizacije:</w:t>
      </w:r>
      <w:r w:rsidR="00CA2551" w:rsidRPr="006A0D09">
        <w:rPr>
          <w:rFonts w:cs="Arial"/>
          <w:bCs/>
          <w:color w:val="000000"/>
          <w:szCs w:val="20"/>
        </w:rPr>
        <w:t xml:space="preserve"> Aktivnost</w:t>
      </w:r>
      <w:r w:rsidR="00CA2551">
        <w:rPr>
          <w:rFonts w:cs="Arial"/>
          <w:bCs/>
          <w:color w:val="000000"/>
          <w:szCs w:val="20"/>
        </w:rPr>
        <w:t xml:space="preserve"> je </w:t>
      </w:r>
      <w:r w:rsidR="00CA2551" w:rsidRPr="00CA2551">
        <w:rPr>
          <w:rFonts w:cs="Arial"/>
          <w:bCs/>
          <w:color w:val="000000"/>
          <w:szCs w:val="20"/>
        </w:rPr>
        <w:t>vezan</w:t>
      </w:r>
      <w:r w:rsidR="00CA2551">
        <w:rPr>
          <w:rFonts w:cs="Arial"/>
          <w:bCs/>
          <w:color w:val="000000"/>
          <w:szCs w:val="20"/>
        </w:rPr>
        <w:t>a</w:t>
      </w:r>
      <w:r w:rsidR="00CA2551" w:rsidRPr="00CA2551">
        <w:rPr>
          <w:rFonts w:cs="Arial"/>
          <w:bCs/>
          <w:color w:val="000000"/>
          <w:szCs w:val="20"/>
        </w:rPr>
        <w:t xml:space="preserve"> na deskriptorje kakovosti </w:t>
      </w:r>
      <w:r w:rsidR="00CA2551">
        <w:rPr>
          <w:rFonts w:cs="Arial"/>
          <w:bCs/>
          <w:color w:val="000000"/>
          <w:szCs w:val="20"/>
        </w:rPr>
        <w:t>biotska raznovrstnost (D1) in n</w:t>
      </w:r>
      <w:r w:rsidR="00CA2551" w:rsidRPr="00CA2551">
        <w:rPr>
          <w:rFonts w:cs="Arial"/>
          <w:bCs/>
          <w:color w:val="000000"/>
          <w:szCs w:val="20"/>
        </w:rPr>
        <w:t>eoporečnost morskega dna (D6)</w:t>
      </w:r>
      <w:r w:rsidR="00CA2551">
        <w:rPr>
          <w:rFonts w:cs="Arial"/>
          <w:bCs/>
          <w:color w:val="000000"/>
          <w:szCs w:val="20"/>
        </w:rPr>
        <w:t xml:space="preserve">. Opravil se bo </w:t>
      </w:r>
      <w:r w:rsidR="00CA2551" w:rsidRPr="00CA2551">
        <w:rPr>
          <w:rFonts w:cs="Arial"/>
          <w:bCs/>
          <w:color w:val="000000"/>
          <w:szCs w:val="20"/>
        </w:rPr>
        <w:t>monitoring ha</w:t>
      </w:r>
      <w:r w:rsidR="00CA2551">
        <w:rPr>
          <w:rFonts w:cs="Arial"/>
          <w:bCs/>
          <w:color w:val="000000"/>
          <w:szCs w:val="20"/>
        </w:rPr>
        <w:t xml:space="preserve">bitatov med </w:t>
      </w:r>
      <w:r w:rsidR="00450234">
        <w:rPr>
          <w:rFonts w:cs="Arial"/>
          <w:bCs/>
          <w:color w:val="000000"/>
          <w:szCs w:val="20"/>
        </w:rPr>
        <w:t xml:space="preserve">Izolo </w:t>
      </w:r>
      <w:r w:rsidR="00CA2551">
        <w:rPr>
          <w:rFonts w:cs="Arial"/>
          <w:bCs/>
          <w:color w:val="000000"/>
          <w:szCs w:val="20"/>
        </w:rPr>
        <w:t>in Žusterno</w:t>
      </w:r>
      <w:r w:rsidR="00FB2335">
        <w:rPr>
          <w:rFonts w:cs="Arial"/>
          <w:bCs/>
          <w:color w:val="000000"/>
          <w:szCs w:val="20"/>
        </w:rPr>
        <w:t xml:space="preserve">. </w:t>
      </w:r>
      <w:r w:rsidR="00FB2335" w:rsidRPr="00FB2335">
        <w:rPr>
          <w:rFonts w:cs="Arial"/>
          <w:bCs/>
          <w:color w:val="000000"/>
          <w:szCs w:val="20"/>
        </w:rPr>
        <w:t xml:space="preserve">Omenjeno območje je del pilotnega </w:t>
      </w:r>
      <w:r w:rsidR="00FB2335">
        <w:rPr>
          <w:rFonts w:cs="Arial"/>
          <w:bCs/>
          <w:color w:val="000000"/>
          <w:szCs w:val="20"/>
        </w:rPr>
        <w:t>območja</w:t>
      </w:r>
      <w:r w:rsidR="00FB2335" w:rsidRPr="00FB2335">
        <w:rPr>
          <w:rFonts w:cs="Arial"/>
          <w:bCs/>
          <w:color w:val="000000"/>
          <w:szCs w:val="20"/>
        </w:rPr>
        <w:t xml:space="preserve"> v Tržaškem zalivu v okviru EUSAIR TSG 3 Flagship z naslovom: ICZM&amp;MSP – Trajnostn</w:t>
      </w:r>
      <w:r w:rsidR="00FB2335">
        <w:rPr>
          <w:rFonts w:cs="Arial"/>
          <w:bCs/>
          <w:color w:val="000000"/>
          <w:szCs w:val="20"/>
        </w:rPr>
        <w:t>i razvoj obalnih in morskih con;</w:t>
      </w:r>
      <w:r w:rsidR="00CA2551">
        <w:rPr>
          <w:rFonts w:cs="Arial"/>
          <w:bCs/>
          <w:color w:val="000000"/>
          <w:szCs w:val="20"/>
        </w:rPr>
        <w:t xml:space="preserve"> gre za </w:t>
      </w:r>
      <w:r w:rsidR="00CA2551" w:rsidRPr="00CA2551">
        <w:rPr>
          <w:rFonts w:cs="Arial"/>
          <w:bCs/>
          <w:color w:val="000000"/>
          <w:szCs w:val="20"/>
        </w:rPr>
        <w:t>del širšega projekta urejanja obalne ceste in obalnega morja med Koprom in Izolo. Prvi korak širšega projekta je bil izveden, ko se je na obalnem območju zaprla cesta Koper-Izola in se</w:t>
      </w:r>
      <w:r w:rsidR="00CA2551">
        <w:rPr>
          <w:rFonts w:cs="Arial"/>
          <w:bCs/>
          <w:color w:val="000000"/>
          <w:szCs w:val="20"/>
        </w:rPr>
        <w:t xml:space="preserve"> je</w:t>
      </w:r>
      <w:r w:rsidR="00CA2551" w:rsidRPr="00CA2551">
        <w:rPr>
          <w:rFonts w:cs="Arial"/>
          <w:bCs/>
          <w:color w:val="000000"/>
          <w:szCs w:val="20"/>
        </w:rPr>
        <w:t xml:space="preserve"> s tem skladno s Protokolom o integralnem upravljanju z obalo vzpostavil obalni pas. Na ta način se je zmanjšal pritisk iz zaledja na obalni in morski ekosistem. Drugi korak je ureditev obalnega in morskega območja na način, da raba tega prostora ne bo imela negativnega vpliva na morski in obalni ekosistem, predvsem bentoške habitatne tipe. Na območju Koper-Izola se načrtuje posege in dejavnosti v mediolitoralnem in litoralnem pasu. Bentoški habitatni tipi v litoralu in mediolitoralu v slovenskem morju so v slabem stanju, zato je treb</w:t>
      </w:r>
      <w:r w:rsidR="00CA2551">
        <w:rPr>
          <w:rFonts w:cs="Arial"/>
          <w:bCs/>
          <w:color w:val="000000"/>
          <w:szCs w:val="20"/>
        </w:rPr>
        <w:t xml:space="preserve">a </w:t>
      </w:r>
      <w:r w:rsidR="00CA2551" w:rsidRPr="00CA2551">
        <w:rPr>
          <w:rFonts w:cs="Arial"/>
          <w:bCs/>
          <w:color w:val="000000"/>
          <w:szCs w:val="20"/>
        </w:rPr>
        <w:t xml:space="preserve">biti pazljiv pri umeščanju </w:t>
      </w:r>
      <w:r w:rsidR="00CA2551" w:rsidRPr="00FB2335">
        <w:rPr>
          <w:rFonts w:cs="Arial"/>
          <w:bCs/>
          <w:color w:val="000000"/>
          <w:szCs w:val="20"/>
        </w:rPr>
        <w:t>novih posegov in dejavnosti v ta območja in jih umeščati na način, da bodo prispevali k izboljšanju stanja. Za ustrezne rešitve, ki ne bodo škodovale bentoškim habitatom</w:t>
      </w:r>
      <w:r w:rsidR="0040006F" w:rsidRPr="00FB2335">
        <w:rPr>
          <w:rFonts w:cs="Arial"/>
          <w:bCs/>
          <w:color w:val="000000"/>
          <w:szCs w:val="20"/>
        </w:rPr>
        <w:t>,</w:t>
      </w:r>
      <w:r w:rsidR="00CA2551" w:rsidRPr="00FB2335">
        <w:rPr>
          <w:rFonts w:cs="Arial"/>
          <w:bCs/>
          <w:color w:val="000000"/>
          <w:szCs w:val="20"/>
        </w:rPr>
        <w:t xml:space="preserve"> temveč </w:t>
      </w:r>
      <w:r w:rsidR="0040006F" w:rsidRPr="00FB2335">
        <w:rPr>
          <w:rFonts w:cs="Arial"/>
          <w:bCs/>
          <w:color w:val="000000"/>
          <w:szCs w:val="20"/>
        </w:rPr>
        <w:t xml:space="preserve">bodo </w:t>
      </w:r>
      <w:r w:rsidR="00CA2551" w:rsidRPr="00FB2335">
        <w:rPr>
          <w:rFonts w:cs="Arial"/>
          <w:bCs/>
          <w:color w:val="000000"/>
          <w:szCs w:val="20"/>
        </w:rPr>
        <w:t>prispevale k izboljšanju na navedenem območju</w:t>
      </w:r>
      <w:r w:rsidR="0040006F" w:rsidRPr="00FB2335">
        <w:rPr>
          <w:rFonts w:cs="Arial"/>
          <w:bCs/>
          <w:color w:val="000000"/>
          <w:szCs w:val="20"/>
        </w:rPr>
        <w:t>, je</w:t>
      </w:r>
      <w:r w:rsidR="00CA2551" w:rsidRPr="00FB2335">
        <w:rPr>
          <w:rFonts w:cs="Arial"/>
          <w:bCs/>
          <w:color w:val="000000"/>
          <w:szCs w:val="20"/>
        </w:rPr>
        <w:t xml:space="preserve"> </w:t>
      </w:r>
      <w:r w:rsidR="0040006F" w:rsidRPr="00FB2335">
        <w:rPr>
          <w:rFonts w:cs="Arial"/>
          <w:bCs/>
          <w:color w:val="000000"/>
          <w:szCs w:val="20"/>
        </w:rPr>
        <w:t>treba</w:t>
      </w:r>
      <w:r w:rsidR="00CA2551" w:rsidRPr="00FB2335">
        <w:rPr>
          <w:rFonts w:cs="Arial"/>
          <w:bCs/>
          <w:color w:val="000000"/>
          <w:szCs w:val="20"/>
        </w:rPr>
        <w:t xml:space="preserve"> predhodno pridobiti natančnejše podatke o stanju bentoških habitatov, čemur je namenjen</w:t>
      </w:r>
      <w:r w:rsidR="0040006F" w:rsidRPr="00FB2335">
        <w:rPr>
          <w:rFonts w:cs="Arial"/>
          <w:bCs/>
          <w:color w:val="000000"/>
          <w:szCs w:val="20"/>
        </w:rPr>
        <w:t>a ta aktivnost</w:t>
      </w:r>
      <w:r w:rsidR="00CA2551" w:rsidRPr="00FB2335">
        <w:rPr>
          <w:rFonts w:cs="Arial"/>
          <w:bCs/>
          <w:color w:val="000000"/>
          <w:szCs w:val="20"/>
        </w:rPr>
        <w:t xml:space="preserve">. Po pridobitvi podatkov  se bo pripravilo ustrezne rešitve rabe za navedeno območje. </w:t>
      </w:r>
      <w:r w:rsidR="0040006F" w:rsidRPr="00FB2335">
        <w:rPr>
          <w:rFonts w:cs="Arial"/>
          <w:bCs/>
          <w:color w:val="000000"/>
          <w:szCs w:val="20"/>
        </w:rPr>
        <w:t xml:space="preserve">Ta aktivnost v okviru Zelenega dogovora naslavlja na </w:t>
      </w:r>
      <w:r w:rsidR="00CA2551" w:rsidRPr="00F753DD">
        <w:rPr>
          <w:rFonts w:cs="Arial"/>
          <w:bCs/>
          <w:color w:val="000000"/>
          <w:szCs w:val="20"/>
        </w:rPr>
        <w:t xml:space="preserve">področju EU morij in oceanov prioriteto </w:t>
      </w:r>
      <w:r w:rsidR="0040006F" w:rsidRPr="00321C48">
        <w:rPr>
          <w:rFonts w:cs="Arial"/>
          <w:bCs/>
          <w:color w:val="000000"/>
          <w:szCs w:val="20"/>
        </w:rPr>
        <w:t xml:space="preserve">varovanja naše biotske raznovrstnosti </w:t>
      </w:r>
      <w:r w:rsidR="00CA2551" w:rsidRPr="00321C48">
        <w:rPr>
          <w:rFonts w:cs="Arial"/>
          <w:bCs/>
          <w:color w:val="000000"/>
          <w:szCs w:val="20"/>
        </w:rPr>
        <w:t>in obnovo ekosistema, saj z ustreznim poseganjem in upravljanjem v občutljivem območju prispevamo k izboljšanju stanja bentoških habitatov.</w:t>
      </w:r>
      <w:r w:rsidR="00FB2335">
        <w:rPr>
          <w:rFonts w:cs="Arial"/>
          <w:bCs/>
          <w:color w:val="000000"/>
          <w:szCs w:val="20"/>
        </w:rPr>
        <w:t xml:space="preserve"> </w:t>
      </w:r>
      <w:r w:rsidR="006E155E" w:rsidRPr="006E155E">
        <w:rPr>
          <w:rFonts w:cs="Arial"/>
          <w:bCs/>
          <w:color w:val="000000"/>
          <w:szCs w:val="20"/>
        </w:rPr>
        <w:t>Aktivnost bo prispevala k izvajanju določb Direktive 2008/ES/56 za merila D6C1, D6C2 in D6C3. Saj se bo z aktivostjo pridobilo natančnješe podatke o stanju bentoških habitatov infralitorala. Na podlagi rezultatov se bodo na območju dopustni posegi, k</w:t>
      </w:r>
      <w:r w:rsidR="006E155E">
        <w:rPr>
          <w:rFonts w:cs="Arial"/>
          <w:bCs/>
          <w:color w:val="000000"/>
          <w:szCs w:val="20"/>
        </w:rPr>
        <w:t>i bodo z vidika vpliva na bentoš</w:t>
      </w:r>
      <w:r w:rsidR="006E155E" w:rsidRPr="006E155E">
        <w:rPr>
          <w:rFonts w:cs="Arial"/>
          <w:bCs/>
          <w:color w:val="000000"/>
          <w:szCs w:val="20"/>
        </w:rPr>
        <w:t xml:space="preserve">ke habitate infralitorala sprejemljivi in ne bodo imeli </w:t>
      </w:r>
      <w:r w:rsidR="006E155E" w:rsidRPr="006E155E">
        <w:rPr>
          <w:rFonts w:cs="Arial"/>
          <w:bCs/>
          <w:color w:val="000000"/>
          <w:szCs w:val="20"/>
        </w:rPr>
        <w:lastRenderedPageBreak/>
        <w:t>negativnega vpliva nanje.</w:t>
      </w:r>
      <w:r w:rsidR="004005C8">
        <w:rPr>
          <w:rFonts w:cs="Arial"/>
          <w:bCs/>
          <w:color w:val="000000"/>
          <w:szCs w:val="20"/>
        </w:rPr>
        <w:t xml:space="preserve"> Aktivnost bo prispevala k cilju 15 Strategije za biotsko raznovrstnost 2030: </w:t>
      </w:r>
      <w:r w:rsidR="004005C8" w:rsidRPr="004005C8">
        <w:rPr>
          <w:rFonts w:cs="Arial"/>
          <w:bCs/>
          <w:color w:val="000000"/>
          <w:szCs w:val="20"/>
        </w:rPr>
        <w:t>Znatno se bodo zmanjšali negativni vplivi na občutljive vrste in habitate, vključno z morskim dnom, zaradi ribolova in ekstrakcije, da se zagotovi dobro okoljsko stanje.</w:t>
      </w:r>
    </w:p>
    <w:p w14:paraId="1A122AEE" w14:textId="6171ABBF" w:rsidR="0040006F" w:rsidRDefault="006A0D09" w:rsidP="0040006F">
      <w:pPr>
        <w:pBdr>
          <w:top w:val="single" w:sz="4" w:space="1" w:color="auto"/>
          <w:left w:val="single" w:sz="4" w:space="4" w:color="auto"/>
          <w:bottom w:val="single" w:sz="4" w:space="0" w:color="auto"/>
          <w:right w:val="single" w:sz="4" w:space="13" w:color="auto"/>
        </w:pBdr>
        <w:jc w:val="both"/>
        <w:rPr>
          <w:rFonts w:cs="Arial"/>
          <w:bCs/>
          <w:color w:val="000000"/>
          <w:szCs w:val="20"/>
        </w:rPr>
      </w:pPr>
      <w:r w:rsidRPr="00714475">
        <w:rPr>
          <w:rFonts w:cs="Arial"/>
          <w:b/>
          <w:bCs/>
          <w:color w:val="000000"/>
          <w:szCs w:val="20"/>
        </w:rPr>
        <w:t>e</w:t>
      </w:r>
      <w:r w:rsidR="0040006F" w:rsidRPr="00714475">
        <w:rPr>
          <w:rFonts w:cs="Arial"/>
          <w:b/>
          <w:bCs/>
          <w:color w:val="000000"/>
          <w:szCs w:val="20"/>
        </w:rPr>
        <w:t>)</w:t>
      </w:r>
      <w:r w:rsidR="0040006F" w:rsidRPr="00904E25">
        <w:rPr>
          <w:rFonts w:cs="Arial"/>
          <w:bCs/>
          <w:color w:val="000000"/>
          <w:szCs w:val="20"/>
        </w:rPr>
        <w:t xml:space="preserve"> Aktivnost za ublažitev </w:t>
      </w:r>
      <w:r w:rsidR="00C050FB" w:rsidRPr="00904E25">
        <w:rPr>
          <w:rFonts w:cs="Arial"/>
          <w:bCs/>
          <w:color w:val="000000"/>
          <w:szCs w:val="20"/>
        </w:rPr>
        <w:t xml:space="preserve">slabšanja </w:t>
      </w:r>
      <w:r w:rsidR="0040006F" w:rsidRPr="00904E25">
        <w:rPr>
          <w:rFonts w:cs="Arial"/>
          <w:bCs/>
          <w:color w:val="000000"/>
          <w:szCs w:val="20"/>
        </w:rPr>
        <w:t>biotske raznovrstnosti zaradi nezadostne povezanosti morskih ekosistemov in prekomerne rabe morskega okolja.</w:t>
      </w:r>
      <w:r w:rsidR="0040006F" w:rsidRPr="006A0D09">
        <w:rPr>
          <w:rFonts w:cs="Arial"/>
          <w:bCs/>
          <w:color w:val="000000"/>
          <w:szCs w:val="20"/>
        </w:rPr>
        <w:t xml:space="preserve"> Ta tip aktivnosti bo prispeval k vzpostavitvi ekopovezljivosti med območji</w:t>
      </w:r>
      <w:r w:rsidR="0040006F" w:rsidRPr="00904E25">
        <w:rPr>
          <w:rFonts w:cs="Arial"/>
          <w:bCs/>
          <w:color w:val="000000"/>
          <w:szCs w:val="20"/>
        </w:rPr>
        <w:t>, pomembnimi za ohranjanje in varstvo narave</w:t>
      </w:r>
      <w:r w:rsidR="00C050FB" w:rsidRPr="00904E25">
        <w:rPr>
          <w:rFonts w:cs="Arial"/>
          <w:bCs/>
          <w:color w:val="000000"/>
          <w:szCs w:val="20"/>
        </w:rPr>
        <w:t>,</w:t>
      </w:r>
      <w:r w:rsidR="0040006F" w:rsidRPr="00904E25">
        <w:rPr>
          <w:rFonts w:cs="Arial"/>
          <w:bCs/>
          <w:color w:val="000000"/>
          <w:szCs w:val="20"/>
        </w:rPr>
        <w:t xml:space="preserve"> in se navezuje na deskriptorje kakovosti biotska raznovrstnost (D1), neoporečnost morskega dna (D6). Ta aktivnost naslavlja ohranjanje oz izboljšanje</w:t>
      </w:r>
      <w:r w:rsidR="0040006F" w:rsidRPr="0040006F">
        <w:rPr>
          <w:rFonts w:cs="Arial"/>
          <w:bCs/>
          <w:color w:val="000000"/>
          <w:szCs w:val="20"/>
        </w:rPr>
        <w:t xml:space="preserve"> stanja bentoških habitatnih tipov kot tudi pelagičnega habitata. Namen </w:t>
      </w:r>
      <w:r w:rsidR="0040006F">
        <w:rPr>
          <w:rFonts w:cs="Arial"/>
          <w:bCs/>
          <w:color w:val="000000"/>
          <w:szCs w:val="20"/>
        </w:rPr>
        <w:t>aktivnosti</w:t>
      </w:r>
      <w:r w:rsidR="0040006F" w:rsidRPr="0040006F">
        <w:rPr>
          <w:rFonts w:cs="Arial"/>
          <w:bCs/>
          <w:color w:val="000000"/>
          <w:szCs w:val="20"/>
        </w:rPr>
        <w:t xml:space="preserve"> je pripraviti predlog vzpostavitve povezanih območij</w:t>
      </w:r>
      <w:r w:rsidR="0040006F">
        <w:rPr>
          <w:rFonts w:cs="Arial"/>
          <w:bCs/>
          <w:color w:val="000000"/>
          <w:szCs w:val="20"/>
        </w:rPr>
        <w:t>,</w:t>
      </w:r>
      <w:r w:rsidR="0040006F" w:rsidRPr="0040006F">
        <w:rPr>
          <w:rFonts w:cs="Arial"/>
          <w:bCs/>
          <w:color w:val="000000"/>
          <w:szCs w:val="20"/>
        </w:rPr>
        <w:t xml:space="preserve"> pomembnih za ohranjanje narave, ki bo poleg prostorske umestitve vseboval tudi predloge upravljanja in dovoljenih rab in dejavnosti na morju. Projekt se povezuje tudi s ciljem Trajnostne pomorske politike, kje</w:t>
      </w:r>
      <w:r w:rsidR="0040006F">
        <w:rPr>
          <w:rFonts w:cs="Arial"/>
          <w:bCs/>
          <w:color w:val="000000"/>
          <w:szCs w:val="20"/>
        </w:rPr>
        <w:t>r so modri koridorji prepoznani</w:t>
      </w:r>
      <w:r w:rsidR="0040006F" w:rsidRPr="0040006F">
        <w:rPr>
          <w:rFonts w:cs="Arial"/>
          <w:bCs/>
          <w:color w:val="000000"/>
          <w:szCs w:val="20"/>
        </w:rPr>
        <w:t xml:space="preserve"> kot eden izmed ukrepov za ohranjanje morskega okolja in trajnostno rabo le-tega. Ko bo predlog pripravljen</w:t>
      </w:r>
      <w:r w:rsidR="0040006F">
        <w:rPr>
          <w:rFonts w:cs="Arial"/>
          <w:bCs/>
          <w:color w:val="000000"/>
          <w:szCs w:val="20"/>
        </w:rPr>
        <w:t>,</w:t>
      </w:r>
      <w:r w:rsidR="0040006F" w:rsidRPr="0040006F">
        <w:rPr>
          <w:rFonts w:cs="Arial"/>
          <w:bCs/>
          <w:color w:val="000000"/>
          <w:szCs w:val="20"/>
        </w:rPr>
        <w:t xml:space="preserve"> se bo pristopilo</w:t>
      </w:r>
      <w:r w:rsidR="00C60A7B">
        <w:rPr>
          <w:rFonts w:cs="Arial"/>
          <w:bCs/>
          <w:color w:val="000000"/>
          <w:szCs w:val="20"/>
        </w:rPr>
        <w:t xml:space="preserve"> k uveljavljanju novega režima. </w:t>
      </w:r>
      <w:r w:rsidR="0040006F" w:rsidRPr="0040006F">
        <w:rPr>
          <w:rFonts w:cs="Arial"/>
          <w:bCs/>
          <w:color w:val="000000"/>
          <w:szCs w:val="20"/>
        </w:rPr>
        <w:t xml:space="preserve">Ob tem je </w:t>
      </w:r>
      <w:r w:rsidR="00C60A7B">
        <w:rPr>
          <w:rFonts w:cs="Arial"/>
          <w:bCs/>
          <w:color w:val="000000"/>
          <w:szCs w:val="20"/>
        </w:rPr>
        <w:t>treba</w:t>
      </w:r>
      <w:r w:rsidR="0040006F" w:rsidRPr="0040006F">
        <w:rPr>
          <w:rFonts w:cs="Arial"/>
          <w:bCs/>
          <w:color w:val="000000"/>
          <w:szCs w:val="20"/>
        </w:rPr>
        <w:t xml:space="preserve"> poudariti, da je celotno slovensko morje razglašeno kot ekološko pomembno območje in je kot tako že opredeljeno kot območje</w:t>
      </w:r>
      <w:r w:rsidR="00C60A7B">
        <w:rPr>
          <w:rFonts w:cs="Arial"/>
          <w:bCs/>
          <w:color w:val="000000"/>
          <w:szCs w:val="20"/>
        </w:rPr>
        <w:t>,</w:t>
      </w:r>
      <w:r w:rsidR="0040006F" w:rsidRPr="0040006F">
        <w:rPr>
          <w:rFonts w:cs="Arial"/>
          <w:bCs/>
          <w:color w:val="000000"/>
          <w:szCs w:val="20"/>
        </w:rPr>
        <w:t xml:space="preserve"> pomembno za ohranjanje biotske raznovrstnosti (D1). Z navedenim projektom želimo izboljšati način varstva morskega okolja oziroma biotske raznovrstnosti. </w:t>
      </w:r>
      <w:r w:rsidR="00C60A7B">
        <w:rPr>
          <w:rFonts w:cs="Arial"/>
          <w:bCs/>
          <w:color w:val="000000"/>
          <w:szCs w:val="20"/>
        </w:rPr>
        <w:t xml:space="preserve">V </w:t>
      </w:r>
      <w:r w:rsidR="0040006F" w:rsidRPr="0040006F">
        <w:rPr>
          <w:rFonts w:cs="Arial"/>
          <w:bCs/>
          <w:color w:val="000000"/>
          <w:szCs w:val="20"/>
        </w:rPr>
        <w:t xml:space="preserve">okviru </w:t>
      </w:r>
      <w:r w:rsidR="00C60A7B">
        <w:rPr>
          <w:rFonts w:cs="Arial"/>
          <w:bCs/>
          <w:color w:val="000000"/>
          <w:szCs w:val="20"/>
        </w:rPr>
        <w:t>Zelenega dogovora aktivnost n</w:t>
      </w:r>
      <w:r w:rsidR="0040006F" w:rsidRPr="0040006F">
        <w:rPr>
          <w:rFonts w:cs="Arial"/>
          <w:bCs/>
          <w:color w:val="000000"/>
          <w:szCs w:val="20"/>
        </w:rPr>
        <w:t>a področju EU morij i</w:t>
      </w:r>
      <w:r w:rsidR="00C60A7B">
        <w:rPr>
          <w:rFonts w:cs="Arial"/>
          <w:bCs/>
          <w:color w:val="000000"/>
          <w:szCs w:val="20"/>
        </w:rPr>
        <w:t xml:space="preserve">n oceanov naslavlja prioriteto varovanja naše biotske raznovrstnosti in ekosistemov ter </w:t>
      </w:r>
      <w:r w:rsidR="0040006F" w:rsidRPr="0040006F">
        <w:rPr>
          <w:rFonts w:cs="Arial"/>
          <w:bCs/>
          <w:color w:val="000000"/>
          <w:szCs w:val="20"/>
        </w:rPr>
        <w:t>obnovo ekosistema, saj z upravljanjem območij</w:t>
      </w:r>
      <w:r w:rsidR="00C60A7B">
        <w:rPr>
          <w:rFonts w:cs="Arial"/>
          <w:bCs/>
          <w:color w:val="000000"/>
          <w:szCs w:val="20"/>
        </w:rPr>
        <w:t>,</w:t>
      </w:r>
      <w:r w:rsidR="0040006F" w:rsidRPr="0040006F">
        <w:rPr>
          <w:rFonts w:cs="Arial"/>
          <w:bCs/>
          <w:color w:val="000000"/>
          <w:szCs w:val="20"/>
        </w:rPr>
        <w:t xml:space="preserve"> pomembnih za ohranjanje narave oz njihovo povezavo</w:t>
      </w:r>
      <w:r w:rsidR="00C60A7B">
        <w:rPr>
          <w:rFonts w:cs="Arial"/>
          <w:bCs/>
          <w:color w:val="000000"/>
          <w:szCs w:val="20"/>
        </w:rPr>
        <w:t>,</w:t>
      </w:r>
      <w:r w:rsidR="0040006F" w:rsidRPr="0040006F">
        <w:rPr>
          <w:rFonts w:cs="Arial"/>
          <w:bCs/>
          <w:color w:val="000000"/>
          <w:szCs w:val="20"/>
        </w:rPr>
        <w:t xml:space="preserve"> prispevamo k izboljšanju stanja bentoških in pelaških habitatov in vrst.</w:t>
      </w:r>
      <w:r w:rsidR="006E155E">
        <w:rPr>
          <w:rFonts w:cs="Arial"/>
          <w:bCs/>
          <w:color w:val="000000"/>
          <w:szCs w:val="20"/>
        </w:rPr>
        <w:t xml:space="preserve"> </w:t>
      </w:r>
      <w:r w:rsidR="006E155E" w:rsidRPr="006E155E">
        <w:rPr>
          <w:rFonts w:cs="Arial"/>
          <w:bCs/>
          <w:color w:val="000000"/>
          <w:szCs w:val="20"/>
        </w:rPr>
        <w:t xml:space="preserve">Aktivnost bo prispevala k izvajanju določb Direktive 2008/ES/56 za merila D1C2, D1C3, D1C4 in D1C5, saj bodo rezultati aktivnosti prispevali k oblikovanju povezanih območij, ter s tem k ohranjanju habitatov, vrst ter </w:t>
      </w:r>
      <w:r w:rsidR="005A38C3" w:rsidRPr="006E155E">
        <w:rPr>
          <w:rFonts w:cs="Arial"/>
          <w:bCs/>
          <w:color w:val="000000"/>
          <w:szCs w:val="20"/>
        </w:rPr>
        <w:t>izb</w:t>
      </w:r>
      <w:r w:rsidR="005A38C3">
        <w:rPr>
          <w:rFonts w:cs="Arial"/>
          <w:bCs/>
          <w:color w:val="000000"/>
          <w:szCs w:val="20"/>
        </w:rPr>
        <w:t>oljšanju</w:t>
      </w:r>
      <w:r w:rsidR="006E155E">
        <w:rPr>
          <w:rFonts w:cs="Arial"/>
          <w:bCs/>
          <w:color w:val="000000"/>
          <w:szCs w:val="20"/>
        </w:rPr>
        <w:t xml:space="preserve"> biotske raznovrstnosti.</w:t>
      </w:r>
    </w:p>
    <w:p w14:paraId="07B5AA1E" w14:textId="1A8AC042" w:rsidR="00C60A7B" w:rsidRDefault="00C60A7B" w:rsidP="0040006F">
      <w:pPr>
        <w:pBdr>
          <w:top w:val="single" w:sz="4" w:space="1" w:color="auto"/>
          <w:left w:val="single" w:sz="4" w:space="4" w:color="auto"/>
          <w:bottom w:val="single" w:sz="4" w:space="0" w:color="auto"/>
          <w:right w:val="single" w:sz="4" w:space="13" w:color="auto"/>
        </w:pBdr>
        <w:jc w:val="both"/>
        <w:rPr>
          <w:rFonts w:cs="Arial"/>
          <w:bCs/>
          <w:color w:val="000000"/>
          <w:szCs w:val="20"/>
        </w:rPr>
      </w:pPr>
    </w:p>
    <w:p w14:paraId="2C2D7517" w14:textId="55412401" w:rsidR="006E155E" w:rsidRDefault="006A0D09" w:rsidP="00303F23">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f</w:t>
      </w:r>
      <w:r w:rsidR="00303F23" w:rsidRPr="00C33505">
        <w:rPr>
          <w:rFonts w:cs="Arial"/>
          <w:bCs/>
          <w:color w:val="000000"/>
          <w:szCs w:val="20"/>
        </w:rPr>
        <w:t xml:space="preserve">) </w:t>
      </w:r>
      <w:r w:rsidR="00303F23" w:rsidRPr="00904E25">
        <w:rPr>
          <w:rFonts w:cs="Arial"/>
          <w:bCs/>
          <w:color w:val="000000"/>
          <w:szCs w:val="20"/>
        </w:rPr>
        <w:t>Aktivnost za varstvo morskih sesalcev:</w:t>
      </w:r>
      <w:r w:rsidR="00303F23" w:rsidRPr="006A0D09">
        <w:rPr>
          <w:rFonts w:cs="Arial"/>
          <w:bCs/>
          <w:color w:val="000000"/>
          <w:szCs w:val="20"/>
        </w:rPr>
        <w:t xml:space="preserve"> </w:t>
      </w:r>
      <w:r w:rsidR="006E155E">
        <w:rPr>
          <w:rFonts w:cs="Arial"/>
          <w:bCs/>
          <w:color w:val="000000"/>
          <w:szCs w:val="20"/>
        </w:rPr>
        <w:t>promocija Kodeksa ravnanja ob srečanju z morskimi sesalci</w:t>
      </w:r>
      <w:r w:rsidR="00303F23" w:rsidRPr="006A0D09">
        <w:rPr>
          <w:rFonts w:cs="Arial"/>
          <w:bCs/>
          <w:color w:val="000000"/>
          <w:szCs w:val="20"/>
        </w:rPr>
        <w:t>. Ta tip aktivnosti se nanaša na deskriptor biotska</w:t>
      </w:r>
      <w:r w:rsidR="00303F23" w:rsidRPr="00A74B84">
        <w:rPr>
          <w:rFonts w:cs="Arial"/>
          <w:bCs/>
          <w:color w:val="000000"/>
          <w:szCs w:val="20"/>
        </w:rPr>
        <w:t xml:space="preserve"> raznovrstnost (D1), in sicer izvajanje naravovarstvenih ukrepov na področju morskih sesalcev</w:t>
      </w:r>
      <w:r w:rsidR="00303F23" w:rsidRPr="00657714">
        <w:rPr>
          <w:rFonts w:cs="Arial"/>
          <w:bCs/>
          <w:color w:val="000000"/>
          <w:szCs w:val="20"/>
        </w:rPr>
        <w:t xml:space="preserve">. </w:t>
      </w:r>
      <w:r w:rsidR="006E155E" w:rsidRPr="00A74B84">
        <w:rPr>
          <w:rFonts w:cs="Arial"/>
          <w:bCs/>
          <w:color w:val="000000"/>
          <w:szCs w:val="20"/>
        </w:rPr>
        <w:t>V okviru Green Deal-a projekt na področju EU morij in oceanov naslavlja prioriteto »protecting our biodiveristy and ecosystem« saj z upravljanjem območij</w:t>
      </w:r>
      <w:r w:rsidR="00DF3CDB">
        <w:rPr>
          <w:rFonts w:cs="Arial"/>
          <w:bCs/>
          <w:color w:val="000000"/>
          <w:szCs w:val="20"/>
        </w:rPr>
        <w:t>,</w:t>
      </w:r>
      <w:r w:rsidR="006E155E" w:rsidRPr="00A74B84">
        <w:rPr>
          <w:rFonts w:cs="Arial"/>
          <w:bCs/>
          <w:color w:val="000000"/>
          <w:szCs w:val="20"/>
        </w:rPr>
        <w:t xml:space="preserve"> pomembnih </w:t>
      </w:r>
      <w:r w:rsidR="00DF3CDB">
        <w:rPr>
          <w:rFonts w:cs="Arial"/>
          <w:bCs/>
          <w:color w:val="000000"/>
          <w:szCs w:val="20"/>
        </w:rPr>
        <w:t xml:space="preserve">za </w:t>
      </w:r>
      <w:r w:rsidR="006E155E" w:rsidRPr="00A74B84">
        <w:rPr>
          <w:rFonts w:cs="Arial"/>
          <w:bCs/>
          <w:color w:val="000000"/>
          <w:szCs w:val="20"/>
        </w:rPr>
        <w:t>morsk sesalce</w:t>
      </w:r>
      <w:r w:rsidR="00DF3CDB">
        <w:rPr>
          <w:rFonts w:cs="Arial"/>
          <w:bCs/>
          <w:color w:val="000000"/>
          <w:szCs w:val="20"/>
        </w:rPr>
        <w:t>,</w:t>
      </w:r>
      <w:r w:rsidR="006E155E" w:rsidRPr="00A74B84">
        <w:rPr>
          <w:rFonts w:cs="Arial"/>
          <w:bCs/>
          <w:color w:val="000000"/>
          <w:szCs w:val="20"/>
        </w:rPr>
        <w:t xml:space="preserve"> kamor se uvršča tudi slovensko morje, prispevamo </w:t>
      </w:r>
      <w:r w:rsidR="00DF3CDB">
        <w:rPr>
          <w:rFonts w:cs="Arial"/>
          <w:bCs/>
          <w:color w:val="000000"/>
          <w:szCs w:val="20"/>
        </w:rPr>
        <w:t xml:space="preserve">k </w:t>
      </w:r>
      <w:r w:rsidR="006E155E" w:rsidRPr="00A74B84">
        <w:rPr>
          <w:rFonts w:cs="Arial"/>
          <w:bCs/>
          <w:color w:val="000000"/>
          <w:szCs w:val="20"/>
        </w:rPr>
        <w:t>ohranjanju biotske raznovrstnosti, tudi na ravni makroregije in regije.</w:t>
      </w:r>
    </w:p>
    <w:p w14:paraId="3D264661" w14:textId="719D4C80" w:rsidR="00303F23" w:rsidRPr="00A74B84" w:rsidRDefault="00303F23" w:rsidP="00303F23">
      <w:pPr>
        <w:pBdr>
          <w:top w:val="single" w:sz="4" w:space="1" w:color="auto"/>
          <w:left w:val="single" w:sz="4" w:space="4" w:color="auto"/>
          <w:bottom w:val="single" w:sz="4" w:space="0" w:color="auto"/>
          <w:right w:val="single" w:sz="4" w:space="13" w:color="auto"/>
        </w:pBdr>
        <w:jc w:val="both"/>
        <w:rPr>
          <w:rFonts w:cs="Arial"/>
          <w:bCs/>
          <w:color w:val="000000"/>
          <w:szCs w:val="20"/>
        </w:rPr>
      </w:pPr>
      <w:r w:rsidRPr="00A74B84">
        <w:rPr>
          <w:rFonts w:cs="Arial"/>
          <w:bCs/>
          <w:color w:val="000000"/>
          <w:szCs w:val="20"/>
        </w:rPr>
        <w:t xml:space="preserve">Slovensko morje je del območja, ki je razglašeno kot pomembno območje za morske sesalce. Podatki nakazujejo na možne poškodbe morskih sesalcev (navadne </w:t>
      </w:r>
      <w:r w:rsidR="006A0D09" w:rsidRPr="00A74B84">
        <w:rPr>
          <w:rFonts w:cs="Arial"/>
          <w:bCs/>
          <w:color w:val="000000"/>
          <w:szCs w:val="20"/>
        </w:rPr>
        <w:t>pliskavke</w:t>
      </w:r>
      <w:r w:rsidRPr="00A74B84">
        <w:rPr>
          <w:rFonts w:cs="Arial"/>
          <w:bCs/>
          <w:color w:val="000000"/>
          <w:szCs w:val="20"/>
        </w:rPr>
        <w:t xml:space="preserve">) v primeru srečanj s plovili. Nakazuje se tudi vpliv podvodnega hrupa zaradi pomorskega prometa, vključno z rekreativno plovbo, na vedenje </w:t>
      </w:r>
      <w:r w:rsidR="008B3EE4" w:rsidRPr="00A74B84">
        <w:rPr>
          <w:rFonts w:cs="Arial"/>
          <w:bCs/>
          <w:color w:val="000000"/>
          <w:szCs w:val="20"/>
        </w:rPr>
        <w:t>populacije</w:t>
      </w:r>
      <w:r w:rsidRPr="00A74B84">
        <w:rPr>
          <w:rFonts w:cs="Arial"/>
          <w:bCs/>
          <w:color w:val="000000"/>
          <w:szCs w:val="20"/>
        </w:rPr>
        <w:t xml:space="preserve"> navadne pliskavke. </w:t>
      </w:r>
      <w:r w:rsidR="006E155E" w:rsidRPr="006E155E">
        <w:rPr>
          <w:rFonts w:cs="Arial"/>
          <w:bCs/>
          <w:color w:val="000000"/>
          <w:szCs w:val="20"/>
        </w:rPr>
        <w:t>Izvedlo se bo promocijo Kodeksa ravnanja srečanja z morskimi sesalci z aktivnim ozaveščanjem uporabnikov morja, izdelavo brošur, organizacijo delavnic in promocijske aktivnosti povezane z ukrepanjem v primeru nasedlih oziroma poškodovanih sesalcev. Načrtuje se tudi aktivnosti spremljanja vpliva podvodnega hrupa na morske sesalce. Aktivnost bo prispevala k izvajanju določb Direktive 2008/ES/56 za merili D1C1 in D1C2 saj bodo rezultati aktivnosti prispevali k zmanjševanju pritiska na morske sesalce zaradi neustreznega ravnanja ob srečanju z njimi oziroma ob srečanju s poškodovanimi živalmi, ter zaradi usmerjanja dejavnosti ki imajo negativen vpliv na morske sesalce na območja, kjer naveden konflikt ne bo zaznan.</w:t>
      </w:r>
      <w:r w:rsidR="004005C8">
        <w:rPr>
          <w:rFonts w:cs="Arial"/>
          <w:bCs/>
          <w:color w:val="000000"/>
          <w:szCs w:val="20"/>
        </w:rPr>
        <w:t xml:space="preserve"> Prav tako pa bo prispevala k cilju 16 </w:t>
      </w:r>
      <w:r w:rsidR="004005C8" w:rsidRPr="004005C8">
        <w:rPr>
          <w:rFonts w:cs="Arial"/>
          <w:bCs/>
          <w:color w:val="000000"/>
          <w:szCs w:val="20"/>
        </w:rPr>
        <w:t xml:space="preserve">Strategije za biotsko raznovrstnost 2030: </w:t>
      </w:r>
      <w:r w:rsidR="005A38C3">
        <w:rPr>
          <w:rFonts w:cs="Arial"/>
          <w:bCs/>
          <w:color w:val="000000"/>
          <w:szCs w:val="20"/>
        </w:rPr>
        <w:t>prilov vrst bo odpravljen ali zmanjšan na rven, ki omogoča okrevanje in ohranjanje vrst.</w:t>
      </w:r>
      <w:r w:rsidR="004005C8">
        <w:rPr>
          <w:rFonts w:cs="Arial"/>
          <w:bCs/>
          <w:color w:val="000000"/>
          <w:szCs w:val="20"/>
        </w:rPr>
        <w:t xml:space="preserve"> </w:t>
      </w:r>
    </w:p>
    <w:p w14:paraId="137F4422" w14:textId="4AEA59BF" w:rsidR="002A70E8" w:rsidRPr="002A70E8" w:rsidRDefault="002A70E8" w:rsidP="006A0D09">
      <w:pPr>
        <w:pBdr>
          <w:top w:val="single" w:sz="4" w:space="1" w:color="auto"/>
          <w:left w:val="single" w:sz="4" w:space="4" w:color="auto"/>
          <w:bottom w:val="single" w:sz="4" w:space="0" w:color="auto"/>
          <w:right w:val="single" w:sz="4" w:space="13" w:color="auto"/>
        </w:pBdr>
        <w:jc w:val="both"/>
        <w:rPr>
          <w:rFonts w:cs="Arial"/>
          <w:bCs/>
          <w:color w:val="000000"/>
          <w:szCs w:val="20"/>
        </w:rPr>
      </w:pPr>
    </w:p>
    <w:p w14:paraId="7270941C" w14:textId="3A523278" w:rsidR="00C00AAB" w:rsidRDefault="006A0D09" w:rsidP="00C00AAB">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g</w:t>
      </w:r>
      <w:r w:rsidR="008A5B09">
        <w:rPr>
          <w:rFonts w:cs="Arial"/>
          <w:bCs/>
          <w:color w:val="000000"/>
          <w:szCs w:val="20"/>
        </w:rPr>
        <w:t xml:space="preserve">) </w:t>
      </w:r>
      <w:r>
        <w:rPr>
          <w:rFonts w:cs="Arial"/>
          <w:bCs/>
          <w:color w:val="000000"/>
          <w:szCs w:val="20"/>
        </w:rPr>
        <w:t>Aktivnosti za izboljšanje stanja površinskih voda: z</w:t>
      </w:r>
      <w:r w:rsidR="001750BB">
        <w:rPr>
          <w:rFonts w:cs="Arial"/>
          <w:bCs/>
          <w:color w:val="000000"/>
          <w:szCs w:val="20"/>
        </w:rPr>
        <w:t xml:space="preserve">a izboljšanje </w:t>
      </w:r>
      <w:r w:rsidR="008A5B09" w:rsidRPr="008A5B09">
        <w:rPr>
          <w:rFonts w:cs="Arial"/>
          <w:bCs/>
          <w:color w:val="000000"/>
          <w:szCs w:val="20"/>
        </w:rPr>
        <w:t xml:space="preserve">prehodnosti za vodne organizme in posledično za izboljšanje </w:t>
      </w:r>
      <w:r w:rsidR="001750BB">
        <w:rPr>
          <w:rFonts w:cs="Arial"/>
          <w:bCs/>
          <w:color w:val="000000"/>
          <w:szCs w:val="20"/>
        </w:rPr>
        <w:t xml:space="preserve">biotske raznovrstnosti bomo za izvajanje 11. člena </w:t>
      </w:r>
      <w:r w:rsidR="001750BB" w:rsidRPr="001750BB">
        <w:rPr>
          <w:rFonts w:cs="Arial"/>
          <w:bCs/>
          <w:color w:val="000000"/>
          <w:szCs w:val="20"/>
        </w:rPr>
        <w:t>Direktive 2000/60</w:t>
      </w:r>
      <w:r w:rsidR="001750BB">
        <w:rPr>
          <w:rFonts w:cs="Arial"/>
          <w:bCs/>
          <w:color w:val="000000"/>
          <w:szCs w:val="20"/>
        </w:rPr>
        <w:t xml:space="preserve"> izvedli</w:t>
      </w:r>
      <w:r w:rsidR="008A5B09">
        <w:rPr>
          <w:rFonts w:cs="Arial"/>
          <w:bCs/>
          <w:color w:val="000000"/>
          <w:szCs w:val="20"/>
        </w:rPr>
        <w:t xml:space="preserve"> aktivnosti, vezane na cilj</w:t>
      </w:r>
      <w:r w:rsidR="008A5B09" w:rsidRPr="008A5B09">
        <w:rPr>
          <w:rFonts w:cs="Arial"/>
          <w:bCs/>
          <w:color w:val="000000"/>
          <w:szCs w:val="20"/>
        </w:rPr>
        <w:t xml:space="preserve"> doseganje dobrega ekološkega stanja vodnih teles površinskih voda glede na biološki element ribe. </w:t>
      </w:r>
      <w:r w:rsidR="000F2095">
        <w:rPr>
          <w:rFonts w:cs="Arial"/>
          <w:bCs/>
          <w:color w:val="000000"/>
          <w:szCs w:val="20"/>
        </w:rPr>
        <w:t>Slednji</w:t>
      </w:r>
      <w:r w:rsidR="000F2095" w:rsidRPr="008A5B09">
        <w:rPr>
          <w:rFonts w:cs="Arial"/>
          <w:bCs/>
          <w:color w:val="000000"/>
          <w:szCs w:val="20"/>
        </w:rPr>
        <w:t xml:space="preserve"> </w:t>
      </w:r>
      <w:r w:rsidR="008A5B09" w:rsidRPr="008A5B09">
        <w:rPr>
          <w:rFonts w:cs="Arial"/>
          <w:bCs/>
          <w:color w:val="000000"/>
          <w:szCs w:val="20"/>
        </w:rPr>
        <w:t>odraža splošn</w:t>
      </w:r>
      <w:r w:rsidR="000F2095">
        <w:rPr>
          <w:rFonts w:cs="Arial"/>
          <w:bCs/>
          <w:color w:val="000000"/>
          <w:szCs w:val="20"/>
        </w:rPr>
        <w:t>o</w:t>
      </w:r>
      <w:r w:rsidR="008A5B09" w:rsidRPr="008A5B09">
        <w:rPr>
          <w:rFonts w:cs="Arial"/>
          <w:bCs/>
          <w:color w:val="000000"/>
          <w:szCs w:val="20"/>
        </w:rPr>
        <w:t xml:space="preserve"> </w:t>
      </w:r>
      <w:r w:rsidR="008A5B09">
        <w:rPr>
          <w:rFonts w:cs="Arial"/>
          <w:bCs/>
          <w:color w:val="000000"/>
          <w:szCs w:val="20"/>
        </w:rPr>
        <w:t xml:space="preserve">degradiranost vodnega prostora. </w:t>
      </w:r>
      <w:r w:rsidR="000F2095">
        <w:rPr>
          <w:rFonts w:cs="Arial"/>
          <w:bCs/>
          <w:color w:val="000000"/>
          <w:szCs w:val="20"/>
        </w:rPr>
        <w:t xml:space="preserve">Ena izmed glavnih pomembnih </w:t>
      </w:r>
      <w:r w:rsidR="008A5B09" w:rsidRPr="008A5B09">
        <w:rPr>
          <w:rFonts w:cs="Arial"/>
          <w:bCs/>
          <w:color w:val="000000"/>
          <w:szCs w:val="20"/>
        </w:rPr>
        <w:t>obremenitev, ki povzroča</w:t>
      </w:r>
      <w:r w:rsidR="000F2095">
        <w:rPr>
          <w:rFonts w:cs="Arial"/>
          <w:bCs/>
          <w:color w:val="000000"/>
          <w:szCs w:val="20"/>
        </w:rPr>
        <w:t>jo</w:t>
      </w:r>
      <w:r w:rsidR="008A5B09" w:rsidRPr="008A5B09">
        <w:rPr>
          <w:rFonts w:cs="Arial"/>
          <w:bCs/>
          <w:color w:val="000000"/>
          <w:szCs w:val="20"/>
        </w:rPr>
        <w:t xml:space="preserve"> splošno degradiranost</w:t>
      </w:r>
      <w:r w:rsidR="008A5B09">
        <w:rPr>
          <w:rFonts w:cs="Arial"/>
          <w:bCs/>
          <w:color w:val="000000"/>
          <w:szCs w:val="20"/>
        </w:rPr>
        <w:t>,</w:t>
      </w:r>
      <w:r w:rsidR="008A5B09" w:rsidRPr="008A5B09">
        <w:rPr>
          <w:rFonts w:cs="Arial"/>
          <w:bCs/>
          <w:color w:val="000000"/>
          <w:szCs w:val="20"/>
        </w:rPr>
        <w:t xml:space="preserve"> je prekinitev zveznosti toka v obliki prečnih objektov, ki niso prehodni za </w:t>
      </w:r>
      <w:r w:rsidR="000F2095">
        <w:rPr>
          <w:rFonts w:cs="Arial"/>
          <w:bCs/>
          <w:color w:val="000000"/>
          <w:szCs w:val="20"/>
        </w:rPr>
        <w:t>ribe</w:t>
      </w:r>
      <w:r w:rsidR="008A5B09" w:rsidRPr="008A5B09">
        <w:rPr>
          <w:rFonts w:cs="Arial"/>
          <w:bCs/>
          <w:color w:val="000000"/>
          <w:szCs w:val="20"/>
        </w:rPr>
        <w:t xml:space="preserve">. Ker </w:t>
      </w:r>
      <w:r w:rsidR="008A5B09" w:rsidRPr="008A5B09">
        <w:rPr>
          <w:rFonts w:cs="Arial"/>
          <w:bCs/>
          <w:color w:val="000000"/>
          <w:szCs w:val="20"/>
        </w:rPr>
        <w:lastRenderedPageBreak/>
        <w:t>potrebujemo več znanja za sistematično vzpostavljanje prehodnosti</w:t>
      </w:r>
      <w:r w:rsidR="008A5B09">
        <w:rPr>
          <w:rFonts w:cs="Arial"/>
          <w:bCs/>
          <w:color w:val="000000"/>
          <w:szCs w:val="20"/>
        </w:rPr>
        <w:t>,</w:t>
      </w:r>
      <w:r w:rsidR="008A5B09" w:rsidRPr="008A5B09">
        <w:rPr>
          <w:rFonts w:cs="Arial"/>
          <w:bCs/>
          <w:color w:val="000000"/>
          <w:szCs w:val="20"/>
        </w:rPr>
        <w:t xml:space="preserve"> bodo v okviru te aktivnosti v prvi vrsti določeni kriteriji za prioritetno obravnavo prečnih objektov</w:t>
      </w:r>
      <w:r w:rsidR="000F2095">
        <w:rPr>
          <w:rFonts w:cs="Arial"/>
          <w:bCs/>
          <w:color w:val="000000"/>
          <w:szCs w:val="20"/>
        </w:rPr>
        <w:t>,</w:t>
      </w:r>
      <w:r w:rsidR="000F2095" w:rsidRPr="000F2095">
        <w:t xml:space="preserve"> </w:t>
      </w:r>
      <w:r w:rsidR="000F2095" w:rsidRPr="000F2095">
        <w:rPr>
          <w:rFonts w:cs="Arial"/>
          <w:bCs/>
          <w:color w:val="000000"/>
          <w:szCs w:val="20"/>
        </w:rPr>
        <w:t>ki bodo nato aplicirani na izbranem območju. Podatki o prečnih objektih na vodotokih se v sklopu popisa vodnih objektov, naprav in ureditev stalno dopolnjujejo in predstavljajo izhodišče za izvedbo navedene aktivnosti</w:t>
      </w:r>
      <w:r w:rsidR="008A5B09" w:rsidRPr="000F2095">
        <w:rPr>
          <w:rFonts w:cs="Arial"/>
          <w:bCs/>
          <w:color w:val="000000"/>
          <w:szCs w:val="20"/>
        </w:rPr>
        <w:t>.</w:t>
      </w:r>
      <w:r w:rsidR="008A5B09" w:rsidRPr="008A5B09">
        <w:rPr>
          <w:rFonts w:cs="Arial"/>
          <w:bCs/>
          <w:color w:val="000000"/>
          <w:szCs w:val="20"/>
        </w:rPr>
        <w:t xml:space="preserve"> Na podlagi </w:t>
      </w:r>
      <w:r w:rsidR="000F2095">
        <w:rPr>
          <w:rFonts w:cs="Arial"/>
          <w:bCs/>
          <w:color w:val="000000"/>
          <w:szCs w:val="20"/>
        </w:rPr>
        <w:t xml:space="preserve">rezultatov prioritizacije prečnih objektov </w:t>
      </w:r>
      <w:r w:rsidR="008A5B09" w:rsidRPr="008A5B09">
        <w:rPr>
          <w:rFonts w:cs="Arial"/>
          <w:bCs/>
          <w:color w:val="000000"/>
          <w:szCs w:val="20"/>
        </w:rPr>
        <w:t xml:space="preserve">bo na izbranem prečnem objektu </w:t>
      </w:r>
      <w:r w:rsidR="000F2095">
        <w:rPr>
          <w:rFonts w:cs="Arial"/>
          <w:bCs/>
          <w:color w:val="000000"/>
          <w:szCs w:val="20"/>
        </w:rPr>
        <w:t>znotraj</w:t>
      </w:r>
      <w:r w:rsidR="008A5B09" w:rsidRPr="008A5B09">
        <w:rPr>
          <w:rFonts w:cs="Arial"/>
          <w:bCs/>
          <w:color w:val="000000"/>
          <w:szCs w:val="20"/>
        </w:rPr>
        <w:t xml:space="preserve"> območja pripravljena projektna dokumentacije za izvedbo prehoda za ribe</w:t>
      </w:r>
      <w:r w:rsidR="000F2095">
        <w:rPr>
          <w:rFonts w:cs="Arial"/>
          <w:bCs/>
          <w:color w:val="000000"/>
          <w:szCs w:val="20"/>
        </w:rPr>
        <w:t xml:space="preserve">, </w:t>
      </w:r>
      <w:r w:rsidR="000F2095" w:rsidRPr="000F2095">
        <w:rPr>
          <w:rFonts w:cs="Arial"/>
          <w:bCs/>
          <w:color w:val="000000"/>
          <w:szCs w:val="20"/>
        </w:rPr>
        <w:t>prehod pa bo v okviru aktivnosti tudi izveden. Navedena aktivnost naslavlja ukrep iz Programa ukrepov upravljanja voda »HM7b Določitev prioritet za vzpostavitev prehodnosti za vodne organizme na obstoječih prečnih objektih«, hkrati pa t</w:t>
      </w:r>
      <w:r w:rsidR="008A5B09" w:rsidRPr="008A5B09">
        <w:rPr>
          <w:rFonts w:cs="Arial"/>
          <w:bCs/>
          <w:color w:val="000000"/>
          <w:szCs w:val="20"/>
        </w:rPr>
        <w:t>e aktivnosti naslavljajo cilj »obnoviti vsaj 25.00</w:t>
      </w:r>
      <w:r w:rsidR="003A120A">
        <w:rPr>
          <w:rFonts w:cs="Arial"/>
          <w:bCs/>
          <w:color w:val="000000"/>
          <w:szCs w:val="20"/>
        </w:rPr>
        <w:t xml:space="preserve">0 km prosto tekočih rek«, ki je </w:t>
      </w:r>
      <w:r w:rsidR="008A5B09" w:rsidRPr="008A5B09">
        <w:rPr>
          <w:rFonts w:cs="Arial"/>
          <w:bCs/>
          <w:color w:val="000000"/>
          <w:szCs w:val="20"/>
        </w:rPr>
        <w:t>določen s Strategijo EU za biotsko raznovrstnost do leta 2030 in predstavlja ključen del evropskega zelenega dogovora. Z obnovo prehodnosti prosto tekočih rek se poleg doseganja dobrega ekološkega stanja voda zagotavlja tudi varovanje in obnavljanje biotske raznovrstnosti.</w:t>
      </w:r>
      <w:r>
        <w:rPr>
          <w:rFonts w:cs="Arial"/>
          <w:bCs/>
          <w:color w:val="000000"/>
          <w:szCs w:val="20"/>
        </w:rPr>
        <w:t xml:space="preserve"> </w:t>
      </w:r>
      <w:r w:rsidR="00D841E5">
        <w:rPr>
          <w:rFonts w:cs="Arial"/>
          <w:bCs/>
          <w:color w:val="000000"/>
          <w:szCs w:val="20"/>
        </w:rPr>
        <w:t>Podatki, z</w:t>
      </w:r>
      <w:r w:rsidR="00D841E5" w:rsidRPr="00D841E5">
        <w:rPr>
          <w:rFonts w:cs="Arial"/>
          <w:bCs/>
          <w:color w:val="000000"/>
          <w:szCs w:val="20"/>
        </w:rPr>
        <w:t xml:space="preserve">brani </w:t>
      </w:r>
      <w:r w:rsidR="00D841E5">
        <w:rPr>
          <w:rFonts w:cs="Arial"/>
          <w:bCs/>
          <w:color w:val="000000"/>
          <w:szCs w:val="20"/>
        </w:rPr>
        <w:t>v okviru te</w:t>
      </w:r>
      <w:r w:rsidR="003A120A">
        <w:rPr>
          <w:rFonts w:cs="Arial"/>
          <w:bCs/>
          <w:color w:val="000000"/>
          <w:szCs w:val="20"/>
        </w:rPr>
        <w:t>h</w:t>
      </w:r>
      <w:r w:rsidR="00D841E5">
        <w:rPr>
          <w:rFonts w:cs="Arial"/>
          <w:bCs/>
          <w:color w:val="000000"/>
          <w:szCs w:val="20"/>
        </w:rPr>
        <w:t xml:space="preserve"> aktivnosti,</w:t>
      </w:r>
      <w:r w:rsidR="003A120A">
        <w:rPr>
          <w:rFonts w:cs="Arial"/>
          <w:bCs/>
          <w:color w:val="000000"/>
          <w:szCs w:val="20"/>
        </w:rPr>
        <w:t xml:space="preserve"> bodo</w:t>
      </w:r>
      <w:r w:rsidR="00D841E5">
        <w:rPr>
          <w:rFonts w:cs="Arial"/>
          <w:bCs/>
          <w:color w:val="000000"/>
          <w:szCs w:val="20"/>
        </w:rPr>
        <w:t xml:space="preserve"> </w:t>
      </w:r>
      <w:r w:rsidR="00D841E5" w:rsidRPr="00D841E5">
        <w:rPr>
          <w:rFonts w:cs="Arial"/>
          <w:bCs/>
          <w:color w:val="000000"/>
          <w:szCs w:val="20"/>
        </w:rPr>
        <w:t>javno dostopni po standardih FA</w:t>
      </w:r>
      <w:r w:rsidR="00D841E5">
        <w:rPr>
          <w:rFonts w:cs="Arial"/>
          <w:bCs/>
          <w:color w:val="000000"/>
          <w:szCs w:val="20"/>
        </w:rPr>
        <w:t>IR</w:t>
      </w:r>
      <w:r w:rsidR="00D841E5" w:rsidRPr="00D841E5">
        <w:rPr>
          <w:rFonts w:cs="Arial"/>
          <w:bCs/>
          <w:color w:val="000000"/>
          <w:szCs w:val="20"/>
        </w:rPr>
        <w:t>.</w:t>
      </w:r>
    </w:p>
    <w:p w14:paraId="001BB87B" w14:textId="5EBFEF1B" w:rsidR="00AC4D46" w:rsidRDefault="00C00AAB" w:rsidP="00C00AAB">
      <w:pPr>
        <w:pBdr>
          <w:top w:val="single" w:sz="4" w:space="1" w:color="auto"/>
          <w:left w:val="single" w:sz="4" w:space="4" w:color="auto"/>
          <w:bottom w:val="single" w:sz="4" w:space="0" w:color="auto"/>
          <w:right w:val="single" w:sz="4" w:space="13" w:color="auto"/>
        </w:pBdr>
        <w:jc w:val="both"/>
        <w:rPr>
          <w:rFonts w:cs="Arial"/>
          <w:b/>
          <w:bCs/>
          <w:color w:val="000000"/>
          <w:szCs w:val="20"/>
        </w:rPr>
      </w:pPr>
      <w:r>
        <w:rPr>
          <w:rFonts w:cs="Arial"/>
          <w:b/>
          <w:bCs/>
          <w:color w:val="000000"/>
          <w:szCs w:val="20"/>
        </w:rPr>
        <w:t xml:space="preserve">8. </w:t>
      </w:r>
      <w:r w:rsidRPr="00C00AAB">
        <w:rPr>
          <w:rFonts w:cs="Arial"/>
          <w:b/>
          <w:bCs/>
          <w:color w:val="000000"/>
          <w:szCs w:val="20"/>
        </w:rPr>
        <w:t>Upravljanje</w:t>
      </w:r>
      <w:r w:rsidR="00955D15">
        <w:rPr>
          <w:rFonts w:cs="Arial"/>
          <w:b/>
          <w:bCs/>
          <w:color w:val="000000"/>
          <w:szCs w:val="20"/>
        </w:rPr>
        <w:t>, obnavljanje in spremljanje</w:t>
      </w:r>
      <w:r w:rsidRPr="00C00AAB">
        <w:rPr>
          <w:rFonts w:cs="Arial"/>
          <w:b/>
          <w:bCs/>
          <w:color w:val="000000"/>
          <w:szCs w:val="20"/>
        </w:rPr>
        <w:t xml:space="preserve"> območ</w:t>
      </w:r>
      <w:r w:rsidR="00955D15">
        <w:rPr>
          <w:rFonts w:cs="Arial"/>
          <w:b/>
          <w:bCs/>
          <w:color w:val="000000"/>
          <w:szCs w:val="20"/>
        </w:rPr>
        <w:t>ij</w:t>
      </w:r>
      <w:r w:rsidRPr="00C00AAB">
        <w:rPr>
          <w:rFonts w:cs="Arial"/>
          <w:b/>
          <w:bCs/>
          <w:color w:val="000000"/>
          <w:szCs w:val="20"/>
        </w:rPr>
        <w:t xml:space="preserve"> NATURA 2000 in zavarovani</w:t>
      </w:r>
      <w:r w:rsidR="00955D15">
        <w:rPr>
          <w:rFonts w:cs="Arial"/>
          <w:b/>
          <w:bCs/>
          <w:color w:val="000000"/>
          <w:szCs w:val="20"/>
        </w:rPr>
        <w:t>h</w:t>
      </w:r>
      <w:r w:rsidRPr="00C00AAB">
        <w:rPr>
          <w:rFonts w:cs="Arial"/>
          <w:b/>
          <w:bCs/>
          <w:color w:val="000000"/>
          <w:szCs w:val="20"/>
        </w:rPr>
        <w:t xml:space="preserve"> območ</w:t>
      </w:r>
      <w:r w:rsidR="00955D15">
        <w:rPr>
          <w:rFonts w:cs="Arial"/>
          <w:b/>
          <w:bCs/>
          <w:color w:val="000000"/>
          <w:szCs w:val="20"/>
        </w:rPr>
        <w:t>ij</w:t>
      </w:r>
      <w:r w:rsidRPr="00C00AAB">
        <w:rPr>
          <w:rFonts w:cs="Arial"/>
          <w:b/>
          <w:bCs/>
          <w:color w:val="000000"/>
          <w:szCs w:val="20"/>
        </w:rPr>
        <w:t xml:space="preserve"> ter izvajanje prednostnega okvira ukrepanja</w:t>
      </w:r>
    </w:p>
    <w:p w14:paraId="57C74BEA" w14:textId="629F6EB6" w:rsidR="003205B0" w:rsidRDefault="00982617" w:rsidP="003205B0">
      <w:pPr>
        <w:pBdr>
          <w:top w:val="single" w:sz="4" w:space="1" w:color="auto"/>
          <w:left w:val="single" w:sz="4" w:space="4" w:color="auto"/>
          <w:bottom w:val="single" w:sz="4" w:space="0" w:color="auto"/>
          <w:right w:val="single" w:sz="4" w:space="13" w:color="auto"/>
        </w:pBdr>
        <w:jc w:val="both"/>
        <w:rPr>
          <w:rFonts w:cs="Arial"/>
          <w:bCs/>
          <w:color w:val="000000"/>
          <w:szCs w:val="20"/>
        </w:rPr>
      </w:pPr>
      <w:r w:rsidRPr="008E6BB7">
        <w:rPr>
          <w:rFonts w:cs="Arial"/>
          <w:bCs/>
          <w:color w:val="000000"/>
          <w:szCs w:val="20"/>
        </w:rPr>
        <w:t xml:space="preserve">V </w:t>
      </w:r>
      <w:r w:rsidR="006A0D09" w:rsidRPr="008E6BB7">
        <w:rPr>
          <w:rFonts w:cs="Arial"/>
          <w:bCs/>
          <w:color w:val="000000"/>
          <w:szCs w:val="20"/>
        </w:rPr>
        <w:t>okviru</w:t>
      </w:r>
      <w:r w:rsidRPr="008E6BB7">
        <w:rPr>
          <w:rFonts w:cs="Arial"/>
          <w:bCs/>
          <w:color w:val="000000"/>
          <w:szCs w:val="20"/>
        </w:rPr>
        <w:t xml:space="preserve"> te aktivnosti se bodo izvajali naslednji tipi aktivnosti: </w:t>
      </w:r>
    </w:p>
    <w:p w14:paraId="196716DC" w14:textId="4B33AD00" w:rsidR="00955D15" w:rsidRPr="00955D15" w:rsidRDefault="00955D15" w:rsidP="00955D15">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 xml:space="preserve">a) </w:t>
      </w:r>
      <w:r w:rsidRPr="00955D15">
        <w:rPr>
          <w:rFonts w:cs="Arial"/>
          <w:bCs/>
          <w:color w:val="000000"/>
          <w:szCs w:val="20"/>
        </w:rPr>
        <w:t>) Aktivnosti za ohranjanje varovanih območij, vključno z območji Natura 2000, ter za obnovo zaščitenih območij s postavitvijo in vzdrževanjem fizičnih označitev morskih zavarovanih območij ter nadzorom v naravi, z namenom preprečevanja poškodb morskega dna in občutljivih habitatov. Aktivnost se navezuje na deskriptorje kakovosti biotska raznovrstnost (D1) in neoporečnost morskega dna (D6) v okviru MSFD. Ta aktivnost na področju EU morij in oceanov naslavlja prioriteto varovanje naše biotske raznovrstnosti in ekosistemov v okviru Zelenega dogovora ter doseganju ciljev strategije EU za biotsko raznovrstnost do leta 2030, z izboljšanim varovanjem in upravljanjem prispevamo k doseganju zavez Strategije EU za biotsko raznovrstnost do 2030 kot je Učinkovito upravljanje vseh zavarovanih območij, opredelitev jasnih ohranitvenih ciljev in ukrepov ter njihovo ustrezno spremljanje.</w:t>
      </w:r>
    </w:p>
    <w:p w14:paraId="25B06850" w14:textId="42CB6A2C" w:rsidR="003205B0" w:rsidRDefault="00955D15" w:rsidP="003205B0">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b</w:t>
      </w:r>
      <w:r w:rsidR="00982617" w:rsidRPr="008E6BB7">
        <w:rPr>
          <w:rFonts w:cs="Arial"/>
          <w:bCs/>
          <w:color w:val="000000"/>
          <w:szCs w:val="20"/>
        </w:rPr>
        <w:t>) Aktivnost za</w:t>
      </w:r>
      <w:r w:rsidR="003205B0" w:rsidRPr="00F0579B">
        <w:rPr>
          <w:rFonts w:cs="Arial"/>
          <w:bCs/>
          <w:color w:val="000000"/>
          <w:szCs w:val="20"/>
        </w:rPr>
        <w:t xml:space="preserve"> obnov</w:t>
      </w:r>
      <w:r w:rsidR="00982617" w:rsidRPr="008E6BB7">
        <w:rPr>
          <w:rFonts w:cs="Arial"/>
          <w:bCs/>
          <w:color w:val="000000"/>
          <w:szCs w:val="20"/>
        </w:rPr>
        <w:t>o</w:t>
      </w:r>
      <w:r w:rsidR="003205B0" w:rsidRPr="00F0579B">
        <w:rPr>
          <w:rFonts w:cs="Arial"/>
          <w:bCs/>
          <w:color w:val="000000"/>
          <w:szCs w:val="20"/>
        </w:rPr>
        <w:t xml:space="preserve"> vrst in habitatnih tipov na obstoječih območjih Natura 2000 in </w:t>
      </w:r>
      <w:r w:rsidR="00982617" w:rsidRPr="008E6BB7">
        <w:rPr>
          <w:rFonts w:cs="Arial"/>
          <w:bCs/>
          <w:color w:val="000000"/>
          <w:szCs w:val="20"/>
        </w:rPr>
        <w:t xml:space="preserve">za </w:t>
      </w:r>
      <w:r w:rsidR="003205B0" w:rsidRPr="00F0579B">
        <w:rPr>
          <w:rFonts w:cs="Arial"/>
          <w:bCs/>
          <w:color w:val="000000"/>
          <w:szCs w:val="20"/>
        </w:rPr>
        <w:t>druge operacije, ki bodo izhajale iz potreb, identificiranih v skladu s Programom upravljanja območij Natura 200</w:t>
      </w:r>
      <w:r w:rsidR="00982617" w:rsidRPr="008E6BB7">
        <w:rPr>
          <w:rFonts w:cs="Arial"/>
          <w:bCs/>
          <w:color w:val="000000"/>
          <w:szCs w:val="20"/>
        </w:rPr>
        <w:t xml:space="preserve"> (PUN).</w:t>
      </w:r>
      <w:r w:rsidR="00982617" w:rsidRPr="00F0579B">
        <w:t xml:space="preserve"> </w:t>
      </w:r>
      <w:r w:rsidR="00982617" w:rsidRPr="001C6CA0">
        <w:rPr>
          <w:rFonts w:cs="Arial"/>
          <w:bCs/>
          <w:color w:val="000000"/>
          <w:szCs w:val="20"/>
        </w:rPr>
        <w:t>Ta tip aktivnosti bo prispeval k pridobitvi informacij glede potreb in možnosti za izboljšanje stanja vrst in habitatnih tipov na obstoječih o</w:t>
      </w:r>
      <w:r w:rsidR="00982617" w:rsidRPr="00F0579B">
        <w:rPr>
          <w:rFonts w:cs="Arial"/>
          <w:bCs/>
          <w:color w:val="000000"/>
          <w:szCs w:val="20"/>
        </w:rPr>
        <w:t xml:space="preserve">bmočjih Natura 2000. V okviru identificiranih potreb, ki bodo v skladu s PUN se bo izvedlo aktivnosti za ohranitev ali izboljšanje stanja morskih vrst in habitatnih tipov </w:t>
      </w:r>
      <w:r w:rsidR="00817570">
        <w:rPr>
          <w:rFonts w:cs="Arial"/>
          <w:bCs/>
          <w:color w:val="000000"/>
          <w:szCs w:val="20"/>
        </w:rPr>
        <w:t>3333333</w:t>
      </w:r>
      <w:r w:rsidR="00982617" w:rsidRPr="00F0579B">
        <w:rPr>
          <w:rFonts w:cs="Arial"/>
          <w:bCs/>
          <w:color w:val="000000"/>
          <w:szCs w:val="20"/>
        </w:rPr>
        <w:t xml:space="preserve">Natura 2000. </w:t>
      </w:r>
      <w:r w:rsidR="00982617" w:rsidRPr="00982617">
        <w:rPr>
          <w:rFonts w:cs="Arial"/>
          <w:bCs/>
          <w:color w:val="000000"/>
          <w:szCs w:val="20"/>
        </w:rPr>
        <w:t>Aktivnost se navezuje na deskriptorje kakovosti biotska raznovrstnost (D1) in neoporečnost morskega dna (D6). Ta aktivnost naslavlja tudi ohranjanje oz izboljšanje stanja bentoških habitatnih tipov ter izboljšanje stanja omrežja Natura 2000. Aktivnost bo prispevala tudi k doseganju zavez iz strategije EU za biotsko raznovrstnost do leta 2030 v zvezi z obnovo ekosistemov na morju</w:t>
      </w:r>
      <w:r w:rsidR="005A38C3">
        <w:rPr>
          <w:rFonts w:cs="Arial"/>
          <w:bCs/>
          <w:color w:val="000000"/>
          <w:szCs w:val="20"/>
        </w:rPr>
        <w:t xml:space="preserve">, na primer </w:t>
      </w:r>
      <w:r w:rsidR="005A38C3" w:rsidRPr="005A38C3">
        <w:rPr>
          <w:rFonts w:cs="Arial"/>
          <w:bCs/>
          <w:color w:val="000000"/>
          <w:szCs w:val="20"/>
        </w:rPr>
        <w:t>k cilju 15: Znatno se bodo zmanjšali negativni vplivi na občutljive vrste in habitate, vključno z morskim dnom, zaradi ribolova in ekstrakcije, da se zagotovi dobro okoljsko stanje</w:t>
      </w:r>
      <w:r w:rsidR="00982617" w:rsidRPr="00982617">
        <w:rPr>
          <w:rFonts w:cs="Arial"/>
          <w:bCs/>
          <w:color w:val="000000"/>
          <w:szCs w:val="20"/>
        </w:rPr>
        <w:t>.</w:t>
      </w:r>
    </w:p>
    <w:p w14:paraId="0DFB335D" w14:textId="77777777" w:rsidR="00982617" w:rsidRPr="00982617" w:rsidRDefault="00982617" w:rsidP="003205B0">
      <w:pPr>
        <w:pBdr>
          <w:top w:val="single" w:sz="4" w:space="1" w:color="auto"/>
          <w:left w:val="single" w:sz="4" w:space="4" w:color="auto"/>
          <w:bottom w:val="single" w:sz="4" w:space="0" w:color="auto"/>
          <w:right w:val="single" w:sz="4" w:space="13" w:color="auto"/>
        </w:pBdr>
        <w:jc w:val="both"/>
        <w:rPr>
          <w:rFonts w:cs="Arial"/>
          <w:bCs/>
          <w:color w:val="000000"/>
          <w:szCs w:val="20"/>
        </w:rPr>
      </w:pPr>
    </w:p>
    <w:p w14:paraId="12E3BAA0" w14:textId="24D4C9E2" w:rsidR="009260EC" w:rsidRDefault="006A0D09" w:rsidP="00AC4D46">
      <w:pPr>
        <w:pBdr>
          <w:top w:val="single" w:sz="4" w:space="1" w:color="auto"/>
          <w:left w:val="single" w:sz="4" w:space="4" w:color="auto"/>
          <w:bottom w:val="single" w:sz="4" w:space="0" w:color="auto"/>
          <w:right w:val="single" w:sz="4" w:space="13" w:color="auto"/>
        </w:pBdr>
        <w:jc w:val="both"/>
        <w:rPr>
          <w:rFonts w:cs="Arial"/>
          <w:bCs/>
          <w:color w:val="000000"/>
          <w:szCs w:val="20"/>
        </w:rPr>
      </w:pPr>
      <w:r>
        <w:rPr>
          <w:rFonts w:cs="Arial"/>
          <w:bCs/>
          <w:color w:val="000000"/>
          <w:szCs w:val="20"/>
        </w:rPr>
        <w:t>b</w:t>
      </w:r>
      <w:r w:rsidR="00982617" w:rsidRPr="008E6BB7">
        <w:rPr>
          <w:rFonts w:cs="Arial"/>
          <w:bCs/>
          <w:color w:val="000000"/>
          <w:szCs w:val="20"/>
        </w:rPr>
        <w:t>) –</w:t>
      </w:r>
      <w:r w:rsidR="003205B0" w:rsidRPr="00982617">
        <w:rPr>
          <w:rFonts w:cs="Arial"/>
          <w:bCs/>
          <w:color w:val="000000"/>
          <w:szCs w:val="20"/>
        </w:rPr>
        <w:t xml:space="preserve"> </w:t>
      </w:r>
      <w:r w:rsidR="00982617" w:rsidRPr="008E6BB7">
        <w:rPr>
          <w:rFonts w:cs="Arial"/>
          <w:bCs/>
          <w:color w:val="000000"/>
          <w:szCs w:val="20"/>
        </w:rPr>
        <w:t xml:space="preserve">Aktivnost </w:t>
      </w:r>
      <w:r w:rsidR="003205B0" w:rsidRPr="00982617">
        <w:rPr>
          <w:rFonts w:cs="Arial"/>
          <w:bCs/>
          <w:color w:val="000000"/>
          <w:szCs w:val="20"/>
        </w:rPr>
        <w:t>za razširitev in razglasitev novih zavarovanih območij.</w:t>
      </w:r>
      <w:r w:rsidR="00982617">
        <w:rPr>
          <w:rFonts w:cs="Arial"/>
          <w:bCs/>
          <w:color w:val="000000"/>
          <w:szCs w:val="20"/>
        </w:rPr>
        <w:t xml:space="preserve"> </w:t>
      </w:r>
      <w:r w:rsidR="00982617" w:rsidRPr="00982617">
        <w:rPr>
          <w:rFonts w:cs="Arial"/>
          <w:bCs/>
          <w:color w:val="000000"/>
          <w:szCs w:val="20"/>
        </w:rPr>
        <w:t xml:space="preserve">Ta tip aktivnosti bo prispeval k izvedbi postopkov za </w:t>
      </w:r>
      <w:r w:rsidR="00955D15">
        <w:rPr>
          <w:rFonts w:cs="Arial"/>
          <w:bCs/>
          <w:color w:val="000000"/>
          <w:szCs w:val="20"/>
        </w:rPr>
        <w:t xml:space="preserve">opredelitev novih in </w:t>
      </w:r>
      <w:r w:rsidR="00982617" w:rsidRPr="00982617">
        <w:rPr>
          <w:rFonts w:cs="Arial"/>
          <w:bCs/>
          <w:color w:val="000000"/>
          <w:szCs w:val="20"/>
        </w:rPr>
        <w:t xml:space="preserve">razširitev </w:t>
      </w:r>
      <w:r w:rsidR="00955D15">
        <w:rPr>
          <w:rFonts w:cs="Arial"/>
          <w:bCs/>
          <w:color w:val="000000"/>
          <w:szCs w:val="20"/>
        </w:rPr>
        <w:t xml:space="preserve">obstoječih </w:t>
      </w:r>
      <w:r w:rsidR="00982617" w:rsidRPr="00982617">
        <w:rPr>
          <w:rFonts w:cs="Arial"/>
          <w:bCs/>
          <w:color w:val="000000"/>
          <w:szCs w:val="20"/>
        </w:rPr>
        <w:t xml:space="preserve">morskih zavarovanih območij na območju Slovenije. Izvedba študij in postopkov za širjenje morskih zavarovanih območij bo potekala v skladu s predvidenimi ukrepi opredeljenimi v Pomorskem prostorskem planu, pripravljenem skladno z Direktivo 2014/89/EU o vzpostavitvi okvira za pomorsko prostorsko planiranje in v skladu z Načrtom upravljanja morskega okolja, pripravljenega v okviru MSFD. Aktivnost se navezuje na deskriptorje kakovosti biotska raznovrstnost (D1) in neoporečnost morskega dna (D6) v okviru MSFD. Ta aktivnost na področju EU morij in oceanov naslavlja prioriteto varovanje naše biotske raznovrstnosti in ekosistemov v okviru Zelenega dogovora ter doseganju ciljev strategije EU za biotsko raznovrstnost do leta 2030, saj s širitvijo zavarovanih območij na morju in posledično njihovemu upravljanju, prispevamo k izboljšanju stanja bentoških habitatov ter morski vrst ter ob upoštevanju nacionalnih okoliščin k prispevku k zavezi za </w:t>
      </w:r>
      <w:r w:rsidR="00982617" w:rsidRPr="00982617">
        <w:rPr>
          <w:rFonts w:cs="Arial"/>
          <w:bCs/>
          <w:color w:val="000000"/>
          <w:szCs w:val="20"/>
        </w:rPr>
        <w:lastRenderedPageBreak/>
        <w:t>doseganje 30 % zavarovanih območij na ravni EU.</w:t>
      </w:r>
      <w:r w:rsidR="005A38C3">
        <w:rPr>
          <w:rFonts w:cs="Arial"/>
          <w:bCs/>
          <w:color w:val="000000"/>
          <w:szCs w:val="20"/>
        </w:rPr>
        <w:t xml:space="preserve"> Aktivnost bo prispevala tudi k </w:t>
      </w:r>
      <w:r w:rsidR="005A38C3" w:rsidRPr="005A38C3">
        <w:rPr>
          <w:rFonts w:cs="Arial"/>
          <w:bCs/>
          <w:color w:val="000000"/>
          <w:szCs w:val="20"/>
        </w:rPr>
        <w:t>cilju 15 Strategije za biotsko raznovrstnost 2030: Znatno se bodo zmanjšali negativni vplivi na občutljive vrste in habitate, vključno z morskim dnom, zaradi ribolova in ekstrakcije, da se zagotovi dobro okoljsko stanje</w:t>
      </w:r>
      <w:r w:rsidR="005A38C3">
        <w:rPr>
          <w:rFonts w:cs="Arial"/>
          <w:bCs/>
          <w:color w:val="000000"/>
          <w:szCs w:val="20"/>
        </w:rPr>
        <w:t xml:space="preserve">, prav tako pa k cilju 16: </w:t>
      </w:r>
      <w:r w:rsidR="005A38C3" w:rsidRPr="005A38C3">
        <w:rPr>
          <w:rFonts w:cs="Arial"/>
          <w:bCs/>
          <w:color w:val="000000"/>
          <w:szCs w:val="20"/>
        </w:rPr>
        <w:t>Prilov vrst se odpravi ali zmanjša na raven, ki omogoča obnovo in ohranjanje vrst.</w:t>
      </w:r>
    </w:p>
    <w:p w14:paraId="2956C27F" w14:textId="08EE2FA2" w:rsidR="00234072" w:rsidRDefault="00D841E5" w:rsidP="00AC4D46">
      <w:pPr>
        <w:pBdr>
          <w:top w:val="single" w:sz="4" w:space="1" w:color="auto"/>
          <w:left w:val="single" w:sz="4" w:space="4" w:color="auto"/>
          <w:bottom w:val="single" w:sz="4" w:space="0" w:color="auto"/>
          <w:right w:val="single" w:sz="4" w:space="13" w:color="auto"/>
        </w:pBdr>
        <w:jc w:val="both"/>
        <w:rPr>
          <w:rFonts w:cs="Arial"/>
          <w:bCs/>
          <w:color w:val="000000"/>
          <w:szCs w:val="20"/>
        </w:rPr>
      </w:pPr>
      <w:r w:rsidRPr="00D841E5">
        <w:rPr>
          <w:rFonts w:cs="Arial"/>
          <w:bCs/>
          <w:color w:val="000000"/>
          <w:szCs w:val="20"/>
        </w:rPr>
        <w:t>Podatki, zbrani v okviru te</w:t>
      </w:r>
      <w:r w:rsidR="009260EC">
        <w:rPr>
          <w:rFonts w:cs="Arial"/>
          <w:bCs/>
          <w:color w:val="000000"/>
          <w:szCs w:val="20"/>
        </w:rPr>
        <w:t>h</w:t>
      </w:r>
      <w:r w:rsidRPr="00D841E5">
        <w:rPr>
          <w:rFonts w:cs="Arial"/>
          <w:bCs/>
          <w:color w:val="000000"/>
          <w:szCs w:val="20"/>
        </w:rPr>
        <w:t xml:space="preserve"> aktivnosti,</w:t>
      </w:r>
      <w:r w:rsidR="00DA5184">
        <w:rPr>
          <w:rFonts w:cs="Arial"/>
          <w:bCs/>
          <w:color w:val="000000"/>
          <w:szCs w:val="20"/>
        </w:rPr>
        <w:t xml:space="preserve"> bodo</w:t>
      </w:r>
      <w:r w:rsidRPr="00D841E5">
        <w:rPr>
          <w:rFonts w:cs="Arial"/>
          <w:bCs/>
          <w:color w:val="000000"/>
          <w:szCs w:val="20"/>
        </w:rPr>
        <w:t xml:space="preserve"> javno dostopni po standardih FAIR.</w:t>
      </w:r>
      <w:r w:rsidR="00DA5184">
        <w:rPr>
          <w:rFonts w:cs="Arial"/>
          <w:bCs/>
          <w:color w:val="000000"/>
          <w:szCs w:val="20"/>
        </w:rPr>
        <w:t xml:space="preserve"> Aktivnosti v okviru tega cilja bodo prispevale k izpolnjevanju ciljev 1.1, 1.4, 1.3 IN 1.4 GFCM Strategije 2030. </w:t>
      </w:r>
    </w:p>
    <w:p w14:paraId="638AB137" w14:textId="77777777" w:rsidR="00AC4D46" w:rsidRDefault="00AC4D46" w:rsidP="00AC4D46">
      <w:pPr>
        <w:jc w:val="both"/>
        <w:rPr>
          <w:noProof/>
        </w:rPr>
      </w:pPr>
    </w:p>
    <w:p w14:paraId="5ABD6DA9" w14:textId="1AC11508" w:rsidR="00AC4D46" w:rsidRPr="00BC39FE" w:rsidRDefault="00AC4D46" w:rsidP="00AC4D46">
      <w:pPr>
        <w:jc w:val="both"/>
        <w:rPr>
          <w:i/>
          <w:noProof/>
        </w:rPr>
      </w:pPr>
      <w:r w:rsidRPr="00BC39FE">
        <w:rPr>
          <w:i/>
          <w:noProof/>
        </w:rPr>
        <w:t>Glavne ciljne skupine</w:t>
      </w:r>
      <w:r w:rsidR="00C24B24">
        <w:rPr>
          <w:i/>
          <w:noProof/>
        </w:rPr>
        <w:t xml:space="preserve"> – Člen 22(3)(d)(iii)</w:t>
      </w:r>
    </w:p>
    <w:p w14:paraId="0F1A8EDC" w14:textId="39F5DD79" w:rsidR="00AC4D46" w:rsidRDefault="007149E6" w:rsidP="00AC4D46">
      <w:pPr>
        <w:jc w:val="both"/>
        <w:rPr>
          <w:noProof/>
        </w:rPr>
      </w:pPr>
      <w:r>
        <w:rPr>
          <w:noProof/>
        </w:rPr>
        <w:t>V okviru aktivnosti številka 7 bodo glavne ciljne skupine ribiči, lastniki in upravl</w:t>
      </w:r>
      <w:r w:rsidR="00B12231">
        <w:rPr>
          <w:noProof/>
        </w:rPr>
        <w:t xml:space="preserve">jalci </w:t>
      </w:r>
      <w:r>
        <w:rPr>
          <w:noProof/>
        </w:rPr>
        <w:t>ribiških plovil, znanstvena in raziskovalna telesa, javni organi, ki se ukvarjajo s spremljanjem stanja morja in morske biotske raznovrstnosti, strokovnjaki na področju IT, širša javnost in strokovna javnost, ki bosta obveščeni o dogodkih, resorna ministrstva, ki pokrivajo upravljanje z ribolovom, okoljsko stanje morja, SUP Direktivo in naravo, upravljavci zavarovanih območij. V okviru aktivnosti številka 8 bodo glavne ciljne skupine ribiči in lastniki ribiških plovil, upravljavci zavarovanih območij ter ministrstva, odgovorna za izvajanje varstva narave</w:t>
      </w:r>
      <w:r w:rsidR="00B12231">
        <w:rPr>
          <w:noProof/>
        </w:rPr>
        <w:t>, varstva voda in upravljanje z morskim okoljem</w:t>
      </w:r>
      <w:r>
        <w:rPr>
          <w:noProof/>
        </w:rPr>
        <w:t xml:space="preserve"> ter skupne ribiške politike. </w:t>
      </w:r>
    </w:p>
    <w:p w14:paraId="744134F5" w14:textId="369C7DC4" w:rsidR="007149E6" w:rsidRDefault="007149E6" w:rsidP="00AC4D46">
      <w:pPr>
        <w:jc w:val="both"/>
        <w:rPr>
          <w:noProof/>
        </w:rPr>
      </w:pPr>
    </w:p>
    <w:p w14:paraId="08E73BA2" w14:textId="77411F05" w:rsidR="00AC4D46" w:rsidRPr="00BC39FE" w:rsidRDefault="00AC4D46" w:rsidP="00AC4D46">
      <w:pPr>
        <w:jc w:val="both"/>
        <w:rPr>
          <w:i/>
          <w:noProof/>
        </w:rPr>
      </w:pPr>
      <w:r w:rsidRPr="00BC39FE">
        <w:rPr>
          <w:i/>
          <w:noProof/>
        </w:rPr>
        <w:t xml:space="preserve">Aktivnosti, ki ohranjajo enakost, vključenost in nediskriminacijo – Člen </w:t>
      </w:r>
      <w:r w:rsidR="008A3D59">
        <w:rPr>
          <w:i/>
          <w:noProof/>
        </w:rPr>
        <w:t>22</w:t>
      </w:r>
      <w:r w:rsidRPr="00BC39FE">
        <w:rPr>
          <w:i/>
          <w:noProof/>
        </w:rPr>
        <w:t>(3)(d)(i</w:t>
      </w:r>
      <w:r w:rsidR="008A3D59">
        <w:rPr>
          <w:i/>
          <w:noProof/>
        </w:rPr>
        <w:t>v</w:t>
      </w:r>
      <w:r w:rsidRPr="00BC39FE">
        <w:rPr>
          <w:i/>
          <w:noProof/>
        </w:rPr>
        <w:t>)</w:t>
      </w:r>
    </w:p>
    <w:p w14:paraId="29E761B0" w14:textId="151C3A99" w:rsidR="00AC4D46" w:rsidRDefault="00AC4D46" w:rsidP="00AC4D46">
      <w:pPr>
        <w:jc w:val="both"/>
        <w:rPr>
          <w:noProof/>
        </w:rPr>
      </w:pPr>
      <w:r>
        <w:rPr>
          <w:noProof/>
        </w:rPr>
        <w:t xml:space="preserve">Slovenija bo pri izvajanju vseh aktivnosti posebno pozornost posvečala načelu enakosti, vključenosti in nediskriminiacije. Vsi potecialni deležniki bodo hkrati vključeni v aktivnosti obveščanja in predstavljanja vseh podlag za izvajanje aktivnosti. Varstvo pravic posameznika 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starost, invalidnost, rasna, etnična, </w:t>
      </w:r>
      <w:r w:rsidR="00BA2FDD">
        <w:rPr>
          <w:noProof/>
        </w:rPr>
        <w:t>narodna</w:t>
      </w:r>
      <w:r>
        <w:rPr>
          <w:noProof/>
        </w:rPr>
        <w:t xml:space="preserve"> in verska pripadnost, spolna usmerjenost) 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2C9B5A61" w14:textId="77777777" w:rsidR="00AC4D46" w:rsidRPr="00BC39FE" w:rsidRDefault="00AC4D46" w:rsidP="00AC4D46">
      <w:pPr>
        <w:jc w:val="both"/>
        <w:rPr>
          <w:noProof/>
        </w:rPr>
      </w:pPr>
    </w:p>
    <w:p w14:paraId="5EE712FA" w14:textId="5096684E" w:rsidR="00AC4D46" w:rsidRPr="00BC39FE" w:rsidRDefault="00AC4D46" w:rsidP="00AC4D46">
      <w:pPr>
        <w:jc w:val="both"/>
        <w:rPr>
          <w:rFonts w:cs="Arial"/>
          <w:i/>
          <w:noProof/>
          <w:szCs w:val="20"/>
        </w:rPr>
      </w:pPr>
      <w:r w:rsidRPr="00BC39FE">
        <w:rPr>
          <w:rFonts w:cs="Arial"/>
          <w:i/>
          <w:noProof/>
          <w:szCs w:val="20"/>
        </w:rPr>
        <w:t xml:space="preserve">Posebna ciljna območja, vključno z načrtovano uporabo teritorialnih orodij– Člen </w:t>
      </w:r>
      <w:r w:rsidR="00987B5D">
        <w:rPr>
          <w:rFonts w:cs="Arial"/>
          <w:i/>
          <w:noProof/>
          <w:szCs w:val="20"/>
        </w:rPr>
        <w:t>22</w:t>
      </w:r>
      <w:r w:rsidRPr="00BC39FE">
        <w:rPr>
          <w:rFonts w:cs="Arial"/>
          <w:i/>
          <w:noProof/>
          <w:szCs w:val="20"/>
        </w:rPr>
        <w:t>(3)(d)(v) Besedilno polje  [2 000]</w:t>
      </w:r>
    </w:p>
    <w:p w14:paraId="020C48A4" w14:textId="190F798B" w:rsidR="00AC4D46" w:rsidRDefault="00745799" w:rsidP="00AC4D46">
      <w:pPr>
        <w:jc w:val="both"/>
        <w:rPr>
          <w:noProof/>
        </w:rPr>
      </w:pPr>
      <w:r>
        <w:rPr>
          <w:noProof/>
        </w:rPr>
        <w:t xml:space="preserve">Aktivnosti 7 in 8 se bosta </w:t>
      </w:r>
      <w:r w:rsidR="00BA2FDD">
        <w:rPr>
          <w:noProof/>
        </w:rPr>
        <w:t>izvajali</w:t>
      </w:r>
      <w:r>
        <w:rPr>
          <w:noProof/>
        </w:rPr>
        <w:t xml:space="preserve"> na Obali oz. na morju, saj se aktivnosti prepletajo z dejavnostjo ribolova in drugimi dejavnostmi, ki se izvajajo na morju. Del aktivnosti pa bo </w:t>
      </w:r>
      <w:r w:rsidR="00BA2FDD">
        <w:rPr>
          <w:noProof/>
        </w:rPr>
        <w:t>izvedenih</w:t>
      </w:r>
      <w:r>
        <w:rPr>
          <w:noProof/>
        </w:rPr>
        <w:t xml:space="preserve"> na celini.</w:t>
      </w:r>
    </w:p>
    <w:p w14:paraId="782B0205" w14:textId="77777777" w:rsidR="00745799" w:rsidRPr="00FB4210" w:rsidRDefault="00745799" w:rsidP="00AC4D46">
      <w:pPr>
        <w:jc w:val="both"/>
        <w:rPr>
          <w:noProof/>
        </w:rPr>
      </w:pPr>
    </w:p>
    <w:p w14:paraId="2C4B7F51" w14:textId="352C5074" w:rsidR="00AC4D46" w:rsidRPr="00AC29EA" w:rsidRDefault="00AC4D46" w:rsidP="00AC4D46">
      <w:pPr>
        <w:jc w:val="both"/>
        <w:rPr>
          <w:rFonts w:cs="Arial"/>
          <w:b/>
          <w:i/>
          <w:iCs/>
          <w:noProof/>
          <w:szCs w:val="20"/>
        </w:rPr>
      </w:pPr>
      <w:r w:rsidRPr="00AC29EA">
        <w:rPr>
          <w:rFonts w:cs="Arial"/>
          <w:i/>
          <w:noProof/>
          <w:szCs w:val="20"/>
        </w:rPr>
        <w:t xml:space="preserve">Medregionalni in transnacionalni ukrepi –Člen </w:t>
      </w:r>
      <w:r w:rsidR="00A9675B">
        <w:rPr>
          <w:rFonts w:cs="Arial"/>
          <w:i/>
          <w:noProof/>
          <w:szCs w:val="20"/>
        </w:rPr>
        <w:t>22</w:t>
      </w:r>
      <w:r w:rsidRPr="00AC29EA">
        <w:rPr>
          <w:rFonts w:cs="Arial"/>
          <w:i/>
          <w:noProof/>
          <w:szCs w:val="20"/>
        </w:rPr>
        <w:t>(3)(d)(v</w:t>
      </w:r>
      <w:r w:rsidR="00A9675B">
        <w:rPr>
          <w:rFonts w:cs="Arial"/>
          <w:i/>
          <w:noProof/>
          <w:szCs w:val="20"/>
        </w:rPr>
        <w:t>i</w:t>
      </w:r>
      <w:r w:rsidRPr="00AC29EA">
        <w:rPr>
          <w:rFonts w:cs="Arial"/>
          <w:i/>
          <w:noProof/>
          <w:szCs w:val="20"/>
        </w:rPr>
        <w:t>) Besedilno polje  [2 000]</w:t>
      </w:r>
    </w:p>
    <w:p w14:paraId="676001B2" w14:textId="77777777" w:rsidR="00AC4D46" w:rsidRPr="00AC29EA" w:rsidRDefault="00AC4D46" w:rsidP="00AC4D46">
      <w:pPr>
        <w:jc w:val="both"/>
        <w:rPr>
          <w:iCs/>
          <w:noProof/>
          <w:lang w:val="it-IT"/>
        </w:rPr>
      </w:pPr>
      <w:r w:rsidRPr="00AC29EA">
        <w:rPr>
          <w:iCs/>
          <w:noProof/>
          <w:lang w:val="it-IT"/>
        </w:rPr>
        <w:t>Medregionalni in transnacionalni ukrepi niso predvideni.</w:t>
      </w:r>
    </w:p>
    <w:p w14:paraId="692DEE24" w14:textId="77777777" w:rsidR="00AC4D46" w:rsidRPr="00AC29EA" w:rsidRDefault="00AC4D46" w:rsidP="00AC4D46">
      <w:pPr>
        <w:jc w:val="both"/>
        <w:rPr>
          <w:i/>
          <w:iCs/>
          <w:noProof/>
          <w:lang w:val="it-IT"/>
        </w:rPr>
      </w:pPr>
    </w:p>
    <w:p w14:paraId="2215CB2C" w14:textId="00173D00" w:rsidR="00AC4D46" w:rsidRPr="00AC29EA" w:rsidRDefault="00AC4D46" w:rsidP="00AC4D46">
      <w:pPr>
        <w:jc w:val="both"/>
        <w:rPr>
          <w:rFonts w:cs="Arial"/>
          <w:b/>
          <w:i/>
          <w:iCs/>
          <w:noProof/>
          <w:szCs w:val="20"/>
          <w:lang w:val="it-IT"/>
        </w:rPr>
      </w:pPr>
      <w:r w:rsidRPr="00AC29EA">
        <w:rPr>
          <w:rFonts w:cs="Arial"/>
          <w:i/>
          <w:noProof/>
          <w:szCs w:val="20"/>
          <w:lang w:val="it-IT"/>
        </w:rPr>
        <w:t xml:space="preserve">Načrtovana uporaba finančnih instrumentov– Člen </w:t>
      </w:r>
      <w:r w:rsidR="0041546A">
        <w:rPr>
          <w:rFonts w:cs="Arial"/>
          <w:i/>
          <w:noProof/>
          <w:szCs w:val="20"/>
          <w:lang w:val="it-IT"/>
        </w:rPr>
        <w:t>22</w:t>
      </w:r>
      <w:r w:rsidRPr="00AC29EA">
        <w:rPr>
          <w:rFonts w:cs="Arial"/>
          <w:i/>
          <w:noProof/>
          <w:szCs w:val="20"/>
          <w:lang w:val="it-IT"/>
        </w:rPr>
        <w:t>(3)(d)(vi</w:t>
      </w:r>
      <w:r w:rsidR="0041546A">
        <w:rPr>
          <w:rFonts w:cs="Arial"/>
          <w:i/>
          <w:noProof/>
          <w:szCs w:val="20"/>
          <w:lang w:val="it-IT"/>
        </w:rPr>
        <w:t>i</w:t>
      </w:r>
      <w:r w:rsidRPr="00AC29EA">
        <w:rPr>
          <w:rFonts w:cs="Arial"/>
          <w:i/>
          <w:noProof/>
          <w:szCs w:val="20"/>
          <w:lang w:val="it-IT"/>
        </w:rPr>
        <w:t>) Besedilno polje  [1 000]</w:t>
      </w:r>
    </w:p>
    <w:p w14:paraId="05A51D25" w14:textId="77777777" w:rsidR="006A0D09" w:rsidRDefault="001059B3" w:rsidP="00AC4D46">
      <w:pPr>
        <w:spacing w:after="200" w:line="276" w:lineRule="auto"/>
        <w:jc w:val="both"/>
        <w:rPr>
          <w:noProof/>
          <w:lang w:val="it-IT"/>
        </w:rPr>
      </w:pPr>
      <w:r w:rsidRPr="001059B3">
        <w:rPr>
          <w:noProof/>
          <w:lang w:val="it-IT"/>
        </w:rPr>
        <w:t>V okviru te prednostne naloge se ukrepi izvajajo za potrebe RS v skladu z javnimi naročili. Upravičenec je Ministrstvo za kmeti</w:t>
      </w:r>
      <w:r>
        <w:rPr>
          <w:noProof/>
          <w:lang w:val="it-IT"/>
        </w:rPr>
        <w:t>jstvo, gozdarstvo in prehrano.</w:t>
      </w:r>
    </w:p>
    <w:p w14:paraId="1EB52CAC" w14:textId="77777777" w:rsidR="006A0D09" w:rsidRDefault="006A0D09">
      <w:pPr>
        <w:spacing w:after="200" w:line="276" w:lineRule="auto"/>
        <w:rPr>
          <w:noProof/>
          <w:lang w:val="it-IT"/>
        </w:rPr>
      </w:pPr>
      <w:r>
        <w:rPr>
          <w:noProof/>
          <w:lang w:val="it-IT"/>
        </w:rPr>
        <w:br w:type="page"/>
      </w:r>
    </w:p>
    <w:p w14:paraId="090FD47F" w14:textId="77777777" w:rsidR="006A7CD2" w:rsidRPr="00C43378" w:rsidRDefault="006A7CD2" w:rsidP="00904E25">
      <w:pPr>
        <w:spacing w:after="200" w:line="276" w:lineRule="auto"/>
        <w:jc w:val="both"/>
        <w:rPr>
          <w:b/>
          <w:iCs/>
        </w:rPr>
      </w:pPr>
      <w:r w:rsidRPr="00C43378">
        <w:rPr>
          <w:iCs/>
        </w:rPr>
        <w:lastRenderedPageBreak/>
        <w:t>Prednostna naloga:</w:t>
      </w:r>
      <w:r w:rsidRPr="00C43378">
        <w:rPr>
          <w:b/>
          <w:iCs/>
        </w:rPr>
        <w:t xml:space="preserve"> Spodbujanje trajnostnih dejavnosti akvakulture ter predelave in trženja ribiških proizvodov in proizvodov iz akvakulture </w:t>
      </w:r>
    </w:p>
    <w:p w14:paraId="3F57D006" w14:textId="1897FCAA" w:rsidR="006A7CD2" w:rsidRPr="00C43378" w:rsidRDefault="006117A8" w:rsidP="006A7CD2">
      <w:pPr>
        <w:pBdr>
          <w:top w:val="single" w:sz="4" w:space="1" w:color="auto"/>
          <w:left w:val="single" w:sz="4" w:space="4" w:color="auto"/>
          <w:bottom w:val="single" w:sz="4" w:space="1" w:color="auto"/>
          <w:right w:val="single" w:sz="4" w:space="4" w:color="auto"/>
        </w:pBdr>
        <w:jc w:val="both"/>
        <w:rPr>
          <w:b/>
          <w:iCs/>
        </w:rPr>
      </w:pPr>
      <w:r>
        <w:rPr>
          <w:iCs/>
        </w:rPr>
        <w:t>Specifični cilj 2.1:</w:t>
      </w:r>
      <w:r w:rsidR="006A7CD2" w:rsidRPr="00C43378">
        <w:rPr>
          <w:b/>
          <w:iCs/>
        </w:rPr>
        <w:t xml:space="preserve"> Spodbujanje trajnostnih dejavnosti akvakulture</w:t>
      </w:r>
    </w:p>
    <w:p w14:paraId="26D43F63" w14:textId="77777777" w:rsidR="006D4DC0" w:rsidRPr="006A7CD2" w:rsidRDefault="006D4DC0" w:rsidP="005B3058">
      <w:pPr>
        <w:rPr>
          <w:rFonts w:cs="Arial"/>
          <w:i/>
          <w:iCs/>
          <w:szCs w:val="20"/>
        </w:rPr>
      </w:pPr>
    </w:p>
    <w:p w14:paraId="37907E33" w14:textId="0A9C705E" w:rsidR="006D4DC0" w:rsidRPr="00697618" w:rsidRDefault="00697618" w:rsidP="00697618">
      <w:pPr>
        <w:tabs>
          <w:tab w:val="center" w:pos="4249"/>
          <w:tab w:val="right" w:pos="8498"/>
        </w:tabs>
        <w:bidi/>
        <w:rPr>
          <w:rFonts w:cs="Arial"/>
          <w:i/>
          <w:noProof/>
          <w:szCs w:val="20"/>
        </w:rPr>
      </w:pPr>
      <w:r>
        <w:rPr>
          <w:rFonts w:cs="Arial"/>
          <w:i/>
          <w:noProof/>
          <w:szCs w:val="20"/>
        </w:rPr>
        <w:tab/>
      </w:r>
      <w:r>
        <w:rPr>
          <w:rFonts w:cs="Arial"/>
          <w:i/>
          <w:noProof/>
          <w:szCs w:val="20"/>
        </w:rPr>
        <w:tab/>
      </w:r>
      <w:r w:rsidR="006D4DC0" w:rsidRPr="00697618">
        <w:rPr>
          <w:rFonts w:cs="Arial"/>
          <w:i/>
          <w:noProof/>
          <w:szCs w:val="20"/>
        </w:rPr>
        <w:t xml:space="preserve">Povezane vrste ukrepov– Člen </w:t>
      </w:r>
      <w:r w:rsidR="00953D49">
        <w:rPr>
          <w:rFonts w:cs="Arial"/>
          <w:i/>
          <w:noProof/>
          <w:szCs w:val="20"/>
        </w:rPr>
        <w:t>22</w:t>
      </w:r>
      <w:r w:rsidR="006D4DC0" w:rsidRPr="00697618">
        <w:rPr>
          <w:rFonts w:cs="Arial"/>
          <w:i/>
          <w:noProof/>
          <w:szCs w:val="20"/>
        </w:rPr>
        <w:t>(3)(d)(i) SSO</w:t>
      </w:r>
    </w:p>
    <w:p w14:paraId="3D463E13" w14:textId="0FF17996" w:rsidR="00A16346" w:rsidRDefault="006117A8" w:rsidP="00A16346">
      <w:pPr>
        <w:pBdr>
          <w:top w:val="single" w:sz="4" w:space="1" w:color="auto"/>
          <w:left w:val="single" w:sz="4" w:space="4" w:color="auto"/>
          <w:bottom w:val="single" w:sz="4" w:space="1" w:color="auto"/>
          <w:right w:val="single" w:sz="4" w:space="4" w:color="auto"/>
        </w:pBdr>
        <w:jc w:val="both"/>
        <w:rPr>
          <w:b/>
        </w:rPr>
      </w:pPr>
      <w:r>
        <w:rPr>
          <w:b/>
        </w:rPr>
        <w:t>1.</w:t>
      </w:r>
      <w:r w:rsidRPr="006117A8">
        <w:rPr>
          <w:b/>
        </w:rPr>
        <w:tab/>
        <w:t>Konkurenčna in trajnostna akvakultura</w:t>
      </w:r>
    </w:p>
    <w:p w14:paraId="2CA3697F" w14:textId="0468ADFD" w:rsidR="00CE5E53" w:rsidRDefault="002A7BD6" w:rsidP="008E6BB7">
      <w:pPr>
        <w:jc w:val="both"/>
      </w:pPr>
      <w:r>
        <w:t xml:space="preserve">Prioriteta v okviru te aktivnosti </w:t>
      </w:r>
      <w:r w:rsidR="00305845">
        <w:t>sta</w:t>
      </w:r>
      <w:r>
        <w:t xml:space="preserve"> izgradnja novih </w:t>
      </w:r>
      <w:r w:rsidR="00305845">
        <w:t xml:space="preserve">in posodobitev obstoječih obratov </w:t>
      </w:r>
      <w:r>
        <w:t xml:space="preserve">akvakulture. </w:t>
      </w:r>
      <w:r w:rsidR="006564CB" w:rsidRPr="006564CB">
        <w:t xml:space="preserve">Kot je pokazala </w:t>
      </w:r>
      <w:r w:rsidR="006117A8">
        <w:t xml:space="preserve">SWOT </w:t>
      </w:r>
      <w:r w:rsidR="006564CB" w:rsidRPr="006564CB">
        <w:t>analiza</w:t>
      </w:r>
      <w:r w:rsidR="005F1FE4">
        <w:t>,</w:t>
      </w:r>
      <w:r w:rsidR="006564CB" w:rsidRPr="006564CB">
        <w:t xml:space="preserve"> je treba v </w:t>
      </w:r>
      <w:r w:rsidR="006117A8">
        <w:t xml:space="preserve">sektorju akvakulture omogočiti </w:t>
      </w:r>
      <w:r w:rsidR="006117A8" w:rsidRPr="006117A8">
        <w:t>naložb</w:t>
      </w:r>
      <w:r w:rsidR="006117A8">
        <w:t>e v</w:t>
      </w:r>
      <w:r w:rsidR="006117A8" w:rsidRPr="006117A8">
        <w:t xml:space="preserve"> obstoječ</w:t>
      </w:r>
      <w:r w:rsidR="006117A8">
        <w:t xml:space="preserve">e in nove obrate akvakulture za zagotavljanje večje </w:t>
      </w:r>
      <w:r w:rsidR="00DB76E1">
        <w:t xml:space="preserve">trajnosti in </w:t>
      </w:r>
      <w:r w:rsidR="006117A8">
        <w:t xml:space="preserve">produktivnosti, vzreje novih vrst, </w:t>
      </w:r>
      <w:r w:rsidR="00DB76E1">
        <w:t xml:space="preserve">boljšo </w:t>
      </w:r>
      <w:r w:rsidR="006117A8">
        <w:t>izkoriščenost vodnih virov, zmanjšanje onesnaženja, dobrobit vodnih organizmov (npr. oprema za omamljanje rib pred usmrtitvijo), nadzor in zaščito pred plenilci iz narave, posodobitev delovne opreme (delovni stroji, vključno z računalniško opremo in programi za računalniško vodenje proizvodnje, prodajo in sledljivost proizvodov iz akvakulture, digitalizacija, avtoma</w:t>
      </w:r>
      <w:r w:rsidR="00731A62">
        <w:t>tizacija in online monitoring). Za zagotavljanje večje energetske učinkovitosti bodo omogočene naložbe v uporabo obnovljivih virov energije na objektu. V okviru naložb bo mogoče kupiti tudi opremo</w:t>
      </w:r>
      <w:r w:rsidR="006117A8">
        <w:t xml:space="preserve"> za </w:t>
      </w:r>
      <w:r w:rsidR="00DB76E1">
        <w:t>logistiko v</w:t>
      </w:r>
      <w:r w:rsidR="006117A8">
        <w:t xml:space="preserve"> akvakul</w:t>
      </w:r>
      <w:r w:rsidR="00731A62">
        <w:t>tur</w:t>
      </w:r>
      <w:r w:rsidR="00DB76E1">
        <w:t>i</w:t>
      </w:r>
      <w:r w:rsidR="00731A62">
        <w:t xml:space="preserve">. V okviru naložb bodo podprte tudi tiste naložbe, ki omogočajo </w:t>
      </w:r>
      <w:r w:rsidR="006117A8">
        <w:t>diverzifikacijo dejavnosti (npr.</w:t>
      </w:r>
      <w:r w:rsidR="00731A62">
        <w:t xml:space="preserve"> za zagotavljanje dodatne turistične</w:t>
      </w:r>
      <w:r w:rsidR="006117A8">
        <w:t>/gostinsk</w:t>
      </w:r>
      <w:r w:rsidR="00731A62">
        <w:t>e</w:t>
      </w:r>
      <w:r w:rsidR="006117A8">
        <w:t xml:space="preserve"> ponudba</w:t>
      </w:r>
      <w:r w:rsidR="00731A62">
        <w:t xml:space="preserve"> z lastno proizvodnjo</w:t>
      </w:r>
      <w:r w:rsidR="006117A8">
        <w:t>, izgradnja dvoran za predstavitev akvakulture, naložbe v prostore za čiščenje, filetiranje in prodajo lastnih proizvodov</w:t>
      </w:r>
      <w:r w:rsidR="004837F9">
        <w:t>; ta aktivnost bo podprta le iz sklada ESPRA</w:t>
      </w:r>
      <w:r w:rsidR="00731A62">
        <w:t xml:space="preserve">). Študije, ki smo jih sofinancirali v okviru OP ESPR 2014-2020, kažejo, da virov za izgradnjo novih ribogojskih objektov </w:t>
      </w:r>
      <w:r w:rsidR="00CE5E53">
        <w:t xml:space="preserve">na celinski površinskih vodah </w:t>
      </w:r>
      <w:r w:rsidR="00731A62">
        <w:t xml:space="preserve">ni veliko na voljo.; </w:t>
      </w:r>
      <w:r w:rsidR="00262F47" w:rsidRPr="00DB3294">
        <w:t>Poleg tega bomo posebno pozornost namenili spodbujanju krožnega gospodarstva, vključujoč ponovno rabo, reciklažo ali predelavo odpadkov iz akvakulture in čiščenja rib, kakor tudi odpadkov iz čiščenja odpadne vode, ki zagotavlja nove poslovne priložnosti, med drugim tudi z razvojem algnih tehnologij za čiščenje odpadnih voda in proizvodnjo algne biomase in biomaterialov.</w:t>
      </w:r>
      <w:r w:rsidR="00262F47">
        <w:t xml:space="preserve"> </w:t>
      </w:r>
      <w:r w:rsidR="002B5212">
        <w:t xml:space="preserve">V okviru te aktivnosti </w:t>
      </w:r>
      <w:r w:rsidR="00262F47">
        <w:t>bomo podpirali tudi naložbe v ekološko akvakulturo.</w:t>
      </w:r>
      <w:r w:rsidR="00CE5E53">
        <w:t xml:space="preserve"> </w:t>
      </w:r>
      <w:r w:rsidR="00272241" w:rsidRPr="00272241">
        <w:t>Pri hladnovodni akvakulturi</w:t>
      </w:r>
      <w:r w:rsidR="00272241">
        <w:t xml:space="preserve"> je r</w:t>
      </w:r>
      <w:r w:rsidR="00272241" w:rsidRPr="00272241">
        <w:t>ealno pričakovati ohranitev proizvodnje, povečanje pa bi bilo možno predvsem z vlaganjem v nove tehnologije v obstoječe obrate in izgradnjo novih obratov.</w:t>
      </w:r>
      <w:r w:rsidR="00272241">
        <w:t xml:space="preserve"> </w:t>
      </w:r>
      <w:r w:rsidR="00DB76E1">
        <w:t xml:space="preserve">Te naložbe bodo tudi prispevale k večji trajnosti akvakulture. </w:t>
      </w:r>
      <w:r w:rsidR="00272241">
        <w:t>V t</w:t>
      </w:r>
      <w:r w:rsidR="00272241" w:rsidRPr="00272241">
        <w:t>oplovodn</w:t>
      </w:r>
      <w:r w:rsidR="00272241">
        <w:t>i</w:t>
      </w:r>
      <w:r w:rsidR="00272241" w:rsidRPr="00272241">
        <w:t xml:space="preserve"> akvakultur</w:t>
      </w:r>
      <w:r w:rsidR="00272241">
        <w:t>i</w:t>
      </w:r>
      <w:r w:rsidR="00272241" w:rsidRPr="00272241">
        <w:t xml:space="preserve"> večjega potenciala za razvoj </w:t>
      </w:r>
      <w:r w:rsidR="00195700">
        <w:t xml:space="preserve">novih </w:t>
      </w:r>
      <w:r w:rsidR="00272241" w:rsidRPr="00272241">
        <w:t xml:space="preserve">nimamo, predvsem zaradi pomanjkanja večjih območij, ki bi bila potencialno primerna za izgradnjo večjih ribnikov za gojitev. </w:t>
      </w:r>
      <w:r w:rsidR="00262F47" w:rsidRPr="00262F47">
        <w:t xml:space="preserve">Z vidika vedno večjih problemov z zagotavljanjem zadostnih količin vode </w:t>
      </w:r>
      <w:r w:rsidR="00262F47">
        <w:t>bomo spodbujali</w:t>
      </w:r>
      <w:r w:rsidR="00262F47" w:rsidRPr="00262F47">
        <w:t xml:space="preserve"> gradnjo RAS oziroma tehnološko naprednejših načinov akvakulture. Pri zaprtih in RAS obratih akvakulture se zmanjša poraba vode in obremenjevanje okolja</w:t>
      </w:r>
      <w:r w:rsidR="00DB76E1">
        <w:t>, zato se tovrstne sisteme lahko razume kot bolj trajnostne</w:t>
      </w:r>
      <w:r w:rsidR="00262F47" w:rsidRPr="00262F47">
        <w:t xml:space="preserve">. </w:t>
      </w:r>
      <w:r w:rsidR="00DB76E1">
        <w:t>G</w:t>
      </w:r>
      <w:r w:rsidR="00262F47" w:rsidRPr="00262F47">
        <w:t>lavni razvoj akvakulture pričakujemo z novimi inovativnimi pristopi in tehnologijami, pri čemer morajo biti usklajeni s cilji ohranjanja dobrega okoljskega stanja. Pri teh sistemih se lažje zagotavlja zmanjšanje obremenitve vodotokov s hranili, organskimi snovmi, tujerodnimi vrstami in boleznimi, kar je v skladu s ciljem Strategije za biotsko raznovrstnost 2030, ki določa zmanjšano porabo protimikrobnih sredstev.</w:t>
      </w:r>
      <w:r w:rsidR="00262F47">
        <w:t xml:space="preserve"> </w:t>
      </w:r>
      <w:r w:rsidR="00CE5E53">
        <w:t>N</w:t>
      </w:r>
      <w:r w:rsidR="00CE5E53" w:rsidRPr="00CE5E53">
        <w:t>aložbe v</w:t>
      </w:r>
      <w:r w:rsidR="00CE5E53">
        <w:t xml:space="preserve"> RAS sisteme</w:t>
      </w:r>
      <w:r w:rsidR="00CE5E53" w:rsidRPr="00CE5E53">
        <w:t xml:space="preserve"> bodo prav tako povezane z naložbami, ki omogočajo uporabo obnovljivih virov energije za lastne potrebe. </w:t>
      </w:r>
      <w:r w:rsidR="00262F47">
        <w:t>Podpirali pa bomo</w:t>
      </w:r>
      <w:r w:rsidR="00262F47" w:rsidRPr="00262F47">
        <w:t xml:space="preserve"> </w:t>
      </w:r>
      <w:r w:rsidR="00262F47">
        <w:t>t</w:t>
      </w:r>
      <w:r w:rsidR="00262F47" w:rsidRPr="00262F47">
        <w:t xml:space="preserve">udi razvoj marikulture, tako pri povečevanju proizvodnje kakor pri uvajanju novih vrst. </w:t>
      </w:r>
      <w:r w:rsidR="00CE5E53">
        <w:t xml:space="preserve"> Potencial je predvsem v</w:t>
      </w:r>
      <w:r w:rsidR="00CE5E53" w:rsidRPr="00CE5E53">
        <w:t xml:space="preserve"> spodbujanju večtrofične akvakulture (vzreja morskih kumar, morskih ježkov, školjk, kozic, rakov in različnih vrst rib) in v gojenju alg, ki postajajo vse večja tržna niša, Ponekod so ti sistemi vključujejo tudi pri čiščenju odpadnih voda iz gospodinjstev. </w:t>
      </w:r>
    </w:p>
    <w:p w14:paraId="7241BC90" w14:textId="38004593" w:rsidR="00DB3294" w:rsidRDefault="00DB3294">
      <w:pPr>
        <w:pBdr>
          <w:top w:val="single" w:sz="4" w:space="1" w:color="auto"/>
          <w:left w:val="single" w:sz="4" w:space="4" w:color="auto"/>
          <w:bottom w:val="single" w:sz="4" w:space="1" w:color="auto"/>
          <w:right w:val="single" w:sz="4" w:space="4" w:color="auto"/>
        </w:pBdr>
        <w:jc w:val="both"/>
      </w:pPr>
      <w:r w:rsidRPr="00C54E3D">
        <w:t>Kot je pokazala analiza v slovenskem sektorju akvakulture</w:t>
      </w:r>
      <w:r>
        <w:t>,</w:t>
      </w:r>
      <w:r w:rsidRPr="00C54E3D">
        <w:t xml:space="preserve"> pomemben delež predstavljajo manjši vzrejni obrati</w:t>
      </w:r>
      <w:r w:rsidR="00262F47">
        <w:t>, ki imajo</w:t>
      </w:r>
      <w:r w:rsidRPr="00C54E3D">
        <w:t xml:space="preserve"> poleg neugodnih razmer za opravljanje dejavnosti težave tudi v prenizki tržni usmerjenosti, težave s pridobivanjem finančnih sredstev, manj lastnega kapitala, saj gre pri ciljni skupini večinoma za polprofesionalne posameznike, katerih značilnost je v tem, da prihodke vlagajo v najnujnejše naložbe, ki so potrebne za ohranjanje dejavnosti</w:t>
      </w:r>
      <w:r>
        <w:t xml:space="preserve">. Zato bomo v </w:t>
      </w:r>
      <w:r w:rsidR="00731A62">
        <w:t xml:space="preserve">okviru te aktivnosti za manjše ribogojnice, ki so večinoma kot dopolnilna dejavnost na kmetiji, </w:t>
      </w:r>
      <w:r>
        <w:t>omogočili</w:t>
      </w:r>
      <w:r w:rsidR="00731A62">
        <w:t xml:space="preserve"> </w:t>
      </w:r>
      <w:r w:rsidR="00731A62">
        <w:lastRenderedPageBreak/>
        <w:t xml:space="preserve">lažje dostopanje do EU sredstev s prilagoditvijo razpisov, </w:t>
      </w:r>
      <w:r w:rsidR="00262F47">
        <w:t>ki bodo omogočali le nakup opreme, npr.</w:t>
      </w:r>
      <w:r w:rsidR="00195700">
        <w:t xml:space="preserve"> vpihovalnikov zraka, aeratorjev, opreme za hranjenje rib</w:t>
      </w:r>
      <w:r w:rsidR="00C048FB">
        <w:t xml:space="preserve"> ter druge opreme, ki izboljšuje kakovost vode in ribiških proizvodov</w:t>
      </w:r>
      <w:r w:rsidR="00195700">
        <w:t>. Stroški bodo omejeni na operacijo in na celotno programsko obdobje. P</w:t>
      </w:r>
      <w:r w:rsidR="00731A62">
        <w:t xml:space="preserve">oslovni načrti ne bodo potrebni. </w:t>
      </w:r>
    </w:p>
    <w:p w14:paraId="26AE04CC" w14:textId="21DB8763" w:rsidR="00731A62" w:rsidRDefault="002B5212" w:rsidP="006564CB">
      <w:pPr>
        <w:pBdr>
          <w:top w:val="single" w:sz="4" w:space="1" w:color="auto"/>
          <w:left w:val="single" w:sz="4" w:space="4" w:color="auto"/>
          <w:bottom w:val="single" w:sz="4" w:space="1" w:color="auto"/>
          <w:right w:val="single" w:sz="4" w:space="4" w:color="auto"/>
        </w:pBdr>
        <w:jc w:val="both"/>
      </w:pPr>
      <w:r w:rsidRPr="008E6BB7">
        <w:t>Pričakujemo, da bod</w:t>
      </w:r>
      <w:r>
        <w:t xml:space="preserve">o naložbe v okviru te aktivnosti prispevale k blažitvi podnebnih sprememb, zlasti naložbe v zaprte RAS sisteme, naložbe v opremo za izboljšanje kakovosti vode (vpihovalniki zraka, aeratorji) ter vzreja nizkotrofičnih vrst rib in </w:t>
      </w:r>
      <w:r w:rsidR="00864134">
        <w:t>gojitev</w:t>
      </w:r>
      <w:r>
        <w:t xml:space="preserve"> alg.</w:t>
      </w:r>
    </w:p>
    <w:p w14:paraId="6095CC77" w14:textId="77777777" w:rsidR="002B5212" w:rsidRPr="008E6BB7" w:rsidRDefault="002B5212" w:rsidP="006564CB">
      <w:pPr>
        <w:pBdr>
          <w:top w:val="single" w:sz="4" w:space="1" w:color="auto"/>
          <w:left w:val="single" w:sz="4" w:space="4" w:color="auto"/>
          <w:bottom w:val="single" w:sz="4" w:space="1" w:color="auto"/>
          <w:right w:val="single" w:sz="4" w:space="4" w:color="auto"/>
        </w:pBdr>
        <w:jc w:val="both"/>
      </w:pPr>
    </w:p>
    <w:p w14:paraId="0241B956" w14:textId="0DEAA41E" w:rsidR="00A16346" w:rsidRPr="00A16346" w:rsidRDefault="00A16346" w:rsidP="00A16346">
      <w:pPr>
        <w:pBdr>
          <w:top w:val="single" w:sz="4" w:space="1" w:color="auto"/>
          <w:left w:val="single" w:sz="4" w:space="4" w:color="auto"/>
          <w:bottom w:val="single" w:sz="4" w:space="1" w:color="auto"/>
          <w:right w:val="single" w:sz="4" w:space="4" w:color="auto"/>
        </w:pBdr>
        <w:jc w:val="both"/>
        <w:rPr>
          <w:b/>
        </w:rPr>
      </w:pPr>
      <w:r w:rsidRPr="00A16346">
        <w:rPr>
          <w:b/>
        </w:rPr>
        <w:t xml:space="preserve">2. </w:t>
      </w:r>
      <w:r w:rsidR="00DB3294" w:rsidRPr="00DB3294">
        <w:rPr>
          <w:b/>
        </w:rPr>
        <w:t>Akvakultura, ki ohranja habitate</w:t>
      </w:r>
    </w:p>
    <w:p w14:paraId="3ECD1A78" w14:textId="7DA6CC97" w:rsidR="003B547A" w:rsidRDefault="000F5DE8" w:rsidP="007E346A">
      <w:pPr>
        <w:pBdr>
          <w:top w:val="single" w:sz="4" w:space="1" w:color="auto"/>
          <w:left w:val="single" w:sz="4" w:space="4" w:color="auto"/>
          <w:bottom w:val="single" w:sz="4" w:space="1" w:color="auto"/>
          <w:right w:val="single" w:sz="4" w:space="4" w:color="auto"/>
        </w:pBdr>
        <w:jc w:val="both"/>
      </w:pPr>
      <w:bookmarkStart w:id="13" w:name="_Hlk59456931"/>
      <w:r>
        <w:t>V okviru te aktivnosti bomo ribogojcem izplačevali nadomestila</w:t>
      </w:r>
      <w:r w:rsidR="00CA6ADB">
        <w:t xml:space="preserve"> skladno s členom 26 Uredbe (EU) 2021/1139</w:t>
      </w:r>
      <w:r>
        <w:t>. Gr</w:t>
      </w:r>
      <w:bookmarkEnd w:id="13"/>
      <w:r>
        <w:t>e</w:t>
      </w:r>
      <w:r w:rsidR="007E346A" w:rsidRPr="007E346A">
        <w:t xml:space="preserve"> za </w:t>
      </w:r>
      <w:r w:rsidR="003B547A">
        <w:t xml:space="preserve">nadomestila v akvakulturi, kjer </w:t>
      </w:r>
      <w:r w:rsidR="007E346A" w:rsidRPr="007E346A">
        <w:t xml:space="preserve">je </w:t>
      </w:r>
      <w:r w:rsidR="003B547A">
        <w:t xml:space="preserve">njeno izvajanje </w:t>
      </w:r>
      <w:r w:rsidR="007E346A" w:rsidRPr="007E346A">
        <w:t>odvisno od določenih dejavnosti</w:t>
      </w:r>
      <w:r w:rsidR="00C4336F">
        <w:t>,</w:t>
      </w:r>
      <w:r w:rsidR="007E346A" w:rsidRPr="007E346A">
        <w:t xml:space="preserve"> povezanih z ekosistemskimi, predvsem okoljskimi in socialnimi storitvami ter zunanjimi dejavniki</w:t>
      </w:r>
      <w:r w:rsidR="003B547A">
        <w:t>. Predvidena so nadomestila za naslednje primere:</w:t>
      </w:r>
    </w:p>
    <w:p w14:paraId="1C5742ED" w14:textId="6479D6B0" w:rsidR="003B547A" w:rsidRDefault="003B547A" w:rsidP="008E6BB7">
      <w:pPr>
        <w:pStyle w:val="Odstavekseznama"/>
        <w:numPr>
          <w:ilvl w:val="0"/>
          <w:numId w:val="62"/>
        </w:numPr>
        <w:pBdr>
          <w:top w:val="single" w:sz="4" w:space="1" w:color="auto"/>
          <w:left w:val="single" w:sz="4" w:space="4" w:color="auto"/>
          <w:bottom w:val="single" w:sz="4" w:space="1" w:color="auto"/>
          <w:right w:val="single" w:sz="4" w:space="4" w:color="auto"/>
        </w:pBdr>
        <w:jc w:val="both"/>
      </w:pPr>
      <w:r>
        <w:t>Nadomestila</w:t>
      </w:r>
      <w:r w:rsidRPr="007E346A">
        <w:t xml:space="preserve"> </w:t>
      </w:r>
      <w:r>
        <w:t xml:space="preserve"> za </w:t>
      </w:r>
      <w:r w:rsidRPr="007E346A">
        <w:t>uskladit</w:t>
      </w:r>
      <w:r>
        <w:t>ev</w:t>
      </w:r>
      <w:r w:rsidRPr="007E346A">
        <w:t xml:space="preserve"> dejavnosti akvakulture z varstvenimi cilji in ohranjanje prostoživečih vrst, zato so predvidena tudi nadomestila za tisti del proizvodnje, ki ima omejitve proizvodnih ukrepov v zavarovanih in varovanih območjih in katere se pred plenilci iz narave ne more zaščititi in lahko to pri izvajanju dejavnosti akvakulture prepoznamo tudi kot okoljske storitve.</w:t>
      </w:r>
    </w:p>
    <w:p w14:paraId="14A77784" w14:textId="4A08039E" w:rsidR="003B547A" w:rsidRDefault="003B547A" w:rsidP="008E6BB7">
      <w:pPr>
        <w:pStyle w:val="Odstavekseznama"/>
        <w:numPr>
          <w:ilvl w:val="0"/>
          <w:numId w:val="62"/>
        </w:numPr>
        <w:pBdr>
          <w:top w:val="single" w:sz="4" w:space="1" w:color="auto"/>
          <w:left w:val="single" w:sz="4" w:space="4" w:color="auto"/>
          <w:bottom w:val="single" w:sz="4" w:space="1" w:color="auto"/>
          <w:right w:val="single" w:sz="4" w:space="4" w:color="auto"/>
        </w:pBdr>
        <w:jc w:val="both"/>
      </w:pPr>
      <w:r>
        <w:t>N</w:t>
      </w:r>
      <w:r w:rsidRPr="003B547A">
        <w:t>adomestila v toplovodni akvakulturi</w:t>
      </w:r>
      <w:r>
        <w:t xml:space="preserve"> za </w:t>
      </w:r>
      <w:r w:rsidRPr="003B547A">
        <w:t>izgubo prihodka na toplovodnih ribogojnicah, ki nastane zaradi posebnih pogojev vzreje</w:t>
      </w:r>
      <w:r>
        <w:t xml:space="preserve">, na primer zaradi </w:t>
      </w:r>
      <w:r w:rsidRPr="003B547A">
        <w:t>prepoved</w:t>
      </w:r>
      <w:r>
        <w:t>i</w:t>
      </w:r>
      <w:r w:rsidRPr="003B547A">
        <w:t xml:space="preserve"> krmljenja</w:t>
      </w:r>
      <w:r>
        <w:t xml:space="preserve"> ali zaradi prepovedi krmljenja rib in </w:t>
      </w:r>
      <w:r w:rsidRPr="003B547A">
        <w:t>gnojenja</w:t>
      </w:r>
      <w:r>
        <w:t xml:space="preserve"> ribnikov.</w:t>
      </w:r>
    </w:p>
    <w:p w14:paraId="307BF3A0" w14:textId="0303B7D1" w:rsidR="00CA6ADB" w:rsidRPr="008E6BB7" w:rsidRDefault="00CA6ADB" w:rsidP="008E6BB7">
      <w:pPr>
        <w:pStyle w:val="Odstavekseznama"/>
        <w:numPr>
          <w:ilvl w:val="0"/>
          <w:numId w:val="62"/>
        </w:numPr>
        <w:pBdr>
          <w:top w:val="single" w:sz="4" w:space="1" w:color="auto"/>
          <w:left w:val="single" w:sz="4" w:space="4" w:color="auto"/>
          <w:bottom w:val="single" w:sz="4" w:space="1" w:color="auto"/>
          <w:right w:val="single" w:sz="4" w:space="4" w:color="auto"/>
        </w:pBdr>
        <w:jc w:val="both"/>
        <w:rPr>
          <w:color w:val="FF0000"/>
        </w:rPr>
      </w:pPr>
      <w:r w:rsidRPr="00904E25">
        <w:t xml:space="preserve">Nadomestila v primeru prepovedi prodaje mehkužcev zaradi planktona, ki proizvaja biotoksine. Prepoved prometa s školjkami zaradi pojava alg in toksinov predstavlja </w:t>
      </w:r>
      <w:r w:rsidR="00904E25" w:rsidRPr="00904E25">
        <w:t>veliko</w:t>
      </w:r>
      <w:r w:rsidRPr="00904E25">
        <w:t xml:space="preserve"> nevarnost za poslovanje vsakega pravnega subjekta. Ne </w:t>
      </w:r>
      <w:r w:rsidRPr="00CA6ADB">
        <w:t>samo, da se školjk v tem času ne sme dajati na trg, školjke tudi prerastejo konzumno velikost in so primerne le še za predelavo, kjer je cena bistveno nižja, prodajna cena pade tudi po odpravi prepovedi, saj je na trgu naenkrat ponudba večja od povpraševanja, kljub prepovedi prometa s školjkami pa morajo izvajati vsa redna opravila na gojiščih, tako da stroški tekočega poslovanja ostajajo.</w:t>
      </w:r>
    </w:p>
    <w:p w14:paraId="2B7B219F" w14:textId="787DE57E" w:rsidR="00CA6ADB" w:rsidRPr="008E6BB7" w:rsidRDefault="00CA6ADB" w:rsidP="008E6BB7">
      <w:pPr>
        <w:pStyle w:val="Odstavekseznama"/>
        <w:numPr>
          <w:ilvl w:val="0"/>
          <w:numId w:val="62"/>
        </w:numPr>
        <w:pBdr>
          <w:top w:val="single" w:sz="4" w:space="1" w:color="auto"/>
          <w:left w:val="single" w:sz="4" w:space="4" w:color="auto"/>
          <w:bottom w:val="single" w:sz="4" w:space="1" w:color="auto"/>
          <w:right w:val="single" w:sz="4" w:space="4" w:color="auto"/>
        </w:pBdr>
        <w:jc w:val="both"/>
        <w:rPr>
          <w:color w:val="FF0000"/>
        </w:rPr>
      </w:pPr>
      <w:r>
        <w:t xml:space="preserve">Če se bo izkazala potreba, se bodo v okviru te aktivnosti izplačevala tudi nadomestila za prehod na ekološko vzrejo. </w:t>
      </w:r>
    </w:p>
    <w:p w14:paraId="47989A59" w14:textId="42D5950E" w:rsidR="00EC668A" w:rsidRDefault="00DC126A" w:rsidP="009360D9">
      <w:pPr>
        <w:pBdr>
          <w:top w:val="single" w:sz="4" w:space="1" w:color="auto"/>
          <w:left w:val="single" w:sz="4" w:space="4" w:color="auto"/>
          <w:bottom w:val="single" w:sz="4" w:space="1" w:color="auto"/>
          <w:right w:val="single" w:sz="4" w:space="4" w:color="auto"/>
        </w:pBdr>
        <w:jc w:val="both"/>
      </w:pPr>
      <w:r>
        <w:t>Nadomestila se bodo izplačevala v obliki poenostavljenih stroškov obračunavanja, MKGP je že pripravil metodologijo</w:t>
      </w:r>
      <w:r w:rsidR="00CA6ADB">
        <w:t xml:space="preserve"> za izračunavanje izplačil upravičencem za primere </w:t>
      </w:r>
      <w:r w:rsidR="00904E25">
        <w:t>a</w:t>
      </w:r>
      <w:r w:rsidR="00CA6ADB">
        <w:t xml:space="preserve">), </w:t>
      </w:r>
      <w:r w:rsidR="00904E25">
        <w:t>b</w:t>
      </w:r>
      <w:r w:rsidR="00CA6ADB">
        <w:t xml:space="preserve">) in </w:t>
      </w:r>
      <w:r w:rsidR="00904E25">
        <w:t>c</w:t>
      </w:r>
      <w:r w:rsidR="00CA6ADB">
        <w:t>)</w:t>
      </w:r>
      <w:r w:rsidR="00321C48">
        <w:t>.</w:t>
      </w:r>
    </w:p>
    <w:p w14:paraId="04D8FC9B" w14:textId="6B0D7550" w:rsidR="00137227" w:rsidRDefault="00137227" w:rsidP="009360D9">
      <w:pPr>
        <w:pBdr>
          <w:top w:val="single" w:sz="4" w:space="1" w:color="auto"/>
          <w:left w:val="single" w:sz="4" w:space="4" w:color="auto"/>
          <w:bottom w:val="single" w:sz="4" w:space="1" w:color="auto"/>
          <w:right w:val="single" w:sz="4" w:space="4" w:color="auto"/>
        </w:pBdr>
        <w:jc w:val="both"/>
      </w:pPr>
    </w:p>
    <w:p w14:paraId="7E5A6FBA" w14:textId="4A1FFE6F" w:rsidR="00137227" w:rsidRDefault="00137227" w:rsidP="009360D9">
      <w:pPr>
        <w:pBdr>
          <w:top w:val="single" w:sz="4" w:space="1" w:color="auto"/>
          <w:left w:val="single" w:sz="4" w:space="4" w:color="auto"/>
          <w:bottom w:val="single" w:sz="4" w:space="1" w:color="auto"/>
          <w:right w:val="single" w:sz="4" w:space="4" w:color="auto"/>
        </w:pBdr>
        <w:jc w:val="both"/>
      </w:pPr>
      <w:r>
        <w:t xml:space="preserve">V primeru pojava izrednih dogodkov, ki jih ugotovi Evropska komisija, se bo ta aktivnost uporabila tudi za izvajanje točke a) 2. odstavka 26. člena Uredbe (EU)  2021/1139. </w:t>
      </w:r>
    </w:p>
    <w:p w14:paraId="77A08803" w14:textId="70411BE7" w:rsidR="00C4336F" w:rsidRDefault="00C4336F" w:rsidP="007E346A">
      <w:pPr>
        <w:pBdr>
          <w:top w:val="single" w:sz="4" w:space="1" w:color="auto"/>
          <w:left w:val="single" w:sz="4" w:space="4" w:color="auto"/>
          <w:bottom w:val="single" w:sz="4" w:space="1" w:color="auto"/>
          <w:right w:val="single" w:sz="4" w:space="4" w:color="auto"/>
        </w:pBdr>
        <w:jc w:val="both"/>
      </w:pPr>
    </w:p>
    <w:p w14:paraId="0CD853A6" w14:textId="60F51BA9" w:rsidR="006F09CA" w:rsidRPr="006F09CA" w:rsidRDefault="006F09CA" w:rsidP="007E346A">
      <w:pPr>
        <w:pBdr>
          <w:top w:val="single" w:sz="4" w:space="1" w:color="auto"/>
          <w:left w:val="single" w:sz="4" w:space="4" w:color="auto"/>
          <w:bottom w:val="single" w:sz="4" w:space="1" w:color="auto"/>
          <w:right w:val="single" w:sz="4" w:space="4" w:color="auto"/>
        </w:pBdr>
        <w:jc w:val="both"/>
        <w:rPr>
          <w:b/>
        </w:rPr>
      </w:pPr>
      <w:r w:rsidRPr="006F09CA">
        <w:rPr>
          <w:b/>
        </w:rPr>
        <w:t>3.</w:t>
      </w:r>
      <w:r w:rsidRPr="006F09CA">
        <w:rPr>
          <w:b/>
        </w:rPr>
        <w:tab/>
        <w:t>Akvakultura, ki temelji na znanju, in raziskave</w:t>
      </w:r>
    </w:p>
    <w:p w14:paraId="1679A294" w14:textId="538C4146" w:rsidR="00321C48" w:rsidRDefault="006F09CA" w:rsidP="006F09CA">
      <w:pPr>
        <w:pBdr>
          <w:top w:val="single" w:sz="4" w:space="1" w:color="auto"/>
          <w:left w:val="single" w:sz="4" w:space="4" w:color="auto"/>
          <w:bottom w:val="single" w:sz="4" w:space="1" w:color="auto"/>
          <w:right w:val="single" w:sz="4" w:space="4" w:color="auto"/>
        </w:pBdr>
        <w:jc w:val="both"/>
      </w:pPr>
      <w:r w:rsidRPr="00C54E3D">
        <w:t>Razen določenih izjem</w:t>
      </w:r>
      <w:r>
        <w:t>,</w:t>
      </w:r>
      <w:r w:rsidRPr="00C54E3D">
        <w:t xml:space="preserve"> lahko v akvakulturi govorimo o nizki stopnji profesionalizacije dejavnosti. </w:t>
      </w:r>
      <w:r w:rsidR="00321C48">
        <w:t>Razvoja si ni mogoče predstavljati brez nenehnega doseganja novih znanj in usposabljanja. Iz SWOT analize izhaja, da v sektorju akvakulture obstajajo p</w:t>
      </w:r>
      <w:r w:rsidRPr="00C54E3D">
        <w:t xml:space="preserve">otrebe po znanju na področju tehnologij in digitalizacijskih veščin, </w:t>
      </w:r>
      <w:r>
        <w:t>i</w:t>
      </w:r>
      <w:r w:rsidRPr="00C54E3D">
        <w:t>zboljšanju trženjske</w:t>
      </w:r>
      <w:r>
        <w:t>ga</w:t>
      </w:r>
      <w:r w:rsidRPr="00C54E3D">
        <w:t xml:space="preserve"> in upravljavske</w:t>
      </w:r>
      <w:r>
        <w:t>ga</w:t>
      </w:r>
      <w:r w:rsidRPr="00C54E3D">
        <w:t xml:space="preserve"> znanj</w:t>
      </w:r>
      <w:r>
        <w:t>a</w:t>
      </w:r>
      <w:r w:rsidRPr="00C54E3D">
        <w:t xml:space="preserve"> ter veščin</w:t>
      </w:r>
      <w:r>
        <w:t xml:space="preserve"> in </w:t>
      </w:r>
      <w:r w:rsidRPr="00081913">
        <w:t xml:space="preserve">usposabljanja zaposlenih v sistemih prehrane o ravnanju </w:t>
      </w:r>
      <w:r>
        <w:t>z</w:t>
      </w:r>
      <w:r w:rsidRPr="00081913">
        <w:t xml:space="preserve"> odpadki</w:t>
      </w:r>
      <w:r>
        <w:t>.</w:t>
      </w:r>
      <w:r w:rsidRPr="00081913">
        <w:t xml:space="preserve"> </w:t>
      </w:r>
      <w:r w:rsidR="00321C48">
        <w:t xml:space="preserve">Izvajali se bodo naslednji tipi aktivnosti: </w:t>
      </w:r>
    </w:p>
    <w:p w14:paraId="233A000A" w14:textId="10F4B559" w:rsidR="00904E25" w:rsidRDefault="00904E25" w:rsidP="006F09CA">
      <w:pPr>
        <w:pBdr>
          <w:top w:val="single" w:sz="4" w:space="1" w:color="auto"/>
          <w:left w:val="single" w:sz="4" w:space="4" w:color="auto"/>
          <w:bottom w:val="single" w:sz="4" w:space="1" w:color="auto"/>
          <w:right w:val="single" w:sz="4" w:space="4" w:color="auto"/>
        </w:pBdr>
        <w:jc w:val="both"/>
      </w:pPr>
      <w:r>
        <w:t>a</w:t>
      </w:r>
      <w:r w:rsidR="00321C48" w:rsidRPr="008B2B14">
        <w:t xml:space="preserve">) </w:t>
      </w:r>
      <w:r w:rsidR="0068706D" w:rsidRPr="008B2B14">
        <w:t>Vzpostavitev platforme za prenos znanj.</w:t>
      </w:r>
      <w:r w:rsidR="0068706D">
        <w:t xml:space="preserve"> V okviru tega tipa aktivnosti je cilj pripraviti </w:t>
      </w:r>
      <w:r w:rsidR="00321C48">
        <w:t>zbir novosti na področju akvakulture</w:t>
      </w:r>
      <w:r w:rsidR="0068706D">
        <w:t xml:space="preserve"> (newsletter</w:t>
      </w:r>
      <w:r w:rsidR="003A50BA">
        <w:t>, tudi v tiskani obliki</w:t>
      </w:r>
      <w:r w:rsidR="0068706D">
        <w:t>)</w:t>
      </w:r>
      <w:r w:rsidR="003A50BA">
        <w:t>. Zbrale naj bi se informacije o novostih (prakse, metodologije, vrste)</w:t>
      </w:r>
      <w:r w:rsidR="00321C48">
        <w:t>, tako v EU kot v Sloveniji</w:t>
      </w:r>
      <w:r w:rsidR="003A50BA">
        <w:t xml:space="preserve">, opisali </w:t>
      </w:r>
      <w:r w:rsidR="001A1E0E">
        <w:t>postopki</w:t>
      </w:r>
      <w:r w:rsidR="003A50BA">
        <w:t xml:space="preserve"> za pridobivanje dovoljenj, izpostavili bi dobre prakse v Sloveniji in v drugih državah EU, obveščali o smernicah, ki jih sprejema Svetovalni svrt za </w:t>
      </w:r>
      <w:r w:rsidR="001A1E0E">
        <w:t>akvakulturo</w:t>
      </w:r>
      <w:r w:rsidR="003A50BA">
        <w:t xml:space="preserve">, o publikacijah EUMOFA in vseh prihajajoči srečanjih, povezanih z akvakulturo (na ravni EU in na ravni RS). Dotaknili bi se tem, ki so z akvakulturo </w:t>
      </w:r>
      <w:r w:rsidR="003A50BA">
        <w:lastRenderedPageBreak/>
        <w:t xml:space="preserve">tesno povezane: prostor, vplivi na okolje, samooskrba, zdravje dobrobit živali, statistični podatki o akvakulturi v RS, rezultati študij in drugih aktivnosti, povezanih z akvakulturo. S tem si želimo </w:t>
      </w:r>
      <w:r w:rsidR="0068706D">
        <w:t>vzpostaviti</w:t>
      </w:r>
      <w:r w:rsidR="00321C48">
        <w:t xml:space="preserve"> sistem za prenos teh informacij od sektorja</w:t>
      </w:r>
      <w:r w:rsidR="0068706D">
        <w:t xml:space="preserve"> do upravljalcev in od upravljalcev do sektorja, prav tako pa za prenos med posamezniki v sektorju</w:t>
      </w:r>
      <w:r w:rsidR="00321C48">
        <w:t xml:space="preserve">. Zaradi razpršenosti in slabše povezanosti subjektov akvakulture je treba krepiti zavedanje o tem, da je za razvoj akvakulture </w:t>
      </w:r>
      <w:r w:rsidR="00910A0C">
        <w:t>treba</w:t>
      </w:r>
      <w:r w:rsidR="00321C48">
        <w:t xml:space="preserve"> vlagati sredstva</w:t>
      </w:r>
      <w:r w:rsidR="00910A0C">
        <w:t xml:space="preserve"> v znanje</w:t>
      </w:r>
      <w:r w:rsidR="0068706D">
        <w:t xml:space="preserve"> o različnih tehnologijah in vrstah, ki se drugod gojijo, novostih na področju akvakulture. V okviru platforme bo dana tudi možnost za naslavljanje specifičnih vprašanj akvakulture</w:t>
      </w:r>
      <w:r w:rsidR="00910A0C">
        <w:t>, kot so zaprti RAS sistemi, ekološka vzreja ipd</w:t>
      </w:r>
      <w:r w:rsidR="0068706D">
        <w:t>.</w:t>
      </w:r>
    </w:p>
    <w:p w14:paraId="0F81840B" w14:textId="7A6B6635" w:rsidR="0068706D" w:rsidRDefault="0068706D" w:rsidP="006F09CA">
      <w:pPr>
        <w:pBdr>
          <w:top w:val="single" w:sz="4" w:space="1" w:color="auto"/>
          <w:left w:val="single" w:sz="4" w:space="4" w:color="auto"/>
          <w:bottom w:val="single" w:sz="4" w:space="1" w:color="auto"/>
          <w:right w:val="single" w:sz="4" w:space="4" w:color="auto"/>
        </w:pBdr>
        <w:jc w:val="both"/>
      </w:pPr>
    </w:p>
    <w:p w14:paraId="2AD44B32" w14:textId="569D4EA7" w:rsidR="00904E25" w:rsidRDefault="00904E25" w:rsidP="006F09CA">
      <w:pPr>
        <w:pBdr>
          <w:top w:val="single" w:sz="4" w:space="1" w:color="auto"/>
          <w:left w:val="single" w:sz="4" w:space="4" w:color="auto"/>
          <w:bottom w:val="single" w:sz="4" w:space="1" w:color="auto"/>
          <w:right w:val="single" w:sz="4" w:space="4" w:color="auto"/>
        </w:pBdr>
        <w:jc w:val="both"/>
      </w:pPr>
      <w:r>
        <w:t>b</w:t>
      </w:r>
      <w:r w:rsidR="0068706D">
        <w:t xml:space="preserve">) </w:t>
      </w:r>
      <w:r w:rsidR="006F09CA" w:rsidRPr="008B2B14">
        <w:t>Usposabljanje z mreženjem</w:t>
      </w:r>
      <w:r w:rsidR="0068706D" w:rsidRPr="008B2B14">
        <w:t>. Ta</w:t>
      </w:r>
      <w:r w:rsidR="0068706D">
        <w:t xml:space="preserve"> tip aktivnosti bo </w:t>
      </w:r>
      <w:r w:rsidR="006F09CA" w:rsidRPr="00C54E3D">
        <w:t>pomembno</w:t>
      </w:r>
      <w:r w:rsidR="0068706D">
        <w:t xml:space="preserve"> prispeval</w:t>
      </w:r>
      <w:r w:rsidR="006F09CA" w:rsidRPr="00C54E3D">
        <w:t xml:space="preserve"> </w:t>
      </w:r>
      <w:r w:rsidR="0068706D">
        <w:t>k</w:t>
      </w:r>
      <w:r w:rsidR="0068706D" w:rsidRPr="00C54E3D">
        <w:t xml:space="preserve"> </w:t>
      </w:r>
      <w:r w:rsidR="006F09CA" w:rsidRPr="00C54E3D">
        <w:t>širjenju znanj in drugih informacij v samem sektorju</w:t>
      </w:r>
      <w:r w:rsidR="003907F5">
        <w:t>. Najelo se bo zunanje strokovnj</w:t>
      </w:r>
      <w:r w:rsidR="007B65B8">
        <w:t>ake</w:t>
      </w:r>
      <w:r w:rsidR="003907F5">
        <w:t>, ki bo</w:t>
      </w:r>
      <w:r w:rsidR="007B65B8">
        <w:t>do</w:t>
      </w:r>
      <w:r w:rsidR="003907F5">
        <w:t>, po predhodni uskladitvi s sektorjem, le-temu ponudil</w:t>
      </w:r>
      <w:r w:rsidR="007B65B8">
        <w:t>i</w:t>
      </w:r>
      <w:r w:rsidR="003907F5">
        <w:t xml:space="preserve"> program usposabljanj na področjih, ki  bodo zaznana skladno s potrebami sektorja. Poudarek bo na inovativnih pristopih in</w:t>
      </w:r>
      <w:r w:rsidR="006F09CA" w:rsidRPr="00C54E3D">
        <w:t xml:space="preserve"> </w:t>
      </w:r>
      <w:r w:rsidR="003907F5">
        <w:t>novih tehnologijah v akvakulturi</w:t>
      </w:r>
      <w:r w:rsidR="0027738C">
        <w:t>, spoznavanju praks</w:t>
      </w:r>
      <w:r w:rsidR="003907F5">
        <w:t xml:space="preserve"> v ekološki vzreji. </w:t>
      </w:r>
      <w:r w:rsidR="003907F5" w:rsidRPr="003907F5">
        <w:t>Pri tem je treba še izpostaviti različne možnosti vstopa v različne sheme kakovosti z označevanj</w:t>
      </w:r>
      <w:r w:rsidR="003907F5">
        <w:t>em</w:t>
      </w:r>
      <w:r w:rsidR="003907F5" w:rsidRPr="003907F5">
        <w:t xml:space="preserve"> proizvodov iz akvakulture z dodano vrednostjo, ki so </w:t>
      </w:r>
      <w:r w:rsidR="003907F5">
        <w:t xml:space="preserve">sektorju že bile </w:t>
      </w:r>
      <w:r w:rsidR="003907F5" w:rsidRPr="003907F5">
        <w:t>predstavljene v preteklem obdobju.</w:t>
      </w:r>
      <w:r w:rsidR="003907F5">
        <w:t xml:space="preserve"> Ta tip aktivnosti bo s pomočjo </w:t>
      </w:r>
      <w:r w:rsidR="006F09CA" w:rsidRPr="00C54E3D">
        <w:t xml:space="preserve">izmenjave znanja in dobrih praks med deležniki zagotovil </w:t>
      </w:r>
      <w:r w:rsidR="003907F5">
        <w:t>boljše</w:t>
      </w:r>
      <w:r w:rsidR="003907F5" w:rsidRPr="00C54E3D">
        <w:t xml:space="preserve"> </w:t>
      </w:r>
      <w:r w:rsidR="006F09CA" w:rsidRPr="00C54E3D">
        <w:t xml:space="preserve">povezovanje sektorja in s tem </w:t>
      </w:r>
      <w:r w:rsidR="003907F5">
        <w:t>povečal</w:t>
      </w:r>
      <w:r w:rsidR="003907F5" w:rsidRPr="00C54E3D">
        <w:t xml:space="preserve"> </w:t>
      </w:r>
      <w:r w:rsidR="006F09CA" w:rsidRPr="00C54E3D">
        <w:t>možnosti za vzpostavljanje organizacije proizvajalcev, k</w:t>
      </w:r>
      <w:r w:rsidR="003907F5">
        <w:t>ar</w:t>
      </w:r>
      <w:r w:rsidR="006F09CA" w:rsidRPr="00C54E3D">
        <w:t xml:space="preserve"> se bo podpiralo</w:t>
      </w:r>
      <w:r w:rsidR="006F09CA">
        <w:t>,</w:t>
      </w:r>
      <w:r w:rsidR="006F09CA" w:rsidRPr="00C54E3D">
        <w:t xml:space="preserve"> </w:t>
      </w:r>
      <w:r w:rsidR="003907F5">
        <w:t xml:space="preserve">če </w:t>
      </w:r>
      <w:r w:rsidR="006F09CA" w:rsidRPr="00C54E3D">
        <w:t>bo to v interesu sektorja. Omogočilo pa se bo tudi povezovanje izven sektorja tako z veterinarskimi, naravovarstvenimi in drugimi organizacijami. Spodbujanje digitalne zmogljivosti in spretnosti deležnikov je tudi eden od ciljev »Strategije EU od vil do vilic«, zato je treba z namenom spodbujanja digitalne zmogljivosti podjetij omogočiti digitalizacijski prehod s pomočjo izboljšanja digitalne pismenosti in krepitvijo digitalnih znanj in spretnosti deležnikov.</w:t>
      </w:r>
    </w:p>
    <w:p w14:paraId="63C8AE92" w14:textId="0F26E86E" w:rsidR="006F09CA" w:rsidRDefault="006F09CA" w:rsidP="006F09CA">
      <w:pPr>
        <w:pBdr>
          <w:top w:val="single" w:sz="4" w:space="1" w:color="auto"/>
          <w:left w:val="single" w:sz="4" w:space="4" w:color="auto"/>
          <w:bottom w:val="single" w:sz="4" w:space="1" w:color="auto"/>
          <w:right w:val="single" w:sz="4" w:space="4" w:color="auto"/>
        </w:pBdr>
        <w:jc w:val="both"/>
      </w:pPr>
    </w:p>
    <w:p w14:paraId="4A0E5074" w14:textId="701DA9A9" w:rsidR="00A9384B" w:rsidRPr="00A9384B" w:rsidRDefault="00904E25" w:rsidP="00803B28">
      <w:pPr>
        <w:pBdr>
          <w:top w:val="single" w:sz="4" w:space="1" w:color="auto"/>
          <w:left w:val="single" w:sz="4" w:space="4" w:color="auto"/>
          <w:bottom w:val="single" w:sz="4" w:space="1" w:color="auto"/>
          <w:right w:val="single" w:sz="4" w:space="4" w:color="auto"/>
        </w:pBdr>
        <w:jc w:val="both"/>
      </w:pPr>
      <w:r>
        <w:t>c</w:t>
      </w:r>
      <w:r w:rsidR="00A9384B" w:rsidRPr="008B2B14">
        <w:t>) Študije in raziskave v akvakulturi.</w:t>
      </w:r>
      <w:r w:rsidR="00A9384B">
        <w:t xml:space="preserve"> </w:t>
      </w:r>
      <w:r w:rsidR="0048057D">
        <w:t xml:space="preserve">V okviru </w:t>
      </w:r>
      <w:r w:rsidR="006F09CA">
        <w:t xml:space="preserve">te aktivnosti bomo za zagotovitev boljših podatkov in s tem izboljšanje upravljanja akvakulturne dejavnosti sofinancirali </w:t>
      </w:r>
      <w:r w:rsidR="006F09CA" w:rsidRPr="006F09CA">
        <w:t>tudi št</w:t>
      </w:r>
      <w:r w:rsidR="006F09CA">
        <w:t xml:space="preserve">udije </w:t>
      </w:r>
      <w:r w:rsidR="00A9384B">
        <w:t xml:space="preserve">in raziskave v </w:t>
      </w:r>
      <w:r w:rsidR="006F09CA">
        <w:t>akvakultur</w:t>
      </w:r>
      <w:r w:rsidR="00A9384B">
        <w:t xml:space="preserve">i, na primer </w:t>
      </w:r>
      <w:r w:rsidR="006F09CA">
        <w:t>vpliv akvakulturne dejavnosti na okolje</w:t>
      </w:r>
      <w:r w:rsidR="00A9384B">
        <w:t xml:space="preserve"> (na kakovost voda)</w:t>
      </w:r>
      <w:r w:rsidR="00803B28">
        <w:t>.</w:t>
      </w:r>
      <w:r w:rsidR="007B65B8">
        <w:t xml:space="preserve"> </w:t>
      </w:r>
      <w:r w:rsidR="00A74B84">
        <w:t xml:space="preserve">V </w:t>
      </w:r>
      <w:r w:rsidR="00A9384B">
        <w:t xml:space="preserve">okviru tega tipa aktivnosti si želimo pridobiti podatke </w:t>
      </w:r>
      <w:r w:rsidR="00A9384B" w:rsidRPr="006F09CA">
        <w:t>o hranilnih vrednostih školjk</w:t>
      </w:r>
      <w:r w:rsidR="00A9384B">
        <w:t>, kar bi nam zelo pomagalo pri usmerjanju promocijskih aktivnosti na cilju 2.2</w:t>
      </w:r>
      <w:r w:rsidR="00A74B84">
        <w:t xml:space="preserve">. Ta raziskava je </w:t>
      </w:r>
      <w:r w:rsidR="00803B28" w:rsidRPr="006F09CA">
        <w:t>eden od delovnih paketov projekta, ki je dobil značko Jadransko-Jonske makro</w:t>
      </w:r>
      <w:r w:rsidR="00803B28">
        <w:t xml:space="preserve"> </w:t>
      </w:r>
      <w:r w:rsidR="00803B28" w:rsidRPr="006F09CA">
        <w:t>regije</w:t>
      </w:r>
      <w:r w:rsidR="00803B28">
        <w:t>, stebra Modra rast</w:t>
      </w:r>
      <w:r w:rsidR="00803B28" w:rsidRPr="006F09CA">
        <w:t>.</w:t>
      </w:r>
      <w:r w:rsidR="00A9384B" w:rsidRPr="006F09CA">
        <w:t>.</w:t>
      </w:r>
      <w:r w:rsidR="00803B28">
        <w:t xml:space="preserve"> V okviru študij bomo tudi financirali študijo o izkoriščenosti kapacitet na trenutno določenih območjih marikulture in v okviru podeljenih vodnih dovoljenj. Omenjena študija oziroma zapolnjenost obstoječih območij je tudi eden od ukrepov za umeščanje novih območij marikulture na morju v Pomorskem prostorskem planu. Če bodo v vmesnem času sprejete ustrezne pravne podlage za umeščanje novih območij marikulture na morju, bomo v okviru te aktivnosti financirali tudi monitoring vpliva novih ribogojnic na okoljsko stanje morje, ki je ukrep, zapisan v Načrtu upravljanja z morskim okoljem za obdobje 2022-2027. </w:t>
      </w:r>
      <w:r w:rsidR="007B65B8">
        <w:t xml:space="preserve">Predvidena je </w:t>
      </w:r>
      <w:r w:rsidR="001A1E0E">
        <w:t>tudi</w:t>
      </w:r>
      <w:r w:rsidR="007B65B8">
        <w:t xml:space="preserve"> študija o ekonomskih zmožnostih za vzpostavitev ekološke vzreje. </w:t>
      </w:r>
    </w:p>
    <w:p w14:paraId="64D779A8" w14:textId="43B90B33" w:rsidR="00B61A9C" w:rsidRPr="00B61A9C" w:rsidRDefault="00B61A9C" w:rsidP="006F09CA">
      <w:pPr>
        <w:pBdr>
          <w:top w:val="single" w:sz="4" w:space="1" w:color="auto"/>
          <w:left w:val="single" w:sz="4" w:space="4" w:color="auto"/>
          <w:bottom w:val="single" w:sz="4" w:space="1" w:color="auto"/>
          <w:right w:val="single" w:sz="4" w:space="4" w:color="auto"/>
        </w:pBdr>
        <w:jc w:val="both"/>
        <w:rPr>
          <w:b/>
        </w:rPr>
      </w:pPr>
    </w:p>
    <w:p w14:paraId="2CEF87B5" w14:textId="17ACB257" w:rsidR="00B61A9C" w:rsidRDefault="00B61A9C" w:rsidP="006F09CA">
      <w:pPr>
        <w:pBdr>
          <w:top w:val="single" w:sz="4" w:space="1" w:color="auto"/>
          <w:left w:val="single" w:sz="4" w:space="4" w:color="auto"/>
          <w:bottom w:val="single" w:sz="4" w:space="1" w:color="auto"/>
          <w:right w:val="single" w:sz="4" w:space="4" w:color="auto"/>
        </w:pBdr>
        <w:jc w:val="both"/>
        <w:rPr>
          <w:b/>
        </w:rPr>
      </w:pPr>
      <w:r w:rsidRPr="00B61A9C">
        <w:rPr>
          <w:b/>
        </w:rPr>
        <w:t>4. Inovacije v akvakulturi</w:t>
      </w:r>
    </w:p>
    <w:p w14:paraId="6263B9C8" w14:textId="02715F40" w:rsidR="008B2B14" w:rsidRDefault="008B2B14" w:rsidP="008B2B14">
      <w:pPr>
        <w:pBdr>
          <w:top w:val="single" w:sz="4" w:space="1" w:color="auto"/>
          <w:left w:val="single" w:sz="4" w:space="4" w:color="auto"/>
          <w:bottom w:val="single" w:sz="4" w:space="1" w:color="auto"/>
          <w:right w:val="single" w:sz="4" w:space="4" w:color="auto"/>
        </w:pBdr>
        <w:tabs>
          <w:tab w:val="left" w:pos="496"/>
        </w:tabs>
        <w:jc w:val="both"/>
      </w:pPr>
      <w:r>
        <w:t>Inovacije so temelj prihodnjega razvoja. Za ukrep inovacije v akvakulturi v programski perspektivi 2014-2020  je sicer bilo nekaj interesa in pobud, vendar se operacije na tem ukrepu niso izvajale, kar bi lahko pripisali pomankanju konkretnih idej, ki bi sledile osnovnim ciljem inovacij v akvakulturi, v začetku zelo slab odziv sektorja, nadalje za vlagatelja prenizka stopnja sofinanciranja, neupravičenost stroškov nakupa opreme, za nekatere operacije previsoka merila, pa tudi neustrezni kazalniki, katerih neizpolnjevanje bi vodilo v vračanje sredstev. Kljub temu smo na delavnicah za pripravo nove prog</w:t>
      </w:r>
      <w:r w:rsidR="009662E6">
        <w:t xml:space="preserve">ramske perspektive zaznali, da </w:t>
      </w:r>
      <w:r>
        <w:t xml:space="preserve">podjetja v akvakulturi prepoznavajo potrebo po tem, da iščejo nove rešitve, metode in ideje. </w:t>
      </w:r>
      <w:r w:rsidR="00696398">
        <w:t xml:space="preserve">Pri pripravi aktivnosti bomo upoštevali dosedanje izkušnje in poskušali inovacije bolj približati vlagateljem. Same operacije se bodo izvajale v sodelovanju z raziskovalno inštitucijo, ali pa bo le ta morala potrditi rezultate </w:t>
      </w:r>
      <w:r w:rsidR="00696398">
        <w:lastRenderedPageBreak/>
        <w:t xml:space="preserve">inovacije. V okviru SWOT analize </w:t>
      </w:r>
      <w:r>
        <w:t xml:space="preserve">je bila v sektorju akvakulture prepoznana potreba </w:t>
      </w:r>
      <w:r w:rsidR="00904E25">
        <w:t xml:space="preserve">po </w:t>
      </w:r>
      <w:r w:rsidR="00696398">
        <w:t>naslednjih tipih</w:t>
      </w:r>
      <w:r>
        <w:t xml:space="preserve"> aktivnosti:</w:t>
      </w:r>
    </w:p>
    <w:p w14:paraId="743C9ED9" w14:textId="77777777" w:rsidR="008B2B14" w:rsidRDefault="008B2B14" w:rsidP="008B2B14">
      <w:pPr>
        <w:pBdr>
          <w:top w:val="single" w:sz="4" w:space="1" w:color="auto"/>
          <w:left w:val="single" w:sz="4" w:space="4" w:color="auto"/>
          <w:bottom w:val="single" w:sz="4" w:space="1" w:color="auto"/>
          <w:right w:val="single" w:sz="4" w:space="4" w:color="auto"/>
        </w:pBdr>
        <w:tabs>
          <w:tab w:val="left" w:pos="496"/>
        </w:tabs>
        <w:jc w:val="both"/>
      </w:pPr>
    </w:p>
    <w:p w14:paraId="7C327897" w14:textId="3D02A0EC" w:rsidR="008B2B14" w:rsidRDefault="00904E25" w:rsidP="008B2B14">
      <w:pPr>
        <w:pBdr>
          <w:top w:val="single" w:sz="4" w:space="1" w:color="auto"/>
          <w:left w:val="single" w:sz="4" w:space="4" w:color="auto"/>
          <w:bottom w:val="single" w:sz="4" w:space="1" w:color="auto"/>
          <w:right w:val="single" w:sz="4" w:space="4" w:color="auto"/>
        </w:pBdr>
        <w:tabs>
          <w:tab w:val="left" w:pos="496"/>
        </w:tabs>
        <w:jc w:val="both"/>
      </w:pPr>
      <w:r>
        <w:t>a</w:t>
      </w:r>
      <w:r w:rsidR="008B2B14">
        <w:t>) Inovacije za boljše izkoriščanj</w:t>
      </w:r>
      <w:r w:rsidR="001A1E0E">
        <w:t>e</w:t>
      </w:r>
      <w:r w:rsidR="008B2B14">
        <w:t xml:space="preserve"> naravnih virov</w:t>
      </w:r>
    </w:p>
    <w:p w14:paraId="04EC4B72" w14:textId="06658070" w:rsidR="00696398" w:rsidRDefault="008B2B14" w:rsidP="008B2B14">
      <w:pPr>
        <w:pBdr>
          <w:top w:val="single" w:sz="4" w:space="1" w:color="auto"/>
          <w:left w:val="single" w:sz="4" w:space="4" w:color="auto"/>
          <w:bottom w:val="single" w:sz="4" w:space="1" w:color="auto"/>
          <w:right w:val="single" w:sz="4" w:space="4" w:color="auto"/>
        </w:pBdr>
        <w:tabs>
          <w:tab w:val="left" w:pos="496"/>
        </w:tabs>
        <w:jc w:val="both"/>
      </w:pPr>
      <w:r>
        <w:t>V okviru tega tipa aktivnosti bi izvajali na primer uvajanje zaprtih sistemov za vzrejo novih vrst rib, rakov in alg, v marikulturi z uvajanjem novih vrst mehkužcev in gojenjem alg, zmanjšanj</w:t>
      </w:r>
      <w:r w:rsidR="00696398">
        <w:t>a negativnih vplivov na okolje. Realno v prihodnje pričakujemo, glede na vedno manjše možnosti naravnih virov za klasične oblike akvakulture, razvoj v zaprtih RAS sistemih, za katere obstajajo še precejšnje razvojne možnosti, tudi z rabo podtalne vode ter v marikulturi, kjer še vidimo možnost razvoja. Zato bomo dali prednost pri izbiri operacij predvsem inovacijam v sistemih z bolj učinkovitim izkoriščanjem vode (na primer uporaba nanomehurčkov, ozona, uporaba določenih kult</w:t>
      </w:r>
      <w:r w:rsidR="0093599C">
        <w:t>ur bakterij za izboljšanje biofi</w:t>
      </w:r>
      <w:r w:rsidR="00696398">
        <w:t>ltra) povezanih z uvajanjem novih vrst, bolj primernih za take sisteme, vključno z algami, ter inovacijam v marikulturi, ki bodo usmerjene v učinkovitejšo izrabo razpoložljivega prostora in povečanja proizvodnje, tudi z uvajanjem večtrofične marikulture.</w:t>
      </w:r>
      <w:r w:rsidR="00220829">
        <w:t xml:space="preserve"> Predvidene inovacije vključujejo načela krožnega gospodarstva v akvakulturi.</w:t>
      </w:r>
    </w:p>
    <w:p w14:paraId="2A3BC55B" w14:textId="77777777" w:rsidR="00696398" w:rsidRDefault="00696398" w:rsidP="008B2B14">
      <w:pPr>
        <w:pBdr>
          <w:top w:val="single" w:sz="4" w:space="1" w:color="auto"/>
          <w:left w:val="single" w:sz="4" w:space="4" w:color="auto"/>
          <w:bottom w:val="single" w:sz="4" w:space="1" w:color="auto"/>
          <w:right w:val="single" w:sz="4" w:space="4" w:color="auto"/>
        </w:pBdr>
        <w:tabs>
          <w:tab w:val="left" w:pos="496"/>
        </w:tabs>
        <w:jc w:val="both"/>
      </w:pPr>
    </w:p>
    <w:p w14:paraId="08DBD51A" w14:textId="3E33A377" w:rsidR="00696398" w:rsidRDefault="00904E25" w:rsidP="008B2B14">
      <w:pPr>
        <w:pBdr>
          <w:top w:val="single" w:sz="4" w:space="1" w:color="auto"/>
          <w:left w:val="single" w:sz="4" w:space="4" w:color="auto"/>
          <w:bottom w:val="single" w:sz="4" w:space="1" w:color="auto"/>
          <w:right w:val="single" w:sz="4" w:space="4" w:color="auto"/>
        </w:pBdr>
        <w:tabs>
          <w:tab w:val="left" w:pos="496"/>
        </w:tabs>
        <w:jc w:val="both"/>
      </w:pPr>
      <w:r>
        <w:t>b</w:t>
      </w:r>
      <w:r w:rsidR="00696398">
        <w:t xml:space="preserve">) Inovacije za </w:t>
      </w:r>
      <w:r w:rsidR="008B2B14">
        <w:t>uvajanj</w:t>
      </w:r>
      <w:r w:rsidR="00696398">
        <w:t>e</w:t>
      </w:r>
      <w:r w:rsidR="008B2B14">
        <w:t xml:space="preserve"> novih vrst in tehnologij vzreje in postopkov v proizvodnji</w:t>
      </w:r>
    </w:p>
    <w:p w14:paraId="4E71A380" w14:textId="28E44033" w:rsidR="00696398" w:rsidRDefault="00696398" w:rsidP="008B2B14">
      <w:pPr>
        <w:pBdr>
          <w:top w:val="single" w:sz="4" w:space="1" w:color="auto"/>
          <w:left w:val="single" w:sz="4" w:space="4" w:color="auto"/>
          <w:bottom w:val="single" w:sz="4" w:space="1" w:color="auto"/>
          <w:right w:val="single" w:sz="4" w:space="4" w:color="auto"/>
        </w:pBdr>
        <w:tabs>
          <w:tab w:val="left" w:pos="496"/>
        </w:tabs>
        <w:jc w:val="both"/>
      </w:pPr>
      <w:r>
        <w:t>Tu bi izvajali predvsem inovacije, usmerjene k</w:t>
      </w:r>
      <w:r w:rsidR="008B2B14">
        <w:t xml:space="preserve"> povečanj</w:t>
      </w:r>
      <w:r>
        <w:t>u</w:t>
      </w:r>
      <w:r w:rsidR="008B2B14">
        <w:t xml:space="preserve"> deleža domačih sur</w:t>
      </w:r>
      <w:r>
        <w:t>ovin pri izdelavi krme za ribe.</w:t>
      </w:r>
    </w:p>
    <w:p w14:paraId="3234E9F7" w14:textId="77777777" w:rsidR="006D4DC0" w:rsidRPr="006A7CD2" w:rsidRDefault="006D4DC0" w:rsidP="006D4DC0">
      <w:pPr>
        <w:rPr>
          <w:rFonts w:cs="Arial"/>
          <w:i/>
          <w:noProof/>
          <w:szCs w:val="20"/>
        </w:rPr>
      </w:pPr>
    </w:p>
    <w:p w14:paraId="33006832" w14:textId="0BDC3E10" w:rsidR="006D4DC0" w:rsidRPr="00697618" w:rsidRDefault="006D4DC0" w:rsidP="006D4DC0">
      <w:pPr>
        <w:rPr>
          <w:rFonts w:cs="Arial"/>
          <w:i/>
          <w:noProof/>
          <w:szCs w:val="20"/>
        </w:rPr>
      </w:pPr>
      <w:bookmarkStart w:id="14" w:name="_Hlk55915925"/>
      <w:r w:rsidRPr="00697618">
        <w:rPr>
          <w:rFonts w:cs="Arial"/>
          <w:i/>
          <w:noProof/>
          <w:szCs w:val="20"/>
        </w:rPr>
        <w:t xml:space="preserve">Glavne ciljne skupine– Člen </w:t>
      </w:r>
      <w:r w:rsidR="00953D49">
        <w:rPr>
          <w:rFonts w:cs="Arial"/>
          <w:i/>
          <w:noProof/>
          <w:szCs w:val="20"/>
        </w:rPr>
        <w:t>22</w:t>
      </w:r>
      <w:r w:rsidRPr="00697618">
        <w:rPr>
          <w:rFonts w:cs="Arial"/>
          <w:i/>
          <w:noProof/>
          <w:szCs w:val="20"/>
        </w:rPr>
        <w:t>(3)(d)(iii):</w:t>
      </w:r>
      <w:r w:rsidR="00697618" w:rsidRPr="00697618">
        <w:rPr>
          <w:rFonts w:cs="Arial"/>
          <w:i/>
          <w:noProof/>
          <w:szCs w:val="20"/>
        </w:rPr>
        <w:t xml:space="preserve"> </w:t>
      </w:r>
      <w:r w:rsidR="00697618" w:rsidRPr="00A16346">
        <w:rPr>
          <w:i/>
          <w:noProof/>
        </w:rPr>
        <w:t>Besedilno polje  [1 000]</w:t>
      </w:r>
    </w:p>
    <w:p w14:paraId="39580F1A" w14:textId="07EF27AE" w:rsidR="00A16346" w:rsidRPr="001976B0" w:rsidRDefault="00A16346" w:rsidP="00A16346">
      <w:pPr>
        <w:pBdr>
          <w:top w:val="single" w:sz="4" w:space="1" w:color="auto"/>
          <w:left w:val="single" w:sz="4" w:space="4" w:color="auto"/>
          <w:bottom w:val="single" w:sz="4" w:space="1" w:color="auto"/>
          <w:right w:val="single" w:sz="4" w:space="4" w:color="auto"/>
        </w:pBdr>
        <w:jc w:val="both"/>
        <w:rPr>
          <w:iCs/>
          <w:noProof/>
        </w:rPr>
      </w:pPr>
      <w:r>
        <w:rPr>
          <w:iCs/>
          <w:noProof/>
        </w:rPr>
        <w:t xml:space="preserve">Glavne ciljne skupine </w:t>
      </w:r>
      <w:r w:rsidRPr="001976B0">
        <w:rPr>
          <w:iCs/>
          <w:noProof/>
        </w:rPr>
        <w:t xml:space="preserve">za </w:t>
      </w:r>
      <w:r w:rsidR="00984285">
        <w:rPr>
          <w:iCs/>
          <w:noProof/>
        </w:rPr>
        <w:t>atkvinsoti</w:t>
      </w:r>
      <w:r w:rsidRPr="001976B0">
        <w:rPr>
          <w:iCs/>
          <w:noProof/>
        </w:rPr>
        <w:t xml:space="preserve"> pod </w:t>
      </w:r>
      <w:r w:rsidR="00ED3F13">
        <w:rPr>
          <w:iCs/>
          <w:noProof/>
        </w:rPr>
        <w:t>točko 1 in 2</w:t>
      </w:r>
      <w:r w:rsidRPr="001976B0">
        <w:rPr>
          <w:iCs/>
          <w:noProof/>
        </w:rPr>
        <w:t xml:space="preserve"> bodo vsi pravni subjekti, ki izvajajo dejavnost gojenja vodnih organizmov za trg in so registrirani</w:t>
      </w:r>
      <w:r>
        <w:rPr>
          <w:iCs/>
          <w:noProof/>
        </w:rPr>
        <w:t xml:space="preserve"> v RS. </w:t>
      </w:r>
      <w:r w:rsidRPr="001976B0">
        <w:rPr>
          <w:iCs/>
          <w:noProof/>
        </w:rPr>
        <w:t xml:space="preserve">Če gre za </w:t>
      </w:r>
      <w:r>
        <w:rPr>
          <w:iCs/>
          <w:noProof/>
        </w:rPr>
        <w:t xml:space="preserve">naložbene </w:t>
      </w:r>
      <w:r w:rsidRPr="001976B0">
        <w:rPr>
          <w:iCs/>
          <w:noProof/>
        </w:rPr>
        <w:t>operacije</w:t>
      </w:r>
      <w:r w:rsidR="00ED3F13">
        <w:rPr>
          <w:iCs/>
          <w:noProof/>
        </w:rPr>
        <w:t>,</w:t>
      </w:r>
      <w:r w:rsidRPr="001976B0">
        <w:rPr>
          <w:iCs/>
          <w:noProof/>
        </w:rPr>
        <w:t xml:space="preserve"> bodo </w:t>
      </w:r>
      <w:r>
        <w:rPr>
          <w:iCs/>
          <w:noProof/>
        </w:rPr>
        <w:t xml:space="preserve">ciljne skupine </w:t>
      </w:r>
      <w:r w:rsidRPr="001976B0">
        <w:rPr>
          <w:iCs/>
          <w:noProof/>
        </w:rPr>
        <w:t xml:space="preserve">gospodarske družbe, samostojni podjetniki, nosilci dopolnilne dejavnosti na kmetiji, zadruge, društva in zavodi. </w:t>
      </w:r>
      <w:r>
        <w:rPr>
          <w:iCs/>
          <w:noProof/>
        </w:rPr>
        <w:t xml:space="preserve">Ciljna skupina </w:t>
      </w:r>
      <w:r w:rsidRPr="001976B0">
        <w:rPr>
          <w:iCs/>
          <w:noProof/>
        </w:rPr>
        <w:t xml:space="preserve">za </w:t>
      </w:r>
      <w:r w:rsidR="00984285">
        <w:rPr>
          <w:iCs/>
          <w:noProof/>
        </w:rPr>
        <w:t>aktivnost</w:t>
      </w:r>
      <w:r w:rsidRPr="001976B0">
        <w:rPr>
          <w:iCs/>
          <w:noProof/>
        </w:rPr>
        <w:t xml:space="preserve"> pod točko </w:t>
      </w:r>
      <w:r w:rsidR="00ED3F13">
        <w:rPr>
          <w:iCs/>
          <w:noProof/>
        </w:rPr>
        <w:t>3</w:t>
      </w:r>
      <w:r w:rsidRPr="001976B0">
        <w:rPr>
          <w:iCs/>
          <w:noProof/>
        </w:rPr>
        <w:t xml:space="preserve">. </w:t>
      </w:r>
      <w:r>
        <w:rPr>
          <w:iCs/>
          <w:noProof/>
        </w:rPr>
        <w:t>so vsi rejci in predelovalci vodnih organizmov, sve</w:t>
      </w:r>
      <w:r w:rsidR="00ED3F13">
        <w:rPr>
          <w:iCs/>
          <w:noProof/>
        </w:rPr>
        <w:t>tovalna služba v akvakulturi, univerze, inštituti, zavodi ter druge raziskovalne organizacije.</w:t>
      </w:r>
      <w:r w:rsidR="00984285">
        <w:rPr>
          <w:iCs/>
          <w:noProof/>
        </w:rPr>
        <w:t xml:space="preserve"> Glavne ciljne skupine za aktivnosti pod točko 4 pa so podjetj</w:t>
      </w:r>
      <w:r w:rsidR="00904E25">
        <w:rPr>
          <w:iCs/>
          <w:noProof/>
        </w:rPr>
        <w:t>a</w:t>
      </w:r>
      <w:r w:rsidR="00984285">
        <w:rPr>
          <w:iCs/>
          <w:noProof/>
        </w:rPr>
        <w:t xml:space="preserve"> v akvakultur, raziskovalne institucije, tehnološki centri in inkubatorji.</w:t>
      </w:r>
    </w:p>
    <w:p w14:paraId="02483223" w14:textId="5C6D2DD5" w:rsidR="006D4DC0" w:rsidRDefault="006D4DC0" w:rsidP="006D4DC0">
      <w:pPr>
        <w:rPr>
          <w:rFonts w:cs="Arial"/>
          <w:i/>
          <w:noProof/>
          <w:szCs w:val="20"/>
        </w:rPr>
      </w:pPr>
    </w:p>
    <w:p w14:paraId="7E8A243B" w14:textId="585BB2CC" w:rsidR="00BB3835" w:rsidRDefault="00BB3835" w:rsidP="00BB3835">
      <w:pPr>
        <w:jc w:val="both"/>
      </w:pPr>
      <w:r>
        <w:t xml:space="preserve">Aktivnosti, ki ohranjajo enakost, vključenost in nediskriminacijo – Člen </w:t>
      </w:r>
      <w:r w:rsidR="00303FF3">
        <w:t>22</w:t>
      </w:r>
      <w:r>
        <w:t>(3)(d)(i</w:t>
      </w:r>
      <w:r w:rsidR="00303FF3">
        <w:t>v</w:t>
      </w:r>
      <w:r>
        <w:t>)</w:t>
      </w:r>
    </w:p>
    <w:p w14:paraId="149CDB4E" w14:textId="50E71619" w:rsidR="00BB3835" w:rsidRPr="00BA2FDD" w:rsidRDefault="00BB3835" w:rsidP="00BB3835">
      <w:pPr>
        <w:jc w:val="both"/>
        <w:rPr>
          <w:highlight w:val="yellow"/>
        </w:rPr>
      </w:pPr>
      <w:r w:rsidRPr="00BA2FDD">
        <w:t xml:space="preserve">Slovenija bo pri izvajanju vseh aktivnosti posebno pozornost posvečala načelu enakosti, vključenosti in nediskriminacije. Vsi potencialni deležniki bodo hkrati vključeni v aktivnosti obveščanja in predstavljanja vseh podlag za izvajanje aktivnosti. Varstvo pravic posameznika 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starost, invalidnost, rasna, etnična, narodna in verska pripadnost, spolna usmerjenost) zagotavljale horizontalno ter vertikalno. Pri vertikalnem upoštevanju tega načela pa je treba upoštevati specifike ribiškega sektorja, v katerem zaradi narave poklica prevladujejo moški. </w:t>
      </w:r>
      <w:r w:rsidR="004C7B07">
        <w:t xml:space="preserve">Na tem mestu ne glede na to velja izpostaviti, da ima Slovenija veliko manjših družinskih ribogojnic, kar pomeni, da so v teh podjetjih zaposlene tudi ženske, ki večinoma pokrivajo administrativne in upravno-finančne naloge. </w:t>
      </w:r>
      <w:r w:rsidRPr="00BA2FDD">
        <w:t>Po potrebi bodo za uresničevanje načela enakih možnosti in nediskriminacije zagotovljena usposabljanja upravne zmogljivosti. Načelo se bo upoštevalo tudi v okviru sistema upravljanja in nadzora. Upoštevanje tega načela bo vključeno tudi v poročila.</w:t>
      </w:r>
    </w:p>
    <w:p w14:paraId="6384246F" w14:textId="58302373" w:rsidR="00BB3835" w:rsidRPr="00BB3835" w:rsidRDefault="00BB3835" w:rsidP="006D4DC0">
      <w:pPr>
        <w:rPr>
          <w:rFonts w:cs="Arial"/>
          <w:noProof/>
          <w:szCs w:val="20"/>
        </w:rPr>
      </w:pPr>
    </w:p>
    <w:p w14:paraId="26B82C74" w14:textId="72530372" w:rsidR="006D4DC0" w:rsidRPr="006A7CD2" w:rsidRDefault="006D4DC0" w:rsidP="006D4DC0">
      <w:pPr>
        <w:rPr>
          <w:rFonts w:cs="Arial"/>
          <w:i/>
          <w:noProof/>
          <w:szCs w:val="20"/>
        </w:rPr>
      </w:pPr>
      <w:r w:rsidRPr="006A7CD2">
        <w:rPr>
          <w:rFonts w:cs="Arial"/>
          <w:i/>
          <w:noProof/>
          <w:szCs w:val="20"/>
        </w:rPr>
        <w:t xml:space="preserve">Posebna ciljna območja, vključno z načrtovano uporabo teritorialnih orodij– Člen </w:t>
      </w:r>
      <w:r w:rsidR="00936912">
        <w:rPr>
          <w:rFonts w:cs="Arial"/>
          <w:i/>
          <w:noProof/>
          <w:szCs w:val="20"/>
        </w:rPr>
        <w:t>22</w:t>
      </w:r>
      <w:r w:rsidRPr="006A7CD2">
        <w:rPr>
          <w:rFonts w:cs="Arial"/>
          <w:i/>
          <w:noProof/>
          <w:szCs w:val="20"/>
        </w:rPr>
        <w:t>(3)(d)(v)</w:t>
      </w:r>
      <w:r w:rsidR="00CE0BB7">
        <w:rPr>
          <w:rFonts w:cs="Arial"/>
          <w:i/>
          <w:noProof/>
          <w:szCs w:val="20"/>
        </w:rPr>
        <w:t xml:space="preserve"> </w:t>
      </w:r>
      <w:r w:rsidR="00CE0BB7" w:rsidRPr="00CE0BB7">
        <w:rPr>
          <w:rFonts w:cs="Arial"/>
          <w:i/>
          <w:noProof/>
          <w:szCs w:val="20"/>
        </w:rPr>
        <w:t>Besedilno polje  [2 000]</w:t>
      </w:r>
    </w:p>
    <w:p w14:paraId="028E196A" w14:textId="77777777" w:rsidR="002F0C81" w:rsidRDefault="002F0C81" w:rsidP="0060531C">
      <w:pPr>
        <w:pBdr>
          <w:top w:val="single" w:sz="4" w:space="1" w:color="auto"/>
          <w:left w:val="single" w:sz="4" w:space="4" w:color="auto"/>
          <w:bottom w:val="single" w:sz="4" w:space="0" w:color="auto"/>
          <w:right w:val="single" w:sz="4" w:space="4" w:color="auto"/>
        </w:pBdr>
        <w:jc w:val="both"/>
        <w:rPr>
          <w:rFonts w:cs="Arial"/>
          <w:iCs/>
          <w:noProof/>
          <w:szCs w:val="20"/>
        </w:rPr>
      </w:pPr>
      <w:r w:rsidRPr="00CE0BB7">
        <w:rPr>
          <w:rFonts w:cs="Arial"/>
          <w:iCs/>
          <w:noProof/>
          <w:szCs w:val="20"/>
        </w:rPr>
        <w:t xml:space="preserve">Aktivnosti se bodo izvajale na območju celotnega ozemlja RS. </w:t>
      </w:r>
      <w:r w:rsidR="00CE0BB7">
        <w:rPr>
          <w:rFonts w:cs="Arial"/>
          <w:iCs/>
          <w:noProof/>
          <w:szCs w:val="20"/>
        </w:rPr>
        <w:t xml:space="preserve">Poseben poudarek bo na obmejnih problemskih območij, ki so vzpostavljena v skladu z </w:t>
      </w:r>
      <w:r w:rsidR="00CE0BB7" w:rsidRPr="00CE0BB7">
        <w:rPr>
          <w:rFonts w:cs="Arial"/>
          <w:iCs/>
          <w:noProof/>
          <w:szCs w:val="20"/>
        </w:rPr>
        <w:t>Zakon</w:t>
      </w:r>
      <w:r w:rsidR="00CE0BB7">
        <w:rPr>
          <w:rFonts w:cs="Arial"/>
          <w:iCs/>
          <w:noProof/>
          <w:szCs w:val="20"/>
        </w:rPr>
        <w:t>om</w:t>
      </w:r>
      <w:r w:rsidR="00CE0BB7" w:rsidRPr="00CE0BB7">
        <w:rPr>
          <w:rFonts w:cs="Arial"/>
          <w:iCs/>
          <w:noProof/>
          <w:szCs w:val="20"/>
        </w:rPr>
        <w:t xml:space="preserve"> o spodbujanju skladnega </w:t>
      </w:r>
      <w:r w:rsidR="00CE0BB7" w:rsidRPr="00CE0BB7">
        <w:rPr>
          <w:rFonts w:cs="Arial"/>
          <w:iCs/>
          <w:noProof/>
          <w:szCs w:val="20"/>
        </w:rPr>
        <w:lastRenderedPageBreak/>
        <w:t>regionalnega razvoja (Uradni list RS, št. 20/11, 57/12 in 46/16)</w:t>
      </w:r>
      <w:r w:rsidR="00CE0BB7">
        <w:rPr>
          <w:rFonts w:cs="Arial"/>
          <w:iCs/>
          <w:noProof/>
          <w:szCs w:val="20"/>
        </w:rPr>
        <w:t xml:space="preserve">. Vlagatelji s teh območij bodo lahko pridobili v okviru meril za izbor operacij večje število točk. </w:t>
      </w:r>
    </w:p>
    <w:p w14:paraId="455184DB" w14:textId="16452618" w:rsidR="00CE0BB7" w:rsidRPr="00CE0BB7" w:rsidRDefault="00CE0BB7" w:rsidP="0060531C">
      <w:pPr>
        <w:pBdr>
          <w:top w:val="single" w:sz="4" w:space="1" w:color="auto"/>
          <w:left w:val="single" w:sz="4" w:space="4" w:color="auto"/>
          <w:bottom w:val="single" w:sz="4" w:space="0" w:color="auto"/>
          <w:right w:val="single" w:sz="4" w:space="4" w:color="auto"/>
        </w:pBdr>
        <w:jc w:val="both"/>
        <w:rPr>
          <w:rFonts w:cs="Arial"/>
          <w:noProof/>
          <w:szCs w:val="20"/>
        </w:rPr>
      </w:pPr>
      <w:r>
        <w:rPr>
          <w:rFonts w:cs="Arial"/>
          <w:iCs/>
          <w:noProof/>
          <w:szCs w:val="20"/>
        </w:rPr>
        <w:t>Uporaba teritorialnega orodja, celostni razvoj, ki ga vodi skupnost, je podrobneje opisana v okviru tretje prednostne naloge.</w:t>
      </w:r>
    </w:p>
    <w:p w14:paraId="6362AC35" w14:textId="77777777" w:rsidR="006D4DC0" w:rsidRPr="00CE0BB7" w:rsidRDefault="006D4DC0" w:rsidP="006D4DC0">
      <w:pPr>
        <w:rPr>
          <w:rFonts w:cs="Arial"/>
          <w:i/>
          <w:noProof/>
          <w:szCs w:val="20"/>
        </w:rPr>
      </w:pPr>
    </w:p>
    <w:p w14:paraId="5B75679C" w14:textId="75B821C0" w:rsidR="006D4DC0" w:rsidRPr="00AC29EA" w:rsidRDefault="006D4DC0" w:rsidP="006D4DC0">
      <w:pPr>
        <w:rPr>
          <w:rFonts w:cs="Arial"/>
          <w:b/>
          <w:i/>
          <w:iCs/>
          <w:noProof/>
          <w:szCs w:val="20"/>
        </w:rPr>
      </w:pPr>
      <w:r w:rsidRPr="00AC29EA">
        <w:rPr>
          <w:rFonts w:cs="Arial"/>
          <w:i/>
          <w:noProof/>
          <w:szCs w:val="20"/>
        </w:rPr>
        <w:t xml:space="preserve">Medregionalni in transnacionalni ukrepi –Člen </w:t>
      </w:r>
      <w:r w:rsidR="009E3880">
        <w:rPr>
          <w:rFonts w:cs="Arial"/>
          <w:i/>
          <w:noProof/>
          <w:szCs w:val="20"/>
        </w:rPr>
        <w:t>22</w:t>
      </w:r>
      <w:r w:rsidRPr="00AC29EA">
        <w:rPr>
          <w:rFonts w:cs="Arial"/>
          <w:i/>
          <w:noProof/>
          <w:szCs w:val="20"/>
        </w:rPr>
        <w:t>(3)(d)(v</w:t>
      </w:r>
      <w:r w:rsidR="009E3880">
        <w:rPr>
          <w:rFonts w:cs="Arial"/>
          <w:i/>
          <w:noProof/>
          <w:szCs w:val="20"/>
        </w:rPr>
        <w:t>i</w:t>
      </w:r>
      <w:r w:rsidRPr="00AC29EA">
        <w:rPr>
          <w:rFonts w:cs="Arial"/>
          <w:i/>
          <w:noProof/>
          <w:szCs w:val="20"/>
        </w:rPr>
        <w:t>)</w:t>
      </w:r>
      <w:r w:rsidR="001209FD" w:rsidRPr="00AC29EA">
        <w:rPr>
          <w:rFonts w:cs="Arial"/>
          <w:i/>
          <w:noProof/>
          <w:szCs w:val="20"/>
        </w:rPr>
        <w:t xml:space="preserve"> Besedilno polje  [2 000]</w:t>
      </w:r>
    </w:p>
    <w:p w14:paraId="4214BD43" w14:textId="282A4FD0" w:rsidR="006D4DC0" w:rsidRPr="00AC29EA" w:rsidRDefault="00D33873" w:rsidP="006D4DC0">
      <w:pPr>
        <w:rPr>
          <w:rFonts w:cs="Arial"/>
          <w:i/>
          <w:iCs/>
          <w:noProof/>
          <w:szCs w:val="20"/>
        </w:rPr>
      </w:pPr>
      <w:r w:rsidRPr="00AC29EA">
        <w:rPr>
          <w:rFonts w:cs="Arial"/>
          <w:i/>
          <w:iCs/>
          <w:noProof/>
          <w:szCs w:val="20"/>
        </w:rPr>
        <w:t>Niso predvideni medregionalni ali transnacionalni ukrepi.</w:t>
      </w:r>
    </w:p>
    <w:p w14:paraId="1501D192" w14:textId="77777777" w:rsidR="00D33873" w:rsidRPr="00AC29EA" w:rsidRDefault="00D33873" w:rsidP="006D4DC0">
      <w:pPr>
        <w:rPr>
          <w:rFonts w:cs="Arial"/>
          <w:i/>
          <w:noProof/>
          <w:szCs w:val="20"/>
        </w:rPr>
      </w:pPr>
    </w:p>
    <w:p w14:paraId="30AD9B44" w14:textId="33F3ADF9" w:rsidR="006D4DC0" w:rsidRPr="00D33873" w:rsidRDefault="006D4DC0" w:rsidP="006D4DC0">
      <w:pPr>
        <w:rPr>
          <w:rFonts w:cs="Arial"/>
          <w:b/>
          <w:i/>
          <w:iCs/>
          <w:noProof/>
          <w:szCs w:val="20"/>
          <w:lang w:val="it-IT"/>
        </w:rPr>
      </w:pPr>
      <w:r w:rsidRPr="00D33873">
        <w:rPr>
          <w:rFonts w:cs="Arial"/>
          <w:i/>
          <w:noProof/>
          <w:szCs w:val="20"/>
          <w:lang w:val="it-IT"/>
        </w:rPr>
        <w:t xml:space="preserve">Načrtovana uporaba finančnih instrumentov– Člen </w:t>
      </w:r>
      <w:r w:rsidR="00E41F1E">
        <w:rPr>
          <w:rFonts w:cs="Arial"/>
          <w:i/>
          <w:noProof/>
          <w:szCs w:val="20"/>
          <w:lang w:val="it-IT"/>
        </w:rPr>
        <w:t>22</w:t>
      </w:r>
      <w:r w:rsidRPr="00D33873">
        <w:rPr>
          <w:rFonts w:cs="Arial"/>
          <w:i/>
          <w:noProof/>
          <w:szCs w:val="20"/>
          <w:lang w:val="it-IT"/>
        </w:rPr>
        <w:t>(3)(d)(vi</w:t>
      </w:r>
      <w:r w:rsidR="00E41F1E">
        <w:rPr>
          <w:rFonts w:cs="Arial"/>
          <w:i/>
          <w:noProof/>
          <w:szCs w:val="20"/>
          <w:lang w:val="it-IT"/>
        </w:rPr>
        <w:t>i</w:t>
      </w:r>
      <w:r w:rsidRPr="00D33873">
        <w:rPr>
          <w:rFonts w:cs="Arial"/>
          <w:i/>
          <w:noProof/>
          <w:szCs w:val="20"/>
          <w:lang w:val="it-IT"/>
        </w:rPr>
        <w:t>)</w:t>
      </w:r>
      <w:r w:rsidR="001209FD" w:rsidRPr="00D33873">
        <w:rPr>
          <w:rFonts w:cs="Arial"/>
          <w:i/>
          <w:noProof/>
          <w:szCs w:val="20"/>
          <w:lang w:val="it-IT"/>
        </w:rPr>
        <w:t xml:space="preserve"> Besedilno polje  [1 000]</w:t>
      </w:r>
    </w:p>
    <w:bookmarkEnd w:id="14"/>
    <w:p w14:paraId="50D1D39E" w14:textId="1C79353F" w:rsidR="00A16346" w:rsidRPr="001209FD" w:rsidRDefault="003B0014" w:rsidP="00714475">
      <w:pPr>
        <w:spacing w:after="200" w:line="276" w:lineRule="auto"/>
        <w:jc w:val="both"/>
        <w:rPr>
          <w:rFonts w:cs="Arial"/>
          <w:szCs w:val="20"/>
        </w:rPr>
      </w:pPr>
      <w:r w:rsidRPr="003B0014">
        <w:rPr>
          <w:noProof/>
          <w:lang w:val="it-IT"/>
        </w:rPr>
        <w:t>Ministrstvo za kmetijstvo, gozdarstvo in prehrano Republike Slovenije, Sektor za ribištvo, je kot organ upravljanja za Evropski sklad za pomorstvo, ribištvo in akvakulturo pristopil k javnemu naročilu, ki ga je pripravila Služba Vlade RS za regionalni razvoj in kohezijsko politiko kot organ upravljanja za kohezijske sklade. V okviru tega javnega naročila je bila v skladu s 3. odstavkom 58. člena Uredbe EU št. 2021/1060 pripravljena ex-ante analiza potreb in ocena vrzeli za vzpostavitev finančnih instrumentov za kohezijske sklade in ESPRA. Skupen pristop obeh organov upravljanja je za Sektor za ribištvo sprejemljiv zaradi majhne administrativne usposobljenosti na tem področju in zaradi izkušenj, ki jih ima SVRK pri izvajanju finančnih instrumentov do sedaj. V sklopu javnega naročila je bila preučena tudi smotrnost uporabe sredstev ESPRA za finančne instrumente. Podano je mnenje, da v luči otežene izvedbe ocene primernosti uporabe finančnih instrumentov za specifične cilje, ki se v primeru sklada ESPRA razlikujejo od drugih specifičnih ciljev, majhnega vzorca relevantnih podjetij, zajetih v spletni vprašalnik, zaradi nizkega obsega razpoložljivih sredstev, majhnosti in razdrobljenosti zajetih sektorjev ribištva, pomorstva in akvakulture, ter tudi zaradi negativnih izkušenj s podobnimi finančnimi instrumenti iz drugih držav članic, izvedba finančnih instrumentov iz sklada ESPRA ni smiselna.</w:t>
      </w:r>
      <w:r w:rsidR="00A16346" w:rsidRPr="001209FD">
        <w:rPr>
          <w:rFonts w:cs="Arial"/>
          <w:szCs w:val="20"/>
        </w:rPr>
        <w:br w:type="page"/>
      </w:r>
    </w:p>
    <w:p w14:paraId="1CB03CA0" w14:textId="77777777" w:rsidR="006D4DC0" w:rsidRPr="001209FD" w:rsidRDefault="006D4DC0" w:rsidP="005B3058">
      <w:pPr>
        <w:rPr>
          <w:rFonts w:cs="Arial"/>
          <w:szCs w:val="20"/>
        </w:rPr>
      </w:pPr>
    </w:p>
    <w:p w14:paraId="30129301" w14:textId="77777777" w:rsidR="00A16346" w:rsidRPr="002922B4" w:rsidRDefault="00A16346" w:rsidP="00A16346">
      <w:pPr>
        <w:pBdr>
          <w:top w:val="single" w:sz="4" w:space="1" w:color="auto"/>
          <w:left w:val="single" w:sz="4" w:space="4" w:color="auto"/>
          <w:bottom w:val="single" w:sz="4" w:space="1" w:color="auto"/>
          <w:right w:val="single" w:sz="4" w:space="4" w:color="auto"/>
        </w:pBdr>
        <w:jc w:val="both"/>
        <w:rPr>
          <w:b/>
          <w:iCs/>
        </w:rPr>
      </w:pPr>
      <w:r w:rsidRPr="002922B4">
        <w:rPr>
          <w:iCs/>
        </w:rPr>
        <w:t>Prednostna naloga:</w:t>
      </w:r>
      <w:r w:rsidR="00C43378" w:rsidRPr="002922B4">
        <w:rPr>
          <w:b/>
          <w:iCs/>
        </w:rPr>
        <w:t xml:space="preserve"> </w:t>
      </w:r>
      <w:bookmarkStart w:id="15" w:name="_Hlk59539831"/>
      <w:r w:rsidRPr="002922B4">
        <w:rPr>
          <w:b/>
          <w:iCs/>
        </w:rPr>
        <w:t>Spodbujanje trajnostnih dejavnosti akvakulture ter predelave in trženja ribiških proizvodov in proizvodov iz akvakulture</w:t>
      </w:r>
    </w:p>
    <w:p w14:paraId="539E4EC6" w14:textId="458BE137" w:rsidR="00A16346" w:rsidRPr="00C43378" w:rsidRDefault="00A16346" w:rsidP="00A16346">
      <w:pPr>
        <w:pBdr>
          <w:top w:val="single" w:sz="4" w:space="1" w:color="auto"/>
          <w:left w:val="single" w:sz="4" w:space="4" w:color="auto"/>
          <w:bottom w:val="single" w:sz="4" w:space="1" w:color="auto"/>
          <w:right w:val="single" w:sz="4" w:space="4" w:color="auto"/>
        </w:pBdr>
        <w:jc w:val="both"/>
        <w:rPr>
          <w:b/>
          <w:iCs/>
        </w:rPr>
      </w:pPr>
      <w:r w:rsidRPr="002922B4">
        <w:rPr>
          <w:iCs/>
        </w:rPr>
        <w:t>Specifični cilj</w:t>
      </w:r>
      <w:r w:rsidR="002922B4">
        <w:rPr>
          <w:iCs/>
        </w:rPr>
        <w:t xml:space="preserve"> 2.2</w:t>
      </w:r>
      <w:r w:rsidRPr="002922B4">
        <w:rPr>
          <w:iCs/>
        </w:rPr>
        <w:t>:</w:t>
      </w:r>
      <w:r w:rsidRPr="002922B4">
        <w:rPr>
          <w:b/>
          <w:iCs/>
        </w:rPr>
        <w:t xml:space="preserve"> Spodbujanje trženja, kakovosti ter dodane vrednosti ribiških in proizvodov iz akvakulture, pa tudi predelave teh proizvodov</w:t>
      </w:r>
    </w:p>
    <w:bookmarkEnd w:id="15"/>
    <w:p w14:paraId="7B40F1B8" w14:textId="77777777" w:rsidR="00A16346" w:rsidRPr="006A7CD2" w:rsidRDefault="00A16346" w:rsidP="00A16346">
      <w:pPr>
        <w:rPr>
          <w:rFonts w:cs="Arial"/>
          <w:i/>
          <w:iCs/>
          <w:szCs w:val="20"/>
        </w:rPr>
      </w:pPr>
    </w:p>
    <w:p w14:paraId="0586205A" w14:textId="2E5C5154" w:rsidR="00A16346" w:rsidRPr="00A16346" w:rsidRDefault="00A16346" w:rsidP="00A16346">
      <w:pPr>
        <w:rPr>
          <w:i/>
          <w:iCs/>
          <w:noProof/>
        </w:rPr>
      </w:pPr>
      <w:r w:rsidRPr="00A16346">
        <w:rPr>
          <w:rFonts w:cs="Arial"/>
          <w:i/>
          <w:noProof/>
          <w:szCs w:val="20"/>
        </w:rPr>
        <w:t xml:space="preserve">Povezane vrste ukrepov– Člen </w:t>
      </w:r>
      <w:r w:rsidR="004A0C9F">
        <w:rPr>
          <w:rFonts w:cs="Arial"/>
          <w:i/>
          <w:noProof/>
          <w:szCs w:val="20"/>
        </w:rPr>
        <w:t>22</w:t>
      </w:r>
      <w:r w:rsidRPr="00A16346">
        <w:rPr>
          <w:rFonts w:cs="Arial"/>
          <w:i/>
          <w:noProof/>
          <w:szCs w:val="20"/>
        </w:rPr>
        <w:t>(3)(d)(i) SSO</w:t>
      </w:r>
      <w:r>
        <w:rPr>
          <w:rFonts w:cs="Arial"/>
          <w:i/>
          <w:noProof/>
          <w:szCs w:val="20"/>
        </w:rPr>
        <w:t xml:space="preserve">: </w:t>
      </w:r>
      <w:r w:rsidRPr="00B77128">
        <w:rPr>
          <w:i/>
          <w:iCs/>
          <w:noProof/>
        </w:rPr>
        <w:t>Besedilno polje  [8 000]</w:t>
      </w:r>
    </w:p>
    <w:p w14:paraId="246F9434" w14:textId="26A8D903" w:rsidR="003B0956" w:rsidRDefault="002922B4" w:rsidP="003B0956">
      <w:pPr>
        <w:pBdr>
          <w:top w:val="single" w:sz="4" w:space="1" w:color="auto"/>
          <w:left w:val="single" w:sz="4" w:space="4" w:color="auto"/>
          <w:bottom w:val="single" w:sz="4" w:space="1" w:color="auto"/>
          <w:right w:val="single" w:sz="4" w:space="4" w:color="auto"/>
        </w:pBdr>
        <w:tabs>
          <w:tab w:val="left" w:pos="1470"/>
        </w:tabs>
        <w:jc w:val="both"/>
        <w:rPr>
          <w:b/>
        </w:rPr>
      </w:pPr>
      <w:r>
        <w:rPr>
          <w:b/>
        </w:rPr>
        <w:t>5</w:t>
      </w:r>
      <w:r w:rsidR="003B0956" w:rsidRPr="002922B4">
        <w:rPr>
          <w:b/>
        </w:rPr>
        <w:t>. Konkurenčna</w:t>
      </w:r>
      <w:r w:rsidR="00CB2DC0">
        <w:rPr>
          <w:b/>
        </w:rPr>
        <w:t xml:space="preserve"> in</w:t>
      </w:r>
      <w:r w:rsidR="003B0956" w:rsidRPr="002922B4">
        <w:rPr>
          <w:b/>
        </w:rPr>
        <w:t xml:space="preserve"> okolju prijazna predelovalna industrija</w:t>
      </w:r>
    </w:p>
    <w:p w14:paraId="47F093AB" w14:textId="6BC4B669" w:rsidR="002922B4" w:rsidRPr="00511EF9" w:rsidRDefault="00511EF9" w:rsidP="00511EF9">
      <w:pPr>
        <w:pBdr>
          <w:top w:val="single" w:sz="4" w:space="1" w:color="auto"/>
          <w:left w:val="single" w:sz="4" w:space="4" w:color="auto"/>
          <w:bottom w:val="single" w:sz="4" w:space="1" w:color="auto"/>
          <w:right w:val="single" w:sz="4" w:space="4" w:color="auto"/>
        </w:pBdr>
        <w:tabs>
          <w:tab w:val="left" w:pos="1470"/>
        </w:tabs>
        <w:jc w:val="both"/>
      </w:pPr>
      <w:r>
        <w:t xml:space="preserve">Slovenska predelovalna podjetja so, razen enega do dveh velikih, večinoma srednje velika ali majhna. Čeprav je v veliki večini odvisna od </w:t>
      </w:r>
      <w:r w:rsidRPr="00511EF9">
        <w:t xml:space="preserve">surovine iz drugih držav EU oziroma uvoza iz tretjih držav, </w:t>
      </w:r>
      <w:r>
        <w:t xml:space="preserve">pa ima za nadaljnji razvoj </w:t>
      </w:r>
      <w:r w:rsidRPr="00511EF9">
        <w:t>dober potencial.</w:t>
      </w:r>
      <w:r>
        <w:t xml:space="preserve"> V okviru SWOT analize se je pokazala potreba po vlaganju v konkurenčnost ribiško-predelovalnega sektorja. </w:t>
      </w:r>
      <w:r w:rsidRPr="00511EF9">
        <w:t>Predelovalna industrija potrebuje predvsem nove naložbe v povečanje in posodobitev proizvodnje v smislu novih tržno prepoznavnih proizvodov, boljše energetske učinkovitosti ter vključevanja v krožno gospodarstvo. Ob tem so bile izražene tudi potrebe po naložbah v digitalizacijo in robotizacijo. Uporaba obnovljivih virov energije ter energije iz lastne proizvodnje za zmanjševanje stroškov bo tako omogočena tudi predelovalni industriji, s čimer bomo tudi v tem sektorju upoštevali načela krožnega gospodarstva, ki so kl</w:t>
      </w:r>
      <w:r>
        <w:t>jučnega pomena za zeleni prehod 2050.</w:t>
      </w:r>
      <w:r w:rsidR="001A1E0E">
        <w:t xml:space="preserve"> V primeru vzpostavitve organizacije proizvajalcev se bodo sredstva na tej aktivnosti uporabila tudi za financiranje načrtov proizvodnje in trženja, pripravljenih v skladu z Uredbo (EU) 1379/2013.</w:t>
      </w:r>
    </w:p>
    <w:p w14:paraId="0E06FB78" w14:textId="77777777" w:rsidR="00511EF9" w:rsidRDefault="00511EF9" w:rsidP="003B0956">
      <w:pPr>
        <w:pBdr>
          <w:top w:val="single" w:sz="4" w:space="1" w:color="auto"/>
          <w:left w:val="single" w:sz="4" w:space="4" w:color="auto"/>
          <w:bottom w:val="single" w:sz="4" w:space="1" w:color="auto"/>
          <w:right w:val="single" w:sz="4" w:space="4" w:color="auto"/>
        </w:pBdr>
        <w:tabs>
          <w:tab w:val="left" w:pos="1470"/>
        </w:tabs>
        <w:jc w:val="both"/>
        <w:rPr>
          <w:b/>
        </w:rPr>
      </w:pPr>
    </w:p>
    <w:p w14:paraId="6FBA67C1" w14:textId="303BEAE8" w:rsidR="003B0956" w:rsidRDefault="00511EF9" w:rsidP="003B0956">
      <w:pPr>
        <w:pBdr>
          <w:top w:val="single" w:sz="4" w:space="1" w:color="auto"/>
          <w:left w:val="single" w:sz="4" w:space="4" w:color="auto"/>
          <w:bottom w:val="single" w:sz="4" w:space="1" w:color="auto"/>
          <w:right w:val="single" w:sz="4" w:space="4" w:color="auto"/>
        </w:pBdr>
        <w:tabs>
          <w:tab w:val="left" w:pos="1470"/>
        </w:tabs>
        <w:jc w:val="both"/>
        <w:rPr>
          <w:b/>
        </w:rPr>
      </w:pPr>
      <w:r>
        <w:rPr>
          <w:b/>
        </w:rPr>
        <w:t>6</w:t>
      </w:r>
      <w:r w:rsidR="003B0956" w:rsidRPr="002922B4">
        <w:rPr>
          <w:b/>
        </w:rPr>
        <w:t>. Promocija rib, akvakulture, lokalnih sektorjev in proizvodov</w:t>
      </w:r>
    </w:p>
    <w:p w14:paraId="2D04C331" w14:textId="1DDE6BA2" w:rsidR="002922B4" w:rsidRDefault="00D57230" w:rsidP="00D57230">
      <w:pPr>
        <w:pBdr>
          <w:top w:val="single" w:sz="4" w:space="1" w:color="auto"/>
          <w:left w:val="single" w:sz="4" w:space="4" w:color="auto"/>
          <w:bottom w:val="single" w:sz="4" w:space="1" w:color="auto"/>
          <w:right w:val="single" w:sz="4" w:space="4" w:color="auto"/>
        </w:pBdr>
        <w:tabs>
          <w:tab w:val="left" w:pos="1470"/>
        </w:tabs>
        <w:jc w:val="both"/>
      </w:pPr>
      <w:r w:rsidRPr="00D57230">
        <w:t xml:space="preserve">V okviru te aktivnosti si želimo </w:t>
      </w:r>
      <w:r>
        <w:t>izvajati generično promocijo proizvodov iz ribištva in akvakulture, omogočiti promocijo sektorjev za njuno večjo prepoznavnost in informirati</w:t>
      </w:r>
      <w:r w:rsidRPr="00D57230">
        <w:t xml:space="preserve"> širš</w:t>
      </w:r>
      <w:r>
        <w:t>o javnost in potrošnike</w:t>
      </w:r>
      <w:r w:rsidRPr="00D57230">
        <w:t xml:space="preserve"> o pomenu ribiških proizvodov in proizvodov iz akvakulture v prehrani, posebej lokalno vzrejenih, ekoloških, ter predstavitev sektorja, ki te proizvode lahko zagotavlja. Letna poraba rib na prebivalca </w:t>
      </w:r>
      <w:r>
        <w:t xml:space="preserve">je namreč 11 kg/leto, </w:t>
      </w:r>
      <w:r w:rsidRPr="00D57230">
        <w:t xml:space="preserve">samooskrba z njimi </w:t>
      </w:r>
      <w:r>
        <w:t xml:space="preserve">pa dosega </w:t>
      </w:r>
      <w:r w:rsidRPr="00D57230">
        <w:t>8%</w:t>
      </w:r>
      <w:r>
        <w:t>, kar pomeni, da</w:t>
      </w:r>
      <w:r w:rsidRPr="00D57230">
        <w:t xml:space="preserve"> je RS krepko </w:t>
      </w:r>
      <w:r>
        <w:t>pod povprečjem v Evropski Uniji. I</w:t>
      </w:r>
      <w:r w:rsidRPr="00D57230">
        <w:t>nteres</w:t>
      </w:r>
      <w:r>
        <w:t xml:space="preserve"> RS je, </w:t>
      </w:r>
      <w:r w:rsidRPr="00D57230">
        <w:t>da se oba kazalnika povečujeta, kar lahko dosežemo z večjim ozaveščanjem potrošnikov</w:t>
      </w:r>
      <w:r>
        <w:t>, vzporedno z aktivnostmi, namenjenimi razvoju a</w:t>
      </w:r>
      <w:r w:rsidRPr="00D57230">
        <w:t>kvakulture in predelave. V okviru promocijskih aktivnosti bomo osveščali tudi o koristih ekološke vzreje in shemah kakovosti za proizvode iz akvakulture. Na področju akvakulture in predelave skupnih shem namreč še nimamo, ekološka vzreja pa obstaja le v manjšem obsegu.</w:t>
      </w:r>
      <w:r>
        <w:t xml:space="preserve"> </w:t>
      </w:r>
      <w:r w:rsidRPr="00D57230">
        <w:t xml:space="preserve">Promocijske aktivnosti bodo usmerjene tudi v prodajalce na veliko (ribarnice, restavracije) ter javne ustanove, npr. šole in vrtce. Del </w:t>
      </w:r>
      <w:r w:rsidR="00F72D0C">
        <w:t xml:space="preserve">sredstev, namenjenih promocijskim aktivnostim, </w:t>
      </w:r>
      <w:r w:rsidRPr="00D57230">
        <w:t>pa bo namenjen tudi promociji EU akvakulture skladno s Strateškimi smernicami za razvoj akvakulture</w:t>
      </w:r>
      <w:r w:rsidR="001A1E0E">
        <w:t xml:space="preserve">, prav tako pa promociji za vzpostavitev organizacij </w:t>
      </w:r>
      <w:r w:rsidR="000F6C24">
        <w:t>proizvajalcev</w:t>
      </w:r>
      <w:r w:rsidRPr="00D57230">
        <w:t>.</w:t>
      </w:r>
    </w:p>
    <w:p w14:paraId="29A41E74" w14:textId="77777777" w:rsidR="00D57230" w:rsidRPr="00D57230" w:rsidRDefault="00D57230" w:rsidP="00D57230">
      <w:pPr>
        <w:pBdr>
          <w:top w:val="single" w:sz="4" w:space="1" w:color="auto"/>
          <w:left w:val="single" w:sz="4" w:space="4" w:color="auto"/>
          <w:bottom w:val="single" w:sz="4" w:space="1" w:color="auto"/>
          <w:right w:val="single" w:sz="4" w:space="4" w:color="auto"/>
        </w:pBdr>
        <w:tabs>
          <w:tab w:val="left" w:pos="1470"/>
        </w:tabs>
        <w:jc w:val="both"/>
      </w:pPr>
    </w:p>
    <w:p w14:paraId="57DD2046" w14:textId="1DA6874C" w:rsidR="003B0956" w:rsidRDefault="00EE02EA" w:rsidP="003B0956">
      <w:pPr>
        <w:pBdr>
          <w:top w:val="single" w:sz="4" w:space="1" w:color="auto"/>
          <w:left w:val="single" w:sz="4" w:space="4" w:color="auto"/>
          <w:bottom w:val="single" w:sz="4" w:space="1" w:color="auto"/>
          <w:right w:val="single" w:sz="4" w:space="4" w:color="auto"/>
        </w:pBdr>
        <w:tabs>
          <w:tab w:val="left" w:pos="1470"/>
        </w:tabs>
        <w:jc w:val="both"/>
        <w:rPr>
          <w:b/>
        </w:rPr>
      </w:pPr>
      <w:r>
        <w:rPr>
          <w:b/>
        </w:rPr>
        <w:t>7</w:t>
      </w:r>
      <w:r w:rsidR="002922B4" w:rsidRPr="00D57230">
        <w:rPr>
          <w:b/>
        </w:rPr>
        <w:t>. Inovacije v predelavi</w:t>
      </w:r>
    </w:p>
    <w:p w14:paraId="6E2F7837" w14:textId="1B601334" w:rsidR="00696398" w:rsidRDefault="00696398" w:rsidP="003B0956">
      <w:pPr>
        <w:pBdr>
          <w:top w:val="single" w:sz="4" w:space="1" w:color="auto"/>
          <w:left w:val="single" w:sz="4" w:space="4" w:color="auto"/>
          <w:bottom w:val="single" w:sz="4" w:space="1" w:color="auto"/>
          <w:right w:val="single" w:sz="4" w:space="4" w:color="auto"/>
        </w:pBdr>
        <w:tabs>
          <w:tab w:val="left" w:pos="1470"/>
        </w:tabs>
        <w:jc w:val="both"/>
        <w:rPr>
          <w:b/>
        </w:rPr>
      </w:pPr>
    </w:p>
    <w:p w14:paraId="69F293CA" w14:textId="77777777" w:rsidR="00696398" w:rsidRDefault="00696398" w:rsidP="00696398">
      <w:pPr>
        <w:pBdr>
          <w:top w:val="single" w:sz="4" w:space="1" w:color="auto"/>
          <w:left w:val="single" w:sz="4" w:space="4" w:color="auto"/>
          <w:bottom w:val="single" w:sz="4" w:space="1" w:color="auto"/>
          <w:right w:val="single" w:sz="4" w:space="4" w:color="auto"/>
        </w:pBdr>
        <w:tabs>
          <w:tab w:val="left" w:pos="1470"/>
        </w:tabs>
        <w:jc w:val="both"/>
      </w:pPr>
      <w:r w:rsidRPr="008E6BB7">
        <w:t>Inovacije so temelj prihodnjega razvoja. V programski perspektivi 2014-2020 tega ukrepa v predelavi nismo izvajali. Ker so na delavnicah, ki smo jih organizirali za pripravo nove programske perspektive</w:t>
      </w:r>
      <w:r>
        <w:t>,</w:t>
      </w:r>
      <w:r w:rsidRPr="008E6BB7">
        <w:t xml:space="preserve"> podjetja v ribiško-predelovalni industriji izrazila potrebo po tem, da iščejo nove ideje in rešitve za nove proizvode in trženje le teh, smo ukrep inovacije v predelavi vključili tudi v OP</w:t>
      </w:r>
      <w:r>
        <w:t xml:space="preserve"> ESPRA 2021-2027</w:t>
      </w:r>
      <w:r w:rsidRPr="008E6BB7">
        <w:t xml:space="preserve">. V okviru SWOT analize je bila v sektorju predelave prepoznana potreba po </w:t>
      </w:r>
      <w:r>
        <w:t>naslednjih tipih aktivnosti:</w:t>
      </w:r>
    </w:p>
    <w:p w14:paraId="0405EFEA" w14:textId="77777777" w:rsidR="00696398" w:rsidRDefault="00696398" w:rsidP="00696398">
      <w:pPr>
        <w:pBdr>
          <w:top w:val="single" w:sz="4" w:space="1" w:color="auto"/>
          <w:left w:val="single" w:sz="4" w:space="4" w:color="auto"/>
          <w:bottom w:val="single" w:sz="4" w:space="1" w:color="auto"/>
          <w:right w:val="single" w:sz="4" w:space="4" w:color="auto"/>
        </w:pBdr>
        <w:tabs>
          <w:tab w:val="left" w:pos="1470"/>
        </w:tabs>
        <w:jc w:val="both"/>
      </w:pPr>
    </w:p>
    <w:p w14:paraId="02C91F6D" w14:textId="511FCBAB" w:rsidR="009B5175" w:rsidRPr="009B5175" w:rsidRDefault="00904E25" w:rsidP="00696398">
      <w:pPr>
        <w:pBdr>
          <w:top w:val="single" w:sz="4" w:space="1" w:color="auto"/>
          <w:left w:val="single" w:sz="4" w:space="4" w:color="auto"/>
          <w:bottom w:val="single" w:sz="4" w:space="1" w:color="auto"/>
          <w:right w:val="single" w:sz="4" w:space="4" w:color="auto"/>
        </w:pBdr>
        <w:tabs>
          <w:tab w:val="left" w:pos="1470"/>
        </w:tabs>
        <w:jc w:val="both"/>
      </w:pPr>
      <w:r>
        <w:t>a</w:t>
      </w:r>
      <w:r w:rsidR="00696398">
        <w:t>) I</w:t>
      </w:r>
      <w:r w:rsidR="00696398" w:rsidRPr="00696398">
        <w:t>novacij</w:t>
      </w:r>
      <w:r w:rsidR="00696398">
        <w:t>e</w:t>
      </w:r>
      <w:r w:rsidR="00696398" w:rsidRPr="008E6BB7">
        <w:t xml:space="preserve"> v </w:t>
      </w:r>
      <w:r w:rsidR="009B5175" w:rsidRPr="009B5175">
        <w:t>iskanju rešitev pri prodajnih težavah</w:t>
      </w:r>
      <w:r w:rsidR="00983CFA">
        <w:t xml:space="preserve"> in iskanju novih modelov upravljanja</w:t>
      </w:r>
    </w:p>
    <w:p w14:paraId="7E999A25" w14:textId="5232CACC" w:rsidR="00980851" w:rsidRPr="00983CFA" w:rsidRDefault="009B5175" w:rsidP="00696398">
      <w:pPr>
        <w:pBdr>
          <w:top w:val="single" w:sz="4" w:space="1" w:color="auto"/>
          <w:left w:val="single" w:sz="4" w:space="4" w:color="auto"/>
          <w:bottom w:val="single" w:sz="4" w:space="1" w:color="auto"/>
          <w:right w:val="single" w:sz="4" w:space="4" w:color="auto"/>
        </w:pBdr>
        <w:tabs>
          <w:tab w:val="left" w:pos="1470"/>
        </w:tabs>
        <w:jc w:val="both"/>
      </w:pPr>
      <w:r>
        <w:t>V okviru tega tipa aktivnosti bomo omogočili predvsem</w:t>
      </w:r>
      <w:r w:rsidR="00696398" w:rsidRPr="008E6BB7">
        <w:t xml:space="preserve"> odziv na potrebo po novih tržnih zahtevah, </w:t>
      </w:r>
      <w:r w:rsidR="00983CFA">
        <w:t xml:space="preserve">iskanje novih tržnih modelov in poti, </w:t>
      </w:r>
      <w:r w:rsidR="00696398" w:rsidRPr="008E6BB7">
        <w:t>razvoja oz. uvajanja novih proizvodov</w:t>
      </w:r>
      <w:r w:rsidR="00983CFA">
        <w:t xml:space="preserve"> (na primer širitev asortimenta rib in ribjih izdelkov in kombiniranje s prilogami iz drugih živil)</w:t>
      </w:r>
      <w:r w:rsidR="00696398" w:rsidRPr="008E6BB7">
        <w:t xml:space="preserve">, </w:t>
      </w:r>
      <w:r w:rsidR="00983CFA" w:rsidRPr="00983CFA">
        <w:t xml:space="preserve">dodajanja vrednosti </w:t>
      </w:r>
      <w:r w:rsidR="00983CFA" w:rsidRPr="00983CFA">
        <w:lastRenderedPageBreak/>
        <w:t>proizvodom</w:t>
      </w:r>
      <w:r w:rsidR="00983CFA">
        <w:t xml:space="preserve"> (na primer uvajanje  pakiranih predpripravljenih proizvodov)</w:t>
      </w:r>
      <w:r w:rsidR="00983CFA" w:rsidRPr="00983CFA">
        <w:t>.</w:t>
      </w:r>
      <w:r w:rsidR="00983CFA">
        <w:t xml:space="preserve"> Prav tako bomo v okviru tega tipa aktivnosti omogočili inovacije v informatizaciji delovnih procesov z vidika povezovanja strojne opreme v enovit informacijski sistem za boljše načrtovanje proizvodnje, delovnih operacij, izmen, zasedenosti naprav, ozkih grl, servisiranja, kala, odpadkov, porabljenih materialov ipd</w:t>
      </w:r>
    </w:p>
    <w:p w14:paraId="4BF783D2" w14:textId="59F97BE7" w:rsidR="00983CFA" w:rsidRDefault="00904E25" w:rsidP="00696398">
      <w:pPr>
        <w:pBdr>
          <w:top w:val="single" w:sz="4" w:space="1" w:color="auto"/>
          <w:left w:val="single" w:sz="4" w:space="4" w:color="auto"/>
          <w:bottom w:val="single" w:sz="4" w:space="1" w:color="auto"/>
          <w:right w:val="single" w:sz="4" w:space="4" w:color="auto"/>
        </w:pBdr>
        <w:tabs>
          <w:tab w:val="left" w:pos="1470"/>
        </w:tabs>
        <w:jc w:val="both"/>
      </w:pPr>
      <w:r>
        <w:t>b</w:t>
      </w:r>
      <w:r w:rsidR="00983CFA">
        <w:t xml:space="preserve">) Inovacije v iskanju okoljskih rešitev </w:t>
      </w:r>
    </w:p>
    <w:p w14:paraId="539A510A" w14:textId="2E6638ED" w:rsidR="00983CFA" w:rsidRDefault="00983CFA" w:rsidP="00696398">
      <w:pPr>
        <w:pBdr>
          <w:top w:val="single" w:sz="4" w:space="1" w:color="auto"/>
          <w:left w:val="single" w:sz="4" w:space="4" w:color="auto"/>
          <w:bottom w:val="single" w:sz="4" w:space="1" w:color="auto"/>
          <w:right w:val="single" w:sz="4" w:space="4" w:color="auto"/>
        </w:pBdr>
        <w:tabs>
          <w:tab w:val="left" w:pos="1470"/>
        </w:tabs>
        <w:jc w:val="both"/>
      </w:pPr>
      <w:r>
        <w:t xml:space="preserve">V okviru tega tipa aktivnosti bomo omogočili inovacije za </w:t>
      </w:r>
      <w:r w:rsidR="00696398" w:rsidRPr="008E6BB7">
        <w:t>zmanjševanj</w:t>
      </w:r>
      <w:r>
        <w:t>e</w:t>
      </w:r>
      <w:r w:rsidR="00696398" w:rsidRPr="008E6BB7">
        <w:t xml:space="preserve"> zavržkov iz </w:t>
      </w:r>
      <w:r>
        <w:t>predelave (na primer z uporabo strojev za fiksiranje tež</w:t>
      </w:r>
      <w:r w:rsidR="00AA56A2">
        <w:t>e</w:t>
      </w:r>
      <w:r>
        <w:t xml:space="preserve"> ter označevanje proizvodov z minimalnim kalom)</w:t>
      </w:r>
      <w:r w:rsidR="00696398" w:rsidRPr="008E6BB7">
        <w:t xml:space="preserve"> in vključevanja v krožno gospodarstvo, razvoja embalaže (npr. za izboljšanje kakovosti proizvodov</w:t>
      </w:r>
      <w:r>
        <w:t xml:space="preserve"> in udobja za potrošnike</w:t>
      </w:r>
      <w:r w:rsidR="00696398" w:rsidRPr="008E6BB7">
        <w:t xml:space="preserve"> ali vpliva na okolj</w:t>
      </w:r>
      <w:r w:rsidRPr="00983CFA">
        <w:t>e, podaljšanja roka uporabnosti</w:t>
      </w:r>
      <w:r>
        <w:t xml:space="preserve">, razvoja kartonske embalaže, </w:t>
      </w:r>
      <w:r w:rsidRPr="00983CFA">
        <w:t xml:space="preserve">zamenjava mono </w:t>
      </w:r>
      <w:r>
        <w:t>PP</w:t>
      </w:r>
      <w:r w:rsidRPr="00983CFA">
        <w:t xml:space="preserve"> </w:t>
      </w:r>
      <w:r>
        <w:t>in PET s kartonasto embalažo, ki se jo da reciklirati).</w:t>
      </w:r>
    </w:p>
    <w:p w14:paraId="1885793E" w14:textId="77777777" w:rsidR="00983CFA" w:rsidRDefault="00983CFA" w:rsidP="00696398">
      <w:pPr>
        <w:pBdr>
          <w:top w:val="single" w:sz="4" w:space="1" w:color="auto"/>
          <w:left w:val="single" w:sz="4" w:space="4" w:color="auto"/>
          <w:bottom w:val="single" w:sz="4" w:space="1" w:color="auto"/>
          <w:right w:val="single" w:sz="4" w:space="4" w:color="auto"/>
        </w:pBdr>
        <w:tabs>
          <w:tab w:val="left" w:pos="1470"/>
        </w:tabs>
        <w:jc w:val="both"/>
      </w:pPr>
    </w:p>
    <w:p w14:paraId="4FCD807D" w14:textId="605246DC" w:rsidR="00696398" w:rsidRDefault="00696398" w:rsidP="00696398">
      <w:pPr>
        <w:pBdr>
          <w:top w:val="single" w:sz="4" w:space="1" w:color="auto"/>
          <w:left w:val="single" w:sz="4" w:space="4" w:color="auto"/>
          <w:bottom w:val="single" w:sz="4" w:space="1" w:color="auto"/>
          <w:right w:val="single" w:sz="4" w:space="4" w:color="auto"/>
        </w:pBdr>
        <w:tabs>
          <w:tab w:val="left" w:pos="1470"/>
        </w:tabs>
        <w:jc w:val="both"/>
      </w:pPr>
      <w:r w:rsidRPr="008E6BB7">
        <w:t xml:space="preserve">Pri pripravi </w:t>
      </w:r>
      <w:r w:rsidR="00983CFA">
        <w:t xml:space="preserve">vseh tipov </w:t>
      </w:r>
      <w:r w:rsidRPr="008E6BB7">
        <w:t xml:space="preserve">bomo </w:t>
      </w:r>
      <w:r w:rsidR="00983CFA">
        <w:t xml:space="preserve">torej </w:t>
      </w:r>
      <w:r w:rsidRPr="008E6BB7">
        <w:t xml:space="preserve">upoštevali določene izkušnje, ki smo jih dobili že pri izvajanju ukrepa inovacije v akvakulturi. </w:t>
      </w:r>
      <w:r w:rsidR="00983CFA" w:rsidRPr="00983CFA">
        <w:t>Priložnost</w:t>
      </w:r>
      <w:r w:rsidRPr="008E6BB7">
        <w:t xml:space="preserve"> vidimo predvsem pri uvajanju novih proizvodov, pa tudi </w:t>
      </w:r>
      <w:r w:rsidR="00983CFA">
        <w:t xml:space="preserve">v </w:t>
      </w:r>
      <w:r w:rsidR="00983CFA" w:rsidRPr="00983CFA">
        <w:t xml:space="preserve">večji </w:t>
      </w:r>
      <w:r w:rsidRPr="008E6BB7">
        <w:t>izkoriščenost</w:t>
      </w:r>
      <w:r w:rsidR="00983CFA">
        <w:t xml:space="preserve">i </w:t>
      </w:r>
      <w:r w:rsidR="00983CFA" w:rsidRPr="00983CFA">
        <w:t xml:space="preserve">zavržkov, potrebo pa predvsem </w:t>
      </w:r>
      <w:r w:rsidRPr="008E6BB7">
        <w:t>pri nadomeščanju plastične embalaže z embalažo</w:t>
      </w:r>
      <w:r w:rsidR="00983CFA">
        <w:t>,</w:t>
      </w:r>
      <w:r w:rsidRPr="008E6BB7">
        <w:t xml:space="preserve"> prijazno okolju. Naš sektor predelave je sicer odvisen predvsem od tujih surovin, </w:t>
      </w:r>
      <w:r w:rsidR="00980851">
        <w:t xml:space="preserve">želimo pa si </w:t>
      </w:r>
      <w:r w:rsidRPr="008E6BB7">
        <w:t xml:space="preserve"> inovacij, ki bodo </w:t>
      </w:r>
      <w:r w:rsidR="00980851">
        <w:t xml:space="preserve">v </w:t>
      </w:r>
      <w:r w:rsidRPr="008E6BB7">
        <w:t>poveza</w:t>
      </w:r>
      <w:r w:rsidR="00980851">
        <w:t>vi</w:t>
      </w:r>
      <w:r w:rsidRPr="008E6BB7">
        <w:t xml:space="preserve"> z domačimi surovinami</w:t>
      </w:r>
      <w:r w:rsidR="00AA56A2">
        <w:t xml:space="preserve"> iskale rešitve za težave</w:t>
      </w:r>
      <w:r w:rsidR="00AA56A2" w:rsidRPr="00AA56A2">
        <w:t xml:space="preserve"> na lokalni ravni.</w:t>
      </w:r>
      <w:r w:rsidR="00980851">
        <w:t xml:space="preserve"> </w:t>
      </w:r>
      <w:r w:rsidRPr="008E6BB7">
        <w:t>Rezultati inovacij bodo javno objavljeni in če bodo rezultati ugodni, pričakujemo, da bodo lahko rešitve uporabila tudi druga podjetja.</w:t>
      </w:r>
    </w:p>
    <w:p w14:paraId="27E26164" w14:textId="14E3930E" w:rsidR="00220829" w:rsidRDefault="00220829" w:rsidP="00696398">
      <w:pPr>
        <w:pBdr>
          <w:top w:val="single" w:sz="4" w:space="1" w:color="auto"/>
          <w:left w:val="single" w:sz="4" w:space="4" w:color="auto"/>
          <w:bottom w:val="single" w:sz="4" w:space="1" w:color="auto"/>
          <w:right w:val="single" w:sz="4" w:space="4" w:color="auto"/>
        </w:pBdr>
        <w:tabs>
          <w:tab w:val="left" w:pos="1470"/>
        </w:tabs>
        <w:jc w:val="both"/>
      </w:pPr>
    </w:p>
    <w:p w14:paraId="798D2EFD" w14:textId="30B34677" w:rsidR="00220829" w:rsidRDefault="00220829" w:rsidP="00696398">
      <w:pPr>
        <w:pBdr>
          <w:top w:val="single" w:sz="4" w:space="1" w:color="auto"/>
          <w:left w:val="single" w:sz="4" w:space="4" w:color="auto"/>
          <w:bottom w:val="single" w:sz="4" w:space="1" w:color="auto"/>
          <w:right w:val="single" w:sz="4" w:space="4" w:color="auto"/>
        </w:pBdr>
        <w:tabs>
          <w:tab w:val="left" w:pos="1470"/>
        </w:tabs>
        <w:jc w:val="both"/>
        <w:rPr>
          <w:b/>
        </w:rPr>
      </w:pPr>
      <w:r w:rsidRPr="00714475">
        <w:rPr>
          <w:b/>
        </w:rPr>
        <w:t>8. Krizni mehanizem</w:t>
      </w:r>
    </w:p>
    <w:p w14:paraId="275E8513" w14:textId="41B111BE" w:rsidR="00D06047" w:rsidRDefault="00D06047" w:rsidP="00696398">
      <w:pPr>
        <w:pBdr>
          <w:top w:val="single" w:sz="4" w:space="1" w:color="auto"/>
          <w:left w:val="single" w:sz="4" w:space="4" w:color="auto"/>
          <w:bottom w:val="single" w:sz="4" w:space="1" w:color="auto"/>
          <w:right w:val="single" w:sz="4" w:space="4" w:color="auto"/>
        </w:pBdr>
        <w:tabs>
          <w:tab w:val="left" w:pos="1470"/>
        </w:tabs>
        <w:jc w:val="both"/>
        <w:rPr>
          <w:b/>
        </w:rPr>
      </w:pPr>
    </w:p>
    <w:p w14:paraId="410278F8" w14:textId="6A9F037C" w:rsidR="00D06047" w:rsidRPr="00D06047" w:rsidRDefault="00D06047" w:rsidP="00696398">
      <w:pPr>
        <w:pBdr>
          <w:top w:val="single" w:sz="4" w:space="1" w:color="auto"/>
          <w:left w:val="single" w:sz="4" w:space="4" w:color="auto"/>
          <w:bottom w:val="single" w:sz="4" w:space="1" w:color="auto"/>
          <w:right w:val="single" w:sz="4" w:space="4" w:color="auto"/>
        </w:pBdr>
        <w:tabs>
          <w:tab w:val="left" w:pos="1470"/>
        </w:tabs>
        <w:jc w:val="both"/>
      </w:pPr>
      <w:r w:rsidRPr="00714475">
        <w:t xml:space="preserve">Zaradi vojne v Ukrajini je Evropska komisija aktivirala krizni mehanizem iz člena 26(2) Uredbe </w:t>
      </w:r>
      <w:r>
        <w:t>(</w:t>
      </w:r>
      <w:r w:rsidRPr="00714475">
        <w:t>EU</w:t>
      </w:r>
      <w:r>
        <w:t>) št.</w:t>
      </w:r>
      <w:r w:rsidRPr="00714475">
        <w:t xml:space="preserve"> 2021/1139</w:t>
      </w:r>
      <w:r w:rsidRPr="00D06047">
        <w:t>, ki omogoča dodeljevanje nadomestil za nekatere stroške, ki sicer niso upravičeni do takšnega nadomestila, za gospodarske subjekte v sektorju ribištva in akvakulture za izpad dohodka ali dodatne stroške ter za priznane organizacije proizvajalcev</w:t>
      </w:r>
      <w:r>
        <w:t>, ki skladiščijo ribiške proizvode</w:t>
      </w:r>
      <w:r w:rsidRPr="00D06047">
        <w:t xml:space="preserve"> v skladu </w:t>
      </w:r>
      <w:r>
        <w:t>s členoma 31 in 31 Uredbe (EU) št. 1379/2013. Ta tip aktivnosti bo torej omogočal nadomestila za izpad dohodka in dodaten stroške, ki izhajajo iz motenj na trgih ribiških porizovdov iz ribogojstva, ki jih je povzročila vojna v Ukrajini. Nadomestilase lahko dodelijo v okviru katere koli oblike iz točke (b) do (e) člena 53(1) Uredbe (EU) 2021/1060. Organ upravljanja mora pripraviti metodologijo za izračun nadomestil.</w:t>
      </w:r>
    </w:p>
    <w:p w14:paraId="1F6E35A0" w14:textId="77777777" w:rsidR="00A16346" w:rsidRDefault="00A16346" w:rsidP="00A16346"/>
    <w:p w14:paraId="620BEE86" w14:textId="61FA70E2" w:rsidR="00A16346" w:rsidRPr="00B77128" w:rsidRDefault="00A16346" w:rsidP="00A16346">
      <w:pPr>
        <w:rPr>
          <w:b/>
          <w:i/>
          <w:iCs/>
          <w:noProof/>
        </w:rPr>
      </w:pPr>
      <w:r w:rsidRPr="00B77128">
        <w:rPr>
          <w:i/>
          <w:noProof/>
        </w:rPr>
        <w:t xml:space="preserve">Glavne ciljne skupine– Člen </w:t>
      </w:r>
      <w:r w:rsidR="00715B0E">
        <w:rPr>
          <w:i/>
          <w:noProof/>
        </w:rPr>
        <w:t>22</w:t>
      </w:r>
      <w:r w:rsidRPr="00B77128">
        <w:rPr>
          <w:i/>
          <w:noProof/>
        </w:rPr>
        <w:t>(3)(d)(iii):</w:t>
      </w:r>
      <w:r>
        <w:rPr>
          <w:i/>
          <w:noProof/>
        </w:rPr>
        <w:t xml:space="preserve"> </w:t>
      </w:r>
      <w:r w:rsidRPr="00A16346">
        <w:rPr>
          <w:i/>
          <w:noProof/>
        </w:rPr>
        <w:t>Besedilno polje  [1 000]</w:t>
      </w:r>
    </w:p>
    <w:p w14:paraId="7072E467" w14:textId="18A14F10" w:rsidR="00A16346" w:rsidRPr="00EE02EA" w:rsidRDefault="00A16346" w:rsidP="00EE02EA">
      <w:pPr>
        <w:pBdr>
          <w:top w:val="single" w:sz="4" w:space="1" w:color="auto"/>
          <w:left w:val="single" w:sz="4" w:space="4" w:color="auto"/>
          <w:bottom w:val="single" w:sz="4" w:space="1" w:color="auto"/>
          <w:right w:val="single" w:sz="4" w:space="4" w:color="auto"/>
        </w:pBdr>
        <w:jc w:val="both"/>
        <w:rPr>
          <w:iCs/>
          <w:noProof/>
        </w:rPr>
      </w:pPr>
      <w:r w:rsidRPr="00EE02EA">
        <w:rPr>
          <w:iCs/>
          <w:noProof/>
        </w:rPr>
        <w:t>G</w:t>
      </w:r>
      <w:r w:rsidR="00EE02EA">
        <w:rPr>
          <w:iCs/>
          <w:noProof/>
        </w:rPr>
        <w:t>lavne cilje skupine v okviru aktivnosti št. 5</w:t>
      </w:r>
      <w:r w:rsidRPr="00EE02EA">
        <w:rPr>
          <w:iCs/>
          <w:noProof/>
        </w:rPr>
        <w:t xml:space="preserve"> bodo vsi pravni subjekti, ki izvajajo dejavnost predelave ribiških proizvod</w:t>
      </w:r>
      <w:r w:rsidR="00F50020" w:rsidRPr="00EE02EA">
        <w:rPr>
          <w:iCs/>
          <w:noProof/>
        </w:rPr>
        <w:t>ov in proizvodov iz akvakulture,</w:t>
      </w:r>
      <w:r w:rsidRPr="00EE02EA">
        <w:rPr>
          <w:iCs/>
          <w:noProof/>
        </w:rPr>
        <w:t xml:space="preserve"> in so regist</w:t>
      </w:r>
      <w:r w:rsidR="00F50020" w:rsidRPr="00EE02EA">
        <w:rPr>
          <w:iCs/>
          <w:noProof/>
        </w:rPr>
        <w:t>rirani v Republiki Sloveniji</w:t>
      </w:r>
      <w:r w:rsidR="00394608" w:rsidRPr="00EE02EA">
        <w:rPr>
          <w:iCs/>
          <w:noProof/>
        </w:rPr>
        <w:t xml:space="preserve"> in vsi potrošniki ribiških proizvodov ter </w:t>
      </w:r>
      <w:r w:rsidR="00EE02EA">
        <w:rPr>
          <w:iCs/>
          <w:noProof/>
        </w:rPr>
        <w:t>proizvodov</w:t>
      </w:r>
      <w:r w:rsidR="00394608" w:rsidRPr="00EE02EA">
        <w:rPr>
          <w:iCs/>
          <w:noProof/>
        </w:rPr>
        <w:t xml:space="preserve"> iz </w:t>
      </w:r>
      <w:r w:rsidR="00EE02EA">
        <w:rPr>
          <w:iCs/>
          <w:noProof/>
        </w:rPr>
        <w:t>akvakulture</w:t>
      </w:r>
      <w:r w:rsidR="00394608" w:rsidRPr="00EE02EA">
        <w:rPr>
          <w:iCs/>
          <w:noProof/>
        </w:rPr>
        <w:t>, obenem pa tudi zaposleni v teh podjetjih</w:t>
      </w:r>
      <w:r w:rsidRPr="00EE02EA">
        <w:rPr>
          <w:iCs/>
          <w:noProof/>
        </w:rPr>
        <w:t>. Glavn</w:t>
      </w:r>
      <w:r w:rsidR="00EE02EA">
        <w:rPr>
          <w:iCs/>
          <w:noProof/>
        </w:rPr>
        <w:t>a</w:t>
      </w:r>
      <w:r w:rsidRPr="00EE02EA">
        <w:rPr>
          <w:iCs/>
          <w:noProof/>
        </w:rPr>
        <w:t xml:space="preserve"> ciljna skupina </w:t>
      </w:r>
      <w:r w:rsidR="00EE02EA" w:rsidRPr="00EE02EA">
        <w:rPr>
          <w:iCs/>
          <w:noProof/>
        </w:rPr>
        <w:t xml:space="preserve">v okviru aktivnosti št. </w:t>
      </w:r>
      <w:r w:rsidR="00EE02EA">
        <w:rPr>
          <w:iCs/>
          <w:noProof/>
        </w:rPr>
        <w:t>6</w:t>
      </w:r>
      <w:r w:rsidR="00DC1510" w:rsidRPr="00EE02EA">
        <w:rPr>
          <w:iCs/>
          <w:noProof/>
        </w:rPr>
        <w:t xml:space="preserve"> </w:t>
      </w:r>
      <w:r w:rsidRPr="00EE02EA">
        <w:rPr>
          <w:iCs/>
          <w:noProof/>
        </w:rPr>
        <w:t>bodo</w:t>
      </w:r>
      <w:r w:rsidR="00B95C21" w:rsidRPr="00EE02EA">
        <w:rPr>
          <w:iCs/>
          <w:noProof/>
        </w:rPr>
        <w:t xml:space="preserve"> nosilci </w:t>
      </w:r>
      <w:r w:rsidR="00EE02EA">
        <w:rPr>
          <w:iCs/>
          <w:noProof/>
        </w:rPr>
        <w:t>gospodarskih dejavnosti ribolova, akvakulture in predelave</w:t>
      </w:r>
      <w:r w:rsidR="00B95C21" w:rsidRPr="00EE02EA">
        <w:rPr>
          <w:iCs/>
          <w:noProof/>
        </w:rPr>
        <w:t xml:space="preserve">, trgovci in ponudniki ribjih izdelkov, </w:t>
      </w:r>
      <w:r w:rsidR="00EE02EA">
        <w:rPr>
          <w:iCs/>
          <w:noProof/>
        </w:rPr>
        <w:t xml:space="preserve">širša javnost, javne ustanove, npr. šole in vrtci, </w:t>
      </w:r>
      <w:r w:rsidRPr="00EE02EA">
        <w:rPr>
          <w:iCs/>
          <w:noProof/>
        </w:rPr>
        <w:t>potrošniki ribjih proizvodov in proizvodov iz akvakulture, ki se jih bo osveščalo o pomenu zdrave in uravnoteže</w:t>
      </w:r>
      <w:r w:rsidR="00394608" w:rsidRPr="00EE02EA">
        <w:rPr>
          <w:iCs/>
          <w:noProof/>
        </w:rPr>
        <w:t>ne</w:t>
      </w:r>
      <w:r w:rsidRPr="00EE02EA">
        <w:rPr>
          <w:iCs/>
          <w:noProof/>
        </w:rPr>
        <w:t xml:space="preserve"> prehrane ter o sektorj</w:t>
      </w:r>
      <w:r w:rsidR="00394608" w:rsidRPr="00EE02EA">
        <w:rPr>
          <w:iCs/>
          <w:noProof/>
        </w:rPr>
        <w:t>ih</w:t>
      </w:r>
      <w:r w:rsidRPr="00EE02EA">
        <w:rPr>
          <w:iCs/>
          <w:noProof/>
        </w:rPr>
        <w:t xml:space="preserve"> morskega gospodarskega ribolova in</w:t>
      </w:r>
      <w:r w:rsidR="00EE02EA">
        <w:rPr>
          <w:iCs/>
          <w:noProof/>
        </w:rPr>
        <w:t xml:space="preserve"> vzreje vodnih organizmov v RS. Glavne ciljne skupine </w:t>
      </w:r>
      <w:r w:rsidR="00EE02EA" w:rsidRPr="00EE02EA">
        <w:rPr>
          <w:iCs/>
          <w:noProof/>
        </w:rPr>
        <w:t>v okviru aktivnosti št.</w:t>
      </w:r>
      <w:r w:rsidR="00EE02EA">
        <w:rPr>
          <w:iCs/>
          <w:noProof/>
        </w:rPr>
        <w:t xml:space="preserve"> 7 so ribiško-predelovalna podjetja in raziskovalne institucije, zaposleni v teh podjetjih</w:t>
      </w:r>
      <w:r w:rsidR="00C47363">
        <w:rPr>
          <w:iCs/>
          <w:noProof/>
        </w:rPr>
        <w:t>, nenazadnje pa tudi potrošniki proizvodov iz ribištva in akvakulture.</w:t>
      </w:r>
    </w:p>
    <w:p w14:paraId="16717484" w14:textId="77777777" w:rsidR="005840AA" w:rsidRDefault="005840AA" w:rsidP="005840AA">
      <w:pPr>
        <w:jc w:val="both"/>
      </w:pPr>
    </w:p>
    <w:p w14:paraId="32A2B40C" w14:textId="4D68D16E" w:rsidR="005840AA" w:rsidRDefault="005840AA" w:rsidP="005840AA">
      <w:pPr>
        <w:jc w:val="both"/>
      </w:pPr>
      <w:r>
        <w:t xml:space="preserve">Aktivnosti, ki ohranjajo enakost, vključenost in nediskriminacijo – Člen </w:t>
      </w:r>
      <w:r w:rsidR="00715B0E">
        <w:t>22</w:t>
      </w:r>
      <w:r>
        <w:t>(3)(d)(i</w:t>
      </w:r>
      <w:r w:rsidR="00715B0E">
        <w:t>v</w:t>
      </w:r>
      <w:r>
        <w:t>)</w:t>
      </w:r>
    </w:p>
    <w:p w14:paraId="02B1390F" w14:textId="3CB77FD0" w:rsidR="00A16346" w:rsidRPr="00BA2FDD" w:rsidRDefault="005840AA" w:rsidP="005840AA">
      <w:pPr>
        <w:jc w:val="both"/>
        <w:rPr>
          <w:highlight w:val="yellow"/>
        </w:rPr>
      </w:pPr>
      <w:r w:rsidRPr="00BA2FDD">
        <w:t>Slovenija bo pri izvajanju vseh aktivnosti posebno pozornost posvečala načelu enakos</w:t>
      </w:r>
      <w:r w:rsidR="0018281C" w:rsidRPr="00BA2FDD">
        <w:t>ti, vključenosti in nediskrimin</w:t>
      </w:r>
      <w:r w:rsidRPr="00BA2FDD">
        <w:t xml:space="preserve">acije. Vsi </w:t>
      </w:r>
      <w:r w:rsidR="0018281C" w:rsidRPr="00BA2FDD">
        <w:t>potencialni</w:t>
      </w:r>
      <w:r w:rsidRPr="00BA2FDD">
        <w:t xml:space="preserve"> deležniki bodo hkrati vključeni v aktivnosti obveščanja in predstavljanja vseh podlag za izvajanje aktivnosti. Varstvo pravic posameznika 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w:t>
      </w:r>
      <w:r w:rsidRPr="00BA2FDD">
        <w:lastRenderedPageBreak/>
        <w:t xml:space="preserve">starost, invalidnost, rasna, etnična, </w:t>
      </w:r>
      <w:r w:rsidR="0018281C" w:rsidRPr="00BA2FDD">
        <w:t>narodna</w:t>
      </w:r>
      <w:r w:rsidRPr="00BA2FDD">
        <w:t xml:space="preserve"> in verska pripadnost, spolna usmerjenost) 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53C08563" w14:textId="77777777" w:rsidR="005840AA" w:rsidRPr="00BA2FDD" w:rsidRDefault="005840AA" w:rsidP="00A16346">
      <w:pPr>
        <w:rPr>
          <w:rFonts w:cs="Arial"/>
          <w:i/>
          <w:noProof/>
          <w:color w:val="FF0000"/>
          <w:szCs w:val="20"/>
          <w:highlight w:val="yellow"/>
        </w:rPr>
      </w:pPr>
    </w:p>
    <w:p w14:paraId="63E6AED1" w14:textId="6638D918" w:rsidR="00A16346" w:rsidRPr="00BA2FDD" w:rsidRDefault="00A16346" w:rsidP="00A16346">
      <w:pPr>
        <w:rPr>
          <w:rFonts w:cs="Arial"/>
          <w:i/>
          <w:noProof/>
          <w:szCs w:val="20"/>
        </w:rPr>
      </w:pPr>
      <w:r w:rsidRPr="00BA2FDD">
        <w:rPr>
          <w:rFonts w:cs="Arial"/>
          <w:i/>
          <w:noProof/>
          <w:szCs w:val="20"/>
        </w:rPr>
        <w:t xml:space="preserve">Posebna ciljna območja, vključno z načrtovano uporabo teritorialnih orodij– Člen </w:t>
      </w:r>
      <w:r w:rsidR="00002C98">
        <w:rPr>
          <w:rFonts w:cs="Arial"/>
          <w:i/>
          <w:noProof/>
          <w:szCs w:val="20"/>
        </w:rPr>
        <w:t>22</w:t>
      </w:r>
      <w:r w:rsidRPr="00BA2FDD">
        <w:rPr>
          <w:rFonts w:cs="Arial"/>
          <w:i/>
          <w:noProof/>
          <w:szCs w:val="20"/>
        </w:rPr>
        <w:t>(3)(d)(v)</w:t>
      </w:r>
      <w:r w:rsidR="00CE0BB7" w:rsidRPr="00BA2FDD">
        <w:rPr>
          <w:rFonts w:cs="Arial"/>
          <w:i/>
          <w:noProof/>
          <w:szCs w:val="20"/>
        </w:rPr>
        <w:t>: Besedilno polje  [2 000]</w:t>
      </w:r>
    </w:p>
    <w:p w14:paraId="23CD74E0" w14:textId="0B4FD027" w:rsidR="00CE0BB7" w:rsidRDefault="00CE0BB7" w:rsidP="00CE0BB7">
      <w:pPr>
        <w:pBdr>
          <w:top w:val="single" w:sz="4" w:space="1" w:color="auto"/>
          <w:left w:val="single" w:sz="4" w:space="4" w:color="auto"/>
          <w:bottom w:val="single" w:sz="4" w:space="1" w:color="auto"/>
          <w:right w:val="single" w:sz="4" w:space="4" w:color="auto"/>
        </w:pBdr>
        <w:jc w:val="both"/>
        <w:rPr>
          <w:rFonts w:cs="Arial"/>
          <w:iCs/>
          <w:noProof/>
          <w:szCs w:val="20"/>
        </w:rPr>
      </w:pPr>
      <w:r w:rsidRPr="00BA2FDD">
        <w:rPr>
          <w:rFonts w:cs="Arial"/>
          <w:iCs/>
          <w:noProof/>
          <w:szCs w:val="20"/>
        </w:rPr>
        <w:t xml:space="preserve">Aktivnosti se bodo izvajale na območju celotnega ozemlja RS. Poseben poudarek bo na obmejnih problemskih območij, ki so vzpostavljena v skladu z Zakonom o spodbujanju skladnega regionalnega razvoja (Uradni list RS, št. 20/11, 57/12 in 46/16). Vlagatelji s teh območij bodo lahko pridobili v okviru meril za izbor operacij večje število točk. </w:t>
      </w:r>
    </w:p>
    <w:p w14:paraId="3FA41F5D" w14:textId="77777777" w:rsidR="005E3DBA" w:rsidRPr="005E3DBA" w:rsidRDefault="005E3DBA" w:rsidP="005E3DBA">
      <w:pPr>
        <w:pBdr>
          <w:top w:val="single" w:sz="4" w:space="1" w:color="auto"/>
          <w:left w:val="single" w:sz="4" w:space="4" w:color="auto"/>
          <w:bottom w:val="single" w:sz="4" w:space="1" w:color="auto"/>
          <w:right w:val="single" w:sz="4" w:space="4" w:color="auto"/>
        </w:pBdr>
        <w:jc w:val="both"/>
        <w:rPr>
          <w:rFonts w:cs="Arial"/>
          <w:iCs/>
          <w:noProof/>
          <w:szCs w:val="20"/>
        </w:rPr>
      </w:pPr>
      <w:r w:rsidRPr="005E3DBA">
        <w:rPr>
          <w:rFonts w:cs="Arial"/>
          <w:iCs/>
          <w:noProof/>
          <w:szCs w:val="20"/>
        </w:rPr>
        <w:t>Uporaba teritorialnega orodja, celostni razvoj, ki ga vodi skupnost, je podrobneje opisana v okviru tretje prednostne naloge.</w:t>
      </w:r>
    </w:p>
    <w:p w14:paraId="1C0983E7" w14:textId="77777777" w:rsidR="00A16346" w:rsidRPr="00BA2FDD" w:rsidRDefault="00A16346" w:rsidP="00A16346">
      <w:pPr>
        <w:rPr>
          <w:rFonts w:cs="Arial"/>
          <w:i/>
          <w:noProof/>
          <w:szCs w:val="20"/>
        </w:rPr>
      </w:pPr>
    </w:p>
    <w:p w14:paraId="3415F62E" w14:textId="2DED568B" w:rsidR="00A16346" w:rsidRPr="00AC29EA" w:rsidRDefault="00A16346" w:rsidP="00A16346">
      <w:pPr>
        <w:rPr>
          <w:rFonts w:cs="Arial"/>
          <w:i/>
          <w:noProof/>
          <w:szCs w:val="20"/>
        </w:rPr>
      </w:pPr>
      <w:r w:rsidRPr="00AC29EA">
        <w:rPr>
          <w:rFonts w:cs="Arial"/>
          <w:i/>
          <w:noProof/>
          <w:szCs w:val="20"/>
        </w:rPr>
        <w:t xml:space="preserve">Medregionalni in transnacionalni ukrepi –Člen </w:t>
      </w:r>
      <w:r w:rsidR="00C640EF">
        <w:rPr>
          <w:rFonts w:cs="Arial"/>
          <w:i/>
          <w:noProof/>
          <w:szCs w:val="20"/>
        </w:rPr>
        <w:t>22</w:t>
      </w:r>
      <w:r w:rsidRPr="00AC29EA">
        <w:rPr>
          <w:rFonts w:cs="Arial"/>
          <w:i/>
          <w:noProof/>
          <w:szCs w:val="20"/>
        </w:rPr>
        <w:t>(3)(d)(v</w:t>
      </w:r>
      <w:r w:rsidR="00C640EF">
        <w:rPr>
          <w:rFonts w:cs="Arial"/>
          <w:i/>
          <w:noProof/>
          <w:szCs w:val="20"/>
        </w:rPr>
        <w:t>i</w:t>
      </w:r>
      <w:r w:rsidRPr="00AC29EA">
        <w:rPr>
          <w:rFonts w:cs="Arial"/>
          <w:i/>
          <w:noProof/>
          <w:szCs w:val="20"/>
        </w:rPr>
        <w:t>)</w:t>
      </w:r>
      <w:r w:rsidR="00CE0BB7" w:rsidRPr="00AC29EA">
        <w:rPr>
          <w:rFonts w:cs="Arial"/>
          <w:i/>
          <w:noProof/>
          <w:szCs w:val="20"/>
        </w:rPr>
        <w:t>: Besedilno polje [2 000]</w:t>
      </w:r>
    </w:p>
    <w:p w14:paraId="49922491" w14:textId="3704CA9B" w:rsidR="00CE0BB7" w:rsidRPr="00AC29EA" w:rsidRDefault="00F50020" w:rsidP="00A16346">
      <w:pPr>
        <w:rPr>
          <w:rFonts w:cs="Arial"/>
          <w:i/>
          <w:iCs/>
          <w:noProof/>
          <w:szCs w:val="20"/>
        </w:rPr>
      </w:pPr>
      <w:r w:rsidRPr="00AC29EA">
        <w:rPr>
          <w:rFonts w:cs="Arial"/>
          <w:i/>
          <w:iCs/>
          <w:noProof/>
          <w:szCs w:val="20"/>
        </w:rPr>
        <w:t>/</w:t>
      </w:r>
      <w:r w:rsidR="00394608" w:rsidRPr="00AC29EA">
        <w:rPr>
          <w:rFonts w:cs="Arial"/>
          <w:i/>
          <w:iCs/>
          <w:noProof/>
          <w:szCs w:val="20"/>
        </w:rPr>
        <w:t>/ Niso predvideni medregionalni ali transnacionalni ukrepi.</w:t>
      </w:r>
    </w:p>
    <w:p w14:paraId="643094C4" w14:textId="77777777" w:rsidR="00394608" w:rsidRPr="00AC29EA" w:rsidRDefault="00394608" w:rsidP="00A16346">
      <w:pPr>
        <w:rPr>
          <w:rFonts w:cs="Arial"/>
          <w:b/>
          <w:i/>
          <w:iCs/>
          <w:noProof/>
          <w:szCs w:val="20"/>
        </w:rPr>
      </w:pPr>
    </w:p>
    <w:p w14:paraId="0691B10F" w14:textId="051DF0C3" w:rsidR="00CE0BB7" w:rsidRPr="00394608" w:rsidRDefault="00A16346" w:rsidP="00CE0BB7">
      <w:pPr>
        <w:rPr>
          <w:rFonts w:cs="Arial"/>
          <w:i/>
          <w:iCs/>
          <w:noProof/>
          <w:szCs w:val="20"/>
          <w:lang w:val="it-IT"/>
        </w:rPr>
      </w:pPr>
      <w:r w:rsidRPr="00BA2FDD">
        <w:rPr>
          <w:rFonts w:cs="Arial"/>
          <w:i/>
          <w:noProof/>
          <w:szCs w:val="20"/>
          <w:lang w:val="it-IT"/>
        </w:rPr>
        <w:t xml:space="preserve">Načrtovana uporaba finančnih instrumentov– Člen </w:t>
      </w:r>
      <w:r w:rsidR="00143339">
        <w:rPr>
          <w:rFonts w:cs="Arial"/>
          <w:i/>
          <w:noProof/>
          <w:szCs w:val="20"/>
          <w:lang w:val="it-IT"/>
        </w:rPr>
        <w:t>22</w:t>
      </w:r>
      <w:r w:rsidRPr="00BA2FDD">
        <w:rPr>
          <w:rFonts w:cs="Arial"/>
          <w:i/>
          <w:noProof/>
          <w:szCs w:val="20"/>
          <w:lang w:val="it-IT"/>
        </w:rPr>
        <w:t>(3)(d)(vi</w:t>
      </w:r>
      <w:r w:rsidR="00143339">
        <w:rPr>
          <w:rFonts w:cs="Arial"/>
          <w:i/>
          <w:noProof/>
          <w:szCs w:val="20"/>
          <w:lang w:val="it-IT"/>
        </w:rPr>
        <w:t>i</w:t>
      </w:r>
      <w:r w:rsidRPr="00BA2FDD">
        <w:rPr>
          <w:rFonts w:cs="Arial"/>
          <w:i/>
          <w:noProof/>
          <w:szCs w:val="20"/>
          <w:lang w:val="it-IT"/>
        </w:rPr>
        <w:t>)</w:t>
      </w:r>
      <w:r w:rsidR="00CE0BB7" w:rsidRPr="00BA2FDD">
        <w:rPr>
          <w:rFonts w:cs="Arial"/>
          <w:i/>
          <w:noProof/>
          <w:szCs w:val="20"/>
          <w:lang w:val="it-IT"/>
        </w:rPr>
        <w:t xml:space="preserve">: </w:t>
      </w:r>
      <w:r w:rsidR="00CE0BB7" w:rsidRPr="00BA2FDD">
        <w:rPr>
          <w:rFonts w:cs="Arial"/>
          <w:i/>
          <w:iCs/>
          <w:noProof/>
          <w:szCs w:val="20"/>
          <w:lang w:val="it-IT"/>
        </w:rPr>
        <w:t>Besedilno polje  [1 000]</w:t>
      </w:r>
    </w:p>
    <w:p w14:paraId="353D7249" w14:textId="484CC806" w:rsidR="00A16346" w:rsidRDefault="003B0014" w:rsidP="00A16346">
      <w:pPr>
        <w:spacing w:after="200" w:line="276" w:lineRule="auto"/>
        <w:rPr>
          <w:rFonts w:cs="Arial"/>
          <w:szCs w:val="20"/>
        </w:rPr>
      </w:pPr>
      <w:r w:rsidRPr="003B0014">
        <w:rPr>
          <w:rFonts w:cs="Arial"/>
          <w:noProof/>
          <w:szCs w:val="20"/>
        </w:rPr>
        <w:t>Ministrstvo za kmetijstvo, gozdarstvo in prehrano Republike Slovenije, Sektor za ribištvo, je kot organ upravljanja za Evropski sklad za pomorstvo, ribištvo in akvakulturo pristopil k javnemu naročilu, ki ga je pripravila Služba Vlade RS za regionalni razvoj in kohezijsko politiko kot organ upravljanja za kohezijske sklade. V okviru tega javnega naročila je bila v skladu s 3. odstavkom 58. člena Uredbe EU št. 2021/1060 pripravljena ex-ante analiza potreb in ocena vrzeli za vzpostavitev finančnih instrumentov za kohezijske sklade in ESPRA. Skupen pristop obeh organov upravljanja je za Sektor za ribištvo sprejemljiv zaradi majhne administrativne usposobljenosti na tem področju in zaradi izkušenj, ki jih ima SVRK pri izvajanju finančnih instrumentov do sedaj. V sklopu javnega naročila je bila preučena tudi smotrnost uporabe sredstev ESPRA za finančne instrumente. Podano je mnenje, da v luči otežene izvedbe ocene primernosti uporabe finančnih instrumentov za specifične cilje, ki se v primeru sklada ESPRA razlikujejo od drugih specifičnih ciljev, majhnega vzorca relevantnih podjetij, zajetih v spletni vprašalnik, zaradi nizkega obsega razpoložljivih sredstev, majhnosti in razdrobljenosti zajetih sektorjev ribištva, pomorstva in akvakulture, ter tudi zaradi negativnih izkušenj s podobnimi finančnimi instrumenti iz drugih držav članic, izvedba finančnih instrumentov iz sklada ESPRA ni smiselna.</w:t>
      </w:r>
      <w:r w:rsidR="00A16346" w:rsidRPr="00CE0BB7">
        <w:rPr>
          <w:rFonts w:cs="Arial"/>
          <w:szCs w:val="20"/>
        </w:rPr>
        <w:br w:type="page"/>
      </w:r>
    </w:p>
    <w:p w14:paraId="11562287" w14:textId="77777777" w:rsidR="00106D9A" w:rsidRPr="00D91B2E" w:rsidRDefault="00106D9A" w:rsidP="00106D9A">
      <w:pPr>
        <w:pBdr>
          <w:top w:val="single" w:sz="4" w:space="1" w:color="auto"/>
          <w:left w:val="single" w:sz="4" w:space="4" w:color="auto"/>
          <w:bottom w:val="single" w:sz="4" w:space="1" w:color="auto"/>
          <w:right w:val="single" w:sz="4" w:space="4" w:color="auto"/>
        </w:pBdr>
        <w:jc w:val="both"/>
        <w:rPr>
          <w:b/>
          <w:iCs/>
        </w:rPr>
      </w:pPr>
      <w:bookmarkStart w:id="16" w:name="_Hlk59540763"/>
      <w:r w:rsidRPr="00D91B2E">
        <w:rPr>
          <w:iCs/>
        </w:rPr>
        <w:lastRenderedPageBreak/>
        <w:t>Prednostna naloga:</w:t>
      </w:r>
      <w:r w:rsidRPr="00D91B2E">
        <w:rPr>
          <w:b/>
          <w:iCs/>
        </w:rPr>
        <w:t xml:space="preserve"> Omogočanje rasti trajnostnega modrega gospodarstva ter spodbujanje razvoja ribiških in akvakulturnih skupnosti na obalnih in celinskih območjih</w:t>
      </w:r>
    </w:p>
    <w:p w14:paraId="30775DE0" w14:textId="2742115E" w:rsidR="00106D9A" w:rsidRPr="00D91B2E" w:rsidRDefault="00106D9A" w:rsidP="00106D9A">
      <w:pPr>
        <w:pBdr>
          <w:top w:val="single" w:sz="4" w:space="1" w:color="auto"/>
          <w:left w:val="single" w:sz="4" w:space="4" w:color="auto"/>
          <w:bottom w:val="single" w:sz="4" w:space="1" w:color="auto"/>
          <w:right w:val="single" w:sz="4" w:space="4" w:color="auto"/>
        </w:pBdr>
        <w:jc w:val="both"/>
        <w:rPr>
          <w:b/>
          <w:iCs/>
        </w:rPr>
      </w:pPr>
      <w:r w:rsidRPr="00D91B2E">
        <w:rPr>
          <w:iCs/>
        </w:rPr>
        <w:t>Specifični cilj</w:t>
      </w:r>
      <w:r w:rsidR="00D65138">
        <w:rPr>
          <w:iCs/>
        </w:rPr>
        <w:t xml:space="preserve"> 3.1</w:t>
      </w:r>
      <w:r w:rsidRPr="00D91B2E">
        <w:rPr>
          <w:b/>
          <w:iCs/>
        </w:rPr>
        <w:t>: Intervencije, ki prispevajo k razvoju ribiških in akvakulturnih skupnosti na obalnih in celinskih območjih</w:t>
      </w:r>
    </w:p>
    <w:bookmarkEnd w:id="16"/>
    <w:p w14:paraId="6E592321" w14:textId="77777777" w:rsidR="00106D9A" w:rsidRPr="00D91B2E" w:rsidRDefault="00106D9A" w:rsidP="00106D9A">
      <w:pPr>
        <w:rPr>
          <w:rFonts w:cs="Arial"/>
          <w:i/>
          <w:iCs/>
          <w:szCs w:val="20"/>
        </w:rPr>
      </w:pPr>
    </w:p>
    <w:p w14:paraId="6CA59123" w14:textId="45F5ED96" w:rsidR="00106D9A" w:rsidRDefault="00106D9A" w:rsidP="00106D9A">
      <w:pPr>
        <w:rPr>
          <w:i/>
          <w:iCs/>
          <w:noProof/>
        </w:rPr>
      </w:pPr>
      <w:r w:rsidRPr="00D91B2E">
        <w:rPr>
          <w:rFonts w:cs="Arial"/>
          <w:i/>
          <w:noProof/>
          <w:szCs w:val="20"/>
        </w:rPr>
        <w:t xml:space="preserve">Povezane vrste ukrepov– Člen </w:t>
      </w:r>
      <w:r w:rsidR="00796898">
        <w:rPr>
          <w:rFonts w:cs="Arial"/>
          <w:i/>
          <w:noProof/>
          <w:szCs w:val="20"/>
        </w:rPr>
        <w:t>22</w:t>
      </w:r>
      <w:r w:rsidRPr="00D91B2E">
        <w:rPr>
          <w:rFonts w:cs="Arial"/>
          <w:i/>
          <w:noProof/>
          <w:szCs w:val="20"/>
        </w:rPr>
        <w:t xml:space="preserve">(3)(d)(i) SSO: </w:t>
      </w:r>
      <w:r w:rsidRPr="00D91B2E">
        <w:rPr>
          <w:i/>
          <w:iCs/>
          <w:noProof/>
        </w:rPr>
        <w:t>Besedilno polje  [8 000]</w:t>
      </w:r>
    </w:p>
    <w:p w14:paraId="06A8634B" w14:textId="77777777" w:rsidR="00DC71AE" w:rsidRDefault="00DC71AE" w:rsidP="00106D9A">
      <w:pPr>
        <w:rPr>
          <w:i/>
          <w:iCs/>
          <w:noProof/>
        </w:rPr>
      </w:pPr>
    </w:p>
    <w:p w14:paraId="35480DB3" w14:textId="187BED93" w:rsidR="00B84EB5" w:rsidRDefault="004C1C05" w:rsidP="004C1C05">
      <w:pPr>
        <w:jc w:val="both"/>
        <w:rPr>
          <w:rFonts w:cs="Arial"/>
          <w:szCs w:val="20"/>
        </w:rPr>
      </w:pPr>
      <w:r w:rsidRPr="007B1246">
        <w:rPr>
          <w:rFonts w:cs="Arial"/>
          <w:bCs/>
          <w:szCs w:val="20"/>
        </w:rPr>
        <w:t>MKGP</w:t>
      </w:r>
      <w:r>
        <w:rPr>
          <w:rFonts w:cs="Arial"/>
          <w:bCs/>
          <w:szCs w:val="20"/>
        </w:rPr>
        <w:t>, Sektor za ribištvo,</w:t>
      </w:r>
      <w:r w:rsidRPr="007B1246">
        <w:rPr>
          <w:rFonts w:cs="Arial"/>
          <w:bCs/>
          <w:szCs w:val="20"/>
        </w:rPr>
        <w:t xml:space="preserve"> bo pripravil</w:t>
      </w:r>
      <w:r>
        <w:rPr>
          <w:rFonts w:cs="Arial"/>
          <w:bCs/>
          <w:szCs w:val="20"/>
        </w:rPr>
        <w:t xml:space="preserve"> </w:t>
      </w:r>
      <w:r w:rsidR="009D1386">
        <w:rPr>
          <w:rFonts w:cs="Arial"/>
          <w:bCs/>
          <w:szCs w:val="20"/>
        </w:rPr>
        <w:t>pogoje za ustanovitev LASR in potrditev SLR (</w:t>
      </w:r>
      <w:r>
        <w:rPr>
          <w:rFonts w:cs="Arial"/>
          <w:bCs/>
          <w:szCs w:val="20"/>
        </w:rPr>
        <w:t>javni poziv za izbor LASR in strategij</w:t>
      </w:r>
      <w:r w:rsidR="009D1386">
        <w:rPr>
          <w:rFonts w:cs="Arial"/>
          <w:bCs/>
          <w:szCs w:val="20"/>
        </w:rPr>
        <w:t>)</w:t>
      </w:r>
      <w:r>
        <w:rPr>
          <w:rFonts w:cs="Arial"/>
          <w:bCs/>
          <w:szCs w:val="20"/>
        </w:rPr>
        <w:t xml:space="preserve"> ter</w:t>
      </w:r>
      <w:r w:rsidRPr="007B1246">
        <w:rPr>
          <w:rFonts w:cs="Arial"/>
          <w:bCs/>
          <w:szCs w:val="20"/>
        </w:rPr>
        <w:t xml:space="preserve"> </w:t>
      </w:r>
      <w:r>
        <w:rPr>
          <w:rFonts w:cs="Arial"/>
          <w:bCs/>
          <w:szCs w:val="20"/>
        </w:rPr>
        <w:t xml:space="preserve">nacionalno uredbo za CLLD. LASR in SLR bodo potrjene z odločbo, </w:t>
      </w:r>
      <w:r w:rsidR="00A3583C">
        <w:rPr>
          <w:rFonts w:cs="Arial"/>
          <w:bCs/>
          <w:szCs w:val="20"/>
        </w:rPr>
        <w:t xml:space="preserve">s katero se določijo sredstva za pripravljalno podporo, izvajanje SLR ter tekoče stroške, animacijo in spremljanje ter vrednotenje SLR. </w:t>
      </w:r>
      <w:r w:rsidR="00DC71AE">
        <w:rPr>
          <w:rFonts w:cs="Arial"/>
          <w:bCs/>
          <w:szCs w:val="20"/>
        </w:rPr>
        <w:t>Za m</w:t>
      </w:r>
      <w:r>
        <w:rPr>
          <w:rFonts w:cs="Arial"/>
          <w:szCs w:val="20"/>
        </w:rPr>
        <w:t xml:space="preserve">etodologijo bodo </w:t>
      </w:r>
      <w:r w:rsidR="00DC71AE">
        <w:rPr>
          <w:rFonts w:cs="Arial"/>
          <w:szCs w:val="20"/>
        </w:rPr>
        <w:t xml:space="preserve">uporabljeni </w:t>
      </w:r>
      <w:r>
        <w:rPr>
          <w:rFonts w:cs="Arial"/>
          <w:szCs w:val="20"/>
        </w:rPr>
        <w:t xml:space="preserve">poenostavljeni stroški obračunavanja. LASR izbira operacije na podlagi predhodno potrjene Strategije lokalnega razvoja ter javnih pozivov, ki jih pripravi. </w:t>
      </w:r>
      <w:r w:rsidRPr="007B1246">
        <w:rPr>
          <w:rFonts w:cs="Arial"/>
          <w:szCs w:val="20"/>
        </w:rPr>
        <w:t xml:space="preserve">Vse nadaljnje </w:t>
      </w:r>
      <w:r w:rsidRPr="007925B7">
        <w:rPr>
          <w:rFonts w:cs="Arial"/>
          <w:szCs w:val="20"/>
        </w:rPr>
        <w:t>aktivnosti se izvajajo na</w:t>
      </w:r>
      <w:r>
        <w:rPr>
          <w:rFonts w:cs="Arial"/>
          <w:szCs w:val="20"/>
        </w:rPr>
        <w:t xml:space="preserve"> posredniškem organu organa upravljanja (v nadaljevanju: PO OU), in sicer:</w:t>
      </w:r>
      <w:r w:rsidRPr="00145CED">
        <w:rPr>
          <w:rFonts w:cs="Arial"/>
          <w:szCs w:val="20"/>
        </w:rPr>
        <w:t xml:space="preserve"> potrjevanja predhodno izbranih </w:t>
      </w:r>
      <w:r>
        <w:rPr>
          <w:rFonts w:cs="Arial"/>
          <w:szCs w:val="20"/>
        </w:rPr>
        <w:t>operacij</w:t>
      </w:r>
      <w:r w:rsidRPr="007B1246">
        <w:rPr>
          <w:rFonts w:cs="Arial"/>
          <w:szCs w:val="20"/>
        </w:rPr>
        <w:t xml:space="preserve"> na lokalni ravni</w:t>
      </w:r>
      <w:r w:rsidR="00A3583C">
        <w:rPr>
          <w:rFonts w:cs="Arial"/>
          <w:szCs w:val="20"/>
        </w:rPr>
        <w:t xml:space="preserve"> z odločbo</w:t>
      </w:r>
      <w:r w:rsidRPr="007B1246">
        <w:rPr>
          <w:rFonts w:cs="Arial"/>
          <w:szCs w:val="20"/>
        </w:rPr>
        <w:t>, potrditev in izplačilo zahtevkov za</w:t>
      </w:r>
      <w:r w:rsidRPr="007925B7">
        <w:rPr>
          <w:rFonts w:cs="Arial"/>
          <w:szCs w:val="20"/>
        </w:rPr>
        <w:t xml:space="preserve"> tekoče stroške in animacijo in za izvajanje SLR</w:t>
      </w:r>
      <w:r>
        <w:rPr>
          <w:rFonts w:cs="Arial"/>
          <w:szCs w:val="20"/>
        </w:rPr>
        <w:t xml:space="preserve">. </w:t>
      </w:r>
    </w:p>
    <w:p w14:paraId="6BF02967" w14:textId="541B12A5" w:rsidR="00E731C8" w:rsidRDefault="00E731C8" w:rsidP="004C1C05">
      <w:pPr>
        <w:jc w:val="both"/>
        <w:rPr>
          <w:rFonts w:cs="Arial"/>
          <w:szCs w:val="20"/>
        </w:rPr>
      </w:pPr>
    </w:p>
    <w:p w14:paraId="363F4DEC" w14:textId="06006DC4" w:rsidR="00EF2330" w:rsidRDefault="00DC71AE" w:rsidP="00DA5277">
      <w:pPr>
        <w:jc w:val="both"/>
        <w:rPr>
          <w:rFonts w:cs="Arial"/>
          <w:szCs w:val="20"/>
        </w:rPr>
      </w:pPr>
      <w:r>
        <w:rPr>
          <w:rFonts w:cs="Arial"/>
          <w:szCs w:val="20"/>
        </w:rPr>
        <w:t>O</w:t>
      </w:r>
      <w:r w:rsidR="00DA5277" w:rsidRPr="00DA5277">
        <w:rPr>
          <w:rFonts w:cs="Arial"/>
          <w:szCs w:val="20"/>
        </w:rPr>
        <w:t>balni pas RS vključuje majhne ribiške skupnosti, ki jih povezuje skupna bogata zgodovinska</w:t>
      </w:r>
      <w:r w:rsidR="00DA5277">
        <w:rPr>
          <w:rFonts w:cs="Arial"/>
          <w:szCs w:val="20"/>
        </w:rPr>
        <w:t xml:space="preserve"> </w:t>
      </w:r>
      <w:r w:rsidR="00DA5277" w:rsidRPr="00DA5277">
        <w:rPr>
          <w:rFonts w:cs="Arial"/>
          <w:szCs w:val="20"/>
        </w:rPr>
        <w:t>in kulturna dediščina slovenskega morskega ribištva, za</w:t>
      </w:r>
      <w:r w:rsidR="00DA5277">
        <w:rPr>
          <w:rFonts w:cs="Arial"/>
          <w:szCs w:val="20"/>
        </w:rPr>
        <w:t xml:space="preserve">dostna kritična masa človeških, </w:t>
      </w:r>
      <w:r w:rsidR="00DA5277" w:rsidRPr="00DA5277">
        <w:rPr>
          <w:rFonts w:cs="Arial"/>
          <w:szCs w:val="20"/>
        </w:rPr>
        <w:t>finančnih in ekonomskih virov, kar omogoča enoten razv</w:t>
      </w:r>
      <w:r w:rsidR="001F283D">
        <w:rPr>
          <w:rFonts w:cs="Arial"/>
          <w:szCs w:val="20"/>
        </w:rPr>
        <w:t xml:space="preserve">oj celotnega obalnega območja. </w:t>
      </w:r>
      <w:r>
        <w:rPr>
          <w:rFonts w:cs="Arial"/>
          <w:szCs w:val="20"/>
        </w:rPr>
        <w:t xml:space="preserve">Tu </w:t>
      </w:r>
      <w:r w:rsidR="00DA5277" w:rsidRPr="00DA5277">
        <w:rPr>
          <w:rFonts w:cs="Arial"/>
          <w:szCs w:val="20"/>
        </w:rPr>
        <w:t>se že tradicionalno odvija morski gospod</w:t>
      </w:r>
      <w:r>
        <w:rPr>
          <w:rFonts w:cs="Arial"/>
          <w:szCs w:val="20"/>
        </w:rPr>
        <w:t xml:space="preserve">arski ribolov. </w:t>
      </w:r>
      <w:r w:rsidR="00DA5277">
        <w:rPr>
          <w:rFonts w:cs="Arial"/>
          <w:szCs w:val="20"/>
        </w:rPr>
        <w:t>Za</w:t>
      </w:r>
      <w:r>
        <w:rPr>
          <w:rFonts w:cs="Arial"/>
          <w:szCs w:val="20"/>
        </w:rPr>
        <w:t xml:space="preserve">to </w:t>
      </w:r>
      <w:r w:rsidR="00DA5277" w:rsidRPr="00DA5277">
        <w:rPr>
          <w:rFonts w:cs="Arial"/>
          <w:szCs w:val="20"/>
        </w:rPr>
        <w:t>se bo lokalni razvoj, ki ga vodi skupnost za</w:t>
      </w:r>
      <w:r w:rsidR="00DA5277">
        <w:rPr>
          <w:rFonts w:cs="Arial"/>
          <w:szCs w:val="20"/>
        </w:rPr>
        <w:t xml:space="preserve"> morsko gospodarsko ribištvo in </w:t>
      </w:r>
      <w:r w:rsidR="00DA5277" w:rsidRPr="00DA5277">
        <w:rPr>
          <w:rFonts w:cs="Arial"/>
          <w:szCs w:val="20"/>
        </w:rPr>
        <w:t>marikulturo izvajal na celotnem obalnem območju RS.</w:t>
      </w:r>
    </w:p>
    <w:p w14:paraId="68973556" w14:textId="7A16CD32" w:rsidR="00DA5277" w:rsidRDefault="00DA5277" w:rsidP="00714475">
      <w:pPr>
        <w:rPr>
          <w:rFonts w:cs="Arial"/>
          <w:szCs w:val="20"/>
        </w:rPr>
      </w:pPr>
    </w:p>
    <w:p w14:paraId="54983220" w14:textId="65B38C5F" w:rsidR="00B84EB5" w:rsidRDefault="00DA5277" w:rsidP="00DC71AE">
      <w:pPr>
        <w:jc w:val="both"/>
        <w:rPr>
          <w:rFonts w:cs="Arial"/>
          <w:szCs w:val="20"/>
        </w:rPr>
      </w:pPr>
      <w:r w:rsidRPr="00DA5277">
        <w:rPr>
          <w:rFonts w:cs="Arial"/>
          <w:szCs w:val="20"/>
        </w:rPr>
        <w:t>V notranjosti RS, kjer je prisotna sladkovodna akvak</w:t>
      </w:r>
      <w:r>
        <w:rPr>
          <w:rFonts w:cs="Arial"/>
          <w:szCs w:val="20"/>
        </w:rPr>
        <w:t xml:space="preserve">ultura, morajo območja lokalnih </w:t>
      </w:r>
      <w:r w:rsidRPr="00DA5277">
        <w:rPr>
          <w:rFonts w:cs="Arial"/>
          <w:szCs w:val="20"/>
        </w:rPr>
        <w:t>akcijskih skupin, ki bodo vključena v CLLD izpolnjevati še ta merila:</w:t>
      </w:r>
      <w:r w:rsidR="00B84EB5">
        <w:rPr>
          <w:rFonts w:cs="Arial"/>
          <w:szCs w:val="20"/>
        </w:rPr>
        <w:t xml:space="preserve"> </w:t>
      </w:r>
      <w:r w:rsidRPr="00DA5277">
        <w:rPr>
          <w:rFonts w:cs="Arial"/>
          <w:szCs w:val="20"/>
        </w:rPr>
        <w:t>1. količina proizvodnje: najmanj 50 ton letno skupaj na</w:t>
      </w:r>
      <w:r>
        <w:rPr>
          <w:rFonts w:cs="Arial"/>
          <w:szCs w:val="20"/>
        </w:rPr>
        <w:t xml:space="preserve"> </w:t>
      </w:r>
      <w:r w:rsidRPr="00DA5277">
        <w:rPr>
          <w:rFonts w:cs="Arial"/>
          <w:szCs w:val="20"/>
        </w:rPr>
        <w:t>območju LAS, upošteva se povprečna proizvodnja za zadnj</w:t>
      </w:r>
      <w:r>
        <w:rPr>
          <w:rFonts w:cs="Arial"/>
          <w:szCs w:val="20"/>
        </w:rPr>
        <w:t xml:space="preserve">e koledarsko leto, za katero je </w:t>
      </w:r>
      <w:r w:rsidRPr="00DA5277">
        <w:rPr>
          <w:rFonts w:cs="Arial"/>
          <w:szCs w:val="20"/>
        </w:rPr>
        <w:t>SURS uradno objavil podatke. 2. Število proizvajalcev vodnih organizmov. Na obm</w:t>
      </w:r>
      <w:r>
        <w:rPr>
          <w:rFonts w:cs="Arial"/>
          <w:szCs w:val="20"/>
        </w:rPr>
        <w:t xml:space="preserve">očju LASR mora delovati najmanj </w:t>
      </w:r>
      <w:r w:rsidR="00DC71AE">
        <w:rPr>
          <w:rFonts w:cs="Arial"/>
          <w:szCs w:val="20"/>
        </w:rPr>
        <w:t xml:space="preserve">pet </w:t>
      </w:r>
      <w:r w:rsidRPr="00DA5277">
        <w:rPr>
          <w:rFonts w:cs="Arial"/>
          <w:szCs w:val="20"/>
        </w:rPr>
        <w:t>gospodarskih subjektov, ki se ukvarjajo z vzrejo sladkov</w:t>
      </w:r>
      <w:r w:rsidR="00DC71AE">
        <w:rPr>
          <w:rFonts w:cs="Arial"/>
          <w:szCs w:val="20"/>
        </w:rPr>
        <w:t xml:space="preserve">odnih organizmov, namenjenih za </w:t>
      </w:r>
      <w:r w:rsidRPr="00DA5277">
        <w:rPr>
          <w:rFonts w:cs="Arial"/>
          <w:szCs w:val="20"/>
        </w:rPr>
        <w:t>prehrano ljudi, so registrirani za gojenje sladkovodnih organizmov v evidenci AJPES (šifra</w:t>
      </w:r>
      <w:r w:rsidR="00DC71AE">
        <w:rPr>
          <w:rFonts w:cs="Arial"/>
          <w:szCs w:val="20"/>
        </w:rPr>
        <w:t xml:space="preserve"> </w:t>
      </w:r>
      <w:r w:rsidRPr="00DA5277">
        <w:rPr>
          <w:rFonts w:cs="Arial"/>
          <w:szCs w:val="20"/>
        </w:rPr>
        <w:t xml:space="preserve">dejavnosti 03.220) ali registrirani v evidenci dopolnilnih </w:t>
      </w:r>
      <w:r>
        <w:rPr>
          <w:rFonts w:cs="Arial"/>
          <w:szCs w:val="20"/>
        </w:rPr>
        <w:t xml:space="preserve">dejavnosti na kmetiji ter imajo </w:t>
      </w:r>
      <w:r w:rsidRPr="00DA5277">
        <w:rPr>
          <w:rFonts w:cs="Arial"/>
          <w:szCs w:val="20"/>
        </w:rPr>
        <w:t>veljavno odločbo Uprave za varno hrano, veterinarstvo</w:t>
      </w:r>
      <w:r>
        <w:rPr>
          <w:rFonts w:cs="Arial"/>
          <w:szCs w:val="20"/>
        </w:rPr>
        <w:t xml:space="preserve"> in varstvo rastlin o odobritvi</w:t>
      </w:r>
      <w:r w:rsidR="00DC71AE">
        <w:rPr>
          <w:rFonts w:cs="Arial"/>
          <w:szCs w:val="20"/>
        </w:rPr>
        <w:t xml:space="preserve"> </w:t>
      </w:r>
      <w:r w:rsidR="001F283D">
        <w:rPr>
          <w:rFonts w:cs="Arial"/>
          <w:szCs w:val="20"/>
        </w:rPr>
        <w:t xml:space="preserve">proizvodnje akvakulture. Oba </w:t>
      </w:r>
      <w:r w:rsidRPr="00DA5277">
        <w:rPr>
          <w:rFonts w:cs="Arial"/>
          <w:szCs w:val="20"/>
        </w:rPr>
        <w:t>pogoj</w:t>
      </w:r>
      <w:r w:rsidR="001F283D">
        <w:rPr>
          <w:rFonts w:cs="Arial"/>
          <w:szCs w:val="20"/>
        </w:rPr>
        <w:t>a morata biti izpolnjena</w:t>
      </w:r>
      <w:r w:rsidRPr="00DA5277">
        <w:rPr>
          <w:rFonts w:cs="Arial"/>
          <w:szCs w:val="20"/>
        </w:rPr>
        <w:t xml:space="preserve"> ob odda</w:t>
      </w:r>
      <w:r w:rsidR="00DC71AE">
        <w:rPr>
          <w:rFonts w:cs="Arial"/>
          <w:szCs w:val="20"/>
        </w:rPr>
        <w:t xml:space="preserve">ji SLR. </w:t>
      </w:r>
    </w:p>
    <w:p w14:paraId="50E4E080" w14:textId="373FD629" w:rsidR="001F283D" w:rsidRDefault="001F283D" w:rsidP="004C1C05">
      <w:pPr>
        <w:jc w:val="both"/>
        <w:rPr>
          <w:rFonts w:cs="Arial"/>
          <w:szCs w:val="20"/>
        </w:rPr>
      </w:pPr>
    </w:p>
    <w:p w14:paraId="02C9F0C6" w14:textId="77396B50" w:rsidR="00E731C8" w:rsidRPr="00904E25" w:rsidRDefault="00E731C8" w:rsidP="004C1C05">
      <w:pPr>
        <w:jc w:val="both"/>
        <w:rPr>
          <w:rFonts w:cs="Arial"/>
          <w:szCs w:val="20"/>
        </w:rPr>
      </w:pPr>
      <w:r>
        <w:rPr>
          <w:rFonts w:cs="Arial"/>
          <w:szCs w:val="20"/>
        </w:rPr>
        <w:t xml:space="preserve">Območje/površina posameznega LAS ne sme presegati 4.342 km2. Pri določitvi te velikosti smo upoštevali površine vseh 12 statističnih regij v Republiki Sloveniji. Površina 4.342 km2 predstavlja seštevek velikosti največje statistične regije, ki je Jugovzhoda regija (površina 2.675 km2) in povprečne velikost vseh 12 regij, ki je 1.689 km2. Navedena površina predstavlja 21,5 % površine Slovenije. Površina Slovenije je 20.271 km2, kar ob skupno načrtovanih 6 LAS, zasleduje tudi cilj teritorialne pokritosti celotne </w:t>
      </w:r>
      <w:r w:rsidRPr="00904E25">
        <w:rPr>
          <w:rFonts w:cs="Arial"/>
          <w:szCs w:val="20"/>
        </w:rPr>
        <w:t>Slovenije ter specifični cilj ESPRA Omogočanje rasti trajnostnega modrega gospodarstva ter spodbujanje razvoja ribiških in akvakulturnih skupnosti na obalnih in celinskih območjih.</w:t>
      </w:r>
    </w:p>
    <w:p w14:paraId="27F9C335" w14:textId="77777777" w:rsidR="00D52476" w:rsidRDefault="00D52476" w:rsidP="00106D9A">
      <w:pPr>
        <w:rPr>
          <w:i/>
          <w:iCs/>
          <w:noProof/>
        </w:rPr>
      </w:pPr>
    </w:p>
    <w:p w14:paraId="621F2D29" w14:textId="77985801" w:rsidR="00F96204" w:rsidRDefault="00F96204" w:rsidP="00F96204">
      <w:pPr>
        <w:pStyle w:val="Odstavekseznama"/>
        <w:numPr>
          <w:ilvl w:val="0"/>
          <w:numId w:val="48"/>
        </w:numPr>
        <w:spacing w:after="160" w:line="259" w:lineRule="auto"/>
        <w:rPr>
          <w:b/>
        </w:rPr>
      </w:pPr>
      <w:r w:rsidRPr="00F96204">
        <w:rPr>
          <w:b/>
        </w:rPr>
        <w:t xml:space="preserve">Za obalno LAS (ribištvo in </w:t>
      </w:r>
      <w:r>
        <w:rPr>
          <w:b/>
        </w:rPr>
        <w:t>akvakultura</w:t>
      </w:r>
      <w:r w:rsidRPr="00F96204">
        <w:rPr>
          <w:b/>
        </w:rPr>
        <w:t>) so bile iz</w:t>
      </w:r>
      <w:r>
        <w:rPr>
          <w:b/>
        </w:rPr>
        <w:t>ražene naslednje potrebe/cilji, v okviru katerih so predvidene naslednje aktivnosti:</w:t>
      </w:r>
    </w:p>
    <w:p w14:paraId="6128277C" w14:textId="2F4580E5" w:rsidR="00F96204" w:rsidRPr="00F96204" w:rsidRDefault="00F96204" w:rsidP="00F96204">
      <w:pPr>
        <w:pStyle w:val="Odstavekseznama"/>
        <w:numPr>
          <w:ilvl w:val="0"/>
          <w:numId w:val="49"/>
        </w:numPr>
        <w:spacing w:after="160" w:line="259" w:lineRule="auto"/>
        <w:jc w:val="both"/>
        <w:rPr>
          <w:b/>
          <w:u w:val="single"/>
        </w:rPr>
      </w:pPr>
      <w:r w:rsidRPr="00F96204">
        <w:rPr>
          <w:u w:val="single"/>
        </w:rPr>
        <w:t>Vključevanje sektorjev modrega gospodarstva v razvoj trajnostnega prehranskega sistema, trženja in dodajanja vrednosti proizvodom iz ribištva in akvakulture</w:t>
      </w:r>
    </w:p>
    <w:p w14:paraId="23776EF1" w14:textId="6A49FA1F" w:rsidR="00F96204" w:rsidRPr="00F96204" w:rsidRDefault="00F96204" w:rsidP="00F96204">
      <w:pPr>
        <w:pStyle w:val="Brezrazmikov"/>
        <w:numPr>
          <w:ilvl w:val="1"/>
          <w:numId w:val="50"/>
        </w:numPr>
      </w:pPr>
      <w:r w:rsidRPr="00F96204">
        <w:t>Informiranje prebivalstva območja o lokalni proizvodnji rib/ribjih izdelkov ter subjektov, njihova promocija,</w:t>
      </w:r>
    </w:p>
    <w:p w14:paraId="37E7E7D9" w14:textId="25D649ED" w:rsidR="00F96204" w:rsidRPr="00F96204" w:rsidRDefault="00F96204" w:rsidP="00F96204">
      <w:pPr>
        <w:pStyle w:val="Brezrazmikov"/>
        <w:numPr>
          <w:ilvl w:val="1"/>
          <w:numId w:val="50"/>
        </w:numPr>
      </w:pPr>
      <w:r w:rsidRPr="00F96204">
        <w:t>Izboljšanje ozaveščenosti potrošnikov glede lokalne proizvodnje iz ribištva in akvakulture</w:t>
      </w:r>
    </w:p>
    <w:p w14:paraId="56B63092" w14:textId="28DED53A" w:rsidR="00F96204" w:rsidRPr="00F96204" w:rsidRDefault="00F96204" w:rsidP="00F96204">
      <w:pPr>
        <w:pStyle w:val="Brezrazmikov"/>
        <w:numPr>
          <w:ilvl w:val="1"/>
          <w:numId w:val="50"/>
        </w:numPr>
      </w:pPr>
      <w:r w:rsidRPr="00F96204">
        <w:lastRenderedPageBreak/>
        <w:t>Priprava skupne platforme za trženje proizvodov različnih proizvajalcev v okviru LAS,</w:t>
      </w:r>
    </w:p>
    <w:p w14:paraId="2672287B" w14:textId="07A6DA88" w:rsidR="00F96204" w:rsidRPr="00F96204" w:rsidRDefault="00F96204" w:rsidP="00F96204">
      <w:pPr>
        <w:pStyle w:val="Brezrazmikov"/>
        <w:numPr>
          <w:ilvl w:val="1"/>
          <w:numId w:val="50"/>
        </w:numPr>
      </w:pPr>
      <w:r w:rsidRPr="00F96204">
        <w:t>Sodelovanje in iskanje novih tržnih poti, spodbujanje kratkih verig,</w:t>
      </w:r>
    </w:p>
    <w:p w14:paraId="0487CF8D" w14:textId="271A3952" w:rsidR="00F96204" w:rsidRPr="00F96204" w:rsidRDefault="00F96204" w:rsidP="00F96204">
      <w:pPr>
        <w:pStyle w:val="Brezrazmikov"/>
        <w:numPr>
          <w:ilvl w:val="1"/>
          <w:numId w:val="50"/>
        </w:numPr>
      </w:pPr>
      <w:r w:rsidRPr="00F96204">
        <w:t>Ustvarjanje novih proizvodov iz ribištva/akvakulture,</w:t>
      </w:r>
    </w:p>
    <w:p w14:paraId="69321808" w14:textId="3415D52F" w:rsidR="00F96204" w:rsidRPr="00F96204" w:rsidRDefault="00F96204" w:rsidP="00F96204">
      <w:pPr>
        <w:pStyle w:val="Brezrazmikov"/>
        <w:numPr>
          <w:ilvl w:val="1"/>
          <w:numId w:val="50"/>
        </w:numPr>
      </w:pPr>
      <w:r w:rsidRPr="00F96204">
        <w:t>Dodajanje vrednosti proizvodom iz ribištva in akvakulture,</w:t>
      </w:r>
    </w:p>
    <w:p w14:paraId="41D0D382" w14:textId="44A0301C" w:rsidR="00F96204" w:rsidRPr="00F96204" w:rsidRDefault="00F96204" w:rsidP="00F96204">
      <w:pPr>
        <w:pStyle w:val="Brezrazmikov"/>
        <w:numPr>
          <w:ilvl w:val="1"/>
          <w:numId w:val="50"/>
        </w:numPr>
      </w:pPr>
      <w:r w:rsidRPr="00F96204">
        <w:t>Krepitev sposobnosti proizvajalcev za razvijanje visoko kakovostnih ribiških proizvodov in proizvodov iz akvakulture,</w:t>
      </w:r>
    </w:p>
    <w:p w14:paraId="034EEB96" w14:textId="50627950" w:rsidR="00F96204" w:rsidRPr="00F96204" w:rsidRDefault="00F96204" w:rsidP="00F96204">
      <w:pPr>
        <w:pStyle w:val="Brezrazmikov"/>
        <w:numPr>
          <w:ilvl w:val="1"/>
          <w:numId w:val="50"/>
        </w:numPr>
      </w:pPr>
      <w:r w:rsidRPr="00F96204">
        <w:t>Promocija aktivnosti, ki so komplementarne ribištvu in akvakulturi, ter spodbujanje diverzifikacije predstavnikov sektorja ribištva in akvakulture,</w:t>
      </w:r>
    </w:p>
    <w:p w14:paraId="186E9BE6" w14:textId="6CD4D56A" w:rsidR="00F96204" w:rsidRPr="00F96204" w:rsidRDefault="00F96204" w:rsidP="00F96204">
      <w:pPr>
        <w:pStyle w:val="Brezrazmikov"/>
        <w:numPr>
          <w:ilvl w:val="1"/>
          <w:numId w:val="50"/>
        </w:numPr>
      </w:pPr>
      <w:r w:rsidRPr="00F96204">
        <w:t>Druge aktivnosti, ki spodbujajo razvoj trajnostnega prehranskega sistema</w:t>
      </w:r>
    </w:p>
    <w:p w14:paraId="68673170" w14:textId="6A91FF27" w:rsidR="00F96204" w:rsidRDefault="00F96204" w:rsidP="00F96204">
      <w:pPr>
        <w:pStyle w:val="Odstavekseznama"/>
        <w:numPr>
          <w:ilvl w:val="0"/>
          <w:numId w:val="49"/>
        </w:numPr>
        <w:spacing w:after="160" w:line="259" w:lineRule="auto"/>
        <w:jc w:val="both"/>
        <w:rPr>
          <w:u w:val="single"/>
        </w:rPr>
      </w:pPr>
      <w:r w:rsidRPr="00F96204">
        <w:rPr>
          <w:u w:val="single"/>
        </w:rPr>
        <w:t>Prispevanje sektorjev ribištva in akvakulture k blažitvi podnebnih sprememb in prilagajanje nanje ter ohranjanje biotske raznovrstnosti s podporo krožnega gospodarstva ter čiste energije</w:t>
      </w:r>
    </w:p>
    <w:p w14:paraId="2A6DCA19" w14:textId="39C14DA5" w:rsidR="00F96204" w:rsidRPr="00F96204" w:rsidRDefault="00F96204" w:rsidP="00F96204">
      <w:pPr>
        <w:pStyle w:val="Brezrazmikov"/>
        <w:numPr>
          <w:ilvl w:val="1"/>
          <w:numId w:val="51"/>
        </w:numPr>
      </w:pPr>
      <w:r w:rsidRPr="00F96204">
        <w:t>Krepitev sodelovanja med predstavniki sektorja ribištva in akvakulture ter predstavniki znanstveno-raziskovalne sfere in drugimi deležniki območja ter osveščanje prebivalstva o rezultatih sodelovanja,</w:t>
      </w:r>
    </w:p>
    <w:p w14:paraId="50EEE38B" w14:textId="47CC93D3" w:rsidR="00F96204" w:rsidRPr="00F96204" w:rsidRDefault="00F96204" w:rsidP="00F96204">
      <w:pPr>
        <w:pStyle w:val="Brezrazmikov"/>
        <w:numPr>
          <w:ilvl w:val="1"/>
          <w:numId w:val="51"/>
        </w:numPr>
      </w:pPr>
      <w:r w:rsidRPr="00F96204">
        <w:t>Raziskave in študije vplivov sektorja na okolje/naravo, možnostih prilagajanja na okolje in podnebne spremembe,</w:t>
      </w:r>
    </w:p>
    <w:p w14:paraId="779C29C1" w14:textId="0E4FDA2D" w:rsidR="00F96204" w:rsidRPr="00F96204" w:rsidRDefault="00F96204" w:rsidP="00F96204">
      <w:pPr>
        <w:pStyle w:val="Brezrazmikov"/>
        <w:numPr>
          <w:ilvl w:val="1"/>
          <w:numId w:val="51"/>
        </w:numPr>
      </w:pPr>
      <w:r w:rsidRPr="00F96204">
        <w:t>Osveščanje prebivalstva o podnebnih spremembah, okolju prijaznih praksah, še zlasti v sektorju ribištva in akvakulture,</w:t>
      </w:r>
    </w:p>
    <w:p w14:paraId="3CFABE49" w14:textId="240AAC34" w:rsidR="00F96204" w:rsidRPr="00F96204" w:rsidRDefault="00F96204" w:rsidP="00F96204">
      <w:pPr>
        <w:pStyle w:val="Brezrazmikov"/>
        <w:numPr>
          <w:ilvl w:val="1"/>
          <w:numId w:val="51"/>
        </w:numPr>
      </w:pPr>
      <w:r w:rsidRPr="00F96204">
        <w:t>Izvajanje aktivnosti za izboljšanje biotske raznovrstnosti</w:t>
      </w:r>
      <w:r w:rsidR="001F3D33">
        <w:t xml:space="preserve"> (npr. pobiranje morskih odpadkov in odpadlega ribolovnega orodja)</w:t>
      </w:r>
    </w:p>
    <w:p w14:paraId="7A62C305" w14:textId="2A05AE91" w:rsidR="00F96204" w:rsidRPr="00F96204" w:rsidRDefault="00F96204" w:rsidP="00F96204">
      <w:pPr>
        <w:pStyle w:val="Brezrazmikov"/>
        <w:numPr>
          <w:ilvl w:val="1"/>
          <w:numId w:val="51"/>
        </w:numPr>
      </w:pPr>
      <w:r w:rsidRPr="00F96204">
        <w:t>Podpora uporabi načel krožnega gospodarstva (npr. ponovna uporaba odpadlega materiala, tretiranje odpadkov),</w:t>
      </w:r>
    </w:p>
    <w:p w14:paraId="39E0821D" w14:textId="3706CAAA" w:rsidR="00F96204" w:rsidRPr="00F96204" w:rsidRDefault="00F96204" w:rsidP="00F96204">
      <w:pPr>
        <w:pStyle w:val="Brezrazmikov"/>
        <w:numPr>
          <w:ilvl w:val="1"/>
          <w:numId w:val="51"/>
        </w:numPr>
      </w:pPr>
      <w:r w:rsidRPr="00F96204">
        <w:t>Spodbujanje okolju prijaznih praks, manjšanja ogljičnega odtisa ter izpustov,</w:t>
      </w:r>
    </w:p>
    <w:p w14:paraId="7DF677EC" w14:textId="1A99BB5E" w:rsidR="00F96204" w:rsidRPr="00F96204" w:rsidRDefault="00F96204" w:rsidP="00F96204">
      <w:pPr>
        <w:pStyle w:val="Brezrazmikov"/>
        <w:numPr>
          <w:ilvl w:val="1"/>
          <w:numId w:val="51"/>
        </w:numPr>
      </w:pPr>
      <w:r w:rsidRPr="00F96204">
        <w:t>Spodbujanje aktivnosti varčevanja z energijo, uporabe obnovljivih virov energije</w:t>
      </w:r>
    </w:p>
    <w:p w14:paraId="2B7776DD" w14:textId="2571449A" w:rsidR="00F96204" w:rsidRPr="00F96204" w:rsidRDefault="00F96204" w:rsidP="00F96204">
      <w:pPr>
        <w:pStyle w:val="Odstavekseznama"/>
        <w:numPr>
          <w:ilvl w:val="0"/>
          <w:numId w:val="49"/>
        </w:numPr>
        <w:spacing w:after="160" w:line="259" w:lineRule="auto"/>
        <w:jc w:val="both"/>
        <w:rPr>
          <w:b/>
          <w:u w:val="single"/>
        </w:rPr>
      </w:pPr>
      <w:r w:rsidRPr="00F96204">
        <w:rPr>
          <w:u w:val="single"/>
        </w:rPr>
        <w:t>Krepitev vitalnosti skupnosti z večanjem družbene vključenosti, privabljanjem žensk in mladih ter ohranjanjem in ustvarjanjem novih delovnih mest na področju ribištva in akvakulture</w:t>
      </w:r>
    </w:p>
    <w:p w14:paraId="4FF7DEEB" w14:textId="3A7722FD" w:rsidR="00F96204" w:rsidRDefault="00F96204" w:rsidP="00F96204">
      <w:pPr>
        <w:pStyle w:val="Brezrazmikov"/>
        <w:numPr>
          <w:ilvl w:val="1"/>
          <w:numId w:val="52"/>
        </w:numPr>
      </w:pPr>
      <w:r>
        <w:t>Krepitev medsektorskega povezovanja,</w:t>
      </w:r>
      <w:r w:rsidR="001F3D33">
        <w:t xml:space="preserve"> </w:t>
      </w:r>
    </w:p>
    <w:p w14:paraId="732FB1D0" w14:textId="62AE1F37" w:rsidR="00F96204" w:rsidRDefault="00F96204" w:rsidP="00F96204">
      <w:pPr>
        <w:pStyle w:val="Brezrazmikov"/>
        <w:numPr>
          <w:ilvl w:val="1"/>
          <w:numId w:val="52"/>
        </w:numPr>
      </w:pPr>
      <w:r>
        <w:t>Krepitev vključevanja mladih in žensk,</w:t>
      </w:r>
    </w:p>
    <w:p w14:paraId="07C56D9B" w14:textId="4CF073C5" w:rsidR="00F96204" w:rsidRDefault="00F96204" w:rsidP="00F96204">
      <w:pPr>
        <w:pStyle w:val="Brezrazmikov"/>
        <w:numPr>
          <w:ilvl w:val="1"/>
          <w:numId w:val="52"/>
        </w:numPr>
      </w:pPr>
      <w:r>
        <w:t>Krepitev možnosti zaposlovanja za lokalno prebivalstvo,</w:t>
      </w:r>
    </w:p>
    <w:p w14:paraId="3C0A7C4C" w14:textId="3F9630E5" w:rsidR="00F96204" w:rsidRDefault="00F96204" w:rsidP="00F96204">
      <w:pPr>
        <w:pStyle w:val="Brezrazmikov"/>
        <w:numPr>
          <w:ilvl w:val="1"/>
          <w:numId w:val="52"/>
        </w:numPr>
      </w:pPr>
      <w:r>
        <w:t>Podpora obstoječim ali novih podjetjem, ki lahko ohranijo obstoječa in ustvarijo nova delovna mesta,</w:t>
      </w:r>
    </w:p>
    <w:p w14:paraId="794F30CB" w14:textId="7FDEA358" w:rsidR="00F96204" w:rsidRDefault="00F96204" w:rsidP="00F96204">
      <w:pPr>
        <w:pStyle w:val="Brezrazmikov"/>
        <w:numPr>
          <w:ilvl w:val="1"/>
          <w:numId w:val="52"/>
        </w:numPr>
      </w:pPr>
      <w:r>
        <w:t>Izboljšanje dostopa prebivalcem lokalnega območja do osnovnih storitev,</w:t>
      </w:r>
    </w:p>
    <w:p w14:paraId="6E0FDCFF" w14:textId="1B2D653A" w:rsidR="00F96204" w:rsidRDefault="00F96204" w:rsidP="00F96204">
      <w:pPr>
        <w:pStyle w:val="Brezrazmikov"/>
        <w:numPr>
          <w:ilvl w:val="1"/>
          <w:numId w:val="52"/>
        </w:numPr>
      </w:pPr>
      <w:r>
        <w:t>Krepitev ozaveščenosti prebivalstva o poklicih v ribištvu in akvakulturi, znanju ter vrednosti ribištva in akvakulture za lokalno območje,</w:t>
      </w:r>
    </w:p>
    <w:p w14:paraId="719E0936" w14:textId="37911818" w:rsidR="00F96204" w:rsidRDefault="00F96204" w:rsidP="00F96204">
      <w:pPr>
        <w:pStyle w:val="Brezrazmikov"/>
        <w:numPr>
          <w:ilvl w:val="1"/>
          <w:numId w:val="52"/>
        </w:numPr>
      </w:pPr>
      <w:r>
        <w:t>Spodbujanje digitalizacije, inovativnih pristopov ter pilotnih projektov,</w:t>
      </w:r>
    </w:p>
    <w:p w14:paraId="05617F8C" w14:textId="54562922" w:rsidR="00F96204" w:rsidRPr="00F96204" w:rsidRDefault="00F96204" w:rsidP="00F96204">
      <w:pPr>
        <w:pStyle w:val="Brezrazmikov"/>
        <w:numPr>
          <w:ilvl w:val="1"/>
          <w:numId w:val="52"/>
        </w:numPr>
      </w:pPr>
      <w:r>
        <w:t>Podpora usposabljanju predstavnikov sektorja ribištva in akvakulture za ohranjanje obstoječih delovnih mest in ustvarjanju novih delovnih mest.</w:t>
      </w:r>
    </w:p>
    <w:p w14:paraId="3021DA75" w14:textId="77777777" w:rsidR="00F96204" w:rsidRDefault="00F96204" w:rsidP="00293BB4">
      <w:pPr>
        <w:jc w:val="both"/>
        <w:rPr>
          <w:rFonts w:cs="Arial"/>
          <w:szCs w:val="20"/>
        </w:rPr>
      </w:pPr>
    </w:p>
    <w:p w14:paraId="13F29240" w14:textId="134EAE96" w:rsidR="002E3726" w:rsidRDefault="00F96204" w:rsidP="00293BB4">
      <w:pPr>
        <w:jc w:val="both"/>
        <w:rPr>
          <w:rFonts w:cs="Arial"/>
          <w:szCs w:val="20"/>
        </w:rPr>
      </w:pPr>
      <w:r w:rsidRPr="00F96204">
        <w:rPr>
          <w:b/>
        </w:rPr>
        <w:t xml:space="preserve">Za </w:t>
      </w:r>
      <w:r>
        <w:rPr>
          <w:b/>
        </w:rPr>
        <w:t>celinske</w:t>
      </w:r>
      <w:r w:rsidRPr="00F96204">
        <w:rPr>
          <w:b/>
        </w:rPr>
        <w:t xml:space="preserve"> LAS (</w:t>
      </w:r>
      <w:r>
        <w:rPr>
          <w:b/>
        </w:rPr>
        <w:t>sladkovodna akvakultura</w:t>
      </w:r>
      <w:r w:rsidRPr="00F96204">
        <w:rPr>
          <w:b/>
        </w:rPr>
        <w:t>) so bile iz</w:t>
      </w:r>
      <w:r>
        <w:rPr>
          <w:b/>
        </w:rPr>
        <w:t>ražene naslednje potrebe/cilji, v okviru katerih so predvidene naslednje aktivnosti:</w:t>
      </w:r>
    </w:p>
    <w:p w14:paraId="44FA7208" w14:textId="14BD1D80" w:rsidR="00F96204" w:rsidRDefault="00F96204" w:rsidP="00293BB4">
      <w:pPr>
        <w:jc w:val="both"/>
        <w:rPr>
          <w:rFonts w:cs="Arial"/>
          <w:szCs w:val="20"/>
        </w:rPr>
      </w:pPr>
    </w:p>
    <w:p w14:paraId="7FDDD131" w14:textId="2D245DB0" w:rsidR="00F96204" w:rsidRDefault="00F96204" w:rsidP="00F96204">
      <w:pPr>
        <w:pStyle w:val="Odstavekseznama"/>
        <w:numPr>
          <w:ilvl w:val="0"/>
          <w:numId w:val="53"/>
        </w:numPr>
        <w:spacing w:after="160" w:line="259" w:lineRule="auto"/>
        <w:jc w:val="both"/>
        <w:rPr>
          <w:u w:val="single"/>
        </w:rPr>
      </w:pPr>
      <w:r w:rsidRPr="00F96204">
        <w:rPr>
          <w:u w:val="single"/>
        </w:rPr>
        <w:t>Razvoj trajnostnega prehranskega sistema, trženja in dodajanja vrednosti proizvodom iz akvakulture</w:t>
      </w:r>
    </w:p>
    <w:p w14:paraId="057F92F6" w14:textId="3F862E10" w:rsidR="00F96204" w:rsidRPr="00F96204" w:rsidRDefault="00F96204" w:rsidP="00F96204">
      <w:pPr>
        <w:pStyle w:val="Brezrazmikov"/>
        <w:numPr>
          <w:ilvl w:val="1"/>
          <w:numId w:val="54"/>
        </w:numPr>
      </w:pPr>
      <w:r w:rsidRPr="00F96204">
        <w:t>Informiranje prebivalstva območja o proizvajalcih v okviru območja LAS, promocija teh proizvajalcev in proizvodov,</w:t>
      </w:r>
    </w:p>
    <w:p w14:paraId="0A35ADF4" w14:textId="19A1FAE6" w:rsidR="00F96204" w:rsidRPr="00F96204" w:rsidRDefault="00F96204" w:rsidP="00F96204">
      <w:pPr>
        <w:pStyle w:val="Brezrazmikov"/>
        <w:numPr>
          <w:ilvl w:val="1"/>
          <w:numId w:val="54"/>
        </w:numPr>
      </w:pPr>
      <w:r w:rsidRPr="00F96204">
        <w:t>Večanje ozaveščenosti potrošnikov glede proizvodov iz akvakulture, ki prihajajo iz območja LAS in drugih območij</w:t>
      </w:r>
    </w:p>
    <w:p w14:paraId="485F212A" w14:textId="76231049" w:rsidR="00F96204" w:rsidRPr="00F96204" w:rsidRDefault="00F96204" w:rsidP="00F96204">
      <w:pPr>
        <w:pStyle w:val="Brezrazmikov"/>
        <w:numPr>
          <w:ilvl w:val="1"/>
          <w:numId w:val="54"/>
        </w:numPr>
      </w:pPr>
      <w:r w:rsidRPr="00F96204">
        <w:t>Priprava skupne platforme za trženje proizvodov proizvajalcev v okviru LAS,</w:t>
      </w:r>
    </w:p>
    <w:p w14:paraId="04881297" w14:textId="3A34AC58" w:rsidR="00F96204" w:rsidRPr="00F96204" w:rsidRDefault="00F96204" w:rsidP="00F96204">
      <w:pPr>
        <w:pStyle w:val="Brezrazmikov"/>
        <w:numPr>
          <w:ilvl w:val="1"/>
          <w:numId w:val="54"/>
        </w:numPr>
      </w:pPr>
      <w:r w:rsidRPr="00F96204">
        <w:t>Sodelovanje in iskanje novih tržnih poti, spodbujanje kratkih verig,</w:t>
      </w:r>
    </w:p>
    <w:p w14:paraId="733DE586" w14:textId="11C46E22" w:rsidR="00F96204" w:rsidRPr="00F96204" w:rsidRDefault="00F96204" w:rsidP="00F96204">
      <w:pPr>
        <w:pStyle w:val="Brezrazmikov"/>
        <w:numPr>
          <w:ilvl w:val="1"/>
          <w:numId w:val="54"/>
        </w:numPr>
      </w:pPr>
      <w:r w:rsidRPr="00F96204">
        <w:t>Ustvarjanje novih proizvodov iz akvakulture,</w:t>
      </w:r>
    </w:p>
    <w:p w14:paraId="289B2823" w14:textId="37C1D0BD" w:rsidR="00F96204" w:rsidRPr="00F96204" w:rsidRDefault="00F96204" w:rsidP="00F96204">
      <w:pPr>
        <w:pStyle w:val="Brezrazmikov"/>
        <w:numPr>
          <w:ilvl w:val="1"/>
          <w:numId w:val="54"/>
        </w:numPr>
      </w:pPr>
      <w:r w:rsidRPr="00F96204">
        <w:t>Dodajanje vrednosti proizvodom iz akvakulture,</w:t>
      </w:r>
    </w:p>
    <w:p w14:paraId="635F9444" w14:textId="2171B9F4" w:rsidR="00F96204" w:rsidRPr="00F96204" w:rsidRDefault="00F96204" w:rsidP="00F96204">
      <w:pPr>
        <w:pStyle w:val="Brezrazmikov"/>
        <w:numPr>
          <w:ilvl w:val="1"/>
          <w:numId w:val="54"/>
        </w:numPr>
      </w:pPr>
      <w:r w:rsidRPr="00F96204">
        <w:lastRenderedPageBreak/>
        <w:t>Krepitev sposobnosti proizvajalcev za razvijanje visoko kakovostnih proizvodov,</w:t>
      </w:r>
    </w:p>
    <w:p w14:paraId="64C7CE77" w14:textId="22F79092" w:rsidR="00F96204" w:rsidRPr="00F96204" w:rsidRDefault="00F96204" w:rsidP="00F96204">
      <w:pPr>
        <w:pStyle w:val="Brezrazmikov"/>
        <w:numPr>
          <w:ilvl w:val="1"/>
          <w:numId w:val="54"/>
        </w:numPr>
      </w:pPr>
      <w:r w:rsidRPr="00F96204">
        <w:t>Promocija aktivnosti, ki so komplementarne akvakulturi, ter spodbujanje diverzifikacije predstavnikov sektorja akvakulture,</w:t>
      </w:r>
    </w:p>
    <w:p w14:paraId="672AF12B" w14:textId="39476C00" w:rsidR="00F96204" w:rsidRDefault="00F96204" w:rsidP="00F96204">
      <w:pPr>
        <w:pStyle w:val="Brezrazmikov"/>
        <w:numPr>
          <w:ilvl w:val="1"/>
          <w:numId w:val="54"/>
        </w:numPr>
      </w:pPr>
      <w:r w:rsidRPr="00F96204">
        <w:t>Druge aktivnosti, ki spodbujajo razvoj trajnostnega prehranskega sistema</w:t>
      </w:r>
    </w:p>
    <w:p w14:paraId="0407202F" w14:textId="77777777" w:rsidR="00DC71AE" w:rsidRPr="00F96204" w:rsidRDefault="00DC71AE" w:rsidP="00714475">
      <w:pPr>
        <w:pStyle w:val="Brezrazmikov"/>
        <w:ind w:left="1440"/>
      </w:pPr>
    </w:p>
    <w:p w14:paraId="7BAF53B0" w14:textId="45D343FC" w:rsidR="00F96204" w:rsidRDefault="00F96204" w:rsidP="00F96204">
      <w:pPr>
        <w:pStyle w:val="Odstavekseznama"/>
        <w:numPr>
          <w:ilvl w:val="0"/>
          <w:numId w:val="53"/>
        </w:numPr>
        <w:spacing w:after="160" w:line="259" w:lineRule="auto"/>
        <w:rPr>
          <w:u w:val="single"/>
        </w:rPr>
      </w:pPr>
      <w:r w:rsidRPr="00F96204">
        <w:rPr>
          <w:u w:val="single"/>
        </w:rPr>
        <w:t>Prispevanje k blažitvi podnebnih sprememb in prilagajanje nanje ter ohranjanje biotske raznovrstnosti s podporo krožnega gospodarstva ter čiste energije</w:t>
      </w:r>
    </w:p>
    <w:p w14:paraId="795AE8BA" w14:textId="6726E687" w:rsidR="00F96204" w:rsidRPr="00F96204" w:rsidRDefault="00F96204" w:rsidP="00F96204">
      <w:pPr>
        <w:pStyle w:val="Brezrazmikov"/>
        <w:numPr>
          <w:ilvl w:val="1"/>
          <w:numId w:val="55"/>
        </w:numPr>
      </w:pPr>
      <w:r w:rsidRPr="00F96204">
        <w:t>Krepitev sodelovanje med predstavniki sektorja akvakulture ter predstavniki znanstveno-raziskovalne sfere in drugimi deležniki območja ter osveščanje prebivalstva o rezultatih sodelovanja,</w:t>
      </w:r>
    </w:p>
    <w:p w14:paraId="2F9F138B" w14:textId="5A66B0BE" w:rsidR="00F96204" w:rsidRPr="00F96204" w:rsidRDefault="00F96204" w:rsidP="00F96204">
      <w:pPr>
        <w:pStyle w:val="Brezrazmikov"/>
        <w:numPr>
          <w:ilvl w:val="1"/>
          <w:numId w:val="55"/>
        </w:numPr>
      </w:pPr>
      <w:r w:rsidRPr="00F96204">
        <w:t>Raziskave in študije vplivov sektorja na okolje/naravo, možnostih prilagajanja na okolje in podnebne spremembe,</w:t>
      </w:r>
    </w:p>
    <w:p w14:paraId="04BD8B99" w14:textId="309751D9" w:rsidR="00F96204" w:rsidRPr="00F96204" w:rsidRDefault="00F96204" w:rsidP="00F96204">
      <w:pPr>
        <w:pStyle w:val="Brezrazmikov"/>
        <w:numPr>
          <w:ilvl w:val="1"/>
          <w:numId w:val="55"/>
        </w:numPr>
      </w:pPr>
      <w:r w:rsidRPr="00F96204">
        <w:t>Informiranje prebivalstva o podnebnih spremembah, okolju prijaznih praksah, še zlasti v sektorju akvakulture,</w:t>
      </w:r>
    </w:p>
    <w:p w14:paraId="76A126B9" w14:textId="382BD018" w:rsidR="00F96204" w:rsidRPr="00F96204" w:rsidRDefault="00F96204" w:rsidP="00F96204">
      <w:pPr>
        <w:pStyle w:val="Brezrazmikov"/>
        <w:numPr>
          <w:ilvl w:val="1"/>
          <w:numId w:val="55"/>
        </w:numPr>
      </w:pPr>
      <w:r w:rsidRPr="00F96204">
        <w:t>Izvajanje aktivnosti za izboljšanje biotske raznovrstnosti,</w:t>
      </w:r>
    </w:p>
    <w:p w14:paraId="1F57859D" w14:textId="03DAEF88" w:rsidR="00F96204" w:rsidRPr="00F96204" w:rsidRDefault="00F96204" w:rsidP="00F96204">
      <w:pPr>
        <w:pStyle w:val="Brezrazmikov"/>
        <w:numPr>
          <w:ilvl w:val="1"/>
          <w:numId w:val="55"/>
        </w:numPr>
      </w:pPr>
      <w:r w:rsidRPr="00F96204">
        <w:t>Podpora uporabi načel krožnega gospodarstva (npr. ponovna uporaba odpadlega materiala, tretiranje odpadkov),</w:t>
      </w:r>
    </w:p>
    <w:p w14:paraId="7BAD9BFE" w14:textId="0123DA79" w:rsidR="00F96204" w:rsidRPr="00F96204" w:rsidRDefault="00F96204" w:rsidP="00F96204">
      <w:pPr>
        <w:pStyle w:val="Brezrazmikov"/>
        <w:numPr>
          <w:ilvl w:val="1"/>
          <w:numId w:val="55"/>
        </w:numPr>
      </w:pPr>
      <w:r w:rsidRPr="00F96204">
        <w:t>Spodbujanje okolju prijaznih praks, manjšanja ogljičnega odtisa ter izpustov,</w:t>
      </w:r>
    </w:p>
    <w:p w14:paraId="66AED223" w14:textId="578111EC" w:rsidR="00F96204" w:rsidRPr="00F96204" w:rsidRDefault="00F96204" w:rsidP="00F96204">
      <w:pPr>
        <w:pStyle w:val="Brezrazmikov"/>
        <w:numPr>
          <w:ilvl w:val="1"/>
          <w:numId w:val="55"/>
        </w:numPr>
      </w:pPr>
      <w:r w:rsidRPr="00F96204">
        <w:t>Spodbujanje aktivnosti varčevanja z energijo, uporabe obnovljivih virov energije.</w:t>
      </w:r>
    </w:p>
    <w:p w14:paraId="102A6FC4" w14:textId="4D505998" w:rsidR="00F96204" w:rsidRDefault="00F96204" w:rsidP="00F96204">
      <w:pPr>
        <w:pStyle w:val="Odstavekseznama"/>
        <w:numPr>
          <w:ilvl w:val="0"/>
          <w:numId w:val="53"/>
        </w:numPr>
        <w:spacing w:after="160" w:line="259" w:lineRule="auto"/>
        <w:rPr>
          <w:u w:val="single"/>
        </w:rPr>
      </w:pPr>
      <w:r w:rsidRPr="00F96204">
        <w:rPr>
          <w:u w:val="single"/>
        </w:rPr>
        <w:t>Krepitev vitalnosti skupnosti z večanjem družbene vključenosti, privabljanjem žensk in mladih ter ohranjanjem in ustvarjanjem novih delovnih mest</w:t>
      </w:r>
    </w:p>
    <w:p w14:paraId="0625B31E" w14:textId="7680394E" w:rsidR="00F96204" w:rsidRPr="00F96204" w:rsidRDefault="00F96204" w:rsidP="00F96204">
      <w:pPr>
        <w:pStyle w:val="Brezrazmikov"/>
        <w:numPr>
          <w:ilvl w:val="1"/>
          <w:numId w:val="56"/>
        </w:numPr>
      </w:pPr>
      <w:r w:rsidRPr="00F96204">
        <w:t>Krepitev medsektorskega povezovanja,</w:t>
      </w:r>
    </w:p>
    <w:p w14:paraId="6F552D75" w14:textId="30234EB0" w:rsidR="00F96204" w:rsidRPr="00F96204" w:rsidRDefault="00F96204" w:rsidP="00F96204">
      <w:pPr>
        <w:pStyle w:val="Brezrazmikov"/>
        <w:numPr>
          <w:ilvl w:val="1"/>
          <w:numId w:val="56"/>
        </w:numPr>
      </w:pPr>
      <w:r w:rsidRPr="00F96204">
        <w:t>Krepitev vključevanja mladih in žensk,</w:t>
      </w:r>
    </w:p>
    <w:p w14:paraId="31BDDE1C" w14:textId="558E8F53" w:rsidR="00F96204" w:rsidRPr="00F96204" w:rsidRDefault="00F96204" w:rsidP="00F96204">
      <w:pPr>
        <w:pStyle w:val="Brezrazmikov"/>
        <w:numPr>
          <w:ilvl w:val="1"/>
          <w:numId w:val="56"/>
        </w:numPr>
      </w:pPr>
      <w:r w:rsidRPr="00F96204">
        <w:t>Krepitev možnosti zaposlovanja za lokalno prebivalstvo,</w:t>
      </w:r>
    </w:p>
    <w:p w14:paraId="5BFEB4B5" w14:textId="591D57BD" w:rsidR="00F96204" w:rsidRPr="00F96204" w:rsidRDefault="00F96204" w:rsidP="00F96204">
      <w:pPr>
        <w:pStyle w:val="Brezrazmikov"/>
        <w:numPr>
          <w:ilvl w:val="1"/>
          <w:numId w:val="56"/>
        </w:numPr>
      </w:pPr>
      <w:r w:rsidRPr="00F96204">
        <w:t>Podpora obstoječim ali novih podjetjem, ki lahko ohranijo obstoječa in ustvarijo nova delovna mesta,</w:t>
      </w:r>
    </w:p>
    <w:p w14:paraId="55676A1B" w14:textId="55BBDFC6" w:rsidR="00F96204" w:rsidRPr="00F96204" w:rsidRDefault="00F96204" w:rsidP="00F96204">
      <w:pPr>
        <w:pStyle w:val="Brezrazmikov"/>
        <w:numPr>
          <w:ilvl w:val="1"/>
          <w:numId w:val="56"/>
        </w:numPr>
      </w:pPr>
      <w:r w:rsidRPr="00F96204">
        <w:t>Izboljšanje dostopa prebivalcem lokalnega območja do osnovnih storitev,</w:t>
      </w:r>
    </w:p>
    <w:p w14:paraId="7B5E6C4A" w14:textId="2384A146" w:rsidR="00F96204" w:rsidRPr="00F96204" w:rsidRDefault="00F96204" w:rsidP="00F96204">
      <w:pPr>
        <w:pStyle w:val="Brezrazmikov"/>
        <w:numPr>
          <w:ilvl w:val="1"/>
          <w:numId w:val="56"/>
        </w:numPr>
      </w:pPr>
      <w:r w:rsidRPr="00F96204">
        <w:t>Krepitev ozaveščenosti prebivalstva o poklicih v akvakulturi in predelavi, znanju ter vrednosti akvakulture za lokalno območje,</w:t>
      </w:r>
    </w:p>
    <w:p w14:paraId="706D54F5" w14:textId="322BB4F3" w:rsidR="00F96204" w:rsidRPr="00F96204" w:rsidRDefault="00F96204" w:rsidP="00F96204">
      <w:pPr>
        <w:pStyle w:val="Brezrazmikov"/>
        <w:numPr>
          <w:ilvl w:val="1"/>
          <w:numId w:val="56"/>
        </w:numPr>
      </w:pPr>
      <w:r w:rsidRPr="00F96204">
        <w:t>Spodbujanje digitalizacije, inovativnih pristopov ter pilotnih projektov,</w:t>
      </w:r>
    </w:p>
    <w:p w14:paraId="1E89FB74" w14:textId="51C9A2CC" w:rsidR="00F96204" w:rsidRPr="00F96204" w:rsidRDefault="00F96204" w:rsidP="00F96204">
      <w:pPr>
        <w:pStyle w:val="Brezrazmikov"/>
        <w:numPr>
          <w:ilvl w:val="1"/>
          <w:numId w:val="56"/>
        </w:numPr>
      </w:pPr>
      <w:r w:rsidRPr="00F96204">
        <w:t>Podpora usposabljanju predstavnikov sektorja akvakulture za ohranjanje obstoječih delovnih mest in ustvarjanju novih delovnih mest.</w:t>
      </w:r>
    </w:p>
    <w:p w14:paraId="09E8A4BD" w14:textId="77777777" w:rsidR="00F96204" w:rsidRPr="00F96204" w:rsidRDefault="00F96204" w:rsidP="00F96204">
      <w:pPr>
        <w:pStyle w:val="Odstavekseznama"/>
        <w:spacing w:after="160" w:line="259" w:lineRule="auto"/>
        <w:rPr>
          <w:u w:val="single"/>
        </w:rPr>
      </w:pPr>
    </w:p>
    <w:p w14:paraId="470E6A2D" w14:textId="77777777" w:rsidR="00F96204" w:rsidRPr="00F96204" w:rsidRDefault="00F96204" w:rsidP="00F96204">
      <w:pPr>
        <w:pStyle w:val="Odstavekseznama"/>
        <w:numPr>
          <w:ilvl w:val="0"/>
          <w:numId w:val="53"/>
        </w:numPr>
        <w:spacing w:after="160" w:line="259" w:lineRule="auto"/>
        <w:rPr>
          <w:u w:val="single"/>
        </w:rPr>
      </w:pPr>
      <w:r w:rsidRPr="00F96204">
        <w:rPr>
          <w:u w:val="single"/>
        </w:rPr>
        <w:t>Krepitev družbene sprejemljivosti akvakulture</w:t>
      </w:r>
    </w:p>
    <w:p w14:paraId="70E86583" w14:textId="6BC1AEE4" w:rsidR="00F96204" w:rsidRPr="00F96204" w:rsidRDefault="00F96204" w:rsidP="004C1C05">
      <w:pPr>
        <w:pStyle w:val="Brezrazmikov"/>
        <w:numPr>
          <w:ilvl w:val="0"/>
          <w:numId w:val="61"/>
        </w:numPr>
      </w:pPr>
      <w:r w:rsidRPr="00F96204">
        <w:t>Informiranje in ozaveščanje lokalnega prebivalstva o dobrobitih akvakulture in proizvodov,</w:t>
      </w:r>
    </w:p>
    <w:p w14:paraId="36216402" w14:textId="262C546C" w:rsidR="00F96204" w:rsidRPr="00F96204" w:rsidRDefault="00F96204" w:rsidP="004C1C05">
      <w:pPr>
        <w:pStyle w:val="Brezrazmikov"/>
        <w:numPr>
          <w:ilvl w:val="0"/>
          <w:numId w:val="61"/>
        </w:numPr>
      </w:pPr>
      <w:r w:rsidRPr="00F96204">
        <w:t>Informiranje in ozaveščanje o družbenih in kulturnih vidikih akvakulture</w:t>
      </w:r>
    </w:p>
    <w:p w14:paraId="5BFEA498" w14:textId="77777777" w:rsidR="00B84EB5" w:rsidRDefault="00B84EB5" w:rsidP="00106D9A">
      <w:pPr>
        <w:rPr>
          <w:noProof/>
        </w:rPr>
      </w:pPr>
    </w:p>
    <w:p w14:paraId="2285D166" w14:textId="4E7E3D33" w:rsidR="00B127CA" w:rsidRPr="00B127CA" w:rsidRDefault="00B127CA" w:rsidP="00106D9A">
      <w:pPr>
        <w:rPr>
          <w:noProof/>
        </w:rPr>
      </w:pPr>
      <w:r w:rsidRPr="00B127CA">
        <w:rPr>
          <w:noProof/>
        </w:rPr>
        <w:t xml:space="preserve">Na tem specifičnem cilju izbrane aktivnosti bodo prispevale k naslednjemu tipu intervencij: </w:t>
      </w:r>
      <w:r>
        <w:rPr>
          <w:noProof/>
        </w:rPr>
        <w:t>u</w:t>
      </w:r>
      <w:r w:rsidRPr="00B127CA">
        <w:rPr>
          <w:noProof/>
        </w:rPr>
        <w:t>krepi za pripravo CLLD, Izvajanje strategije CLLD in Stroški in animacija CLLD</w:t>
      </w:r>
    </w:p>
    <w:p w14:paraId="1662256E" w14:textId="7EDEE51F" w:rsidR="00B127CA" w:rsidRPr="00B127CA" w:rsidRDefault="00B127CA" w:rsidP="00106D9A">
      <w:pPr>
        <w:rPr>
          <w:noProof/>
        </w:rPr>
      </w:pPr>
    </w:p>
    <w:p w14:paraId="5C198A42" w14:textId="24AA7DAE" w:rsidR="00106D9A" w:rsidRPr="00D91B2E" w:rsidRDefault="00106D9A" w:rsidP="00106D9A">
      <w:pPr>
        <w:rPr>
          <w:b/>
          <w:i/>
          <w:iCs/>
          <w:noProof/>
        </w:rPr>
      </w:pPr>
      <w:r w:rsidRPr="00D91B2E">
        <w:rPr>
          <w:i/>
          <w:noProof/>
        </w:rPr>
        <w:t xml:space="preserve">Glavne ciljne skupine– Člen </w:t>
      </w:r>
      <w:r w:rsidR="00796898">
        <w:rPr>
          <w:i/>
          <w:noProof/>
        </w:rPr>
        <w:t>22</w:t>
      </w:r>
      <w:r w:rsidRPr="00D91B2E">
        <w:rPr>
          <w:i/>
          <w:noProof/>
        </w:rPr>
        <w:t>(3)(d)(iii): Besedilno polje  [1 000]</w:t>
      </w:r>
    </w:p>
    <w:p w14:paraId="5AD9F41F" w14:textId="2BD003BE" w:rsidR="00106D9A" w:rsidRPr="00A94BD8" w:rsidRDefault="00A94BD8" w:rsidP="00A94BD8">
      <w:pPr>
        <w:jc w:val="both"/>
      </w:pPr>
      <w:r>
        <w:t>V okviru CLLD so ciljne skupine v</w:t>
      </w:r>
      <w:r w:rsidR="00116A25" w:rsidRPr="00D91B2E">
        <w:t xml:space="preserve">si deležniki na </w:t>
      </w:r>
      <w:r w:rsidR="00C952F3" w:rsidRPr="00D91B2E">
        <w:t>izbr</w:t>
      </w:r>
      <w:r>
        <w:t>anem lokalnem ribiškem območju, l</w:t>
      </w:r>
      <w:r w:rsidR="001F0C54" w:rsidRPr="001F0C54">
        <w:t>okalna partnerstva, ki so pripravila</w:t>
      </w:r>
      <w:r>
        <w:t xml:space="preserve"> strategije lokalnega razvoja, l</w:t>
      </w:r>
      <w:r w:rsidRPr="00A94BD8">
        <w:t>okalne akcijske skupine za ribištvo, ribiči, ribogojci</w:t>
      </w:r>
      <w:r>
        <w:t xml:space="preserve"> in podjetja</w:t>
      </w:r>
      <w:r w:rsidR="001F3D33">
        <w:t xml:space="preserve"> na izbranem območju (kmetijstvo, turizem …)</w:t>
      </w:r>
      <w:r>
        <w:t xml:space="preserve">, </w:t>
      </w:r>
      <w:r w:rsidRPr="00A94BD8">
        <w:t>vsi ostali lokalni deležniki (</w:t>
      </w:r>
      <w:r>
        <w:t xml:space="preserve">prebivalci izbranega območja, </w:t>
      </w:r>
      <w:r w:rsidRPr="00A94BD8">
        <w:t xml:space="preserve">javne </w:t>
      </w:r>
      <w:r w:rsidR="001F3D33">
        <w:t xml:space="preserve">in raziskovalne </w:t>
      </w:r>
      <w:r w:rsidRPr="00A94BD8">
        <w:t>inštitucije, nevladne organizacije,</w:t>
      </w:r>
      <w:r>
        <w:t xml:space="preserve"> ranljive</w:t>
      </w:r>
      <w:r w:rsidRPr="00A94BD8">
        <w:t xml:space="preserve"> skupin</w:t>
      </w:r>
      <w:r>
        <w:t>e, lokalne skupnosti).</w:t>
      </w:r>
    </w:p>
    <w:p w14:paraId="43C2CEA4" w14:textId="5F348C62" w:rsidR="001F0C54" w:rsidRDefault="001F0C54" w:rsidP="00106D9A"/>
    <w:p w14:paraId="7BAB4003" w14:textId="2A3B45C2" w:rsidR="00A563F6" w:rsidRPr="00BC39FE" w:rsidRDefault="00A563F6" w:rsidP="00A563F6">
      <w:pPr>
        <w:jc w:val="both"/>
        <w:rPr>
          <w:i/>
          <w:noProof/>
        </w:rPr>
      </w:pPr>
      <w:r w:rsidRPr="00BC39FE">
        <w:rPr>
          <w:i/>
          <w:noProof/>
        </w:rPr>
        <w:t xml:space="preserve">Aktivnosti, ki ohranjajo enakost, vključenost in nediskriminacijo – Člen </w:t>
      </w:r>
      <w:r w:rsidR="00FC138F">
        <w:rPr>
          <w:i/>
          <w:noProof/>
        </w:rPr>
        <w:t>22</w:t>
      </w:r>
      <w:r w:rsidRPr="00BC39FE">
        <w:rPr>
          <w:i/>
          <w:noProof/>
        </w:rPr>
        <w:t>(3)(d)(i</w:t>
      </w:r>
      <w:r w:rsidR="00FC138F">
        <w:rPr>
          <w:i/>
          <w:noProof/>
        </w:rPr>
        <w:t>v</w:t>
      </w:r>
      <w:r w:rsidRPr="00BC39FE">
        <w:rPr>
          <w:i/>
          <w:noProof/>
        </w:rPr>
        <w:t>)</w:t>
      </w:r>
    </w:p>
    <w:p w14:paraId="73C3B204" w14:textId="454AACEC" w:rsidR="00A563F6" w:rsidRDefault="00A563F6" w:rsidP="00A563F6">
      <w:pPr>
        <w:jc w:val="both"/>
        <w:rPr>
          <w:noProof/>
        </w:rPr>
      </w:pPr>
      <w:r>
        <w:rPr>
          <w:noProof/>
        </w:rPr>
        <w:t>Slovenija bo pri izvajanju vseh aktivnosti posebno pozornost posvečala načelu enakosti, vključenosti in nediskriminiacije. Vsi pote</w:t>
      </w:r>
      <w:r w:rsidR="00440DCC">
        <w:rPr>
          <w:noProof/>
        </w:rPr>
        <w:t>n</w:t>
      </w:r>
      <w:r>
        <w:rPr>
          <w:noProof/>
        </w:rPr>
        <w:t xml:space="preserve">cialni deležniki bodo hkrati vključeni v aktivnosti obveščanja in predstavljanja vseh podlag za izvajanje aktivnosti. Varstvo pravic posameznika </w:t>
      </w:r>
      <w:r>
        <w:rPr>
          <w:noProof/>
        </w:rPr>
        <w:lastRenderedPageBreak/>
        <w:t xml:space="preserve">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starost, invalidnost, rasna, etnična, </w:t>
      </w:r>
      <w:r w:rsidR="005B318C">
        <w:rPr>
          <w:noProof/>
        </w:rPr>
        <w:t>narodna</w:t>
      </w:r>
      <w:r>
        <w:rPr>
          <w:noProof/>
        </w:rPr>
        <w:t xml:space="preserve"> in verska pripadnost, spolna usmerjenost) 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35913844" w14:textId="77777777" w:rsidR="00A563F6" w:rsidRPr="00BC39FE" w:rsidRDefault="00A563F6" w:rsidP="00A563F6">
      <w:pPr>
        <w:jc w:val="both"/>
        <w:rPr>
          <w:noProof/>
        </w:rPr>
      </w:pPr>
    </w:p>
    <w:p w14:paraId="1F286970" w14:textId="1693EC96" w:rsidR="00A563F6" w:rsidRPr="00BC39FE" w:rsidRDefault="00A563F6" w:rsidP="00A563F6">
      <w:pPr>
        <w:jc w:val="both"/>
        <w:rPr>
          <w:rFonts w:cs="Arial"/>
          <w:i/>
          <w:noProof/>
          <w:szCs w:val="20"/>
        </w:rPr>
      </w:pPr>
      <w:r w:rsidRPr="00BC39FE">
        <w:rPr>
          <w:rFonts w:cs="Arial"/>
          <w:i/>
          <w:noProof/>
          <w:szCs w:val="20"/>
        </w:rPr>
        <w:t xml:space="preserve">Posebna ciljna območja, vključno z načrtovano uporabo teritorialnih orodij– Člen </w:t>
      </w:r>
      <w:r w:rsidR="00770155">
        <w:rPr>
          <w:rFonts w:cs="Arial"/>
          <w:i/>
          <w:noProof/>
          <w:szCs w:val="20"/>
        </w:rPr>
        <w:t>22</w:t>
      </w:r>
      <w:r w:rsidRPr="00BC39FE">
        <w:rPr>
          <w:rFonts w:cs="Arial"/>
          <w:i/>
          <w:noProof/>
          <w:szCs w:val="20"/>
        </w:rPr>
        <w:t>(3)(d)(v) Besedilno polje  [2 000]</w:t>
      </w:r>
    </w:p>
    <w:p w14:paraId="6C61B444" w14:textId="6F114159" w:rsidR="00A563F6" w:rsidRDefault="00A563F6" w:rsidP="00A563F6">
      <w:pPr>
        <w:jc w:val="both"/>
        <w:rPr>
          <w:noProof/>
        </w:rPr>
      </w:pPr>
      <w:r>
        <w:rPr>
          <w:noProof/>
        </w:rPr>
        <w:t xml:space="preserve">Aktivnosti </w:t>
      </w:r>
      <w:r w:rsidR="00310979">
        <w:rPr>
          <w:noProof/>
        </w:rPr>
        <w:t xml:space="preserve">izvajanja operacij SLR, brez projektov sodelovanja, se bodo izvajale na območjih potrjenih </w:t>
      </w:r>
      <w:r>
        <w:rPr>
          <w:noProof/>
        </w:rPr>
        <w:t>LASR</w:t>
      </w:r>
      <w:r w:rsidR="00310979">
        <w:rPr>
          <w:noProof/>
        </w:rPr>
        <w:t xml:space="preserve">. Promocijske aktivnosti projektov bodo dovoljene na celotnem območju RS. </w:t>
      </w:r>
    </w:p>
    <w:p w14:paraId="539BAD57" w14:textId="77777777" w:rsidR="00106D9A" w:rsidRPr="008E6BB7" w:rsidRDefault="00106D9A" w:rsidP="00106D9A">
      <w:pPr>
        <w:rPr>
          <w:rFonts w:cs="Arial"/>
          <w:i/>
          <w:noProof/>
          <w:szCs w:val="20"/>
        </w:rPr>
      </w:pPr>
    </w:p>
    <w:p w14:paraId="1655C9A2" w14:textId="33245F79" w:rsidR="00106D9A" w:rsidRPr="00E731C8" w:rsidRDefault="00106D9A" w:rsidP="00106D9A">
      <w:pPr>
        <w:rPr>
          <w:rFonts w:cs="Arial"/>
          <w:i/>
          <w:noProof/>
          <w:szCs w:val="20"/>
        </w:rPr>
      </w:pPr>
      <w:r w:rsidRPr="00E731C8">
        <w:rPr>
          <w:rFonts w:cs="Arial"/>
          <w:i/>
          <w:noProof/>
          <w:szCs w:val="20"/>
        </w:rPr>
        <w:t xml:space="preserve">Medregionalni in transnacionalni ukrepi –Člen </w:t>
      </w:r>
      <w:r w:rsidR="009458C6" w:rsidRPr="00E731C8">
        <w:rPr>
          <w:rFonts w:cs="Arial"/>
          <w:i/>
          <w:noProof/>
          <w:szCs w:val="20"/>
        </w:rPr>
        <w:t>22</w:t>
      </w:r>
      <w:r w:rsidRPr="00E731C8">
        <w:rPr>
          <w:rFonts w:cs="Arial"/>
          <w:i/>
          <w:noProof/>
          <w:szCs w:val="20"/>
        </w:rPr>
        <w:t>(3)(d)(v</w:t>
      </w:r>
      <w:r w:rsidR="009458C6" w:rsidRPr="00E731C8">
        <w:rPr>
          <w:rFonts w:cs="Arial"/>
          <w:i/>
          <w:noProof/>
          <w:szCs w:val="20"/>
        </w:rPr>
        <w:t>i</w:t>
      </w:r>
      <w:r w:rsidRPr="00E731C8">
        <w:rPr>
          <w:rFonts w:cs="Arial"/>
          <w:i/>
          <w:noProof/>
          <w:szCs w:val="20"/>
        </w:rPr>
        <w:t>): Besedilno polje [2 000]</w:t>
      </w:r>
    </w:p>
    <w:p w14:paraId="4EBC7923" w14:textId="584CC55C" w:rsidR="00106D9A" w:rsidRDefault="00DE7024" w:rsidP="00B145BA">
      <w:pPr>
        <w:jc w:val="both"/>
        <w:rPr>
          <w:rFonts w:cs="Arial"/>
          <w:iCs/>
          <w:noProof/>
          <w:szCs w:val="20"/>
        </w:rPr>
      </w:pPr>
      <w:r w:rsidRPr="00E731C8">
        <w:rPr>
          <w:rFonts w:cs="Arial"/>
          <w:iCs/>
          <w:noProof/>
          <w:szCs w:val="20"/>
        </w:rPr>
        <w:t>Medregionalni ali transnacionalni uk</w:t>
      </w:r>
      <w:r w:rsidR="00A3583C" w:rsidRPr="00E731C8">
        <w:rPr>
          <w:rFonts w:cs="Arial"/>
          <w:iCs/>
          <w:noProof/>
          <w:szCs w:val="20"/>
        </w:rPr>
        <w:t xml:space="preserve">repi so lahko </w:t>
      </w:r>
      <w:r w:rsidR="00E731C8">
        <w:rPr>
          <w:rFonts w:cs="Arial"/>
          <w:iCs/>
          <w:noProof/>
          <w:szCs w:val="20"/>
        </w:rPr>
        <w:t>projekti</w:t>
      </w:r>
      <w:r w:rsidR="00310979">
        <w:rPr>
          <w:rFonts w:cs="Arial"/>
          <w:iCs/>
          <w:noProof/>
          <w:szCs w:val="20"/>
        </w:rPr>
        <w:t xml:space="preserve"> </w:t>
      </w:r>
      <w:r w:rsidR="00A3583C" w:rsidRPr="00E731C8">
        <w:rPr>
          <w:rFonts w:cs="Arial"/>
          <w:iCs/>
          <w:noProof/>
          <w:szCs w:val="20"/>
        </w:rPr>
        <w:t>sodelovanja</w:t>
      </w:r>
      <w:r w:rsidRPr="00E731C8">
        <w:rPr>
          <w:rFonts w:cs="Arial"/>
          <w:iCs/>
          <w:noProof/>
          <w:szCs w:val="20"/>
        </w:rPr>
        <w:t xml:space="preserve"> med LASR</w:t>
      </w:r>
      <w:r w:rsidR="00E731C8">
        <w:rPr>
          <w:rFonts w:cs="Arial"/>
          <w:iCs/>
          <w:noProof/>
          <w:szCs w:val="20"/>
        </w:rPr>
        <w:t xml:space="preserve"> in LAS</w:t>
      </w:r>
      <w:r w:rsidRPr="00E731C8">
        <w:rPr>
          <w:rFonts w:cs="Arial"/>
          <w:iCs/>
          <w:noProof/>
          <w:szCs w:val="20"/>
        </w:rPr>
        <w:t>, če gre za sodelovanje med LASR</w:t>
      </w:r>
      <w:r w:rsidR="00E731C8">
        <w:rPr>
          <w:rFonts w:cs="Arial"/>
          <w:iCs/>
          <w:noProof/>
          <w:szCs w:val="20"/>
        </w:rPr>
        <w:t xml:space="preserve"> in LAS</w:t>
      </w:r>
      <w:r w:rsidRPr="00E731C8">
        <w:rPr>
          <w:rFonts w:cs="Arial"/>
          <w:iCs/>
          <w:noProof/>
          <w:szCs w:val="20"/>
        </w:rPr>
        <w:t xml:space="preserve"> znotraj iste države ali med </w:t>
      </w:r>
      <w:r w:rsidR="00B06B2F" w:rsidRPr="00E731C8">
        <w:rPr>
          <w:rFonts w:cs="Arial"/>
          <w:iCs/>
          <w:noProof/>
          <w:szCs w:val="20"/>
        </w:rPr>
        <w:t>LASR</w:t>
      </w:r>
      <w:r w:rsidR="00E731C8">
        <w:rPr>
          <w:rFonts w:cs="Arial"/>
          <w:iCs/>
          <w:noProof/>
          <w:szCs w:val="20"/>
        </w:rPr>
        <w:t xml:space="preserve"> in LAS</w:t>
      </w:r>
      <w:r w:rsidRPr="00E731C8">
        <w:rPr>
          <w:rFonts w:cs="Arial"/>
          <w:iCs/>
          <w:noProof/>
          <w:szCs w:val="20"/>
        </w:rPr>
        <w:t xml:space="preserve"> iz različnih držav. Projekti sodelovanja so namenjeni predvsem izmenjavi znanj in prenosu izkušenj z izvajanjem CLLD. Kljub temu, da so projekti izbrani na podlagi strategije in potreb lokalnega okolja, se s projekti sodelovanja lahko še </w:t>
      </w:r>
      <w:r w:rsidR="00B145BA" w:rsidRPr="00E731C8">
        <w:rPr>
          <w:rFonts w:cs="Arial"/>
          <w:iCs/>
          <w:noProof/>
          <w:szCs w:val="20"/>
        </w:rPr>
        <w:t>bolj</w:t>
      </w:r>
      <w:r w:rsidRPr="00E731C8">
        <w:rPr>
          <w:rFonts w:cs="Arial"/>
          <w:iCs/>
          <w:noProof/>
          <w:szCs w:val="20"/>
        </w:rPr>
        <w:t xml:space="preserve"> podpre izvajanje CLLD. Iz Analize na ravni morskega bazena izhaja, da </w:t>
      </w:r>
      <w:r w:rsidR="00E37CB8" w:rsidRPr="00E731C8">
        <w:rPr>
          <w:rFonts w:cs="Arial"/>
          <w:iCs/>
          <w:noProof/>
          <w:szCs w:val="20"/>
        </w:rPr>
        <w:t xml:space="preserve">so v okviru projektov </w:t>
      </w:r>
      <w:r w:rsidR="00E731C8">
        <w:rPr>
          <w:rFonts w:cs="Arial"/>
          <w:iCs/>
          <w:noProof/>
          <w:szCs w:val="20"/>
        </w:rPr>
        <w:t>sodelovanja</w:t>
      </w:r>
      <w:r w:rsidR="00E731C8" w:rsidRPr="00E731C8">
        <w:rPr>
          <w:rFonts w:cs="Arial"/>
          <w:iCs/>
          <w:noProof/>
          <w:szCs w:val="20"/>
        </w:rPr>
        <w:t xml:space="preserve"> </w:t>
      </w:r>
      <w:r w:rsidR="00E37CB8" w:rsidRPr="00E731C8">
        <w:rPr>
          <w:rFonts w:cs="Arial"/>
          <w:iCs/>
          <w:noProof/>
          <w:szCs w:val="20"/>
        </w:rPr>
        <w:t>priložnosti tudi za projekte makroregionalne narave.</w:t>
      </w:r>
    </w:p>
    <w:p w14:paraId="41FEF3FB" w14:textId="77777777" w:rsidR="00B145BA" w:rsidRPr="00B145BA" w:rsidRDefault="00B145BA" w:rsidP="00B145BA">
      <w:pPr>
        <w:jc w:val="both"/>
        <w:rPr>
          <w:rFonts w:cs="Arial"/>
          <w:b/>
          <w:iCs/>
          <w:noProof/>
          <w:szCs w:val="20"/>
          <w:highlight w:val="yellow"/>
        </w:rPr>
      </w:pPr>
    </w:p>
    <w:p w14:paraId="2F801D97" w14:textId="1D1583DC" w:rsidR="00106D9A" w:rsidRPr="00B145BA" w:rsidRDefault="00106D9A" w:rsidP="00B145BA">
      <w:pPr>
        <w:jc w:val="both"/>
        <w:rPr>
          <w:rFonts w:cs="Arial"/>
          <w:iCs/>
          <w:noProof/>
          <w:szCs w:val="20"/>
        </w:rPr>
      </w:pPr>
      <w:r w:rsidRPr="00B145BA">
        <w:rPr>
          <w:rFonts w:cs="Arial"/>
          <w:noProof/>
          <w:szCs w:val="20"/>
        </w:rPr>
        <w:t xml:space="preserve">Načrtovana uporaba finančnih instrumentov– Člen </w:t>
      </w:r>
      <w:r w:rsidR="00602810">
        <w:rPr>
          <w:rFonts w:cs="Arial"/>
          <w:noProof/>
          <w:szCs w:val="20"/>
        </w:rPr>
        <w:t>22</w:t>
      </w:r>
      <w:r w:rsidRPr="00B145BA">
        <w:rPr>
          <w:rFonts w:cs="Arial"/>
          <w:noProof/>
          <w:szCs w:val="20"/>
        </w:rPr>
        <w:t>(3)(d)(vi</w:t>
      </w:r>
      <w:r w:rsidR="00602810">
        <w:rPr>
          <w:rFonts w:cs="Arial"/>
          <w:noProof/>
          <w:szCs w:val="20"/>
        </w:rPr>
        <w:t>i</w:t>
      </w:r>
      <w:r w:rsidRPr="00B145BA">
        <w:rPr>
          <w:rFonts w:cs="Arial"/>
          <w:noProof/>
          <w:szCs w:val="20"/>
        </w:rPr>
        <w:t xml:space="preserve">): </w:t>
      </w:r>
      <w:r w:rsidRPr="00B145BA">
        <w:rPr>
          <w:rFonts w:cs="Arial"/>
          <w:iCs/>
          <w:noProof/>
          <w:szCs w:val="20"/>
        </w:rPr>
        <w:t>Besedilno polje  [1 000]</w:t>
      </w:r>
    </w:p>
    <w:p w14:paraId="2B66B2E4" w14:textId="225EA7D9" w:rsidR="00B127CA" w:rsidRDefault="003B0014" w:rsidP="00714475">
      <w:pPr>
        <w:spacing w:after="200" w:line="276" w:lineRule="auto"/>
        <w:jc w:val="both"/>
        <w:rPr>
          <w:noProof/>
        </w:rPr>
      </w:pPr>
      <w:r w:rsidRPr="003B0014">
        <w:rPr>
          <w:noProof/>
        </w:rPr>
        <w:t>Ministrstvo za kmetijstvo, gozdarstvo in prehrano Republike Slovenije, Sektor za ribištvo, je kot organ upravljanja za Evropski sklad za pomorstvo, ribištvo in akvakulturo pristopil k javnemu naročilu, ki ga je pripravila Služba Vlade RS za regionalni razvoj in kohezijsko politiko kot organ upravljanja za kohezijske sklade. V okviru tega javnega naročila je bila v skladu s 3. odstavkom 58. člena Uredbe EU št. 2021/1060 pripravljena ex-ante analiza potreb in ocena vrzeli za vzpostavitev finančnih instrumentov za kohezijske sklade in ESPRA. Skupen pristop obeh organov upravljanja je za Sektor za ribištvo sprejemljiv zaradi majhne administrativne usposobljenosti na tem področju in zaradi izkušenj, ki jih ima SVRK pri izvajanju finančnih instrumentov do sedaj. V sklopu javnega naročila je bila preučena tudi smotrnost uporabe sredstev ESPRA za finančne instrumente. Podano je mnenje, da v luči otežene izvedbe ocene primernosti uporabe finančnih instrumentov za specifične cilje, ki se v primeru sklada ESPRA razlikujejo od drugih specifičnih ciljev, majhnega vzorca relevantnih podjetij, zajetih v spletni vprašalnik, zaradi nizkega obsega razpoložljivih sredstev, majhnosti in razdrobljenosti zajetih sektorjev ribištva, pomorstva in akvakulture, ter tudi zaradi negativnih izkušenj s podobnimi finančnimi instrumenti iz drugih držav članic, izvedba finančnih instrumentov iz sklada ESPRA ni smiselna.</w:t>
      </w:r>
      <w:r w:rsidR="00B127CA">
        <w:rPr>
          <w:noProof/>
        </w:rPr>
        <w:br w:type="page"/>
      </w:r>
    </w:p>
    <w:p w14:paraId="2ADCB772" w14:textId="77777777" w:rsidR="00326F74" w:rsidRPr="00326F74" w:rsidRDefault="00326F74" w:rsidP="00326F74">
      <w:pPr>
        <w:pBdr>
          <w:top w:val="single" w:sz="4" w:space="1" w:color="auto"/>
          <w:left w:val="single" w:sz="4" w:space="4" w:color="auto"/>
          <w:bottom w:val="single" w:sz="4" w:space="1" w:color="auto"/>
          <w:right w:val="single" w:sz="4" w:space="4" w:color="auto"/>
        </w:pBdr>
        <w:jc w:val="both"/>
        <w:rPr>
          <w:b/>
          <w:iCs/>
        </w:rPr>
      </w:pPr>
      <w:r w:rsidRPr="00326F74">
        <w:rPr>
          <w:iCs/>
        </w:rPr>
        <w:lastRenderedPageBreak/>
        <w:t>Prednostna naloga:</w:t>
      </w:r>
      <w:r w:rsidRPr="00326F74">
        <w:rPr>
          <w:b/>
          <w:iCs/>
        </w:rPr>
        <w:t xml:space="preserve"> </w:t>
      </w:r>
      <w:r w:rsidR="008927D3" w:rsidRPr="008927D3">
        <w:rPr>
          <w:rFonts w:cs="Arial"/>
          <w:b/>
          <w:noProof/>
          <w:szCs w:val="20"/>
        </w:rPr>
        <w:t>K</w:t>
      </w:r>
      <w:r w:rsidR="008927D3" w:rsidRPr="00C60EE9">
        <w:rPr>
          <w:rFonts w:cs="Arial"/>
          <w:b/>
          <w:noProof/>
          <w:szCs w:val="20"/>
        </w:rPr>
        <w:t>repitev mednarodnega upravljanja oceanov ter omogočanje varnih, zaščitenih, čistih in trajnostno upravljanih morij in oceanov</w:t>
      </w:r>
    </w:p>
    <w:p w14:paraId="70765C2A" w14:textId="198EE168" w:rsidR="00326F74" w:rsidRPr="00326F74" w:rsidRDefault="00326F74" w:rsidP="00326F74">
      <w:pPr>
        <w:pBdr>
          <w:top w:val="single" w:sz="4" w:space="1" w:color="auto"/>
          <w:left w:val="single" w:sz="4" w:space="4" w:color="auto"/>
          <w:bottom w:val="single" w:sz="4" w:space="1" w:color="auto"/>
          <w:right w:val="single" w:sz="4" w:space="4" w:color="auto"/>
        </w:pBdr>
        <w:jc w:val="both"/>
        <w:rPr>
          <w:b/>
          <w:iCs/>
        </w:rPr>
      </w:pPr>
      <w:r w:rsidRPr="00326F74">
        <w:rPr>
          <w:iCs/>
        </w:rPr>
        <w:t>Specifični cilj</w:t>
      </w:r>
      <w:r w:rsidR="00D841E5">
        <w:rPr>
          <w:iCs/>
        </w:rPr>
        <w:t xml:space="preserve"> 4.1</w:t>
      </w:r>
      <w:r w:rsidRPr="00326F74">
        <w:rPr>
          <w:iCs/>
        </w:rPr>
        <w:t>:</w:t>
      </w:r>
      <w:r w:rsidRPr="00326F74">
        <w:rPr>
          <w:b/>
          <w:iCs/>
        </w:rPr>
        <w:t xml:space="preserve"> Intervencije, ki prispevajo h krepitvi mednarodnega upravljanja oceanov ter trajnostnega upravljanja morij in oceanov prek širjenja znanja o morju ter spodbujanja pomorskega nadzora in/ali sodelovanja obalnih straž</w:t>
      </w:r>
    </w:p>
    <w:p w14:paraId="07BAA99A" w14:textId="77777777" w:rsidR="008927D3" w:rsidRDefault="008927D3" w:rsidP="008927D3">
      <w:pPr>
        <w:rPr>
          <w:rFonts w:cs="Arial"/>
          <w:i/>
          <w:noProof/>
          <w:szCs w:val="20"/>
        </w:rPr>
      </w:pPr>
    </w:p>
    <w:p w14:paraId="1F09339E" w14:textId="0E0D11E0" w:rsidR="00326F74" w:rsidRPr="008927D3" w:rsidRDefault="008927D3" w:rsidP="008927D3">
      <w:pPr>
        <w:rPr>
          <w:i/>
          <w:iCs/>
          <w:noProof/>
        </w:rPr>
      </w:pPr>
      <w:r w:rsidRPr="00A16346">
        <w:rPr>
          <w:rFonts w:cs="Arial"/>
          <w:i/>
          <w:noProof/>
          <w:szCs w:val="20"/>
        </w:rPr>
        <w:t xml:space="preserve">Povezane vrste ukrepov– Člen </w:t>
      </w:r>
      <w:r w:rsidR="004125DF">
        <w:rPr>
          <w:rFonts w:cs="Arial"/>
          <w:i/>
          <w:noProof/>
          <w:szCs w:val="20"/>
        </w:rPr>
        <w:t>22</w:t>
      </w:r>
      <w:r w:rsidRPr="00A16346">
        <w:rPr>
          <w:rFonts w:cs="Arial"/>
          <w:i/>
          <w:noProof/>
          <w:szCs w:val="20"/>
        </w:rPr>
        <w:t>(3)(d)(i) SSO</w:t>
      </w:r>
      <w:r>
        <w:rPr>
          <w:rFonts w:cs="Arial"/>
          <w:i/>
          <w:noProof/>
          <w:szCs w:val="20"/>
        </w:rPr>
        <w:t xml:space="preserve">: </w:t>
      </w:r>
      <w:r w:rsidRPr="00B77128">
        <w:rPr>
          <w:i/>
          <w:iCs/>
          <w:noProof/>
        </w:rPr>
        <w:t>Besedilno polje  [8 000]</w:t>
      </w:r>
    </w:p>
    <w:p w14:paraId="17DB03E9" w14:textId="77777777" w:rsidR="00FC27DF" w:rsidRPr="008927D3" w:rsidRDefault="00FC27DF" w:rsidP="00FC27DF">
      <w:pPr>
        <w:rPr>
          <w:b/>
          <w:i/>
          <w:iCs/>
          <w:noProof/>
        </w:rPr>
      </w:pPr>
    </w:p>
    <w:p w14:paraId="4831AF80" w14:textId="29FBC225" w:rsidR="00FC27DF" w:rsidRPr="00256A08" w:rsidRDefault="00193A87" w:rsidP="00FC27DF">
      <w:pPr>
        <w:pBdr>
          <w:top w:val="single" w:sz="4" w:space="1" w:color="auto"/>
          <w:left w:val="single" w:sz="4" w:space="4" w:color="auto"/>
          <w:bottom w:val="single" w:sz="4" w:space="1" w:color="auto"/>
          <w:right w:val="single" w:sz="4" w:space="4" w:color="auto"/>
        </w:pBdr>
        <w:jc w:val="both"/>
        <w:rPr>
          <w:b/>
        </w:rPr>
      </w:pPr>
      <w:r w:rsidRPr="00256A08">
        <w:rPr>
          <w:b/>
        </w:rPr>
        <w:t xml:space="preserve">1. </w:t>
      </w:r>
      <w:r w:rsidR="00955D15" w:rsidRPr="00955D15">
        <w:rPr>
          <w:b/>
        </w:rPr>
        <w:t>Spremljanje vrst in habitatov iz direktiv 92/43/EGS in 2009/147/ES</w:t>
      </w:r>
    </w:p>
    <w:p w14:paraId="3B0C0025" w14:textId="24CBDC83" w:rsidR="00256A08" w:rsidRDefault="00D22365" w:rsidP="00D22365">
      <w:pPr>
        <w:pBdr>
          <w:top w:val="single" w:sz="4" w:space="1" w:color="auto"/>
          <w:left w:val="single" w:sz="4" w:space="4" w:color="auto"/>
          <w:bottom w:val="single" w:sz="4" w:space="1" w:color="auto"/>
          <w:right w:val="single" w:sz="4" w:space="4" w:color="auto"/>
        </w:pBdr>
        <w:jc w:val="both"/>
      </w:pPr>
      <w:r w:rsidRPr="00256A08">
        <w:t>V okviru te aktivnosti se bodo sofinancirali projekti terenskega kartiranja Natura 2000 habitatnih tipov, monitoringa morskih sesalcev, glavate karete, vranjeka in mehkužcev (prstaci, leščur)</w:t>
      </w:r>
      <w:r w:rsidRPr="00FB2335">
        <w:t xml:space="preserve">. </w:t>
      </w:r>
      <w:r w:rsidR="00256A08" w:rsidRPr="00256A08">
        <w:t>Aktivnost se navezuje na deskriptorje kakovosti biotska raznovrstnost (D1) v okviru MSFD. Ta aktivnost na področju EU morij in oceanov naslavlja prioriteto varovanje naše biotske raznovrstnosti in ekosistemov v okviru Zelenega dogovora ter doseganju ciljev strategije EU za biotsko raznovrstnost do leta 2030, saj s poznavanjem stanja vrst in habitatnih tipov Natura 2000 lahko zagotovimo izboljšano načrtovanje upravljavskih aktivnosti in posledično izboljšano upravljanje ter k doseganju zavez Strategije EU za biotsko raznovrstnost do 2030 kot je Učinkovito upravljanje vseh zavarovanih območij, opredelitev jasnih ohranitvenih ciljev in ukrepov ter njihovo ustrezno spremljanje.</w:t>
      </w:r>
    </w:p>
    <w:p w14:paraId="17137E07" w14:textId="2CF9E905" w:rsidR="00256A08" w:rsidRDefault="00256A08" w:rsidP="00D22365">
      <w:pPr>
        <w:pBdr>
          <w:top w:val="single" w:sz="4" w:space="1" w:color="auto"/>
          <w:left w:val="single" w:sz="4" w:space="4" w:color="auto"/>
          <w:bottom w:val="single" w:sz="4" w:space="1" w:color="auto"/>
          <w:right w:val="single" w:sz="4" w:space="4" w:color="auto"/>
        </w:pBdr>
        <w:jc w:val="both"/>
      </w:pPr>
    </w:p>
    <w:p w14:paraId="22F6DD6F" w14:textId="3D022A09" w:rsidR="00D22365" w:rsidRDefault="00D22365" w:rsidP="00D22365">
      <w:pPr>
        <w:pBdr>
          <w:top w:val="single" w:sz="4" w:space="1" w:color="auto"/>
          <w:left w:val="single" w:sz="4" w:space="4" w:color="auto"/>
          <w:bottom w:val="single" w:sz="4" w:space="1" w:color="auto"/>
          <w:right w:val="single" w:sz="4" w:space="4" w:color="auto"/>
        </w:pBdr>
        <w:jc w:val="both"/>
      </w:pPr>
      <w:r w:rsidRPr="00256A08">
        <w:t>Podatki, zbrani v okviru te aktivnosti, bodo javno dostopni skladno s standardi FAIR.</w:t>
      </w:r>
    </w:p>
    <w:p w14:paraId="15A26E7E" w14:textId="4E666BE0" w:rsidR="00300859" w:rsidRDefault="00300859" w:rsidP="00300859">
      <w:pPr>
        <w:pBdr>
          <w:top w:val="single" w:sz="4" w:space="1" w:color="auto"/>
          <w:left w:val="single" w:sz="4" w:space="4" w:color="auto"/>
          <w:bottom w:val="single" w:sz="4" w:space="1" w:color="auto"/>
          <w:right w:val="single" w:sz="4" w:space="4" w:color="auto"/>
        </w:pBdr>
        <w:jc w:val="both"/>
      </w:pPr>
    </w:p>
    <w:p w14:paraId="4A45529B" w14:textId="4D41B1D7" w:rsidR="00D22365" w:rsidRPr="00D22365" w:rsidRDefault="00D22365" w:rsidP="00300859">
      <w:pPr>
        <w:pBdr>
          <w:top w:val="single" w:sz="4" w:space="1" w:color="auto"/>
          <w:left w:val="single" w:sz="4" w:space="4" w:color="auto"/>
          <w:bottom w:val="single" w:sz="4" w:space="1" w:color="auto"/>
          <w:right w:val="single" w:sz="4" w:space="4" w:color="auto"/>
        </w:pBdr>
        <w:jc w:val="both"/>
        <w:rPr>
          <w:b/>
        </w:rPr>
      </w:pPr>
      <w:r w:rsidRPr="00D22365">
        <w:rPr>
          <w:b/>
        </w:rPr>
        <w:t>2. Podpora pomorskemu prostorskemu načrtovanju v skladu z Direktivo 2014/89/EU</w:t>
      </w:r>
    </w:p>
    <w:p w14:paraId="6C5061F0" w14:textId="7B3476AB" w:rsidR="00D22365" w:rsidRPr="00D22365" w:rsidRDefault="00D22365" w:rsidP="00D22365">
      <w:pPr>
        <w:pBdr>
          <w:top w:val="single" w:sz="4" w:space="1" w:color="auto"/>
          <w:left w:val="single" w:sz="4" w:space="4" w:color="auto"/>
          <w:bottom w:val="single" w:sz="4" w:space="1" w:color="auto"/>
          <w:right w:val="single" w:sz="4" w:space="4" w:color="auto"/>
        </w:pBdr>
        <w:jc w:val="both"/>
      </w:pPr>
      <w:r>
        <w:t xml:space="preserve">V okviru te aktivnosti bo zagotovljeno spremljanje izvajanja </w:t>
      </w:r>
      <w:r w:rsidR="00C53807">
        <w:t xml:space="preserve">Pomorskega prostorskega načrta (v nadaljevanju: </w:t>
      </w:r>
      <w:r>
        <w:t>PPN</w:t>
      </w:r>
      <w:r w:rsidR="00C53807">
        <w:t>)</w:t>
      </w:r>
      <w:r w:rsidR="00B67EAC">
        <w:t>.</w:t>
      </w:r>
      <w:r w:rsidR="00B67EAC" w:rsidRPr="00B67EAC">
        <w:t xml:space="preserve"> </w:t>
      </w:r>
      <w:r w:rsidR="00C53807">
        <w:t>PPN je pripravljen na podlagi Direktive</w:t>
      </w:r>
      <w:r w:rsidR="00C53807" w:rsidRPr="00C53807">
        <w:t xml:space="preserve"> 2014/89/EU</w:t>
      </w:r>
      <w:r w:rsidR="00C53807">
        <w:t xml:space="preserve">. V </w:t>
      </w:r>
      <w:r w:rsidR="00B67EAC">
        <w:t xml:space="preserve">okviru OP ESPRA 2021-2027 </w:t>
      </w:r>
      <w:r w:rsidR="00C53807">
        <w:t xml:space="preserve">bomo </w:t>
      </w:r>
      <w:r w:rsidR="00B67EAC">
        <w:t xml:space="preserve">na podlagi potreb iz SWOT analize sofinancirali pripravo metodologije za spremljanje izvajanja PPN, izdelavo ničelnega poročila o stanju prostorskega razvoja na morju. </w:t>
      </w:r>
      <w:r w:rsidR="00C53807" w:rsidRPr="00C53807">
        <w:t xml:space="preserve">Skladno s </w:t>
      </w:r>
      <w:r w:rsidR="00C53807">
        <w:t xml:space="preserve">6. in 14. členom </w:t>
      </w:r>
      <w:r w:rsidR="00C53807" w:rsidRPr="00C53807">
        <w:t xml:space="preserve">Direktive 2014/89/EU je </w:t>
      </w:r>
      <w:r w:rsidR="00C53807">
        <w:t xml:space="preserve">namreč </w:t>
      </w:r>
      <w:r w:rsidR="00C53807" w:rsidRPr="00C53807">
        <w:t xml:space="preserve">po sprejemu </w:t>
      </w:r>
      <w:r w:rsidR="00C53807">
        <w:t>PPN Sl</w:t>
      </w:r>
      <w:r w:rsidR="00C53807" w:rsidRPr="00C53807">
        <w:t>ovenije zagotoviti tudi redno spremljanje njegovega izvajanja, najmanj na 10 let pa še revizijo vsebine in načina njegovega izvajanja.</w:t>
      </w:r>
      <w:r w:rsidR="00C53807">
        <w:t xml:space="preserve"> Poleg tega bomo omogočili testiranje metodologije za </w:t>
      </w:r>
      <w:r w:rsidR="0088687C" w:rsidRPr="0088687C">
        <w:t>spremljanje izvajanja P</w:t>
      </w:r>
      <w:r w:rsidR="0088687C">
        <w:t>PN</w:t>
      </w:r>
      <w:r w:rsidR="0088687C" w:rsidRPr="0088687C">
        <w:t xml:space="preserve"> Slovenij</w:t>
      </w:r>
      <w:r w:rsidR="0088687C">
        <w:t xml:space="preserve">e. </w:t>
      </w:r>
      <w:r w:rsidR="00B67EAC">
        <w:t xml:space="preserve">Kot del ukrepov ob pripravi PPN je bilo zapisano tudi </w:t>
      </w:r>
      <w:r w:rsidRPr="00D22365">
        <w:t>raziskovanj</w:t>
      </w:r>
      <w:r>
        <w:t>e in evidentiranje</w:t>
      </w:r>
      <w:r w:rsidRPr="00D22365">
        <w:t xml:space="preserve"> podvodne kulturne dediščine kot </w:t>
      </w:r>
      <w:r>
        <w:t>prvi korak</w:t>
      </w:r>
      <w:r w:rsidRPr="00D22365">
        <w:t xml:space="preserve"> na poti k vzpostavitvi celostnega upravljanja s podvodno kulturno dediščino v sklopu trajnostnega upravljanja z morskim okoljem.</w:t>
      </w:r>
      <w:r>
        <w:t xml:space="preserve"> </w:t>
      </w:r>
      <w:r w:rsidR="00B67EAC">
        <w:t xml:space="preserve">V okviru OP ESPRA 2021-2027 bomo zato omogočili </w:t>
      </w:r>
      <w:r>
        <w:t>projekte spremljanj</w:t>
      </w:r>
      <w:r w:rsidR="00B67EAC">
        <w:t>a</w:t>
      </w:r>
      <w:r>
        <w:t xml:space="preserve"> podvodne kulturne dediščine, in sicer daljinsko dokumentiranje za identificiranje arheoloških ostalin v slovenskem morju ter šibko invazivne integrirane podvodne raziskave za vrednotenje arheoloških ostalin in spremljava stanja arheoloških najdišč v slovenskem morju. </w:t>
      </w:r>
      <w:r w:rsidR="00B1195B" w:rsidRPr="00B1195B">
        <w:t>Podatki, zbrani v okviru te aktivnosti, bodo javno dostopni skladno s standardi FAIR.</w:t>
      </w:r>
    </w:p>
    <w:p w14:paraId="56996566" w14:textId="2948678D" w:rsidR="00D22365" w:rsidRDefault="00D22365" w:rsidP="00300859">
      <w:pPr>
        <w:pBdr>
          <w:top w:val="single" w:sz="4" w:space="1" w:color="auto"/>
          <w:left w:val="single" w:sz="4" w:space="4" w:color="auto"/>
          <w:bottom w:val="single" w:sz="4" w:space="1" w:color="auto"/>
          <w:right w:val="single" w:sz="4" w:space="4" w:color="auto"/>
        </w:pBdr>
        <w:jc w:val="both"/>
      </w:pPr>
    </w:p>
    <w:p w14:paraId="57890BC7" w14:textId="1515EE62" w:rsidR="00D22365" w:rsidRPr="00804B8E" w:rsidRDefault="00D22365" w:rsidP="00300859">
      <w:pPr>
        <w:pBdr>
          <w:top w:val="single" w:sz="4" w:space="1" w:color="auto"/>
          <w:left w:val="single" w:sz="4" w:space="4" w:color="auto"/>
          <w:bottom w:val="single" w:sz="4" w:space="1" w:color="auto"/>
          <w:right w:val="single" w:sz="4" w:space="4" w:color="auto"/>
        </w:pBdr>
        <w:jc w:val="both"/>
        <w:rPr>
          <w:b/>
        </w:rPr>
      </w:pPr>
      <w:r w:rsidRPr="00804B8E">
        <w:rPr>
          <w:b/>
        </w:rPr>
        <w:t>3. Izvajanje pomorskega nadzora</w:t>
      </w:r>
    </w:p>
    <w:p w14:paraId="48A20AF0" w14:textId="36B42D65" w:rsidR="00300859" w:rsidRDefault="00B1195B" w:rsidP="00300859">
      <w:pPr>
        <w:pBdr>
          <w:top w:val="single" w:sz="4" w:space="1" w:color="auto"/>
          <w:left w:val="single" w:sz="4" w:space="4" w:color="auto"/>
          <w:bottom w:val="single" w:sz="4" w:space="1" w:color="auto"/>
          <w:right w:val="single" w:sz="4" w:space="4" w:color="auto"/>
        </w:pBdr>
        <w:jc w:val="both"/>
      </w:pPr>
      <w:r w:rsidRPr="00804B8E">
        <w:t>Pomorski nadzor na morju je ključnega pomena za zagotavljanje varnega prometa, preprečevanja nesreč in reševanja na morju. Ena od ključnih dejavnosti celostnega upravljanja morskega okolja je povezljivost sistemov za podporo izvajanju pomorskega nadzora (CISE</w:t>
      </w:r>
      <w:r w:rsidR="000C41C1">
        <w:t>, angl. Common Information Sharing Environment</w:t>
      </w:r>
      <w:r w:rsidRPr="00804B8E">
        <w:t>)</w:t>
      </w:r>
      <w:r w:rsidR="00804B8E">
        <w:t xml:space="preserve">, </w:t>
      </w:r>
      <w:r w:rsidR="00804B8E" w:rsidRPr="00804B8E">
        <w:t>kar ustreza aktivnosti A.2.1 Akcijskega načrta za izvajanje EU pomorske varnostne strategije (EUMSS).</w:t>
      </w:r>
      <w:r w:rsidRPr="00804B8E">
        <w:t xml:space="preserve"> Uprava RS za pomorstvo kot nacionalni organ, ki opravlja funkcije obalne straže na nacionalni ravni in na ravni Unije ter po potrebi na mednarodni ravni, je v perspektivi 2014-2020 iz ESPR pomagala pri začetku z vzpostavitvijo CISE sistema za izmenjavo podatkov. Trenutni sistem CISE je v testni fazi. </w:t>
      </w:r>
      <w:r w:rsidR="00804B8E" w:rsidRPr="00804B8E">
        <w:t xml:space="preserve">V okviru koordinacije služb na morju bo izdelan nabor informacij, ki se jih bo izmenjavalo v CISE Node, ki ga izdeluje in vzdržuje EMSA. </w:t>
      </w:r>
      <w:r w:rsidR="000C41C1">
        <w:t xml:space="preserve">Želja je, da CISE postane operativen, zato je na podlagi podatkov, ki bodo zbrani </w:t>
      </w:r>
      <w:r w:rsidR="000C41C1">
        <w:lastRenderedPageBreak/>
        <w:t xml:space="preserve">v testni fazi, </w:t>
      </w:r>
      <w:r w:rsidR="004E3722">
        <w:t>predvidena</w:t>
      </w:r>
      <w:r w:rsidR="000C41C1">
        <w:t xml:space="preserve"> njegova nadgradnja. </w:t>
      </w:r>
      <w:r w:rsidRPr="00804B8E">
        <w:t xml:space="preserve">Za izvajanje učinkovitega pomorskega nadzora pa se je izrazila tudi potreba po organizaciji </w:t>
      </w:r>
      <w:r w:rsidR="00513B27">
        <w:t>mednarodnega</w:t>
      </w:r>
      <w:r w:rsidR="00804B8E" w:rsidRPr="00804B8E">
        <w:t xml:space="preserve"> </w:t>
      </w:r>
      <w:r w:rsidRPr="00804B8E">
        <w:t xml:space="preserve">dogodka </w:t>
      </w:r>
      <w:r w:rsidR="000C41C1">
        <w:t xml:space="preserve">. </w:t>
      </w:r>
      <w:r w:rsidRPr="00804B8E">
        <w:t>V okviru OP ESPRA 2021-2027 predlagane aktivnosti bodo prispevale k dodatnemu izboljšanju in delovanju CISE z zagotavljanjem storitev varovanja in komunikacijskih storitev, ki temeljijo na najsodobnejši tehnologiji. S povečanjem izmenjave informacij in sodelovanja na področju funkcij obalne straže pa se bomo lažje soočili z analizami operativnih izzivov in nastajajočimi tveganji na področju nadzora pomorstva.</w:t>
      </w:r>
      <w:r w:rsidR="00804B8E">
        <w:t xml:space="preserve"> </w:t>
      </w:r>
      <w:r w:rsidR="00804B8E" w:rsidRPr="00804B8E">
        <w:t>V okvi</w:t>
      </w:r>
      <w:r w:rsidR="00804B8E">
        <w:t>ru pomorskega nadzora bomo tako</w:t>
      </w:r>
      <w:r w:rsidR="00804B8E" w:rsidRPr="00804B8E">
        <w:t xml:space="preserve"> prispevali k njegovi večji učinkovitosti ter k aktivnosti A.1.7, A.2.9 ter B.2.7 Akcijskega načrta EUMSS v povezavi s ciljem medsektorskega pristopa in upravljanja s tveganji EUMSS.</w:t>
      </w:r>
    </w:p>
    <w:p w14:paraId="3526A1A2" w14:textId="77777777" w:rsidR="00FC27DF" w:rsidRDefault="00FC27DF" w:rsidP="00FC27DF"/>
    <w:p w14:paraId="72636FC0" w14:textId="77777777" w:rsidR="00324475" w:rsidRDefault="00324475" w:rsidP="008927D3">
      <w:pPr>
        <w:rPr>
          <w:i/>
          <w:noProof/>
        </w:rPr>
      </w:pPr>
    </w:p>
    <w:p w14:paraId="21666AA3" w14:textId="0AB3BB0F" w:rsidR="00326F74" w:rsidRDefault="008927D3" w:rsidP="008927D3">
      <w:pPr>
        <w:rPr>
          <w:i/>
          <w:noProof/>
        </w:rPr>
      </w:pPr>
      <w:r w:rsidRPr="00B77128">
        <w:rPr>
          <w:i/>
          <w:noProof/>
        </w:rPr>
        <w:t xml:space="preserve">Glavne ciljne skupine– Člen </w:t>
      </w:r>
      <w:r w:rsidR="000D1B02">
        <w:rPr>
          <w:i/>
          <w:noProof/>
        </w:rPr>
        <w:t>22</w:t>
      </w:r>
      <w:r w:rsidRPr="00B77128">
        <w:rPr>
          <w:i/>
          <w:noProof/>
        </w:rPr>
        <w:t>(3)(d)(iii):</w:t>
      </w:r>
      <w:r>
        <w:rPr>
          <w:i/>
          <w:noProof/>
        </w:rPr>
        <w:t xml:space="preserve"> </w:t>
      </w:r>
      <w:r w:rsidRPr="00A16346">
        <w:rPr>
          <w:i/>
          <w:noProof/>
        </w:rPr>
        <w:t>Besedilno polje  [1 000]</w:t>
      </w:r>
    </w:p>
    <w:p w14:paraId="33323FB3" w14:textId="77777777" w:rsidR="00FC27DF" w:rsidRPr="008927D3" w:rsidRDefault="00FC27DF" w:rsidP="008927D3">
      <w:pPr>
        <w:rPr>
          <w:b/>
          <w:i/>
          <w:iCs/>
          <w:noProof/>
        </w:rPr>
      </w:pPr>
    </w:p>
    <w:p w14:paraId="52F09E86" w14:textId="10E8F6F5" w:rsidR="00D6598F" w:rsidRDefault="00D6598F" w:rsidP="00326F74">
      <w:pPr>
        <w:pBdr>
          <w:top w:val="single" w:sz="4" w:space="1" w:color="auto"/>
          <w:left w:val="single" w:sz="4" w:space="4" w:color="auto"/>
          <w:bottom w:val="single" w:sz="4" w:space="1" w:color="auto"/>
          <w:right w:val="single" w:sz="4" w:space="4" w:color="auto"/>
        </w:pBdr>
        <w:jc w:val="both"/>
      </w:pPr>
      <w:r>
        <w:t xml:space="preserve">Ciljne skupine v okviru aktivnosti št. 1 so ribiči, ribogojci, upravljavci zavarovanih območij, raziskovalci, strokovnjaki na področju morskega okolja in varovanje narave. V okviru aktivnosti št. 2 so ciljne skupine uporabniki podatkov o PPN, pripravljavci PPN, sektorji, ki za svoje delovanje uporabljajo morje in njegove vire, raziskovalne institucije. Ciljne skupine v okviru aktivnosti 3 so organi, </w:t>
      </w:r>
      <w:r w:rsidR="009B600C">
        <w:t>odgovorni</w:t>
      </w:r>
      <w:r w:rsidR="00F61042">
        <w:t xml:space="preserve"> </w:t>
      </w:r>
      <w:r w:rsidR="009B600C">
        <w:t xml:space="preserve">za </w:t>
      </w:r>
      <w:r>
        <w:t xml:space="preserve">izvajanje nadzora na morju, strokovnjaki na področju upravljanja z morjem in pomorskega nadzora, upravljavci zavarovanih območij ter </w:t>
      </w:r>
      <w:r w:rsidRPr="00D6598F">
        <w:t>Mednarodn</w:t>
      </w:r>
      <w:r>
        <w:t>a</w:t>
      </w:r>
      <w:r w:rsidRPr="00D6598F">
        <w:t xml:space="preserve"> pomorsk</w:t>
      </w:r>
      <w:r>
        <w:t>a</w:t>
      </w:r>
      <w:r w:rsidRPr="00D6598F">
        <w:t xml:space="preserve"> organizacij</w:t>
      </w:r>
      <w:r>
        <w:t>a</w:t>
      </w:r>
      <w:r w:rsidRPr="00D6598F">
        <w:t xml:space="preserve"> (IMO), IMO/UNEP Regionalni center za ukrepanje ob izrednih dogodkih v Sredozemskem mo</w:t>
      </w:r>
      <w:r>
        <w:t>rju (REMPEC), Evropska</w:t>
      </w:r>
      <w:r w:rsidRPr="00D6598F">
        <w:t xml:space="preserve"> agencij</w:t>
      </w:r>
      <w:r>
        <w:t>a</w:t>
      </w:r>
      <w:r w:rsidRPr="00D6598F">
        <w:t xml:space="preserve"> za pomorsko varnost (EMSA), Mednarodni sklad za kompenzacijo onesnaž</w:t>
      </w:r>
      <w:r>
        <w:t>enja z nafto (IOPCF), Mednarodna organizacija</w:t>
      </w:r>
      <w:r w:rsidRPr="00D6598F">
        <w:t xml:space="preserve"> za na</w:t>
      </w:r>
      <w:r>
        <w:t>dzor razlitja (ISCO), Mednarodna</w:t>
      </w:r>
      <w:r w:rsidRPr="00D6598F">
        <w:t xml:space="preserve"> zvezo imetnikov onesnaževalcev tankerjev (ITOPF) in Center za dokumentacijo, raziskave in eksperimentiranje o nenamernem onesnaževanju vode (Cedre).</w:t>
      </w:r>
    </w:p>
    <w:p w14:paraId="666B2DD5" w14:textId="77777777" w:rsidR="008927D3" w:rsidRDefault="008927D3" w:rsidP="008927D3"/>
    <w:p w14:paraId="7A227664" w14:textId="45FBE428" w:rsidR="00324475" w:rsidRPr="00BC39FE" w:rsidRDefault="00324475" w:rsidP="00324475">
      <w:pPr>
        <w:jc w:val="both"/>
        <w:rPr>
          <w:i/>
          <w:noProof/>
        </w:rPr>
      </w:pPr>
      <w:r w:rsidRPr="00BC39FE">
        <w:rPr>
          <w:i/>
          <w:noProof/>
        </w:rPr>
        <w:t xml:space="preserve">Aktivnosti, ki ohranjajo enakost, vključenost in nediskriminacijo – Člen </w:t>
      </w:r>
      <w:r w:rsidR="00830FA9">
        <w:rPr>
          <w:i/>
          <w:noProof/>
        </w:rPr>
        <w:t>22</w:t>
      </w:r>
      <w:r w:rsidRPr="00BC39FE">
        <w:rPr>
          <w:i/>
          <w:noProof/>
        </w:rPr>
        <w:t>(3)(d)(i</w:t>
      </w:r>
      <w:r w:rsidR="00830FA9">
        <w:rPr>
          <w:i/>
          <w:noProof/>
        </w:rPr>
        <w:t>v</w:t>
      </w:r>
      <w:r w:rsidRPr="00BC39FE">
        <w:rPr>
          <w:i/>
          <w:noProof/>
        </w:rPr>
        <w:t>)</w:t>
      </w:r>
    </w:p>
    <w:p w14:paraId="1724C93A" w14:textId="77777777" w:rsidR="00324475" w:rsidRDefault="00324475" w:rsidP="00324475">
      <w:pPr>
        <w:jc w:val="both"/>
        <w:rPr>
          <w:noProof/>
        </w:rPr>
      </w:pPr>
      <w:r>
        <w:rPr>
          <w:noProof/>
        </w:rPr>
        <w:t>Slovenija bo pri izvajanju vseh aktivnosti posebno pozornost posvečala načelu enakosti, vključenosti in nediskriminiacije. Vsi potencialni deležniki bodo hkrati vključeni v aktivnosti obveščanja in predstavljanja vseh podlag za izvajanje aktivnosti. Varstvo pravic posameznika glede na človekove pravice in svoboščine ter enakost pred zakonom v RS zakonsko ureja Ministrstvo za delo, družino, socialne zadeve in enake možnosti. V okviru OP ESPRA 2021-2027 se bodo enake možnosti in boj proti diskriminaciji glede na različne osebne okoliščine (npr. spol, starost, invalidnost, rasna, etnična, narodna in verska pripadnost, spolna usmerjenost) zagotavljale horizontalno ter vertikalno. Pri vertikalnem upoštevanju tega načela pa je treba upoštevati specifike ribiškega sektorja, v katerem zaradi narave poklica prevladujejo moški. Večje možnosti za vključevanje žensk so na aktivnostih CLLD ter v okviru akvakulture, kjer so nosilke dejavnosti ženske. Po potrebi bodo za uresničevanje načela enakih možnosti in nediskriminacije zagotovljena usposabljanja upravne zmogljivosti. Načelo se bo upoštevalo tudi v okviru sistema upravljanja in nadzora. Upoštevanje tega načela bo vključeno tudi v poročila.</w:t>
      </w:r>
    </w:p>
    <w:p w14:paraId="21EA1336" w14:textId="77777777" w:rsidR="00D6598F" w:rsidRDefault="00D6598F" w:rsidP="008927D3">
      <w:pPr>
        <w:rPr>
          <w:rFonts w:cs="Arial"/>
          <w:i/>
          <w:noProof/>
          <w:szCs w:val="20"/>
        </w:rPr>
      </w:pPr>
    </w:p>
    <w:p w14:paraId="38CA3380" w14:textId="42403424" w:rsidR="008927D3" w:rsidRPr="006A7CD2" w:rsidRDefault="008927D3" w:rsidP="008927D3">
      <w:pPr>
        <w:rPr>
          <w:rFonts w:cs="Arial"/>
          <w:i/>
          <w:noProof/>
          <w:szCs w:val="20"/>
        </w:rPr>
      </w:pPr>
      <w:r w:rsidRPr="006A7CD2">
        <w:rPr>
          <w:rFonts w:cs="Arial"/>
          <w:i/>
          <w:noProof/>
          <w:szCs w:val="20"/>
        </w:rPr>
        <w:t xml:space="preserve">Posebna ciljna območja, vključno z načrtovano uporabo teritorialnih orodij– Člen </w:t>
      </w:r>
      <w:r w:rsidR="00EA7430">
        <w:rPr>
          <w:rFonts w:cs="Arial"/>
          <w:i/>
          <w:noProof/>
          <w:szCs w:val="20"/>
        </w:rPr>
        <w:t>22</w:t>
      </w:r>
      <w:r w:rsidRPr="006A7CD2">
        <w:rPr>
          <w:rFonts w:cs="Arial"/>
          <w:i/>
          <w:noProof/>
          <w:szCs w:val="20"/>
        </w:rPr>
        <w:t>(3)(d)(v)</w:t>
      </w:r>
      <w:r>
        <w:rPr>
          <w:rFonts w:cs="Arial"/>
          <w:i/>
          <w:noProof/>
          <w:szCs w:val="20"/>
        </w:rPr>
        <w:t xml:space="preserve">: </w:t>
      </w:r>
      <w:r w:rsidRPr="00CE0BB7">
        <w:rPr>
          <w:rFonts w:cs="Arial"/>
          <w:i/>
          <w:noProof/>
          <w:szCs w:val="20"/>
        </w:rPr>
        <w:t>Besedilno polje  [2 000]</w:t>
      </w:r>
    </w:p>
    <w:p w14:paraId="4026774A" w14:textId="77777777" w:rsidR="009E6024" w:rsidRPr="009E6024" w:rsidRDefault="009E6024" w:rsidP="008927D3">
      <w:pPr>
        <w:pBdr>
          <w:top w:val="single" w:sz="4" w:space="1" w:color="auto"/>
          <w:left w:val="single" w:sz="4" w:space="4" w:color="auto"/>
          <w:bottom w:val="single" w:sz="4" w:space="1" w:color="auto"/>
          <w:right w:val="single" w:sz="4" w:space="4" w:color="auto"/>
        </w:pBdr>
        <w:jc w:val="both"/>
        <w:rPr>
          <w:rFonts w:cs="Arial"/>
          <w:noProof/>
          <w:szCs w:val="20"/>
        </w:rPr>
      </w:pPr>
      <w:r>
        <w:rPr>
          <w:rFonts w:cs="Arial"/>
          <w:iCs/>
          <w:noProof/>
          <w:szCs w:val="20"/>
        </w:rPr>
        <w:t xml:space="preserve">Uporaba teritorialnega orodja, celostni razvoj, ki ga vodi skupnost, za spodbujanje </w:t>
      </w:r>
      <w:r w:rsidR="00F61042">
        <w:rPr>
          <w:rFonts w:cs="Arial"/>
          <w:iCs/>
          <w:noProof/>
          <w:szCs w:val="20"/>
        </w:rPr>
        <w:t xml:space="preserve">modrega gospodarstva na lokalnem obalnem območju </w:t>
      </w:r>
      <w:r>
        <w:rPr>
          <w:rFonts w:cs="Arial"/>
          <w:iCs/>
          <w:noProof/>
          <w:szCs w:val="20"/>
        </w:rPr>
        <w:t>je podrobneje opisana v okviru tretje prednostne naloge.</w:t>
      </w:r>
    </w:p>
    <w:p w14:paraId="1EBB17CB" w14:textId="77777777" w:rsidR="008927D3" w:rsidRPr="00CE0BB7" w:rsidRDefault="008927D3" w:rsidP="008927D3">
      <w:pPr>
        <w:rPr>
          <w:rFonts w:cs="Arial"/>
          <w:i/>
          <w:noProof/>
          <w:szCs w:val="20"/>
        </w:rPr>
      </w:pPr>
    </w:p>
    <w:p w14:paraId="0A8C8C48" w14:textId="341D2CF5" w:rsidR="008927D3" w:rsidRPr="00AC29EA" w:rsidRDefault="008927D3" w:rsidP="008927D3">
      <w:pPr>
        <w:rPr>
          <w:rFonts w:cs="Arial"/>
          <w:i/>
          <w:noProof/>
          <w:szCs w:val="20"/>
        </w:rPr>
      </w:pPr>
      <w:r w:rsidRPr="00AC29EA">
        <w:rPr>
          <w:rFonts w:cs="Arial"/>
          <w:i/>
          <w:noProof/>
          <w:szCs w:val="20"/>
        </w:rPr>
        <w:t xml:space="preserve">Medregionalni in transnacionalni ukrepi –Člen </w:t>
      </w:r>
      <w:r w:rsidR="00EA7430">
        <w:rPr>
          <w:rFonts w:cs="Arial"/>
          <w:i/>
          <w:noProof/>
          <w:szCs w:val="20"/>
        </w:rPr>
        <w:t>22</w:t>
      </w:r>
      <w:r w:rsidRPr="00AC29EA">
        <w:rPr>
          <w:rFonts w:cs="Arial"/>
          <w:i/>
          <w:noProof/>
          <w:szCs w:val="20"/>
        </w:rPr>
        <w:t>(3)(d)(v</w:t>
      </w:r>
      <w:r w:rsidR="00EA7430">
        <w:rPr>
          <w:rFonts w:cs="Arial"/>
          <w:i/>
          <w:noProof/>
          <w:szCs w:val="20"/>
        </w:rPr>
        <w:t>i</w:t>
      </w:r>
      <w:r w:rsidRPr="00AC29EA">
        <w:rPr>
          <w:rFonts w:cs="Arial"/>
          <w:i/>
          <w:noProof/>
          <w:szCs w:val="20"/>
        </w:rPr>
        <w:t>): Besedilno polje  [2 000]</w:t>
      </w:r>
    </w:p>
    <w:p w14:paraId="64216798" w14:textId="4DC45E52" w:rsidR="00D6598F" w:rsidRPr="00AC29EA" w:rsidRDefault="004D46F5" w:rsidP="00324475">
      <w:pPr>
        <w:jc w:val="both"/>
        <w:rPr>
          <w:rFonts w:cs="Arial"/>
          <w:i/>
          <w:noProof/>
          <w:szCs w:val="20"/>
        </w:rPr>
      </w:pPr>
      <w:r>
        <w:t>V okviru pomorskega nadzor</w:t>
      </w:r>
      <w:r w:rsidR="00904E25">
        <w:t>a</w:t>
      </w:r>
      <w:r>
        <w:t xml:space="preserve"> bo ESPRA prispevala k </w:t>
      </w:r>
      <w:r w:rsidR="00904E25">
        <w:t>mednarodni razsežnosti pomorskega nadzora</w:t>
      </w:r>
      <w:r>
        <w:t xml:space="preserve">. Tovrstni dogodki </w:t>
      </w:r>
      <w:r w:rsidR="00904E25">
        <w:t>navadno</w:t>
      </w:r>
      <w:r w:rsidR="00324475">
        <w:t xml:space="preserve"> poteka</w:t>
      </w:r>
      <w:r>
        <w:t>jo</w:t>
      </w:r>
      <w:r w:rsidR="00324475">
        <w:t xml:space="preserve"> pod pokroviteljstvom Ministrstva za pomorstvo, države gostiteljice in, kot že v preteklosti, najpomembnejših mednarodnih, regionalnih in </w:t>
      </w:r>
      <w:r w:rsidR="00324475">
        <w:lastRenderedPageBreak/>
        <w:t>nacionalnih organizacij, ki delujejo na področju varovanja morskega okolja pred naključnimi dogodki. Konferenca ponosno vključuje Mednarodno pomorsko organizacijo (IMO), IMO/UNEP Regionalni center za ukrepanje ob izrednih dogodkih v Sredozemskem morju (REMPEC), Evropsko agencijo za pomorsko varnost (EMSA), Mednarodni sklad za kompenzacijo onesnaženja z nafto (IOPCF), Mednarodno organizacijo za nadzor razlitja (ISCO), Mednarodno zvezo imetnikov onesnaževalcev tankerjev (ITOPF) in Center za dokumentacijo, raziskave in eksperimentiranje o nenamernem onesnaževanju vode (Cedre).</w:t>
      </w:r>
    </w:p>
    <w:p w14:paraId="2E1DCBB2" w14:textId="37924207" w:rsidR="00D6598F" w:rsidRPr="00AC29EA" w:rsidRDefault="00D6598F" w:rsidP="008927D3">
      <w:pPr>
        <w:rPr>
          <w:rFonts w:cs="Arial"/>
          <w:i/>
          <w:noProof/>
          <w:szCs w:val="20"/>
        </w:rPr>
      </w:pPr>
    </w:p>
    <w:p w14:paraId="722D4846" w14:textId="4E3AE207" w:rsidR="008927D3" w:rsidRDefault="008927D3" w:rsidP="008927D3">
      <w:pPr>
        <w:rPr>
          <w:rFonts w:cs="Arial"/>
          <w:i/>
          <w:iCs/>
          <w:noProof/>
          <w:szCs w:val="20"/>
          <w:lang w:val="it-IT"/>
        </w:rPr>
      </w:pPr>
      <w:r w:rsidRPr="005C5C10">
        <w:rPr>
          <w:rFonts w:cs="Arial"/>
          <w:i/>
          <w:noProof/>
          <w:szCs w:val="20"/>
          <w:lang w:val="it-IT"/>
        </w:rPr>
        <w:t xml:space="preserve">Načrtovana uporaba finančnih instrumentov– Člen </w:t>
      </w:r>
      <w:r w:rsidR="00AA0F03">
        <w:rPr>
          <w:rFonts w:cs="Arial"/>
          <w:i/>
          <w:noProof/>
          <w:szCs w:val="20"/>
          <w:lang w:val="it-IT"/>
        </w:rPr>
        <w:t>22</w:t>
      </w:r>
      <w:r w:rsidRPr="005C5C10">
        <w:rPr>
          <w:rFonts w:cs="Arial"/>
          <w:i/>
          <w:noProof/>
          <w:szCs w:val="20"/>
          <w:lang w:val="it-IT"/>
        </w:rPr>
        <w:t>(3)(d)(vi</w:t>
      </w:r>
      <w:r w:rsidR="00AA0F03">
        <w:rPr>
          <w:rFonts w:cs="Arial"/>
          <w:i/>
          <w:noProof/>
          <w:szCs w:val="20"/>
          <w:lang w:val="it-IT"/>
        </w:rPr>
        <w:t>i</w:t>
      </w:r>
      <w:r w:rsidRPr="005C5C10">
        <w:rPr>
          <w:rFonts w:cs="Arial"/>
          <w:i/>
          <w:noProof/>
          <w:szCs w:val="20"/>
          <w:lang w:val="it-IT"/>
        </w:rPr>
        <w:t xml:space="preserve">): </w:t>
      </w:r>
      <w:r w:rsidRPr="005C5C10">
        <w:rPr>
          <w:rFonts w:cs="Arial"/>
          <w:i/>
          <w:iCs/>
          <w:noProof/>
          <w:szCs w:val="20"/>
          <w:lang w:val="it-IT"/>
        </w:rPr>
        <w:t>Besedilno polje  [1 000]</w:t>
      </w:r>
    </w:p>
    <w:p w14:paraId="39B6ED10" w14:textId="77777777" w:rsidR="00DD4766" w:rsidRDefault="00DD4766" w:rsidP="00DD4766">
      <w:pPr>
        <w:pBdr>
          <w:top w:val="single" w:sz="4" w:space="1" w:color="auto"/>
          <w:left w:val="single" w:sz="4" w:space="4" w:color="auto"/>
          <w:bottom w:val="single" w:sz="4" w:space="1" w:color="auto"/>
          <w:right w:val="single" w:sz="4" w:space="4" w:color="auto"/>
        </w:pBdr>
        <w:jc w:val="both"/>
        <w:rPr>
          <w:rFonts w:cs="Arial"/>
          <w:noProof/>
          <w:szCs w:val="20"/>
        </w:rPr>
      </w:pPr>
      <w:r>
        <w:rPr>
          <w:rFonts w:cs="Arial"/>
          <w:noProof/>
          <w:szCs w:val="20"/>
        </w:rPr>
        <w:t xml:space="preserve">V okviru te prednostne naloge se ukrepi izvajajo za potrebe </w:t>
      </w:r>
      <w:r w:rsidRPr="001209FD">
        <w:rPr>
          <w:rFonts w:cs="Arial"/>
          <w:noProof/>
          <w:szCs w:val="20"/>
        </w:rPr>
        <w:t>RS</w:t>
      </w:r>
      <w:r>
        <w:rPr>
          <w:rFonts w:cs="Arial"/>
          <w:noProof/>
          <w:szCs w:val="20"/>
        </w:rPr>
        <w:t xml:space="preserve"> v skladu z javnimi naročili. Upravičenec je Ministrstvo za kmetijstvo, gozdarstvo in prehrano. </w:t>
      </w:r>
      <w:r w:rsidRPr="001209FD">
        <w:rPr>
          <w:rFonts w:cs="Arial"/>
          <w:noProof/>
          <w:szCs w:val="20"/>
        </w:rPr>
        <w:t xml:space="preserve"> </w:t>
      </w:r>
    </w:p>
    <w:p w14:paraId="3A3FE400" w14:textId="00A0DCA2" w:rsidR="00DD4766" w:rsidRDefault="00DD4766" w:rsidP="00440DCC">
      <w:pPr>
        <w:framePr w:hSpace="141" w:wrap="around" w:vAnchor="text" w:hAnchor="margin" w:y="438"/>
      </w:pPr>
    </w:p>
    <w:p w14:paraId="4423CDA3" w14:textId="77777777" w:rsidR="00DD4766" w:rsidRPr="00440DCC" w:rsidRDefault="00DD4766" w:rsidP="00440DCC">
      <w:pPr>
        <w:framePr w:hSpace="141" w:wrap="around" w:vAnchor="text" w:hAnchor="margin" w:y="438"/>
        <w:sectPr w:rsidR="00DD4766" w:rsidRPr="00440DCC" w:rsidSect="001D56ED">
          <w:pgSz w:w="11900" w:h="16840" w:code="9"/>
          <w:pgMar w:top="1701" w:right="1701" w:bottom="1134" w:left="1701" w:header="964" w:footer="794" w:gutter="0"/>
          <w:cols w:space="708"/>
          <w:docGrid w:linePitch="272"/>
        </w:sectPr>
      </w:pPr>
    </w:p>
    <w:p w14:paraId="2B51C64F" w14:textId="6797F7B6" w:rsidR="00384655" w:rsidRPr="00C074FE" w:rsidRDefault="00C074FE" w:rsidP="00C074FE">
      <w:pPr>
        <w:keepNext/>
        <w:keepLines/>
        <w:spacing w:before="200"/>
        <w:outlineLvl w:val="3"/>
        <w:rPr>
          <w:rFonts w:asciiTheme="majorHAnsi" w:eastAsiaTheme="majorEastAsia" w:hAnsiTheme="majorHAnsi" w:cstheme="majorBidi"/>
          <w:b/>
          <w:bCs/>
          <w:i/>
          <w:iCs/>
          <w:color w:val="4F81BD" w:themeColor="accent1"/>
        </w:rPr>
      </w:pPr>
      <w:r w:rsidRPr="00C074FE">
        <w:rPr>
          <w:rFonts w:asciiTheme="majorHAnsi" w:eastAsiaTheme="majorEastAsia" w:hAnsiTheme="majorHAnsi" w:cstheme="majorBidi"/>
          <w:b/>
          <w:bCs/>
          <w:i/>
          <w:iCs/>
          <w:color w:val="4F81BD" w:themeColor="accent1"/>
        </w:rPr>
        <w:lastRenderedPageBreak/>
        <w:t>2.1.1.</w:t>
      </w:r>
      <w:r w:rsidR="00C30ED5">
        <w:rPr>
          <w:rFonts w:asciiTheme="majorHAnsi" w:eastAsiaTheme="majorEastAsia" w:hAnsiTheme="majorHAnsi" w:cstheme="majorBidi"/>
          <w:b/>
          <w:bCs/>
          <w:i/>
          <w:iCs/>
          <w:color w:val="4F81BD" w:themeColor="accent1"/>
        </w:rPr>
        <w:t>1.</w:t>
      </w:r>
      <w:r w:rsidRPr="00C074FE">
        <w:rPr>
          <w:rFonts w:asciiTheme="majorHAnsi" w:eastAsiaTheme="majorEastAsia" w:hAnsiTheme="majorHAnsi" w:cstheme="majorBidi"/>
          <w:b/>
          <w:bCs/>
          <w:i/>
          <w:iCs/>
          <w:color w:val="4F81BD" w:themeColor="accent1"/>
        </w:rPr>
        <w:t xml:space="preserve">2 Kazalniki </w:t>
      </w:r>
    </w:p>
    <w:p w14:paraId="2E86F4E1" w14:textId="43FDF5E4" w:rsidR="00384655" w:rsidRPr="00C074FE" w:rsidRDefault="00C074FE" w:rsidP="00854925">
      <w:pPr>
        <w:rPr>
          <w:rFonts w:cs="Arial"/>
          <w:i/>
          <w:iCs/>
          <w:szCs w:val="20"/>
        </w:rPr>
      </w:pPr>
      <w:r w:rsidRPr="00C074FE">
        <w:rPr>
          <w:rFonts w:cs="Arial"/>
          <w:i/>
          <w:iCs/>
          <w:szCs w:val="20"/>
        </w:rPr>
        <w:t xml:space="preserve">Sklic: člen </w:t>
      </w:r>
      <w:r w:rsidR="001B1F15">
        <w:rPr>
          <w:rFonts w:cs="Arial"/>
          <w:i/>
          <w:iCs/>
          <w:szCs w:val="20"/>
        </w:rPr>
        <w:t>22</w:t>
      </w:r>
      <w:r w:rsidRPr="00C074FE">
        <w:rPr>
          <w:rFonts w:cs="Arial"/>
          <w:i/>
          <w:iCs/>
          <w:szCs w:val="20"/>
        </w:rPr>
        <w:t>(3)(d)(ii)SSO</w:t>
      </w:r>
    </w:p>
    <w:tbl>
      <w:tblPr>
        <w:tblpPr w:leftFromText="141" w:rightFromText="141" w:vertAnchor="text" w:horzAnchor="margin" w:tblpY="438"/>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0"/>
        <w:gridCol w:w="4106"/>
        <w:gridCol w:w="994"/>
        <w:gridCol w:w="708"/>
        <w:gridCol w:w="1134"/>
        <w:gridCol w:w="991"/>
        <w:gridCol w:w="1134"/>
        <w:gridCol w:w="716"/>
      </w:tblGrid>
      <w:tr w:rsidR="00C074FE" w:rsidRPr="00C074FE" w14:paraId="3FF59C48" w14:textId="77777777" w:rsidTr="00E33056">
        <w:trPr>
          <w:trHeight w:val="425"/>
        </w:trPr>
        <w:tc>
          <w:tcPr>
            <w:tcW w:w="5000" w:type="pct"/>
            <w:gridSpan w:val="8"/>
          </w:tcPr>
          <w:p w14:paraId="45253882"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cs="Arial"/>
                <w:b/>
                <w:iCs/>
                <w:noProof/>
                <w:sz w:val="16"/>
                <w:szCs w:val="16"/>
                <w:lang w:val="en-GB" w:eastAsia="en-GB"/>
              </w:rPr>
              <w:t>Preglednica 2: Kazalniki učinka</w:t>
            </w:r>
          </w:p>
        </w:tc>
      </w:tr>
      <w:tr w:rsidR="00E33056" w:rsidRPr="00C074FE" w14:paraId="2C336FE2" w14:textId="77777777" w:rsidTr="00E33056">
        <w:trPr>
          <w:trHeight w:val="886"/>
        </w:trPr>
        <w:tc>
          <w:tcPr>
            <w:tcW w:w="1367" w:type="pct"/>
          </w:tcPr>
          <w:p w14:paraId="4C7953D1" w14:textId="77777777" w:rsidR="00C074FE" w:rsidRPr="00C074FE" w:rsidRDefault="00C074FE" w:rsidP="00C074FE">
            <w:pPr>
              <w:spacing w:before="120" w:after="120" w:line="360" w:lineRule="auto"/>
              <w:rPr>
                <w:rFonts w:eastAsiaTheme="minorHAnsi" w:cs="Arial"/>
                <w:b/>
                <w:noProof/>
                <w:sz w:val="16"/>
                <w:szCs w:val="16"/>
                <w:lang w:val="fr-FR"/>
              </w:rPr>
            </w:pPr>
            <w:r w:rsidRPr="00C074FE">
              <w:rPr>
                <w:rFonts w:eastAsiaTheme="minorHAnsi" w:cs="Arial"/>
                <w:b/>
                <w:noProof/>
                <w:sz w:val="16"/>
                <w:szCs w:val="16"/>
                <w:lang w:val="fr-FR"/>
              </w:rPr>
              <w:t xml:space="preserve">Prednostna naloga </w:t>
            </w:r>
          </w:p>
        </w:tc>
        <w:tc>
          <w:tcPr>
            <w:tcW w:w="1525" w:type="pct"/>
          </w:tcPr>
          <w:p w14:paraId="659154B6" w14:textId="77777777" w:rsidR="00C074FE" w:rsidRPr="00C074FE" w:rsidRDefault="00C074FE" w:rsidP="00C074FE">
            <w:pPr>
              <w:spacing w:before="120" w:after="120" w:line="360" w:lineRule="auto"/>
              <w:rPr>
                <w:rFonts w:eastAsiaTheme="minorHAnsi" w:cs="Arial"/>
                <w:b/>
                <w:noProof/>
                <w:sz w:val="16"/>
                <w:szCs w:val="16"/>
                <w:lang w:val="fr-FR"/>
              </w:rPr>
            </w:pPr>
            <w:r w:rsidRPr="00C074FE">
              <w:rPr>
                <w:rFonts w:eastAsiaTheme="minorHAnsi" w:cs="Arial"/>
                <w:b/>
                <w:noProof/>
                <w:sz w:val="16"/>
                <w:szCs w:val="16"/>
                <w:lang w:val="fr-FR"/>
              </w:rPr>
              <w:t xml:space="preserve">Posebni cilj ali področje podpore </w:t>
            </w:r>
          </w:p>
          <w:p w14:paraId="136BB784" w14:textId="77777777" w:rsidR="00C074FE" w:rsidRPr="00C074FE" w:rsidRDefault="00C074FE" w:rsidP="00C074FE">
            <w:pPr>
              <w:spacing w:before="120" w:after="120" w:line="360" w:lineRule="auto"/>
              <w:rPr>
                <w:rFonts w:eastAsiaTheme="minorHAnsi" w:cs="Arial"/>
                <w:b/>
                <w:noProof/>
                <w:sz w:val="16"/>
                <w:szCs w:val="16"/>
                <w:lang w:val="fr-FR"/>
              </w:rPr>
            </w:pPr>
          </w:p>
        </w:tc>
        <w:tc>
          <w:tcPr>
            <w:tcW w:w="369" w:type="pct"/>
          </w:tcPr>
          <w:p w14:paraId="266BFDEC"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eastAsiaTheme="minorHAnsi" w:cs="Arial"/>
                <w:b/>
                <w:noProof/>
                <w:sz w:val="16"/>
                <w:szCs w:val="16"/>
                <w:lang w:val="en-GB"/>
              </w:rPr>
              <w:t>Sklad</w:t>
            </w:r>
          </w:p>
        </w:tc>
        <w:tc>
          <w:tcPr>
            <w:tcW w:w="263" w:type="pct"/>
          </w:tcPr>
          <w:p w14:paraId="17F91EB4"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eastAsiaTheme="minorHAnsi" w:cs="Arial"/>
                <w:b/>
                <w:noProof/>
                <w:sz w:val="16"/>
                <w:szCs w:val="16"/>
                <w:lang w:val="en-GB"/>
              </w:rPr>
              <w:t>ID [5]</w:t>
            </w:r>
          </w:p>
          <w:p w14:paraId="4B1B9C4F" w14:textId="77777777" w:rsidR="00C074FE" w:rsidRPr="00C074FE" w:rsidRDefault="00C074FE" w:rsidP="00C074FE">
            <w:pPr>
              <w:spacing w:before="120" w:after="120" w:line="360" w:lineRule="auto"/>
              <w:rPr>
                <w:rFonts w:eastAsiaTheme="minorHAnsi" w:cs="Arial"/>
                <w:b/>
                <w:noProof/>
                <w:sz w:val="16"/>
                <w:szCs w:val="16"/>
                <w:lang w:val="en-GB"/>
              </w:rPr>
            </w:pPr>
          </w:p>
        </w:tc>
        <w:tc>
          <w:tcPr>
            <w:tcW w:w="421" w:type="pct"/>
            <w:shd w:val="clear" w:color="auto" w:fill="auto"/>
          </w:tcPr>
          <w:p w14:paraId="7D485006"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eastAsiaTheme="minorHAnsi" w:cs="Arial"/>
                <w:b/>
                <w:noProof/>
                <w:sz w:val="16"/>
                <w:szCs w:val="16"/>
                <w:lang w:val="en-GB"/>
              </w:rPr>
              <w:t xml:space="preserve">Kazalnik [255] </w:t>
            </w:r>
          </w:p>
        </w:tc>
        <w:tc>
          <w:tcPr>
            <w:tcW w:w="368" w:type="pct"/>
          </w:tcPr>
          <w:p w14:paraId="5A32E167" w14:textId="77777777" w:rsidR="00C074FE" w:rsidRPr="00C074FE" w:rsidRDefault="00C074FE" w:rsidP="00E33056">
            <w:pPr>
              <w:spacing w:before="120" w:after="120" w:line="360" w:lineRule="auto"/>
              <w:jc w:val="center"/>
              <w:rPr>
                <w:rFonts w:eastAsiaTheme="minorHAnsi" w:cs="Arial"/>
                <w:b/>
                <w:noProof/>
                <w:sz w:val="16"/>
                <w:szCs w:val="16"/>
                <w:lang w:val="en-GB"/>
              </w:rPr>
            </w:pPr>
            <w:r w:rsidRPr="00C074FE">
              <w:rPr>
                <w:rFonts w:eastAsiaTheme="minorHAnsi" w:cs="Arial"/>
                <w:b/>
                <w:noProof/>
                <w:sz w:val="16"/>
                <w:szCs w:val="16"/>
                <w:lang w:val="en-GB"/>
              </w:rPr>
              <w:t>Merska enota</w:t>
            </w:r>
          </w:p>
        </w:tc>
        <w:tc>
          <w:tcPr>
            <w:tcW w:w="421" w:type="pct"/>
            <w:shd w:val="clear" w:color="auto" w:fill="auto"/>
          </w:tcPr>
          <w:p w14:paraId="6CFE038F"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eastAsiaTheme="minorHAnsi" w:cs="Arial"/>
                <w:b/>
                <w:noProof/>
                <w:sz w:val="16"/>
                <w:szCs w:val="16"/>
                <w:lang w:val="en-GB"/>
              </w:rPr>
              <w:t>Mejnik (2024)</w:t>
            </w:r>
          </w:p>
          <w:p w14:paraId="67DB684D" w14:textId="77777777" w:rsidR="00C074FE" w:rsidRPr="00C074FE" w:rsidRDefault="00C074FE" w:rsidP="00C074FE">
            <w:pPr>
              <w:spacing w:before="120" w:after="120" w:line="360" w:lineRule="auto"/>
              <w:rPr>
                <w:rFonts w:eastAsiaTheme="minorHAnsi" w:cs="Arial"/>
                <w:b/>
                <w:noProof/>
                <w:sz w:val="16"/>
                <w:szCs w:val="16"/>
                <w:lang w:val="en-GB"/>
              </w:rPr>
            </w:pPr>
          </w:p>
        </w:tc>
        <w:tc>
          <w:tcPr>
            <w:tcW w:w="265" w:type="pct"/>
            <w:shd w:val="clear" w:color="auto" w:fill="auto"/>
          </w:tcPr>
          <w:p w14:paraId="673D4CC7"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eastAsiaTheme="minorHAnsi" w:cs="Arial"/>
                <w:b/>
                <w:noProof/>
                <w:sz w:val="16"/>
                <w:szCs w:val="16"/>
                <w:lang w:val="en-GB"/>
              </w:rPr>
              <w:t>Cilj</w:t>
            </w:r>
          </w:p>
          <w:p w14:paraId="35B76355" w14:textId="77777777" w:rsidR="00C074FE" w:rsidRPr="00C074FE" w:rsidRDefault="00C074FE" w:rsidP="00C074FE">
            <w:pPr>
              <w:spacing w:before="120" w:after="120" w:line="360" w:lineRule="auto"/>
              <w:rPr>
                <w:rFonts w:eastAsiaTheme="minorHAnsi" w:cs="Arial"/>
                <w:b/>
                <w:noProof/>
                <w:sz w:val="16"/>
                <w:szCs w:val="16"/>
                <w:lang w:val="en-GB"/>
              </w:rPr>
            </w:pPr>
            <w:r w:rsidRPr="00C074FE">
              <w:rPr>
                <w:rFonts w:eastAsiaTheme="minorHAnsi" w:cs="Arial"/>
                <w:b/>
                <w:noProof/>
                <w:sz w:val="16"/>
                <w:szCs w:val="16"/>
                <w:lang w:val="en-GB"/>
              </w:rPr>
              <w:t>(2029)</w:t>
            </w:r>
          </w:p>
          <w:p w14:paraId="576A8314" w14:textId="77777777" w:rsidR="00C074FE" w:rsidRPr="00C074FE" w:rsidRDefault="00C074FE" w:rsidP="00C074FE">
            <w:pPr>
              <w:spacing w:before="120" w:after="120" w:line="360" w:lineRule="auto"/>
              <w:rPr>
                <w:rFonts w:eastAsiaTheme="minorHAnsi" w:cs="Arial"/>
                <w:b/>
                <w:noProof/>
                <w:sz w:val="16"/>
                <w:szCs w:val="16"/>
                <w:lang w:val="en-GB"/>
              </w:rPr>
            </w:pPr>
          </w:p>
        </w:tc>
      </w:tr>
      <w:tr w:rsidR="00E33056" w:rsidRPr="00C074FE" w14:paraId="3F25E2AF" w14:textId="77777777" w:rsidTr="00E33056">
        <w:trPr>
          <w:trHeight w:val="340"/>
        </w:trPr>
        <w:tc>
          <w:tcPr>
            <w:tcW w:w="1367" w:type="pct"/>
            <w:vMerge w:val="restart"/>
          </w:tcPr>
          <w:p w14:paraId="4C57EDDE" w14:textId="77777777" w:rsidR="00E33056" w:rsidRPr="00C074FE" w:rsidRDefault="00E33056" w:rsidP="00C074FE">
            <w:pPr>
              <w:spacing w:before="120" w:after="120" w:line="360" w:lineRule="auto"/>
              <w:jc w:val="both"/>
              <w:rPr>
                <w:rFonts w:eastAsiaTheme="minorHAnsi" w:cs="Arial"/>
                <w:b/>
                <w:noProof/>
                <w:sz w:val="16"/>
                <w:szCs w:val="16"/>
              </w:rPr>
            </w:pPr>
            <w:r w:rsidRPr="00C074FE">
              <w:rPr>
                <w:rFonts w:eastAsiaTheme="minorHAnsi" w:cs="Arial"/>
                <w:b/>
                <w:noProof/>
                <w:color w:val="4F81BD" w:themeColor="accent1"/>
                <w:sz w:val="16"/>
                <w:szCs w:val="16"/>
              </w:rPr>
              <w:t>Spodbujanje trajnostnega ribištva in ohranjanje vodnih bioloških virov</w:t>
            </w:r>
            <w:r w:rsidRPr="00AC29EA" w:rsidDel="00726838">
              <w:rPr>
                <w:rFonts w:eastAsiaTheme="minorHAnsi" w:cs="Arial"/>
                <w:b/>
                <w:noProof/>
                <w:color w:val="4F81BD" w:themeColor="accent1"/>
                <w:sz w:val="16"/>
                <w:szCs w:val="16"/>
              </w:rPr>
              <w:t xml:space="preserve"> </w:t>
            </w:r>
          </w:p>
        </w:tc>
        <w:tc>
          <w:tcPr>
            <w:tcW w:w="1525" w:type="pct"/>
          </w:tcPr>
          <w:p w14:paraId="644D4366" w14:textId="7EC10B37" w:rsidR="00E33056" w:rsidRPr="00C074FE" w:rsidRDefault="00E33056" w:rsidP="00C074FE">
            <w:pPr>
              <w:spacing w:before="120" w:after="120" w:line="360" w:lineRule="auto"/>
              <w:rPr>
                <w:rFonts w:eastAsiaTheme="minorHAnsi" w:cs="Arial"/>
                <w:b/>
                <w:noProof/>
                <w:sz w:val="16"/>
                <w:szCs w:val="16"/>
              </w:rPr>
            </w:pPr>
            <w:r w:rsidRPr="00C074FE">
              <w:rPr>
                <w:rFonts w:eastAsiaTheme="minorHAnsi" w:cs="Arial"/>
                <w:sz w:val="16"/>
                <w:szCs w:val="16"/>
              </w:rPr>
              <w:t>Krepitev ekonomsko, socialno in okoljsko trajnostnih ribolovnih dejavnosti</w:t>
            </w:r>
          </w:p>
        </w:tc>
        <w:tc>
          <w:tcPr>
            <w:tcW w:w="369" w:type="pct"/>
          </w:tcPr>
          <w:p w14:paraId="031F9386" w14:textId="77777777" w:rsidR="00E33056" w:rsidRPr="00C074FE" w:rsidRDefault="00E33056" w:rsidP="00C074FE">
            <w:pPr>
              <w:spacing w:before="120" w:after="120" w:line="360" w:lineRule="auto"/>
              <w:rPr>
                <w:rFonts w:eastAsiaTheme="minorHAnsi" w:cs="Arial"/>
                <w:i/>
                <w:noProof/>
                <w:sz w:val="16"/>
                <w:szCs w:val="16"/>
              </w:rPr>
            </w:pPr>
            <w:r w:rsidRPr="00C074FE">
              <w:rPr>
                <w:rFonts w:eastAsiaTheme="minorHAnsi" w:cs="Arial"/>
                <w:i/>
                <w:noProof/>
                <w:sz w:val="16"/>
                <w:szCs w:val="16"/>
              </w:rPr>
              <w:t>ESPRA</w:t>
            </w:r>
          </w:p>
        </w:tc>
        <w:tc>
          <w:tcPr>
            <w:tcW w:w="263" w:type="pct"/>
          </w:tcPr>
          <w:p w14:paraId="6D6B2BA2" w14:textId="77777777" w:rsidR="00E33056" w:rsidRPr="00C074FE" w:rsidRDefault="00E33056" w:rsidP="00C074FE">
            <w:pPr>
              <w:spacing w:before="120" w:after="120" w:line="360" w:lineRule="auto"/>
              <w:rPr>
                <w:rFonts w:eastAsiaTheme="minorHAnsi" w:cs="Arial"/>
                <w:i/>
                <w:noProof/>
                <w:sz w:val="16"/>
                <w:szCs w:val="16"/>
              </w:rPr>
            </w:pPr>
            <w:r w:rsidRPr="00C074FE">
              <w:rPr>
                <w:rFonts w:eastAsiaTheme="minorHAnsi" w:cs="Arial"/>
                <w:i/>
                <w:noProof/>
                <w:sz w:val="16"/>
                <w:szCs w:val="16"/>
              </w:rPr>
              <w:t>/</w:t>
            </w:r>
          </w:p>
        </w:tc>
        <w:tc>
          <w:tcPr>
            <w:tcW w:w="421" w:type="pct"/>
            <w:shd w:val="clear" w:color="auto" w:fill="auto"/>
          </w:tcPr>
          <w:p w14:paraId="4375C949" w14:textId="77777777" w:rsidR="00E33056" w:rsidRPr="00C074FE" w:rsidRDefault="00E33056" w:rsidP="00C074FE">
            <w:pPr>
              <w:spacing w:before="120" w:after="120" w:line="360" w:lineRule="auto"/>
              <w:rPr>
                <w:rFonts w:eastAsiaTheme="minorHAnsi" w:cs="Arial"/>
                <w:noProof/>
                <w:sz w:val="16"/>
                <w:szCs w:val="16"/>
              </w:rPr>
            </w:pPr>
            <w:r w:rsidRPr="00C074FE">
              <w:rPr>
                <w:rFonts w:eastAsiaTheme="minorHAnsi" w:cs="Arial"/>
                <w:noProof/>
                <w:sz w:val="16"/>
                <w:szCs w:val="16"/>
              </w:rPr>
              <w:t>Število operacij</w:t>
            </w:r>
          </w:p>
        </w:tc>
        <w:tc>
          <w:tcPr>
            <w:tcW w:w="368" w:type="pct"/>
          </w:tcPr>
          <w:p w14:paraId="18B7C16D" w14:textId="6BC3FCDD" w:rsidR="00E33056" w:rsidRPr="00C074FE" w:rsidRDefault="00E33056" w:rsidP="00E33056">
            <w:pPr>
              <w:spacing w:before="120" w:after="120" w:line="360" w:lineRule="auto"/>
              <w:rPr>
                <w:rFonts w:eastAsiaTheme="minorHAnsi" w:cs="Arial"/>
                <w:noProof/>
                <w:sz w:val="16"/>
                <w:szCs w:val="16"/>
              </w:rPr>
            </w:pPr>
            <w:r w:rsidRPr="00C074FE">
              <w:rPr>
                <w:rFonts w:eastAsiaTheme="minorHAnsi" w:cs="Arial"/>
                <w:noProof/>
                <w:sz w:val="16"/>
                <w:szCs w:val="16"/>
              </w:rPr>
              <w:t>Število</w:t>
            </w:r>
          </w:p>
        </w:tc>
        <w:tc>
          <w:tcPr>
            <w:tcW w:w="421" w:type="pct"/>
            <w:shd w:val="clear" w:color="auto" w:fill="auto"/>
          </w:tcPr>
          <w:p w14:paraId="5C842626" w14:textId="393E474B" w:rsidR="00E33056" w:rsidRPr="00C074FE" w:rsidRDefault="00E8544E" w:rsidP="00C074FE">
            <w:pPr>
              <w:spacing w:before="120" w:after="120" w:line="360" w:lineRule="auto"/>
              <w:rPr>
                <w:rFonts w:eastAsiaTheme="minorHAnsi" w:cs="Arial"/>
                <w:noProof/>
                <w:sz w:val="16"/>
                <w:szCs w:val="16"/>
              </w:rPr>
            </w:pPr>
            <w:r>
              <w:rPr>
                <w:rFonts w:eastAsiaTheme="minorHAnsi" w:cs="Arial"/>
                <w:noProof/>
                <w:sz w:val="16"/>
                <w:szCs w:val="16"/>
              </w:rPr>
              <w:t>2</w:t>
            </w:r>
          </w:p>
        </w:tc>
        <w:tc>
          <w:tcPr>
            <w:tcW w:w="265" w:type="pct"/>
            <w:shd w:val="clear" w:color="auto" w:fill="auto"/>
          </w:tcPr>
          <w:p w14:paraId="54B85872" w14:textId="00CF1362" w:rsidR="00384655" w:rsidRPr="00C074FE" w:rsidRDefault="00384655" w:rsidP="00C074FE">
            <w:pPr>
              <w:spacing w:before="120" w:after="120" w:line="360" w:lineRule="auto"/>
              <w:rPr>
                <w:rFonts w:eastAsiaTheme="minorHAnsi" w:cs="Arial"/>
                <w:noProof/>
                <w:sz w:val="16"/>
                <w:szCs w:val="16"/>
              </w:rPr>
            </w:pPr>
            <w:r>
              <w:rPr>
                <w:rFonts w:eastAsiaTheme="minorHAnsi" w:cs="Arial"/>
                <w:noProof/>
                <w:sz w:val="16"/>
                <w:szCs w:val="16"/>
              </w:rPr>
              <w:t>21</w:t>
            </w:r>
          </w:p>
        </w:tc>
      </w:tr>
      <w:tr w:rsidR="00384655" w:rsidRPr="00C074FE" w14:paraId="0B127B29" w14:textId="77777777" w:rsidTr="00E33056">
        <w:trPr>
          <w:trHeight w:val="1455"/>
        </w:trPr>
        <w:tc>
          <w:tcPr>
            <w:tcW w:w="1367" w:type="pct"/>
            <w:vMerge/>
          </w:tcPr>
          <w:p w14:paraId="5D18BE08" w14:textId="77777777" w:rsidR="00384655" w:rsidRPr="00C074FE" w:rsidRDefault="00384655" w:rsidP="00C074FE">
            <w:pPr>
              <w:spacing w:before="120" w:after="120" w:line="360" w:lineRule="auto"/>
              <w:rPr>
                <w:rFonts w:eastAsiaTheme="minorHAnsi" w:cs="Arial"/>
                <w:b/>
                <w:noProof/>
                <w:sz w:val="16"/>
                <w:szCs w:val="16"/>
              </w:rPr>
            </w:pPr>
          </w:p>
        </w:tc>
        <w:tc>
          <w:tcPr>
            <w:tcW w:w="1525" w:type="pct"/>
          </w:tcPr>
          <w:p w14:paraId="193F2242" w14:textId="4D5924F1" w:rsidR="00384655" w:rsidRPr="00C074FE" w:rsidRDefault="00384655" w:rsidP="00C074FE">
            <w:pPr>
              <w:spacing w:before="120" w:after="120" w:line="360" w:lineRule="auto"/>
              <w:rPr>
                <w:rFonts w:eastAsiaTheme="minorHAnsi" w:cs="Arial"/>
                <w:sz w:val="16"/>
                <w:szCs w:val="16"/>
              </w:rPr>
            </w:pPr>
            <w:r w:rsidRPr="00384655">
              <w:rPr>
                <w:rFonts w:eastAsiaTheme="minorHAnsi" w:cs="Arial"/>
                <w:sz w:val="16"/>
                <w:szCs w:val="16"/>
              </w:rPr>
              <w:t xml:space="preserve">Povečanje energetske učinkovitosti in </w:t>
            </w:r>
            <w:r w:rsidR="00A64A05" w:rsidRPr="00384655">
              <w:rPr>
                <w:rFonts w:eastAsiaTheme="minorHAnsi" w:cs="Arial"/>
                <w:sz w:val="16"/>
                <w:szCs w:val="16"/>
              </w:rPr>
              <w:t>zmanjšanje</w:t>
            </w:r>
            <w:r w:rsidRPr="00384655">
              <w:rPr>
                <w:rFonts w:eastAsiaTheme="minorHAnsi" w:cs="Arial"/>
                <w:sz w:val="16"/>
                <w:szCs w:val="16"/>
              </w:rPr>
              <w:t xml:space="preserve"> misij C02 z zamenjavo ali posodobitvijo motorjev ribiških plovil</w:t>
            </w:r>
          </w:p>
        </w:tc>
        <w:tc>
          <w:tcPr>
            <w:tcW w:w="369" w:type="pct"/>
          </w:tcPr>
          <w:p w14:paraId="2612004A" w14:textId="2C1EE336" w:rsidR="00384655" w:rsidRPr="00C074FE" w:rsidRDefault="00384655" w:rsidP="00C074FE">
            <w:pPr>
              <w:spacing w:before="120" w:after="120" w:line="360" w:lineRule="auto"/>
              <w:rPr>
                <w:rFonts w:eastAsiaTheme="minorHAnsi" w:cs="Arial"/>
                <w:i/>
                <w:noProof/>
                <w:sz w:val="16"/>
                <w:szCs w:val="16"/>
              </w:rPr>
            </w:pPr>
            <w:r>
              <w:rPr>
                <w:rFonts w:eastAsiaTheme="minorHAnsi" w:cs="Arial"/>
                <w:i/>
                <w:noProof/>
                <w:sz w:val="16"/>
                <w:szCs w:val="16"/>
              </w:rPr>
              <w:t>ESPRA</w:t>
            </w:r>
          </w:p>
        </w:tc>
        <w:tc>
          <w:tcPr>
            <w:tcW w:w="263" w:type="pct"/>
          </w:tcPr>
          <w:p w14:paraId="1BA1E735" w14:textId="318CEFE6" w:rsidR="00384655" w:rsidRPr="00C074FE" w:rsidRDefault="00384655" w:rsidP="00C074FE">
            <w:pPr>
              <w:spacing w:before="120" w:after="120" w:line="360" w:lineRule="auto"/>
              <w:rPr>
                <w:rFonts w:eastAsiaTheme="minorHAnsi" w:cs="Arial"/>
                <w:i/>
                <w:noProof/>
                <w:sz w:val="16"/>
                <w:szCs w:val="16"/>
              </w:rPr>
            </w:pPr>
            <w:r>
              <w:rPr>
                <w:rFonts w:eastAsiaTheme="minorHAnsi" w:cs="Arial"/>
                <w:i/>
                <w:noProof/>
                <w:sz w:val="16"/>
                <w:szCs w:val="16"/>
              </w:rPr>
              <w:t>/</w:t>
            </w:r>
          </w:p>
        </w:tc>
        <w:tc>
          <w:tcPr>
            <w:tcW w:w="421" w:type="pct"/>
            <w:shd w:val="clear" w:color="auto" w:fill="auto"/>
          </w:tcPr>
          <w:p w14:paraId="2D2FAB4E" w14:textId="351AF96B" w:rsidR="00384655" w:rsidRPr="00C074FE" w:rsidRDefault="00384655" w:rsidP="00C074FE">
            <w:pPr>
              <w:spacing w:before="120" w:after="120" w:line="360" w:lineRule="auto"/>
              <w:rPr>
                <w:rFonts w:eastAsiaTheme="minorHAnsi" w:cs="Arial"/>
                <w:noProof/>
                <w:sz w:val="16"/>
                <w:szCs w:val="16"/>
              </w:rPr>
            </w:pPr>
            <w:r>
              <w:rPr>
                <w:rFonts w:eastAsiaTheme="minorHAnsi" w:cs="Arial"/>
                <w:noProof/>
                <w:sz w:val="16"/>
                <w:szCs w:val="16"/>
              </w:rPr>
              <w:t>Število operacij</w:t>
            </w:r>
          </w:p>
        </w:tc>
        <w:tc>
          <w:tcPr>
            <w:tcW w:w="368" w:type="pct"/>
          </w:tcPr>
          <w:p w14:paraId="18CB9B04" w14:textId="55469FC0" w:rsidR="00384655" w:rsidRPr="00C074FE" w:rsidRDefault="00384655" w:rsidP="00E33056">
            <w:pPr>
              <w:spacing w:before="120" w:after="120" w:line="360" w:lineRule="auto"/>
              <w:rPr>
                <w:rFonts w:eastAsiaTheme="minorHAnsi" w:cs="Arial"/>
                <w:noProof/>
                <w:sz w:val="16"/>
                <w:szCs w:val="16"/>
              </w:rPr>
            </w:pPr>
            <w:r>
              <w:rPr>
                <w:rFonts w:eastAsiaTheme="minorHAnsi" w:cs="Arial"/>
                <w:noProof/>
                <w:sz w:val="16"/>
                <w:szCs w:val="16"/>
              </w:rPr>
              <w:t>Število</w:t>
            </w:r>
          </w:p>
        </w:tc>
        <w:tc>
          <w:tcPr>
            <w:tcW w:w="421" w:type="pct"/>
            <w:shd w:val="clear" w:color="auto" w:fill="auto"/>
          </w:tcPr>
          <w:p w14:paraId="5606AD76" w14:textId="639D2556" w:rsidR="00384655" w:rsidRDefault="00384655" w:rsidP="00C074FE">
            <w:pPr>
              <w:spacing w:before="120" w:after="120" w:line="360" w:lineRule="auto"/>
              <w:rPr>
                <w:rFonts w:eastAsiaTheme="minorHAnsi" w:cs="Arial"/>
                <w:noProof/>
                <w:sz w:val="16"/>
                <w:szCs w:val="16"/>
              </w:rPr>
            </w:pPr>
            <w:r>
              <w:rPr>
                <w:rFonts w:eastAsiaTheme="minorHAnsi" w:cs="Arial"/>
                <w:noProof/>
                <w:sz w:val="16"/>
                <w:szCs w:val="16"/>
              </w:rPr>
              <w:t>0</w:t>
            </w:r>
          </w:p>
        </w:tc>
        <w:tc>
          <w:tcPr>
            <w:tcW w:w="265" w:type="pct"/>
            <w:shd w:val="clear" w:color="auto" w:fill="auto"/>
          </w:tcPr>
          <w:p w14:paraId="59396CDF" w14:textId="6844DABF" w:rsidR="00384655" w:rsidRDefault="00384655" w:rsidP="00C074FE">
            <w:pPr>
              <w:spacing w:before="120" w:after="120" w:line="360" w:lineRule="auto"/>
              <w:rPr>
                <w:rFonts w:eastAsiaTheme="minorHAnsi" w:cs="Arial"/>
                <w:noProof/>
                <w:sz w:val="16"/>
                <w:szCs w:val="16"/>
              </w:rPr>
            </w:pPr>
            <w:r>
              <w:rPr>
                <w:rFonts w:eastAsiaTheme="minorHAnsi" w:cs="Arial"/>
                <w:noProof/>
                <w:sz w:val="16"/>
                <w:szCs w:val="16"/>
              </w:rPr>
              <w:t>4</w:t>
            </w:r>
          </w:p>
        </w:tc>
      </w:tr>
      <w:tr w:rsidR="00E33056" w:rsidRPr="00C074FE" w14:paraId="43AC15EC" w14:textId="77777777" w:rsidTr="00E33056">
        <w:trPr>
          <w:trHeight w:val="1455"/>
        </w:trPr>
        <w:tc>
          <w:tcPr>
            <w:tcW w:w="1367" w:type="pct"/>
            <w:vMerge/>
          </w:tcPr>
          <w:p w14:paraId="34641104" w14:textId="77777777" w:rsidR="00E33056" w:rsidRPr="00C074FE" w:rsidRDefault="00E33056" w:rsidP="00C074FE">
            <w:pPr>
              <w:spacing w:before="120" w:after="120" w:line="360" w:lineRule="auto"/>
              <w:rPr>
                <w:rFonts w:eastAsiaTheme="minorHAnsi" w:cs="Arial"/>
                <w:b/>
                <w:noProof/>
                <w:sz w:val="16"/>
                <w:szCs w:val="16"/>
              </w:rPr>
            </w:pPr>
          </w:p>
        </w:tc>
        <w:tc>
          <w:tcPr>
            <w:tcW w:w="1525" w:type="pct"/>
          </w:tcPr>
          <w:p w14:paraId="7DED9520" w14:textId="77777777" w:rsidR="00E33056" w:rsidRPr="00C074FE" w:rsidRDefault="00E33056" w:rsidP="00C074FE">
            <w:pPr>
              <w:spacing w:before="120" w:after="120" w:line="360" w:lineRule="auto"/>
              <w:rPr>
                <w:rFonts w:eastAsiaTheme="minorHAnsi" w:cs="Arial"/>
                <w:sz w:val="16"/>
                <w:szCs w:val="16"/>
              </w:rPr>
            </w:pPr>
            <w:r w:rsidRPr="00C074FE">
              <w:rPr>
                <w:rFonts w:eastAsiaTheme="minorHAnsi" w:cs="Arial"/>
                <w:sz w:val="16"/>
                <w:szCs w:val="16"/>
              </w:rPr>
              <w:t>Spodbujanje prilagajanja ribolovnih zmogljivosti ribolovnim možnostim v primerih trajnega prenehanje ribolovnih dejavnosti in prispevanje k primernemu življenjskemu standardu v primerih začasnega prenehanja ribolovnih dejavnosti</w:t>
            </w:r>
          </w:p>
        </w:tc>
        <w:tc>
          <w:tcPr>
            <w:tcW w:w="369" w:type="pct"/>
          </w:tcPr>
          <w:p w14:paraId="1E7EE231" w14:textId="77777777" w:rsidR="00E33056" w:rsidRPr="00C074FE" w:rsidRDefault="00E33056" w:rsidP="00C074FE">
            <w:pPr>
              <w:spacing w:before="120" w:after="120" w:line="360" w:lineRule="auto"/>
              <w:rPr>
                <w:rFonts w:eastAsiaTheme="minorHAnsi" w:cs="Arial"/>
                <w:i/>
                <w:noProof/>
                <w:sz w:val="16"/>
                <w:szCs w:val="16"/>
              </w:rPr>
            </w:pPr>
            <w:r w:rsidRPr="00C074FE">
              <w:rPr>
                <w:rFonts w:eastAsiaTheme="minorHAnsi" w:cs="Arial"/>
                <w:i/>
                <w:noProof/>
                <w:sz w:val="16"/>
                <w:szCs w:val="16"/>
              </w:rPr>
              <w:t>ESPRA</w:t>
            </w:r>
          </w:p>
        </w:tc>
        <w:tc>
          <w:tcPr>
            <w:tcW w:w="263" w:type="pct"/>
          </w:tcPr>
          <w:p w14:paraId="04B82521" w14:textId="77777777" w:rsidR="00E33056" w:rsidRPr="00C074FE" w:rsidRDefault="00E33056" w:rsidP="00C074FE">
            <w:pPr>
              <w:spacing w:before="120" w:after="120" w:line="360" w:lineRule="auto"/>
              <w:rPr>
                <w:rFonts w:eastAsiaTheme="minorHAnsi" w:cs="Arial"/>
                <w:i/>
                <w:noProof/>
                <w:sz w:val="16"/>
                <w:szCs w:val="16"/>
              </w:rPr>
            </w:pPr>
          </w:p>
        </w:tc>
        <w:tc>
          <w:tcPr>
            <w:tcW w:w="421" w:type="pct"/>
            <w:shd w:val="clear" w:color="auto" w:fill="auto"/>
          </w:tcPr>
          <w:p w14:paraId="277526BA" w14:textId="77777777" w:rsidR="00E33056" w:rsidRPr="00C074FE" w:rsidRDefault="00E33056" w:rsidP="00C074FE">
            <w:pPr>
              <w:spacing w:before="120" w:after="120" w:line="360" w:lineRule="auto"/>
              <w:rPr>
                <w:rFonts w:eastAsiaTheme="minorHAnsi" w:cs="Arial"/>
                <w:noProof/>
                <w:sz w:val="16"/>
                <w:szCs w:val="16"/>
              </w:rPr>
            </w:pPr>
            <w:r w:rsidRPr="00C074FE">
              <w:rPr>
                <w:rFonts w:eastAsiaTheme="minorHAnsi" w:cs="Arial"/>
                <w:noProof/>
                <w:sz w:val="16"/>
                <w:szCs w:val="16"/>
              </w:rPr>
              <w:t>Število operacij</w:t>
            </w:r>
          </w:p>
        </w:tc>
        <w:tc>
          <w:tcPr>
            <w:tcW w:w="368" w:type="pct"/>
          </w:tcPr>
          <w:p w14:paraId="545B68D6" w14:textId="58C8AB89" w:rsidR="00E33056" w:rsidRPr="00C074FE" w:rsidRDefault="00E33056" w:rsidP="00E33056">
            <w:pPr>
              <w:spacing w:before="120" w:after="120" w:line="360" w:lineRule="auto"/>
              <w:rPr>
                <w:rFonts w:eastAsiaTheme="minorHAnsi" w:cs="Arial"/>
                <w:noProof/>
                <w:sz w:val="16"/>
                <w:szCs w:val="16"/>
              </w:rPr>
            </w:pPr>
            <w:r w:rsidRPr="00C074FE">
              <w:rPr>
                <w:rFonts w:eastAsiaTheme="minorHAnsi" w:cs="Arial"/>
                <w:noProof/>
                <w:sz w:val="16"/>
                <w:szCs w:val="16"/>
              </w:rPr>
              <w:t>Število</w:t>
            </w:r>
          </w:p>
        </w:tc>
        <w:tc>
          <w:tcPr>
            <w:tcW w:w="421" w:type="pct"/>
            <w:shd w:val="clear" w:color="auto" w:fill="auto"/>
          </w:tcPr>
          <w:p w14:paraId="51D1CD95" w14:textId="23274B21" w:rsidR="00E33056" w:rsidRPr="00C074FE" w:rsidRDefault="009F50FA" w:rsidP="009F50FA">
            <w:pPr>
              <w:spacing w:before="120" w:after="120" w:line="360" w:lineRule="auto"/>
              <w:rPr>
                <w:rFonts w:eastAsiaTheme="minorHAnsi" w:cs="Arial"/>
                <w:noProof/>
                <w:sz w:val="16"/>
                <w:szCs w:val="16"/>
              </w:rPr>
            </w:pPr>
            <w:r>
              <w:rPr>
                <w:rFonts w:eastAsiaTheme="minorHAnsi" w:cs="Arial"/>
                <w:noProof/>
                <w:sz w:val="16"/>
                <w:szCs w:val="16"/>
              </w:rPr>
              <w:t>5</w:t>
            </w:r>
          </w:p>
        </w:tc>
        <w:tc>
          <w:tcPr>
            <w:tcW w:w="265" w:type="pct"/>
            <w:shd w:val="clear" w:color="auto" w:fill="auto"/>
          </w:tcPr>
          <w:p w14:paraId="78C89FEC" w14:textId="2224508D" w:rsidR="00E33056" w:rsidRPr="00C074FE" w:rsidRDefault="009F50FA" w:rsidP="00C074FE">
            <w:pPr>
              <w:spacing w:before="120" w:after="120" w:line="360" w:lineRule="auto"/>
              <w:rPr>
                <w:rFonts w:eastAsiaTheme="minorHAnsi" w:cs="Arial"/>
                <w:noProof/>
                <w:sz w:val="16"/>
                <w:szCs w:val="16"/>
              </w:rPr>
            </w:pPr>
            <w:r>
              <w:rPr>
                <w:rFonts w:eastAsiaTheme="minorHAnsi" w:cs="Arial"/>
                <w:noProof/>
                <w:sz w:val="16"/>
                <w:szCs w:val="16"/>
              </w:rPr>
              <w:t>30</w:t>
            </w:r>
          </w:p>
        </w:tc>
      </w:tr>
      <w:tr w:rsidR="00E33056" w:rsidRPr="00C074FE" w14:paraId="2C38C2E3" w14:textId="77777777" w:rsidTr="00E33056">
        <w:trPr>
          <w:trHeight w:val="1885"/>
        </w:trPr>
        <w:tc>
          <w:tcPr>
            <w:tcW w:w="1367" w:type="pct"/>
            <w:vMerge/>
          </w:tcPr>
          <w:p w14:paraId="3BD1DBDF" w14:textId="77777777" w:rsidR="00E33056" w:rsidRPr="00C074FE" w:rsidRDefault="00E33056" w:rsidP="00C074FE">
            <w:pPr>
              <w:spacing w:before="120" w:after="120" w:line="360" w:lineRule="auto"/>
              <w:rPr>
                <w:rFonts w:eastAsiaTheme="minorHAnsi" w:cs="Arial"/>
                <w:b/>
                <w:noProof/>
                <w:sz w:val="16"/>
                <w:szCs w:val="16"/>
              </w:rPr>
            </w:pPr>
          </w:p>
        </w:tc>
        <w:tc>
          <w:tcPr>
            <w:tcW w:w="1525" w:type="pct"/>
          </w:tcPr>
          <w:p w14:paraId="7CECCB61" w14:textId="77777777" w:rsidR="00E33056" w:rsidRPr="00C074FE" w:rsidRDefault="00E33056" w:rsidP="00C074FE">
            <w:pPr>
              <w:spacing w:before="120" w:after="120" w:line="360" w:lineRule="auto"/>
              <w:rPr>
                <w:rFonts w:eastAsiaTheme="minorHAnsi" w:cs="Arial"/>
                <w:sz w:val="16"/>
                <w:szCs w:val="16"/>
              </w:rPr>
            </w:pPr>
            <w:r w:rsidRPr="00C074FE">
              <w:rPr>
                <w:rFonts w:eastAsiaTheme="minorHAnsi" w:cs="Arial"/>
                <w:sz w:val="16"/>
                <w:szCs w:val="16"/>
              </w:rPr>
              <w:t>Spodbujanje učinkovitega nadzora ribištva in izvrševanja zakonodaje ter pridobivanja zanesljivih podatkov za odločanje, ki bo temeljilo na znanju</w:t>
            </w:r>
          </w:p>
        </w:tc>
        <w:tc>
          <w:tcPr>
            <w:tcW w:w="369" w:type="pct"/>
          </w:tcPr>
          <w:p w14:paraId="2343527C" w14:textId="77777777" w:rsidR="00E33056" w:rsidRPr="00C074FE" w:rsidRDefault="00E33056" w:rsidP="00C074FE">
            <w:pPr>
              <w:spacing w:before="120" w:after="120" w:line="360" w:lineRule="auto"/>
              <w:rPr>
                <w:rFonts w:eastAsiaTheme="minorHAnsi" w:cs="Arial"/>
                <w:noProof/>
                <w:sz w:val="16"/>
                <w:szCs w:val="16"/>
              </w:rPr>
            </w:pPr>
            <w:r w:rsidRPr="00C074FE">
              <w:rPr>
                <w:rFonts w:eastAsiaTheme="minorHAnsi" w:cs="Arial"/>
                <w:noProof/>
                <w:sz w:val="16"/>
                <w:szCs w:val="16"/>
              </w:rPr>
              <w:t>ESPRA</w:t>
            </w:r>
          </w:p>
        </w:tc>
        <w:tc>
          <w:tcPr>
            <w:tcW w:w="263" w:type="pct"/>
          </w:tcPr>
          <w:p w14:paraId="68C01777" w14:textId="77777777" w:rsidR="00E33056" w:rsidRPr="00C074FE" w:rsidRDefault="00E33056" w:rsidP="00C074FE">
            <w:pPr>
              <w:spacing w:before="120" w:after="120" w:line="360" w:lineRule="auto"/>
              <w:rPr>
                <w:rFonts w:eastAsiaTheme="minorHAnsi" w:cs="Arial"/>
                <w:noProof/>
                <w:sz w:val="16"/>
                <w:szCs w:val="16"/>
              </w:rPr>
            </w:pPr>
          </w:p>
        </w:tc>
        <w:tc>
          <w:tcPr>
            <w:tcW w:w="421" w:type="pct"/>
            <w:shd w:val="clear" w:color="auto" w:fill="auto"/>
          </w:tcPr>
          <w:p w14:paraId="2C5127D1" w14:textId="77777777" w:rsidR="00E33056" w:rsidRPr="00C074FE" w:rsidRDefault="00E33056" w:rsidP="00C074FE">
            <w:pPr>
              <w:spacing w:before="120" w:after="120" w:line="360" w:lineRule="auto"/>
              <w:rPr>
                <w:rFonts w:eastAsiaTheme="minorHAnsi" w:cs="Arial"/>
                <w:noProof/>
                <w:sz w:val="16"/>
                <w:szCs w:val="16"/>
              </w:rPr>
            </w:pPr>
            <w:r w:rsidRPr="00C074FE">
              <w:rPr>
                <w:rFonts w:eastAsiaTheme="minorHAnsi" w:cs="Arial"/>
                <w:noProof/>
                <w:sz w:val="16"/>
                <w:szCs w:val="16"/>
              </w:rPr>
              <w:t>Število operacij</w:t>
            </w:r>
          </w:p>
        </w:tc>
        <w:tc>
          <w:tcPr>
            <w:tcW w:w="368" w:type="pct"/>
          </w:tcPr>
          <w:p w14:paraId="407152DE" w14:textId="25698D59" w:rsidR="00E33056" w:rsidRPr="00C074FE" w:rsidRDefault="00E33056" w:rsidP="00E33056">
            <w:pPr>
              <w:spacing w:before="120" w:after="120" w:line="360" w:lineRule="auto"/>
              <w:rPr>
                <w:rFonts w:eastAsiaTheme="minorHAnsi" w:cs="Arial"/>
                <w:noProof/>
                <w:sz w:val="16"/>
                <w:szCs w:val="16"/>
              </w:rPr>
            </w:pPr>
            <w:r w:rsidRPr="00C074FE">
              <w:rPr>
                <w:rFonts w:eastAsiaTheme="minorHAnsi" w:cs="Arial"/>
                <w:noProof/>
                <w:sz w:val="16"/>
                <w:szCs w:val="16"/>
              </w:rPr>
              <w:t>Število</w:t>
            </w:r>
          </w:p>
        </w:tc>
        <w:tc>
          <w:tcPr>
            <w:tcW w:w="421" w:type="pct"/>
            <w:shd w:val="clear" w:color="auto" w:fill="auto"/>
          </w:tcPr>
          <w:p w14:paraId="5684F599" w14:textId="6632ED03" w:rsidR="00E33056" w:rsidRPr="00C074FE" w:rsidRDefault="009F50FA" w:rsidP="00C074FE">
            <w:pPr>
              <w:spacing w:before="120" w:after="120" w:line="360" w:lineRule="auto"/>
              <w:rPr>
                <w:rFonts w:eastAsiaTheme="minorHAnsi" w:cs="Arial"/>
                <w:noProof/>
                <w:sz w:val="16"/>
                <w:szCs w:val="16"/>
              </w:rPr>
            </w:pPr>
            <w:r>
              <w:rPr>
                <w:rFonts w:eastAsiaTheme="minorHAnsi" w:cs="Arial"/>
                <w:noProof/>
                <w:sz w:val="16"/>
                <w:szCs w:val="16"/>
              </w:rPr>
              <w:t>9</w:t>
            </w:r>
          </w:p>
        </w:tc>
        <w:tc>
          <w:tcPr>
            <w:tcW w:w="265" w:type="pct"/>
            <w:shd w:val="clear" w:color="auto" w:fill="auto"/>
          </w:tcPr>
          <w:p w14:paraId="45CEDE73" w14:textId="4ABB8A58" w:rsidR="00E33056" w:rsidRPr="00C074FE" w:rsidRDefault="009F50FA" w:rsidP="00C074FE">
            <w:pPr>
              <w:spacing w:before="120" w:after="120" w:line="360" w:lineRule="auto"/>
              <w:rPr>
                <w:rFonts w:eastAsiaTheme="minorHAnsi" w:cs="Arial"/>
                <w:noProof/>
                <w:sz w:val="16"/>
                <w:szCs w:val="16"/>
              </w:rPr>
            </w:pPr>
            <w:r>
              <w:rPr>
                <w:rFonts w:eastAsiaTheme="minorHAnsi" w:cs="Arial"/>
                <w:noProof/>
                <w:sz w:val="16"/>
                <w:szCs w:val="16"/>
              </w:rPr>
              <w:t>30</w:t>
            </w:r>
          </w:p>
        </w:tc>
      </w:tr>
      <w:tr w:rsidR="00E33056" w:rsidRPr="00AC468C" w14:paraId="09B38FAF" w14:textId="77777777" w:rsidTr="00E33056">
        <w:trPr>
          <w:trHeight w:val="54"/>
        </w:trPr>
        <w:tc>
          <w:tcPr>
            <w:tcW w:w="1367" w:type="pct"/>
          </w:tcPr>
          <w:p w14:paraId="18994187" w14:textId="77777777" w:rsidR="00C074FE" w:rsidRPr="00C074FE" w:rsidRDefault="00C074FE" w:rsidP="00C074FE">
            <w:pPr>
              <w:spacing w:before="120" w:after="120" w:line="360" w:lineRule="auto"/>
              <w:rPr>
                <w:rFonts w:eastAsiaTheme="minorHAnsi" w:cs="Arial"/>
                <w:b/>
                <w:noProof/>
                <w:sz w:val="16"/>
                <w:szCs w:val="16"/>
              </w:rPr>
            </w:pPr>
          </w:p>
        </w:tc>
        <w:tc>
          <w:tcPr>
            <w:tcW w:w="1525" w:type="pct"/>
          </w:tcPr>
          <w:p w14:paraId="4A73A153" w14:textId="77777777" w:rsidR="00C074FE" w:rsidRPr="00A64A05" w:rsidRDefault="00C074FE" w:rsidP="00C074FE">
            <w:pPr>
              <w:spacing w:before="120" w:after="120" w:line="360" w:lineRule="auto"/>
              <w:rPr>
                <w:rFonts w:eastAsiaTheme="minorHAnsi" w:cs="Arial"/>
                <w:sz w:val="16"/>
                <w:szCs w:val="16"/>
              </w:rPr>
            </w:pPr>
            <w:r w:rsidRPr="00A64A05">
              <w:rPr>
                <w:rFonts w:eastAsiaTheme="minorHAnsi" w:cs="Arial"/>
                <w:sz w:val="16"/>
                <w:szCs w:val="16"/>
              </w:rPr>
              <w:t>Prispevanje k varstvu in obnavljanju vodne biotske raznovrstnosti in ekosistemov</w:t>
            </w:r>
          </w:p>
        </w:tc>
        <w:tc>
          <w:tcPr>
            <w:tcW w:w="369" w:type="pct"/>
          </w:tcPr>
          <w:p w14:paraId="5100B95B" w14:textId="77777777" w:rsidR="00C074FE" w:rsidRPr="00A64A05" w:rsidRDefault="00C074FE" w:rsidP="00C074FE">
            <w:pPr>
              <w:spacing w:before="120" w:after="120" w:line="360" w:lineRule="auto"/>
              <w:rPr>
                <w:rFonts w:eastAsiaTheme="minorHAnsi" w:cs="Arial"/>
                <w:noProof/>
                <w:sz w:val="16"/>
                <w:szCs w:val="16"/>
              </w:rPr>
            </w:pPr>
            <w:r w:rsidRPr="00A64A05">
              <w:rPr>
                <w:rFonts w:eastAsiaTheme="minorHAnsi" w:cs="Arial"/>
                <w:noProof/>
                <w:sz w:val="16"/>
                <w:szCs w:val="16"/>
              </w:rPr>
              <w:t>ESPRA</w:t>
            </w:r>
          </w:p>
        </w:tc>
        <w:tc>
          <w:tcPr>
            <w:tcW w:w="263" w:type="pct"/>
          </w:tcPr>
          <w:p w14:paraId="23D3A77C" w14:textId="77777777" w:rsidR="00C074FE" w:rsidRPr="00A64A05" w:rsidRDefault="00C074FE" w:rsidP="00C074FE">
            <w:pPr>
              <w:spacing w:before="120" w:after="120" w:line="360" w:lineRule="auto"/>
              <w:rPr>
                <w:rFonts w:eastAsiaTheme="minorHAnsi" w:cs="Arial"/>
                <w:noProof/>
                <w:sz w:val="16"/>
                <w:szCs w:val="16"/>
              </w:rPr>
            </w:pPr>
          </w:p>
        </w:tc>
        <w:tc>
          <w:tcPr>
            <w:tcW w:w="421" w:type="pct"/>
            <w:shd w:val="clear" w:color="auto" w:fill="auto"/>
          </w:tcPr>
          <w:p w14:paraId="09CD0835" w14:textId="77777777" w:rsidR="00C074FE" w:rsidRPr="00A64A05" w:rsidRDefault="00C074FE" w:rsidP="00C074FE">
            <w:pPr>
              <w:spacing w:before="120" w:after="120" w:line="360" w:lineRule="auto"/>
              <w:rPr>
                <w:rFonts w:eastAsiaTheme="minorHAnsi" w:cs="Arial"/>
                <w:noProof/>
                <w:sz w:val="16"/>
                <w:szCs w:val="16"/>
              </w:rPr>
            </w:pPr>
            <w:r w:rsidRPr="00A64A05">
              <w:rPr>
                <w:rFonts w:eastAsiaTheme="minorHAnsi" w:cs="Arial"/>
                <w:noProof/>
                <w:sz w:val="16"/>
                <w:szCs w:val="16"/>
              </w:rPr>
              <w:t>Število operacij</w:t>
            </w:r>
          </w:p>
        </w:tc>
        <w:tc>
          <w:tcPr>
            <w:tcW w:w="368" w:type="pct"/>
          </w:tcPr>
          <w:p w14:paraId="19C089A9" w14:textId="77777777" w:rsidR="00C074FE" w:rsidRPr="00A64A05" w:rsidRDefault="00C074FE" w:rsidP="008E6BB7">
            <w:pPr>
              <w:spacing w:before="120" w:after="120" w:line="360" w:lineRule="auto"/>
              <w:rPr>
                <w:rFonts w:eastAsiaTheme="minorHAnsi" w:cs="Arial"/>
                <w:noProof/>
                <w:sz w:val="16"/>
                <w:szCs w:val="16"/>
              </w:rPr>
            </w:pPr>
            <w:r w:rsidRPr="00A64A05">
              <w:rPr>
                <w:rFonts w:eastAsiaTheme="minorHAnsi" w:cs="Arial"/>
                <w:noProof/>
                <w:sz w:val="16"/>
                <w:szCs w:val="16"/>
              </w:rPr>
              <w:t xml:space="preserve">Število </w:t>
            </w:r>
          </w:p>
        </w:tc>
        <w:tc>
          <w:tcPr>
            <w:tcW w:w="421" w:type="pct"/>
            <w:shd w:val="clear" w:color="auto" w:fill="auto"/>
          </w:tcPr>
          <w:p w14:paraId="3327252F" w14:textId="2541ECA7" w:rsidR="00C074FE" w:rsidRPr="00A64A05" w:rsidRDefault="0080481C" w:rsidP="00C074FE">
            <w:pPr>
              <w:spacing w:before="120" w:after="120" w:line="360" w:lineRule="auto"/>
              <w:rPr>
                <w:rFonts w:eastAsiaTheme="minorHAnsi" w:cs="Arial"/>
                <w:noProof/>
                <w:sz w:val="16"/>
                <w:szCs w:val="16"/>
              </w:rPr>
            </w:pPr>
            <w:r>
              <w:rPr>
                <w:rFonts w:eastAsiaTheme="minorHAnsi" w:cs="Arial"/>
                <w:noProof/>
                <w:sz w:val="16"/>
                <w:szCs w:val="16"/>
              </w:rPr>
              <w:t>0</w:t>
            </w:r>
          </w:p>
        </w:tc>
        <w:tc>
          <w:tcPr>
            <w:tcW w:w="265" w:type="pct"/>
            <w:shd w:val="clear" w:color="auto" w:fill="auto"/>
          </w:tcPr>
          <w:p w14:paraId="0CD2AFEB" w14:textId="6D20856D" w:rsidR="00C074FE" w:rsidRPr="00A64A05" w:rsidRDefault="000A46D5" w:rsidP="00C074FE">
            <w:pPr>
              <w:spacing w:before="120" w:after="120" w:line="360" w:lineRule="auto"/>
              <w:rPr>
                <w:rFonts w:eastAsiaTheme="minorHAnsi" w:cs="Arial"/>
                <w:noProof/>
                <w:sz w:val="16"/>
                <w:szCs w:val="16"/>
              </w:rPr>
            </w:pPr>
            <w:r w:rsidRPr="00A64A05">
              <w:rPr>
                <w:rFonts w:eastAsiaTheme="minorHAnsi" w:cs="Arial"/>
                <w:noProof/>
                <w:sz w:val="16"/>
                <w:szCs w:val="16"/>
              </w:rPr>
              <w:t>1</w:t>
            </w:r>
            <w:r w:rsidR="0080481C">
              <w:rPr>
                <w:rFonts w:eastAsiaTheme="minorHAnsi" w:cs="Arial"/>
                <w:noProof/>
                <w:sz w:val="16"/>
                <w:szCs w:val="16"/>
              </w:rPr>
              <w:t>3</w:t>
            </w:r>
          </w:p>
        </w:tc>
      </w:tr>
    </w:tbl>
    <w:p w14:paraId="489BE0B9" w14:textId="77777777" w:rsidR="00C074FE" w:rsidRPr="00C074FE" w:rsidRDefault="00C074FE" w:rsidP="00C074FE">
      <w:pPr>
        <w:rPr>
          <w:rFonts w:cs="Arial"/>
          <w:i/>
          <w:iCs/>
          <w:szCs w:val="20"/>
        </w:rPr>
      </w:pPr>
    </w:p>
    <w:p w14:paraId="5FF8B206" w14:textId="783818A3" w:rsidR="000A46D5" w:rsidRDefault="000A46D5">
      <w:pPr>
        <w:spacing w:after="200" w:line="276" w:lineRule="auto"/>
        <w:rPr>
          <w:rFonts w:cs="Arial"/>
          <w:szCs w:val="20"/>
        </w:rPr>
      </w:pPr>
      <w:r>
        <w:rPr>
          <w:rFonts w:cs="Arial"/>
          <w:szCs w:val="20"/>
        </w:rPr>
        <w:br w:type="page"/>
      </w:r>
    </w:p>
    <w:tbl>
      <w:tblPr>
        <w:tblpPr w:leftFromText="141" w:rightFromText="141" w:vertAnchor="text" w:horzAnchor="margin" w:tblpY="4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4134"/>
        <w:gridCol w:w="851"/>
        <w:gridCol w:w="708"/>
        <w:gridCol w:w="1419"/>
        <w:gridCol w:w="1276"/>
        <w:gridCol w:w="1136"/>
        <w:gridCol w:w="1523"/>
      </w:tblGrid>
      <w:tr w:rsidR="000A46D5" w:rsidRPr="000A46D5" w14:paraId="67870F66" w14:textId="77777777" w:rsidTr="00141029">
        <w:trPr>
          <w:trHeight w:val="425"/>
        </w:trPr>
        <w:tc>
          <w:tcPr>
            <w:tcW w:w="5000" w:type="pct"/>
            <w:gridSpan w:val="8"/>
          </w:tcPr>
          <w:p w14:paraId="0322C25D"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cs="Arial"/>
                <w:b/>
                <w:iCs/>
                <w:noProof/>
                <w:sz w:val="16"/>
                <w:szCs w:val="16"/>
                <w:lang w:val="en-GB" w:eastAsia="en-GB"/>
              </w:rPr>
              <w:lastRenderedPageBreak/>
              <w:t>Preglednica 2: Kazalniki učinka</w:t>
            </w:r>
          </w:p>
        </w:tc>
      </w:tr>
      <w:tr w:rsidR="00E33056" w:rsidRPr="000A46D5" w14:paraId="2DF5B857" w14:textId="77777777" w:rsidTr="00E33056">
        <w:trPr>
          <w:trHeight w:val="1647"/>
        </w:trPr>
        <w:tc>
          <w:tcPr>
            <w:tcW w:w="1053" w:type="pct"/>
          </w:tcPr>
          <w:p w14:paraId="43669CF0" w14:textId="77777777" w:rsidR="000A46D5" w:rsidRPr="000A46D5" w:rsidRDefault="000A46D5" w:rsidP="000A46D5">
            <w:pPr>
              <w:spacing w:before="120" w:after="120" w:line="360" w:lineRule="auto"/>
              <w:rPr>
                <w:rFonts w:eastAsiaTheme="minorHAnsi" w:cs="Arial"/>
                <w:b/>
                <w:noProof/>
                <w:sz w:val="16"/>
                <w:szCs w:val="16"/>
                <w:lang w:val="fr-FR"/>
              </w:rPr>
            </w:pPr>
            <w:r w:rsidRPr="000A46D5">
              <w:rPr>
                <w:rFonts w:eastAsiaTheme="minorHAnsi" w:cs="Arial"/>
                <w:b/>
                <w:noProof/>
                <w:sz w:val="16"/>
                <w:szCs w:val="16"/>
                <w:lang w:val="fr-FR"/>
              </w:rPr>
              <w:t xml:space="preserve">Prednostna naloga </w:t>
            </w:r>
          </w:p>
        </w:tc>
        <w:tc>
          <w:tcPr>
            <w:tcW w:w="1477" w:type="pct"/>
          </w:tcPr>
          <w:p w14:paraId="529F8EB5" w14:textId="77777777" w:rsidR="000A46D5" w:rsidRPr="000A46D5" w:rsidRDefault="000A46D5" w:rsidP="000A46D5">
            <w:pPr>
              <w:spacing w:before="120" w:after="120" w:line="360" w:lineRule="auto"/>
              <w:rPr>
                <w:rFonts w:eastAsiaTheme="minorHAnsi" w:cs="Arial"/>
                <w:b/>
                <w:noProof/>
                <w:sz w:val="16"/>
                <w:szCs w:val="16"/>
                <w:lang w:val="fr-FR"/>
              </w:rPr>
            </w:pPr>
            <w:r w:rsidRPr="000A46D5">
              <w:rPr>
                <w:rFonts w:eastAsiaTheme="minorHAnsi" w:cs="Arial"/>
                <w:b/>
                <w:noProof/>
                <w:sz w:val="16"/>
                <w:szCs w:val="16"/>
                <w:lang w:val="fr-FR"/>
              </w:rPr>
              <w:t xml:space="preserve">Posebni cilj ali področje podpore </w:t>
            </w:r>
          </w:p>
          <w:p w14:paraId="4E32A8B2" w14:textId="77777777" w:rsidR="000A46D5" w:rsidRPr="000A46D5" w:rsidRDefault="000A46D5" w:rsidP="000A46D5">
            <w:pPr>
              <w:spacing w:before="120" w:after="120" w:line="360" w:lineRule="auto"/>
              <w:rPr>
                <w:rFonts w:eastAsiaTheme="minorHAnsi" w:cs="Arial"/>
                <w:b/>
                <w:noProof/>
                <w:sz w:val="16"/>
                <w:szCs w:val="16"/>
                <w:lang w:val="fr-FR"/>
              </w:rPr>
            </w:pPr>
          </w:p>
        </w:tc>
        <w:tc>
          <w:tcPr>
            <w:tcW w:w="304" w:type="pct"/>
          </w:tcPr>
          <w:p w14:paraId="087E8092"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Sklad</w:t>
            </w:r>
          </w:p>
        </w:tc>
        <w:tc>
          <w:tcPr>
            <w:tcW w:w="253" w:type="pct"/>
          </w:tcPr>
          <w:p w14:paraId="78171496"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ID [5]</w:t>
            </w:r>
          </w:p>
          <w:p w14:paraId="287DBD7F" w14:textId="77777777" w:rsidR="000A46D5" w:rsidRPr="000A46D5" w:rsidRDefault="000A46D5" w:rsidP="000A46D5">
            <w:pPr>
              <w:spacing w:before="120" w:after="120" w:line="360" w:lineRule="auto"/>
              <w:rPr>
                <w:rFonts w:eastAsiaTheme="minorHAnsi" w:cs="Arial"/>
                <w:b/>
                <w:noProof/>
                <w:sz w:val="16"/>
                <w:szCs w:val="16"/>
                <w:lang w:val="en-GB"/>
              </w:rPr>
            </w:pPr>
          </w:p>
        </w:tc>
        <w:tc>
          <w:tcPr>
            <w:tcW w:w="507" w:type="pct"/>
            <w:shd w:val="clear" w:color="auto" w:fill="auto"/>
          </w:tcPr>
          <w:p w14:paraId="7ADB867A"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 xml:space="preserve">Kazalnik [255] </w:t>
            </w:r>
          </w:p>
        </w:tc>
        <w:tc>
          <w:tcPr>
            <w:tcW w:w="456" w:type="pct"/>
          </w:tcPr>
          <w:p w14:paraId="52C2F240"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Merska enota</w:t>
            </w:r>
          </w:p>
        </w:tc>
        <w:tc>
          <w:tcPr>
            <w:tcW w:w="406" w:type="pct"/>
            <w:shd w:val="clear" w:color="auto" w:fill="auto"/>
          </w:tcPr>
          <w:p w14:paraId="1BD46BE0"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Mejnik (2024)</w:t>
            </w:r>
          </w:p>
          <w:p w14:paraId="3F3B360F" w14:textId="77777777" w:rsidR="000A46D5" w:rsidRPr="000A46D5" w:rsidRDefault="000A46D5" w:rsidP="000A46D5">
            <w:pPr>
              <w:spacing w:before="120" w:after="120" w:line="360" w:lineRule="auto"/>
              <w:rPr>
                <w:rFonts w:eastAsiaTheme="minorHAnsi" w:cs="Arial"/>
                <w:b/>
                <w:noProof/>
                <w:sz w:val="16"/>
                <w:szCs w:val="16"/>
                <w:lang w:val="en-GB"/>
              </w:rPr>
            </w:pPr>
          </w:p>
        </w:tc>
        <w:tc>
          <w:tcPr>
            <w:tcW w:w="544" w:type="pct"/>
            <w:shd w:val="clear" w:color="auto" w:fill="auto"/>
          </w:tcPr>
          <w:p w14:paraId="5D95B471"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Cilj</w:t>
            </w:r>
          </w:p>
          <w:p w14:paraId="53382878" w14:textId="77777777" w:rsidR="000A46D5" w:rsidRPr="000A46D5" w:rsidRDefault="000A46D5" w:rsidP="000A46D5">
            <w:pPr>
              <w:spacing w:before="120" w:after="120" w:line="360" w:lineRule="auto"/>
              <w:rPr>
                <w:rFonts w:eastAsiaTheme="minorHAnsi" w:cs="Arial"/>
                <w:b/>
                <w:noProof/>
                <w:sz w:val="16"/>
                <w:szCs w:val="16"/>
                <w:lang w:val="en-GB"/>
              </w:rPr>
            </w:pPr>
            <w:r w:rsidRPr="000A46D5">
              <w:rPr>
                <w:rFonts w:eastAsiaTheme="minorHAnsi" w:cs="Arial"/>
                <w:b/>
                <w:noProof/>
                <w:sz w:val="16"/>
                <w:szCs w:val="16"/>
                <w:lang w:val="en-GB"/>
              </w:rPr>
              <w:t>(2029)</w:t>
            </w:r>
          </w:p>
          <w:p w14:paraId="2C756022" w14:textId="77777777" w:rsidR="000A46D5" w:rsidRPr="000A46D5" w:rsidRDefault="000A46D5" w:rsidP="000A46D5">
            <w:pPr>
              <w:spacing w:before="120" w:after="120" w:line="360" w:lineRule="auto"/>
              <w:rPr>
                <w:rFonts w:eastAsiaTheme="minorHAnsi" w:cs="Arial"/>
                <w:b/>
                <w:noProof/>
                <w:sz w:val="16"/>
                <w:szCs w:val="16"/>
                <w:lang w:val="en-GB"/>
              </w:rPr>
            </w:pPr>
          </w:p>
        </w:tc>
      </w:tr>
      <w:tr w:rsidR="00E33056" w:rsidRPr="000A46D5" w14:paraId="56977E95" w14:textId="77777777" w:rsidTr="00E33056">
        <w:trPr>
          <w:trHeight w:val="340"/>
        </w:trPr>
        <w:tc>
          <w:tcPr>
            <w:tcW w:w="1053" w:type="pct"/>
            <w:vMerge w:val="restart"/>
          </w:tcPr>
          <w:p w14:paraId="46ADC017" w14:textId="77777777" w:rsidR="000A46D5" w:rsidRPr="000A46D5" w:rsidRDefault="000A46D5" w:rsidP="000A46D5">
            <w:pPr>
              <w:spacing w:before="120" w:after="120" w:line="360" w:lineRule="auto"/>
              <w:jc w:val="both"/>
              <w:rPr>
                <w:rFonts w:eastAsiaTheme="minorHAnsi" w:cs="Arial"/>
                <w:b/>
                <w:noProof/>
                <w:sz w:val="16"/>
                <w:szCs w:val="16"/>
              </w:rPr>
            </w:pPr>
            <w:r w:rsidRPr="00AC29EA">
              <w:rPr>
                <w:rFonts w:eastAsiaTheme="minorHAnsi" w:cs="Arial"/>
                <w:b/>
                <w:noProof/>
                <w:color w:val="C0504D" w:themeColor="accent2"/>
                <w:sz w:val="16"/>
                <w:szCs w:val="16"/>
              </w:rPr>
              <w:t>S</w:t>
            </w:r>
            <w:r w:rsidRPr="000A46D5">
              <w:rPr>
                <w:rFonts w:eastAsiaTheme="minorHAnsi" w:cs="Arial"/>
                <w:b/>
                <w:noProof/>
                <w:color w:val="C0504D" w:themeColor="accent2"/>
                <w:sz w:val="16"/>
                <w:szCs w:val="16"/>
              </w:rPr>
              <w:t>podbujanje trajnostnih dejavnosti akvakulture ter predelave in trženja ribiških proizvodov in proizvodov iz akvakulture</w:t>
            </w:r>
          </w:p>
        </w:tc>
        <w:tc>
          <w:tcPr>
            <w:tcW w:w="1477" w:type="pct"/>
          </w:tcPr>
          <w:p w14:paraId="12AF0E12" w14:textId="236E2556" w:rsidR="000A46D5" w:rsidRPr="000A46D5" w:rsidRDefault="00052CE5" w:rsidP="000A46D5">
            <w:pPr>
              <w:spacing w:before="120" w:after="120" w:line="360" w:lineRule="auto"/>
              <w:rPr>
                <w:rFonts w:eastAsiaTheme="minorHAnsi" w:cs="Arial"/>
                <w:b/>
                <w:noProof/>
                <w:sz w:val="16"/>
                <w:szCs w:val="16"/>
              </w:rPr>
            </w:pPr>
            <w:r w:rsidRPr="00052CE5">
              <w:rPr>
                <w:rFonts w:eastAsiaTheme="minorHAnsi" w:cs="Arial"/>
                <w:b/>
                <w:noProof/>
                <w:sz w:val="16"/>
                <w:szCs w:val="16"/>
              </w:rPr>
              <w:t>Spodbujanje trajnostnih dejavnosti akvakulture in zlasti povečevanje konkurenčnosti akvakulturne proizvodnje, pri čemer se hkrati zagotavlja, da so dejavnosti akvakulture dolgoročno okoljsko trajnostne</w:t>
            </w:r>
          </w:p>
        </w:tc>
        <w:tc>
          <w:tcPr>
            <w:tcW w:w="304" w:type="pct"/>
          </w:tcPr>
          <w:p w14:paraId="60BB889A" w14:textId="77777777" w:rsidR="000A46D5" w:rsidRPr="000A46D5" w:rsidRDefault="000A46D5" w:rsidP="000A46D5">
            <w:pPr>
              <w:spacing w:before="120" w:after="120" w:line="360" w:lineRule="auto"/>
              <w:rPr>
                <w:rFonts w:eastAsiaTheme="minorHAnsi" w:cs="Arial"/>
                <w:noProof/>
                <w:sz w:val="16"/>
                <w:szCs w:val="16"/>
              </w:rPr>
            </w:pPr>
            <w:r w:rsidRPr="000A46D5">
              <w:rPr>
                <w:rFonts w:eastAsiaTheme="minorHAnsi" w:cs="Arial"/>
                <w:noProof/>
                <w:sz w:val="16"/>
                <w:szCs w:val="16"/>
              </w:rPr>
              <w:t>ESPRA</w:t>
            </w:r>
          </w:p>
        </w:tc>
        <w:tc>
          <w:tcPr>
            <w:tcW w:w="253" w:type="pct"/>
          </w:tcPr>
          <w:p w14:paraId="15746167" w14:textId="77777777" w:rsidR="000A46D5" w:rsidRPr="000A46D5" w:rsidRDefault="000A46D5" w:rsidP="000A46D5">
            <w:pPr>
              <w:spacing w:before="120" w:after="120" w:line="360" w:lineRule="auto"/>
              <w:rPr>
                <w:rFonts w:eastAsiaTheme="minorHAnsi" w:cs="Arial"/>
                <w:noProof/>
                <w:sz w:val="16"/>
                <w:szCs w:val="16"/>
              </w:rPr>
            </w:pPr>
            <w:r w:rsidRPr="000A46D5">
              <w:rPr>
                <w:rFonts w:eastAsiaTheme="minorHAnsi" w:cs="Arial"/>
                <w:noProof/>
                <w:sz w:val="16"/>
                <w:szCs w:val="16"/>
              </w:rPr>
              <w:t>/</w:t>
            </w:r>
          </w:p>
        </w:tc>
        <w:tc>
          <w:tcPr>
            <w:tcW w:w="507" w:type="pct"/>
            <w:shd w:val="clear" w:color="auto" w:fill="auto"/>
          </w:tcPr>
          <w:p w14:paraId="2CC95DA6" w14:textId="77777777" w:rsidR="000A46D5" w:rsidRPr="000A46D5" w:rsidRDefault="000A46D5" w:rsidP="000A46D5">
            <w:pPr>
              <w:spacing w:before="120" w:after="120" w:line="360" w:lineRule="auto"/>
              <w:rPr>
                <w:rFonts w:eastAsiaTheme="minorHAnsi" w:cs="Arial"/>
                <w:noProof/>
                <w:sz w:val="16"/>
                <w:szCs w:val="16"/>
              </w:rPr>
            </w:pPr>
            <w:r w:rsidRPr="000A46D5">
              <w:rPr>
                <w:rFonts w:eastAsiaTheme="minorHAnsi" w:cs="Arial"/>
                <w:noProof/>
                <w:sz w:val="16"/>
                <w:szCs w:val="16"/>
              </w:rPr>
              <w:t>Število operacij</w:t>
            </w:r>
          </w:p>
        </w:tc>
        <w:tc>
          <w:tcPr>
            <w:tcW w:w="456" w:type="pct"/>
          </w:tcPr>
          <w:p w14:paraId="441A69BE" w14:textId="77777777" w:rsidR="000A46D5" w:rsidRPr="000A46D5" w:rsidRDefault="000A46D5" w:rsidP="00E33056">
            <w:pPr>
              <w:spacing w:before="120" w:after="120" w:line="360" w:lineRule="auto"/>
              <w:rPr>
                <w:rFonts w:eastAsiaTheme="minorHAnsi" w:cs="Arial"/>
                <w:noProof/>
                <w:sz w:val="16"/>
                <w:szCs w:val="16"/>
              </w:rPr>
            </w:pPr>
            <w:r w:rsidRPr="000A46D5">
              <w:rPr>
                <w:rFonts w:eastAsiaTheme="minorHAnsi" w:cs="Arial"/>
                <w:noProof/>
                <w:sz w:val="16"/>
                <w:szCs w:val="16"/>
              </w:rPr>
              <w:t xml:space="preserve">Število </w:t>
            </w:r>
          </w:p>
        </w:tc>
        <w:tc>
          <w:tcPr>
            <w:tcW w:w="406" w:type="pct"/>
            <w:shd w:val="clear" w:color="auto" w:fill="auto"/>
          </w:tcPr>
          <w:p w14:paraId="44577FF4" w14:textId="636266EE" w:rsidR="000A46D5" w:rsidRPr="000A46D5" w:rsidRDefault="00052CE5" w:rsidP="000A46D5">
            <w:pPr>
              <w:spacing w:before="120" w:after="120" w:line="360" w:lineRule="auto"/>
              <w:rPr>
                <w:rFonts w:eastAsiaTheme="minorHAnsi" w:cs="Arial"/>
                <w:noProof/>
                <w:sz w:val="16"/>
                <w:szCs w:val="16"/>
              </w:rPr>
            </w:pPr>
            <w:r>
              <w:rPr>
                <w:rFonts w:eastAsiaTheme="minorHAnsi" w:cs="Arial"/>
                <w:noProof/>
                <w:sz w:val="16"/>
                <w:szCs w:val="16"/>
              </w:rPr>
              <w:t>8</w:t>
            </w:r>
          </w:p>
        </w:tc>
        <w:tc>
          <w:tcPr>
            <w:tcW w:w="544" w:type="pct"/>
            <w:shd w:val="clear" w:color="auto" w:fill="auto"/>
          </w:tcPr>
          <w:p w14:paraId="6BD49CFD" w14:textId="0E2B1D83" w:rsidR="000A46D5" w:rsidRPr="000A46D5" w:rsidRDefault="00052CE5" w:rsidP="000A46D5">
            <w:pPr>
              <w:spacing w:before="120" w:after="120" w:line="360" w:lineRule="auto"/>
              <w:rPr>
                <w:rFonts w:eastAsiaTheme="minorHAnsi" w:cs="Arial"/>
                <w:noProof/>
                <w:sz w:val="16"/>
                <w:szCs w:val="16"/>
              </w:rPr>
            </w:pPr>
            <w:r>
              <w:rPr>
                <w:rFonts w:eastAsiaTheme="minorHAnsi" w:cs="Arial"/>
                <w:noProof/>
                <w:sz w:val="16"/>
                <w:szCs w:val="16"/>
              </w:rPr>
              <w:t>54</w:t>
            </w:r>
          </w:p>
        </w:tc>
      </w:tr>
      <w:tr w:rsidR="00E33056" w:rsidRPr="000A46D5" w14:paraId="7BD573DF" w14:textId="77777777" w:rsidTr="00E33056">
        <w:trPr>
          <w:trHeight w:val="340"/>
        </w:trPr>
        <w:tc>
          <w:tcPr>
            <w:tcW w:w="1053" w:type="pct"/>
            <w:vMerge/>
          </w:tcPr>
          <w:p w14:paraId="0CE010E5" w14:textId="77777777" w:rsidR="000A46D5" w:rsidRPr="000A46D5" w:rsidRDefault="000A46D5" w:rsidP="000A46D5">
            <w:pPr>
              <w:spacing w:before="120" w:after="120" w:line="360" w:lineRule="auto"/>
              <w:rPr>
                <w:rFonts w:eastAsiaTheme="minorHAnsi" w:cs="Arial"/>
                <w:b/>
                <w:noProof/>
                <w:sz w:val="16"/>
                <w:szCs w:val="16"/>
              </w:rPr>
            </w:pPr>
          </w:p>
        </w:tc>
        <w:tc>
          <w:tcPr>
            <w:tcW w:w="1477" w:type="pct"/>
          </w:tcPr>
          <w:p w14:paraId="0AF4D0D9" w14:textId="0E00F0DA" w:rsidR="000A46D5" w:rsidRPr="000A46D5" w:rsidRDefault="009F5FCD" w:rsidP="000A46D5">
            <w:pPr>
              <w:spacing w:before="120" w:after="120" w:line="360" w:lineRule="auto"/>
              <w:rPr>
                <w:rFonts w:eastAsiaTheme="minorHAnsi" w:cs="Arial"/>
                <w:b/>
                <w:sz w:val="16"/>
                <w:szCs w:val="16"/>
              </w:rPr>
            </w:pPr>
            <w:r w:rsidRPr="009F5FCD">
              <w:rPr>
                <w:rFonts w:eastAsiaTheme="minorHAnsi" w:cs="Arial"/>
                <w:b/>
                <w:sz w:val="16"/>
                <w:szCs w:val="16"/>
              </w:rPr>
              <w:t>Spodbujanje trženja, kakovosti ter dodane vrednosti ribiških proizvodov in proizvodov iz akvakulture ter predelave teh proizvodov</w:t>
            </w:r>
          </w:p>
        </w:tc>
        <w:tc>
          <w:tcPr>
            <w:tcW w:w="304" w:type="pct"/>
          </w:tcPr>
          <w:p w14:paraId="6CFCDC63" w14:textId="77777777" w:rsidR="000A46D5" w:rsidRPr="000A46D5" w:rsidRDefault="000A46D5" w:rsidP="000A46D5">
            <w:pPr>
              <w:spacing w:before="120" w:after="120" w:line="360" w:lineRule="auto"/>
              <w:rPr>
                <w:rFonts w:eastAsiaTheme="minorHAnsi" w:cs="Arial"/>
                <w:noProof/>
                <w:sz w:val="16"/>
                <w:szCs w:val="16"/>
              </w:rPr>
            </w:pPr>
            <w:r w:rsidRPr="000A46D5">
              <w:rPr>
                <w:rFonts w:eastAsiaTheme="minorHAnsi" w:cs="Arial"/>
                <w:noProof/>
                <w:sz w:val="16"/>
                <w:szCs w:val="16"/>
              </w:rPr>
              <w:t>ESPRA</w:t>
            </w:r>
          </w:p>
        </w:tc>
        <w:tc>
          <w:tcPr>
            <w:tcW w:w="253" w:type="pct"/>
          </w:tcPr>
          <w:p w14:paraId="3B9FADB6" w14:textId="77777777" w:rsidR="000A46D5" w:rsidRPr="000A46D5" w:rsidRDefault="000A46D5" w:rsidP="000A46D5">
            <w:pPr>
              <w:spacing w:before="120" w:after="120" w:line="360" w:lineRule="auto"/>
              <w:rPr>
                <w:rFonts w:eastAsiaTheme="minorHAnsi" w:cs="Arial"/>
                <w:noProof/>
                <w:sz w:val="16"/>
                <w:szCs w:val="16"/>
              </w:rPr>
            </w:pPr>
            <w:r w:rsidRPr="000A46D5">
              <w:rPr>
                <w:rFonts w:eastAsiaTheme="minorHAnsi" w:cs="Arial"/>
                <w:noProof/>
                <w:sz w:val="16"/>
                <w:szCs w:val="16"/>
              </w:rPr>
              <w:t>/</w:t>
            </w:r>
          </w:p>
        </w:tc>
        <w:tc>
          <w:tcPr>
            <w:tcW w:w="507" w:type="pct"/>
            <w:shd w:val="clear" w:color="auto" w:fill="auto"/>
          </w:tcPr>
          <w:p w14:paraId="77D800BF" w14:textId="77777777" w:rsidR="000A46D5" w:rsidRPr="000A46D5" w:rsidRDefault="000A46D5" w:rsidP="000A46D5">
            <w:pPr>
              <w:spacing w:before="120" w:after="120" w:line="360" w:lineRule="auto"/>
              <w:rPr>
                <w:rFonts w:eastAsiaTheme="minorHAnsi" w:cs="Arial"/>
                <w:noProof/>
                <w:sz w:val="16"/>
                <w:szCs w:val="16"/>
              </w:rPr>
            </w:pPr>
            <w:r w:rsidRPr="000A46D5">
              <w:rPr>
                <w:rFonts w:eastAsiaTheme="minorHAnsi" w:cs="Arial"/>
                <w:noProof/>
                <w:sz w:val="16"/>
                <w:szCs w:val="16"/>
              </w:rPr>
              <w:t>Število operacij</w:t>
            </w:r>
          </w:p>
        </w:tc>
        <w:tc>
          <w:tcPr>
            <w:tcW w:w="456" w:type="pct"/>
          </w:tcPr>
          <w:p w14:paraId="34A1933A" w14:textId="77777777" w:rsidR="000A46D5" w:rsidRPr="000A46D5" w:rsidRDefault="000A46D5" w:rsidP="00E33056">
            <w:pPr>
              <w:spacing w:before="120" w:after="120" w:line="360" w:lineRule="auto"/>
              <w:rPr>
                <w:rFonts w:eastAsiaTheme="minorHAnsi" w:cs="Arial"/>
                <w:noProof/>
                <w:sz w:val="16"/>
                <w:szCs w:val="16"/>
              </w:rPr>
            </w:pPr>
            <w:r w:rsidRPr="000A46D5">
              <w:rPr>
                <w:rFonts w:eastAsiaTheme="minorHAnsi" w:cs="Arial"/>
                <w:noProof/>
                <w:sz w:val="16"/>
                <w:szCs w:val="16"/>
              </w:rPr>
              <w:t xml:space="preserve">Število </w:t>
            </w:r>
          </w:p>
        </w:tc>
        <w:tc>
          <w:tcPr>
            <w:tcW w:w="406" w:type="pct"/>
            <w:shd w:val="clear" w:color="auto" w:fill="auto"/>
          </w:tcPr>
          <w:p w14:paraId="3599EB04" w14:textId="4D6ED487" w:rsidR="000A46D5" w:rsidRPr="000A46D5" w:rsidRDefault="000A46D5" w:rsidP="000A46D5">
            <w:pPr>
              <w:spacing w:before="120" w:after="120" w:line="360" w:lineRule="auto"/>
              <w:rPr>
                <w:rFonts w:eastAsiaTheme="minorHAnsi" w:cs="Arial"/>
                <w:noProof/>
                <w:sz w:val="16"/>
                <w:szCs w:val="16"/>
              </w:rPr>
            </w:pPr>
            <w:r>
              <w:rPr>
                <w:rFonts w:eastAsiaTheme="minorHAnsi" w:cs="Arial"/>
                <w:noProof/>
                <w:sz w:val="16"/>
                <w:szCs w:val="16"/>
              </w:rPr>
              <w:t>3</w:t>
            </w:r>
          </w:p>
        </w:tc>
        <w:tc>
          <w:tcPr>
            <w:tcW w:w="544" w:type="pct"/>
            <w:shd w:val="clear" w:color="auto" w:fill="auto"/>
          </w:tcPr>
          <w:p w14:paraId="6CD9D536" w14:textId="13ABA0BC" w:rsidR="000A46D5" w:rsidRPr="000A46D5" w:rsidRDefault="009D42E6" w:rsidP="000A46D5">
            <w:pPr>
              <w:spacing w:before="120" w:after="120" w:line="360" w:lineRule="auto"/>
              <w:rPr>
                <w:rFonts w:eastAsiaTheme="minorHAnsi" w:cs="Arial"/>
                <w:noProof/>
                <w:sz w:val="16"/>
                <w:szCs w:val="16"/>
              </w:rPr>
            </w:pPr>
            <w:r>
              <w:rPr>
                <w:rFonts w:eastAsiaTheme="minorHAnsi" w:cs="Arial"/>
                <w:noProof/>
                <w:sz w:val="16"/>
                <w:szCs w:val="16"/>
              </w:rPr>
              <w:t>1</w:t>
            </w:r>
            <w:r w:rsidR="0080481C">
              <w:rPr>
                <w:rFonts w:eastAsiaTheme="minorHAnsi" w:cs="Arial"/>
                <w:noProof/>
                <w:sz w:val="16"/>
                <w:szCs w:val="16"/>
              </w:rPr>
              <w:t>5</w:t>
            </w:r>
          </w:p>
        </w:tc>
      </w:tr>
    </w:tbl>
    <w:p w14:paraId="5FE5EE85" w14:textId="7B64839A" w:rsidR="000A46D5" w:rsidRDefault="000A46D5">
      <w:pPr>
        <w:spacing w:after="200" w:line="276" w:lineRule="auto"/>
        <w:rPr>
          <w:rFonts w:cs="Arial"/>
          <w:szCs w:val="20"/>
        </w:rPr>
      </w:pPr>
      <w:r>
        <w:rPr>
          <w:rFonts w:cs="Arial"/>
          <w:szCs w:val="20"/>
        </w:rPr>
        <w:br w:type="page"/>
      </w:r>
    </w:p>
    <w:tbl>
      <w:tblPr>
        <w:tblpPr w:leftFromText="141" w:rightFromText="141" w:vertAnchor="text" w:horzAnchor="margin" w:tblpY="4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156"/>
        <w:gridCol w:w="1344"/>
        <w:gridCol w:w="3098"/>
        <w:gridCol w:w="1970"/>
        <w:gridCol w:w="1274"/>
        <w:gridCol w:w="1609"/>
      </w:tblGrid>
      <w:tr w:rsidR="00E33056" w:rsidRPr="00E33056" w14:paraId="66D2EB6E" w14:textId="77777777" w:rsidTr="00141029">
        <w:trPr>
          <w:trHeight w:val="425"/>
        </w:trPr>
        <w:tc>
          <w:tcPr>
            <w:tcW w:w="5000" w:type="pct"/>
            <w:gridSpan w:val="8"/>
          </w:tcPr>
          <w:p w14:paraId="5F875BA0"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cs="Arial"/>
                <w:b/>
                <w:iCs/>
                <w:noProof/>
                <w:sz w:val="16"/>
                <w:szCs w:val="16"/>
                <w:lang w:val="en-GB" w:eastAsia="en-GB"/>
              </w:rPr>
              <w:lastRenderedPageBreak/>
              <w:t>Preglednica 2: Kazalniki učinka</w:t>
            </w:r>
          </w:p>
        </w:tc>
      </w:tr>
      <w:tr w:rsidR="00E33056" w:rsidRPr="00E33056" w14:paraId="72735244" w14:textId="77777777" w:rsidTr="00141029">
        <w:trPr>
          <w:trHeight w:val="1647"/>
        </w:trPr>
        <w:tc>
          <w:tcPr>
            <w:tcW w:w="633" w:type="pct"/>
          </w:tcPr>
          <w:p w14:paraId="449EC0CA" w14:textId="77777777" w:rsidR="00E33056" w:rsidRPr="00E33056" w:rsidRDefault="00E33056" w:rsidP="00E33056">
            <w:pPr>
              <w:spacing w:before="120" w:after="120" w:line="360" w:lineRule="auto"/>
              <w:rPr>
                <w:rFonts w:eastAsiaTheme="minorHAnsi" w:cs="Arial"/>
                <w:b/>
                <w:noProof/>
                <w:sz w:val="16"/>
                <w:szCs w:val="16"/>
                <w:lang w:val="fr-FR"/>
              </w:rPr>
            </w:pPr>
            <w:r w:rsidRPr="00E33056">
              <w:rPr>
                <w:rFonts w:eastAsiaTheme="minorHAnsi" w:cs="Arial"/>
                <w:b/>
                <w:noProof/>
                <w:sz w:val="16"/>
                <w:szCs w:val="16"/>
                <w:lang w:val="fr-FR"/>
              </w:rPr>
              <w:t xml:space="preserve">Prednostna naloga </w:t>
            </w:r>
          </w:p>
        </w:tc>
        <w:tc>
          <w:tcPr>
            <w:tcW w:w="633" w:type="pct"/>
          </w:tcPr>
          <w:p w14:paraId="1956D974" w14:textId="77777777" w:rsidR="00E33056" w:rsidRPr="00E33056" w:rsidRDefault="00E33056" w:rsidP="00E33056">
            <w:pPr>
              <w:spacing w:before="120" w:after="120" w:line="360" w:lineRule="auto"/>
              <w:rPr>
                <w:rFonts w:eastAsiaTheme="minorHAnsi" w:cs="Arial"/>
                <w:b/>
                <w:noProof/>
                <w:sz w:val="16"/>
                <w:szCs w:val="16"/>
                <w:lang w:val="fr-FR"/>
              </w:rPr>
            </w:pPr>
            <w:r w:rsidRPr="00E33056">
              <w:rPr>
                <w:rFonts w:eastAsiaTheme="minorHAnsi" w:cs="Arial"/>
                <w:b/>
                <w:noProof/>
                <w:sz w:val="16"/>
                <w:szCs w:val="16"/>
                <w:lang w:val="fr-FR"/>
              </w:rPr>
              <w:t xml:space="preserve">Posebni cilj ali področje podpore </w:t>
            </w:r>
          </w:p>
          <w:p w14:paraId="33E10957" w14:textId="77777777" w:rsidR="00E33056" w:rsidRPr="00E33056" w:rsidRDefault="00E33056" w:rsidP="00E33056">
            <w:pPr>
              <w:spacing w:before="120" w:after="120" w:line="360" w:lineRule="auto"/>
              <w:rPr>
                <w:rFonts w:eastAsiaTheme="minorHAnsi" w:cs="Arial"/>
                <w:b/>
                <w:noProof/>
                <w:sz w:val="16"/>
                <w:szCs w:val="16"/>
                <w:lang w:val="fr-FR"/>
              </w:rPr>
            </w:pPr>
          </w:p>
        </w:tc>
        <w:tc>
          <w:tcPr>
            <w:tcW w:w="413" w:type="pct"/>
          </w:tcPr>
          <w:p w14:paraId="5B300C0C"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Sklad</w:t>
            </w:r>
          </w:p>
        </w:tc>
        <w:tc>
          <w:tcPr>
            <w:tcW w:w="480" w:type="pct"/>
          </w:tcPr>
          <w:p w14:paraId="5D4B0019"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ID [5]</w:t>
            </w:r>
          </w:p>
          <w:p w14:paraId="214FB3D3" w14:textId="77777777" w:rsidR="00E33056" w:rsidRPr="00E33056" w:rsidRDefault="00E33056" w:rsidP="00E33056">
            <w:pPr>
              <w:spacing w:before="120" w:after="120" w:line="360" w:lineRule="auto"/>
              <w:rPr>
                <w:rFonts w:eastAsiaTheme="minorHAnsi" w:cs="Arial"/>
                <w:b/>
                <w:noProof/>
                <w:sz w:val="16"/>
                <w:szCs w:val="16"/>
                <w:lang w:val="en-GB"/>
              </w:rPr>
            </w:pPr>
          </w:p>
        </w:tc>
        <w:tc>
          <w:tcPr>
            <w:tcW w:w="1107" w:type="pct"/>
            <w:shd w:val="clear" w:color="auto" w:fill="auto"/>
          </w:tcPr>
          <w:p w14:paraId="09B258FB"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 xml:space="preserve">Kazalnik [255] </w:t>
            </w:r>
          </w:p>
        </w:tc>
        <w:tc>
          <w:tcPr>
            <w:tcW w:w="704" w:type="pct"/>
          </w:tcPr>
          <w:p w14:paraId="1A0C58EC"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Merska enota</w:t>
            </w:r>
          </w:p>
        </w:tc>
        <w:tc>
          <w:tcPr>
            <w:tcW w:w="455" w:type="pct"/>
            <w:shd w:val="clear" w:color="auto" w:fill="auto"/>
          </w:tcPr>
          <w:p w14:paraId="66BC1100"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Mejnik (2024)</w:t>
            </w:r>
          </w:p>
          <w:p w14:paraId="57E520D7" w14:textId="77777777" w:rsidR="00E33056" w:rsidRPr="00E33056" w:rsidRDefault="00E33056" w:rsidP="00E33056">
            <w:pPr>
              <w:spacing w:before="120" w:after="120" w:line="360" w:lineRule="auto"/>
              <w:rPr>
                <w:rFonts w:eastAsiaTheme="minorHAnsi" w:cs="Arial"/>
                <w:b/>
                <w:noProof/>
                <w:sz w:val="16"/>
                <w:szCs w:val="16"/>
                <w:lang w:val="en-GB"/>
              </w:rPr>
            </w:pPr>
          </w:p>
        </w:tc>
        <w:tc>
          <w:tcPr>
            <w:tcW w:w="575" w:type="pct"/>
            <w:shd w:val="clear" w:color="auto" w:fill="auto"/>
          </w:tcPr>
          <w:p w14:paraId="0C29AAE8"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Cilj</w:t>
            </w:r>
          </w:p>
          <w:p w14:paraId="358E2EBE" w14:textId="77777777" w:rsidR="00E33056" w:rsidRPr="00E33056" w:rsidRDefault="00E33056" w:rsidP="00E33056">
            <w:pPr>
              <w:spacing w:before="120" w:after="120" w:line="360" w:lineRule="auto"/>
              <w:rPr>
                <w:rFonts w:eastAsiaTheme="minorHAnsi" w:cs="Arial"/>
                <w:b/>
                <w:noProof/>
                <w:sz w:val="16"/>
                <w:szCs w:val="16"/>
                <w:lang w:val="en-GB"/>
              </w:rPr>
            </w:pPr>
            <w:r w:rsidRPr="00E33056">
              <w:rPr>
                <w:rFonts w:eastAsiaTheme="minorHAnsi" w:cs="Arial"/>
                <w:b/>
                <w:noProof/>
                <w:sz w:val="16"/>
                <w:szCs w:val="16"/>
                <w:lang w:val="en-GB"/>
              </w:rPr>
              <w:t>(2029)</w:t>
            </w:r>
          </w:p>
          <w:p w14:paraId="2AA40C29" w14:textId="77777777" w:rsidR="00E33056" w:rsidRPr="00E33056" w:rsidRDefault="00E33056" w:rsidP="00E33056">
            <w:pPr>
              <w:spacing w:before="120" w:after="120" w:line="360" w:lineRule="auto"/>
              <w:rPr>
                <w:rFonts w:eastAsiaTheme="minorHAnsi" w:cs="Arial"/>
                <w:b/>
                <w:noProof/>
                <w:sz w:val="16"/>
                <w:szCs w:val="16"/>
                <w:lang w:val="en-GB"/>
              </w:rPr>
            </w:pPr>
          </w:p>
        </w:tc>
      </w:tr>
      <w:tr w:rsidR="00E33056" w:rsidRPr="00E33056" w14:paraId="42B61791" w14:textId="77777777" w:rsidTr="00141029">
        <w:trPr>
          <w:trHeight w:val="340"/>
        </w:trPr>
        <w:tc>
          <w:tcPr>
            <w:tcW w:w="633" w:type="pct"/>
          </w:tcPr>
          <w:p w14:paraId="4D27DE95" w14:textId="77777777" w:rsidR="00E33056" w:rsidRPr="00E33056" w:rsidRDefault="00E33056" w:rsidP="00E33056">
            <w:pPr>
              <w:spacing w:before="120" w:after="120" w:line="360" w:lineRule="auto"/>
              <w:rPr>
                <w:rFonts w:eastAsiaTheme="minorHAnsi" w:cs="Arial"/>
                <w:b/>
                <w:noProof/>
                <w:sz w:val="16"/>
                <w:szCs w:val="16"/>
              </w:rPr>
            </w:pPr>
            <w:r w:rsidRPr="00AC29EA">
              <w:rPr>
                <w:rFonts w:eastAsiaTheme="minorHAnsi" w:cs="Arial"/>
                <w:b/>
                <w:noProof/>
                <w:color w:val="4BACC6" w:themeColor="accent5"/>
                <w:sz w:val="16"/>
                <w:szCs w:val="16"/>
              </w:rPr>
              <w:t>O</w:t>
            </w:r>
            <w:r w:rsidRPr="00E33056">
              <w:rPr>
                <w:rFonts w:eastAsiaTheme="minorHAnsi" w:cs="Arial"/>
                <w:b/>
                <w:noProof/>
                <w:color w:val="4BACC6" w:themeColor="accent5"/>
                <w:sz w:val="16"/>
                <w:szCs w:val="16"/>
              </w:rPr>
              <w:t>mogočanje rasti trajnostnega modrega gospodarstva ter spodbujanje razvoja ribiških in akvakulturnih skupnosti na obalnih in celinskih območjih</w:t>
            </w:r>
          </w:p>
        </w:tc>
        <w:tc>
          <w:tcPr>
            <w:tcW w:w="633" w:type="pct"/>
          </w:tcPr>
          <w:p w14:paraId="0D92D8EB" w14:textId="77777777" w:rsidR="00E33056" w:rsidRPr="00E33056" w:rsidRDefault="00E33056" w:rsidP="00E33056">
            <w:pPr>
              <w:spacing w:before="120" w:after="120" w:line="360" w:lineRule="auto"/>
              <w:rPr>
                <w:rFonts w:eastAsiaTheme="minorHAnsi" w:cs="Arial"/>
                <w:b/>
                <w:noProof/>
                <w:sz w:val="16"/>
                <w:szCs w:val="16"/>
              </w:rPr>
            </w:pPr>
            <w:r w:rsidRPr="00E33056">
              <w:rPr>
                <w:rFonts w:eastAsiaTheme="minorHAnsi" w:cs="Arial"/>
                <w:b/>
                <w:noProof/>
                <w:sz w:val="16"/>
                <w:szCs w:val="16"/>
              </w:rPr>
              <w:t>Intervencije, ki prispevajo k razvoju ribiških in akvakulturnih skupnosti na obalnih in celinskih območjih</w:t>
            </w:r>
          </w:p>
        </w:tc>
        <w:tc>
          <w:tcPr>
            <w:tcW w:w="413" w:type="pct"/>
          </w:tcPr>
          <w:p w14:paraId="55985A3B" w14:textId="77777777" w:rsidR="00E33056" w:rsidRPr="00E33056" w:rsidRDefault="00E33056" w:rsidP="00E33056">
            <w:pPr>
              <w:spacing w:before="120" w:after="120" w:line="360" w:lineRule="auto"/>
              <w:rPr>
                <w:rFonts w:eastAsiaTheme="minorHAnsi" w:cs="Arial"/>
                <w:noProof/>
                <w:sz w:val="16"/>
                <w:szCs w:val="16"/>
              </w:rPr>
            </w:pPr>
            <w:r w:rsidRPr="00E33056">
              <w:rPr>
                <w:rFonts w:eastAsiaTheme="minorHAnsi" w:cs="Arial"/>
                <w:noProof/>
                <w:sz w:val="16"/>
                <w:szCs w:val="16"/>
              </w:rPr>
              <w:t>ESPRA</w:t>
            </w:r>
          </w:p>
        </w:tc>
        <w:tc>
          <w:tcPr>
            <w:tcW w:w="480" w:type="pct"/>
          </w:tcPr>
          <w:p w14:paraId="50CA5F60" w14:textId="77777777" w:rsidR="00E33056" w:rsidRPr="00E33056" w:rsidRDefault="00E33056" w:rsidP="00E33056">
            <w:pPr>
              <w:spacing w:before="120" w:after="120" w:line="360" w:lineRule="auto"/>
              <w:rPr>
                <w:rFonts w:eastAsiaTheme="minorHAnsi" w:cs="Arial"/>
                <w:noProof/>
                <w:sz w:val="16"/>
                <w:szCs w:val="16"/>
              </w:rPr>
            </w:pPr>
            <w:r w:rsidRPr="00E33056">
              <w:rPr>
                <w:rFonts w:eastAsiaTheme="minorHAnsi" w:cs="Arial"/>
                <w:noProof/>
                <w:sz w:val="16"/>
                <w:szCs w:val="16"/>
              </w:rPr>
              <w:t>/</w:t>
            </w:r>
          </w:p>
        </w:tc>
        <w:tc>
          <w:tcPr>
            <w:tcW w:w="1107" w:type="pct"/>
            <w:shd w:val="clear" w:color="auto" w:fill="auto"/>
          </w:tcPr>
          <w:p w14:paraId="7EB9CCD3" w14:textId="77777777" w:rsidR="00E33056" w:rsidRPr="00E33056" w:rsidRDefault="00E33056" w:rsidP="00E33056">
            <w:pPr>
              <w:spacing w:before="120" w:after="120" w:line="360" w:lineRule="auto"/>
              <w:rPr>
                <w:rFonts w:eastAsiaTheme="minorHAnsi" w:cs="Arial"/>
                <w:noProof/>
                <w:sz w:val="16"/>
                <w:szCs w:val="16"/>
              </w:rPr>
            </w:pPr>
            <w:r w:rsidRPr="00E33056">
              <w:rPr>
                <w:rFonts w:eastAsiaTheme="minorHAnsi" w:cs="Arial"/>
                <w:noProof/>
                <w:sz w:val="16"/>
                <w:szCs w:val="16"/>
              </w:rPr>
              <w:t>Število operacij</w:t>
            </w:r>
          </w:p>
        </w:tc>
        <w:tc>
          <w:tcPr>
            <w:tcW w:w="704" w:type="pct"/>
          </w:tcPr>
          <w:p w14:paraId="38F3AA85" w14:textId="77777777" w:rsidR="00E33056" w:rsidRPr="00E33056" w:rsidRDefault="00E33056" w:rsidP="00E33056">
            <w:pPr>
              <w:spacing w:before="120" w:after="120" w:line="360" w:lineRule="auto"/>
              <w:ind w:left="567"/>
              <w:rPr>
                <w:rFonts w:eastAsiaTheme="minorHAnsi" w:cs="Arial"/>
                <w:noProof/>
                <w:sz w:val="16"/>
                <w:szCs w:val="16"/>
              </w:rPr>
            </w:pPr>
            <w:r w:rsidRPr="00E33056">
              <w:rPr>
                <w:rFonts w:eastAsiaTheme="minorHAnsi" w:cs="Arial"/>
                <w:noProof/>
                <w:sz w:val="16"/>
                <w:szCs w:val="16"/>
              </w:rPr>
              <w:t xml:space="preserve">Število </w:t>
            </w:r>
          </w:p>
        </w:tc>
        <w:tc>
          <w:tcPr>
            <w:tcW w:w="455" w:type="pct"/>
            <w:shd w:val="clear" w:color="auto" w:fill="auto"/>
          </w:tcPr>
          <w:p w14:paraId="76E1917F" w14:textId="72BA87CE" w:rsidR="00E33056" w:rsidRPr="00E33056" w:rsidRDefault="002F6097" w:rsidP="00E33056">
            <w:pPr>
              <w:spacing w:before="120" w:after="120" w:line="360" w:lineRule="auto"/>
              <w:rPr>
                <w:rFonts w:eastAsiaTheme="minorHAnsi" w:cs="Arial"/>
                <w:noProof/>
                <w:sz w:val="16"/>
                <w:szCs w:val="16"/>
              </w:rPr>
            </w:pPr>
            <w:r>
              <w:rPr>
                <w:rFonts w:eastAsiaTheme="minorHAnsi" w:cs="Arial"/>
                <w:noProof/>
                <w:sz w:val="16"/>
                <w:szCs w:val="16"/>
              </w:rPr>
              <w:t>6</w:t>
            </w:r>
          </w:p>
        </w:tc>
        <w:tc>
          <w:tcPr>
            <w:tcW w:w="575" w:type="pct"/>
            <w:shd w:val="clear" w:color="auto" w:fill="auto"/>
          </w:tcPr>
          <w:p w14:paraId="4697A587" w14:textId="3A4202C5" w:rsidR="00E33056" w:rsidRPr="00E33056" w:rsidRDefault="0080481C" w:rsidP="00E33056">
            <w:pPr>
              <w:spacing w:before="120" w:after="120" w:line="360" w:lineRule="auto"/>
              <w:rPr>
                <w:rFonts w:eastAsiaTheme="minorHAnsi" w:cs="Arial"/>
                <w:noProof/>
                <w:sz w:val="16"/>
                <w:szCs w:val="16"/>
              </w:rPr>
            </w:pPr>
            <w:r>
              <w:rPr>
                <w:rFonts w:eastAsiaTheme="minorHAnsi" w:cs="Arial"/>
                <w:noProof/>
                <w:sz w:val="16"/>
                <w:szCs w:val="16"/>
              </w:rPr>
              <w:t>82</w:t>
            </w:r>
          </w:p>
        </w:tc>
      </w:tr>
    </w:tbl>
    <w:p w14:paraId="5A19A72D" w14:textId="77777777" w:rsidR="00C074FE" w:rsidRDefault="00C074FE" w:rsidP="00854925">
      <w:pPr>
        <w:rPr>
          <w:rFonts w:cs="Arial"/>
          <w:szCs w:val="20"/>
        </w:rPr>
      </w:pPr>
    </w:p>
    <w:p w14:paraId="533E322E" w14:textId="3FB36239" w:rsidR="002F6097" w:rsidRDefault="002F6097">
      <w:pPr>
        <w:spacing w:after="200" w:line="276" w:lineRule="auto"/>
        <w:rPr>
          <w:rFonts w:cs="Arial"/>
          <w:szCs w:val="20"/>
        </w:rPr>
      </w:pPr>
      <w:r>
        <w:rPr>
          <w:rFonts w:cs="Arial"/>
          <w:szCs w:val="20"/>
        </w:rPr>
        <w:br w:type="page"/>
      </w:r>
    </w:p>
    <w:p w14:paraId="48F71A85" w14:textId="77777777" w:rsidR="008139E8" w:rsidRPr="008139E8" w:rsidRDefault="008139E8" w:rsidP="008139E8">
      <w:pPr>
        <w:spacing w:after="200" w:line="276"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5593"/>
        <w:gridCol w:w="759"/>
        <w:gridCol w:w="469"/>
        <w:gridCol w:w="987"/>
        <w:gridCol w:w="899"/>
        <w:gridCol w:w="855"/>
        <w:gridCol w:w="679"/>
      </w:tblGrid>
      <w:tr w:rsidR="008139E8" w:rsidRPr="008139E8" w14:paraId="720080C7" w14:textId="77777777" w:rsidTr="00141029">
        <w:trPr>
          <w:trHeight w:val="425"/>
        </w:trPr>
        <w:tc>
          <w:tcPr>
            <w:tcW w:w="0" w:type="auto"/>
            <w:gridSpan w:val="8"/>
          </w:tcPr>
          <w:p w14:paraId="4AC13AFB"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cs="Arial"/>
                <w:b/>
                <w:iCs/>
                <w:noProof/>
                <w:sz w:val="16"/>
                <w:szCs w:val="16"/>
                <w:lang w:val="en-GB" w:eastAsia="en-GB"/>
              </w:rPr>
              <w:t>Preglednica 2: Kazalniki učinka</w:t>
            </w:r>
          </w:p>
        </w:tc>
      </w:tr>
      <w:tr w:rsidR="008139E8" w:rsidRPr="008139E8" w14:paraId="37CAC946" w14:textId="77777777" w:rsidTr="00141029">
        <w:trPr>
          <w:trHeight w:val="739"/>
        </w:trPr>
        <w:tc>
          <w:tcPr>
            <w:tcW w:w="0" w:type="auto"/>
          </w:tcPr>
          <w:p w14:paraId="18594B15" w14:textId="77777777" w:rsidR="008139E8" w:rsidRPr="008139E8" w:rsidRDefault="008139E8" w:rsidP="008139E8">
            <w:pPr>
              <w:spacing w:before="120" w:after="120" w:line="360" w:lineRule="auto"/>
              <w:rPr>
                <w:rFonts w:eastAsiaTheme="minorHAnsi" w:cs="Arial"/>
                <w:b/>
                <w:noProof/>
                <w:sz w:val="16"/>
                <w:szCs w:val="16"/>
                <w:lang w:val="fr-FR"/>
              </w:rPr>
            </w:pPr>
            <w:r w:rsidRPr="008139E8">
              <w:rPr>
                <w:rFonts w:eastAsiaTheme="minorHAnsi" w:cs="Arial"/>
                <w:b/>
                <w:noProof/>
                <w:sz w:val="16"/>
                <w:szCs w:val="16"/>
                <w:lang w:val="fr-FR"/>
              </w:rPr>
              <w:t>Prednostna naloga</w:t>
            </w:r>
          </w:p>
        </w:tc>
        <w:tc>
          <w:tcPr>
            <w:tcW w:w="0" w:type="auto"/>
          </w:tcPr>
          <w:p w14:paraId="34A2109D" w14:textId="77777777" w:rsidR="008139E8" w:rsidRPr="008139E8" w:rsidRDefault="008139E8" w:rsidP="008139E8">
            <w:pPr>
              <w:spacing w:before="120" w:after="120" w:line="360" w:lineRule="auto"/>
              <w:rPr>
                <w:rFonts w:eastAsiaTheme="minorHAnsi" w:cs="Arial"/>
                <w:b/>
                <w:noProof/>
                <w:sz w:val="16"/>
                <w:szCs w:val="16"/>
                <w:lang w:val="fr-FR"/>
              </w:rPr>
            </w:pPr>
            <w:r w:rsidRPr="008139E8">
              <w:rPr>
                <w:rFonts w:eastAsiaTheme="minorHAnsi" w:cs="Arial"/>
                <w:b/>
                <w:noProof/>
                <w:sz w:val="16"/>
                <w:szCs w:val="16"/>
                <w:lang w:val="fr-FR"/>
              </w:rPr>
              <w:t xml:space="preserve">Posebni cilj ali področje podpore </w:t>
            </w:r>
          </w:p>
          <w:p w14:paraId="4864226A" w14:textId="77777777" w:rsidR="008139E8" w:rsidRPr="008139E8" w:rsidRDefault="008139E8" w:rsidP="008139E8">
            <w:pPr>
              <w:spacing w:before="120" w:after="120" w:line="360" w:lineRule="auto"/>
              <w:rPr>
                <w:rFonts w:eastAsiaTheme="minorHAnsi" w:cs="Arial"/>
                <w:b/>
                <w:noProof/>
                <w:sz w:val="16"/>
                <w:szCs w:val="16"/>
                <w:lang w:val="fr-FR"/>
              </w:rPr>
            </w:pPr>
          </w:p>
        </w:tc>
        <w:tc>
          <w:tcPr>
            <w:tcW w:w="0" w:type="auto"/>
          </w:tcPr>
          <w:p w14:paraId="44890C02"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Sklad</w:t>
            </w:r>
          </w:p>
        </w:tc>
        <w:tc>
          <w:tcPr>
            <w:tcW w:w="0" w:type="auto"/>
          </w:tcPr>
          <w:p w14:paraId="589E77DA"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ID [5]</w:t>
            </w:r>
          </w:p>
          <w:p w14:paraId="5268B8D7" w14:textId="77777777" w:rsidR="008139E8" w:rsidRPr="008139E8" w:rsidRDefault="008139E8" w:rsidP="008139E8">
            <w:pPr>
              <w:spacing w:before="120" w:after="120" w:line="360" w:lineRule="auto"/>
              <w:rPr>
                <w:rFonts w:eastAsiaTheme="minorHAnsi" w:cs="Arial"/>
                <w:b/>
                <w:noProof/>
                <w:sz w:val="16"/>
                <w:szCs w:val="16"/>
                <w:lang w:val="en-GB"/>
              </w:rPr>
            </w:pPr>
          </w:p>
        </w:tc>
        <w:tc>
          <w:tcPr>
            <w:tcW w:w="0" w:type="auto"/>
            <w:shd w:val="clear" w:color="auto" w:fill="auto"/>
          </w:tcPr>
          <w:p w14:paraId="1687F75C"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 xml:space="preserve">Kazalnik [255] </w:t>
            </w:r>
          </w:p>
        </w:tc>
        <w:tc>
          <w:tcPr>
            <w:tcW w:w="0" w:type="auto"/>
          </w:tcPr>
          <w:p w14:paraId="7929436F"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Merska enota</w:t>
            </w:r>
          </w:p>
        </w:tc>
        <w:tc>
          <w:tcPr>
            <w:tcW w:w="0" w:type="auto"/>
            <w:shd w:val="clear" w:color="auto" w:fill="auto"/>
          </w:tcPr>
          <w:p w14:paraId="3F0CF050"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Mejnik (2024)</w:t>
            </w:r>
          </w:p>
          <w:p w14:paraId="6E6BF19F" w14:textId="77777777" w:rsidR="008139E8" w:rsidRPr="008139E8" w:rsidRDefault="008139E8" w:rsidP="008139E8">
            <w:pPr>
              <w:spacing w:before="120" w:after="120" w:line="360" w:lineRule="auto"/>
              <w:rPr>
                <w:rFonts w:eastAsiaTheme="minorHAnsi" w:cs="Arial"/>
                <w:b/>
                <w:noProof/>
                <w:sz w:val="16"/>
                <w:szCs w:val="16"/>
                <w:lang w:val="en-GB"/>
              </w:rPr>
            </w:pPr>
          </w:p>
        </w:tc>
        <w:tc>
          <w:tcPr>
            <w:tcW w:w="0" w:type="auto"/>
            <w:shd w:val="clear" w:color="auto" w:fill="auto"/>
          </w:tcPr>
          <w:p w14:paraId="3E214252"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Cilj</w:t>
            </w:r>
          </w:p>
          <w:p w14:paraId="1CFA0A73" w14:textId="77777777" w:rsidR="008139E8" w:rsidRPr="008139E8" w:rsidRDefault="008139E8" w:rsidP="008139E8">
            <w:pPr>
              <w:spacing w:before="120" w:after="120" w:line="360" w:lineRule="auto"/>
              <w:rPr>
                <w:rFonts w:eastAsiaTheme="minorHAnsi" w:cs="Arial"/>
                <w:b/>
                <w:noProof/>
                <w:sz w:val="16"/>
                <w:szCs w:val="16"/>
                <w:lang w:val="en-GB"/>
              </w:rPr>
            </w:pPr>
            <w:r w:rsidRPr="008139E8">
              <w:rPr>
                <w:rFonts w:eastAsiaTheme="minorHAnsi" w:cs="Arial"/>
                <w:b/>
                <w:noProof/>
                <w:sz w:val="16"/>
                <w:szCs w:val="16"/>
                <w:lang w:val="en-GB"/>
              </w:rPr>
              <w:t>(2029)</w:t>
            </w:r>
          </w:p>
          <w:p w14:paraId="3F6F9C45" w14:textId="77777777" w:rsidR="008139E8" w:rsidRPr="008139E8" w:rsidRDefault="008139E8" w:rsidP="008139E8">
            <w:pPr>
              <w:spacing w:before="120" w:after="120" w:line="360" w:lineRule="auto"/>
              <w:rPr>
                <w:rFonts w:eastAsiaTheme="minorHAnsi" w:cs="Arial"/>
                <w:b/>
                <w:noProof/>
                <w:sz w:val="16"/>
                <w:szCs w:val="16"/>
                <w:lang w:val="en-GB"/>
              </w:rPr>
            </w:pPr>
          </w:p>
        </w:tc>
      </w:tr>
      <w:tr w:rsidR="008139E8" w:rsidRPr="008139E8" w14:paraId="08B11C4C" w14:textId="77777777" w:rsidTr="00141029">
        <w:trPr>
          <w:trHeight w:val="340"/>
        </w:trPr>
        <w:tc>
          <w:tcPr>
            <w:tcW w:w="0" w:type="auto"/>
          </w:tcPr>
          <w:p w14:paraId="799863D5" w14:textId="77777777" w:rsidR="008139E8" w:rsidRPr="008139E8" w:rsidRDefault="008139E8" w:rsidP="008139E8">
            <w:pPr>
              <w:spacing w:before="120" w:after="120" w:line="360" w:lineRule="auto"/>
              <w:jc w:val="both"/>
              <w:rPr>
                <w:rFonts w:eastAsiaTheme="minorHAnsi" w:cs="Arial"/>
                <w:b/>
                <w:noProof/>
                <w:sz w:val="16"/>
                <w:szCs w:val="16"/>
              </w:rPr>
            </w:pPr>
            <w:r w:rsidRPr="00AC29EA">
              <w:rPr>
                <w:rFonts w:eastAsiaTheme="minorHAnsi" w:cs="Arial"/>
                <w:b/>
                <w:noProof/>
                <w:color w:val="0070C0"/>
                <w:sz w:val="16"/>
                <w:szCs w:val="16"/>
              </w:rPr>
              <w:t>K</w:t>
            </w:r>
            <w:r w:rsidRPr="008139E8">
              <w:rPr>
                <w:rFonts w:eastAsiaTheme="minorHAnsi" w:cs="Arial"/>
                <w:b/>
                <w:noProof/>
                <w:color w:val="0070C0"/>
                <w:sz w:val="16"/>
                <w:szCs w:val="16"/>
              </w:rPr>
              <w:t>repitev mednarodnega upravljanja oceanov ter omogočanje varnih, zaščitenih, čistih in trajnostno upravljanih morij in oceanov</w:t>
            </w:r>
          </w:p>
        </w:tc>
        <w:tc>
          <w:tcPr>
            <w:tcW w:w="0" w:type="auto"/>
          </w:tcPr>
          <w:p w14:paraId="663AE7AD" w14:textId="77777777" w:rsidR="008139E8" w:rsidRPr="008139E8" w:rsidRDefault="008139E8" w:rsidP="008139E8">
            <w:pPr>
              <w:spacing w:before="120" w:after="120" w:line="360" w:lineRule="auto"/>
              <w:rPr>
                <w:rFonts w:eastAsiaTheme="minorHAnsi" w:cs="Arial"/>
                <w:b/>
                <w:noProof/>
                <w:sz w:val="16"/>
                <w:szCs w:val="16"/>
              </w:rPr>
            </w:pPr>
            <w:r w:rsidRPr="008139E8">
              <w:rPr>
                <w:rFonts w:eastAsiaTheme="minorHAnsi" w:cs="Arial"/>
                <w:b/>
                <w:noProof/>
                <w:sz w:val="16"/>
                <w:szCs w:val="16"/>
              </w:rPr>
              <w:t>Intervencije, ki prispevajo h krepitvi mednarodnega upravljanja oceanov ter trajnostnega upravljanja morij in oceanov prek širjenja znanja o morju ter spodbujanja pomorskega nadzora in/ali sodelovanja obalnih straž</w:t>
            </w:r>
          </w:p>
        </w:tc>
        <w:tc>
          <w:tcPr>
            <w:tcW w:w="0" w:type="auto"/>
          </w:tcPr>
          <w:p w14:paraId="7CD6B714" w14:textId="77777777" w:rsidR="008139E8" w:rsidRPr="008139E8" w:rsidRDefault="008139E8" w:rsidP="008139E8">
            <w:pPr>
              <w:spacing w:before="120" w:after="120" w:line="360" w:lineRule="auto"/>
              <w:rPr>
                <w:rFonts w:eastAsiaTheme="minorHAnsi" w:cs="Arial"/>
                <w:noProof/>
                <w:sz w:val="16"/>
                <w:szCs w:val="16"/>
              </w:rPr>
            </w:pPr>
            <w:r w:rsidRPr="008139E8">
              <w:rPr>
                <w:rFonts w:eastAsiaTheme="minorHAnsi" w:cs="Arial"/>
                <w:noProof/>
                <w:sz w:val="16"/>
                <w:szCs w:val="16"/>
              </w:rPr>
              <w:t>ESPRA</w:t>
            </w:r>
          </w:p>
        </w:tc>
        <w:tc>
          <w:tcPr>
            <w:tcW w:w="0" w:type="auto"/>
          </w:tcPr>
          <w:p w14:paraId="543A754C" w14:textId="77777777" w:rsidR="008139E8" w:rsidRPr="008139E8" w:rsidRDefault="008139E8" w:rsidP="008139E8">
            <w:pPr>
              <w:spacing w:before="120" w:after="120" w:line="360" w:lineRule="auto"/>
              <w:rPr>
                <w:rFonts w:eastAsiaTheme="minorHAnsi" w:cs="Arial"/>
                <w:noProof/>
                <w:sz w:val="16"/>
                <w:szCs w:val="16"/>
              </w:rPr>
            </w:pPr>
            <w:r w:rsidRPr="008139E8">
              <w:rPr>
                <w:rFonts w:eastAsiaTheme="minorHAnsi" w:cs="Arial"/>
                <w:noProof/>
                <w:sz w:val="16"/>
                <w:szCs w:val="16"/>
              </w:rPr>
              <w:t>/</w:t>
            </w:r>
          </w:p>
        </w:tc>
        <w:tc>
          <w:tcPr>
            <w:tcW w:w="0" w:type="auto"/>
            <w:shd w:val="clear" w:color="auto" w:fill="auto"/>
          </w:tcPr>
          <w:p w14:paraId="61B2C856" w14:textId="77777777" w:rsidR="008139E8" w:rsidRPr="008139E8" w:rsidRDefault="008139E8" w:rsidP="008139E8">
            <w:pPr>
              <w:spacing w:before="120" w:after="120" w:line="360" w:lineRule="auto"/>
              <w:rPr>
                <w:rFonts w:eastAsiaTheme="minorHAnsi" w:cs="Arial"/>
                <w:noProof/>
                <w:sz w:val="16"/>
                <w:szCs w:val="16"/>
              </w:rPr>
            </w:pPr>
            <w:r w:rsidRPr="008139E8">
              <w:rPr>
                <w:rFonts w:eastAsiaTheme="minorHAnsi" w:cs="Arial"/>
                <w:noProof/>
                <w:sz w:val="16"/>
                <w:szCs w:val="16"/>
              </w:rPr>
              <w:t>Število operacij</w:t>
            </w:r>
          </w:p>
        </w:tc>
        <w:tc>
          <w:tcPr>
            <w:tcW w:w="0" w:type="auto"/>
          </w:tcPr>
          <w:p w14:paraId="22BC8261" w14:textId="77777777" w:rsidR="008139E8" w:rsidRPr="008139E8" w:rsidRDefault="008139E8" w:rsidP="008139E8">
            <w:pPr>
              <w:spacing w:before="120" w:after="120" w:line="360" w:lineRule="auto"/>
              <w:rPr>
                <w:rFonts w:eastAsiaTheme="minorHAnsi" w:cs="Arial"/>
                <w:noProof/>
                <w:sz w:val="16"/>
                <w:szCs w:val="16"/>
              </w:rPr>
            </w:pPr>
            <w:r w:rsidRPr="008139E8">
              <w:rPr>
                <w:rFonts w:eastAsiaTheme="minorHAnsi" w:cs="Arial"/>
                <w:noProof/>
                <w:sz w:val="16"/>
                <w:szCs w:val="16"/>
              </w:rPr>
              <w:t xml:space="preserve">Število </w:t>
            </w:r>
          </w:p>
        </w:tc>
        <w:tc>
          <w:tcPr>
            <w:tcW w:w="0" w:type="auto"/>
            <w:shd w:val="clear" w:color="auto" w:fill="auto"/>
          </w:tcPr>
          <w:p w14:paraId="34E295BC" w14:textId="1E88AEEC" w:rsidR="008139E8" w:rsidRPr="008139E8" w:rsidRDefault="00BC108D" w:rsidP="008139E8">
            <w:pPr>
              <w:spacing w:before="120" w:after="120" w:line="360" w:lineRule="auto"/>
              <w:rPr>
                <w:rFonts w:eastAsiaTheme="minorHAnsi" w:cs="Arial"/>
                <w:noProof/>
                <w:sz w:val="16"/>
                <w:szCs w:val="16"/>
              </w:rPr>
            </w:pPr>
            <w:r>
              <w:rPr>
                <w:rFonts w:eastAsiaTheme="minorHAnsi" w:cs="Arial"/>
                <w:noProof/>
                <w:sz w:val="16"/>
                <w:szCs w:val="16"/>
              </w:rPr>
              <w:t>1</w:t>
            </w:r>
          </w:p>
        </w:tc>
        <w:tc>
          <w:tcPr>
            <w:tcW w:w="0" w:type="auto"/>
            <w:shd w:val="clear" w:color="auto" w:fill="auto"/>
          </w:tcPr>
          <w:p w14:paraId="7397269C" w14:textId="11711B6F" w:rsidR="008139E8" w:rsidRPr="008139E8" w:rsidRDefault="00BC108D" w:rsidP="008139E8">
            <w:pPr>
              <w:spacing w:before="120" w:after="120" w:line="360" w:lineRule="auto"/>
              <w:rPr>
                <w:rFonts w:eastAsiaTheme="minorHAnsi" w:cs="Arial"/>
                <w:noProof/>
                <w:sz w:val="16"/>
                <w:szCs w:val="16"/>
              </w:rPr>
            </w:pPr>
            <w:r>
              <w:rPr>
                <w:rFonts w:eastAsiaTheme="minorHAnsi" w:cs="Arial"/>
                <w:noProof/>
                <w:sz w:val="16"/>
                <w:szCs w:val="16"/>
              </w:rPr>
              <w:t>1</w:t>
            </w:r>
            <w:r w:rsidR="006B0922">
              <w:rPr>
                <w:rFonts w:eastAsiaTheme="minorHAnsi" w:cs="Arial"/>
                <w:noProof/>
                <w:sz w:val="16"/>
                <w:szCs w:val="16"/>
              </w:rPr>
              <w:t>2</w:t>
            </w:r>
          </w:p>
        </w:tc>
      </w:tr>
    </w:tbl>
    <w:p w14:paraId="2DAA01B9" w14:textId="5F47F7C1" w:rsidR="006F0E95" w:rsidRDefault="006F0E95" w:rsidP="00854925">
      <w:pPr>
        <w:rPr>
          <w:rFonts w:cs="Arial"/>
          <w:szCs w:val="20"/>
        </w:rPr>
      </w:pPr>
    </w:p>
    <w:p w14:paraId="66F892EF" w14:textId="77777777" w:rsidR="006F0E95" w:rsidRDefault="006F0E95">
      <w:pPr>
        <w:spacing w:after="200" w:line="276" w:lineRule="auto"/>
        <w:rPr>
          <w:rFonts w:cs="Arial"/>
          <w:szCs w:val="20"/>
        </w:rPr>
      </w:pPr>
      <w:r>
        <w:rPr>
          <w:rFonts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058"/>
        <w:gridCol w:w="768"/>
        <w:gridCol w:w="664"/>
        <w:gridCol w:w="1381"/>
        <w:gridCol w:w="1149"/>
        <w:gridCol w:w="1129"/>
        <w:gridCol w:w="1115"/>
        <w:gridCol w:w="695"/>
        <w:gridCol w:w="2338"/>
        <w:gridCol w:w="1278"/>
      </w:tblGrid>
      <w:tr w:rsidR="006F0E95" w:rsidRPr="006F0E95" w14:paraId="27919779" w14:textId="77777777" w:rsidTr="00141029">
        <w:trPr>
          <w:trHeight w:val="480"/>
        </w:trPr>
        <w:tc>
          <w:tcPr>
            <w:tcW w:w="0" w:type="auto"/>
            <w:gridSpan w:val="11"/>
          </w:tcPr>
          <w:p w14:paraId="3AA358C7"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cs="Arial"/>
                <w:b/>
                <w:iCs/>
                <w:noProof/>
                <w:sz w:val="16"/>
                <w:szCs w:val="16"/>
                <w:lang w:val="en-GB" w:eastAsia="en-GB"/>
              </w:rPr>
              <w:lastRenderedPageBreak/>
              <w:t>Preglednica 3: Kazalniki rezultata</w:t>
            </w:r>
          </w:p>
        </w:tc>
      </w:tr>
      <w:tr w:rsidR="00246841" w:rsidRPr="006F0E95" w14:paraId="70F15562" w14:textId="77777777" w:rsidTr="00714475">
        <w:trPr>
          <w:trHeight w:val="1768"/>
        </w:trPr>
        <w:tc>
          <w:tcPr>
            <w:tcW w:w="0" w:type="auto"/>
            <w:tcBorders>
              <w:bottom w:val="single" w:sz="4" w:space="0" w:color="auto"/>
            </w:tcBorders>
          </w:tcPr>
          <w:p w14:paraId="176CB3E2" w14:textId="77777777" w:rsidR="006F0E95" w:rsidRPr="006F0E95" w:rsidRDefault="006F0E95" w:rsidP="006F0E95">
            <w:pPr>
              <w:spacing w:before="120" w:after="120" w:line="360" w:lineRule="auto"/>
              <w:rPr>
                <w:rFonts w:eastAsiaTheme="minorHAnsi" w:cs="Arial"/>
                <w:b/>
                <w:noProof/>
                <w:sz w:val="16"/>
                <w:szCs w:val="16"/>
                <w:lang w:val="fr-FR"/>
              </w:rPr>
            </w:pPr>
            <w:r w:rsidRPr="006F0E95">
              <w:rPr>
                <w:rFonts w:eastAsiaTheme="minorHAnsi" w:cs="Arial"/>
                <w:b/>
                <w:noProof/>
                <w:sz w:val="16"/>
                <w:szCs w:val="16"/>
                <w:lang w:val="fr-FR"/>
              </w:rPr>
              <w:t>Prednostna naloga</w:t>
            </w:r>
          </w:p>
          <w:p w14:paraId="403D9E0C" w14:textId="77777777" w:rsidR="006F0E95" w:rsidRPr="006F0E95" w:rsidRDefault="006F0E95" w:rsidP="006F0E95">
            <w:pPr>
              <w:spacing w:before="120" w:after="120" w:line="360" w:lineRule="auto"/>
              <w:rPr>
                <w:rFonts w:eastAsiaTheme="minorHAnsi" w:cs="Arial"/>
                <w:b/>
                <w:noProof/>
                <w:sz w:val="16"/>
                <w:szCs w:val="16"/>
                <w:lang w:val="fr-FR"/>
              </w:rPr>
            </w:pPr>
          </w:p>
        </w:tc>
        <w:tc>
          <w:tcPr>
            <w:tcW w:w="0" w:type="auto"/>
            <w:tcBorders>
              <w:bottom w:val="single" w:sz="4" w:space="0" w:color="auto"/>
            </w:tcBorders>
          </w:tcPr>
          <w:p w14:paraId="16E50E00" w14:textId="77777777" w:rsidR="006F0E95" w:rsidRPr="006F0E95" w:rsidRDefault="006F0E95" w:rsidP="006F0E95">
            <w:pPr>
              <w:spacing w:before="120" w:after="120" w:line="360" w:lineRule="auto"/>
              <w:rPr>
                <w:rFonts w:eastAsiaTheme="minorHAnsi" w:cs="Arial"/>
                <w:b/>
                <w:noProof/>
                <w:sz w:val="16"/>
                <w:szCs w:val="16"/>
                <w:lang w:val="fr-FR"/>
              </w:rPr>
            </w:pPr>
            <w:r w:rsidRPr="006F0E95">
              <w:rPr>
                <w:rFonts w:eastAsiaTheme="minorHAnsi" w:cs="Arial"/>
                <w:b/>
                <w:noProof/>
                <w:sz w:val="16"/>
                <w:szCs w:val="16"/>
                <w:lang w:val="fr-FR"/>
              </w:rPr>
              <w:t>Posebni cilj ali področje podpore</w:t>
            </w:r>
          </w:p>
          <w:p w14:paraId="6C56CF18" w14:textId="77777777" w:rsidR="006F0E95" w:rsidRPr="006F0E95" w:rsidRDefault="006F0E95" w:rsidP="006F0E95">
            <w:pPr>
              <w:spacing w:before="120" w:after="120" w:line="360" w:lineRule="auto"/>
              <w:rPr>
                <w:rFonts w:eastAsiaTheme="minorHAnsi" w:cs="Arial"/>
                <w:b/>
                <w:noProof/>
                <w:sz w:val="16"/>
                <w:szCs w:val="16"/>
                <w:lang w:val="fr-FR"/>
              </w:rPr>
            </w:pPr>
          </w:p>
        </w:tc>
        <w:tc>
          <w:tcPr>
            <w:tcW w:w="0" w:type="auto"/>
            <w:tcBorders>
              <w:bottom w:val="single" w:sz="4" w:space="0" w:color="auto"/>
            </w:tcBorders>
          </w:tcPr>
          <w:p w14:paraId="5953B54B"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 xml:space="preserve">Sklad </w:t>
            </w:r>
          </w:p>
        </w:tc>
        <w:tc>
          <w:tcPr>
            <w:tcW w:w="664" w:type="dxa"/>
            <w:tcBorders>
              <w:bottom w:val="single" w:sz="4" w:space="0" w:color="auto"/>
            </w:tcBorders>
          </w:tcPr>
          <w:p w14:paraId="7B5ED589"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ID [5]</w:t>
            </w:r>
          </w:p>
          <w:p w14:paraId="0032DA11" w14:textId="77777777" w:rsidR="006F0E95" w:rsidRPr="006F0E95" w:rsidRDefault="006F0E95" w:rsidP="006F0E95">
            <w:pPr>
              <w:spacing w:before="120" w:after="120" w:line="360" w:lineRule="auto"/>
              <w:rPr>
                <w:rFonts w:eastAsiaTheme="minorHAnsi" w:cs="Arial"/>
                <w:b/>
                <w:noProof/>
                <w:sz w:val="16"/>
                <w:szCs w:val="16"/>
                <w:lang w:val="en-GB"/>
              </w:rPr>
            </w:pPr>
          </w:p>
        </w:tc>
        <w:tc>
          <w:tcPr>
            <w:tcW w:w="1381" w:type="dxa"/>
            <w:tcBorders>
              <w:bottom w:val="single" w:sz="4" w:space="0" w:color="auto"/>
            </w:tcBorders>
            <w:shd w:val="clear" w:color="auto" w:fill="auto"/>
          </w:tcPr>
          <w:p w14:paraId="39E463DE"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Kazalnik [255]</w:t>
            </w:r>
          </w:p>
        </w:tc>
        <w:tc>
          <w:tcPr>
            <w:tcW w:w="0" w:type="auto"/>
            <w:tcBorders>
              <w:bottom w:val="single" w:sz="4" w:space="0" w:color="auto"/>
            </w:tcBorders>
          </w:tcPr>
          <w:p w14:paraId="09D7FD24"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Merska enota</w:t>
            </w:r>
          </w:p>
        </w:tc>
        <w:tc>
          <w:tcPr>
            <w:tcW w:w="0" w:type="auto"/>
          </w:tcPr>
          <w:p w14:paraId="3E170680"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Izhodišče ali referenčna vrednost</w:t>
            </w:r>
          </w:p>
        </w:tc>
        <w:tc>
          <w:tcPr>
            <w:tcW w:w="0" w:type="auto"/>
          </w:tcPr>
          <w:p w14:paraId="14612DBA"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Referenčno leto</w:t>
            </w:r>
          </w:p>
        </w:tc>
        <w:tc>
          <w:tcPr>
            <w:tcW w:w="0" w:type="auto"/>
            <w:shd w:val="clear" w:color="auto" w:fill="auto"/>
          </w:tcPr>
          <w:p w14:paraId="6F23E826" w14:textId="77777777" w:rsidR="006F0E95" w:rsidRPr="006F0E95" w:rsidRDefault="006F0E95" w:rsidP="006F0E95">
            <w:pPr>
              <w:spacing w:before="120" w:after="120" w:line="360" w:lineRule="auto"/>
              <w:rPr>
                <w:rFonts w:eastAsiaTheme="minorHAnsi" w:cs="Arial"/>
                <w:b/>
                <w:noProof/>
                <w:sz w:val="16"/>
                <w:szCs w:val="16"/>
                <w:lang w:val="en-GB"/>
              </w:rPr>
            </w:pPr>
            <w:r w:rsidRPr="006F0E95">
              <w:rPr>
                <w:rFonts w:eastAsiaTheme="minorHAnsi" w:cs="Arial"/>
                <w:b/>
                <w:noProof/>
                <w:sz w:val="16"/>
                <w:szCs w:val="16"/>
                <w:lang w:val="en-GB"/>
              </w:rPr>
              <w:t>Cilj (2029)</w:t>
            </w:r>
          </w:p>
          <w:p w14:paraId="4F8DE0C1" w14:textId="77777777" w:rsidR="006F0E95" w:rsidRPr="006F0E95" w:rsidRDefault="006F0E95" w:rsidP="006F0E95">
            <w:pPr>
              <w:spacing w:before="120" w:after="120" w:line="360" w:lineRule="auto"/>
              <w:rPr>
                <w:rFonts w:eastAsiaTheme="minorHAnsi" w:cs="Arial"/>
                <w:b/>
                <w:noProof/>
                <w:sz w:val="16"/>
                <w:szCs w:val="16"/>
                <w:lang w:val="en-GB"/>
              </w:rPr>
            </w:pPr>
          </w:p>
        </w:tc>
        <w:tc>
          <w:tcPr>
            <w:tcW w:w="0" w:type="auto"/>
            <w:shd w:val="clear" w:color="auto" w:fill="auto"/>
          </w:tcPr>
          <w:p w14:paraId="10F43C22" w14:textId="77777777" w:rsidR="006F0E95" w:rsidRPr="006F0E95" w:rsidRDefault="006F0E95" w:rsidP="006F0E95">
            <w:pPr>
              <w:autoSpaceDE w:val="0"/>
              <w:autoSpaceDN w:val="0"/>
              <w:adjustRightInd w:val="0"/>
              <w:spacing w:line="240" w:lineRule="auto"/>
              <w:rPr>
                <w:rFonts w:eastAsiaTheme="minorHAnsi" w:cs="Arial"/>
                <w:color w:val="000000"/>
                <w:sz w:val="16"/>
                <w:szCs w:val="16"/>
              </w:rPr>
            </w:pPr>
            <w:r w:rsidRPr="006F0E95">
              <w:rPr>
                <w:rFonts w:eastAsiaTheme="minorHAnsi" w:cs="Arial"/>
                <w:b/>
                <w:bCs/>
                <w:color w:val="000000"/>
                <w:sz w:val="16"/>
                <w:szCs w:val="16"/>
              </w:rPr>
              <w:t xml:space="preserve">Vir podatkov </w:t>
            </w:r>
          </w:p>
          <w:p w14:paraId="04B3AD09" w14:textId="77777777" w:rsidR="006F0E95" w:rsidRPr="006F0E95" w:rsidRDefault="006F0E95" w:rsidP="006F0E95">
            <w:pPr>
              <w:spacing w:before="120" w:after="120" w:line="480" w:lineRule="auto"/>
              <w:rPr>
                <w:rFonts w:eastAsiaTheme="minorHAnsi" w:cs="Arial"/>
                <w:b/>
                <w:noProof/>
                <w:sz w:val="16"/>
                <w:szCs w:val="16"/>
                <w:lang w:val="en-GB"/>
              </w:rPr>
            </w:pPr>
            <w:r w:rsidRPr="006F0E95">
              <w:rPr>
                <w:rFonts w:eastAsiaTheme="minorHAnsi" w:cs="Arial"/>
                <w:b/>
                <w:noProof/>
                <w:sz w:val="16"/>
                <w:szCs w:val="16"/>
                <w:lang w:val="en-GB"/>
              </w:rPr>
              <w:t xml:space="preserve"> [200]</w:t>
            </w:r>
          </w:p>
        </w:tc>
        <w:tc>
          <w:tcPr>
            <w:tcW w:w="0" w:type="auto"/>
          </w:tcPr>
          <w:p w14:paraId="7C01ED16" w14:textId="77777777" w:rsidR="006F0E95" w:rsidRPr="006F0E95" w:rsidRDefault="006F0E95" w:rsidP="006F0E95">
            <w:pPr>
              <w:spacing w:before="120" w:after="120" w:line="480" w:lineRule="auto"/>
              <w:rPr>
                <w:rFonts w:eastAsiaTheme="minorHAnsi" w:cs="Arial"/>
                <w:b/>
                <w:noProof/>
                <w:sz w:val="16"/>
                <w:szCs w:val="16"/>
                <w:lang w:val="en-GB"/>
              </w:rPr>
            </w:pPr>
            <w:r w:rsidRPr="006F0E95">
              <w:rPr>
                <w:rFonts w:eastAsiaTheme="minorHAnsi" w:cs="Arial"/>
                <w:b/>
                <w:noProof/>
                <w:sz w:val="16"/>
                <w:szCs w:val="16"/>
                <w:lang w:val="en-GB"/>
              </w:rPr>
              <w:t>Opombe [200]</w:t>
            </w:r>
          </w:p>
        </w:tc>
      </w:tr>
      <w:tr w:rsidR="006B0922" w:rsidRPr="006F0E95" w14:paraId="65D94FB7" w14:textId="77777777" w:rsidTr="006B0922">
        <w:trPr>
          <w:trHeight w:val="665"/>
        </w:trPr>
        <w:tc>
          <w:tcPr>
            <w:tcW w:w="0" w:type="auto"/>
            <w:vMerge w:val="restart"/>
            <w:tcBorders>
              <w:top w:val="single" w:sz="4" w:space="0" w:color="auto"/>
              <w:bottom w:val="single" w:sz="4" w:space="0" w:color="auto"/>
              <w:right w:val="single" w:sz="4" w:space="0" w:color="auto"/>
            </w:tcBorders>
          </w:tcPr>
          <w:p w14:paraId="75657C1F" w14:textId="77777777" w:rsidR="000816A0" w:rsidRPr="00AC29EA" w:rsidRDefault="000816A0" w:rsidP="006F0E95">
            <w:pPr>
              <w:spacing w:before="120" w:after="120" w:line="360" w:lineRule="auto"/>
              <w:jc w:val="both"/>
              <w:rPr>
                <w:rFonts w:eastAsiaTheme="minorHAnsi" w:cs="Arial"/>
                <w:noProof/>
                <w:sz w:val="16"/>
                <w:szCs w:val="16"/>
              </w:rPr>
            </w:pPr>
            <w:r w:rsidRPr="00AC29EA">
              <w:rPr>
                <w:rFonts w:eastAsiaTheme="minorHAnsi" w:cs="Arial"/>
                <w:b/>
                <w:noProof/>
                <w:color w:val="4F81BD" w:themeColor="accent1"/>
                <w:sz w:val="16"/>
                <w:szCs w:val="16"/>
              </w:rPr>
              <w:t>Spodbujanje trajnostnega ribištva in ohranjanje vodnih bioloških virov</w:t>
            </w:r>
            <w:r w:rsidRPr="00AC29EA" w:rsidDel="00726838">
              <w:rPr>
                <w:rFonts w:eastAsiaTheme="minorHAnsi" w:cs="Arial"/>
                <w:b/>
                <w:noProof/>
                <w:color w:val="4F81BD" w:themeColor="accent1"/>
                <w:sz w:val="16"/>
                <w:szCs w:val="16"/>
              </w:rPr>
              <w:t xml:space="preserve"> </w:t>
            </w:r>
          </w:p>
        </w:tc>
        <w:tc>
          <w:tcPr>
            <w:tcW w:w="0" w:type="auto"/>
            <w:vMerge w:val="restart"/>
            <w:tcBorders>
              <w:top w:val="single" w:sz="4" w:space="0" w:color="auto"/>
              <w:left w:val="single" w:sz="4" w:space="0" w:color="auto"/>
              <w:bottom w:val="single" w:sz="4" w:space="0" w:color="auto"/>
              <w:right w:val="single" w:sz="4" w:space="0" w:color="auto"/>
            </w:tcBorders>
          </w:tcPr>
          <w:p w14:paraId="5157A447" w14:textId="77777777" w:rsidR="000816A0" w:rsidRPr="00AC29EA" w:rsidRDefault="000816A0" w:rsidP="006F0E95">
            <w:pPr>
              <w:spacing w:before="120" w:after="120" w:line="360" w:lineRule="auto"/>
              <w:rPr>
                <w:rFonts w:eastAsiaTheme="minorHAnsi" w:cs="Arial"/>
                <w:i/>
                <w:noProof/>
                <w:sz w:val="16"/>
                <w:szCs w:val="16"/>
              </w:rPr>
            </w:pPr>
            <w:r w:rsidRPr="006F0E95">
              <w:rPr>
                <w:rFonts w:eastAsiaTheme="minorHAnsi" w:cs="Arial"/>
                <w:sz w:val="16"/>
                <w:szCs w:val="16"/>
              </w:rPr>
              <w:t>Krepitev ekonomsko, socialno in okoljsko trajnostnih ribolovnih dejavnosti</w:t>
            </w:r>
          </w:p>
        </w:tc>
        <w:tc>
          <w:tcPr>
            <w:tcW w:w="0" w:type="auto"/>
            <w:vMerge w:val="restart"/>
            <w:tcBorders>
              <w:top w:val="single" w:sz="4" w:space="0" w:color="auto"/>
              <w:left w:val="single" w:sz="4" w:space="0" w:color="auto"/>
              <w:bottom w:val="single" w:sz="4" w:space="0" w:color="auto"/>
              <w:right w:val="single" w:sz="4" w:space="0" w:color="auto"/>
            </w:tcBorders>
          </w:tcPr>
          <w:p w14:paraId="2A460ABE" w14:textId="77777777" w:rsidR="000816A0" w:rsidRPr="006F0E95" w:rsidRDefault="000816A0" w:rsidP="006F0E95">
            <w:pPr>
              <w:spacing w:before="120" w:after="120" w:line="360" w:lineRule="auto"/>
              <w:rPr>
                <w:rFonts w:eastAsiaTheme="minorHAnsi" w:cs="Arial"/>
                <w:i/>
                <w:noProof/>
                <w:sz w:val="16"/>
                <w:szCs w:val="16"/>
                <w:lang w:val="en-GB"/>
              </w:rPr>
            </w:pPr>
            <w:r w:rsidRPr="006F0E95">
              <w:rPr>
                <w:rFonts w:eastAsiaTheme="minorHAnsi" w:cs="Arial"/>
                <w:b/>
                <w:i/>
                <w:noProof/>
                <w:sz w:val="16"/>
                <w:szCs w:val="16"/>
              </w:rPr>
              <w:t>ESPRA</w:t>
            </w:r>
          </w:p>
          <w:p w14:paraId="5C16D16C" w14:textId="77777777" w:rsidR="000816A0" w:rsidRPr="006F0E95" w:rsidRDefault="000816A0" w:rsidP="006F0E95">
            <w:pPr>
              <w:spacing w:before="120" w:after="120" w:line="360" w:lineRule="auto"/>
              <w:rPr>
                <w:rFonts w:eastAsiaTheme="minorHAnsi" w:cs="Arial"/>
                <w:i/>
                <w:noProof/>
                <w:sz w:val="16"/>
                <w:szCs w:val="16"/>
                <w:lang w:val="en-GB"/>
              </w:rPr>
            </w:pPr>
          </w:p>
        </w:tc>
        <w:tc>
          <w:tcPr>
            <w:tcW w:w="664" w:type="dxa"/>
            <w:tcBorders>
              <w:top w:val="single" w:sz="4" w:space="0" w:color="auto"/>
              <w:left w:val="single" w:sz="4" w:space="0" w:color="auto"/>
              <w:bottom w:val="single" w:sz="4" w:space="0" w:color="auto"/>
              <w:right w:val="single" w:sz="4" w:space="0" w:color="auto"/>
            </w:tcBorders>
          </w:tcPr>
          <w:p w14:paraId="726CF120" w14:textId="5B0B73A6" w:rsidR="000816A0" w:rsidRPr="006F0E95" w:rsidRDefault="006B092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CR14</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86B511C" w14:textId="378E48AC" w:rsidR="000816A0" w:rsidRPr="006F0E95" w:rsidRDefault="006B0922" w:rsidP="006F0E95">
            <w:pPr>
              <w:spacing w:before="120" w:after="120" w:line="360" w:lineRule="auto"/>
              <w:rPr>
                <w:rFonts w:eastAsiaTheme="minorHAnsi" w:cs="Arial"/>
                <w:noProof/>
                <w:sz w:val="16"/>
                <w:szCs w:val="16"/>
                <w:lang w:val="en-US"/>
              </w:rPr>
            </w:pPr>
            <w:r>
              <w:rPr>
                <w:rFonts w:eastAsiaTheme="minorHAnsi" w:cs="Arial"/>
                <w:noProof/>
                <w:sz w:val="16"/>
                <w:szCs w:val="16"/>
                <w:lang w:val="en-US"/>
              </w:rPr>
              <w:t>Omogočene inovacije</w:t>
            </w:r>
          </w:p>
        </w:tc>
        <w:tc>
          <w:tcPr>
            <w:tcW w:w="0" w:type="auto"/>
            <w:tcBorders>
              <w:top w:val="single" w:sz="4" w:space="0" w:color="auto"/>
              <w:left w:val="single" w:sz="4" w:space="0" w:color="auto"/>
              <w:bottom w:val="single" w:sz="4" w:space="0" w:color="auto"/>
            </w:tcBorders>
          </w:tcPr>
          <w:p w14:paraId="28137C03" w14:textId="4BC861B0" w:rsidR="000816A0" w:rsidRPr="006F0E95" w:rsidRDefault="006B092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Število omogočenih inovacij</w:t>
            </w:r>
          </w:p>
        </w:tc>
        <w:tc>
          <w:tcPr>
            <w:tcW w:w="0" w:type="auto"/>
          </w:tcPr>
          <w:p w14:paraId="0E893498" w14:textId="0DED8651" w:rsidR="000816A0" w:rsidRPr="006F0E95" w:rsidRDefault="006B092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0" w:type="auto"/>
          </w:tcPr>
          <w:p w14:paraId="40B352DB" w14:textId="592E41FD" w:rsidR="000816A0" w:rsidRPr="006F0E95" w:rsidRDefault="006B092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0" w:type="auto"/>
            <w:shd w:val="clear" w:color="auto" w:fill="auto"/>
          </w:tcPr>
          <w:p w14:paraId="3A7E78C5" w14:textId="06D7A997" w:rsidR="000816A0" w:rsidRPr="006F0E95" w:rsidRDefault="006B0922" w:rsidP="00E86F46">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1</w:t>
            </w:r>
          </w:p>
        </w:tc>
        <w:tc>
          <w:tcPr>
            <w:tcW w:w="0" w:type="auto"/>
            <w:vMerge w:val="restart"/>
            <w:shd w:val="clear" w:color="auto" w:fill="auto"/>
          </w:tcPr>
          <w:p w14:paraId="20EBF5E9" w14:textId="7FA129F7" w:rsidR="000816A0" w:rsidRPr="006F0E95" w:rsidRDefault="000816A0" w:rsidP="006F0E95">
            <w:pPr>
              <w:spacing w:before="120" w:after="120" w:line="480" w:lineRule="auto"/>
              <w:rPr>
                <w:rFonts w:eastAsiaTheme="minorHAnsi" w:cs="Arial"/>
                <w:noProof/>
                <w:sz w:val="16"/>
                <w:szCs w:val="16"/>
                <w:lang w:val="en-GB"/>
              </w:rPr>
            </w:pPr>
            <w:r w:rsidRPr="006F0E95">
              <w:rPr>
                <w:rFonts w:eastAsiaTheme="minorHAnsi" w:cs="Arial"/>
                <w:noProof/>
                <w:sz w:val="16"/>
                <w:szCs w:val="16"/>
                <w:lang w:val="en-GB"/>
              </w:rPr>
              <w:t>Delavnice z morskimi ribiči in izkazan interesen s strani ribičev</w:t>
            </w:r>
            <w:r>
              <w:rPr>
                <w:rFonts w:eastAsiaTheme="minorHAnsi" w:cs="Arial"/>
                <w:noProof/>
                <w:sz w:val="16"/>
                <w:szCs w:val="16"/>
                <w:lang w:val="en-GB"/>
              </w:rPr>
              <w:t>, število vlog na razpisu Zdravje in varnost v OP ESPR 2014-2020 na dan 1. 6. 2021, podatki iz občinskih odlokov o ustanovitvi pristanišč (število privezov) in podatki o udeležbi ribičev na dosedanjih delavnicah, podatki SURS o zapositvah v ribištvu</w:t>
            </w:r>
          </w:p>
        </w:tc>
        <w:tc>
          <w:tcPr>
            <w:tcW w:w="0" w:type="auto"/>
            <w:vMerge w:val="restart"/>
          </w:tcPr>
          <w:p w14:paraId="1745A50B" w14:textId="3B8AEFB6" w:rsidR="000816A0" w:rsidRPr="006F0E95" w:rsidRDefault="000816A0" w:rsidP="006F0E95">
            <w:pPr>
              <w:rPr>
                <w:rFonts w:cs="Arial"/>
                <w:noProof/>
                <w:sz w:val="16"/>
                <w:szCs w:val="16"/>
                <w:lang w:val="fr-FR"/>
              </w:rPr>
            </w:pPr>
            <w:r w:rsidRPr="00541A12">
              <w:rPr>
                <w:rFonts w:cs="Arial"/>
                <w:noProof/>
                <w:sz w:val="16"/>
                <w:szCs w:val="16"/>
                <w:lang w:val="fr-FR"/>
              </w:rPr>
              <w:t>Več v metodologiji, ki je priloga OP ESPRA 2021-2027</w:t>
            </w:r>
          </w:p>
        </w:tc>
      </w:tr>
      <w:tr w:rsidR="006B0922" w:rsidRPr="006F0E95" w14:paraId="7EB9BA7D" w14:textId="77777777" w:rsidTr="006B0922">
        <w:trPr>
          <w:trHeight w:val="665"/>
        </w:trPr>
        <w:tc>
          <w:tcPr>
            <w:tcW w:w="0" w:type="auto"/>
            <w:vMerge/>
            <w:tcBorders>
              <w:top w:val="single" w:sz="4" w:space="0" w:color="auto"/>
              <w:bottom w:val="single" w:sz="4" w:space="0" w:color="auto"/>
              <w:right w:val="single" w:sz="4" w:space="0" w:color="auto"/>
            </w:tcBorders>
          </w:tcPr>
          <w:p w14:paraId="15DD08C4" w14:textId="77777777" w:rsidR="000816A0" w:rsidRPr="00AC29EA" w:rsidRDefault="000816A0" w:rsidP="006F0E95">
            <w:pPr>
              <w:spacing w:before="120" w:after="120" w:line="360" w:lineRule="auto"/>
              <w:jc w:val="both"/>
              <w:rPr>
                <w:rFonts w:eastAsiaTheme="minorHAnsi" w:cs="Arial"/>
                <w:b/>
                <w:noProof/>
                <w:color w:val="4F81BD" w:themeColor="accent1"/>
                <w:sz w:val="16"/>
                <w:szCs w:val="16"/>
              </w:rPr>
            </w:pPr>
          </w:p>
        </w:tc>
        <w:tc>
          <w:tcPr>
            <w:tcW w:w="0" w:type="auto"/>
            <w:vMerge/>
            <w:tcBorders>
              <w:top w:val="single" w:sz="4" w:space="0" w:color="auto"/>
              <w:left w:val="single" w:sz="4" w:space="0" w:color="auto"/>
              <w:bottom w:val="single" w:sz="4" w:space="0" w:color="auto"/>
              <w:right w:val="single" w:sz="4" w:space="0" w:color="auto"/>
            </w:tcBorders>
          </w:tcPr>
          <w:p w14:paraId="5BA612CE" w14:textId="77777777" w:rsidR="000816A0" w:rsidRPr="006F0E95" w:rsidRDefault="000816A0" w:rsidP="006F0E95">
            <w:pPr>
              <w:spacing w:before="120" w:after="120" w:line="360" w:lineRule="auto"/>
              <w:rPr>
                <w:rFonts w:eastAsiaTheme="minorHAnsi" w:cs="Arial"/>
                <w:sz w:val="16"/>
                <w:szCs w:val="16"/>
              </w:rPr>
            </w:pPr>
          </w:p>
        </w:tc>
        <w:tc>
          <w:tcPr>
            <w:tcW w:w="0" w:type="auto"/>
            <w:vMerge/>
            <w:tcBorders>
              <w:top w:val="single" w:sz="4" w:space="0" w:color="auto"/>
              <w:left w:val="single" w:sz="4" w:space="0" w:color="auto"/>
              <w:bottom w:val="single" w:sz="4" w:space="0" w:color="auto"/>
              <w:right w:val="single" w:sz="4" w:space="0" w:color="auto"/>
            </w:tcBorders>
          </w:tcPr>
          <w:p w14:paraId="0D2C4D3E" w14:textId="77777777" w:rsidR="000816A0" w:rsidRPr="006F0E95" w:rsidRDefault="000816A0" w:rsidP="006F0E95">
            <w:pPr>
              <w:spacing w:before="120" w:after="120" w:line="360" w:lineRule="auto"/>
              <w:rPr>
                <w:rFonts w:eastAsiaTheme="minorHAnsi" w:cs="Arial"/>
                <w:b/>
                <w:i/>
                <w:noProof/>
                <w:sz w:val="16"/>
                <w:szCs w:val="16"/>
              </w:rPr>
            </w:pPr>
          </w:p>
        </w:tc>
        <w:tc>
          <w:tcPr>
            <w:tcW w:w="664" w:type="dxa"/>
            <w:tcBorders>
              <w:top w:val="single" w:sz="4" w:space="0" w:color="auto"/>
              <w:left w:val="single" w:sz="4" w:space="0" w:color="auto"/>
              <w:bottom w:val="single" w:sz="4" w:space="0" w:color="auto"/>
              <w:right w:val="single" w:sz="4" w:space="0" w:color="auto"/>
            </w:tcBorders>
          </w:tcPr>
          <w:p w14:paraId="779C0648" w14:textId="3B3618F6" w:rsidR="000816A0" w:rsidRPr="008E6BB7" w:rsidRDefault="000F68C3"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CR0</w:t>
            </w:r>
            <w:r w:rsidR="006B0922">
              <w:rPr>
                <w:rFonts w:eastAsiaTheme="minorHAnsi" w:cs="Arial"/>
                <w:noProof/>
                <w:sz w:val="16"/>
                <w:szCs w:val="16"/>
                <w:lang w:val="fr-FR"/>
              </w:rPr>
              <w:t>7</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7A9F24A" w14:textId="489D182F" w:rsidR="000816A0" w:rsidRPr="008E6BB7" w:rsidRDefault="000816A0"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Ohranjena delovna mesta</w:t>
            </w:r>
          </w:p>
        </w:tc>
        <w:tc>
          <w:tcPr>
            <w:tcW w:w="0" w:type="auto"/>
            <w:tcBorders>
              <w:top w:val="single" w:sz="4" w:space="0" w:color="auto"/>
              <w:left w:val="single" w:sz="4" w:space="0" w:color="auto"/>
              <w:bottom w:val="single" w:sz="4" w:space="0" w:color="auto"/>
            </w:tcBorders>
          </w:tcPr>
          <w:p w14:paraId="0DC0DDB9" w14:textId="37E56486" w:rsidR="000816A0" w:rsidRPr="008E6BB7" w:rsidRDefault="000816A0"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Število oseb</w:t>
            </w:r>
          </w:p>
        </w:tc>
        <w:tc>
          <w:tcPr>
            <w:tcW w:w="0" w:type="auto"/>
          </w:tcPr>
          <w:p w14:paraId="3B06B7B5" w14:textId="20164CED" w:rsidR="000816A0" w:rsidRPr="008E6BB7" w:rsidRDefault="000816A0"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0</w:t>
            </w:r>
          </w:p>
        </w:tc>
        <w:tc>
          <w:tcPr>
            <w:tcW w:w="0" w:type="auto"/>
          </w:tcPr>
          <w:p w14:paraId="0BC268C2" w14:textId="66AEBC9C" w:rsidR="000816A0" w:rsidRPr="008E6BB7" w:rsidRDefault="000816A0"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2020</w:t>
            </w:r>
          </w:p>
        </w:tc>
        <w:tc>
          <w:tcPr>
            <w:tcW w:w="0" w:type="auto"/>
            <w:shd w:val="clear" w:color="auto" w:fill="auto"/>
          </w:tcPr>
          <w:p w14:paraId="3C399153" w14:textId="5D90C96B" w:rsidR="000816A0" w:rsidRPr="008E6BB7" w:rsidRDefault="000816A0" w:rsidP="006B0922">
            <w:pPr>
              <w:spacing w:before="120" w:after="120" w:line="360" w:lineRule="auto"/>
              <w:jc w:val="center"/>
              <w:rPr>
                <w:rFonts w:eastAsiaTheme="minorHAnsi" w:cs="Arial"/>
                <w:noProof/>
                <w:sz w:val="16"/>
                <w:szCs w:val="16"/>
                <w:lang w:val="fr-FR"/>
              </w:rPr>
            </w:pPr>
            <w:r>
              <w:rPr>
                <w:rFonts w:eastAsiaTheme="minorHAnsi" w:cs="Arial"/>
                <w:noProof/>
                <w:sz w:val="16"/>
                <w:szCs w:val="16"/>
                <w:lang w:val="fr-FR"/>
              </w:rPr>
              <w:t>12,9</w:t>
            </w:r>
          </w:p>
        </w:tc>
        <w:tc>
          <w:tcPr>
            <w:tcW w:w="0" w:type="auto"/>
            <w:vMerge/>
            <w:shd w:val="clear" w:color="auto" w:fill="auto"/>
          </w:tcPr>
          <w:p w14:paraId="0788F57F" w14:textId="77777777" w:rsidR="000816A0" w:rsidRPr="008E6BB7" w:rsidRDefault="000816A0" w:rsidP="006F0E95">
            <w:pPr>
              <w:spacing w:before="120" w:after="120" w:line="480" w:lineRule="auto"/>
              <w:rPr>
                <w:rFonts w:eastAsiaTheme="minorHAnsi" w:cs="Arial"/>
                <w:noProof/>
                <w:sz w:val="16"/>
                <w:szCs w:val="16"/>
                <w:lang w:val="fr-FR"/>
              </w:rPr>
            </w:pPr>
          </w:p>
        </w:tc>
        <w:tc>
          <w:tcPr>
            <w:tcW w:w="0" w:type="auto"/>
            <w:vMerge/>
          </w:tcPr>
          <w:p w14:paraId="2C3EC289" w14:textId="77777777" w:rsidR="000816A0" w:rsidRPr="00541A12" w:rsidRDefault="000816A0" w:rsidP="006F0E95">
            <w:pPr>
              <w:rPr>
                <w:rFonts w:cs="Arial"/>
                <w:noProof/>
                <w:sz w:val="16"/>
                <w:szCs w:val="16"/>
                <w:lang w:val="fr-FR"/>
              </w:rPr>
            </w:pPr>
          </w:p>
        </w:tc>
      </w:tr>
      <w:tr w:rsidR="006B0922" w:rsidRPr="006F0E95" w14:paraId="0E0E3F66" w14:textId="77777777" w:rsidTr="006B0922">
        <w:trPr>
          <w:trHeight w:val="2017"/>
        </w:trPr>
        <w:tc>
          <w:tcPr>
            <w:tcW w:w="0" w:type="auto"/>
            <w:vMerge/>
            <w:tcBorders>
              <w:top w:val="single" w:sz="4" w:space="0" w:color="auto"/>
              <w:bottom w:val="single" w:sz="4" w:space="0" w:color="auto"/>
              <w:right w:val="single" w:sz="4" w:space="0" w:color="auto"/>
            </w:tcBorders>
          </w:tcPr>
          <w:p w14:paraId="06FB2946" w14:textId="77777777" w:rsidR="000816A0" w:rsidRPr="006F0E95" w:rsidRDefault="000816A0" w:rsidP="006F0E95">
            <w:pPr>
              <w:spacing w:before="120" w:after="120" w:line="360" w:lineRule="auto"/>
              <w:rPr>
                <w:rFonts w:eastAsiaTheme="minorHAnsi" w:cs="Arial"/>
                <w:b/>
                <w:noProof/>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tcPr>
          <w:p w14:paraId="6C6B0FC2" w14:textId="77777777" w:rsidR="000816A0" w:rsidRPr="006F0E95" w:rsidRDefault="000816A0" w:rsidP="006F0E95">
            <w:pPr>
              <w:spacing w:before="120" w:after="120" w:line="360" w:lineRule="auto"/>
              <w:rPr>
                <w:rFonts w:eastAsiaTheme="minorHAnsi" w:cs="Arial"/>
                <w:sz w:val="16"/>
                <w:szCs w:val="16"/>
              </w:rPr>
            </w:pPr>
          </w:p>
        </w:tc>
        <w:tc>
          <w:tcPr>
            <w:tcW w:w="0" w:type="auto"/>
            <w:vMerge/>
            <w:tcBorders>
              <w:top w:val="single" w:sz="4" w:space="0" w:color="auto"/>
              <w:left w:val="single" w:sz="4" w:space="0" w:color="auto"/>
              <w:bottom w:val="single" w:sz="4" w:space="0" w:color="auto"/>
              <w:right w:val="single" w:sz="4" w:space="0" w:color="auto"/>
            </w:tcBorders>
          </w:tcPr>
          <w:p w14:paraId="6248818E" w14:textId="77777777" w:rsidR="000816A0" w:rsidRPr="006F0E95" w:rsidRDefault="000816A0" w:rsidP="006F0E95">
            <w:pPr>
              <w:spacing w:before="120" w:after="120" w:line="360" w:lineRule="auto"/>
              <w:rPr>
                <w:rFonts w:eastAsiaTheme="minorHAnsi" w:cs="Arial"/>
                <w:b/>
                <w:i/>
                <w:noProof/>
                <w:sz w:val="16"/>
                <w:szCs w:val="16"/>
              </w:rPr>
            </w:pPr>
          </w:p>
        </w:tc>
        <w:tc>
          <w:tcPr>
            <w:tcW w:w="664" w:type="dxa"/>
            <w:tcBorders>
              <w:top w:val="single" w:sz="4" w:space="0" w:color="auto"/>
              <w:left w:val="single" w:sz="4" w:space="0" w:color="auto"/>
              <w:bottom w:val="single" w:sz="4" w:space="0" w:color="auto"/>
              <w:right w:val="single" w:sz="4" w:space="0" w:color="auto"/>
            </w:tcBorders>
          </w:tcPr>
          <w:p w14:paraId="129F1D00" w14:textId="2AF854EC" w:rsidR="000816A0" w:rsidRPr="00AC29EA" w:rsidRDefault="007706DE" w:rsidP="006F0E95">
            <w:pPr>
              <w:spacing w:before="120" w:after="120" w:line="360" w:lineRule="auto"/>
              <w:rPr>
                <w:rFonts w:eastAsiaTheme="minorHAnsi" w:cs="Arial"/>
                <w:noProof/>
                <w:sz w:val="16"/>
                <w:szCs w:val="16"/>
                <w:lang w:val="it-IT"/>
              </w:rPr>
            </w:pPr>
            <w:r>
              <w:rPr>
                <w:rFonts w:eastAsiaTheme="minorHAnsi" w:cs="Arial"/>
                <w:noProof/>
                <w:sz w:val="16"/>
                <w:szCs w:val="16"/>
                <w:lang w:val="it-IT"/>
              </w:rPr>
              <w:t>CR08</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D283880" w14:textId="1A8B2535" w:rsidR="000816A0" w:rsidRPr="006F0E95" w:rsidRDefault="000816A0" w:rsidP="006F0E95">
            <w:pPr>
              <w:spacing w:before="120" w:after="120" w:line="360" w:lineRule="auto"/>
              <w:rPr>
                <w:rFonts w:eastAsiaTheme="minorHAnsi" w:cs="Arial"/>
                <w:noProof/>
                <w:sz w:val="16"/>
                <w:szCs w:val="16"/>
                <w:lang w:val="en-US"/>
              </w:rPr>
            </w:pPr>
            <w:r w:rsidRPr="006F0E95">
              <w:rPr>
                <w:rFonts w:eastAsiaTheme="minorHAnsi" w:cs="Arial"/>
                <w:noProof/>
                <w:sz w:val="16"/>
                <w:szCs w:val="16"/>
                <w:lang w:val="en-US"/>
              </w:rPr>
              <w:t>Osebe, ki imajo koristi od operacije</w:t>
            </w:r>
          </w:p>
        </w:tc>
        <w:tc>
          <w:tcPr>
            <w:tcW w:w="0" w:type="auto"/>
            <w:tcBorders>
              <w:top w:val="single" w:sz="4" w:space="0" w:color="auto"/>
              <w:left w:val="single" w:sz="4" w:space="0" w:color="auto"/>
              <w:bottom w:val="single" w:sz="4" w:space="0" w:color="auto"/>
            </w:tcBorders>
          </w:tcPr>
          <w:p w14:paraId="0B0C8CDA" w14:textId="77777777" w:rsidR="000816A0" w:rsidRPr="006F0E95" w:rsidRDefault="000816A0"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Število</w:t>
            </w:r>
          </w:p>
        </w:tc>
        <w:tc>
          <w:tcPr>
            <w:tcW w:w="0" w:type="auto"/>
          </w:tcPr>
          <w:p w14:paraId="7B842E88" w14:textId="0E6B8584" w:rsidR="000816A0" w:rsidRPr="006F0E95" w:rsidRDefault="000816A0"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0" w:type="auto"/>
          </w:tcPr>
          <w:p w14:paraId="18F9FF1C" w14:textId="77777777" w:rsidR="000816A0" w:rsidRPr="006F0E95" w:rsidRDefault="000816A0"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2020</w:t>
            </w:r>
          </w:p>
        </w:tc>
        <w:tc>
          <w:tcPr>
            <w:tcW w:w="0" w:type="auto"/>
            <w:shd w:val="clear" w:color="auto" w:fill="auto"/>
          </w:tcPr>
          <w:p w14:paraId="49BC97A2" w14:textId="25687294" w:rsidR="000816A0" w:rsidRPr="006F0E95" w:rsidRDefault="004F42E5" w:rsidP="006F0E9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30</w:t>
            </w:r>
          </w:p>
        </w:tc>
        <w:tc>
          <w:tcPr>
            <w:tcW w:w="0" w:type="auto"/>
            <w:vMerge/>
            <w:shd w:val="clear" w:color="auto" w:fill="auto"/>
          </w:tcPr>
          <w:p w14:paraId="6312001C" w14:textId="77777777" w:rsidR="000816A0" w:rsidRPr="006F0E95" w:rsidRDefault="000816A0" w:rsidP="006F0E95">
            <w:pPr>
              <w:spacing w:before="120" w:after="120" w:line="480" w:lineRule="auto"/>
              <w:rPr>
                <w:rFonts w:eastAsiaTheme="minorHAnsi" w:cs="Arial"/>
                <w:noProof/>
                <w:sz w:val="16"/>
                <w:szCs w:val="16"/>
                <w:lang w:val="en-GB"/>
              </w:rPr>
            </w:pPr>
          </w:p>
        </w:tc>
        <w:tc>
          <w:tcPr>
            <w:tcW w:w="0" w:type="auto"/>
            <w:vMerge/>
          </w:tcPr>
          <w:p w14:paraId="449B1F58" w14:textId="77777777" w:rsidR="000816A0" w:rsidRPr="006F0E95" w:rsidRDefault="000816A0" w:rsidP="006F0E95">
            <w:pPr>
              <w:rPr>
                <w:rFonts w:cs="Arial"/>
                <w:noProof/>
                <w:sz w:val="16"/>
                <w:szCs w:val="16"/>
                <w:lang w:val="en-GB"/>
              </w:rPr>
            </w:pPr>
          </w:p>
        </w:tc>
      </w:tr>
      <w:tr w:rsidR="006B0922" w:rsidRPr="00541A12" w14:paraId="1D3C4C1E" w14:textId="77777777" w:rsidTr="006B0922">
        <w:trPr>
          <w:trHeight w:val="434"/>
        </w:trPr>
        <w:tc>
          <w:tcPr>
            <w:tcW w:w="0" w:type="auto"/>
            <w:vMerge/>
            <w:tcBorders>
              <w:top w:val="single" w:sz="4" w:space="0" w:color="auto"/>
              <w:bottom w:val="single" w:sz="4" w:space="0" w:color="auto"/>
              <w:right w:val="single" w:sz="4" w:space="0" w:color="auto"/>
            </w:tcBorders>
          </w:tcPr>
          <w:p w14:paraId="03EDE83B" w14:textId="77777777" w:rsidR="000816A0" w:rsidRPr="006F0E95" w:rsidRDefault="000816A0" w:rsidP="006F0E95">
            <w:pPr>
              <w:spacing w:before="120" w:after="120" w:line="360" w:lineRule="auto"/>
              <w:rPr>
                <w:rFonts w:eastAsiaTheme="minorHAnsi" w:cs="Arial"/>
                <w:b/>
                <w:noProof/>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58F2D0BC" w14:textId="254E4DCE" w:rsidR="000816A0" w:rsidRPr="006F0E95" w:rsidRDefault="000816A0" w:rsidP="006F0E95">
            <w:pPr>
              <w:spacing w:before="120" w:after="120" w:line="360" w:lineRule="auto"/>
              <w:rPr>
                <w:rFonts w:eastAsiaTheme="minorHAnsi" w:cs="Arial"/>
                <w:sz w:val="16"/>
                <w:szCs w:val="16"/>
              </w:rPr>
            </w:pPr>
            <w:r w:rsidRPr="00C45988">
              <w:rPr>
                <w:rFonts w:eastAsiaTheme="minorHAnsi" w:cs="Arial"/>
                <w:sz w:val="16"/>
                <w:szCs w:val="16"/>
              </w:rPr>
              <w:t>Povečanje energetske učinkovitosti in zmanjšanje misij C02 z zamenjavo ali posodobitvijo motorjev ribiških plovil</w:t>
            </w:r>
          </w:p>
        </w:tc>
        <w:tc>
          <w:tcPr>
            <w:tcW w:w="0" w:type="auto"/>
            <w:vMerge/>
            <w:tcBorders>
              <w:top w:val="single" w:sz="4" w:space="0" w:color="auto"/>
              <w:left w:val="single" w:sz="4" w:space="0" w:color="auto"/>
              <w:bottom w:val="single" w:sz="4" w:space="0" w:color="auto"/>
              <w:right w:val="single" w:sz="4" w:space="0" w:color="auto"/>
            </w:tcBorders>
          </w:tcPr>
          <w:p w14:paraId="763EAA10" w14:textId="57B4823C" w:rsidR="000816A0" w:rsidRPr="006F0E95" w:rsidRDefault="000816A0" w:rsidP="006F0E95">
            <w:pPr>
              <w:spacing w:before="120" w:after="120" w:line="360" w:lineRule="auto"/>
              <w:rPr>
                <w:rFonts w:eastAsiaTheme="minorHAnsi" w:cs="Arial"/>
                <w:b/>
                <w:i/>
                <w:noProof/>
                <w:sz w:val="16"/>
                <w:szCs w:val="16"/>
              </w:rPr>
            </w:pPr>
          </w:p>
        </w:tc>
        <w:tc>
          <w:tcPr>
            <w:tcW w:w="664" w:type="dxa"/>
            <w:tcBorders>
              <w:top w:val="single" w:sz="4" w:space="0" w:color="auto"/>
              <w:left w:val="single" w:sz="4" w:space="0" w:color="auto"/>
              <w:bottom w:val="single" w:sz="4" w:space="0" w:color="auto"/>
              <w:right w:val="single" w:sz="4" w:space="0" w:color="auto"/>
            </w:tcBorders>
          </w:tcPr>
          <w:p w14:paraId="5D0F2BFC" w14:textId="226846FA" w:rsidR="000816A0" w:rsidRPr="006F0E95" w:rsidRDefault="007706DE"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CR17</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A174C46" w14:textId="18A3D1A3" w:rsidR="000816A0" w:rsidRDefault="008151F3" w:rsidP="000816A0">
            <w:pPr>
              <w:spacing w:before="120" w:after="120" w:line="360" w:lineRule="auto"/>
              <w:rPr>
                <w:rFonts w:eastAsiaTheme="minorHAnsi" w:cs="Arial"/>
                <w:noProof/>
                <w:sz w:val="16"/>
                <w:szCs w:val="16"/>
                <w:lang w:val="en-GB"/>
              </w:rPr>
            </w:pPr>
            <w:r>
              <w:rPr>
                <w:rFonts w:eastAsiaTheme="minorHAnsi" w:cs="Arial"/>
                <w:noProof/>
                <w:sz w:val="16"/>
                <w:szCs w:val="16"/>
                <w:lang w:val="en-GB"/>
              </w:rPr>
              <w:t>Poraba energije, ki vodi v zmanjšanje emisij CO2</w:t>
            </w:r>
          </w:p>
        </w:tc>
        <w:tc>
          <w:tcPr>
            <w:tcW w:w="0" w:type="auto"/>
            <w:tcBorders>
              <w:top w:val="single" w:sz="4" w:space="0" w:color="auto"/>
              <w:left w:val="single" w:sz="4" w:space="0" w:color="auto"/>
              <w:bottom w:val="single" w:sz="4" w:space="0" w:color="auto"/>
            </w:tcBorders>
          </w:tcPr>
          <w:p w14:paraId="5AD5D838" w14:textId="584AC7C0" w:rsidR="000816A0" w:rsidRPr="006F0E95" w:rsidRDefault="008151F3"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Litri/h</w:t>
            </w:r>
          </w:p>
        </w:tc>
        <w:tc>
          <w:tcPr>
            <w:tcW w:w="0" w:type="auto"/>
            <w:tcBorders>
              <w:bottom w:val="single" w:sz="4" w:space="0" w:color="auto"/>
            </w:tcBorders>
          </w:tcPr>
          <w:p w14:paraId="58D4BE6C" w14:textId="490EACC2" w:rsidR="000816A0" w:rsidRPr="006F0E95" w:rsidRDefault="000816A0"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0" w:type="auto"/>
            <w:tcBorders>
              <w:bottom w:val="single" w:sz="4" w:space="0" w:color="auto"/>
            </w:tcBorders>
          </w:tcPr>
          <w:p w14:paraId="749A2C84" w14:textId="188AA50C" w:rsidR="000816A0" w:rsidRPr="006F0E95" w:rsidRDefault="000816A0"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0" w:type="auto"/>
            <w:tcBorders>
              <w:bottom w:val="single" w:sz="4" w:space="0" w:color="auto"/>
            </w:tcBorders>
            <w:shd w:val="clear" w:color="auto" w:fill="auto"/>
          </w:tcPr>
          <w:p w14:paraId="59AACABF" w14:textId="5E0D98C8" w:rsidR="000816A0" w:rsidRPr="00541A12" w:rsidRDefault="008151F3" w:rsidP="006F0E9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44</w:t>
            </w:r>
          </w:p>
        </w:tc>
        <w:tc>
          <w:tcPr>
            <w:tcW w:w="0" w:type="auto"/>
            <w:vMerge/>
            <w:tcBorders>
              <w:bottom w:val="single" w:sz="4" w:space="0" w:color="auto"/>
            </w:tcBorders>
            <w:shd w:val="clear" w:color="auto" w:fill="auto"/>
          </w:tcPr>
          <w:p w14:paraId="0830F8E7" w14:textId="77777777" w:rsidR="000816A0" w:rsidRPr="00AC29EA" w:rsidRDefault="000816A0" w:rsidP="006F0E95">
            <w:pPr>
              <w:spacing w:before="120" w:after="120" w:line="480" w:lineRule="auto"/>
              <w:rPr>
                <w:rFonts w:eastAsiaTheme="minorHAnsi" w:cs="Arial"/>
                <w:noProof/>
                <w:sz w:val="16"/>
                <w:szCs w:val="16"/>
                <w:lang w:val="it-IT"/>
              </w:rPr>
            </w:pPr>
          </w:p>
        </w:tc>
        <w:tc>
          <w:tcPr>
            <w:tcW w:w="0" w:type="auto"/>
            <w:vMerge/>
            <w:tcBorders>
              <w:bottom w:val="single" w:sz="4" w:space="0" w:color="auto"/>
            </w:tcBorders>
          </w:tcPr>
          <w:p w14:paraId="59C95E87" w14:textId="77777777" w:rsidR="000816A0" w:rsidRPr="008E6BB7" w:rsidRDefault="000816A0" w:rsidP="006F0E95">
            <w:pPr>
              <w:rPr>
                <w:noProof/>
                <w:sz w:val="16"/>
                <w:szCs w:val="16"/>
                <w:lang w:val="en-GB"/>
              </w:rPr>
            </w:pPr>
          </w:p>
        </w:tc>
      </w:tr>
      <w:tr w:rsidR="00246841" w:rsidRPr="00541A12" w14:paraId="5BE93BB3" w14:textId="77777777" w:rsidTr="00714475">
        <w:trPr>
          <w:trHeight w:val="434"/>
        </w:trPr>
        <w:tc>
          <w:tcPr>
            <w:tcW w:w="0" w:type="auto"/>
            <w:vMerge/>
            <w:tcBorders>
              <w:top w:val="single" w:sz="4" w:space="0" w:color="auto"/>
            </w:tcBorders>
          </w:tcPr>
          <w:p w14:paraId="02256721" w14:textId="77777777" w:rsidR="006F0E95" w:rsidRPr="006F0E95" w:rsidRDefault="006F0E95" w:rsidP="006F0E95">
            <w:pPr>
              <w:spacing w:before="120" w:after="120" w:line="360" w:lineRule="auto"/>
              <w:rPr>
                <w:rFonts w:eastAsiaTheme="minorHAnsi" w:cs="Arial"/>
                <w:b/>
                <w:noProof/>
                <w:sz w:val="16"/>
                <w:szCs w:val="16"/>
                <w:lang w:val="en-GB"/>
              </w:rPr>
            </w:pPr>
          </w:p>
        </w:tc>
        <w:tc>
          <w:tcPr>
            <w:tcW w:w="0" w:type="auto"/>
            <w:tcBorders>
              <w:top w:val="single" w:sz="4" w:space="0" w:color="auto"/>
            </w:tcBorders>
          </w:tcPr>
          <w:p w14:paraId="6FF20838" w14:textId="77777777" w:rsidR="006F0E95" w:rsidRPr="006F0E95" w:rsidRDefault="006F0E95" w:rsidP="006F0E95">
            <w:pPr>
              <w:spacing w:before="120" w:after="120" w:line="360" w:lineRule="auto"/>
              <w:rPr>
                <w:rFonts w:eastAsiaTheme="minorHAnsi" w:cs="Arial"/>
                <w:sz w:val="16"/>
                <w:szCs w:val="16"/>
              </w:rPr>
            </w:pPr>
            <w:r w:rsidRPr="006F0E95">
              <w:rPr>
                <w:rFonts w:eastAsiaTheme="minorHAnsi" w:cs="Arial"/>
                <w:sz w:val="16"/>
                <w:szCs w:val="16"/>
              </w:rPr>
              <w:t>Spodbujanje prilagajanja ribolovnih zmogljivosti ribolovnim možnostim v primerih trajnega prenehanje ribolovnih dejavnosti in prispevanje k primernemu življenjskemu standardu v primerih začasnega prenehanja ribolovnih dejavnosti</w:t>
            </w:r>
          </w:p>
        </w:tc>
        <w:tc>
          <w:tcPr>
            <w:tcW w:w="0" w:type="auto"/>
            <w:tcBorders>
              <w:top w:val="single" w:sz="4" w:space="0" w:color="auto"/>
            </w:tcBorders>
          </w:tcPr>
          <w:p w14:paraId="33324522" w14:textId="77777777" w:rsidR="006F0E95" w:rsidRPr="006F0E95" w:rsidRDefault="006F0E95" w:rsidP="006F0E95">
            <w:pPr>
              <w:spacing w:before="120" w:after="120" w:line="360" w:lineRule="auto"/>
              <w:rPr>
                <w:rFonts w:eastAsiaTheme="minorHAnsi" w:cs="Arial"/>
                <w:b/>
                <w:i/>
                <w:noProof/>
                <w:sz w:val="16"/>
                <w:szCs w:val="16"/>
              </w:rPr>
            </w:pPr>
            <w:r w:rsidRPr="006F0E95">
              <w:rPr>
                <w:rFonts w:eastAsiaTheme="minorHAnsi" w:cs="Arial"/>
                <w:b/>
                <w:i/>
                <w:noProof/>
                <w:sz w:val="16"/>
                <w:szCs w:val="16"/>
              </w:rPr>
              <w:t>ESPRA</w:t>
            </w:r>
          </w:p>
        </w:tc>
        <w:tc>
          <w:tcPr>
            <w:tcW w:w="664" w:type="dxa"/>
            <w:tcBorders>
              <w:top w:val="single" w:sz="4" w:space="0" w:color="auto"/>
            </w:tcBorders>
          </w:tcPr>
          <w:p w14:paraId="2A92EC6A" w14:textId="68EEB7F6" w:rsidR="006F0E95" w:rsidRPr="006F0E95" w:rsidRDefault="007706DE"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CR08</w:t>
            </w:r>
          </w:p>
        </w:tc>
        <w:tc>
          <w:tcPr>
            <w:tcW w:w="1381" w:type="dxa"/>
            <w:tcBorders>
              <w:top w:val="single" w:sz="4" w:space="0" w:color="auto"/>
              <w:bottom w:val="single" w:sz="4" w:space="0" w:color="auto"/>
            </w:tcBorders>
            <w:shd w:val="clear" w:color="auto" w:fill="auto"/>
          </w:tcPr>
          <w:p w14:paraId="618467C9" w14:textId="293763B9" w:rsidR="006F0E95" w:rsidRPr="006F0E95" w:rsidRDefault="00541A1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 xml:space="preserve">Osebe, ki imajo koristi od operacije </w:t>
            </w:r>
          </w:p>
        </w:tc>
        <w:tc>
          <w:tcPr>
            <w:tcW w:w="0" w:type="auto"/>
            <w:tcBorders>
              <w:top w:val="single" w:sz="4" w:space="0" w:color="auto"/>
              <w:bottom w:val="single" w:sz="4" w:space="0" w:color="auto"/>
            </w:tcBorders>
          </w:tcPr>
          <w:p w14:paraId="2F8E7C96"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Število</w:t>
            </w:r>
          </w:p>
        </w:tc>
        <w:tc>
          <w:tcPr>
            <w:tcW w:w="0" w:type="auto"/>
            <w:tcBorders>
              <w:bottom w:val="single" w:sz="4" w:space="0" w:color="auto"/>
            </w:tcBorders>
          </w:tcPr>
          <w:p w14:paraId="084E55EB"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0</w:t>
            </w:r>
          </w:p>
        </w:tc>
        <w:tc>
          <w:tcPr>
            <w:tcW w:w="0" w:type="auto"/>
            <w:tcBorders>
              <w:bottom w:val="single" w:sz="4" w:space="0" w:color="auto"/>
            </w:tcBorders>
          </w:tcPr>
          <w:p w14:paraId="4042E087"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2020</w:t>
            </w:r>
          </w:p>
        </w:tc>
        <w:tc>
          <w:tcPr>
            <w:tcW w:w="0" w:type="auto"/>
            <w:tcBorders>
              <w:bottom w:val="single" w:sz="4" w:space="0" w:color="auto"/>
            </w:tcBorders>
            <w:shd w:val="clear" w:color="auto" w:fill="auto"/>
          </w:tcPr>
          <w:p w14:paraId="60AC71CF" w14:textId="388C7A53" w:rsidR="006F0E95" w:rsidRPr="006F0E95" w:rsidRDefault="000816A0" w:rsidP="006F0E9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15</w:t>
            </w:r>
          </w:p>
        </w:tc>
        <w:tc>
          <w:tcPr>
            <w:tcW w:w="0" w:type="auto"/>
            <w:tcBorders>
              <w:bottom w:val="single" w:sz="4" w:space="0" w:color="auto"/>
            </w:tcBorders>
            <w:shd w:val="clear" w:color="auto" w:fill="auto"/>
          </w:tcPr>
          <w:p w14:paraId="5296F913" w14:textId="01A0835A" w:rsidR="006F0E95" w:rsidRPr="00AC29EA" w:rsidRDefault="006F0E95" w:rsidP="006F0E95">
            <w:pPr>
              <w:spacing w:before="120" w:after="120" w:line="480" w:lineRule="auto"/>
              <w:rPr>
                <w:rFonts w:eastAsiaTheme="minorHAnsi" w:cs="Arial"/>
                <w:noProof/>
                <w:sz w:val="16"/>
                <w:szCs w:val="16"/>
                <w:lang w:val="it-IT"/>
              </w:rPr>
            </w:pPr>
            <w:r w:rsidRPr="00AC29EA">
              <w:rPr>
                <w:rFonts w:eastAsiaTheme="minorHAnsi" w:cs="Arial"/>
                <w:noProof/>
                <w:sz w:val="16"/>
                <w:szCs w:val="16"/>
                <w:lang w:val="it-IT"/>
              </w:rPr>
              <w:t>Delavnice z morskimi ribiči in izkazan interesen s strani ribičev.</w:t>
            </w:r>
            <w:r w:rsidR="00541A12" w:rsidRPr="00AC29EA">
              <w:rPr>
                <w:rFonts w:eastAsiaTheme="minorHAnsi" w:cs="Arial"/>
                <w:noProof/>
                <w:sz w:val="16"/>
                <w:szCs w:val="16"/>
                <w:lang w:val="it-IT"/>
              </w:rPr>
              <w:t xml:space="preserve"> Podatki o aktivnih plovilih na podlagi evidence o slovenski ribiški floti</w:t>
            </w:r>
          </w:p>
        </w:tc>
        <w:tc>
          <w:tcPr>
            <w:tcW w:w="0" w:type="auto"/>
            <w:tcBorders>
              <w:bottom w:val="single" w:sz="4" w:space="0" w:color="auto"/>
            </w:tcBorders>
          </w:tcPr>
          <w:p w14:paraId="04DE36CE" w14:textId="5D58E071" w:rsidR="006F0E95" w:rsidRPr="006F0E95" w:rsidRDefault="00541A12" w:rsidP="006F0E95">
            <w:pPr>
              <w:rPr>
                <w:noProof/>
                <w:sz w:val="16"/>
                <w:szCs w:val="16"/>
                <w:lang w:val="fr-FR"/>
              </w:rPr>
            </w:pPr>
            <w:r w:rsidRPr="00541A12">
              <w:rPr>
                <w:noProof/>
                <w:sz w:val="16"/>
                <w:szCs w:val="16"/>
                <w:lang w:val="fr-FR"/>
              </w:rPr>
              <w:t>Več v metodologiji, ki je priloga OP ESPRA 2021-2027</w:t>
            </w:r>
          </w:p>
        </w:tc>
      </w:tr>
      <w:tr w:rsidR="00246841" w:rsidRPr="00541A12" w14:paraId="0924637F" w14:textId="77777777" w:rsidTr="00541A12">
        <w:trPr>
          <w:trHeight w:val="434"/>
        </w:trPr>
        <w:tc>
          <w:tcPr>
            <w:tcW w:w="0" w:type="auto"/>
            <w:vMerge/>
          </w:tcPr>
          <w:p w14:paraId="1DA42B14" w14:textId="77777777" w:rsidR="006F0E95" w:rsidRPr="006F0E95" w:rsidRDefault="006F0E95" w:rsidP="006F0E95">
            <w:pPr>
              <w:spacing w:before="120" w:after="120" w:line="360" w:lineRule="auto"/>
              <w:rPr>
                <w:rFonts w:eastAsiaTheme="minorHAnsi" w:cs="Arial"/>
                <w:b/>
                <w:noProof/>
                <w:sz w:val="16"/>
                <w:szCs w:val="16"/>
                <w:lang w:val="fr-FR"/>
              </w:rPr>
            </w:pPr>
          </w:p>
        </w:tc>
        <w:tc>
          <w:tcPr>
            <w:tcW w:w="0" w:type="auto"/>
            <w:vMerge w:val="restart"/>
          </w:tcPr>
          <w:p w14:paraId="3E156B11" w14:textId="77777777" w:rsidR="006F0E95" w:rsidRPr="006F0E95" w:rsidRDefault="006F0E95" w:rsidP="006F0E95">
            <w:pPr>
              <w:spacing w:before="120" w:after="120" w:line="360" w:lineRule="auto"/>
              <w:rPr>
                <w:rFonts w:eastAsiaTheme="minorHAnsi" w:cs="Arial"/>
                <w:sz w:val="16"/>
                <w:szCs w:val="16"/>
              </w:rPr>
            </w:pPr>
            <w:r w:rsidRPr="006F0E95">
              <w:rPr>
                <w:rFonts w:eastAsiaTheme="minorHAnsi" w:cs="Arial"/>
                <w:sz w:val="16"/>
                <w:szCs w:val="16"/>
              </w:rPr>
              <w:t>Spodbujanje učinkovitega nadzora ribištva in izvrševanja zakonodaje ter pridobivanja zanesljivih podatkov za odločanje, ki bo temeljilo na znanju</w:t>
            </w:r>
          </w:p>
        </w:tc>
        <w:tc>
          <w:tcPr>
            <w:tcW w:w="0" w:type="auto"/>
            <w:vMerge w:val="restart"/>
          </w:tcPr>
          <w:p w14:paraId="56B94BFB" w14:textId="77777777" w:rsidR="006F0E95" w:rsidRPr="006F0E95" w:rsidRDefault="006F0E95" w:rsidP="006F0E95">
            <w:pPr>
              <w:spacing w:before="120" w:after="120" w:line="360" w:lineRule="auto"/>
              <w:rPr>
                <w:rFonts w:eastAsiaTheme="minorHAnsi" w:cs="Arial"/>
                <w:b/>
                <w:i/>
                <w:noProof/>
                <w:sz w:val="16"/>
                <w:szCs w:val="16"/>
              </w:rPr>
            </w:pPr>
            <w:r w:rsidRPr="006F0E95">
              <w:rPr>
                <w:rFonts w:eastAsiaTheme="minorHAnsi" w:cs="Arial"/>
                <w:b/>
                <w:i/>
                <w:noProof/>
                <w:sz w:val="16"/>
                <w:szCs w:val="16"/>
              </w:rPr>
              <w:t>ESPRA</w:t>
            </w:r>
          </w:p>
        </w:tc>
        <w:tc>
          <w:tcPr>
            <w:tcW w:w="664" w:type="dxa"/>
          </w:tcPr>
          <w:p w14:paraId="1DA4D01A" w14:textId="74293106" w:rsidR="006F0E95" w:rsidRPr="008E6BB7" w:rsidRDefault="007706DE"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CR12</w:t>
            </w:r>
          </w:p>
        </w:tc>
        <w:tc>
          <w:tcPr>
            <w:tcW w:w="1381" w:type="dxa"/>
            <w:tcBorders>
              <w:bottom w:val="single" w:sz="4" w:space="0" w:color="auto"/>
            </w:tcBorders>
            <w:shd w:val="clear" w:color="auto" w:fill="auto"/>
          </w:tcPr>
          <w:p w14:paraId="56D028D8"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Učinkovitost sistema za “zbiranje, upravljanje in uporabo podatkov” zahtevane kakovosti</w:t>
            </w:r>
          </w:p>
        </w:tc>
        <w:tc>
          <w:tcPr>
            <w:tcW w:w="0" w:type="auto"/>
            <w:tcBorders>
              <w:bottom w:val="single" w:sz="4" w:space="0" w:color="auto"/>
            </w:tcBorders>
          </w:tcPr>
          <w:p w14:paraId="0ABBD78A"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Število</w:t>
            </w:r>
          </w:p>
        </w:tc>
        <w:tc>
          <w:tcPr>
            <w:tcW w:w="0" w:type="auto"/>
            <w:tcBorders>
              <w:bottom w:val="single" w:sz="4" w:space="0" w:color="auto"/>
            </w:tcBorders>
          </w:tcPr>
          <w:p w14:paraId="63488047"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0</w:t>
            </w:r>
          </w:p>
        </w:tc>
        <w:tc>
          <w:tcPr>
            <w:tcW w:w="0" w:type="auto"/>
            <w:tcBorders>
              <w:bottom w:val="single" w:sz="4" w:space="0" w:color="auto"/>
            </w:tcBorders>
          </w:tcPr>
          <w:p w14:paraId="6F6E1801"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2020</w:t>
            </w:r>
          </w:p>
        </w:tc>
        <w:tc>
          <w:tcPr>
            <w:tcW w:w="0" w:type="auto"/>
            <w:tcBorders>
              <w:bottom w:val="single" w:sz="4" w:space="0" w:color="auto"/>
            </w:tcBorders>
            <w:shd w:val="clear" w:color="auto" w:fill="auto"/>
          </w:tcPr>
          <w:p w14:paraId="6D9BD400" w14:textId="622EE49A" w:rsidR="006F0E95" w:rsidRPr="006F0E95" w:rsidRDefault="009D42E6" w:rsidP="006F0E9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 xml:space="preserve">3 = </w:t>
            </w:r>
            <w:r w:rsidR="006F0E95" w:rsidRPr="006F0E95">
              <w:rPr>
                <w:rFonts w:eastAsiaTheme="minorHAnsi" w:cs="Arial"/>
                <w:noProof/>
                <w:sz w:val="16"/>
                <w:szCs w:val="16"/>
                <w:lang w:val="en-GB"/>
              </w:rPr>
              <w:t>visoka</w:t>
            </w:r>
          </w:p>
        </w:tc>
        <w:tc>
          <w:tcPr>
            <w:tcW w:w="0" w:type="auto"/>
            <w:tcBorders>
              <w:bottom w:val="single" w:sz="4" w:space="0" w:color="auto"/>
            </w:tcBorders>
            <w:shd w:val="clear" w:color="auto" w:fill="auto"/>
          </w:tcPr>
          <w:p w14:paraId="0E20E4BC" w14:textId="129B5DD5" w:rsidR="006F0E95" w:rsidRPr="006F0E95" w:rsidRDefault="00541A12" w:rsidP="00541A12">
            <w:pPr>
              <w:spacing w:before="120" w:after="120" w:line="480" w:lineRule="auto"/>
              <w:rPr>
                <w:rFonts w:eastAsiaTheme="minorHAnsi" w:cs="Arial"/>
                <w:noProof/>
                <w:sz w:val="16"/>
                <w:szCs w:val="16"/>
                <w:lang w:val="en-GB"/>
              </w:rPr>
            </w:pPr>
            <w:r>
              <w:rPr>
                <w:rFonts w:eastAsiaTheme="minorHAnsi" w:cs="Arial"/>
                <w:noProof/>
                <w:sz w:val="16"/>
                <w:szCs w:val="16"/>
                <w:lang w:val="en-GB"/>
              </w:rPr>
              <w:t>Podatki iz perspektive 2014-2020, izkušnje z izvajanjem ukrepa zbianje podatkov</w:t>
            </w:r>
          </w:p>
        </w:tc>
        <w:tc>
          <w:tcPr>
            <w:tcW w:w="0" w:type="auto"/>
            <w:tcBorders>
              <w:bottom w:val="single" w:sz="4" w:space="0" w:color="auto"/>
            </w:tcBorders>
          </w:tcPr>
          <w:p w14:paraId="1EF3C6F5" w14:textId="7058CFF1" w:rsidR="006F0E95" w:rsidRPr="006F0E95" w:rsidRDefault="00541A12" w:rsidP="006F0E95">
            <w:pPr>
              <w:rPr>
                <w:noProof/>
                <w:sz w:val="16"/>
                <w:szCs w:val="16"/>
                <w:lang w:val="fr-FR"/>
              </w:rPr>
            </w:pPr>
            <w:r w:rsidRPr="00541A12">
              <w:rPr>
                <w:noProof/>
                <w:sz w:val="16"/>
                <w:szCs w:val="16"/>
                <w:lang w:val="fr-FR"/>
              </w:rPr>
              <w:t>Več v metodologiji, ki je priloga OP ESPRA 2021-2027</w:t>
            </w:r>
          </w:p>
        </w:tc>
      </w:tr>
      <w:tr w:rsidR="00246841" w:rsidRPr="00541A12" w14:paraId="15DF6102" w14:textId="77777777" w:rsidTr="00541A12">
        <w:trPr>
          <w:trHeight w:val="434"/>
        </w:trPr>
        <w:tc>
          <w:tcPr>
            <w:tcW w:w="0" w:type="auto"/>
            <w:vMerge/>
          </w:tcPr>
          <w:p w14:paraId="7DC9F906" w14:textId="77777777" w:rsidR="00541A12" w:rsidRPr="00541A12" w:rsidRDefault="00541A12" w:rsidP="006F0E95">
            <w:pPr>
              <w:spacing w:before="120" w:after="120" w:line="360" w:lineRule="auto"/>
              <w:rPr>
                <w:rFonts w:eastAsiaTheme="minorHAnsi" w:cs="Arial"/>
                <w:b/>
                <w:noProof/>
                <w:sz w:val="16"/>
                <w:szCs w:val="16"/>
                <w:lang w:val="fr-FR"/>
              </w:rPr>
            </w:pPr>
          </w:p>
        </w:tc>
        <w:tc>
          <w:tcPr>
            <w:tcW w:w="0" w:type="auto"/>
            <w:vMerge/>
          </w:tcPr>
          <w:p w14:paraId="486363A0" w14:textId="77777777" w:rsidR="00541A12" w:rsidRPr="006F0E95" w:rsidRDefault="00541A12" w:rsidP="006F0E95">
            <w:pPr>
              <w:spacing w:before="120" w:after="120" w:line="360" w:lineRule="auto"/>
              <w:rPr>
                <w:rFonts w:eastAsiaTheme="minorHAnsi" w:cs="Arial"/>
                <w:sz w:val="16"/>
                <w:szCs w:val="16"/>
              </w:rPr>
            </w:pPr>
          </w:p>
        </w:tc>
        <w:tc>
          <w:tcPr>
            <w:tcW w:w="0" w:type="auto"/>
            <w:vMerge/>
          </w:tcPr>
          <w:p w14:paraId="27F1C220" w14:textId="77777777" w:rsidR="00541A12" w:rsidRPr="006F0E95" w:rsidRDefault="00541A12" w:rsidP="006F0E95">
            <w:pPr>
              <w:spacing w:before="120" w:after="120" w:line="360" w:lineRule="auto"/>
              <w:rPr>
                <w:rFonts w:eastAsiaTheme="minorHAnsi" w:cs="Arial"/>
                <w:b/>
                <w:i/>
                <w:noProof/>
                <w:sz w:val="16"/>
                <w:szCs w:val="16"/>
              </w:rPr>
            </w:pPr>
          </w:p>
        </w:tc>
        <w:tc>
          <w:tcPr>
            <w:tcW w:w="664" w:type="dxa"/>
          </w:tcPr>
          <w:p w14:paraId="00B106AB" w14:textId="4CE42AE6" w:rsidR="00541A12" w:rsidRPr="008E6BB7" w:rsidRDefault="007706DE"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CR15</w:t>
            </w:r>
          </w:p>
        </w:tc>
        <w:tc>
          <w:tcPr>
            <w:tcW w:w="1381" w:type="dxa"/>
            <w:tcBorders>
              <w:top w:val="single" w:sz="4" w:space="0" w:color="auto"/>
              <w:bottom w:val="single" w:sz="4" w:space="0" w:color="auto"/>
              <w:right w:val="single" w:sz="4" w:space="0" w:color="auto"/>
            </w:tcBorders>
            <w:shd w:val="clear" w:color="auto" w:fill="auto"/>
          </w:tcPr>
          <w:p w14:paraId="225974B6" w14:textId="2F747983" w:rsidR="00541A12" w:rsidRPr="00AC29EA" w:rsidRDefault="00E86F46" w:rsidP="00E86F46">
            <w:pPr>
              <w:spacing w:before="120" w:after="120" w:line="360" w:lineRule="auto"/>
              <w:rPr>
                <w:rFonts w:eastAsiaTheme="minorHAnsi" w:cs="Arial"/>
                <w:noProof/>
                <w:sz w:val="16"/>
                <w:szCs w:val="16"/>
                <w:lang w:val="it-IT"/>
              </w:rPr>
            </w:pPr>
            <w:r>
              <w:rPr>
                <w:rFonts w:eastAsiaTheme="minorHAnsi" w:cs="Arial"/>
                <w:noProof/>
                <w:sz w:val="16"/>
                <w:szCs w:val="16"/>
                <w:lang w:val="it-IT"/>
              </w:rPr>
              <w:t>S</w:t>
            </w:r>
            <w:r w:rsidR="00541A12" w:rsidRPr="00AC29EA">
              <w:rPr>
                <w:rFonts w:eastAsiaTheme="minorHAnsi" w:cs="Arial"/>
                <w:noProof/>
                <w:sz w:val="16"/>
                <w:szCs w:val="16"/>
                <w:lang w:val="it-IT"/>
              </w:rPr>
              <w:t>redstva</w:t>
            </w:r>
            <w:r>
              <w:rPr>
                <w:rFonts w:eastAsiaTheme="minorHAnsi" w:cs="Arial"/>
                <w:noProof/>
                <w:sz w:val="16"/>
                <w:szCs w:val="16"/>
                <w:lang w:val="it-IT"/>
              </w:rPr>
              <w:t xml:space="preserve"> nadzora</w:t>
            </w:r>
            <w:r w:rsidR="00541A12" w:rsidRPr="00AC29EA">
              <w:rPr>
                <w:rFonts w:eastAsiaTheme="minorHAnsi" w:cs="Arial"/>
                <w:noProof/>
                <w:sz w:val="16"/>
                <w:szCs w:val="16"/>
                <w:lang w:val="it-IT"/>
              </w:rPr>
              <w:t xml:space="preserve">, nameščena ali </w:t>
            </w:r>
            <w:r>
              <w:rPr>
                <w:rFonts w:eastAsiaTheme="minorHAnsi" w:cs="Arial"/>
                <w:noProof/>
                <w:sz w:val="16"/>
                <w:szCs w:val="16"/>
                <w:lang w:val="it-IT"/>
              </w:rPr>
              <w:t>posodobljena</w:t>
            </w:r>
          </w:p>
        </w:tc>
        <w:tc>
          <w:tcPr>
            <w:tcW w:w="0" w:type="auto"/>
            <w:tcBorders>
              <w:top w:val="single" w:sz="4" w:space="0" w:color="auto"/>
              <w:left w:val="single" w:sz="4" w:space="0" w:color="auto"/>
              <w:bottom w:val="single" w:sz="4" w:space="0" w:color="auto"/>
              <w:right w:val="single" w:sz="4" w:space="0" w:color="auto"/>
            </w:tcBorders>
          </w:tcPr>
          <w:p w14:paraId="5CDF327F" w14:textId="77777777" w:rsidR="00541A12" w:rsidRPr="00AC29EA" w:rsidRDefault="00541A12" w:rsidP="006F0E95">
            <w:pPr>
              <w:spacing w:before="120" w:after="120" w:line="360" w:lineRule="auto"/>
              <w:rPr>
                <w:rFonts w:eastAsiaTheme="minorHAnsi" w:cs="Arial"/>
                <w:noProof/>
                <w:sz w:val="16"/>
                <w:szCs w:val="16"/>
                <w:lang w:val="it-IT"/>
              </w:rPr>
            </w:pPr>
          </w:p>
        </w:tc>
        <w:tc>
          <w:tcPr>
            <w:tcW w:w="0" w:type="auto"/>
            <w:tcBorders>
              <w:top w:val="single" w:sz="4" w:space="0" w:color="auto"/>
              <w:left w:val="single" w:sz="4" w:space="0" w:color="auto"/>
              <w:bottom w:val="single" w:sz="4" w:space="0" w:color="auto"/>
              <w:right w:val="single" w:sz="4" w:space="0" w:color="auto"/>
            </w:tcBorders>
          </w:tcPr>
          <w:p w14:paraId="79A1294F" w14:textId="2BA39698" w:rsidR="00541A12" w:rsidRPr="006F0E95" w:rsidRDefault="00541A1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0" w:type="auto"/>
            <w:tcBorders>
              <w:top w:val="single" w:sz="4" w:space="0" w:color="auto"/>
              <w:left w:val="single" w:sz="4" w:space="0" w:color="auto"/>
              <w:bottom w:val="single" w:sz="4" w:space="0" w:color="auto"/>
              <w:right w:val="single" w:sz="4" w:space="0" w:color="auto"/>
            </w:tcBorders>
          </w:tcPr>
          <w:p w14:paraId="36BAA4E6" w14:textId="515D7445" w:rsidR="00541A12" w:rsidRDefault="00541A1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4E64B" w14:textId="2C1C02C6" w:rsidR="00541A12" w:rsidRPr="00541A12" w:rsidRDefault="00541A12" w:rsidP="006F0E95">
            <w:pPr>
              <w:spacing w:before="120" w:after="120" w:line="360" w:lineRule="auto"/>
              <w:jc w:val="center"/>
              <w:rPr>
                <w:rFonts w:eastAsiaTheme="minorHAnsi" w:cs="Arial"/>
                <w:noProof/>
                <w:sz w:val="16"/>
                <w:szCs w:val="16"/>
                <w:lang w:val="en-GB"/>
              </w:rPr>
            </w:pPr>
            <w:r w:rsidRPr="00541A12">
              <w:rPr>
                <w:rFonts w:eastAsiaTheme="minorHAnsi" w:cs="Arial"/>
                <w:noProof/>
                <w:sz w:val="16"/>
                <w:szCs w:val="16"/>
                <w:lang w:val="en-GB"/>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A3D0" w14:textId="65224568" w:rsidR="00541A12" w:rsidRPr="006F0E95" w:rsidRDefault="00541A12" w:rsidP="00541A12">
            <w:pPr>
              <w:spacing w:before="120" w:after="120" w:line="480" w:lineRule="auto"/>
              <w:rPr>
                <w:rFonts w:eastAsiaTheme="minorHAnsi" w:cs="Arial"/>
                <w:noProof/>
                <w:sz w:val="16"/>
                <w:szCs w:val="16"/>
                <w:lang w:val="en-GB"/>
              </w:rPr>
            </w:pPr>
            <w:r>
              <w:rPr>
                <w:rFonts w:eastAsiaTheme="minorHAnsi" w:cs="Arial"/>
                <w:noProof/>
                <w:sz w:val="16"/>
                <w:szCs w:val="16"/>
                <w:lang w:val="en-GB"/>
              </w:rPr>
              <w:t>Podatki o plovilih, kjer so nameščena VMS sredstva za nadzor</w:t>
            </w:r>
          </w:p>
        </w:tc>
        <w:tc>
          <w:tcPr>
            <w:tcW w:w="0" w:type="auto"/>
            <w:tcBorders>
              <w:top w:val="single" w:sz="4" w:space="0" w:color="auto"/>
              <w:left w:val="single" w:sz="4" w:space="0" w:color="auto"/>
              <w:bottom w:val="single" w:sz="4" w:space="0" w:color="auto"/>
              <w:right w:val="single" w:sz="4" w:space="0" w:color="auto"/>
            </w:tcBorders>
          </w:tcPr>
          <w:p w14:paraId="098030DE" w14:textId="3A991FD3" w:rsidR="00541A12" w:rsidRPr="00541A12" w:rsidRDefault="00541A12" w:rsidP="006F0E95">
            <w:pPr>
              <w:rPr>
                <w:noProof/>
                <w:sz w:val="16"/>
                <w:szCs w:val="16"/>
                <w:lang w:val="fr-FR"/>
              </w:rPr>
            </w:pPr>
            <w:r w:rsidRPr="00541A12">
              <w:rPr>
                <w:noProof/>
                <w:sz w:val="16"/>
                <w:szCs w:val="16"/>
                <w:lang w:val="fr-FR"/>
              </w:rPr>
              <w:t>Več v metodologiji, ki je priloga OP ESPRA 2021-2027</w:t>
            </w:r>
          </w:p>
        </w:tc>
      </w:tr>
      <w:tr w:rsidR="00246841" w:rsidRPr="00541A12" w14:paraId="08CE33DC" w14:textId="77777777" w:rsidTr="00541A12">
        <w:trPr>
          <w:trHeight w:val="434"/>
        </w:trPr>
        <w:tc>
          <w:tcPr>
            <w:tcW w:w="0" w:type="auto"/>
            <w:vMerge/>
          </w:tcPr>
          <w:p w14:paraId="3F914138" w14:textId="77777777" w:rsidR="006F0E95" w:rsidRPr="006F0E95" w:rsidRDefault="006F0E95" w:rsidP="006F0E95">
            <w:pPr>
              <w:spacing w:before="120" w:after="120" w:line="360" w:lineRule="auto"/>
              <w:rPr>
                <w:rFonts w:eastAsiaTheme="minorHAnsi" w:cs="Arial"/>
                <w:b/>
                <w:noProof/>
                <w:sz w:val="16"/>
                <w:szCs w:val="16"/>
                <w:lang w:val="fr-FR"/>
              </w:rPr>
            </w:pPr>
          </w:p>
        </w:tc>
        <w:tc>
          <w:tcPr>
            <w:tcW w:w="0" w:type="auto"/>
            <w:vMerge/>
          </w:tcPr>
          <w:p w14:paraId="427FCD2C" w14:textId="77777777" w:rsidR="006F0E95" w:rsidRPr="006F0E95" w:rsidRDefault="006F0E95" w:rsidP="006F0E95">
            <w:pPr>
              <w:spacing w:before="120" w:after="120" w:line="360" w:lineRule="auto"/>
              <w:rPr>
                <w:rFonts w:eastAsiaTheme="minorHAnsi" w:cs="Arial"/>
                <w:sz w:val="16"/>
                <w:szCs w:val="16"/>
              </w:rPr>
            </w:pPr>
          </w:p>
        </w:tc>
        <w:tc>
          <w:tcPr>
            <w:tcW w:w="0" w:type="auto"/>
            <w:vMerge/>
          </w:tcPr>
          <w:p w14:paraId="3BEEE3EE" w14:textId="77777777" w:rsidR="006F0E95" w:rsidRPr="006F0E95" w:rsidRDefault="006F0E95" w:rsidP="006F0E95">
            <w:pPr>
              <w:spacing w:before="120" w:after="120" w:line="360" w:lineRule="auto"/>
              <w:rPr>
                <w:rFonts w:eastAsiaTheme="minorHAnsi" w:cs="Arial"/>
                <w:b/>
                <w:i/>
                <w:noProof/>
                <w:sz w:val="16"/>
                <w:szCs w:val="16"/>
              </w:rPr>
            </w:pPr>
          </w:p>
        </w:tc>
        <w:tc>
          <w:tcPr>
            <w:tcW w:w="664" w:type="dxa"/>
          </w:tcPr>
          <w:p w14:paraId="56AAFE39" w14:textId="69473F46" w:rsidR="006F0E95" w:rsidRPr="008E6BB7" w:rsidRDefault="007706DE"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t>CR19</w:t>
            </w:r>
          </w:p>
        </w:tc>
        <w:tc>
          <w:tcPr>
            <w:tcW w:w="1381" w:type="dxa"/>
            <w:tcBorders>
              <w:top w:val="single" w:sz="4" w:space="0" w:color="auto"/>
              <w:bottom w:val="single" w:sz="4" w:space="0" w:color="auto"/>
              <w:right w:val="single" w:sz="4" w:space="0" w:color="auto"/>
            </w:tcBorders>
            <w:shd w:val="clear" w:color="auto" w:fill="auto"/>
          </w:tcPr>
          <w:p w14:paraId="78E7A599" w14:textId="226660B2" w:rsidR="006F0E95" w:rsidRPr="00757E95" w:rsidRDefault="00541A12" w:rsidP="007706DE">
            <w:pPr>
              <w:spacing w:before="120" w:after="120" w:line="360" w:lineRule="auto"/>
              <w:rPr>
                <w:rFonts w:eastAsiaTheme="minorHAnsi" w:cs="Arial"/>
                <w:noProof/>
                <w:sz w:val="16"/>
                <w:szCs w:val="16"/>
                <w:highlight w:val="cyan"/>
                <w:lang w:val="fr-FR"/>
              </w:rPr>
            </w:pPr>
            <w:r w:rsidRPr="000816A0">
              <w:rPr>
                <w:rFonts w:eastAsiaTheme="minorHAnsi" w:cs="Arial"/>
                <w:noProof/>
                <w:sz w:val="16"/>
                <w:szCs w:val="16"/>
                <w:lang w:val="fr-FR"/>
              </w:rPr>
              <w:t xml:space="preserve">Aktivnosti za izboljšanje </w:t>
            </w:r>
            <w:r w:rsidR="007706DE">
              <w:rPr>
                <w:rFonts w:eastAsiaTheme="minorHAnsi" w:cs="Arial"/>
                <w:noProof/>
                <w:sz w:val="16"/>
                <w:szCs w:val="16"/>
                <w:lang w:val="fr-FR"/>
              </w:rPr>
              <w:lastRenderedPageBreak/>
              <w:t xml:space="preserve">upravne </w:t>
            </w:r>
            <w:r w:rsidRPr="000816A0">
              <w:rPr>
                <w:rFonts w:eastAsiaTheme="minorHAnsi" w:cs="Arial"/>
                <w:noProof/>
                <w:sz w:val="16"/>
                <w:szCs w:val="16"/>
                <w:lang w:val="fr-FR"/>
              </w:rPr>
              <w:t xml:space="preserve">zmogljivosti </w:t>
            </w:r>
          </w:p>
        </w:tc>
        <w:tc>
          <w:tcPr>
            <w:tcW w:w="0" w:type="auto"/>
            <w:tcBorders>
              <w:top w:val="single" w:sz="4" w:space="0" w:color="auto"/>
              <w:left w:val="single" w:sz="4" w:space="0" w:color="auto"/>
              <w:bottom w:val="single" w:sz="4" w:space="0" w:color="auto"/>
              <w:right w:val="single" w:sz="4" w:space="0" w:color="auto"/>
            </w:tcBorders>
          </w:tcPr>
          <w:p w14:paraId="69C8D711" w14:textId="19B54F2B" w:rsidR="006F0E95" w:rsidRPr="00AC29EA" w:rsidRDefault="00757E95" w:rsidP="006F0E95">
            <w:pPr>
              <w:spacing w:before="120" w:after="120" w:line="360" w:lineRule="auto"/>
              <w:rPr>
                <w:rFonts w:eastAsiaTheme="minorHAnsi" w:cs="Arial"/>
                <w:noProof/>
                <w:sz w:val="16"/>
                <w:szCs w:val="16"/>
                <w:lang w:val="fr-FR"/>
              </w:rPr>
            </w:pPr>
            <w:r>
              <w:rPr>
                <w:rFonts w:eastAsiaTheme="minorHAnsi" w:cs="Arial"/>
                <w:noProof/>
                <w:sz w:val="16"/>
                <w:szCs w:val="16"/>
                <w:lang w:val="fr-FR"/>
              </w:rPr>
              <w:lastRenderedPageBreak/>
              <w:t>Število</w:t>
            </w:r>
          </w:p>
        </w:tc>
        <w:tc>
          <w:tcPr>
            <w:tcW w:w="0" w:type="auto"/>
            <w:tcBorders>
              <w:top w:val="single" w:sz="4" w:space="0" w:color="auto"/>
              <w:left w:val="single" w:sz="4" w:space="0" w:color="auto"/>
              <w:bottom w:val="single" w:sz="4" w:space="0" w:color="auto"/>
              <w:right w:val="single" w:sz="4" w:space="0" w:color="auto"/>
            </w:tcBorders>
          </w:tcPr>
          <w:p w14:paraId="58EF8403"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0</w:t>
            </w:r>
          </w:p>
        </w:tc>
        <w:tc>
          <w:tcPr>
            <w:tcW w:w="0" w:type="auto"/>
            <w:tcBorders>
              <w:top w:val="single" w:sz="4" w:space="0" w:color="auto"/>
              <w:left w:val="single" w:sz="4" w:space="0" w:color="auto"/>
              <w:bottom w:val="single" w:sz="4" w:space="0" w:color="auto"/>
              <w:right w:val="single" w:sz="4" w:space="0" w:color="auto"/>
            </w:tcBorders>
          </w:tcPr>
          <w:p w14:paraId="77A842F3" w14:textId="065B237E" w:rsidR="006F0E95" w:rsidRPr="006F0E95" w:rsidRDefault="00541A12"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7E31D" w14:textId="4C9858CA" w:rsidR="006F0E95" w:rsidRDefault="00E86F46" w:rsidP="008E6BB7">
            <w:pPr>
              <w:spacing w:before="120" w:after="120" w:line="360" w:lineRule="auto"/>
              <w:rPr>
                <w:rFonts w:eastAsiaTheme="minorHAnsi" w:cs="Arial"/>
                <w:noProof/>
                <w:sz w:val="16"/>
                <w:szCs w:val="16"/>
                <w:lang w:val="en-GB"/>
              </w:rPr>
            </w:pPr>
            <w:r>
              <w:rPr>
                <w:rFonts w:eastAsiaTheme="minorHAnsi" w:cs="Arial"/>
                <w:noProof/>
                <w:sz w:val="16"/>
                <w:szCs w:val="16"/>
                <w:lang w:val="en-GB"/>
              </w:rPr>
              <w:t>22</w:t>
            </w:r>
          </w:p>
          <w:p w14:paraId="3A7110BF" w14:textId="77777777" w:rsidR="00E86F46" w:rsidRDefault="00E86F46" w:rsidP="008E6BB7">
            <w:pPr>
              <w:spacing w:before="120" w:after="120" w:line="360" w:lineRule="auto"/>
              <w:rPr>
                <w:rFonts w:eastAsiaTheme="minorHAnsi" w:cs="Arial"/>
                <w:noProof/>
                <w:sz w:val="16"/>
                <w:szCs w:val="16"/>
                <w:lang w:val="en-GB"/>
              </w:rPr>
            </w:pPr>
          </w:p>
          <w:p w14:paraId="0D1D58A5" w14:textId="00C76770" w:rsidR="00875487" w:rsidRPr="006F0E95" w:rsidRDefault="00875487" w:rsidP="008E6BB7">
            <w:pPr>
              <w:spacing w:before="120" w:after="120" w:line="360" w:lineRule="auto"/>
              <w:rPr>
                <w:rFonts w:eastAsiaTheme="minorHAnsi" w:cs="Arial"/>
                <w:noProof/>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E68DD" w14:textId="04FAE236" w:rsidR="006F0E95" w:rsidRPr="006F0E95" w:rsidRDefault="00541A12" w:rsidP="00541A12">
            <w:pPr>
              <w:spacing w:before="120" w:after="120" w:line="480" w:lineRule="auto"/>
              <w:rPr>
                <w:rFonts w:eastAsiaTheme="minorHAnsi" w:cs="Arial"/>
                <w:noProof/>
                <w:sz w:val="16"/>
                <w:szCs w:val="16"/>
                <w:lang w:val="en-GB"/>
              </w:rPr>
            </w:pPr>
            <w:r>
              <w:rPr>
                <w:rFonts w:eastAsiaTheme="minorHAnsi" w:cs="Arial"/>
                <w:noProof/>
                <w:sz w:val="16"/>
                <w:szCs w:val="16"/>
                <w:lang w:val="en-GB"/>
              </w:rPr>
              <w:lastRenderedPageBreak/>
              <w:t xml:space="preserve">Izkušnje iz perspektive 2014-2020 (število potrjenih </w:t>
            </w:r>
            <w:r>
              <w:rPr>
                <w:rFonts w:eastAsiaTheme="minorHAnsi" w:cs="Arial"/>
                <w:noProof/>
                <w:sz w:val="16"/>
                <w:szCs w:val="16"/>
                <w:lang w:val="en-GB"/>
              </w:rPr>
              <w:lastRenderedPageBreak/>
              <w:t>operacij in izvedenih javnih naročil)</w:t>
            </w:r>
          </w:p>
        </w:tc>
        <w:tc>
          <w:tcPr>
            <w:tcW w:w="0" w:type="auto"/>
            <w:tcBorders>
              <w:top w:val="single" w:sz="4" w:space="0" w:color="auto"/>
              <w:left w:val="single" w:sz="4" w:space="0" w:color="auto"/>
              <w:bottom w:val="single" w:sz="4" w:space="0" w:color="auto"/>
              <w:right w:val="single" w:sz="4" w:space="0" w:color="auto"/>
            </w:tcBorders>
          </w:tcPr>
          <w:p w14:paraId="2469C599" w14:textId="1FB1EADC" w:rsidR="006F0E95" w:rsidRPr="006F0E95" w:rsidRDefault="00541A12" w:rsidP="006F0E95">
            <w:pPr>
              <w:rPr>
                <w:noProof/>
                <w:sz w:val="16"/>
                <w:szCs w:val="16"/>
                <w:lang w:val="fr-FR"/>
              </w:rPr>
            </w:pPr>
            <w:r w:rsidRPr="00541A12">
              <w:rPr>
                <w:noProof/>
                <w:sz w:val="16"/>
                <w:szCs w:val="16"/>
                <w:lang w:val="fr-FR"/>
              </w:rPr>
              <w:lastRenderedPageBreak/>
              <w:t xml:space="preserve">Več v metodologiji, ki je priloga OP </w:t>
            </w:r>
            <w:r w:rsidRPr="00541A12">
              <w:rPr>
                <w:noProof/>
                <w:sz w:val="16"/>
                <w:szCs w:val="16"/>
                <w:lang w:val="fr-FR"/>
              </w:rPr>
              <w:lastRenderedPageBreak/>
              <w:t>ESPRA 2021-2027</w:t>
            </w:r>
          </w:p>
        </w:tc>
      </w:tr>
      <w:tr w:rsidR="00246841" w:rsidRPr="00541A12" w14:paraId="57F6EB39" w14:textId="77777777" w:rsidTr="00541A12">
        <w:trPr>
          <w:trHeight w:val="434"/>
        </w:trPr>
        <w:tc>
          <w:tcPr>
            <w:tcW w:w="0" w:type="auto"/>
            <w:vMerge/>
          </w:tcPr>
          <w:p w14:paraId="69A83804" w14:textId="77777777" w:rsidR="006F0E95" w:rsidRPr="006F0E95" w:rsidRDefault="006F0E95" w:rsidP="006F0E95">
            <w:pPr>
              <w:spacing w:before="120" w:after="120" w:line="360" w:lineRule="auto"/>
              <w:rPr>
                <w:rFonts w:eastAsiaTheme="minorHAnsi" w:cs="Arial"/>
                <w:b/>
                <w:noProof/>
                <w:sz w:val="16"/>
                <w:szCs w:val="16"/>
                <w:lang w:val="fr-FR"/>
              </w:rPr>
            </w:pPr>
          </w:p>
        </w:tc>
        <w:tc>
          <w:tcPr>
            <w:tcW w:w="0" w:type="auto"/>
          </w:tcPr>
          <w:p w14:paraId="7579DB06" w14:textId="77777777" w:rsidR="006F0E95" w:rsidRPr="006F0E95" w:rsidRDefault="006F0E95" w:rsidP="006F0E95">
            <w:pPr>
              <w:spacing w:before="120" w:after="120" w:line="360" w:lineRule="auto"/>
              <w:rPr>
                <w:rFonts w:eastAsiaTheme="minorHAnsi" w:cs="Arial"/>
                <w:sz w:val="16"/>
                <w:szCs w:val="16"/>
              </w:rPr>
            </w:pPr>
            <w:r w:rsidRPr="006F0E95">
              <w:rPr>
                <w:rFonts w:eastAsiaTheme="minorHAnsi" w:cs="Arial"/>
                <w:sz w:val="16"/>
                <w:szCs w:val="16"/>
              </w:rPr>
              <w:t>Prispevanje k varstvu in obnavljanju vodne biotske raznovrstnosti in ekosistemov</w:t>
            </w:r>
          </w:p>
        </w:tc>
        <w:tc>
          <w:tcPr>
            <w:tcW w:w="0" w:type="auto"/>
          </w:tcPr>
          <w:p w14:paraId="5ED472C2" w14:textId="77777777" w:rsidR="006F0E95" w:rsidRPr="006F0E95" w:rsidRDefault="006F0E95" w:rsidP="006F0E95">
            <w:pPr>
              <w:spacing w:before="120" w:after="120" w:line="360" w:lineRule="auto"/>
              <w:rPr>
                <w:rFonts w:eastAsiaTheme="minorHAnsi" w:cs="Arial"/>
                <w:b/>
                <w:i/>
                <w:noProof/>
                <w:sz w:val="16"/>
                <w:szCs w:val="16"/>
              </w:rPr>
            </w:pPr>
            <w:r w:rsidRPr="006F0E95">
              <w:rPr>
                <w:rFonts w:eastAsiaTheme="minorHAnsi" w:cs="Arial"/>
                <w:b/>
                <w:i/>
                <w:noProof/>
                <w:sz w:val="16"/>
                <w:szCs w:val="16"/>
              </w:rPr>
              <w:t>ESPRA</w:t>
            </w:r>
          </w:p>
        </w:tc>
        <w:tc>
          <w:tcPr>
            <w:tcW w:w="664" w:type="dxa"/>
          </w:tcPr>
          <w:p w14:paraId="174366CD" w14:textId="7930F53F" w:rsidR="006F0E95" w:rsidRPr="008E6BB7" w:rsidRDefault="007706DE" w:rsidP="006F0E95">
            <w:pPr>
              <w:spacing w:before="120" w:after="120" w:line="360" w:lineRule="auto"/>
              <w:rPr>
                <w:rFonts w:eastAsiaTheme="minorHAnsi" w:cs="Arial"/>
                <w:noProof/>
                <w:sz w:val="16"/>
                <w:szCs w:val="16"/>
                <w:lang w:val="en-GB"/>
              </w:rPr>
            </w:pPr>
            <w:r>
              <w:rPr>
                <w:rFonts w:eastAsiaTheme="minorHAnsi" w:cs="Arial"/>
                <w:noProof/>
                <w:sz w:val="16"/>
                <w:szCs w:val="16"/>
                <w:lang w:val="en-GB"/>
              </w:rPr>
              <w:t>CR10</w:t>
            </w:r>
          </w:p>
        </w:tc>
        <w:tc>
          <w:tcPr>
            <w:tcW w:w="1381" w:type="dxa"/>
            <w:tcBorders>
              <w:top w:val="single" w:sz="4" w:space="0" w:color="auto"/>
            </w:tcBorders>
            <w:shd w:val="clear" w:color="auto" w:fill="auto"/>
          </w:tcPr>
          <w:p w14:paraId="0FCB96A6" w14:textId="640E3F9D" w:rsidR="006F0E95" w:rsidRPr="008E6BB7" w:rsidRDefault="00246841" w:rsidP="006F0E95">
            <w:pPr>
              <w:spacing w:before="120" w:after="120" w:line="360" w:lineRule="auto"/>
              <w:rPr>
                <w:rFonts w:eastAsiaTheme="minorHAnsi" w:cs="Arial"/>
                <w:noProof/>
                <w:sz w:val="16"/>
                <w:szCs w:val="16"/>
                <w:highlight w:val="cyan"/>
                <w:lang w:val="en-GB"/>
              </w:rPr>
            </w:pPr>
            <w:r w:rsidRPr="00832B92">
              <w:rPr>
                <w:rFonts w:eastAsiaTheme="minorHAnsi" w:cs="Arial"/>
                <w:noProof/>
                <w:sz w:val="16"/>
                <w:szCs w:val="16"/>
                <w:lang w:val="en-GB"/>
              </w:rPr>
              <w:t>Aktivnosti, ki prispevajo k dobremu okoljskemu stanju, vključno z obnovo narave, ohranjanjem, zaščito ekosistemov, biotsko raznovrstnostjo, zdravjem in dobrim počutjem rib (število aktivnosti)</w:t>
            </w:r>
          </w:p>
        </w:tc>
        <w:tc>
          <w:tcPr>
            <w:tcW w:w="0" w:type="auto"/>
            <w:tcBorders>
              <w:top w:val="single" w:sz="4" w:space="0" w:color="auto"/>
            </w:tcBorders>
          </w:tcPr>
          <w:p w14:paraId="105F1F6C"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Število</w:t>
            </w:r>
          </w:p>
        </w:tc>
        <w:tc>
          <w:tcPr>
            <w:tcW w:w="0" w:type="auto"/>
            <w:tcBorders>
              <w:top w:val="single" w:sz="4" w:space="0" w:color="auto"/>
            </w:tcBorders>
          </w:tcPr>
          <w:p w14:paraId="2C451FCB"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0</w:t>
            </w:r>
          </w:p>
        </w:tc>
        <w:tc>
          <w:tcPr>
            <w:tcW w:w="0" w:type="auto"/>
            <w:tcBorders>
              <w:top w:val="single" w:sz="4" w:space="0" w:color="auto"/>
            </w:tcBorders>
          </w:tcPr>
          <w:p w14:paraId="72E17301" w14:textId="77777777" w:rsidR="006F0E95" w:rsidRPr="006F0E95" w:rsidRDefault="006F0E95" w:rsidP="006F0E95">
            <w:pPr>
              <w:spacing w:before="120" w:after="120" w:line="360" w:lineRule="auto"/>
              <w:rPr>
                <w:rFonts w:eastAsiaTheme="minorHAnsi" w:cs="Arial"/>
                <w:noProof/>
                <w:sz w:val="16"/>
                <w:szCs w:val="16"/>
                <w:lang w:val="en-GB"/>
              </w:rPr>
            </w:pPr>
            <w:r w:rsidRPr="006F0E95">
              <w:rPr>
                <w:rFonts w:eastAsiaTheme="minorHAnsi" w:cs="Arial"/>
                <w:noProof/>
                <w:sz w:val="16"/>
                <w:szCs w:val="16"/>
                <w:lang w:val="en-GB"/>
              </w:rPr>
              <w:t>2020</w:t>
            </w:r>
          </w:p>
        </w:tc>
        <w:tc>
          <w:tcPr>
            <w:tcW w:w="0" w:type="auto"/>
            <w:tcBorders>
              <w:top w:val="single" w:sz="4" w:space="0" w:color="auto"/>
            </w:tcBorders>
            <w:shd w:val="clear" w:color="auto" w:fill="auto"/>
          </w:tcPr>
          <w:p w14:paraId="1187F9F4" w14:textId="3300701B" w:rsidR="009F44D9" w:rsidRDefault="00246841" w:rsidP="006F0E95">
            <w:pPr>
              <w:spacing w:before="120" w:after="120" w:line="360" w:lineRule="auto"/>
              <w:jc w:val="center"/>
              <w:rPr>
                <w:rFonts w:eastAsiaTheme="minorHAnsi" w:cs="Arial"/>
                <w:noProof/>
                <w:sz w:val="16"/>
                <w:szCs w:val="16"/>
                <w:lang w:val="en-GB"/>
              </w:rPr>
            </w:pPr>
            <w:r w:rsidRPr="00246841">
              <w:rPr>
                <w:rFonts w:eastAsiaTheme="minorHAnsi" w:cs="Arial"/>
                <w:noProof/>
                <w:sz w:val="16"/>
                <w:szCs w:val="16"/>
                <w:lang w:val="en-GB"/>
              </w:rPr>
              <w:t>1</w:t>
            </w:r>
            <w:r w:rsidR="00455FEA">
              <w:rPr>
                <w:rFonts w:eastAsiaTheme="minorHAnsi" w:cs="Arial"/>
                <w:noProof/>
                <w:sz w:val="16"/>
                <w:szCs w:val="16"/>
                <w:lang w:val="en-GB"/>
              </w:rPr>
              <w:t>3</w:t>
            </w:r>
          </w:p>
          <w:p w14:paraId="51726849" w14:textId="0B932C35" w:rsidR="006F0E95" w:rsidRPr="006F0E95" w:rsidRDefault="006F0E95" w:rsidP="006F0E95">
            <w:pPr>
              <w:spacing w:before="120" w:after="120" w:line="360" w:lineRule="auto"/>
              <w:jc w:val="center"/>
              <w:rPr>
                <w:rFonts w:eastAsiaTheme="minorHAnsi" w:cs="Arial"/>
                <w:noProof/>
                <w:sz w:val="16"/>
                <w:szCs w:val="16"/>
                <w:lang w:val="en-GB"/>
              </w:rPr>
            </w:pPr>
          </w:p>
        </w:tc>
        <w:tc>
          <w:tcPr>
            <w:tcW w:w="0" w:type="auto"/>
            <w:tcBorders>
              <w:top w:val="single" w:sz="4" w:space="0" w:color="auto"/>
            </w:tcBorders>
            <w:shd w:val="clear" w:color="auto" w:fill="auto"/>
          </w:tcPr>
          <w:p w14:paraId="2D179BE0" w14:textId="594A3331" w:rsidR="006F0E95" w:rsidRPr="006F0E95" w:rsidRDefault="006F0E95" w:rsidP="006F0E95">
            <w:pPr>
              <w:spacing w:before="120" w:after="120" w:line="480" w:lineRule="auto"/>
              <w:rPr>
                <w:rFonts w:eastAsiaTheme="minorHAnsi" w:cs="Arial"/>
                <w:noProof/>
                <w:sz w:val="16"/>
                <w:szCs w:val="16"/>
                <w:lang w:val="en-GB"/>
              </w:rPr>
            </w:pPr>
            <w:r w:rsidRPr="006F0E95">
              <w:rPr>
                <w:rFonts w:eastAsiaTheme="minorHAnsi" w:cs="Arial"/>
                <w:noProof/>
                <w:sz w:val="16"/>
                <w:szCs w:val="16"/>
                <w:lang w:val="en-GB"/>
              </w:rPr>
              <w:t>Načrtovanje operacij partnerjev in rezultatov delavnic z deležniki, ki sodelujejo  v okviru te prednostne naloge, predvsem Ministrstvo za okolje in prostor</w:t>
            </w:r>
            <w:r w:rsidR="00246841">
              <w:rPr>
                <w:rFonts w:eastAsiaTheme="minorHAnsi" w:cs="Arial"/>
                <w:noProof/>
                <w:sz w:val="16"/>
                <w:szCs w:val="16"/>
                <w:lang w:val="en-GB"/>
              </w:rPr>
              <w:t>,</w:t>
            </w:r>
            <w:r w:rsidRPr="006F0E95">
              <w:rPr>
                <w:rFonts w:eastAsiaTheme="minorHAnsi" w:cs="Arial"/>
                <w:noProof/>
                <w:sz w:val="16"/>
                <w:szCs w:val="16"/>
                <w:lang w:val="en-GB"/>
              </w:rPr>
              <w:t xml:space="preserve"> ter </w:t>
            </w:r>
            <w:r w:rsidR="00246841">
              <w:rPr>
                <w:rFonts w:eastAsiaTheme="minorHAnsi" w:cs="Arial"/>
                <w:noProof/>
                <w:sz w:val="16"/>
                <w:szCs w:val="16"/>
                <w:lang w:val="en-GB"/>
              </w:rPr>
              <w:t xml:space="preserve">izkušnje iz žei zvedenih podobnih projektov (DeFishGear) glede sodelovanja </w:t>
            </w:r>
            <w:r w:rsidRPr="006F0E95">
              <w:rPr>
                <w:rFonts w:eastAsiaTheme="minorHAnsi" w:cs="Arial"/>
                <w:noProof/>
                <w:sz w:val="16"/>
                <w:szCs w:val="16"/>
                <w:lang w:val="en-GB"/>
              </w:rPr>
              <w:t>morski</w:t>
            </w:r>
            <w:r w:rsidR="00246841">
              <w:rPr>
                <w:rFonts w:eastAsiaTheme="minorHAnsi" w:cs="Arial"/>
                <w:noProof/>
                <w:sz w:val="16"/>
                <w:szCs w:val="16"/>
                <w:lang w:val="en-GB"/>
              </w:rPr>
              <w:t>h</w:t>
            </w:r>
            <w:r w:rsidRPr="006F0E95">
              <w:rPr>
                <w:rFonts w:eastAsiaTheme="minorHAnsi" w:cs="Arial"/>
                <w:noProof/>
                <w:sz w:val="16"/>
                <w:szCs w:val="16"/>
                <w:lang w:val="en-GB"/>
              </w:rPr>
              <w:t xml:space="preserve"> gospodarski</w:t>
            </w:r>
            <w:r w:rsidR="00246841">
              <w:rPr>
                <w:rFonts w:eastAsiaTheme="minorHAnsi" w:cs="Arial"/>
                <w:noProof/>
                <w:sz w:val="16"/>
                <w:szCs w:val="16"/>
                <w:lang w:val="en-GB"/>
              </w:rPr>
              <w:t>h ribičev in zbranih opdadkov na leto</w:t>
            </w:r>
          </w:p>
        </w:tc>
        <w:tc>
          <w:tcPr>
            <w:tcW w:w="0" w:type="auto"/>
            <w:tcBorders>
              <w:top w:val="single" w:sz="4" w:space="0" w:color="auto"/>
            </w:tcBorders>
          </w:tcPr>
          <w:p w14:paraId="7DC3B4AA" w14:textId="708C2A8D" w:rsidR="006F0E95" w:rsidRPr="006F0E95" w:rsidRDefault="00541A12" w:rsidP="006F0E95">
            <w:pPr>
              <w:rPr>
                <w:noProof/>
                <w:sz w:val="16"/>
                <w:szCs w:val="16"/>
                <w:lang w:val="fr-FR"/>
              </w:rPr>
            </w:pPr>
            <w:r w:rsidRPr="00541A12">
              <w:rPr>
                <w:noProof/>
                <w:sz w:val="16"/>
                <w:szCs w:val="16"/>
                <w:lang w:val="fr-FR"/>
              </w:rPr>
              <w:t>Več v metodologiji, ki je priloga OP ESPRA 2021-2027</w:t>
            </w:r>
          </w:p>
        </w:tc>
      </w:tr>
    </w:tbl>
    <w:p w14:paraId="6E3E18BD" w14:textId="77777777" w:rsidR="002F6097" w:rsidRPr="00541A12" w:rsidRDefault="002F6097" w:rsidP="00854925">
      <w:pPr>
        <w:rPr>
          <w:rFonts w:cs="Arial"/>
          <w:szCs w:val="20"/>
          <w:lang w:val="fr-FR"/>
        </w:rPr>
      </w:pPr>
    </w:p>
    <w:p w14:paraId="29EF8BC3" w14:textId="4F186495" w:rsidR="00BC108D" w:rsidRDefault="00BC108D" w:rsidP="00854925">
      <w:pPr>
        <w:rPr>
          <w:rFonts w:cs="Arial"/>
          <w:szCs w:val="20"/>
        </w:rPr>
      </w:pPr>
    </w:p>
    <w:p w14:paraId="75D78377" w14:textId="0CCC8D26" w:rsidR="00BC108D" w:rsidRDefault="00BC108D" w:rsidP="00854925">
      <w:pPr>
        <w:rPr>
          <w:rFonts w:cs="Arial"/>
          <w:szCs w:val="20"/>
        </w:rPr>
      </w:pPr>
    </w:p>
    <w:p w14:paraId="1E4FA733" w14:textId="7F0F08D5" w:rsidR="00E757B5" w:rsidRDefault="00E757B5">
      <w:pPr>
        <w:spacing w:after="200" w:line="276" w:lineRule="auto"/>
        <w:rPr>
          <w:rFonts w:cs="Arial"/>
          <w:szCs w:val="20"/>
        </w:rPr>
      </w:pPr>
      <w:r>
        <w:rPr>
          <w:rFonts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551"/>
        <w:gridCol w:w="893"/>
        <w:gridCol w:w="815"/>
        <w:gridCol w:w="1601"/>
        <w:gridCol w:w="929"/>
        <w:gridCol w:w="1355"/>
        <w:gridCol w:w="1430"/>
        <w:gridCol w:w="856"/>
        <w:gridCol w:w="1822"/>
        <w:gridCol w:w="1192"/>
      </w:tblGrid>
      <w:tr w:rsidR="00E757B5" w:rsidRPr="00E757B5" w14:paraId="47FDD12D" w14:textId="77777777" w:rsidTr="00141029">
        <w:trPr>
          <w:trHeight w:val="480"/>
        </w:trPr>
        <w:tc>
          <w:tcPr>
            <w:tcW w:w="5000" w:type="pct"/>
            <w:gridSpan w:val="11"/>
          </w:tcPr>
          <w:p w14:paraId="5634F091"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cs="Arial"/>
                <w:b/>
                <w:iCs/>
                <w:noProof/>
                <w:sz w:val="16"/>
                <w:szCs w:val="16"/>
                <w:lang w:val="en-GB" w:eastAsia="en-GB"/>
              </w:rPr>
              <w:lastRenderedPageBreak/>
              <w:t>Preglednica 3: Kazalniki rezultata</w:t>
            </w:r>
          </w:p>
        </w:tc>
      </w:tr>
      <w:tr w:rsidR="00E757B5" w:rsidRPr="00E757B5" w14:paraId="62F1201E" w14:textId="77777777" w:rsidTr="00714475">
        <w:trPr>
          <w:trHeight w:val="1768"/>
        </w:trPr>
        <w:tc>
          <w:tcPr>
            <w:tcW w:w="554" w:type="pct"/>
          </w:tcPr>
          <w:p w14:paraId="6F4E97C4" w14:textId="77777777" w:rsidR="00E757B5" w:rsidRPr="00E757B5" w:rsidRDefault="00E757B5" w:rsidP="00E757B5">
            <w:pPr>
              <w:spacing w:before="120" w:after="120" w:line="360" w:lineRule="auto"/>
              <w:rPr>
                <w:rFonts w:eastAsiaTheme="minorHAnsi" w:cs="Arial"/>
                <w:b/>
                <w:noProof/>
                <w:sz w:val="16"/>
                <w:szCs w:val="16"/>
                <w:lang w:val="fr-FR"/>
              </w:rPr>
            </w:pPr>
            <w:r w:rsidRPr="00E757B5">
              <w:rPr>
                <w:rFonts w:eastAsiaTheme="minorHAnsi" w:cs="Arial"/>
                <w:b/>
                <w:noProof/>
                <w:sz w:val="16"/>
                <w:szCs w:val="16"/>
                <w:lang w:val="fr-FR"/>
              </w:rPr>
              <w:t>Prednostna naloga</w:t>
            </w:r>
          </w:p>
          <w:p w14:paraId="3521340A"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tcPr>
          <w:p w14:paraId="55D62498" w14:textId="77777777" w:rsidR="00E757B5" w:rsidRPr="00E757B5" w:rsidRDefault="00E757B5" w:rsidP="00E757B5">
            <w:pPr>
              <w:spacing w:before="120" w:after="120" w:line="360" w:lineRule="auto"/>
              <w:rPr>
                <w:rFonts w:eastAsiaTheme="minorHAnsi" w:cs="Arial"/>
                <w:b/>
                <w:noProof/>
                <w:sz w:val="16"/>
                <w:szCs w:val="16"/>
                <w:lang w:val="fr-FR"/>
              </w:rPr>
            </w:pPr>
            <w:r w:rsidRPr="00E757B5">
              <w:rPr>
                <w:rFonts w:eastAsiaTheme="minorHAnsi" w:cs="Arial"/>
                <w:b/>
                <w:noProof/>
                <w:sz w:val="16"/>
                <w:szCs w:val="16"/>
                <w:lang w:val="fr-FR"/>
              </w:rPr>
              <w:t>Posebni cilj ali področje podpore</w:t>
            </w:r>
          </w:p>
          <w:p w14:paraId="1346C791" w14:textId="77777777" w:rsidR="00E757B5" w:rsidRPr="00E757B5" w:rsidRDefault="00E757B5" w:rsidP="00E757B5">
            <w:pPr>
              <w:spacing w:before="120" w:after="120" w:line="360" w:lineRule="auto"/>
              <w:rPr>
                <w:rFonts w:eastAsiaTheme="minorHAnsi" w:cs="Arial"/>
                <w:b/>
                <w:noProof/>
                <w:sz w:val="16"/>
                <w:szCs w:val="16"/>
                <w:lang w:val="fr-FR"/>
              </w:rPr>
            </w:pPr>
          </w:p>
        </w:tc>
        <w:tc>
          <w:tcPr>
            <w:tcW w:w="319" w:type="pct"/>
          </w:tcPr>
          <w:p w14:paraId="1D62D22E"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 xml:space="preserve">Sklad </w:t>
            </w:r>
          </w:p>
        </w:tc>
        <w:tc>
          <w:tcPr>
            <w:tcW w:w="291" w:type="pct"/>
          </w:tcPr>
          <w:p w14:paraId="7325F3A4"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ID [5]</w:t>
            </w:r>
          </w:p>
          <w:p w14:paraId="1200DEFB" w14:textId="77777777" w:rsidR="00E757B5" w:rsidRPr="00E757B5" w:rsidRDefault="00E757B5" w:rsidP="00E757B5">
            <w:pPr>
              <w:spacing w:before="120" w:after="120" w:line="360" w:lineRule="auto"/>
              <w:rPr>
                <w:rFonts w:eastAsiaTheme="minorHAnsi" w:cs="Arial"/>
                <w:b/>
                <w:noProof/>
                <w:sz w:val="16"/>
                <w:szCs w:val="16"/>
                <w:lang w:val="en-GB"/>
              </w:rPr>
            </w:pPr>
          </w:p>
        </w:tc>
        <w:tc>
          <w:tcPr>
            <w:tcW w:w="572" w:type="pct"/>
            <w:shd w:val="clear" w:color="auto" w:fill="auto"/>
          </w:tcPr>
          <w:p w14:paraId="4676F529"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Kazalnik [255]</w:t>
            </w:r>
          </w:p>
        </w:tc>
        <w:tc>
          <w:tcPr>
            <w:tcW w:w="332" w:type="pct"/>
          </w:tcPr>
          <w:p w14:paraId="5CA805A7"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Merska enota</w:t>
            </w:r>
          </w:p>
        </w:tc>
        <w:tc>
          <w:tcPr>
            <w:tcW w:w="484" w:type="pct"/>
          </w:tcPr>
          <w:p w14:paraId="34EDB6C1"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Izhodišče ali referenčna vrednost</w:t>
            </w:r>
          </w:p>
        </w:tc>
        <w:tc>
          <w:tcPr>
            <w:tcW w:w="511" w:type="pct"/>
          </w:tcPr>
          <w:p w14:paraId="1E88D0D9"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Referenčno leto</w:t>
            </w:r>
          </w:p>
        </w:tc>
        <w:tc>
          <w:tcPr>
            <w:tcW w:w="306" w:type="pct"/>
            <w:shd w:val="clear" w:color="auto" w:fill="auto"/>
          </w:tcPr>
          <w:p w14:paraId="01C0DA4B" w14:textId="77777777" w:rsidR="00E757B5" w:rsidRPr="00E757B5" w:rsidRDefault="00E757B5" w:rsidP="00E757B5">
            <w:pPr>
              <w:spacing w:before="120" w:after="120" w:line="360" w:lineRule="auto"/>
              <w:rPr>
                <w:rFonts w:eastAsiaTheme="minorHAnsi" w:cs="Arial"/>
                <w:b/>
                <w:noProof/>
                <w:sz w:val="16"/>
                <w:szCs w:val="16"/>
                <w:lang w:val="en-GB"/>
              </w:rPr>
            </w:pPr>
            <w:r w:rsidRPr="00E757B5">
              <w:rPr>
                <w:rFonts w:eastAsiaTheme="minorHAnsi" w:cs="Arial"/>
                <w:b/>
                <w:noProof/>
                <w:sz w:val="16"/>
                <w:szCs w:val="16"/>
                <w:lang w:val="en-GB"/>
              </w:rPr>
              <w:t>Cilj (2029)</w:t>
            </w:r>
          </w:p>
          <w:p w14:paraId="5E833155" w14:textId="77777777" w:rsidR="00E757B5" w:rsidRPr="00E757B5" w:rsidRDefault="00E757B5" w:rsidP="00E757B5">
            <w:pPr>
              <w:spacing w:before="120" w:after="120" w:line="360" w:lineRule="auto"/>
              <w:rPr>
                <w:rFonts w:eastAsiaTheme="minorHAnsi" w:cs="Arial"/>
                <w:b/>
                <w:noProof/>
                <w:sz w:val="16"/>
                <w:szCs w:val="16"/>
                <w:lang w:val="en-GB"/>
              </w:rPr>
            </w:pPr>
          </w:p>
        </w:tc>
        <w:tc>
          <w:tcPr>
            <w:tcW w:w="651" w:type="pct"/>
            <w:shd w:val="clear" w:color="auto" w:fill="auto"/>
          </w:tcPr>
          <w:p w14:paraId="6A086BA9" w14:textId="77777777" w:rsidR="00E757B5" w:rsidRPr="00E757B5" w:rsidRDefault="00E757B5" w:rsidP="00E757B5">
            <w:pPr>
              <w:autoSpaceDE w:val="0"/>
              <w:autoSpaceDN w:val="0"/>
              <w:adjustRightInd w:val="0"/>
              <w:spacing w:line="240" w:lineRule="auto"/>
              <w:rPr>
                <w:rFonts w:eastAsiaTheme="minorHAnsi" w:cs="Arial"/>
                <w:color w:val="000000"/>
                <w:sz w:val="16"/>
                <w:szCs w:val="16"/>
              </w:rPr>
            </w:pPr>
            <w:r w:rsidRPr="00E757B5">
              <w:rPr>
                <w:rFonts w:eastAsiaTheme="minorHAnsi" w:cs="Arial"/>
                <w:b/>
                <w:bCs/>
                <w:color w:val="000000"/>
                <w:sz w:val="16"/>
                <w:szCs w:val="16"/>
              </w:rPr>
              <w:t xml:space="preserve">Vir podatkov </w:t>
            </w:r>
          </w:p>
          <w:p w14:paraId="601724CF" w14:textId="77777777" w:rsidR="00E757B5" w:rsidRPr="00E757B5" w:rsidRDefault="00E757B5" w:rsidP="00E757B5">
            <w:pPr>
              <w:spacing w:before="120" w:after="120" w:line="480" w:lineRule="auto"/>
              <w:rPr>
                <w:rFonts w:eastAsiaTheme="minorHAnsi" w:cs="Arial"/>
                <w:b/>
                <w:noProof/>
                <w:sz w:val="16"/>
                <w:szCs w:val="16"/>
                <w:lang w:val="en-GB"/>
              </w:rPr>
            </w:pPr>
            <w:r w:rsidRPr="00E757B5">
              <w:rPr>
                <w:rFonts w:eastAsiaTheme="minorHAnsi" w:cs="Arial"/>
                <w:b/>
                <w:noProof/>
                <w:sz w:val="16"/>
                <w:szCs w:val="16"/>
                <w:lang w:val="en-GB"/>
              </w:rPr>
              <w:t xml:space="preserve"> [200]</w:t>
            </w:r>
          </w:p>
        </w:tc>
        <w:tc>
          <w:tcPr>
            <w:tcW w:w="426" w:type="pct"/>
          </w:tcPr>
          <w:p w14:paraId="72EC010C" w14:textId="77777777" w:rsidR="00E757B5" w:rsidRPr="00E757B5" w:rsidRDefault="00E757B5" w:rsidP="00E757B5">
            <w:pPr>
              <w:spacing w:before="120" w:after="120" w:line="480" w:lineRule="auto"/>
              <w:rPr>
                <w:rFonts w:eastAsiaTheme="minorHAnsi" w:cs="Arial"/>
                <w:b/>
                <w:noProof/>
                <w:sz w:val="16"/>
                <w:szCs w:val="16"/>
                <w:lang w:val="en-GB"/>
              </w:rPr>
            </w:pPr>
            <w:r w:rsidRPr="00E757B5">
              <w:rPr>
                <w:rFonts w:eastAsiaTheme="minorHAnsi" w:cs="Arial"/>
                <w:b/>
                <w:noProof/>
                <w:sz w:val="16"/>
                <w:szCs w:val="16"/>
                <w:lang w:val="en-GB"/>
              </w:rPr>
              <w:t>Opombe [200]</w:t>
            </w:r>
          </w:p>
        </w:tc>
      </w:tr>
      <w:tr w:rsidR="00E757B5" w:rsidRPr="00E757B5" w14:paraId="4F1B9817" w14:textId="77777777" w:rsidTr="00714475">
        <w:trPr>
          <w:trHeight w:val="434"/>
        </w:trPr>
        <w:tc>
          <w:tcPr>
            <w:tcW w:w="554" w:type="pct"/>
            <w:vMerge w:val="restart"/>
          </w:tcPr>
          <w:p w14:paraId="576A1B5A" w14:textId="77777777" w:rsidR="00E757B5" w:rsidRPr="00AC29EA" w:rsidRDefault="00E757B5" w:rsidP="00E757B5">
            <w:pPr>
              <w:spacing w:before="120" w:after="120" w:line="360" w:lineRule="auto"/>
              <w:rPr>
                <w:rFonts w:eastAsiaTheme="minorHAnsi" w:cs="Arial"/>
                <w:noProof/>
                <w:sz w:val="16"/>
                <w:szCs w:val="16"/>
              </w:rPr>
            </w:pPr>
            <w:r w:rsidRPr="00AC29EA">
              <w:rPr>
                <w:rFonts w:eastAsiaTheme="minorHAnsi" w:cs="Arial"/>
                <w:b/>
                <w:noProof/>
                <w:color w:val="C0504D" w:themeColor="accent2"/>
                <w:sz w:val="16"/>
                <w:szCs w:val="16"/>
              </w:rPr>
              <w:t>S</w:t>
            </w:r>
            <w:r w:rsidRPr="00E757B5">
              <w:rPr>
                <w:rFonts w:eastAsiaTheme="minorHAnsi" w:cs="Arial"/>
                <w:b/>
                <w:noProof/>
                <w:color w:val="C0504D" w:themeColor="accent2"/>
                <w:sz w:val="16"/>
                <w:szCs w:val="16"/>
              </w:rPr>
              <w:t>podbujanje trajnostnih dejavnosti akvakulture ter predelave in trženja ribiških proizvodov in proizvodov iz akvakulture</w:t>
            </w:r>
          </w:p>
        </w:tc>
        <w:tc>
          <w:tcPr>
            <w:tcW w:w="554" w:type="pct"/>
            <w:vMerge w:val="restart"/>
          </w:tcPr>
          <w:p w14:paraId="1CA84096" w14:textId="77777777" w:rsidR="00E757B5" w:rsidRPr="00E757B5" w:rsidRDefault="00E757B5" w:rsidP="00E757B5">
            <w:pPr>
              <w:spacing w:before="120" w:after="120" w:line="360" w:lineRule="auto"/>
              <w:rPr>
                <w:rFonts w:eastAsiaTheme="minorHAnsi" w:cs="Arial"/>
                <w:i/>
                <w:noProof/>
                <w:sz w:val="16"/>
                <w:szCs w:val="16"/>
                <w:lang w:val="en-GB"/>
              </w:rPr>
            </w:pPr>
            <w:r w:rsidRPr="00E757B5">
              <w:rPr>
                <w:rFonts w:eastAsiaTheme="minorHAnsi" w:cs="Arial"/>
                <w:b/>
                <w:noProof/>
                <w:sz w:val="16"/>
                <w:szCs w:val="16"/>
              </w:rPr>
              <w:t>Spodbujanje trajnostnih dejavnosti akvakulture</w:t>
            </w:r>
          </w:p>
        </w:tc>
        <w:tc>
          <w:tcPr>
            <w:tcW w:w="319" w:type="pct"/>
          </w:tcPr>
          <w:p w14:paraId="7DC27BC0" w14:textId="77777777" w:rsidR="00E757B5" w:rsidRPr="00E757B5" w:rsidRDefault="00E757B5" w:rsidP="00E757B5">
            <w:pPr>
              <w:spacing w:before="120" w:after="120" w:line="360" w:lineRule="auto"/>
              <w:rPr>
                <w:rFonts w:eastAsiaTheme="minorHAnsi" w:cs="Arial"/>
                <w:i/>
                <w:noProof/>
                <w:sz w:val="16"/>
                <w:szCs w:val="16"/>
                <w:lang w:val="en-GB"/>
              </w:rPr>
            </w:pPr>
            <w:r w:rsidRPr="00E757B5">
              <w:rPr>
                <w:rFonts w:eastAsiaTheme="minorHAnsi" w:cs="Arial"/>
                <w:b/>
                <w:i/>
                <w:noProof/>
                <w:sz w:val="16"/>
                <w:szCs w:val="16"/>
              </w:rPr>
              <w:t>ESPRA</w:t>
            </w:r>
          </w:p>
        </w:tc>
        <w:tc>
          <w:tcPr>
            <w:tcW w:w="291" w:type="pct"/>
          </w:tcPr>
          <w:p w14:paraId="29127CF9" w14:textId="57CABB15" w:rsidR="00E757B5"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CR07</w:t>
            </w:r>
          </w:p>
        </w:tc>
        <w:tc>
          <w:tcPr>
            <w:tcW w:w="572" w:type="pct"/>
            <w:shd w:val="clear" w:color="auto" w:fill="auto"/>
          </w:tcPr>
          <w:p w14:paraId="455118A0" w14:textId="6C1B7E90" w:rsidR="00E757B5" w:rsidRPr="00E757B5" w:rsidRDefault="00E757B5" w:rsidP="00E757B5">
            <w:pPr>
              <w:spacing w:before="120" w:after="120" w:line="360" w:lineRule="auto"/>
              <w:rPr>
                <w:rFonts w:eastAsiaTheme="minorHAnsi" w:cs="Arial"/>
                <w:noProof/>
                <w:sz w:val="16"/>
                <w:szCs w:val="16"/>
                <w:lang w:val="en-US"/>
              </w:rPr>
            </w:pPr>
            <w:r w:rsidRPr="00E757B5">
              <w:rPr>
                <w:rFonts w:eastAsiaTheme="minorHAnsi" w:cs="Arial"/>
                <w:noProof/>
                <w:sz w:val="16"/>
                <w:szCs w:val="16"/>
                <w:lang w:val="en-US"/>
              </w:rPr>
              <w:t>Ohranjena delovna mesta</w:t>
            </w:r>
          </w:p>
        </w:tc>
        <w:tc>
          <w:tcPr>
            <w:tcW w:w="332" w:type="pct"/>
          </w:tcPr>
          <w:p w14:paraId="532A867E"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EPDČ</w:t>
            </w:r>
          </w:p>
        </w:tc>
        <w:tc>
          <w:tcPr>
            <w:tcW w:w="484" w:type="pct"/>
          </w:tcPr>
          <w:p w14:paraId="21767DD8"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59C69ACA"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6CEECEBC" w14:textId="2813932B" w:rsidR="00E757B5" w:rsidRDefault="00E86F46"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20</w:t>
            </w:r>
          </w:p>
          <w:p w14:paraId="332D10A0" w14:textId="3978DE24" w:rsidR="00E757B5" w:rsidRPr="00E757B5" w:rsidRDefault="00E757B5" w:rsidP="00E757B5">
            <w:pPr>
              <w:spacing w:before="120" w:after="120" w:line="360" w:lineRule="auto"/>
              <w:jc w:val="center"/>
              <w:rPr>
                <w:rFonts w:eastAsiaTheme="minorHAnsi" w:cs="Arial"/>
                <w:noProof/>
                <w:sz w:val="16"/>
                <w:szCs w:val="16"/>
                <w:lang w:val="en-GB"/>
              </w:rPr>
            </w:pPr>
          </w:p>
        </w:tc>
        <w:tc>
          <w:tcPr>
            <w:tcW w:w="651" w:type="pct"/>
            <w:shd w:val="clear" w:color="auto" w:fill="auto"/>
          </w:tcPr>
          <w:p w14:paraId="62E38A69" w14:textId="77777777" w:rsidR="00E757B5" w:rsidRPr="00AC29EA" w:rsidRDefault="00E757B5" w:rsidP="00E757B5">
            <w:pPr>
              <w:spacing w:before="120" w:after="120" w:line="480" w:lineRule="auto"/>
              <w:rPr>
                <w:rFonts w:eastAsiaTheme="minorHAnsi" w:cs="Arial"/>
                <w:noProof/>
                <w:sz w:val="16"/>
                <w:szCs w:val="16"/>
                <w:lang w:val="it-IT"/>
              </w:rPr>
            </w:pPr>
            <w:r w:rsidRPr="00AC29EA">
              <w:rPr>
                <w:rFonts w:eastAsiaTheme="minorHAnsi" w:cs="Arial"/>
                <w:noProof/>
                <w:sz w:val="16"/>
                <w:szCs w:val="16"/>
                <w:lang w:val="it-IT"/>
              </w:rPr>
              <w:t>Izvedene delavnice in poizvedba na terenu.</w:t>
            </w:r>
          </w:p>
        </w:tc>
        <w:tc>
          <w:tcPr>
            <w:tcW w:w="426" w:type="pct"/>
          </w:tcPr>
          <w:p w14:paraId="4E41D880" w14:textId="2105F322" w:rsidR="00E757B5" w:rsidRPr="00E757B5" w:rsidRDefault="00E757B5" w:rsidP="00E757B5">
            <w:pPr>
              <w:rPr>
                <w:noProof/>
                <w:sz w:val="16"/>
                <w:szCs w:val="16"/>
                <w:lang w:val="fr-FR"/>
              </w:rPr>
            </w:pPr>
            <w:r w:rsidRPr="00E757B5">
              <w:rPr>
                <w:noProof/>
                <w:sz w:val="16"/>
                <w:szCs w:val="16"/>
                <w:lang w:val="fr-FR"/>
              </w:rPr>
              <w:t>Več v metodologiji, ki je priloga OP ESPRA 2021-2027</w:t>
            </w:r>
          </w:p>
        </w:tc>
      </w:tr>
      <w:tr w:rsidR="00E757B5" w:rsidRPr="00E757B5" w14:paraId="39D7B06E" w14:textId="77777777" w:rsidTr="00714475">
        <w:trPr>
          <w:trHeight w:val="434"/>
        </w:trPr>
        <w:tc>
          <w:tcPr>
            <w:tcW w:w="554" w:type="pct"/>
            <w:vMerge/>
          </w:tcPr>
          <w:p w14:paraId="3B257B5C"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vMerge/>
          </w:tcPr>
          <w:p w14:paraId="27FA3D48" w14:textId="77777777" w:rsidR="00E757B5" w:rsidRPr="00E757B5" w:rsidRDefault="00E757B5" w:rsidP="00E757B5">
            <w:pPr>
              <w:spacing w:before="120" w:after="120" w:line="360" w:lineRule="auto"/>
              <w:rPr>
                <w:rFonts w:eastAsiaTheme="minorHAnsi" w:cs="Arial"/>
                <w:sz w:val="16"/>
                <w:szCs w:val="16"/>
              </w:rPr>
            </w:pPr>
          </w:p>
        </w:tc>
        <w:tc>
          <w:tcPr>
            <w:tcW w:w="319" w:type="pct"/>
          </w:tcPr>
          <w:p w14:paraId="460DCA39" w14:textId="77777777" w:rsidR="00E757B5" w:rsidRPr="00E757B5" w:rsidRDefault="00E757B5" w:rsidP="00E757B5">
            <w:pPr>
              <w:spacing w:before="120" w:after="120" w:line="360" w:lineRule="auto"/>
              <w:rPr>
                <w:rFonts w:eastAsiaTheme="minorHAnsi" w:cs="Arial"/>
                <w:b/>
                <w:i/>
                <w:noProof/>
                <w:sz w:val="16"/>
                <w:szCs w:val="16"/>
              </w:rPr>
            </w:pPr>
            <w:r w:rsidRPr="00E757B5">
              <w:rPr>
                <w:rFonts w:eastAsiaTheme="minorHAnsi" w:cs="Arial"/>
                <w:b/>
                <w:i/>
                <w:noProof/>
                <w:sz w:val="16"/>
                <w:szCs w:val="16"/>
              </w:rPr>
              <w:t>ESPRA</w:t>
            </w:r>
          </w:p>
        </w:tc>
        <w:tc>
          <w:tcPr>
            <w:tcW w:w="291" w:type="pct"/>
          </w:tcPr>
          <w:p w14:paraId="1A13C919" w14:textId="05304224" w:rsidR="00E757B5"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CR17</w:t>
            </w:r>
          </w:p>
        </w:tc>
        <w:tc>
          <w:tcPr>
            <w:tcW w:w="572" w:type="pct"/>
            <w:shd w:val="clear" w:color="auto" w:fill="auto"/>
          </w:tcPr>
          <w:p w14:paraId="04167623"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Poslovni subjekti, ki  izboljšujejo učinkovitost virov v akvakulturi</w:t>
            </w:r>
          </w:p>
        </w:tc>
        <w:tc>
          <w:tcPr>
            <w:tcW w:w="332" w:type="pct"/>
          </w:tcPr>
          <w:p w14:paraId="6CBEDD13"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Število</w:t>
            </w:r>
          </w:p>
        </w:tc>
        <w:tc>
          <w:tcPr>
            <w:tcW w:w="484" w:type="pct"/>
          </w:tcPr>
          <w:p w14:paraId="7134233A"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783855B0"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243C3740" w14:textId="2DCBCF70" w:rsidR="00E757B5" w:rsidRPr="00E757B5" w:rsidRDefault="00E757B5"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2</w:t>
            </w:r>
          </w:p>
        </w:tc>
        <w:tc>
          <w:tcPr>
            <w:tcW w:w="651" w:type="pct"/>
            <w:shd w:val="clear" w:color="auto" w:fill="auto"/>
          </w:tcPr>
          <w:p w14:paraId="352064E6" w14:textId="77777777" w:rsidR="00E757B5" w:rsidRPr="00AC29EA" w:rsidRDefault="00E757B5" w:rsidP="00E757B5">
            <w:pPr>
              <w:spacing w:before="120" w:after="120" w:line="480" w:lineRule="auto"/>
              <w:rPr>
                <w:rFonts w:eastAsiaTheme="minorHAnsi" w:cs="Arial"/>
                <w:noProof/>
                <w:sz w:val="16"/>
                <w:szCs w:val="16"/>
                <w:lang w:val="it-IT"/>
              </w:rPr>
            </w:pPr>
            <w:r w:rsidRPr="00AC29EA">
              <w:rPr>
                <w:rFonts w:eastAsiaTheme="minorHAnsi" w:cs="Arial"/>
                <w:noProof/>
                <w:sz w:val="16"/>
                <w:szCs w:val="16"/>
                <w:lang w:val="it-IT"/>
              </w:rPr>
              <w:t>Izvedene delavnice in poizvedba na terenu.</w:t>
            </w:r>
          </w:p>
        </w:tc>
        <w:tc>
          <w:tcPr>
            <w:tcW w:w="426" w:type="pct"/>
          </w:tcPr>
          <w:p w14:paraId="36CB8C72" w14:textId="7C3288C3" w:rsidR="00E757B5" w:rsidRPr="00E757B5" w:rsidRDefault="00E757B5" w:rsidP="00E757B5">
            <w:pPr>
              <w:rPr>
                <w:noProof/>
                <w:sz w:val="16"/>
                <w:szCs w:val="16"/>
                <w:lang w:val="fr-FR"/>
              </w:rPr>
            </w:pPr>
            <w:r w:rsidRPr="00E757B5">
              <w:rPr>
                <w:noProof/>
                <w:sz w:val="16"/>
                <w:szCs w:val="16"/>
                <w:lang w:val="fr-FR"/>
              </w:rPr>
              <w:t>Več v metodologiji, ki je priloga OP ESPRA 2021-2027</w:t>
            </w:r>
          </w:p>
        </w:tc>
      </w:tr>
      <w:tr w:rsidR="00455FEA" w:rsidRPr="00E757B5" w14:paraId="0D80CC51" w14:textId="77777777" w:rsidTr="00714475">
        <w:trPr>
          <w:trHeight w:val="434"/>
        </w:trPr>
        <w:tc>
          <w:tcPr>
            <w:tcW w:w="554" w:type="pct"/>
            <w:vMerge/>
          </w:tcPr>
          <w:p w14:paraId="7EAE4374" w14:textId="77777777" w:rsidR="00455FEA" w:rsidRPr="00E757B5" w:rsidRDefault="00455FEA" w:rsidP="00E757B5">
            <w:pPr>
              <w:spacing w:before="120" w:after="120" w:line="360" w:lineRule="auto"/>
              <w:rPr>
                <w:rFonts w:eastAsiaTheme="minorHAnsi" w:cs="Arial"/>
                <w:b/>
                <w:noProof/>
                <w:sz w:val="16"/>
                <w:szCs w:val="16"/>
                <w:lang w:val="fr-FR"/>
              </w:rPr>
            </w:pPr>
          </w:p>
        </w:tc>
        <w:tc>
          <w:tcPr>
            <w:tcW w:w="554" w:type="pct"/>
            <w:vMerge/>
          </w:tcPr>
          <w:p w14:paraId="7E5EBAB0" w14:textId="77777777" w:rsidR="00455FEA" w:rsidRPr="00E757B5" w:rsidRDefault="00455FEA" w:rsidP="00E757B5">
            <w:pPr>
              <w:spacing w:before="120" w:after="120" w:line="360" w:lineRule="auto"/>
              <w:rPr>
                <w:rFonts w:eastAsiaTheme="minorHAnsi" w:cs="Arial"/>
                <w:sz w:val="16"/>
                <w:szCs w:val="16"/>
              </w:rPr>
            </w:pPr>
          </w:p>
        </w:tc>
        <w:tc>
          <w:tcPr>
            <w:tcW w:w="319" w:type="pct"/>
          </w:tcPr>
          <w:p w14:paraId="132CF464" w14:textId="626CC215" w:rsidR="00455FEA" w:rsidRPr="00E86F46" w:rsidRDefault="00455FEA" w:rsidP="00E757B5">
            <w:pPr>
              <w:spacing w:before="120" w:after="120" w:line="360" w:lineRule="auto"/>
              <w:rPr>
                <w:rFonts w:eastAsiaTheme="minorHAnsi" w:cs="Arial"/>
                <w:b/>
                <w:i/>
                <w:noProof/>
                <w:sz w:val="16"/>
                <w:szCs w:val="16"/>
              </w:rPr>
            </w:pPr>
            <w:r>
              <w:rPr>
                <w:rFonts w:eastAsiaTheme="minorHAnsi" w:cs="Arial"/>
                <w:b/>
                <w:i/>
                <w:noProof/>
                <w:sz w:val="16"/>
                <w:szCs w:val="16"/>
              </w:rPr>
              <w:t>ESPRA</w:t>
            </w:r>
          </w:p>
        </w:tc>
        <w:tc>
          <w:tcPr>
            <w:tcW w:w="291" w:type="pct"/>
          </w:tcPr>
          <w:p w14:paraId="3EA85CF2" w14:textId="48D6B9E1" w:rsidR="00455FEA" w:rsidRDefault="00455FEA"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CR01</w:t>
            </w:r>
          </w:p>
        </w:tc>
        <w:tc>
          <w:tcPr>
            <w:tcW w:w="572" w:type="pct"/>
            <w:shd w:val="clear" w:color="auto" w:fill="auto"/>
          </w:tcPr>
          <w:p w14:paraId="5C0287BB" w14:textId="3F32CFAE" w:rsidR="00455FEA" w:rsidRPr="00E86F46" w:rsidRDefault="00455FEA"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Nova proizvodna zmogljivost</w:t>
            </w:r>
          </w:p>
        </w:tc>
        <w:tc>
          <w:tcPr>
            <w:tcW w:w="332" w:type="pct"/>
          </w:tcPr>
          <w:p w14:paraId="681DE646" w14:textId="08D23320" w:rsidR="00455FEA" w:rsidRPr="00E86F46" w:rsidRDefault="00455FEA"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tone/leto</w:t>
            </w:r>
          </w:p>
        </w:tc>
        <w:tc>
          <w:tcPr>
            <w:tcW w:w="484" w:type="pct"/>
          </w:tcPr>
          <w:p w14:paraId="5E18075C" w14:textId="7CB9CC4B" w:rsidR="00455FEA" w:rsidRDefault="00455FEA"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511" w:type="pct"/>
          </w:tcPr>
          <w:p w14:paraId="5ADF3EE5" w14:textId="0629DF8B" w:rsidR="00455FEA" w:rsidRDefault="00455FEA"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306" w:type="pct"/>
            <w:shd w:val="clear" w:color="auto" w:fill="auto"/>
          </w:tcPr>
          <w:p w14:paraId="417CB54D" w14:textId="0ED3FE01" w:rsidR="00455FEA" w:rsidRDefault="00455FEA" w:rsidP="009D42E6">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25</w:t>
            </w:r>
          </w:p>
        </w:tc>
        <w:tc>
          <w:tcPr>
            <w:tcW w:w="651" w:type="pct"/>
            <w:shd w:val="clear" w:color="auto" w:fill="auto"/>
          </w:tcPr>
          <w:p w14:paraId="68442A34" w14:textId="2697CD01" w:rsidR="00455FEA" w:rsidRPr="00E86F46" w:rsidRDefault="00455FEA" w:rsidP="00E757B5">
            <w:pPr>
              <w:spacing w:before="120" w:after="120" w:line="480" w:lineRule="auto"/>
              <w:rPr>
                <w:rFonts w:eastAsiaTheme="minorHAnsi" w:cs="Arial"/>
                <w:noProof/>
                <w:sz w:val="16"/>
                <w:szCs w:val="16"/>
                <w:lang w:val="it-IT"/>
              </w:rPr>
            </w:pPr>
            <w:r w:rsidRPr="00455FEA">
              <w:rPr>
                <w:rFonts w:eastAsiaTheme="minorHAnsi" w:cs="Arial"/>
                <w:noProof/>
                <w:sz w:val="16"/>
                <w:szCs w:val="16"/>
                <w:lang w:val="it-IT"/>
              </w:rPr>
              <w:t>Izvedene delavnice in poizvedba na terenu.</w:t>
            </w:r>
          </w:p>
        </w:tc>
        <w:tc>
          <w:tcPr>
            <w:tcW w:w="426" w:type="pct"/>
          </w:tcPr>
          <w:p w14:paraId="1A1407ED" w14:textId="79098060" w:rsidR="00455FEA" w:rsidRPr="00455FEA" w:rsidRDefault="00455FEA" w:rsidP="00E757B5">
            <w:pPr>
              <w:rPr>
                <w:noProof/>
                <w:sz w:val="16"/>
                <w:szCs w:val="16"/>
                <w:lang w:val="fr-FR"/>
              </w:rPr>
            </w:pPr>
            <w:r w:rsidRPr="00714475">
              <w:rPr>
                <w:noProof/>
                <w:sz w:val="16"/>
                <w:szCs w:val="16"/>
                <w:lang w:val="fr-FR"/>
              </w:rPr>
              <w:t>Več v metodologiji, ki je priloga OP ESPRA 2021-2027</w:t>
            </w:r>
          </w:p>
        </w:tc>
      </w:tr>
      <w:tr w:rsidR="00E86F46" w:rsidRPr="00E757B5" w14:paraId="1D8BF2D6" w14:textId="77777777" w:rsidTr="00714475">
        <w:trPr>
          <w:trHeight w:val="434"/>
        </w:trPr>
        <w:tc>
          <w:tcPr>
            <w:tcW w:w="554" w:type="pct"/>
            <w:vMerge/>
          </w:tcPr>
          <w:p w14:paraId="7BE3FCF9" w14:textId="77777777" w:rsidR="00E86F46" w:rsidRPr="00455FEA" w:rsidRDefault="00E86F46" w:rsidP="00E757B5">
            <w:pPr>
              <w:spacing w:before="120" w:after="120" w:line="360" w:lineRule="auto"/>
              <w:rPr>
                <w:rFonts w:eastAsiaTheme="minorHAnsi" w:cs="Arial"/>
                <w:b/>
                <w:noProof/>
                <w:sz w:val="16"/>
                <w:szCs w:val="16"/>
                <w:lang w:val="fr-FR"/>
              </w:rPr>
            </w:pPr>
          </w:p>
        </w:tc>
        <w:tc>
          <w:tcPr>
            <w:tcW w:w="554" w:type="pct"/>
            <w:vMerge/>
          </w:tcPr>
          <w:p w14:paraId="746CE19A" w14:textId="77777777" w:rsidR="00E86F46" w:rsidRPr="00E757B5" w:rsidRDefault="00E86F46" w:rsidP="00E757B5">
            <w:pPr>
              <w:spacing w:before="120" w:after="120" w:line="360" w:lineRule="auto"/>
              <w:rPr>
                <w:rFonts w:eastAsiaTheme="minorHAnsi" w:cs="Arial"/>
                <w:sz w:val="16"/>
                <w:szCs w:val="16"/>
              </w:rPr>
            </w:pPr>
          </w:p>
        </w:tc>
        <w:tc>
          <w:tcPr>
            <w:tcW w:w="319" w:type="pct"/>
          </w:tcPr>
          <w:p w14:paraId="1017C89C" w14:textId="19C22E3F" w:rsidR="00E86F46" w:rsidRPr="00E757B5" w:rsidRDefault="00E86F46" w:rsidP="00E757B5">
            <w:pPr>
              <w:spacing w:before="120" w:after="120" w:line="360" w:lineRule="auto"/>
              <w:rPr>
                <w:rFonts w:eastAsiaTheme="minorHAnsi" w:cs="Arial"/>
                <w:b/>
                <w:i/>
                <w:noProof/>
                <w:sz w:val="16"/>
                <w:szCs w:val="16"/>
              </w:rPr>
            </w:pPr>
            <w:r w:rsidRPr="00E86F46">
              <w:rPr>
                <w:rFonts w:eastAsiaTheme="minorHAnsi" w:cs="Arial"/>
                <w:b/>
                <w:i/>
                <w:noProof/>
                <w:sz w:val="16"/>
                <w:szCs w:val="16"/>
              </w:rPr>
              <w:t>ESPRA</w:t>
            </w:r>
          </w:p>
        </w:tc>
        <w:tc>
          <w:tcPr>
            <w:tcW w:w="291" w:type="pct"/>
          </w:tcPr>
          <w:p w14:paraId="7B77BF4B" w14:textId="61603FB1" w:rsidR="00E86F46"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CR10</w:t>
            </w:r>
          </w:p>
        </w:tc>
        <w:tc>
          <w:tcPr>
            <w:tcW w:w="572" w:type="pct"/>
            <w:shd w:val="clear" w:color="auto" w:fill="auto"/>
          </w:tcPr>
          <w:p w14:paraId="3BF28A0C" w14:textId="1FF97BBB" w:rsidR="00E86F46" w:rsidRPr="00E757B5" w:rsidRDefault="00E86F46" w:rsidP="00E757B5">
            <w:pPr>
              <w:spacing w:before="120" w:after="120" w:line="360" w:lineRule="auto"/>
              <w:rPr>
                <w:rFonts w:eastAsiaTheme="minorHAnsi" w:cs="Arial"/>
                <w:noProof/>
                <w:sz w:val="16"/>
                <w:szCs w:val="16"/>
                <w:lang w:val="en-GB"/>
              </w:rPr>
            </w:pPr>
            <w:r w:rsidRPr="00E86F46">
              <w:rPr>
                <w:rFonts w:eastAsiaTheme="minorHAnsi" w:cs="Arial"/>
                <w:noProof/>
                <w:sz w:val="16"/>
                <w:szCs w:val="16"/>
                <w:lang w:val="en-GB"/>
              </w:rPr>
              <w:t xml:space="preserve">Aktivnosti, ki prispevajo k dobremu stanju okolja, vključno z obnovo narave, ohranjanjem, </w:t>
            </w:r>
            <w:r w:rsidRPr="00E86F46">
              <w:rPr>
                <w:rFonts w:eastAsiaTheme="minorHAnsi" w:cs="Arial"/>
                <w:noProof/>
                <w:sz w:val="16"/>
                <w:szCs w:val="16"/>
                <w:lang w:val="en-GB"/>
              </w:rPr>
              <w:lastRenderedPageBreak/>
              <w:t>zaščito ekosistemov, biotske raznovrstnosti, zdravja in dobrega počutja rib</w:t>
            </w:r>
          </w:p>
        </w:tc>
        <w:tc>
          <w:tcPr>
            <w:tcW w:w="332" w:type="pct"/>
          </w:tcPr>
          <w:p w14:paraId="62A6B41E" w14:textId="23251FCD" w:rsidR="00E86F46" w:rsidRPr="00E757B5" w:rsidRDefault="00E86F46" w:rsidP="00E757B5">
            <w:pPr>
              <w:spacing w:before="120" w:after="120" w:line="360" w:lineRule="auto"/>
              <w:rPr>
                <w:rFonts w:eastAsiaTheme="minorHAnsi" w:cs="Arial"/>
                <w:noProof/>
                <w:sz w:val="16"/>
                <w:szCs w:val="16"/>
                <w:lang w:val="en-GB"/>
              </w:rPr>
            </w:pPr>
            <w:r w:rsidRPr="00E86F46">
              <w:rPr>
                <w:rFonts w:eastAsiaTheme="minorHAnsi" w:cs="Arial"/>
                <w:noProof/>
                <w:sz w:val="16"/>
                <w:szCs w:val="16"/>
                <w:lang w:val="en-GB"/>
              </w:rPr>
              <w:lastRenderedPageBreak/>
              <w:t>Število</w:t>
            </w:r>
          </w:p>
        </w:tc>
        <w:tc>
          <w:tcPr>
            <w:tcW w:w="484" w:type="pct"/>
          </w:tcPr>
          <w:p w14:paraId="3058C0DC" w14:textId="42E40292" w:rsidR="00E86F46" w:rsidRPr="00E757B5" w:rsidRDefault="00E86F46"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511" w:type="pct"/>
          </w:tcPr>
          <w:p w14:paraId="57EB8938" w14:textId="64373F28" w:rsidR="00E86F46" w:rsidRPr="00E757B5" w:rsidRDefault="00E86F46"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306" w:type="pct"/>
            <w:shd w:val="clear" w:color="auto" w:fill="auto"/>
          </w:tcPr>
          <w:p w14:paraId="01FC0642" w14:textId="419B4713" w:rsidR="00E86F46" w:rsidRDefault="00E86F46"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3</w:t>
            </w:r>
          </w:p>
        </w:tc>
        <w:tc>
          <w:tcPr>
            <w:tcW w:w="651" w:type="pct"/>
            <w:shd w:val="clear" w:color="auto" w:fill="auto"/>
          </w:tcPr>
          <w:p w14:paraId="3C88CE72" w14:textId="46C42E80" w:rsidR="00E86F46" w:rsidRPr="00AC29EA" w:rsidRDefault="00E86F46" w:rsidP="00E757B5">
            <w:pPr>
              <w:spacing w:before="120" w:after="120" w:line="480" w:lineRule="auto"/>
              <w:rPr>
                <w:rFonts w:eastAsiaTheme="minorHAnsi" w:cs="Arial"/>
                <w:noProof/>
                <w:sz w:val="16"/>
                <w:szCs w:val="16"/>
                <w:lang w:val="it-IT"/>
              </w:rPr>
            </w:pPr>
            <w:r w:rsidRPr="00E86F46">
              <w:rPr>
                <w:rFonts w:eastAsiaTheme="minorHAnsi" w:cs="Arial"/>
                <w:noProof/>
                <w:sz w:val="16"/>
                <w:szCs w:val="16"/>
                <w:lang w:val="it-IT"/>
              </w:rPr>
              <w:t>Izvedene delavnice in poizvedba na terenu.</w:t>
            </w:r>
          </w:p>
        </w:tc>
        <w:tc>
          <w:tcPr>
            <w:tcW w:w="426" w:type="pct"/>
          </w:tcPr>
          <w:p w14:paraId="6764B54B" w14:textId="55CB1A4F" w:rsidR="00E86F46" w:rsidRPr="00E86F46" w:rsidRDefault="00E86F46" w:rsidP="00E757B5">
            <w:pPr>
              <w:rPr>
                <w:noProof/>
                <w:sz w:val="16"/>
                <w:szCs w:val="16"/>
                <w:lang w:val="fr-FR"/>
              </w:rPr>
            </w:pPr>
            <w:r w:rsidRPr="008E6BB7">
              <w:rPr>
                <w:noProof/>
                <w:sz w:val="16"/>
                <w:szCs w:val="16"/>
                <w:lang w:val="fr-FR"/>
              </w:rPr>
              <w:t>Več v metodologiji, ki je priloga OP ESPRA 2021-2027</w:t>
            </w:r>
          </w:p>
        </w:tc>
      </w:tr>
      <w:tr w:rsidR="00E757B5" w:rsidRPr="00E757B5" w14:paraId="6DA52DB1" w14:textId="77777777" w:rsidTr="00714475">
        <w:trPr>
          <w:trHeight w:val="434"/>
        </w:trPr>
        <w:tc>
          <w:tcPr>
            <w:tcW w:w="554" w:type="pct"/>
            <w:vMerge/>
          </w:tcPr>
          <w:p w14:paraId="22983C96" w14:textId="77777777" w:rsidR="00E757B5" w:rsidRPr="00E86F46" w:rsidRDefault="00E757B5" w:rsidP="00E757B5">
            <w:pPr>
              <w:spacing w:before="120" w:after="120" w:line="360" w:lineRule="auto"/>
              <w:rPr>
                <w:rFonts w:eastAsiaTheme="minorHAnsi" w:cs="Arial"/>
                <w:b/>
                <w:noProof/>
                <w:sz w:val="16"/>
                <w:szCs w:val="16"/>
                <w:lang w:val="fr-FR"/>
              </w:rPr>
            </w:pPr>
          </w:p>
        </w:tc>
        <w:tc>
          <w:tcPr>
            <w:tcW w:w="554" w:type="pct"/>
            <w:vMerge/>
          </w:tcPr>
          <w:p w14:paraId="45590B0D" w14:textId="77777777" w:rsidR="00E757B5" w:rsidRPr="00E757B5" w:rsidRDefault="00E757B5" w:rsidP="00E757B5">
            <w:pPr>
              <w:spacing w:before="120" w:after="120" w:line="360" w:lineRule="auto"/>
              <w:rPr>
                <w:rFonts w:eastAsiaTheme="minorHAnsi" w:cs="Arial"/>
                <w:sz w:val="16"/>
                <w:szCs w:val="16"/>
              </w:rPr>
            </w:pPr>
          </w:p>
        </w:tc>
        <w:tc>
          <w:tcPr>
            <w:tcW w:w="319" w:type="pct"/>
          </w:tcPr>
          <w:p w14:paraId="0409D349" w14:textId="77777777" w:rsidR="00E757B5" w:rsidRPr="00E757B5" w:rsidRDefault="00E757B5" w:rsidP="00E757B5">
            <w:pPr>
              <w:spacing w:before="120" w:after="120" w:line="360" w:lineRule="auto"/>
              <w:rPr>
                <w:rFonts w:eastAsiaTheme="minorHAnsi" w:cs="Arial"/>
                <w:b/>
                <w:i/>
                <w:noProof/>
                <w:sz w:val="16"/>
                <w:szCs w:val="16"/>
              </w:rPr>
            </w:pPr>
            <w:r w:rsidRPr="00E757B5">
              <w:rPr>
                <w:rFonts w:eastAsiaTheme="minorHAnsi" w:cs="Arial"/>
                <w:b/>
                <w:i/>
                <w:noProof/>
                <w:sz w:val="16"/>
                <w:szCs w:val="16"/>
              </w:rPr>
              <w:t>ESPRA</w:t>
            </w:r>
          </w:p>
        </w:tc>
        <w:tc>
          <w:tcPr>
            <w:tcW w:w="291" w:type="pct"/>
          </w:tcPr>
          <w:p w14:paraId="07FB37AB" w14:textId="26FE4F92" w:rsidR="00E757B5"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CR08</w:t>
            </w:r>
          </w:p>
        </w:tc>
        <w:tc>
          <w:tcPr>
            <w:tcW w:w="572" w:type="pct"/>
            <w:shd w:val="clear" w:color="auto" w:fill="auto"/>
          </w:tcPr>
          <w:p w14:paraId="4B934BAD" w14:textId="66208FA8"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Osebe, ki imajo koristi od operacije</w:t>
            </w:r>
          </w:p>
        </w:tc>
        <w:tc>
          <w:tcPr>
            <w:tcW w:w="332" w:type="pct"/>
          </w:tcPr>
          <w:p w14:paraId="6CCAFA4C"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Število</w:t>
            </w:r>
          </w:p>
        </w:tc>
        <w:tc>
          <w:tcPr>
            <w:tcW w:w="484" w:type="pct"/>
          </w:tcPr>
          <w:p w14:paraId="41F11644"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58F014D4"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0D5BF8F6" w14:textId="5D93ECEC" w:rsidR="00E757B5" w:rsidRPr="00E757B5" w:rsidRDefault="00E757B5"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100</w:t>
            </w:r>
          </w:p>
        </w:tc>
        <w:tc>
          <w:tcPr>
            <w:tcW w:w="651" w:type="pct"/>
            <w:shd w:val="clear" w:color="auto" w:fill="auto"/>
          </w:tcPr>
          <w:p w14:paraId="1C6AB715" w14:textId="77777777" w:rsidR="00E757B5" w:rsidRPr="00AC29EA" w:rsidRDefault="00E757B5" w:rsidP="00E757B5">
            <w:pPr>
              <w:spacing w:before="120" w:after="120" w:line="480" w:lineRule="auto"/>
              <w:rPr>
                <w:rFonts w:eastAsiaTheme="minorHAnsi" w:cs="Arial"/>
                <w:noProof/>
                <w:sz w:val="16"/>
                <w:szCs w:val="16"/>
                <w:lang w:val="it-IT"/>
              </w:rPr>
            </w:pPr>
            <w:r w:rsidRPr="00AC29EA">
              <w:rPr>
                <w:rFonts w:eastAsiaTheme="minorHAnsi" w:cs="Arial"/>
                <w:noProof/>
                <w:sz w:val="16"/>
                <w:szCs w:val="16"/>
                <w:lang w:val="it-IT"/>
              </w:rPr>
              <w:t>Izvedene delavnice in poizvedba na terenu.</w:t>
            </w:r>
          </w:p>
        </w:tc>
        <w:tc>
          <w:tcPr>
            <w:tcW w:w="426" w:type="pct"/>
          </w:tcPr>
          <w:p w14:paraId="44FE5F92" w14:textId="4A71D8FA" w:rsidR="00E757B5" w:rsidRPr="00E757B5" w:rsidRDefault="00E757B5" w:rsidP="00E757B5">
            <w:pPr>
              <w:rPr>
                <w:noProof/>
                <w:sz w:val="16"/>
                <w:szCs w:val="16"/>
                <w:lang w:val="fr-FR"/>
              </w:rPr>
            </w:pPr>
            <w:r w:rsidRPr="00E757B5">
              <w:rPr>
                <w:noProof/>
                <w:sz w:val="16"/>
                <w:szCs w:val="16"/>
                <w:lang w:val="fr-FR"/>
              </w:rPr>
              <w:t>Več v metodologiji, ki je priloga OP ESPRA 2021-2027</w:t>
            </w:r>
          </w:p>
        </w:tc>
      </w:tr>
      <w:tr w:rsidR="00E757B5" w:rsidRPr="00E757B5" w14:paraId="2D460AA1" w14:textId="77777777" w:rsidTr="00714475">
        <w:trPr>
          <w:trHeight w:val="434"/>
        </w:trPr>
        <w:tc>
          <w:tcPr>
            <w:tcW w:w="554" w:type="pct"/>
            <w:vMerge/>
          </w:tcPr>
          <w:p w14:paraId="74D6CE57"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vMerge/>
          </w:tcPr>
          <w:p w14:paraId="6FB6E74C" w14:textId="77777777" w:rsidR="00E757B5" w:rsidRPr="00E757B5" w:rsidRDefault="00E757B5" w:rsidP="00E757B5">
            <w:pPr>
              <w:spacing w:before="120" w:after="120" w:line="360" w:lineRule="auto"/>
              <w:rPr>
                <w:rFonts w:eastAsiaTheme="minorHAnsi" w:cs="Arial"/>
                <w:b/>
                <w:noProof/>
                <w:sz w:val="16"/>
                <w:szCs w:val="16"/>
              </w:rPr>
            </w:pPr>
          </w:p>
        </w:tc>
        <w:tc>
          <w:tcPr>
            <w:tcW w:w="319" w:type="pct"/>
          </w:tcPr>
          <w:p w14:paraId="56D44D03" w14:textId="77777777" w:rsidR="00E757B5" w:rsidRPr="00E757B5" w:rsidRDefault="00E757B5" w:rsidP="00E757B5">
            <w:pPr>
              <w:spacing w:before="120" w:after="120" w:line="360" w:lineRule="auto"/>
              <w:rPr>
                <w:rFonts w:eastAsiaTheme="minorHAnsi" w:cs="Arial"/>
                <w:b/>
                <w:i/>
                <w:noProof/>
                <w:sz w:val="16"/>
                <w:szCs w:val="16"/>
              </w:rPr>
            </w:pPr>
          </w:p>
        </w:tc>
        <w:tc>
          <w:tcPr>
            <w:tcW w:w="291" w:type="pct"/>
          </w:tcPr>
          <w:p w14:paraId="299B566A" w14:textId="0BF8A271" w:rsidR="00E757B5" w:rsidRPr="008E6BB7" w:rsidRDefault="007706DE" w:rsidP="00E757B5">
            <w:pPr>
              <w:spacing w:before="120" w:after="120" w:line="360" w:lineRule="auto"/>
              <w:rPr>
                <w:rFonts w:eastAsiaTheme="minorHAnsi" w:cs="Arial"/>
                <w:noProof/>
                <w:sz w:val="16"/>
                <w:szCs w:val="16"/>
                <w:lang w:val="fr-FR"/>
              </w:rPr>
            </w:pPr>
            <w:r>
              <w:rPr>
                <w:rFonts w:eastAsiaTheme="minorHAnsi" w:cs="Arial"/>
                <w:noProof/>
                <w:sz w:val="16"/>
                <w:szCs w:val="16"/>
                <w:lang w:val="fr-FR"/>
              </w:rPr>
              <w:t>CR14</w:t>
            </w:r>
          </w:p>
        </w:tc>
        <w:tc>
          <w:tcPr>
            <w:tcW w:w="572" w:type="pct"/>
            <w:shd w:val="clear" w:color="auto" w:fill="auto"/>
          </w:tcPr>
          <w:p w14:paraId="474EF0AE" w14:textId="6F7117FE" w:rsidR="00E757B5" w:rsidRPr="00E757B5" w:rsidRDefault="00E757B5" w:rsidP="00E757B5">
            <w:pPr>
              <w:spacing w:before="120" w:after="120" w:line="360" w:lineRule="auto"/>
              <w:rPr>
                <w:rFonts w:eastAsiaTheme="minorHAnsi" w:cs="Arial"/>
                <w:noProof/>
                <w:sz w:val="16"/>
                <w:szCs w:val="16"/>
                <w:lang w:val="de-DE"/>
              </w:rPr>
            </w:pPr>
            <w:r>
              <w:rPr>
                <w:rFonts w:eastAsiaTheme="minorHAnsi" w:cs="Arial"/>
                <w:noProof/>
                <w:sz w:val="16"/>
                <w:szCs w:val="16"/>
                <w:lang w:val="de-DE"/>
              </w:rPr>
              <w:t>Omogočene inovacije</w:t>
            </w:r>
          </w:p>
        </w:tc>
        <w:tc>
          <w:tcPr>
            <w:tcW w:w="332" w:type="pct"/>
          </w:tcPr>
          <w:p w14:paraId="3A742AB0"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Število</w:t>
            </w:r>
          </w:p>
        </w:tc>
        <w:tc>
          <w:tcPr>
            <w:tcW w:w="484" w:type="pct"/>
          </w:tcPr>
          <w:p w14:paraId="159675DC"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48343D2E"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171BF9C3" w14:textId="1201AF04" w:rsidR="00E757B5" w:rsidRPr="00E757B5" w:rsidRDefault="00E86F46"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3</w:t>
            </w:r>
          </w:p>
        </w:tc>
        <w:tc>
          <w:tcPr>
            <w:tcW w:w="651" w:type="pct"/>
            <w:shd w:val="clear" w:color="auto" w:fill="auto"/>
          </w:tcPr>
          <w:p w14:paraId="27495E78" w14:textId="0A12F66F" w:rsidR="00E757B5" w:rsidRPr="00E757B5" w:rsidRDefault="00E757B5" w:rsidP="00E757B5">
            <w:pPr>
              <w:spacing w:before="120" w:after="120" w:line="480" w:lineRule="auto"/>
              <w:rPr>
                <w:rFonts w:eastAsiaTheme="minorHAnsi" w:cs="Arial"/>
                <w:noProof/>
                <w:sz w:val="16"/>
                <w:szCs w:val="16"/>
                <w:lang w:val="en-GB"/>
              </w:rPr>
            </w:pPr>
            <w:r w:rsidRPr="00E757B5">
              <w:rPr>
                <w:rFonts w:eastAsiaTheme="minorHAnsi" w:cs="Arial"/>
                <w:noProof/>
                <w:sz w:val="16"/>
                <w:szCs w:val="16"/>
                <w:lang w:val="en-GB"/>
              </w:rPr>
              <w:t>Izvedene delavnice, izražen interes s strani morebitnih upravičencev med pripravo OP ESPRA 2021-2027</w:t>
            </w:r>
          </w:p>
        </w:tc>
        <w:tc>
          <w:tcPr>
            <w:tcW w:w="426" w:type="pct"/>
          </w:tcPr>
          <w:p w14:paraId="44B9F703" w14:textId="2760F2E8" w:rsidR="00E757B5" w:rsidRPr="00E757B5" w:rsidRDefault="00E757B5" w:rsidP="00E757B5">
            <w:pPr>
              <w:rPr>
                <w:noProof/>
                <w:sz w:val="16"/>
                <w:szCs w:val="16"/>
                <w:lang w:val="fr-FR"/>
              </w:rPr>
            </w:pPr>
            <w:r w:rsidRPr="00E757B5">
              <w:rPr>
                <w:noProof/>
                <w:sz w:val="16"/>
                <w:szCs w:val="16"/>
                <w:lang w:val="fr-FR"/>
              </w:rPr>
              <w:t>Več v metodologiji, ki je priloga OP ESPRA 2021-2027</w:t>
            </w:r>
          </w:p>
        </w:tc>
      </w:tr>
      <w:tr w:rsidR="00E757B5" w:rsidRPr="00E757B5" w14:paraId="7BC01DA9" w14:textId="77777777" w:rsidTr="00714475">
        <w:trPr>
          <w:trHeight w:val="434"/>
        </w:trPr>
        <w:tc>
          <w:tcPr>
            <w:tcW w:w="554" w:type="pct"/>
            <w:vMerge/>
          </w:tcPr>
          <w:p w14:paraId="73128279"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vMerge w:val="restart"/>
          </w:tcPr>
          <w:p w14:paraId="282460CF" w14:textId="77777777" w:rsidR="00E757B5" w:rsidRPr="00E757B5" w:rsidRDefault="00E757B5" w:rsidP="00E757B5">
            <w:pPr>
              <w:spacing w:before="120" w:after="120" w:line="360" w:lineRule="auto"/>
              <w:rPr>
                <w:rFonts w:eastAsiaTheme="minorHAnsi" w:cs="Arial"/>
                <w:sz w:val="16"/>
                <w:szCs w:val="16"/>
              </w:rPr>
            </w:pPr>
            <w:r w:rsidRPr="00E757B5">
              <w:rPr>
                <w:rFonts w:eastAsiaTheme="minorHAnsi" w:cs="Arial"/>
                <w:b/>
                <w:sz w:val="16"/>
                <w:szCs w:val="16"/>
              </w:rPr>
              <w:t xml:space="preserve">Spodbujanje trženja, kakovosti ter dodane vrednosti ribiških in proizvodov iz akvakulture, pa </w:t>
            </w:r>
            <w:r w:rsidRPr="00E757B5">
              <w:rPr>
                <w:rFonts w:eastAsiaTheme="minorHAnsi" w:cs="Arial"/>
                <w:b/>
                <w:sz w:val="16"/>
                <w:szCs w:val="16"/>
              </w:rPr>
              <w:lastRenderedPageBreak/>
              <w:t>tudi predelave teh proizvodov</w:t>
            </w:r>
          </w:p>
        </w:tc>
        <w:tc>
          <w:tcPr>
            <w:tcW w:w="319" w:type="pct"/>
          </w:tcPr>
          <w:p w14:paraId="16A29AA0" w14:textId="77777777" w:rsidR="00E757B5" w:rsidRPr="00E757B5" w:rsidRDefault="00E757B5" w:rsidP="00E757B5">
            <w:pPr>
              <w:spacing w:before="120" w:after="120" w:line="360" w:lineRule="auto"/>
              <w:rPr>
                <w:rFonts w:eastAsiaTheme="minorHAnsi" w:cs="Arial"/>
                <w:b/>
                <w:i/>
                <w:noProof/>
                <w:sz w:val="16"/>
                <w:szCs w:val="16"/>
              </w:rPr>
            </w:pPr>
            <w:r w:rsidRPr="00E757B5">
              <w:rPr>
                <w:rFonts w:eastAsiaTheme="minorHAnsi" w:cs="Arial"/>
                <w:b/>
                <w:i/>
                <w:noProof/>
                <w:sz w:val="16"/>
                <w:szCs w:val="16"/>
              </w:rPr>
              <w:lastRenderedPageBreak/>
              <w:t>ESPRA</w:t>
            </w:r>
          </w:p>
        </w:tc>
        <w:tc>
          <w:tcPr>
            <w:tcW w:w="291" w:type="pct"/>
          </w:tcPr>
          <w:p w14:paraId="7712B327" w14:textId="38ECBCF0" w:rsidR="00E757B5"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CR01</w:t>
            </w:r>
          </w:p>
        </w:tc>
        <w:tc>
          <w:tcPr>
            <w:tcW w:w="572" w:type="pct"/>
            <w:shd w:val="clear" w:color="auto" w:fill="auto"/>
          </w:tcPr>
          <w:p w14:paraId="236FE6DD" w14:textId="4D2D5BD5"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Nova proizvodna zmogljivost</w:t>
            </w:r>
            <w:r>
              <w:rPr>
                <w:rFonts w:eastAsiaTheme="minorHAnsi" w:cs="Arial"/>
                <w:noProof/>
                <w:sz w:val="16"/>
                <w:szCs w:val="16"/>
                <w:lang w:val="en-GB"/>
              </w:rPr>
              <w:t>i</w:t>
            </w:r>
          </w:p>
        </w:tc>
        <w:tc>
          <w:tcPr>
            <w:tcW w:w="332" w:type="pct"/>
          </w:tcPr>
          <w:p w14:paraId="16F88454" w14:textId="32D99B91" w:rsidR="00E757B5" w:rsidRPr="00E757B5" w:rsidRDefault="008A3864" w:rsidP="008A3864">
            <w:pPr>
              <w:spacing w:before="120" w:after="120" w:line="360" w:lineRule="auto"/>
              <w:rPr>
                <w:rFonts w:eastAsiaTheme="minorHAnsi" w:cs="Arial"/>
                <w:noProof/>
                <w:sz w:val="16"/>
                <w:szCs w:val="16"/>
                <w:lang w:val="en-GB"/>
              </w:rPr>
            </w:pPr>
            <w:r>
              <w:rPr>
                <w:rFonts w:eastAsiaTheme="minorHAnsi" w:cs="Arial"/>
                <w:noProof/>
                <w:sz w:val="16"/>
                <w:szCs w:val="16"/>
                <w:lang w:val="en-GB"/>
              </w:rPr>
              <w:t>t</w:t>
            </w:r>
            <w:r w:rsidR="00E757B5" w:rsidRPr="00E757B5">
              <w:rPr>
                <w:rFonts w:eastAsiaTheme="minorHAnsi" w:cs="Arial"/>
                <w:noProof/>
                <w:sz w:val="16"/>
                <w:szCs w:val="16"/>
                <w:lang w:val="en-GB"/>
              </w:rPr>
              <w:t>one/leto</w:t>
            </w:r>
          </w:p>
        </w:tc>
        <w:tc>
          <w:tcPr>
            <w:tcW w:w="484" w:type="pct"/>
          </w:tcPr>
          <w:p w14:paraId="56F94E66"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35418EA0"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2F09555C" w14:textId="27D1BC6C" w:rsidR="00E757B5" w:rsidRPr="00E757B5" w:rsidRDefault="00E757B5" w:rsidP="00E757B5">
            <w:pPr>
              <w:spacing w:before="120" w:after="120" w:line="360" w:lineRule="auto"/>
              <w:jc w:val="center"/>
              <w:rPr>
                <w:rFonts w:eastAsiaTheme="minorHAnsi" w:cs="Arial"/>
                <w:noProof/>
                <w:sz w:val="16"/>
                <w:szCs w:val="16"/>
                <w:lang w:val="en-GB"/>
              </w:rPr>
            </w:pPr>
            <w:r w:rsidRPr="00E757B5">
              <w:rPr>
                <w:rFonts w:eastAsiaTheme="minorHAnsi" w:cs="Arial"/>
                <w:noProof/>
                <w:sz w:val="16"/>
                <w:szCs w:val="16"/>
                <w:lang w:val="en-GB"/>
              </w:rPr>
              <w:t>400</w:t>
            </w:r>
          </w:p>
        </w:tc>
        <w:tc>
          <w:tcPr>
            <w:tcW w:w="651" w:type="pct"/>
            <w:shd w:val="clear" w:color="auto" w:fill="auto"/>
          </w:tcPr>
          <w:p w14:paraId="141C7DF8" w14:textId="77777777" w:rsidR="00E757B5" w:rsidRPr="00AC29EA" w:rsidRDefault="00E757B5" w:rsidP="00E757B5">
            <w:pPr>
              <w:spacing w:before="120" w:after="120" w:line="480" w:lineRule="auto"/>
              <w:rPr>
                <w:rFonts w:eastAsiaTheme="minorHAnsi" w:cs="Arial"/>
                <w:noProof/>
                <w:sz w:val="16"/>
                <w:szCs w:val="16"/>
                <w:lang w:val="it-IT"/>
              </w:rPr>
            </w:pPr>
            <w:r w:rsidRPr="00AC29EA">
              <w:rPr>
                <w:rFonts w:eastAsiaTheme="minorHAnsi" w:cs="Arial"/>
                <w:noProof/>
                <w:sz w:val="16"/>
                <w:szCs w:val="16"/>
                <w:lang w:val="it-IT"/>
              </w:rPr>
              <w:t>Izvedene delavnice in poizvedba na terenu.</w:t>
            </w:r>
          </w:p>
        </w:tc>
        <w:tc>
          <w:tcPr>
            <w:tcW w:w="426" w:type="pct"/>
          </w:tcPr>
          <w:p w14:paraId="24195AE1" w14:textId="1E031B85" w:rsidR="00E757B5" w:rsidRPr="00E757B5" w:rsidRDefault="00E757B5" w:rsidP="00E757B5">
            <w:pPr>
              <w:rPr>
                <w:i/>
                <w:noProof/>
                <w:sz w:val="16"/>
                <w:szCs w:val="16"/>
                <w:lang w:val="fr-FR"/>
              </w:rPr>
            </w:pPr>
            <w:r w:rsidRPr="00E757B5">
              <w:rPr>
                <w:i/>
                <w:noProof/>
                <w:sz w:val="16"/>
                <w:szCs w:val="16"/>
                <w:lang w:val="fr-FR"/>
              </w:rPr>
              <w:t>Več v metodologiji, ki je priloga OP ESPRA 2021-2027</w:t>
            </w:r>
          </w:p>
        </w:tc>
      </w:tr>
      <w:tr w:rsidR="00E757B5" w:rsidRPr="00E757B5" w14:paraId="2A4E0DAE" w14:textId="77777777" w:rsidTr="00714475">
        <w:trPr>
          <w:trHeight w:val="434"/>
        </w:trPr>
        <w:tc>
          <w:tcPr>
            <w:tcW w:w="554" w:type="pct"/>
            <w:vMerge/>
          </w:tcPr>
          <w:p w14:paraId="143ED7E1"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vMerge/>
          </w:tcPr>
          <w:p w14:paraId="49EC9367" w14:textId="77777777" w:rsidR="00E757B5" w:rsidRPr="00E757B5" w:rsidRDefault="00E757B5" w:rsidP="00E757B5">
            <w:pPr>
              <w:spacing w:before="120" w:after="120" w:line="360" w:lineRule="auto"/>
              <w:rPr>
                <w:rFonts w:eastAsiaTheme="minorHAnsi" w:cs="Arial"/>
                <w:b/>
                <w:sz w:val="16"/>
                <w:szCs w:val="16"/>
              </w:rPr>
            </w:pPr>
          </w:p>
        </w:tc>
        <w:tc>
          <w:tcPr>
            <w:tcW w:w="319" w:type="pct"/>
          </w:tcPr>
          <w:p w14:paraId="13DFA6E5" w14:textId="77777777" w:rsidR="00E757B5" w:rsidRPr="00E757B5" w:rsidRDefault="00E757B5" w:rsidP="00E757B5">
            <w:pPr>
              <w:spacing w:before="120" w:after="120" w:line="360" w:lineRule="auto"/>
              <w:rPr>
                <w:rFonts w:eastAsiaTheme="minorHAnsi" w:cs="Arial"/>
                <w:b/>
                <w:i/>
                <w:noProof/>
                <w:sz w:val="16"/>
                <w:szCs w:val="16"/>
              </w:rPr>
            </w:pPr>
            <w:r w:rsidRPr="00E757B5">
              <w:rPr>
                <w:rFonts w:eastAsiaTheme="minorHAnsi" w:cs="Arial"/>
                <w:b/>
                <w:i/>
                <w:noProof/>
                <w:sz w:val="16"/>
                <w:szCs w:val="16"/>
              </w:rPr>
              <w:t>ESPRA</w:t>
            </w:r>
          </w:p>
        </w:tc>
        <w:tc>
          <w:tcPr>
            <w:tcW w:w="291" w:type="pct"/>
          </w:tcPr>
          <w:p w14:paraId="061255D1" w14:textId="679F8AEB" w:rsidR="00E757B5"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CR17</w:t>
            </w:r>
          </w:p>
        </w:tc>
        <w:tc>
          <w:tcPr>
            <w:tcW w:w="572" w:type="pct"/>
            <w:shd w:val="clear" w:color="auto" w:fill="auto"/>
          </w:tcPr>
          <w:p w14:paraId="0872F65D"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Poslovni subjekti, ki  izboljšujejo učinkovitost virov v predelavi</w:t>
            </w:r>
          </w:p>
        </w:tc>
        <w:tc>
          <w:tcPr>
            <w:tcW w:w="332" w:type="pct"/>
          </w:tcPr>
          <w:p w14:paraId="3D62138B"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Število</w:t>
            </w:r>
          </w:p>
        </w:tc>
        <w:tc>
          <w:tcPr>
            <w:tcW w:w="484" w:type="pct"/>
          </w:tcPr>
          <w:p w14:paraId="76949974"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3DCFEECD"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6D090B75" w14:textId="65A3F07C" w:rsidR="00E757B5" w:rsidRPr="00E757B5" w:rsidRDefault="000F68C3"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3</w:t>
            </w:r>
          </w:p>
        </w:tc>
        <w:tc>
          <w:tcPr>
            <w:tcW w:w="651" w:type="pct"/>
            <w:shd w:val="clear" w:color="auto" w:fill="auto"/>
          </w:tcPr>
          <w:p w14:paraId="0F09714E" w14:textId="77777777" w:rsidR="00E757B5" w:rsidRPr="00AC29EA" w:rsidRDefault="00E757B5" w:rsidP="00E757B5">
            <w:pPr>
              <w:spacing w:before="120" w:after="120" w:line="480" w:lineRule="auto"/>
              <w:rPr>
                <w:rFonts w:eastAsiaTheme="minorHAnsi" w:cs="Arial"/>
                <w:noProof/>
                <w:sz w:val="16"/>
                <w:szCs w:val="16"/>
                <w:lang w:val="it-IT"/>
              </w:rPr>
            </w:pPr>
            <w:r w:rsidRPr="00AC29EA">
              <w:rPr>
                <w:rFonts w:eastAsiaTheme="minorHAnsi" w:cs="Arial"/>
                <w:noProof/>
                <w:sz w:val="16"/>
                <w:szCs w:val="16"/>
                <w:lang w:val="it-IT"/>
              </w:rPr>
              <w:t>Izvedene delavnice in poizvedba na terenu.</w:t>
            </w:r>
          </w:p>
        </w:tc>
        <w:tc>
          <w:tcPr>
            <w:tcW w:w="426" w:type="pct"/>
          </w:tcPr>
          <w:p w14:paraId="784C8317" w14:textId="661C3273" w:rsidR="00E757B5" w:rsidRPr="00E757B5" w:rsidRDefault="00E757B5" w:rsidP="00E757B5">
            <w:pPr>
              <w:rPr>
                <w:i/>
                <w:noProof/>
                <w:sz w:val="16"/>
                <w:szCs w:val="16"/>
                <w:lang w:val="fr-FR"/>
              </w:rPr>
            </w:pPr>
            <w:r w:rsidRPr="00E757B5">
              <w:rPr>
                <w:i/>
                <w:noProof/>
                <w:sz w:val="16"/>
                <w:szCs w:val="16"/>
                <w:lang w:val="fr-FR"/>
              </w:rPr>
              <w:t>Več v metodologiji, ki je priloga OP ESPRA 2021-2027</w:t>
            </w:r>
          </w:p>
        </w:tc>
      </w:tr>
      <w:tr w:rsidR="00E757B5" w:rsidRPr="00E757B5" w14:paraId="0BB02671" w14:textId="77777777" w:rsidTr="00714475">
        <w:trPr>
          <w:trHeight w:val="434"/>
        </w:trPr>
        <w:tc>
          <w:tcPr>
            <w:tcW w:w="554" w:type="pct"/>
            <w:vMerge/>
          </w:tcPr>
          <w:p w14:paraId="0F6F9DA9"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vMerge/>
          </w:tcPr>
          <w:p w14:paraId="480020E1" w14:textId="77777777" w:rsidR="00E757B5" w:rsidRPr="00E757B5" w:rsidRDefault="00E757B5" w:rsidP="00E757B5">
            <w:pPr>
              <w:spacing w:before="120" w:after="120" w:line="360" w:lineRule="auto"/>
              <w:rPr>
                <w:rFonts w:eastAsiaTheme="minorHAnsi" w:cs="Arial"/>
                <w:b/>
                <w:sz w:val="16"/>
                <w:szCs w:val="16"/>
              </w:rPr>
            </w:pPr>
          </w:p>
        </w:tc>
        <w:tc>
          <w:tcPr>
            <w:tcW w:w="319" w:type="pct"/>
          </w:tcPr>
          <w:p w14:paraId="47FA3254" w14:textId="77777777" w:rsidR="00E757B5" w:rsidRPr="00E757B5" w:rsidRDefault="00E757B5" w:rsidP="00E757B5">
            <w:pPr>
              <w:spacing w:before="120" w:after="120" w:line="360" w:lineRule="auto"/>
              <w:rPr>
                <w:rFonts w:eastAsiaTheme="minorHAnsi" w:cs="Arial"/>
                <w:b/>
                <w:i/>
                <w:noProof/>
                <w:sz w:val="16"/>
                <w:szCs w:val="16"/>
              </w:rPr>
            </w:pPr>
            <w:r w:rsidRPr="00E757B5">
              <w:rPr>
                <w:rFonts w:eastAsiaTheme="minorHAnsi" w:cs="Arial"/>
                <w:b/>
                <w:i/>
                <w:noProof/>
                <w:sz w:val="16"/>
                <w:szCs w:val="16"/>
              </w:rPr>
              <w:t>ESPRA</w:t>
            </w:r>
          </w:p>
        </w:tc>
        <w:tc>
          <w:tcPr>
            <w:tcW w:w="291" w:type="pct"/>
          </w:tcPr>
          <w:p w14:paraId="64698B24" w14:textId="578B7071" w:rsidR="00E757B5" w:rsidRPr="008E6BB7" w:rsidRDefault="007706DE"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CR16</w:t>
            </w:r>
          </w:p>
        </w:tc>
        <w:tc>
          <w:tcPr>
            <w:tcW w:w="572" w:type="pct"/>
            <w:shd w:val="clear" w:color="auto" w:fill="auto"/>
          </w:tcPr>
          <w:p w14:paraId="400BE0FC" w14:textId="0B4280F4" w:rsidR="00E757B5" w:rsidRPr="00AC29EA" w:rsidRDefault="00E757B5" w:rsidP="00E757B5">
            <w:pPr>
              <w:spacing w:before="120" w:after="120" w:line="360" w:lineRule="auto"/>
              <w:rPr>
                <w:rFonts w:eastAsiaTheme="minorHAnsi" w:cs="Arial"/>
                <w:noProof/>
                <w:sz w:val="16"/>
                <w:szCs w:val="16"/>
                <w:lang w:val="en-GB"/>
              </w:rPr>
            </w:pPr>
            <w:r w:rsidRPr="00AC29EA">
              <w:rPr>
                <w:rFonts w:eastAsiaTheme="minorHAnsi" w:cs="Arial"/>
                <w:noProof/>
                <w:sz w:val="16"/>
                <w:szCs w:val="16"/>
                <w:lang w:val="en-GB"/>
              </w:rPr>
              <w:t>Subjekti, ki imajo koristi od promocijskih in informacijskih dejavnosti (število subjektov)</w:t>
            </w:r>
          </w:p>
        </w:tc>
        <w:tc>
          <w:tcPr>
            <w:tcW w:w="332" w:type="pct"/>
          </w:tcPr>
          <w:p w14:paraId="22C2F585"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Število</w:t>
            </w:r>
          </w:p>
        </w:tc>
        <w:tc>
          <w:tcPr>
            <w:tcW w:w="484" w:type="pct"/>
          </w:tcPr>
          <w:p w14:paraId="2C51BE38"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0</w:t>
            </w:r>
          </w:p>
        </w:tc>
        <w:tc>
          <w:tcPr>
            <w:tcW w:w="511" w:type="pct"/>
          </w:tcPr>
          <w:p w14:paraId="56FB2815" w14:textId="77777777"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2020</w:t>
            </w:r>
          </w:p>
        </w:tc>
        <w:tc>
          <w:tcPr>
            <w:tcW w:w="306" w:type="pct"/>
            <w:shd w:val="clear" w:color="auto" w:fill="auto"/>
          </w:tcPr>
          <w:p w14:paraId="7C3DA13D" w14:textId="5D4DC28D" w:rsidR="00E757B5" w:rsidRPr="00E757B5" w:rsidRDefault="000F68C3"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20</w:t>
            </w:r>
          </w:p>
        </w:tc>
        <w:tc>
          <w:tcPr>
            <w:tcW w:w="651" w:type="pct"/>
            <w:shd w:val="clear" w:color="auto" w:fill="auto"/>
          </w:tcPr>
          <w:p w14:paraId="635FABC7" w14:textId="0B2D7E95" w:rsidR="00E757B5" w:rsidRPr="00E757B5" w:rsidRDefault="00E757B5" w:rsidP="00E757B5">
            <w:pPr>
              <w:spacing w:before="120" w:after="120" w:line="480" w:lineRule="auto"/>
              <w:rPr>
                <w:rFonts w:eastAsiaTheme="minorHAnsi" w:cs="Arial"/>
                <w:noProof/>
                <w:sz w:val="16"/>
                <w:szCs w:val="16"/>
                <w:lang w:val="en-GB"/>
              </w:rPr>
            </w:pPr>
            <w:r w:rsidRPr="00E757B5">
              <w:rPr>
                <w:rFonts w:eastAsiaTheme="minorHAnsi" w:cs="Arial"/>
                <w:noProof/>
                <w:sz w:val="16"/>
                <w:szCs w:val="16"/>
                <w:lang w:val="en-GB"/>
              </w:rPr>
              <w:t>Izvedene delavnice</w:t>
            </w:r>
            <w:r>
              <w:rPr>
                <w:rFonts w:eastAsiaTheme="minorHAnsi" w:cs="Arial"/>
                <w:noProof/>
                <w:sz w:val="16"/>
                <w:szCs w:val="16"/>
                <w:lang w:val="en-GB"/>
              </w:rPr>
              <w:t>, izkušnje i</w:t>
            </w:r>
            <w:r w:rsidR="000F68C3">
              <w:rPr>
                <w:rFonts w:eastAsiaTheme="minorHAnsi" w:cs="Arial"/>
                <w:noProof/>
                <w:sz w:val="16"/>
                <w:szCs w:val="16"/>
                <w:lang w:val="en-GB"/>
              </w:rPr>
              <w:t>z</w:t>
            </w:r>
            <w:r>
              <w:rPr>
                <w:rFonts w:eastAsiaTheme="minorHAnsi" w:cs="Arial"/>
                <w:noProof/>
                <w:sz w:val="16"/>
                <w:szCs w:val="16"/>
                <w:lang w:val="en-GB"/>
              </w:rPr>
              <w:t xml:space="preserve"> perspektive 2014-2020 (zaključeni rojekti, število sodelujočih)</w:t>
            </w:r>
          </w:p>
        </w:tc>
        <w:tc>
          <w:tcPr>
            <w:tcW w:w="426" w:type="pct"/>
          </w:tcPr>
          <w:p w14:paraId="684DCCA1" w14:textId="5B818FA9" w:rsidR="00E757B5" w:rsidRPr="00E757B5" w:rsidRDefault="00E757B5" w:rsidP="00E757B5">
            <w:pPr>
              <w:rPr>
                <w:i/>
                <w:noProof/>
                <w:sz w:val="16"/>
                <w:szCs w:val="16"/>
                <w:lang w:val="fr-FR"/>
              </w:rPr>
            </w:pPr>
            <w:r w:rsidRPr="00E757B5">
              <w:rPr>
                <w:i/>
                <w:noProof/>
                <w:sz w:val="16"/>
                <w:szCs w:val="16"/>
                <w:lang w:val="fr-FR"/>
              </w:rPr>
              <w:t>Več v metodologiji, ki je priloga OP ESPRA 2021-2027</w:t>
            </w:r>
          </w:p>
        </w:tc>
      </w:tr>
      <w:tr w:rsidR="00E757B5" w:rsidRPr="00E757B5" w14:paraId="03E2C90B" w14:textId="77777777" w:rsidTr="00714475">
        <w:trPr>
          <w:trHeight w:val="434"/>
        </w:trPr>
        <w:tc>
          <w:tcPr>
            <w:tcW w:w="554" w:type="pct"/>
            <w:vMerge/>
          </w:tcPr>
          <w:p w14:paraId="0CCAFCC0" w14:textId="77777777" w:rsidR="00E757B5" w:rsidRPr="00E757B5" w:rsidRDefault="00E757B5" w:rsidP="00E757B5">
            <w:pPr>
              <w:spacing w:before="120" w:after="120" w:line="360" w:lineRule="auto"/>
              <w:rPr>
                <w:rFonts w:eastAsiaTheme="minorHAnsi" w:cs="Arial"/>
                <w:b/>
                <w:noProof/>
                <w:sz w:val="16"/>
                <w:szCs w:val="16"/>
                <w:lang w:val="fr-FR"/>
              </w:rPr>
            </w:pPr>
          </w:p>
        </w:tc>
        <w:tc>
          <w:tcPr>
            <w:tcW w:w="554" w:type="pct"/>
            <w:vMerge/>
          </w:tcPr>
          <w:p w14:paraId="624F0A3F" w14:textId="77777777" w:rsidR="00E757B5" w:rsidRPr="00E757B5" w:rsidRDefault="00E757B5" w:rsidP="00E757B5">
            <w:pPr>
              <w:spacing w:before="120" w:after="120" w:line="360" w:lineRule="auto"/>
              <w:rPr>
                <w:rFonts w:eastAsiaTheme="minorHAnsi" w:cs="Arial"/>
                <w:b/>
                <w:sz w:val="16"/>
                <w:szCs w:val="16"/>
              </w:rPr>
            </w:pPr>
          </w:p>
        </w:tc>
        <w:tc>
          <w:tcPr>
            <w:tcW w:w="319" w:type="pct"/>
          </w:tcPr>
          <w:p w14:paraId="0D48EB15" w14:textId="3C32CB5D" w:rsidR="00E757B5" w:rsidRPr="00E757B5" w:rsidRDefault="00E757B5" w:rsidP="00E757B5">
            <w:pPr>
              <w:spacing w:before="120" w:after="120" w:line="360" w:lineRule="auto"/>
              <w:rPr>
                <w:rFonts w:eastAsiaTheme="minorHAnsi" w:cs="Arial"/>
                <w:b/>
                <w:i/>
                <w:noProof/>
                <w:sz w:val="16"/>
                <w:szCs w:val="16"/>
              </w:rPr>
            </w:pPr>
            <w:r>
              <w:rPr>
                <w:rFonts w:eastAsiaTheme="minorHAnsi" w:cs="Arial"/>
                <w:b/>
                <w:i/>
                <w:noProof/>
                <w:sz w:val="16"/>
                <w:szCs w:val="16"/>
              </w:rPr>
              <w:t>ESPRA</w:t>
            </w:r>
          </w:p>
        </w:tc>
        <w:tc>
          <w:tcPr>
            <w:tcW w:w="291" w:type="pct"/>
          </w:tcPr>
          <w:p w14:paraId="416F3016" w14:textId="2270101E" w:rsidR="00E757B5" w:rsidRPr="008E6BB7" w:rsidRDefault="00461A39"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CR14</w:t>
            </w:r>
          </w:p>
        </w:tc>
        <w:tc>
          <w:tcPr>
            <w:tcW w:w="572" w:type="pct"/>
            <w:shd w:val="clear" w:color="auto" w:fill="auto"/>
          </w:tcPr>
          <w:p w14:paraId="6194A351" w14:textId="5805DEEE" w:rsidR="00E757B5" w:rsidRPr="00E757B5" w:rsidRDefault="00E757B5" w:rsidP="00E757B5">
            <w:pPr>
              <w:spacing w:before="120" w:after="120" w:line="360" w:lineRule="auto"/>
              <w:rPr>
                <w:rFonts w:eastAsiaTheme="minorHAnsi" w:cs="Arial"/>
                <w:noProof/>
                <w:sz w:val="16"/>
                <w:szCs w:val="16"/>
                <w:lang w:val="de-DE"/>
              </w:rPr>
            </w:pPr>
            <w:r>
              <w:rPr>
                <w:rFonts w:eastAsiaTheme="minorHAnsi" w:cs="Arial"/>
                <w:noProof/>
                <w:sz w:val="16"/>
                <w:szCs w:val="16"/>
                <w:lang w:val="de-DE"/>
              </w:rPr>
              <w:t>Omogočene inovacije</w:t>
            </w:r>
          </w:p>
        </w:tc>
        <w:tc>
          <w:tcPr>
            <w:tcW w:w="332" w:type="pct"/>
          </w:tcPr>
          <w:p w14:paraId="1E4A46C6" w14:textId="302BF004" w:rsidR="00E757B5" w:rsidRPr="00E757B5" w:rsidRDefault="00E757B5" w:rsidP="00E757B5">
            <w:pPr>
              <w:spacing w:before="120" w:after="120" w:line="360" w:lineRule="auto"/>
              <w:rPr>
                <w:rFonts w:eastAsiaTheme="minorHAnsi" w:cs="Arial"/>
                <w:noProof/>
                <w:sz w:val="16"/>
                <w:szCs w:val="16"/>
                <w:lang w:val="en-GB"/>
              </w:rPr>
            </w:pPr>
            <w:r w:rsidRPr="00E757B5">
              <w:rPr>
                <w:rFonts w:eastAsiaTheme="minorHAnsi" w:cs="Arial"/>
                <w:noProof/>
                <w:sz w:val="16"/>
                <w:szCs w:val="16"/>
                <w:lang w:val="en-GB"/>
              </w:rPr>
              <w:t>Število</w:t>
            </w:r>
          </w:p>
        </w:tc>
        <w:tc>
          <w:tcPr>
            <w:tcW w:w="484" w:type="pct"/>
          </w:tcPr>
          <w:p w14:paraId="2289E66F" w14:textId="499BF159" w:rsidR="00E757B5" w:rsidRPr="00E757B5" w:rsidRDefault="00E757B5"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511" w:type="pct"/>
          </w:tcPr>
          <w:p w14:paraId="1F59F543" w14:textId="3A2DC382" w:rsidR="00E757B5" w:rsidRPr="00E757B5" w:rsidRDefault="00E757B5" w:rsidP="00E757B5">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306" w:type="pct"/>
            <w:shd w:val="clear" w:color="auto" w:fill="auto"/>
          </w:tcPr>
          <w:p w14:paraId="5922C303" w14:textId="6B5DC80F" w:rsidR="00E757B5" w:rsidRPr="00E757B5" w:rsidRDefault="000F68C3" w:rsidP="00E757B5">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2</w:t>
            </w:r>
          </w:p>
        </w:tc>
        <w:tc>
          <w:tcPr>
            <w:tcW w:w="651" w:type="pct"/>
            <w:shd w:val="clear" w:color="auto" w:fill="auto"/>
          </w:tcPr>
          <w:p w14:paraId="25A0225B" w14:textId="64461F36" w:rsidR="00E757B5" w:rsidRPr="00E757B5" w:rsidRDefault="00E757B5" w:rsidP="00E757B5">
            <w:pPr>
              <w:spacing w:before="120" w:after="120" w:line="480" w:lineRule="auto"/>
              <w:rPr>
                <w:rFonts w:eastAsiaTheme="minorHAnsi" w:cs="Arial"/>
                <w:noProof/>
                <w:sz w:val="16"/>
                <w:szCs w:val="16"/>
                <w:lang w:val="en-GB"/>
              </w:rPr>
            </w:pPr>
            <w:r w:rsidRPr="00E757B5">
              <w:rPr>
                <w:rFonts w:eastAsiaTheme="minorHAnsi" w:cs="Arial"/>
                <w:noProof/>
                <w:sz w:val="16"/>
                <w:szCs w:val="16"/>
                <w:lang w:val="en-GB"/>
              </w:rPr>
              <w:t>Izvedene delavnice,</w:t>
            </w:r>
            <w:r>
              <w:rPr>
                <w:rFonts w:eastAsiaTheme="minorHAnsi" w:cs="Arial"/>
                <w:noProof/>
                <w:sz w:val="16"/>
                <w:szCs w:val="16"/>
                <w:lang w:val="en-GB"/>
              </w:rPr>
              <w:t xml:space="preserve"> izražen interes s strani morebitnih upravičencev med pripravo OP ESPRA 2021-2027</w:t>
            </w:r>
          </w:p>
        </w:tc>
        <w:tc>
          <w:tcPr>
            <w:tcW w:w="426" w:type="pct"/>
          </w:tcPr>
          <w:p w14:paraId="0B52D5DA" w14:textId="2D6D16A5" w:rsidR="00E757B5" w:rsidRPr="00E757B5" w:rsidRDefault="00E757B5" w:rsidP="00E757B5">
            <w:pPr>
              <w:rPr>
                <w:i/>
                <w:noProof/>
                <w:sz w:val="16"/>
                <w:szCs w:val="16"/>
                <w:lang w:val="fr-FR"/>
              </w:rPr>
            </w:pPr>
            <w:r w:rsidRPr="00E757B5">
              <w:rPr>
                <w:i/>
                <w:noProof/>
                <w:sz w:val="16"/>
                <w:szCs w:val="16"/>
                <w:lang w:val="fr-FR"/>
              </w:rPr>
              <w:t>Več v metodologiji, ki je priloga OP ESPRA 2021-2027</w:t>
            </w:r>
          </w:p>
        </w:tc>
      </w:tr>
    </w:tbl>
    <w:p w14:paraId="7F90159B" w14:textId="77777777" w:rsidR="00141029" w:rsidRDefault="00141029">
      <w:pPr>
        <w:spacing w:after="200" w:line="276" w:lineRule="auto"/>
        <w:rPr>
          <w:rFonts w:cs="Arial"/>
          <w:szCs w:val="20"/>
        </w:rPr>
      </w:pPr>
      <w:r>
        <w:rPr>
          <w:rFonts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623"/>
        <w:gridCol w:w="893"/>
        <w:gridCol w:w="1044"/>
        <w:gridCol w:w="1372"/>
        <w:gridCol w:w="1061"/>
        <w:gridCol w:w="1425"/>
        <w:gridCol w:w="1497"/>
        <w:gridCol w:w="926"/>
        <w:gridCol w:w="1271"/>
        <w:gridCol w:w="1260"/>
      </w:tblGrid>
      <w:tr w:rsidR="00141029" w:rsidRPr="00141029" w14:paraId="56514C1B" w14:textId="77777777" w:rsidTr="00141029">
        <w:trPr>
          <w:trHeight w:val="480"/>
        </w:trPr>
        <w:tc>
          <w:tcPr>
            <w:tcW w:w="5000" w:type="pct"/>
            <w:gridSpan w:val="11"/>
          </w:tcPr>
          <w:p w14:paraId="3EE0EF83"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cs="Arial"/>
                <w:b/>
                <w:iCs/>
                <w:noProof/>
                <w:sz w:val="16"/>
                <w:szCs w:val="16"/>
                <w:lang w:val="en-GB" w:eastAsia="en-GB"/>
              </w:rPr>
              <w:lastRenderedPageBreak/>
              <w:t>Preglednica 3: Kazalniki rezultata</w:t>
            </w:r>
          </w:p>
        </w:tc>
      </w:tr>
      <w:tr w:rsidR="00141029" w:rsidRPr="00141029" w14:paraId="4518108C" w14:textId="77777777" w:rsidTr="00141029">
        <w:trPr>
          <w:trHeight w:val="1768"/>
        </w:trPr>
        <w:tc>
          <w:tcPr>
            <w:tcW w:w="580" w:type="pct"/>
          </w:tcPr>
          <w:p w14:paraId="07E187A5" w14:textId="77777777" w:rsidR="00141029" w:rsidRPr="00141029" w:rsidRDefault="00141029" w:rsidP="00141029">
            <w:pPr>
              <w:spacing w:before="120" w:after="120" w:line="360" w:lineRule="auto"/>
              <w:rPr>
                <w:rFonts w:eastAsiaTheme="minorHAnsi" w:cs="Arial"/>
                <w:b/>
                <w:noProof/>
                <w:sz w:val="16"/>
                <w:szCs w:val="16"/>
                <w:lang w:val="fr-FR"/>
              </w:rPr>
            </w:pPr>
            <w:r w:rsidRPr="00141029">
              <w:rPr>
                <w:rFonts w:eastAsiaTheme="minorHAnsi" w:cs="Arial"/>
                <w:b/>
                <w:noProof/>
                <w:sz w:val="16"/>
                <w:szCs w:val="16"/>
                <w:lang w:val="fr-FR"/>
              </w:rPr>
              <w:t>Prednostna naloga</w:t>
            </w:r>
          </w:p>
          <w:p w14:paraId="721D84A1" w14:textId="77777777" w:rsidR="00141029" w:rsidRPr="00141029" w:rsidRDefault="00141029" w:rsidP="00141029">
            <w:pPr>
              <w:spacing w:before="120" w:after="120" w:line="360" w:lineRule="auto"/>
              <w:rPr>
                <w:rFonts w:eastAsiaTheme="minorHAnsi" w:cs="Arial"/>
                <w:b/>
                <w:noProof/>
                <w:sz w:val="16"/>
                <w:szCs w:val="16"/>
                <w:lang w:val="fr-FR"/>
              </w:rPr>
            </w:pPr>
          </w:p>
        </w:tc>
        <w:tc>
          <w:tcPr>
            <w:tcW w:w="580" w:type="pct"/>
          </w:tcPr>
          <w:p w14:paraId="7175FD76" w14:textId="77777777" w:rsidR="00141029" w:rsidRPr="00141029" w:rsidRDefault="00141029" w:rsidP="00141029">
            <w:pPr>
              <w:spacing w:before="120" w:after="120" w:line="360" w:lineRule="auto"/>
              <w:rPr>
                <w:rFonts w:eastAsiaTheme="minorHAnsi" w:cs="Arial"/>
                <w:b/>
                <w:noProof/>
                <w:sz w:val="16"/>
                <w:szCs w:val="16"/>
                <w:lang w:val="fr-FR"/>
              </w:rPr>
            </w:pPr>
            <w:r w:rsidRPr="00141029">
              <w:rPr>
                <w:rFonts w:eastAsiaTheme="minorHAnsi" w:cs="Arial"/>
                <w:b/>
                <w:noProof/>
                <w:sz w:val="16"/>
                <w:szCs w:val="16"/>
                <w:lang w:val="fr-FR"/>
              </w:rPr>
              <w:t>Posebni cilj ali področje podpore</w:t>
            </w:r>
          </w:p>
          <w:p w14:paraId="56898423" w14:textId="77777777" w:rsidR="00141029" w:rsidRPr="00141029" w:rsidRDefault="00141029" w:rsidP="00141029">
            <w:pPr>
              <w:spacing w:before="120" w:after="120" w:line="360" w:lineRule="auto"/>
              <w:rPr>
                <w:rFonts w:eastAsiaTheme="minorHAnsi" w:cs="Arial"/>
                <w:b/>
                <w:noProof/>
                <w:sz w:val="16"/>
                <w:szCs w:val="16"/>
                <w:lang w:val="fr-FR"/>
              </w:rPr>
            </w:pPr>
          </w:p>
        </w:tc>
        <w:tc>
          <w:tcPr>
            <w:tcW w:w="319" w:type="pct"/>
          </w:tcPr>
          <w:p w14:paraId="749F1EAF"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 xml:space="preserve">Sklad </w:t>
            </w:r>
          </w:p>
        </w:tc>
        <w:tc>
          <w:tcPr>
            <w:tcW w:w="373" w:type="pct"/>
          </w:tcPr>
          <w:p w14:paraId="176915F7"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ID [5]</w:t>
            </w:r>
          </w:p>
          <w:p w14:paraId="357C57E8" w14:textId="77777777" w:rsidR="00141029" w:rsidRPr="00141029" w:rsidRDefault="00141029" w:rsidP="00141029">
            <w:pPr>
              <w:spacing w:before="120" w:after="120" w:line="360" w:lineRule="auto"/>
              <w:rPr>
                <w:rFonts w:eastAsiaTheme="minorHAnsi" w:cs="Arial"/>
                <w:b/>
                <w:noProof/>
                <w:sz w:val="16"/>
                <w:szCs w:val="16"/>
                <w:lang w:val="en-GB"/>
              </w:rPr>
            </w:pPr>
          </w:p>
        </w:tc>
        <w:tc>
          <w:tcPr>
            <w:tcW w:w="490" w:type="pct"/>
            <w:shd w:val="clear" w:color="auto" w:fill="auto"/>
          </w:tcPr>
          <w:p w14:paraId="7E453B71"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Kazalnik [255]</w:t>
            </w:r>
          </w:p>
        </w:tc>
        <w:tc>
          <w:tcPr>
            <w:tcW w:w="379" w:type="pct"/>
          </w:tcPr>
          <w:p w14:paraId="410647ED"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Merska enota</w:t>
            </w:r>
          </w:p>
        </w:tc>
        <w:tc>
          <w:tcPr>
            <w:tcW w:w="509" w:type="pct"/>
          </w:tcPr>
          <w:p w14:paraId="29021BE7"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Izhodišče ali referenčna vrednost</w:t>
            </w:r>
          </w:p>
        </w:tc>
        <w:tc>
          <w:tcPr>
            <w:tcW w:w="535" w:type="pct"/>
          </w:tcPr>
          <w:p w14:paraId="50F5275D"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Referenčno leto</w:t>
            </w:r>
          </w:p>
        </w:tc>
        <w:tc>
          <w:tcPr>
            <w:tcW w:w="331" w:type="pct"/>
            <w:shd w:val="clear" w:color="auto" w:fill="auto"/>
          </w:tcPr>
          <w:p w14:paraId="67F3E855" w14:textId="77777777" w:rsidR="00141029" w:rsidRPr="00141029" w:rsidRDefault="00141029" w:rsidP="00141029">
            <w:pPr>
              <w:spacing w:before="120" w:after="120" w:line="360" w:lineRule="auto"/>
              <w:rPr>
                <w:rFonts w:eastAsiaTheme="minorHAnsi" w:cs="Arial"/>
                <w:b/>
                <w:noProof/>
                <w:sz w:val="16"/>
                <w:szCs w:val="16"/>
                <w:lang w:val="en-GB"/>
              </w:rPr>
            </w:pPr>
            <w:r w:rsidRPr="00141029">
              <w:rPr>
                <w:rFonts w:eastAsiaTheme="minorHAnsi" w:cs="Arial"/>
                <w:b/>
                <w:noProof/>
                <w:sz w:val="16"/>
                <w:szCs w:val="16"/>
                <w:lang w:val="en-GB"/>
              </w:rPr>
              <w:t>Cilj (2029)</w:t>
            </w:r>
          </w:p>
          <w:p w14:paraId="13250502" w14:textId="77777777" w:rsidR="00141029" w:rsidRPr="00141029" w:rsidRDefault="00141029" w:rsidP="00141029">
            <w:pPr>
              <w:spacing w:before="120" w:after="120" w:line="360" w:lineRule="auto"/>
              <w:rPr>
                <w:rFonts w:eastAsiaTheme="minorHAnsi" w:cs="Arial"/>
                <w:b/>
                <w:noProof/>
                <w:sz w:val="16"/>
                <w:szCs w:val="16"/>
                <w:lang w:val="en-GB"/>
              </w:rPr>
            </w:pPr>
          </w:p>
        </w:tc>
        <w:tc>
          <w:tcPr>
            <w:tcW w:w="454" w:type="pct"/>
            <w:shd w:val="clear" w:color="auto" w:fill="auto"/>
          </w:tcPr>
          <w:p w14:paraId="0E3DE86F" w14:textId="77777777" w:rsidR="00141029" w:rsidRPr="00141029" w:rsidRDefault="00141029" w:rsidP="00141029">
            <w:pPr>
              <w:autoSpaceDE w:val="0"/>
              <w:autoSpaceDN w:val="0"/>
              <w:adjustRightInd w:val="0"/>
              <w:spacing w:line="240" w:lineRule="auto"/>
              <w:rPr>
                <w:rFonts w:eastAsiaTheme="minorHAnsi" w:cs="Arial"/>
                <w:color w:val="000000"/>
                <w:sz w:val="16"/>
                <w:szCs w:val="16"/>
              </w:rPr>
            </w:pPr>
            <w:r w:rsidRPr="00141029">
              <w:rPr>
                <w:rFonts w:eastAsiaTheme="minorHAnsi" w:cs="Arial"/>
                <w:b/>
                <w:bCs/>
                <w:color w:val="000000"/>
                <w:sz w:val="16"/>
                <w:szCs w:val="16"/>
              </w:rPr>
              <w:t xml:space="preserve">Vir podatkov </w:t>
            </w:r>
          </w:p>
          <w:p w14:paraId="780AA178" w14:textId="77777777" w:rsidR="00141029" w:rsidRPr="00141029" w:rsidRDefault="00141029" w:rsidP="00141029">
            <w:pPr>
              <w:spacing w:before="120" w:after="120" w:line="480" w:lineRule="auto"/>
              <w:rPr>
                <w:rFonts w:eastAsiaTheme="minorHAnsi" w:cs="Arial"/>
                <w:b/>
                <w:noProof/>
                <w:sz w:val="16"/>
                <w:szCs w:val="16"/>
                <w:lang w:val="en-GB"/>
              </w:rPr>
            </w:pPr>
            <w:r w:rsidRPr="00141029">
              <w:rPr>
                <w:rFonts w:eastAsiaTheme="minorHAnsi" w:cs="Arial"/>
                <w:b/>
                <w:noProof/>
                <w:sz w:val="16"/>
                <w:szCs w:val="16"/>
                <w:lang w:val="en-GB"/>
              </w:rPr>
              <w:t xml:space="preserve"> [200]</w:t>
            </w:r>
          </w:p>
        </w:tc>
        <w:tc>
          <w:tcPr>
            <w:tcW w:w="450" w:type="pct"/>
          </w:tcPr>
          <w:p w14:paraId="4AE16CCF" w14:textId="77777777" w:rsidR="00141029" w:rsidRPr="00141029" w:rsidRDefault="00141029" w:rsidP="00141029">
            <w:pPr>
              <w:spacing w:before="120" w:after="120" w:line="480" w:lineRule="auto"/>
              <w:rPr>
                <w:rFonts w:eastAsiaTheme="minorHAnsi" w:cs="Arial"/>
                <w:b/>
                <w:noProof/>
                <w:sz w:val="16"/>
                <w:szCs w:val="16"/>
                <w:lang w:val="en-GB"/>
              </w:rPr>
            </w:pPr>
            <w:r w:rsidRPr="00141029">
              <w:rPr>
                <w:rFonts w:eastAsiaTheme="minorHAnsi" w:cs="Arial"/>
                <w:b/>
                <w:noProof/>
                <w:sz w:val="16"/>
                <w:szCs w:val="16"/>
                <w:lang w:val="en-GB"/>
              </w:rPr>
              <w:t>Opombe [200]</w:t>
            </w:r>
          </w:p>
        </w:tc>
      </w:tr>
      <w:tr w:rsidR="00F37B21" w:rsidRPr="00BB4B01" w14:paraId="7B2BC273" w14:textId="77777777" w:rsidTr="00141029">
        <w:trPr>
          <w:trHeight w:val="434"/>
        </w:trPr>
        <w:tc>
          <w:tcPr>
            <w:tcW w:w="580" w:type="pct"/>
            <w:vMerge w:val="restart"/>
          </w:tcPr>
          <w:p w14:paraId="473FB269" w14:textId="77777777" w:rsidR="00F37B21" w:rsidRPr="00141029" w:rsidRDefault="00F37B21" w:rsidP="00141029">
            <w:pPr>
              <w:spacing w:before="120" w:after="120" w:line="360" w:lineRule="auto"/>
              <w:rPr>
                <w:rFonts w:eastAsiaTheme="minorHAnsi" w:cs="Arial"/>
                <w:b/>
                <w:noProof/>
                <w:sz w:val="16"/>
                <w:szCs w:val="16"/>
              </w:rPr>
            </w:pPr>
            <w:r w:rsidRPr="00AC29EA">
              <w:rPr>
                <w:rFonts w:eastAsiaTheme="minorHAnsi" w:cs="Arial"/>
                <w:b/>
                <w:noProof/>
                <w:color w:val="4BACC6" w:themeColor="accent5"/>
                <w:sz w:val="16"/>
                <w:szCs w:val="16"/>
              </w:rPr>
              <w:t>O</w:t>
            </w:r>
            <w:r w:rsidRPr="00141029">
              <w:rPr>
                <w:rFonts w:eastAsiaTheme="minorHAnsi" w:cs="Arial"/>
                <w:b/>
                <w:noProof/>
                <w:color w:val="4BACC6" w:themeColor="accent5"/>
                <w:sz w:val="16"/>
                <w:szCs w:val="16"/>
              </w:rPr>
              <w:t>mogočanje rasti trajnostnega modrega gospodarstva ter spodbujanje razvoja ribiških in akvakulturnih skupnosti na obalnih in celinskih območjih</w:t>
            </w:r>
          </w:p>
        </w:tc>
        <w:tc>
          <w:tcPr>
            <w:tcW w:w="580" w:type="pct"/>
            <w:vMerge w:val="restart"/>
          </w:tcPr>
          <w:p w14:paraId="71AC4108" w14:textId="77777777" w:rsidR="00F37B21" w:rsidRPr="00141029" w:rsidRDefault="00F37B21" w:rsidP="00141029">
            <w:pPr>
              <w:spacing w:before="120" w:after="120" w:line="360" w:lineRule="auto"/>
              <w:rPr>
                <w:rFonts w:eastAsiaTheme="minorHAnsi" w:cs="Arial"/>
                <w:b/>
                <w:noProof/>
                <w:sz w:val="16"/>
                <w:szCs w:val="16"/>
              </w:rPr>
            </w:pPr>
            <w:r w:rsidRPr="00141029">
              <w:rPr>
                <w:rFonts w:eastAsiaTheme="minorHAnsi" w:cs="Arial"/>
                <w:b/>
                <w:noProof/>
                <w:sz w:val="16"/>
                <w:szCs w:val="16"/>
              </w:rPr>
              <w:t>Intervencije, ki prispevajo k razvoju ribiških in akvakulturnih skupnosti na obalnih in celinskih območjih</w:t>
            </w:r>
          </w:p>
        </w:tc>
        <w:tc>
          <w:tcPr>
            <w:tcW w:w="319" w:type="pct"/>
            <w:vMerge w:val="restart"/>
          </w:tcPr>
          <w:p w14:paraId="58048243" w14:textId="77777777" w:rsidR="00F37B21" w:rsidRDefault="00F37B21" w:rsidP="00141029">
            <w:pPr>
              <w:spacing w:before="120" w:after="120" w:line="360" w:lineRule="auto"/>
              <w:rPr>
                <w:rFonts w:eastAsiaTheme="minorHAnsi" w:cs="Arial"/>
                <w:b/>
                <w:i/>
                <w:noProof/>
                <w:sz w:val="16"/>
                <w:szCs w:val="16"/>
              </w:rPr>
            </w:pPr>
            <w:r w:rsidRPr="00141029">
              <w:rPr>
                <w:rFonts w:eastAsiaTheme="minorHAnsi" w:cs="Arial"/>
                <w:b/>
                <w:i/>
                <w:noProof/>
                <w:sz w:val="16"/>
                <w:szCs w:val="16"/>
              </w:rPr>
              <w:t>ESPRA</w:t>
            </w:r>
          </w:p>
          <w:p w14:paraId="68C12F51" w14:textId="77777777" w:rsidR="00F37B21" w:rsidRDefault="00F37B21" w:rsidP="00141029">
            <w:pPr>
              <w:spacing w:before="120" w:after="120" w:line="360" w:lineRule="auto"/>
              <w:rPr>
                <w:rFonts w:eastAsiaTheme="minorHAnsi" w:cs="Arial"/>
                <w:b/>
                <w:i/>
                <w:noProof/>
                <w:sz w:val="16"/>
                <w:szCs w:val="16"/>
              </w:rPr>
            </w:pPr>
          </w:p>
          <w:p w14:paraId="0D49281D" w14:textId="77777777" w:rsidR="00F37B21" w:rsidRDefault="00F37B21" w:rsidP="00141029">
            <w:pPr>
              <w:spacing w:before="120" w:after="120" w:line="360" w:lineRule="auto"/>
              <w:rPr>
                <w:rFonts w:eastAsiaTheme="minorHAnsi" w:cs="Arial"/>
                <w:b/>
                <w:i/>
                <w:noProof/>
                <w:sz w:val="16"/>
                <w:szCs w:val="16"/>
              </w:rPr>
            </w:pPr>
          </w:p>
          <w:p w14:paraId="593DF969" w14:textId="77777777" w:rsidR="00F37B21" w:rsidRDefault="00F37B21" w:rsidP="00141029">
            <w:pPr>
              <w:spacing w:before="120" w:after="120" w:line="360" w:lineRule="auto"/>
              <w:rPr>
                <w:rFonts w:eastAsiaTheme="minorHAnsi" w:cs="Arial"/>
                <w:b/>
                <w:i/>
                <w:noProof/>
                <w:sz w:val="16"/>
                <w:szCs w:val="16"/>
              </w:rPr>
            </w:pPr>
          </w:p>
          <w:p w14:paraId="2DC201C3" w14:textId="77777777" w:rsidR="00F37B21" w:rsidRDefault="00F37B21" w:rsidP="00141029">
            <w:pPr>
              <w:spacing w:before="120" w:after="120" w:line="360" w:lineRule="auto"/>
              <w:rPr>
                <w:rFonts w:eastAsiaTheme="minorHAnsi" w:cs="Arial"/>
                <w:b/>
                <w:i/>
                <w:noProof/>
                <w:sz w:val="16"/>
                <w:szCs w:val="16"/>
              </w:rPr>
            </w:pPr>
          </w:p>
          <w:p w14:paraId="3C3B752F" w14:textId="77777777" w:rsidR="00F37B21" w:rsidRDefault="00F37B21" w:rsidP="00141029">
            <w:pPr>
              <w:spacing w:before="120" w:after="120" w:line="360" w:lineRule="auto"/>
              <w:rPr>
                <w:rFonts w:eastAsiaTheme="minorHAnsi" w:cs="Arial"/>
                <w:b/>
                <w:i/>
                <w:noProof/>
                <w:sz w:val="16"/>
                <w:szCs w:val="16"/>
              </w:rPr>
            </w:pPr>
          </w:p>
          <w:p w14:paraId="2FCD66D0" w14:textId="77777777" w:rsidR="00F37B21" w:rsidRDefault="00F37B21" w:rsidP="00141029">
            <w:pPr>
              <w:spacing w:before="120" w:after="120" w:line="360" w:lineRule="auto"/>
              <w:rPr>
                <w:rFonts w:eastAsiaTheme="minorHAnsi" w:cs="Arial"/>
                <w:b/>
                <w:i/>
                <w:noProof/>
                <w:sz w:val="16"/>
                <w:szCs w:val="16"/>
              </w:rPr>
            </w:pPr>
          </w:p>
          <w:p w14:paraId="3FB717FE" w14:textId="77777777" w:rsidR="00F37B21" w:rsidRDefault="00F37B21" w:rsidP="00141029">
            <w:pPr>
              <w:spacing w:before="120" w:after="120" w:line="360" w:lineRule="auto"/>
              <w:rPr>
                <w:rFonts w:eastAsiaTheme="minorHAnsi" w:cs="Arial"/>
                <w:b/>
                <w:i/>
                <w:noProof/>
                <w:sz w:val="16"/>
                <w:szCs w:val="16"/>
              </w:rPr>
            </w:pPr>
          </w:p>
          <w:p w14:paraId="1FF604DE" w14:textId="77777777" w:rsidR="00F37B21" w:rsidRDefault="00F37B21" w:rsidP="00141029">
            <w:pPr>
              <w:spacing w:before="120" w:after="120" w:line="360" w:lineRule="auto"/>
              <w:rPr>
                <w:rFonts w:eastAsiaTheme="minorHAnsi" w:cs="Arial"/>
                <w:b/>
                <w:i/>
                <w:noProof/>
                <w:sz w:val="16"/>
                <w:szCs w:val="16"/>
              </w:rPr>
            </w:pPr>
          </w:p>
          <w:p w14:paraId="145A97B1" w14:textId="77777777" w:rsidR="00F37B21" w:rsidRDefault="00F37B21" w:rsidP="00141029">
            <w:pPr>
              <w:spacing w:before="120" w:after="120" w:line="360" w:lineRule="auto"/>
              <w:rPr>
                <w:rFonts w:eastAsiaTheme="minorHAnsi" w:cs="Arial"/>
                <w:b/>
                <w:i/>
                <w:noProof/>
                <w:sz w:val="16"/>
                <w:szCs w:val="16"/>
              </w:rPr>
            </w:pPr>
          </w:p>
          <w:p w14:paraId="4AC5C048" w14:textId="77777777" w:rsidR="00F37B21" w:rsidRDefault="00F37B21" w:rsidP="00141029">
            <w:pPr>
              <w:spacing w:before="120" w:after="120" w:line="360" w:lineRule="auto"/>
              <w:rPr>
                <w:rFonts w:eastAsiaTheme="minorHAnsi" w:cs="Arial"/>
                <w:b/>
                <w:i/>
                <w:noProof/>
                <w:sz w:val="16"/>
                <w:szCs w:val="16"/>
              </w:rPr>
            </w:pPr>
          </w:p>
          <w:p w14:paraId="2BAF24AF" w14:textId="77777777" w:rsidR="00F37B21" w:rsidRDefault="00F37B21" w:rsidP="00141029">
            <w:pPr>
              <w:spacing w:before="120" w:after="120" w:line="360" w:lineRule="auto"/>
              <w:rPr>
                <w:rFonts w:eastAsiaTheme="minorHAnsi" w:cs="Arial"/>
                <w:b/>
                <w:i/>
                <w:noProof/>
                <w:sz w:val="16"/>
                <w:szCs w:val="16"/>
              </w:rPr>
            </w:pPr>
          </w:p>
          <w:p w14:paraId="7850283D" w14:textId="77777777" w:rsidR="00F37B21" w:rsidRDefault="00F37B21" w:rsidP="00141029">
            <w:pPr>
              <w:spacing w:before="120" w:after="120" w:line="360" w:lineRule="auto"/>
              <w:rPr>
                <w:rFonts w:eastAsiaTheme="minorHAnsi" w:cs="Arial"/>
                <w:b/>
                <w:i/>
                <w:noProof/>
                <w:sz w:val="16"/>
                <w:szCs w:val="16"/>
              </w:rPr>
            </w:pPr>
          </w:p>
          <w:p w14:paraId="736F3E92" w14:textId="77777777" w:rsidR="00F37B21" w:rsidRDefault="00F37B21" w:rsidP="00141029">
            <w:pPr>
              <w:spacing w:before="120" w:after="120" w:line="360" w:lineRule="auto"/>
              <w:rPr>
                <w:rFonts w:eastAsiaTheme="minorHAnsi" w:cs="Arial"/>
                <w:b/>
                <w:i/>
                <w:noProof/>
                <w:sz w:val="16"/>
                <w:szCs w:val="16"/>
              </w:rPr>
            </w:pPr>
          </w:p>
          <w:p w14:paraId="41CD0F1A" w14:textId="77777777" w:rsidR="00F37B21" w:rsidRDefault="00F37B21" w:rsidP="00141029">
            <w:pPr>
              <w:spacing w:before="120" w:after="120" w:line="360" w:lineRule="auto"/>
              <w:rPr>
                <w:rFonts w:eastAsiaTheme="minorHAnsi" w:cs="Arial"/>
                <w:b/>
                <w:i/>
                <w:noProof/>
                <w:sz w:val="16"/>
                <w:szCs w:val="16"/>
              </w:rPr>
            </w:pPr>
          </w:p>
          <w:p w14:paraId="35A8C6A4" w14:textId="77777777" w:rsidR="00F37B21" w:rsidRDefault="00F37B21" w:rsidP="00141029">
            <w:pPr>
              <w:spacing w:before="120" w:after="120" w:line="360" w:lineRule="auto"/>
              <w:rPr>
                <w:rFonts w:eastAsiaTheme="minorHAnsi" w:cs="Arial"/>
                <w:b/>
                <w:i/>
                <w:noProof/>
                <w:sz w:val="16"/>
                <w:szCs w:val="16"/>
              </w:rPr>
            </w:pPr>
          </w:p>
          <w:p w14:paraId="1EDFC93E" w14:textId="77777777" w:rsidR="00F37B21" w:rsidRDefault="00F37B21" w:rsidP="00141029">
            <w:pPr>
              <w:spacing w:before="120" w:after="120" w:line="360" w:lineRule="auto"/>
              <w:rPr>
                <w:rFonts w:eastAsiaTheme="minorHAnsi" w:cs="Arial"/>
                <w:b/>
                <w:i/>
                <w:noProof/>
                <w:sz w:val="16"/>
                <w:szCs w:val="16"/>
              </w:rPr>
            </w:pPr>
          </w:p>
          <w:p w14:paraId="4BF59FC9" w14:textId="77777777" w:rsidR="00F37B21" w:rsidRDefault="00F37B21" w:rsidP="00141029">
            <w:pPr>
              <w:spacing w:before="120" w:after="120" w:line="360" w:lineRule="auto"/>
              <w:rPr>
                <w:rFonts w:eastAsiaTheme="minorHAnsi" w:cs="Arial"/>
                <w:b/>
                <w:i/>
                <w:noProof/>
                <w:sz w:val="16"/>
                <w:szCs w:val="16"/>
              </w:rPr>
            </w:pPr>
            <w:r>
              <w:rPr>
                <w:rFonts w:eastAsiaTheme="minorHAnsi" w:cs="Arial"/>
                <w:b/>
                <w:i/>
                <w:noProof/>
                <w:sz w:val="16"/>
                <w:szCs w:val="16"/>
              </w:rPr>
              <w:t>ESPRA</w:t>
            </w:r>
          </w:p>
          <w:p w14:paraId="6672D191" w14:textId="77777777" w:rsidR="00F37B21" w:rsidRDefault="00F37B21" w:rsidP="00141029">
            <w:pPr>
              <w:spacing w:before="120" w:after="120" w:line="360" w:lineRule="auto"/>
              <w:rPr>
                <w:rFonts w:eastAsiaTheme="minorHAnsi" w:cs="Arial"/>
                <w:b/>
                <w:i/>
                <w:noProof/>
                <w:sz w:val="16"/>
                <w:szCs w:val="16"/>
              </w:rPr>
            </w:pPr>
          </w:p>
          <w:p w14:paraId="636EA7E8" w14:textId="77777777" w:rsidR="00F37B21" w:rsidRDefault="00F37B21" w:rsidP="00141029">
            <w:pPr>
              <w:spacing w:before="120" w:after="120" w:line="360" w:lineRule="auto"/>
              <w:rPr>
                <w:rFonts w:eastAsiaTheme="minorHAnsi" w:cs="Arial"/>
                <w:b/>
                <w:i/>
                <w:noProof/>
                <w:sz w:val="16"/>
                <w:szCs w:val="16"/>
              </w:rPr>
            </w:pPr>
          </w:p>
          <w:p w14:paraId="21C4D3F1" w14:textId="77777777" w:rsidR="00F37B21" w:rsidRDefault="00F37B21" w:rsidP="00141029">
            <w:pPr>
              <w:spacing w:before="120" w:after="120" w:line="360" w:lineRule="auto"/>
              <w:rPr>
                <w:rFonts w:eastAsiaTheme="minorHAnsi" w:cs="Arial"/>
                <w:b/>
                <w:i/>
                <w:noProof/>
                <w:sz w:val="16"/>
                <w:szCs w:val="16"/>
              </w:rPr>
            </w:pPr>
          </w:p>
          <w:p w14:paraId="64D9BD0C" w14:textId="77777777" w:rsidR="00F37B21" w:rsidRDefault="00F37B21" w:rsidP="00141029">
            <w:pPr>
              <w:spacing w:before="120" w:after="120" w:line="360" w:lineRule="auto"/>
              <w:rPr>
                <w:rFonts w:eastAsiaTheme="minorHAnsi" w:cs="Arial"/>
                <w:b/>
                <w:i/>
                <w:noProof/>
                <w:sz w:val="16"/>
                <w:szCs w:val="16"/>
              </w:rPr>
            </w:pPr>
          </w:p>
          <w:p w14:paraId="2979CD49" w14:textId="77777777" w:rsidR="00F37B21" w:rsidRDefault="00F37B21" w:rsidP="00141029">
            <w:pPr>
              <w:spacing w:before="120" w:after="120" w:line="360" w:lineRule="auto"/>
              <w:rPr>
                <w:rFonts w:eastAsiaTheme="minorHAnsi" w:cs="Arial"/>
                <w:b/>
                <w:i/>
                <w:noProof/>
                <w:sz w:val="16"/>
                <w:szCs w:val="16"/>
              </w:rPr>
            </w:pPr>
          </w:p>
          <w:p w14:paraId="73C2382F" w14:textId="77777777" w:rsidR="00F37B21" w:rsidRDefault="00F37B21" w:rsidP="00141029">
            <w:pPr>
              <w:spacing w:before="120" w:after="120" w:line="360" w:lineRule="auto"/>
              <w:rPr>
                <w:rFonts w:eastAsiaTheme="minorHAnsi" w:cs="Arial"/>
                <w:b/>
                <w:i/>
                <w:noProof/>
                <w:sz w:val="16"/>
                <w:szCs w:val="16"/>
              </w:rPr>
            </w:pPr>
          </w:p>
          <w:p w14:paraId="3059FBC1" w14:textId="77777777" w:rsidR="00F37B21" w:rsidRDefault="00F37B21" w:rsidP="00141029">
            <w:pPr>
              <w:spacing w:before="120" w:after="120" w:line="360" w:lineRule="auto"/>
              <w:rPr>
                <w:rFonts w:eastAsiaTheme="minorHAnsi" w:cs="Arial"/>
                <w:b/>
                <w:i/>
                <w:noProof/>
                <w:sz w:val="16"/>
                <w:szCs w:val="16"/>
              </w:rPr>
            </w:pPr>
          </w:p>
          <w:p w14:paraId="3D43EA96" w14:textId="77777777" w:rsidR="00F37B21" w:rsidRDefault="00F37B21" w:rsidP="00141029">
            <w:pPr>
              <w:spacing w:before="120" w:after="120" w:line="360" w:lineRule="auto"/>
              <w:rPr>
                <w:rFonts w:eastAsiaTheme="minorHAnsi" w:cs="Arial"/>
                <w:b/>
                <w:i/>
                <w:noProof/>
                <w:sz w:val="16"/>
                <w:szCs w:val="16"/>
              </w:rPr>
            </w:pPr>
          </w:p>
          <w:p w14:paraId="5A9329E8" w14:textId="77777777" w:rsidR="00F37B21" w:rsidRDefault="00F37B21" w:rsidP="00141029">
            <w:pPr>
              <w:spacing w:before="120" w:after="120" w:line="360" w:lineRule="auto"/>
              <w:rPr>
                <w:rFonts w:eastAsiaTheme="minorHAnsi" w:cs="Arial"/>
                <w:b/>
                <w:i/>
                <w:noProof/>
                <w:sz w:val="16"/>
                <w:szCs w:val="16"/>
              </w:rPr>
            </w:pPr>
          </w:p>
          <w:p w14:paraId="0909AE6E" w14:textId="77777777" w:rsidR="00F37B21" w:rsidRDefault="00F37B21" w:rsidP="00141029">
            <w:pPr>
              <w:spacing w:before="120" w:after="120" w:line="360" w:lineRule="auto"/>
              <w:rPr>
                <w:rFonts w:eastAsiaTheme="minorHAnsi" w:cs="Arial"/>
                <w:b/>
                <w:i/>
                <w:noProof/>
                <w:sz w:val="16"/>
                <w:szCs w:val="16"/>
              </w:rPr>
            </w:pPr>
          </w:p>
          <w:p w14:paraId="75B43ED3" w14:textId="77777777" w:rsidR="00F37B21" w:rsidRDefault="00F37B21" w:rsidP="00141029">
            <w:pPr>
              <w:spacing w:before="120" w:after="120" w:line="360" w:lineRule="auto"/>
              <w:rPr>
                <w:rFonts w:eastAsiaTheme="minorHAnsi" w:cs="Arial"/>
                <w:b/>
                <w:i/>
                <w:noProof/>
                <w:sz w:val="16"/>
                <w:szCs w:val="16"/>
              </w:rPr>
            </w:pPr>
          </w:p>
          <w:p w14:paraId="00D68F28" w14:textId="77777777" w:rsidR="00F37B21" w:rsidRDefault="00F37B21" w:rsidP="00141029">
            <w:pPr>
              <w:spacing w:before="120" w:after="120" w:line="360" w:lineRule="auto"/>
              <w:rPr>
                <w:rFonts w:eastAsiaTheme="minorHAnsi" w:cs="Arial"/>
                <w:b/>
                <w:i/>
                <w:noProof/>
                <w:sz w:val="16"/>
                <w:szCs w:val="16"/>
              </w:rPr>
            </w:pPr>
          </w:p>
          <w:p w14:paraId="603F970E" w14:textId="77777777" w:rsidR="00F37B21" w:rsidRDefault="00F37B21" w:rsidP="00141029">
            <w:pPr>
              <w:spacing w:before="120" w:after="120" w:line="360" w:lineRule="auto"/>
              <w:rPr>
                <w:rFonts w:eastAsiaTheme="minorHAnsi" w:cs="Arial"/>
                <w:b/>
                <w:i/>
                <w:noProof/>
                <w:sz w:val="16"/>
                <w:szCs w:val="16"/>
              </w:rPr>
            </w:pPr>
          </w:p>
          <w:p w14:paraId="4AC68FA6" w14:textId="77777777" w:rsidR="00F37B21" w:rsidRDefault="00F37B21" w:rsidP="00141029">
            <w:pPr>
              <w:spacing w:before="120" w:after="120" w:line="360" w:lineRule="auto"/>
              <w:rPr>
                <w:rFonts w:eastAsiaTheme="minorHAnsi" w:cs="Arial"/>
                <w:b/>
                <w:i/>
                <w:noProof/>
                <w:sz w:val="16"/>
                <w:szCs w:val="16"/>
              </w:rPr>
            </w:pPr>
          </w:p>
          <w:p w14:paraId="4CE97C1F" w14:textId="77777777" w:rsidR="00F37B21" w:rsidRDefault="00F37B21" w:rsidP="00141029">
            <w:pPr>
              <w:spacing w:before="120" w:after="120" w:line="360" w:lineRule="auto"/>
              <w:rPr>
                <w:rFonts w:eastAsiaTheme="minorHAnsi" w:cs="Arial"/>
                <w:b/>
                <w:i/>
                <w:noProof/>
                <w:sz w:val="16"/>
                <w:szCs w:val="16"/>
              </w:rPr>
            </w:pPr>
          </w:p>
          <w:p w14:paraId="66745111" w14:textId="77777777" w:rsidR="00F37B21" w:rsidRDefault="00F37B21" w:rsidP="00141029">
            <w:pPr>
              <w:spacing w:before="120" w:after="120" w:line="360" w:lineRule="auto"/>
              <w:rPr>
                <w:rFonts w:eastAsiaTheme="minorHAnsi" w:cs="Arial"/>
                <w:b/>
                <w:i/>
                <w:noProof/>
                <w:sz w:val="16"/>
                <w:szCs w:val="16"/>
              </w:rPr>
            </w:pPr>
          </w:p>
          <w:p w14:paraId="4AE21D81" w14:textId="77777777" w:rsidR="00F37B21" w:rsidRDefault="00F37B21" w:rsidP="00141029">
            <w:pPr>
              <w:spacing w:before="120" w:after="120" w:line="360" w:lineRule="auto"/>
              <w:rPr>
                <w:rFonts w:eastAsiaTheme="minorHAnsi" w:cs="Arial"/>
                <w:b/>
                <w:i/>
                <w:noProof/>
                <w:sz w:val="16"/>
                <w:szCs w:val="16"/>
              </w:rPr>
            </w:pPr>
          </w:p>
          <w:p w14:paraId="1AFC4E75" w14:textId="77777777" w:rsidR="00F37B21" w:rsidRDefault="00F37B21" w:rsidP="00141029">
            <w:pPr>
              <w:spacing w:before="120" w:after="120" w:line="360" w:lineRule="auto"/>
              <w:rPr>
                <w:rFonts w:eastAsiaTheme="minorHAnsi" w:cs="Arial"/>
                <w:b/>
                <w:i/>
                <w:noProof/>
                <w:sz w:val="16"/>
                <w:szCs w:val="16"/>
              </w:rPr>
            </w:pPr>
          </w:p>
          <w:p w14:paraId="628B176F" w14:textId="77777777" w:rsidR="00F37B21" w:rsidRDefault="00F37B21" w:rsidP="00141029">
            <w:pPr>
              <w:spacing w:before="120" w:after="120" w:line="360" w:lineRule="auto"/>
              <w:rPr>
                <w:rFonts w:eastAsiaTheme="minorHAnsi" w:cs="Arial"/>
                <w:b/>
                <w:i/>
                <w:noProof/>
                <w:sz w:val="16"/>
                <w:szCs w:val="16"/>
              </w:rPr>
            </w:pPr>
          </w:p>
          <w:p w14:paraId="7847B668" w14:textId="54371793" w:rsidR="00F37B21" w:rsidRPr="00141029" w:rsidRDefault="00F37B21" w:rsidP="00141029">
            <w:pPr>
              <w:spacing w:before="120" w:after="120" w:line="360" w:lineRule="auto"/>
              <w:rPr>
                <w:rFonts w:eastAsiaTheme="minorHAnsi" w:cs="Arial"/>
                <w:i/>
                <w:noProof/>
                <w:sz w:val="16"/>
                <w:szCs w:val="16"/>
                <w:lang w:val="en-GB"/>
              </w:rPr>
            </w:pPr>
            <w:r>
              <w:rPr>
                <w:rFonts w:eastAsiaTheme="minorHAnsi" w:cs="Arial"/>
                <w:b/>
                <w:i/>
                <w:noProof/>
                <w:sz w:val="16"/>
                <w:szCs w:val="16"/>
              </w:rPr>
              <w:t>ESPRA</w:t>
            </w:r>
          </w:p>
        </w:tc>
        <w:tc>
          <w:tcPr>
            <w:tcW w:w="373" w:type="pct"/>
          </w:tcPr>
          <w:p w14:paraId="722DA033" w14:textId="63CC7F4F" w:rsidR="00F37B21" w:rsidRPr="00BB4B01" w:rsidRDefault="00F37B21" w:rsidP="00141029">
            <w:pPr>
              <w:spacing w:before="120" w:after="120" w:line="360" w:lineRule="auto"/>
              <w:rPr>
                <w:rFonts w:eastAsiaTheme="minorHAnsi" w:cs="Arial"/>
                <w:noProof/>
                <w:sz w:val="16"/>
                <w:szCs w:val="16"/>
                <w:lang w:val="en-GB"/>
              </w:rPr>
            </w:pPr>
            <w:r>
              <w:rPr>
                <w:rFonts w:eastAsiaTheme="minorHAnsi" w:cs="Arial"/>
                <w:noProof/>
                <w:sz w:val="16"/>
                <w:szCs w:val="16"/>
                <w:lang w:val="en-GB"/>
              </w:rPr>
              <w:lastRenderedPageBreak/>
              <w:t>CR08</w:t>
            </w:r>
          </w:p>
        </w:tc>
        <w:tc>
          <w:tcPr>
            <w:tcW w:w="490" w:type="pct"/>
            <w:shd w:val="clear" w:color="auto" w:fill="auto"/>
          </w:tcPr>
          <w:p w14:paraId="5B67BE6F" w14:textId="2AA845A7" w:rsidR="00F37B21" w:rsidRPr="00141029" w:rsidRDefault="00F37B21" w:rsidP="00141029">
            <w:pPr>
              <w:spacing w:before="120" w:after="120" w:line="360" w:lineRule="auto"/>
              <w:rPr>
                <w:rFonts w:eastAsiaTheme="minorHAnsi" w:cs="Arial"/>
                <w:noProof/>
                <w:sz w:val="16"/>
                <w:szCs w:val="16"/>
                <w:lang w:val="en-US"/>
              </w:rPr>
            </w:pPr>
            <w:r w:rsidRPr="00BB4B01">
              <w:rPr>
                <w:rFonts w:eastAsiaTheme="minorHAnsi" w:cs="Arial"/>
                <w:noProof/>
                <w:sz w:val="16"/>
                <w:szCs w:val="16"/>
                <w:lang w:val="en-US"/>
              </w:rPr>
              <w:t>Osebe, ki imajo koristi od operacije</w:t>
            </w:r>
          </w:p>
        </w:tc>
        <w:tc>
          <w:tcPr>
            <w:tcW w:w="379" w:type="pct"/>
          </w:tcPr>
          <w:p w14:paraId="3601968B" w14:textId="77777777" w:rsidR="00F37B21" w:rsidRPr="00141029" w:rsidRDefault="00F37B21" w:rsidP="00141029">
            <w:pPr>
              <w:spacing w:before="120" w:after="120" w:line="360" w:lineRule="auto"/>
              <w:rPr>
                <w:rFonts w:eastAsiaTheme="minorHAnsi" w:cs="Arial"/>
                <w:noProof/>
                <w:sz w:val="16"/>
                <w:szCs w:val="16"/>
                <w:lang w:val="en-GB"/>
              </w:rPr>
            </w:pPr>
            <w:r w:rsidRPr="00141029">
              <w:rPr>
                <w:rFonts w:eastAsiaTheme="minorHAnsi" w:cs="Arial"/>
                <w:noProof/>
                <w:sz w:val="16"/>
                <w:szCs w:val="16"/>
                <w:lang w:val="en-GB"/>
              </w:rPr>
              <w:t>Število</w:t>
            </w:r>
          </w:p>
        </w:tc>
        <w:tc>
          <w:tcPr>
            <w:tcW w:w="509" w:type="pct"/>
          </w:tcPr>
          <w:p w14:paraId="75F933C0" w14:textId="77777777" w:rsidR="00F37B21" w:rsidRPr="00141029" w:rsidRDefault="00F37B21" w:rsidP="00141029">
            <w:pPr>
              <w:spacing w:before="120" w:after="120" w:line="360" w:lineRule="auto"/>
              <w:rPr>
                <w:rFonts w:eastAsiaTheme="minorHAnsi" w:cs="Arial"/>
                <w:noProof/>
                <w:sz w:val="16"/>
                <w:szCs w:val="16"/>
                <w:lang w:val="en-GB"/>
              </w:rPr>
            </w:pPr>
            <w:r w:rsidRPr="00141029">
              <w:rPr>
                <w:rFonts w:eastAsiaTheme="minorHAnsi" w:cs="Arial"/>
                <w:noProof/>
                <w:sz w:val="16"/>
                <w:szCs w:val="16"/>
                <w:lang w:val="en-GB"/>
              </w:rPr>
              <w:t>0</w:t>
            </w:r>
          </w:p>
        </w:tc>
        <w:tc>
          <w:tcPr>
            <w:tcW w:w="535" w:type="pct"/>
          </w:tcPr>
          <w:p w14:paraId="7443441C" w14:textId="77777777" w:rsidR="00F37B21" w:rsidRPr="00141029" w:rsidRDefault="00F37B21" w:rsidP="00141029">
            <w:pPr>
              <w:spacing w:before="120" w:after="120" w:line="360" w:lineRule="auto"/>
              <w:rPr>
                <w:rFonts w:eastAsiaTheme="minorHAnsi" w:cs="Arial"/>
                <w:noProof/>
                <w:sz w:val="16"/>
                <w:szCs w:val="16"/>
                <w:lang w:val="en-GB"/>
              </w:rPr>
            </w:pPr>
            <w:r w:rsidRPr="00141029">
              <w:rPr>
                <w:rFonts w:eastAsiaTheme="minorHAnsi" w:cs="Arial"/>
                <w:noProof/>
                <w:sz w:val="16"/>
                <w:szCs w:val="16"/>
                <w:lang w:val="en-GB"/>
              </w:rPr>
              <w:t>2020</w:t>
            </w:r>
          </w:p>
        </w:tc>
        <w:tc>
          <w:tcPr>
            <w:tcW w:w="331" w:type="pct"/>
            <w:shd w:val="clear" w:color="auto" w:fill="auto"/>
          </w:tcPr>
          <w:p w14:paraId="4EBD4448" w14:textId="6131E8C2" w:rsidR="00F37B21" w:rsidRDefault="00F37B21" w:rsidP="00141029">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300</w:t>
            </w:r>
          </w:p>
          <w:p w14:paraId="5398CDA6" w14:textId="07D0CE8E" w:rsidR="00F37B21" w:rsidRPr="00BB4B01" w:rsidRDefault="00F37B21" w:rsidP="00141029">
            <w:pPr>
              <w:spacing w:before="120" w:after="120" w:line="360" w:lineRule="auto"/>
              <w:jc w:val="center"/>
              <w:rPr>
                <w:rFonts w:eastAsiaTheme="minorHAnsi" w:cs="Arial"/>
                <w:noProof/>
                <w:sz w:val="16"/>
                <w:szCs w:val="16"/>
                <w:lang w:val="en-GB"/>
              </w:rPr>
            </w:pPr>
          </w:p>
        </w:tc>
        <w:tc>
          <w:tcPr>
            <w:tcW w:w="454" w:type="pct"/>
            <w:shd w:val="clear" w:color="auto" w:fill="auto"/>
          </w:tcPr>
          <w:p w14:paraId="28162D4D" w14:textId="43F8E607" w:rsidR="00F37B21" w:rsidRPr="00BB4B01" w:rsidRDefault="00F37B21" w:rsidP="00141029">
            <w:pPr>
              <w:spacing w:before="120" w:after="120" w:line="480" w:lineRule="auto"/>
              <w:rPr>
                <w:rFonts w:eastAsiaTheme="minorHAnsi" w:cs="Arial"/>
                <w:noProof/>
                <w:sz w:val="16"/>
                <w:szCs w:val="16"/>
                <w:lang w:val="en-GB"/>
              </w:rPr>
            </w:pPr>
            <w:r>
              <w:rPr>
                <w:rFonts w:eastAsiaTheme="minorHAnsi" w:cs="Arial"/>
                <w:noProof/>
                <w:sz w:val="16"/>
                <w:szCs w:val="16"/>
                <w:lang w:val="en-GB"/>
              </w:rPr>
              <w:t>Izkušnje iz dveh perspektiv 2007-2013 in 2014-2020, izkašen interes na lokalni ravni, upoštevanje možnosti širitve na 2 novi LASR</w:t>
            </w:r>
          </w:p>
        </w:tc>
        <w:tc>
          <w:tcPr>
            <w:tcW w:w="450" w:type="pct"/>
          </w:tcPr>
          <w:p w14:paraId="75D4AE33" w14:textId="2FAD61AD" w:rsidR="00F37B21" w:rsidRPr="00BB4B01" w:rsidRDefault="00F37B21" w:rsidP="00141029">
            <w:pPr>
              <w:rPr>
                <w:noProof/>
                <w:sz w:val="16"/>
                <w:szCs w:val="16"/>
                <w:lang w:val="fr-FR"/>
              </w:rPr>
            </w:pPr>
            <w:r w:rsidRPr="00BB4B01">
              <w:rPr>
                <w:noProof/>
                <w:sz w:val="16"/>
                <w:szCs w:val="16"/>
                <w:lang w:val="fr-FR"/>
              </w:rPr>
              <w:t>Več v metodologiji, ki je priloga OP ESPRA 2021-2027</w:t>
            </w:r>
          </w:p>
        </w:tc>
      </w:tr>
      <w:tr w:rsidR="00F37B21" w:rsidRPr="00BB4B01" w14:paraId="05E5913C" w14:textId="77777777" w:rsidTr="00141029">
        <w:trPr>
          <w:trHeight w:val="434"/>
        </w:trPr>
        <w:tc>
          <w:tcPr>
            <w:tcW w:w="580" w:type="pct"/>
            <w:vMerge/>
          </w:tcPr>
          <w:p w14:paraId="1A1E70DC" w14:textId="77777777" w:rsidR="00F37B21" w:rsidRPr="00AC29EA" w:rsidRDefault="00F37B21" w:rsidP="00141029">
            <w:pPr>
              <w:spacing w:before="120" w:after="120" w:line="360" w:lineRule="auto"/>
              <w:rPr>
                <w:rFonts w:eastAsiaTheme="minorHAnsi" w:cs="Arial"/>
                <w:b/>
                <w:noProof/>
                <w:color w:val="4BACC6" w:themeColor="accent5"/>
                <w:sz w:val="16"/>
                <w:szCs w:val="16"/>
              </w:rPr>
            </w:pPr>
          </w:p>
        </w:tc>
        <w:tc>
          <w:tcPr>
            <w:tcW w:w="580" w:type="pct"/>
            <w:vMerge/>
          </w:tcPr>
          <w:p w14:paraId="1CDC5601" w14:textId="77777777" w:rsidR="00F37B21" w:rsidRPr="00141029" w:rsidRDefault="00F37B21" w:rsidP="00141029">
            <w:pPr>
              <w:spacing w:before="120" w:after="120" w:line="360" w:lineRule="auto"/>
              <w:rPr>
                <w:rFonts w:eastAsiaTheme="minorHAnsi" w:cs="Arial"/>
                <w:b/>
                <w:noProof/>
                <w:sz w:val="16"/>
                <w:szCs w:val="16"/>
              </w:rPr>
            </w:pPr>
          </w:p>
        </w:tc>
        <w:tc>
          <w:tcPr>
            <w:tcW w:w="319" w:type="pct"/>
            <w:vMerge/>
          </w:tcPr>
          <w:p w14:paraId="4BDC330A" w14:textId="77777777" w:rsidR="00F37B21" w:rsidRPr="00141029" w:rsidRDefault="00F37B21" w:rsidP="00141029">
            <w:pPr>
              <w:spacing w:before="120" w:after="120" w:line="360" w:lineRule="auto"/>
              <w:rPr>
                <w:rFonts w:eastAsiaTheme="minorHAnsi" w:cs="Arial"/>
                <w:b/>
                <w:i/>
                <w:noProof/>
                <w:sz w:val="16"/>
                <w:szCs w:val="16"/>
              </w:rPr>
            </w:pPr>
          </w:p>
        </w:tc>
        <w:tc>
          <w:tcPr>
            <w:tcW w:w="373" w:type="pct"/>
          </w:tcPr>
          <w:p w14:paraId="599ED5D5" w14:textId="2407853A" w:rsidR="00F37B21" w:rsidRDefault="00F37B21" w:rsidP="00141029">
            <w:pPr>
              <w:spacing w:before="120" w:after="120" w:line="360" w:lineRule="auto"/>
              <w:rPr>
                <w:rFonts w:eastAsiaTheme="minorHAnsi" w:cs="Arial"/>
                <w:noProof/>
                <w:sz w:val="16"/>
                <w:szCs w:val="16"/>
                <w:lang w:val="en-GB"/>
              </w:rPr>
            </w:pPr>
            <w:r>
              <w:rPr>
                <w:rFonts w:eastAsiaTheme="minorHAnsi" w:cs="Arial"/>
                <w:noProof/>
                <w:sz w:val="16"/>
                <w:szCs w:val="16"/>
                <w:lang w:val="en-GB"/>
              </w:rPr>
              <w:t>CR07</w:t>
            </w:r>
          </w:p>
        </w:tc>
        <w:tc>
          <w:tcPr>
            <w:tcW w:w="490" w:type="pct"/>
            <w:shd w:val="clear" w:color="auto" w:fill="auto"/>
          </w:tcPr>
          <w:p w14:paraId="3D7E25FE" w14:textId="5D556448" w:rsidR="00F37B21" w:rsidRPr="00BB4B01" w:rsidRDefault="00F37B21" w:rsidP="00141029">
            <w:pPr>
              <w:spacing w:before="120" w:after="120" w:line="360" w:lineRule="auto"/>
              <w:rPr>
                <w:rFonts w:eastAsiaTheme="minorHAnsi" w:cs="Arial"/>
                <w:noProof/>
                <w:sz w:val="16"/>
                <w:szCs w:val="16"/>
                <w:lang w:val="en-US"/>
              </w:rPr>
            </w:pPr>
            <w:r>
              <w:rPr>
                <w:rFonts w:eastAsiaTheme="minorHAnsi" w:cs="Arial"/>
                <w:noProof/>
                <w:sz w:val="16"/>
                <w:szCs w:val="16"/>
                <w:lang w:val="en-US"/>
              </w:rPr>
              <w:t>Ohranjena delovna mesta</w:t>
            </w:r>
          </w:p>
        </w:tc>
        <w:tc>
          <w:tcPr>
            <w:tcW w:w="379" w:type="pct"/>
          </w:tcPr>
          <w:p w14:paraId="2B846468" w14:textId="2993985C" w:rsidR="00F37B21" w:rsidRPr="00141029" w:rsidRDefault="00F37B21" w:rsidP="00141029">
            <w:pPr>
              <w:spacing w:before="120" w:after="120" w:line="360" w:lineRule="auto"/>
              <w:rPr>
                <w:rFonts w:eastAsiaTheme="minorHAnsi" w:cs="Arial"/>
                <w:noProof/>
                <w:sz w:val="16"/>
                <w:szCs w:val="16"/>
                <w:lang w:val="en-GB"/>
              </w:rPr>
            </w:pPr>
            <w:r w:rsidRPr="00F37B21">
              <w:rPr>
                <w:rFonts w:eastAsiaTheme="minorHAnsi" w:cs="Arial"/>
                <w:noProof/>
                <w:sz w:val="16"/>
                <w:szCs w:val="16"/>
                <w:lang w:val="en-GB"/>
              </w:rPr>
              <w:t>Število</w:t>
            </w:r>
          </w:p>
        </w:tc>
        <w:tc>
          <w:tcPr>
            <w:tcW w:w="509" w:type="pct"/>
          </w:tcPr>
          <w:p w14:paraId="110CA92C" w14:textId="075A4BF6" w:rsidR="00F37B21" w:rsidRPr="00141029" w:rsidRDefault="00F37B21" w:rsidP="00141029">
            <w:pPr>
              <w:spacing w:before="120" w:after="120" w:line="360" w:lineRule="auto"/>
              <w:rPr>
                <w:rFonts w:eastAsiaTheme="minorHAnsi" w:cs="Arial"/>
                <w:noProof/>
                <w:sz w:val="16"/>
                <w:szCs w:val="16"/>
                <w:lang w:val="en-GB"/>
              </w:rPr>
            </w:pPr>
            <w:r>
              <w:rPr>
                <w:rFonts w:eastAsiaTheme="minorHAnsi" w:cs="Arial"/>
                <w:noProof/>
                <w:sz w:val="16"/>
                <w:szCs w:val="16"/>
                <w:lang w:val="en-GB"/>
              </w:rPr>
              <w:t>0</w:t>
            </w:r>
          </w:p>
        </w:tc>
        <w:tc>
          <w:tcPr>
            <w:tcW w:w="535" w:type="pct"/>
          </w:tcPr>
          <w:p w14:paraId="2DC2CA16" w14:textId="2ADCB364" w:rsidR="00F37B21" w:rsidRPr="00141029" w:rsidRDefault="00F37B21" w:rsidP="00141029">
            <w:pPr>
              <w:spacing w:before="120" w:after="120" w:line="360" w:lineRule="auto"/>
              <w:rPr>
                <w:rFonts w:eastAsiaTheme="minorHAnsi" w:cs="Arial"/>
                <w:noProof/>
                <w:sz w:val="16"/>
                <w:szCs w:val="16"/>
                <w:lang w:val="en-GB"/>
              </w:rPr>
            </w:pPr>
            <w:r>
              <w:rPr>
                <w:rFonts w:eastAsiaTheme="minorHAnsi" w:cs="Arial"/>
                <w:noProof/>
                <w:sz w:val="16"/>
                <w:szCs w:val="16"/>
                <w:lang w:val="en-GB"/>
              </w:rPr>
              <w:t>2020</w:t>
            </w:r>
          </w:p>
        </w:tc>
        <w:tc>
          <w:tcPr>
            <w:tcW w:w="331" w:type="pct"/>
            <w:shd w:val="clear" w:color="auto" w:fill="auto"/>
          </w:tcPr>
          <w:p w14:paraId="24CF8450" w14:textId="0F2642B8" w:rsidR="00F37B21" w:rsidRDefault="00F37B21" w:rsidP="00141029">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20</w:t>
            </w:r>
          </w:p>
        </w:tc>
        <w:tc>
          <w:tcPr>
            <w:tcW w:w="454" w:type="pct"/>
            <w:shd w:val="clear" w:color="auto" w:fill="auto"/>
          </w:tcPr>
          <w:p w14:paraId="4813AE21" w14:textId="27E9B2AF" w:rsidR="00F37B21" w:rsidRDefault="00F37B21" w:rsidP="00141029">
            <w:pPr>
              <w:spacing w:before="120" w:after="120" w:line="480" w:lineRule="auto"/>
              <w:rPr>
                <w:rFonts w:eastAsiaTheme="minorHAnsi" w:cs="Arial"/>
                <w:noProof/>
                <w:sz w:val="16"/>
                <w:szCs w:val="16"/>
                <w:lang w:val="en-GB"/>
              </w:rPr>
            </w:pPr>
            <w:r w:rsidRPr="00F37B21">
              <w:rPr>
                <w:rFonts w:eastAsiaTheme="minorHAnsi" w:cs="Arial"/>
                <w:noProof/>
                <w:sz w:val="16"/>
                <w:szCs w:val="16"/>
                <w:lang w:val="en-GB"/>
              </w:rPr>
              <w:t xml:space="preserve">Izkušnje iz dveh perspektiv </w:t>
            </w:r>
            <w:r w:rsidRPr="00F37B21">
              <w:rPr>
                <w:rFonts w:eastAsiaTheme="minorHAnsi" w:cs="Arial"/>
                <w:noProof/>
                <w:sz w:val="16"/>
                <w:szCs w:val="16"/>
                <w:lang w:val="en-GB"/>
              </w:rPr>
              <w:lastRenderedPageBreak/>
              <w:t>2007-2013 in 2014-2020, izkašen interes na lokalni ravni, upoštevanje možnosti širitve na 2 novi LASR</w:t>
            </w:r>
          </w:p>
        </w:tc>
        <w:tc>
          <w:tcPr>
            <w:tcW w:w="450" w:type="pct"/>
          </w:tcPr>
          <w:p w14:paraId="360C0340" w14:textId="3C6F187E" w:rsidR="00F37B21" w:rsidRPr="00F37B21" w:rsidRDefault="00F37B21" w:rsidP="00141029">
            <w:pPr>
              <w:rPr>
                <w:noProof/>
                <w:sz w:val="16"/>
                <w:szCs w:val="16"/>
                <w:lang w:val="fr-FR"/>
              </w:rPr>
            </w:pPr>
            <w:r w:rsidRPr="00714475">
              <w:rPr>
                <w:noProof/>
                <w:sz w:val="16"/>
                <w:szCs w:val="16"/>
                <w:lang w:val="fr-FR"/>
              </w:rPr>
              <w:lastRenderedPageBreak/>
              <w:t>Več v metodologiji, ki je priloga OP ESPRA 2021-2027</w:t>
            </w:r>
          </w:p>
        </w:tc>
      </w:tr>
      <w:tr w:rsidR="00F37B21" w:rsidRPr="00BB4B01" w14:paraId="2D9E7365" w14:textId="77777777" w:rsidTr="00141029">
        <w:trPr>
          <w:trHeight w:val="434"/>
        </w:trPr>
        <w:tc>
          <w:tcPr>
            <w:tcW w:w="580" w:type="pct"/>
            <w:vMerge/>
          </w:tcPr>
          <w:p w14:paraId="280C6222" w14:textId="77777777" w:rsidR="00F37B21" w:rsidRPr="00AC29EA" w:rsidRDefault="00F37B21" w:rsidP="00141029">
            <w:pPr>
              <w:spacing w:before="120" w:after="120" w:line="360" w:lineRule="auto"/>
              <w:rPr>
                <w:rFonts w:eastAsiaTheme="minorHAnsi" w:cs="Arial"/>
                <w:b/>
                <w:noProof/>
                <w:color w:val="4BACC6" w:themeColor="accent5"/>
                <w:sz w:val="16"/>
                <w:szCs w:val="16"/>
              </w:rPr>
            </w:pPr>
          </w:p>
        </w:tc>
        <w:tc>
          <w:tcPr>
            <w:tcW w:w="580" w:type="pct"/>
            <w:vMerge/>
          </w:tcPr>
          <w:p w14:paraId="7E1D74CF" w14:textId="77777777" w:rsidR="00F37B21" w:rsidRPr="00141029" w:rsidRDefault="00F37B21" w:rsidP="00141029">
            <w:pPr>
              <w:spacing w:before="120" w:after="120" w:line="360" w:lineRule="auto"/>
              <w:rPr>
                <w:rFonts w:eastAsiaTheme="minorHAnsi" w:cs="Arial"/>
                <w:b/>
                <w:noProof/>
                <w:sz w:val="16"/>
                <w:szCs w:val="16"/>
              </w:rPr>
            </w:pPr>
          </w:p>
        </w:tc>
        <w:tc>
          <w:tcPr>
            <w:tcW w:w="319" w:type="pct"/>
            <w:vMerge/>
          </w:tcPr>
          <w:p w14:paraId="4B172DD2" w14:textId="77777777" w:rsidR="00F37B21" w:rsidRPr="00141029" w:rsidRDefault="00F37B21" w:rsidP="00141029">
            <w:pPr>
              <w:spacing w:before="120" w:after="120" w:line="360" w:lineRule="auto"/>
              <w:rPr>
                <w:rFonts w:eastAsiaTheme="minorHAnsi" w:cs="Arial"/>
                <w:b/>
                <w:i/>
                <w:noProof/>
                <w:sz w:val="16"/>
                <w:szCs w:val="16"/>
              </w:rPr>
            </w:pPr>
          </w:p>
        </w:tc>
        <w:tc>
          <w:tcPr>
            <w:tcW w:w="373" w:type="pct"/>
          </w:tcPr>
          <w:p w14:paraId="5345BE9C" w14:textId="3D1C373F"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CR06</w:t>
            </w:r>
          </w:p>
        </w:tc>
        <w:tc>
          <w:tcPr>
            <w:tcW w:w="490" w:type="pct"/>
            <w:shd w:val="clear" w:color="auto" w:fill="auto"/>
          </w:tcPr>
          <w:p w14:paraId="35AE4109" w14:textId="5ADEAA74"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Ustvarjena delovna mesta</w:t>
            </w:r>
          </w:p>
        </w:tc>
        <w:tc>
          <w:tcPr>
            <w:tcW w:w="379" w:type="pct"/>
          </w:tcPr>
          <w:p w14:paraId="7901D25A" w14:textId="3EBEEFB0"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Število</w:t>
            </w:r>
          </w:p>
        </w:tc>
        <w:tc>
          <w:tcPr>
            <w:tcW w:w="509" w:type="pct"/>
          </w:tcPr>
          <w:p w14:paraId="55EFCFF7" w14:textId="77DC15E0"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0</w:t>
            </w:r>
          </w:p>
        </w:tc>
        <w:tc>
          <w:tcPr>
            <w:tcW w:w="535" w:type="pct"/>
          </w:tcPr>
          <w:p w14:paraId="6C0A0793" w14:textId="587156D4"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2020</w:t>
            </w:r>
          </w:p>
        </w:tc>
        <w:tc>
          <w:tcPr>
            <w:tcW w:w="331" w:type="pct"/>
            <w:shd w:val="clear" w:color="auto" w:fill="auto"/>
          </w:tcPr>
          <w:p w14:paraId="57D1923B" w14:textId="24B099D7" w:rsidR="00F37B21" w:rsidRPr="00714475" w:rsidRDefault="00F37B21" w:rsidP="00141029">
            <w:pPr>
              <w:spacing w:before="120" w:after="120" w:line="360" w:lineRule="auto"/>
              <w:jc w:val="center"/>
              <w:rPr>
                <w:rFonts w:eastAsiaTheme="minorHAnsi" w:cs="Arial"/>
                <w:noProof/>
                <w:sz w:val="16"/>
                <w:szCs w:val="16"/>
                <w:lang w:val="fr-FR"/>
              </w:rPr>
            </w:pPr>
            <w:r>
              <w:rPr>
                <w:rFonts w:eastAsiaTheme="minorHAnsi" w:cs="Arial"/>
                <w:noProof/>
                <w:sz w:val="16"/>
                <w:szCs w:val="16"/>
                <w:lang w:val="fr-FR"/>
              </w:rPr>
              <w:t>6</w:t>
            </w:r>
          </w:p>
        </w:tc>
        <w:tc>
          <w:tcPr>
            <w:tcW w:w="454" w:type="pct"/>
            <w:shd w:val="clear" w:color="auto" w:fill="auto"/>
          </w:tcPr>
          <w:p w14:paraId="1DE3B6C8" w14:textId="1A768104" w:rsidR="00F37B21" w:rsidRPr="00714475" w:rsidRDefault="00F37B21" w:rsidP="00141029">
            <w:pPr>
              <w:spacing w:before="120" w:after="120" w:line="480" w:lineRule="auto"/>
              <w:rPr>
                <w:rFonts w:eastAsiaTheme="minorHAnsi" w:cs="Arial"/>
                <w:noProof/>
                <w:sz w:val="16"/>
                <w:szCs w:val="16"/>
                <w:lang w:val="fr-FR"/>
              </w:rPr>
            </w:pPr>
            <w:r w:rsidRPr="00F37B21">
              <w:rPr>
                <w:rFonts w:eastAsiaTheme="minorHAnsi" w:cs="Arial"/>
                <w:noProof/>
                <w:sz w:val="16"/>
                <w:szCs w:val="16"/>
                <w:lang w:val="fr-FR"/>
              </w:rPr>
              <w:t>Izkušnje iz dveh perspektiv 2007-2013 in 2014-2020, izkašen interes na lokalni ravni, upoštevanje možnosti širitve na 2 novi LASR</w:t>
            </w:r>
          </w:p>
        </w:tc>
        <w:tc>
          <w:tcPr>
            <w:tcW w:w="450" w:type="pct"/>
          </w:tcPr>
          <w:p w14:paraId="43E7C5DC" w14:textId="5E0ED09F" w:rsidR="00F37B21" w:rsidRPr="00F37B21" w:rsidRDefault="00F37B21" w:rsidP="00141029">
            <w:pPr>
              <w:rPr>
                <w:noProof/>
                <w:sz w:val="16"/>
                <w:szCs w:val="16"/>
                <w:lang w:val="fr-FR"/>
              </w:rPr>
            </w:pPr>
            <w:r w:rsidRPr="00F37B21">
              <w:rPr>
                <w:noProof/>
                <w:sz w:val="16"/>
                <w:szCs w:val="16"/>
                <w:lang w:val="fr-FR"/>
              </w:rPr>
              <w:t>Več v metodologiji, ki je priloga OP ESPRA 2021-2027</w:t>
            </w:r>
          </w:p>
        </w:tc>
      </w:tr>
      <w:tr w:rsidR="00F37B21" w:rsidRPr="00BB4B01" w14:paraId="73B11BF2" w14:textId="77777777" w:rsidTr="00141029">
        <w:trPr>
          <w:trHeight w:val="434"/>
        </w:trPr>
        <w:tc>
          <w:tcPr>
            <w:tcW w:w="580" w:type="pct"/>
            <w:vMerge/>
          </w:tcPr>
          <w:p w14:paraId="29A2C776" w14:textId="77777777" w:rsidR="00F37B21" w:rsidRPr="00AC29EA" w:rsidRDefault="00F37B21" w:rsidP="00141029">
            <w:pPr>
              <w:spacing w:before="120" w:after="120" w:line="360" w:lineRule="auto"/>
              <w:rPr>
                <w:rFonts w:eastAsiaTheme="minorHAnsi" w:cs="Arial"/>
                <w:b/>
                <w:noProof/>
                <w:color w:val="4BACC6" w:themeColor="accent5"/>
                <w:sz w:val="16"/>
                <w:szCs w:val="16"/>
              </w:rPr>
            </w:pPr>
          </w:p>
        </w:tc>
        <w:tc>
          <w:tcPr>
            <w:tcW w:w="580" w:type="pct"/>
            <w:vMerge/>
          </w:tcPr>
          <w:p w14:paraId="64CABE80" w14:textId="77777777" w:rsidR="00F37B21" w:rsidRPr="00141029" w:rsidRDefault="00F37B21" w:rsidP="00141029">
            <w:pPr>
              <w:spacing w:before="120" w:after="120" w:line="360" w:lineRule="auto"/>
              <w:rPr>
                <w:rFonts w:eastAsiaTheme="minorHAnsi" w:cs="Arial"/>
                <w:b/>
                <w:noProof/>
                <w:sz w:val="16"/>
                <w:szCs w:val="16"/>
              </w:rPr>
            </w:pPr>
          </w:p>
        </w:tc>
        <w:tc>
          <w:tcPr>
            <w:tcW w:w="319" w:type="pct"/>
            <w:vMerge/>
          </w:tcPr>
          <w:p w14:paraId="50FB1D06" w14:textId="77777777" w:rsidR="00F37B21" w:rsidRPr="00141029" w:rsidRDefault="00F37B21" w:rsidP="00141029">
            <w:pPr>
              <w:spacing w:before="120" w:after="120" w:line="360" w:lineRule="auto"/>
              <w:rPr>
                <w:rFonts w:eastAsiaTheme="minorHAnsi" w:cs="Arial"/>
                <w:b/>
                <w:i/>
                <w:noProof/>
                <w:sz w:val="16"/>
                <w:szCs w:val="16"/>
              </w:rPr>
            </w:pPr>
          </w:p>
        </w:tc>
        <w:tc>
          <w:tcPr>
            <w:tcW w:w="373" w:type="pct"/>
          </w:tcPr>
          <w:p w14:paraId="4C9557EE" w14:textId="58822755"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CR13</w:t>
            </w:r>
          </w:p>
        </w:tc>
        <w:tc>
          <w:tcPr>
            <w:tcW w:w="490" w:type="pct"/>
            <w:shd w:val="clear" w:color="auto" w:fill="auto"/>
          </w:tcPr>
          <w:p w14:paraId="185B1CC1" w14:textId="499D3B82"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Aktivnosti sodelovanja med deležniki</w:t>
            </w:r>
          </w:p>
        </w:tc>
        <w:tc>
          <w:tcPr>
            <w:tcW w:w="379" w:type="pct"/>
          </w:tcPr>
          <w:p w14:paraId="7A6AE30A" w14:textId="0D14F376"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Število</w:t>
            </w:r>
          </w:p>
        </w:tc>
        <w:tc>
          <w:tcPr>
            <w:tcW w:w="509" w:type="pct"/>
          </w:tcPr>
          <w:p w14:paraId="7194E90C" w14:textId="00A1EC3C"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0</w:t>
            </w:r>
          </w:p>
        </w:tc>
        <w:tc>
          <w:tcPr>
            <w:tcW w:w="535" w:type="pct"/>
          </w:tcPr>
          <w:p w14:paraId="78BD5948" w14:textId="7E8CE013" w:rsidR="00F37B21" w:rsidRPr="00714475"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2020</w:t>
            </w:r>
          </w:p>
        </w:tc>
        <w:tc>
          <w:tcPr>
            <w:tcW w:w="331" w:type="pct"/>
            <w:shd w:val="clear" w:color="auto" w:fill="auto"/>
          </w:tcPr>
          <w:p w14:paraId="13171CF7" w14:textId="341B95D6" w:rsidR="00F37B21" w:rsidRPr="00714475" w:rsidRDefault="00F37B21" w:rsidP="00141029">
            <w:pPr>
              <w:spacing w:before="120" w:after="120" w:line="360" w:lineRule="auto"/>
              <w:jc w:val="center"/>
              <w:rPr>
                <w:rFonts w:eastAsiaTheme="minorHAnsi" w:cs="Arial"/>
                <w:noProof/>
                <w:sz w:val="16"/>
                <w:szCs w:val="16"/>
                <w:lang w:val="fr-FR"/>
              </w:rPr>
            </w:pPr>
            <w:r>
              <w:rPr>
                <w:rFonts w:eastAsiaTheme="minorHAnsi" w:cs="Arial"/>
                <w:noProof/>
                <w:sz w:val="16"/>
                <w:szCs w:val="16"/>
                <w:lang w:val="fr-FR"/>
              </w:rPr>
              <w:t>15</w:t>
            </w:r>
          </w:p>
        </w:tc>
        <w:tc>
          <w:tcPr>
            <w:tcW w:w="454" w:type="pct"/>
            <w:shd w:val="clear" w:color="auto" w:fill="auto"/>
          </w:tcPr>
          <w:p w14:paraId="78BEE24E" w14:textId="7A7F62D2" w:rsidR="00F37B21" w:rsidRPr="00714475" w:rsidRDefault="00F37B21" w:rsidP="00141029">
            <w:pPr>
              <w:spacing w:before="120" w:after="120" w:line="480" w:lineRule="auto"/>
              <w:rPr>
                <w:rFonts w:eastAsiaTheme="minorHAnsi" w:cs="Arial"/>
                <w:noProof/>
                <w:sz w:val="16"/>
                <w:szCs w:val="16"/>
                <w:lang w:val="fr-FR"/>
              </w:rPr>
            </w:pPr>
            <w:r w:rsidRPr="00F37B21">
              <w:rPr>
                <w:rFonts w:eastAsiaTheme="minorHAnsi" w:cs="Arial"/>
                <w:noProof/>
                <w:sz w:val="16"/>
                <w:szCs w:val="16"/>
                <w:lang w:val="fr-FR"/>
              </w:rPr>
              <w:t>Izkušnje iz dveh perspektiv 2007-2013 in 2014-2020, izkašen interes na lokalni ravni, upoštevanje možnosti širitve na 2 novi LASR</w:t>
            </w:r>
          </w:p>
        </w:tc>
        <w:tc>
          <w:tcPr>
            <w:tcW w:w="450" w:type="pct"/>
          </w:tcPr>
          <w:p w14:paraId="4DFCBB7A" w14:textId="5AFF596F" w:rsidR="00F37B21" w:rsidRPr="00F37B21" w:rsidRDefault="00F37B21" w:rsidP="00141029">
            <w:pPr>
              <w:rPr>
                <w:noProof/>
                <w:sz w:val="16"/>
                <w:szCs w:val="16"/>
                <w:lang w:val="fr-FR"/>
              </w:rPr>
            </w:pPr>
            <w:r w:rsidRPr="00F37B21">
              <w:rPr>
                <w:noProof/>
                <w:sz w:val="16"/>
                <w:szCs w:val="16"/>
                <w:lang w:val="fr-FR"/>
              </w:rPr>
              <w:t>Več v metodologiji, ki je priloga OP ESPRA 2021-2027</w:t>
            </w:r>
          </w:p>
        </w:tc>
      </w:tr>
      <w:tr w:rsidR="00F37B21" w:rsidRPr="00BB4B01" w14:paraId="1979FC86" w14:textId="77777777" w:rsidTr="00141029">
        <w:trPr>
          <w:trHeight w:val="434"/>
        </w:trPr>
        <w:tc>
          <w:tcPr>
            <w:tcW w:w="580" w:type="pct"/>
          </w:tcPr>
          <w:p w14:paraId="4F6F594C" w14:textId="77777777" w:rsidR="00F37B21" w:rsidRPr="00AC29EA" w:rsidRDefault="00F37B21" w:rsidP="00141029">
            <w:pPr>
              <w:spacing w:before="120" w:after="120" w:line="360" w:lineRule="auto"/>
              <w:rPr>
                <w:rFonts w:eastAsiaTheme="minorHAnsi" w:cs="Arial"/>
                <w:b/>
                <w:noProof/>
                <w:color w:val="4BACC6" w:themeColor="accent5"/>
                <w:sz w:val="16"/>
                <w:szCs w:val="16"/>
              </w:rPr>
            </w:pPr>
          </w:p>
        </w:tc>
        <w:tc>
          <w:tcPr>
            <w:tcW w:w="580" w:type="pct"/>
          </w:tcPr>
          <w:p w14:paraId="7DC1A195" w14:textId="77777777" w:rsidR="00F37B21" w:rsidRPr="00141029" w:rsidRDefault="00F37B21" w:rsidP="00141029">
            <w:pPr>
              <w:spacing w:before="120" w:after="120" w:line="360" w:lineRule="auto"/>
              <w:rPr>
                <w:rFonts w:eastAsiaTheme="minorHAnsi" w:cs="Arial"/>
                <w:b/>
                <w:noProof/>
                <w:sz w:val="16"/>
                <w:szCs w:val="16"/>
              </w:rPr>
            </w:pPr>
          </w:p>
        </w:tc>
        <w:tc>
          <w:tcPr>
            <w:tcW w:w="319" w:type="pct"/>
            <w:vMerge/>
          </w:tcPr>
          <w:p w14:paraId="0860BD54" w14:textId="77777777" w:rsidR="00F37B21" w:rsidRPr="00141029" w:rsidRDefault="00F37B21" w:rsidP="00141029">
            <w:pPr>
              <w:spacing w:before="120" w:after="120" w:line="360" w:lineRule="auto"/>
              <w:rPr>
                <w:rFonts w:eastAsiaTheme="minorHAnsi" w:cs="Arial"/>
                <w:b/>
                <w:i/>
                <w:noProof/>
                <w:sz w:val="16"/>
                <w:szCs w:val="16"/>
              </w:rPr>
            </w:pPr>
          </w:p>
        </w:tc>
        <w:tc>
          <w:tcPr>
            <w:tcW w:w="373" w:type="pct"/>
          </w:tcPr>
          <w:p w14:paraId="024BFE16" w14:textId="57746A79" w:rsidR="00F37B21" w:rsidRDefault="00F37B21" w:rsidP="00141029">
            <w:pPr>
              <w:spacing w:before="120" w:after="120" w:line="360" w:lineRule="auto"/>
              <w:rPr>
                <w:rFonts w:eastAsiaTheme="minorHAnsi" w:cs="Arial"/>
                <w:noProof/>
                <w:sz w:val="16"/>
                <w:szCs w:val="16"/>
                <w:lang w:val="fr-FR"/>
              </w:rPr>
            </w:pPr>
            <w:r>
              <w:rPr>
                <w:rFonts w:eastAsiaTheme="minorHAnsi" w:cs="Arial"/>
                <w:noProof/>
                <w:sz w:val="16"/>
                <w:szCs w:val="16"/>
                <w:lang w:val="fr-FR"/>
              </w:rPr>
              <w:t>CR16</w:t>
            </w:r>
          </w:p>
        </w:tc>
        <w:tc>
          <w:tcPr>
            <w:tcW w:w="490" w:type="pct"/>
            <w:shd w:val="clear" w:color="auto" w:fill="auto"/>
          </w:tcPr>
          <w:p w14:paraId="385F38CE" w14:textId="7B1A79EF" w:rsidR="00F37B21" w:rsidRPr="00714475" w:rsidRDefault="00F37B21" w:rsidP="00141029">
            <w:pPr>
              <w:spacing w:before="120" w:after="120" w:line="360" w:lineRule="auto"/>
              <w:rPr>
                <w:rFonts w:eastAsiaTheme="minorHAnsi" w:cs="Arial"/>
                <w:noProof/>
                <w:sz w:val="16"/>
                <w:szCs w:val="16"/>
                <w:lang w:val="en-US"/>
              </w:rPr>
            </w:pPr>
            <w:r w:rsidRPr="00714475">
              <w:rPr>
                <w:rFonts w:eastAsiaTheme="minorHAnsi" w:cs="Arial"/>
                <w:noProof/>
                <w:sz w:val="16"/>
                <w:szCs w:val="16"/>
                <w:lang w:val="en-US"/>
              </w:rPr>
              <w:t>Subjekti, ki imajo koristi od promocijskih in informacijskih</w:t>
            </w:r>
            <w:r w:rsidRPr="00F37B21">
              <w:rPr>
                <w:rFonts w:eastAsiaTheme="minorHAnsi" w:cs="Arial"/>
                <w:noProof/>
                <w:sz w:val="16"/>
                <w:szCs w:val="16"/>
                <w:lang w:val="en-US"/>
              </w:rPr>
              <w:t xml:space="preserve"> dejavnosti (število subjektov)</w:t>
            </w:r>
          </w:p>
        </w:tc>
        <w:tc>
          <w:tcPr>
            <w:tcW w:w="379" w:type="pct"/>
          </w:tcPr>
          <w:p w14:paraId="38131420" w14:textId="68433250" w:rsidR="00F37B21" w:rsidRPr="00714475" w:rsidRDefault="00F37B21" w:rsidP="00141029">
            <w:pPr>
              <w:spacing w:before="120" w:after="120" w:line="360" w:lineRule="auto"/>
              <w:rPr>
                <w:rFonts w:eastAsiaTheme="minorHAnsi" w:cs="Arial"/>
                <w:noProof/>
                <w:sz w:val="16"/>
                <w:szCs w:val="16"/>
                <w:lang w:val="en-US"/>
              </w:rPr>
            </w:pPr>
            <w:r>
              <w:rPr>
                <w:rFonts w:eastAsiaTheme="minorHAnsi" w:cs="Arial"/>
                <w:noProof/>
                <w:sz w:val="16"/>
                <w:szCs w:val="16"/>
                <w:lang w:val="en-US"/>
              </w:rPr>
              <w:t>Število</w:t>
            </w:r>
          </w:p>
        </w:tc>
        <w:tc>
          <w:tcPr>
            <w:tcW w:w="509" w:type="pct"/>
          </w:tcPr>
          <w:p w14:paraId="4EF7DF93" w14:textId="3817762E" w:rsidR="00F37B21" w:rsidRPr="00714475" w:rsidRDefault="00F37B21" w:rsidP="00141029">
            <w:pPr>
              <w:spacing w:before="120" w:after="120" w:line="360" w:lineRule="auto"/>
              <w:rPr>
                <w:rFonts w:eastAsiaTheme="minorHAnsi" w:cs="Arial"/>
                <w:noProof/>
                <w:sz w:val="16"/>
                <w:szCs w:val="16"/>
                <w:lang w:val="en-US"/>
              </w:rPr>
            </w:pPr>
            <w:r>
              <w:rPr>
                <w:rFonts w:eastAsiaTheme="minorHAnsi" w:cs="Arial"/>
                <w:noProof/>
                <w:sz w:val="16"/>
                <w:szCs w:val="16"/>
                <w:lang w:val="en-US"/>
              </w:rPr>
              <w:t>0</w:t>
            </w:r>
          </w:p>
        </w:tc>
        <w:tc>
          <w:tcPr>
            <w:tcW w:w="535" w:type="pct"/>
          </w:tcPr>
          <w:p w14:paraId="1648DCFA" w14:textId="32675165" w:rsidR="00F37B21" w:rsidRPr="00714475" w:rsidRDefault="00F37B21" w:rsidP="00141029">
            <w:pPr>
              <w:spacing w:before="120" w:after="120" w:line="360" w:lineRule="auto"/>
              <w:rPr>
                <w:rFonts w:eastAsiaTheme="minorHAnsi" w:cs="Arial"/>
                <w:noProof/>
                <w:sz w:val="16"/>
                <w:szCs w:val="16"/>
                <w:lang w:val="en-US"/>
              </w:rPr>
            </w:pPr>
            <w:r>
              <w:rPr>
                <w:rFonts w:eastAsiaTheme="minorHAnsi" w:cs="Arial"/>
                <w:noProof/>
                <w:sz w:val="16"/>
                <w:szCs w:val="16"/>
                <w:lang w:val="en-US"/>
              </w:rPr>
              <w:t>2020</w:t>
            </w:r>
          </w:p>
        </w:tc>
        <w:tc>
          <w:tcPr>
            <w:tcW w:w="331" w:type="pct"/>
            <w:shd w:val="clear" w:color="auto" w:fill="auto"/>
          </w:tcPr>
          <w:p w14:paraId="04521CBE" w14:textId="1F0093BD" w:rsidR="00F37B21" w:rsidRPr="00714475" w:rsidRDefault="00F37B21" w:rsidP="00141029">
            <w:pPr>
              <w:spacing w:before="120" w:after="120" w:line="360" w:lineRule="auto"/>
              <w:jc w:val="center"/>
              <w:rPr>
                <w:rFonts w:eastAsiaTheme="minorHAnsi" w:cs="Arial"/>
                <w:noProof/>
                <w:sz w:val="16"/>
                <w:szCs w:val="16"/>
                <w:lang w:val="en-US"/>
              </w:rPr>
            </w:pPr>
            <w:r>
              <w:rPr>
                <w:rFonts w:eastAsiaTheme="minorHAnsi" w:cs="Arial"/>
                <w:noProof/>
                <w:sz w:val="16"/>
                <w:szCs w:val="16"/>
                <w:lang w:val="en-US"/>
              </w:rPr>
              <w:t>30</w:t>
            </w:r>
          </w:p>
        </w:tc>
        <w:tc>
          <w:tcPr>
            <w:tcW w:w="454" w:type="pct"/>
            <w:shd w:val="clear" w:color="auto" w:fill="auto"/>
          </w:tcPr>
          <w:p w14:paraId="5D256828" w14:textId="72A02E5D" w:rsidR="00F37B21" w:rsidRPr="00714475" w:rsidRDefault="00F37B21" w:rsidP="00141029">
            <w:pPr>
              <w:spacing w:before="120" w:after="120" w:line="480" w:lineRule="auto"/>
              <w:rPr>
                <w:rFonts w:eastAsiaTheme="minorHAnsi" w:cs="Arial"/>
                <w:noProof/>
                <w:sz w:val="16"/>
                <w:szCs w:val="16"/>
                <w:lang w:val="en-US"/>
              </w:rPr>
            </w:pPr>
            <w:r w:rsidRPr="00F37B21">
              <w:rPr>
                <w:rFonts w:eastAsiaTheme="minorHAnsi" w:cs="Arial"/>
                <w:noProof/>
                <w:sz w:val="16"/>
                <w:szCs w:val="16"/>
                <w:lang w:val="en-US"/>
              </w:rPr>
              <w:t xml:space="preserve">Izkušnje iz dveh perspektiv 2007-2013 in 2014-2020, izkašen interes na lokalni ravni, upoštevanje </w:t>
            </w:r>
            <w:r w:rsidRPr="00F37B21">
              <w:rPr>
                <w:rFonts w:eastAsiaTheme="minorHAnsi" w:cs="Arial"/>
                <w:noProof/>
                <w:sz w:val="16"/>
                <w:szCs w:val="16"/>
                <w:lang w:val="en-US"/>
              </w:rPr>
              <w:lastRenderedPageBreak/>
              <w:t>možnosti širitve na 2 novi LASR</w:t>
            </w:r>
          </w:p>
        </w:tc>
        <w:tc>
          <w:tcPr>
            <w:tcW w:w="450" w:type="pct"/>
          </w:tcPr>
          <w:p w14:paraId="7F19BD24" w14:textId="02D50700" w:rsidR="00F37B21" w:rsidRPr="00F37B21" w:rsidRDefault="00F37B21" w:rsidP="00141029">
            <w:pPr>
              <w:rPr>
                <w:noProof/>
                <w:sz w:val="16"/>
                <w:szCs w:val="16"/>
                <w:lang w:val="fr-FR"/>
              </w:rPr>
            </w:pPr>
            <w:r w:rsidRPr="00714475">
              <w:rPr>
                <w:noProof/>
                <w:sz w:val="16"/>
                <w:szCs w:val="16"/>
                <w:lang w:val="fr-FR"/>
              </w:rPr>
              <w:lastRenderedPageBreak/>
              <w:t>Več v metodologiji, ki je priloga OP ESPRA 2021-2027</w:t>
            </w:r>
          </w:p>
        </w:tc>
      </w:tr>
    </w:tbl>
    <w:p w14:paraId="411753BF" w14:textId="77777777" w:rsidR="003C3C63" w:rsidRDefault="003C3C63">
      <w:pPr>
        <w:spacing w:after="200" w:line="276" w:lineRule="auto"/>
        <w:rPr>
          <w:rFonts w:cs="Arial"/>
          <w:szCs w:val="20"/>
        </w:rPr>
      </w:pPr>
    </w:p>
    <w:p w14:paraId="5ECB243C" w14:textId="77777777" w:rsidR="003C3C63" w:rsidRDefault="003C3C63">
      <w:pPr>
        <w:spacing w:after="200" w:line="276" w:lineRule="auto"/>
        <w:rPr>
          <w:rFonts w:cs="Arial"/>
          <w:szCs w:val="20"/>
        </w:rPr>
      </w:pPr>
      <w:r>
        <w:rPr>
          <w:rFonts w:cs="Arial"/>
          <w:szCs w:val="20"/>
        </w:rPr>
        <w:br w:type="page"/>
      </w:r>
    </w:p>
    <w:tbl>
      <w:tblPr>
        <w:tblpPr w:leftFromText="141" w:rightFromText="141" w:vertAnchor="text" w:horzAnchor="margin" w:tblpY="52"/>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700"/>
        <w:gridCol w:w="850"/>
        <w:gridCol w:w="994"/>
        <w:gridCol w:w="1416"/>
        <w:gridCol w:w="1133"/>
        <w:gridCol w:w="1278"/>
        <w:gridCol w:w="1558"/>
        <w:gridCol w:w="992"/>
        <w:gridCol w:w="1136"/>
        <w:gridCol w:w="1841"/>
      </w:tblGrid>
      <w:tr w:rsidR="003C3C63" w:rsidRPr="003C3C63" w14:paraId="64FCB136" w14:textId="77777777" w:rsidTr="003C3C63">
        <w:trPr>
          <w:trHeight w:val="480"/>
        </w:trPr>
        <w:tc>
          <w:tcPr>
            <w:tcW w:w="5000" w:type="pct"/>
            <w:gridSpan w:val="11"/>
          </w:tcPr>
          <w:p w14:paraId="5CA5F033"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cs="Arial"/>
                <w:b/>
                <w:iCs/>
                <w:noProof/>
                <w:sz w:val="16"/>
                <w:szCs w:val="16"/>
                <w:lang w:val="en-GB" w:eastAsia="en-GB"/>
              </w:rPr>
              <w:lastRenderedPageBreak/>
              <w:t>Preglednica 3: Kazalniki rezultata</w:t>
            </w:r>
          </w:p>
        </w:tc>
      </w:tr>
      <w:tr w:rsidR="003C3C63" w:rsidRPr="003C3C63" w14:paraId="16B63C27" w14:textId="77777777" w:rsidTr="003C3C63">
        <w:trPr>
          <w:trHeight w:val="1768"/>
        </w:trPr>
        <w:tc>
          <w:tcPr>
            <w:tcW w:w="538" w:type="pct"/>
          </w:tcPr>
          <w:p w14:paraId="4D2758E8" w14:textId="77777777" w:rsidR="003C3C63" w:rsidRPr="003C3C63" w:rsidRDefault="003C3C63" w:rsidP="003C3C63">
            <w:pPr>
              <w:spacing w:before="120" w:after="120" w:line="360" w:lineRule="auto"/>
              <w:rPr>
                <w:rFonts w:eastAsiaTheme="minorHAnsi" w:cs="Arial"/>
                <w:b/>
                <w:noProof/>
                <w:sz w:val="16"/>
                <w:szCs w:val="16"/>
                <w:lang w:val="fr-FR"/>
              </w:rPr>
            </w:pPr>
            <w:r w:rsidRPr="003C3C63">
              <w:rPr>
                <w:rFonts w:eastAsiaTheme="minorHAnsi" w:cs="Arial"/>
                <w:b/>
                <w:noProof/>
                <w:sz w:val="16"/>
                <w:szCs w:val="16"/>
                <w:lang w:val="fr-FR"/>
              </w:rPr>
              <w:t>Prednostna naloga</w:t>
            </w:r>
          </w:p>
          <w:p w14:paraId="798A9285" w14:textId="77777777" w:rsidR="003C3C63" w:rsidRPr="003C3C63" w:rsidRDefault="003C3C63" w:rsidP="003C3C63">
            <w:pPr>
              <w:spacing w:before="120" w:after="120" w:line="360" w:lineRule="auto"/>
              <w:rPr>
                <w:rFonts w:eastAsiaTheme="minorHAnsi" w:cs="Arial"/>
                <w:b/>
                <w:noProof/>
                <w:sz w:val="16"/>
                <w:szCs w:val="16"/>
                <w:lang w:val="fr-FR"/>
              </w:rPr>
            </w:pPr>
          </w:p>
        </w:tc>
        <w:tc>
          <w:tcPr>
            <w:tcW w:w="588" w:type="pct"/>
          </w:tcPr>
          <w:p w14:paraId="5423FB24" w14:textId="77777777" w:rsidR="003C3C63" w:rsidRPr="003C3C63" w:rsidRDefault="003C3C63" w:rsidP="003C3C63">
            <w:pPr>
              <w:spacing w:before="120" w:after="120" w:line="360" w:lineRule="auto"/>
              <w:rPr>
                <w:rFonts w:eastAsiaTheme="minorHAnsi" w:cs="Arial"/>
                <w:b/>
                <w:noProof/>
                <w:sz w:val="16"/>
                <w:szCs w:val="16"/>
                <w:lang w:val="fr-FR"/>
              </w:rPr>
            </w:pPr>
            <w:r w:rsidRPr="003C3C63">
              <w:rPr>
                <w:rFonts w:eastAsiaTheme="minorHAnsi" w:cs="Arial"/>
                <w:b/>
                <w:noProof/>
                <w:sz w:val="16"/>
                <w:szCs w:val="16"/>
                <w:lang w:val="fr-FR"/>
              </w:rPr>
              <w:t>Posebni cilj ali področje podpore</w:t>
            </w:r>
          </w:p>
          <w:p w14:paraId="0366739E" w14:textId="77777777" w:rsidR="003C3C63" w:rsidRPr="003C3C63" w:rsidRDefault="003C3C63" w:rsidP="003C3C63">
            <w:pPr>
              <w:spacing w:before="120" w:after="120" w:line="360" w:lineRule="auto"/>
              <w:rPr>
                <w:rFonts w:eastAsiaTheme="minorHAnsi" w:cs="Arial"/>
                <w:b/>
                <w:noProof/>
                <w:sz w:val="16"/>
                <w:szCs w:val="16"/>
                <w:lang w:val="fr-FR"/>
              </w:rPr>
            </w:pPr>
          </w:p>
        </w:tc>
        <w:tc>
          <w:tcPr>
            <w:tcW w:w="294" w:type="pct"/>
          </w:tcPr>
          <w:p w14:paraId="0C6E1838"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 xml:space="preserve">Sklad </w:t>
            </w:r>
          </w:p>
        </w:tc>
        <w:tc>
          <w:tcPr>
            <w:tcW w:w="344" w:type="pct"/>
          </w:tcPr>
          <w:p w14:paraId="76A3C913"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ID [5]</w:t>
            </w:r>
          </w:p>
          <w:p w14:paraId="0465C89B" w14:textId="77777777" w:rsidR="003C3C63" w:rsidRPr="003C3C63" w:rsidRDefault="003C3C63" w:rsidP="003C3C63">
            <w:pPr>
              <w:spacing w:before="120" w:after="120" w:line="360" w:lineRule="auto"/>
              <w:rPr>
                <w:rFonts w:eastAsiaTheme="minorHAnsi" w:cs="Arial"/>
                <w:b/>
                <w:noProof/>
                <w:sz w:val="16"/>
                <w:szCs w:val="16"/>
                <w:lang w:val="en-GB"/>
              </w:rPr>
            </w:pPr>
          </w:p>
        </w:tc>
        <w:tc>
          <w:tcPr>
            <w:tcW w:w="490" w:type="pct"/>
            <w:shd w:val="clear" w:color="auto" w:fill="auto"/>
          </w:tcPr>
          <w:p w14:paraId="4FCD8899"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Kazalnik [255]</w:t>
            </w:r>
          </w:p>
        </w:tc>
        <w:tc>
          <w:tcPr>
            <w:tcW w:w="392" w:type="pct"/>
          </w:tcPr>
          <w:p w14:paraId="1AFE2875"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Merska enota</w:t>
            </w:r>
          </w:p>
        </w:tc>
        <w:tc>
          <w:tcPr>
            <w:tcW w:w="442" w:type="pct"/>
          </w:tcPr>
          <w:p w14:paraId="2362BFF0"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Izhodišče ali referenčna vrednost</w:t>
            </w:r>
          </w:p>
        </w:tc>
        <w:tc>
          <w:tcPr>
            <w:tcW w:w="539" w:type="pct"/>
          </w:tcPr>
          <w:p w14:paraId="1E6A0CD7"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Referenčno leto</w:t>
            </w:r>
          </w:p>
        </w:tc>
        <w:tc>
          <w:tcPr>
            <w:tcW w:w="343" w:type="pct"/>
            <w:shd w:val="clear" w:color="auto" w:fill="auto"/>
          </w:tcPr>
          <w:p w14:paraId="657B65DA"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b/>
                <w:noProof/>
                <w:sz w:val="16"/>
                <w:szCs w:val="16"/>
                <w:lang w:val="en-GB"/>
              </w:rPr>
              <w:t>Cilj (2029)</w:t>
            </w:r>
          </w:p>
          <w:p w14:paraId="49FF3C8E" w14:textId="77777777" w:rsidR="003C3C63" w:rsidRPr="003C3C63" w:rsidRDefault="003C3C63" w:rsidP="003C3C63">
            <w:pPr>
              <w:spacing w:before="120" w:after="120" w:line="360" w:lineRule="auto"/>
              <w:rPr>
                <w:rFonts w:eastAsiaTheme="minorHAnsi" w:cs="Arial"/>
                <w:b/>
                <w:noProof/>
                <w:sz w:val="16"/>
                <w:szCs w:val="16"/>
                <w:lang w:val="en-GB"/>
              </w:rPr>
            </w:pPr>
          </w:p>
        </w:tc>
        <w:tc>
          <w:tcPr>
            <w:tcW w:w="393" w:type="pct"/>
            <w:shd w:val="clear" w:color="auto" w:fill="auto"/>
          </w:tcPr>
          <w:p w14:paraId="5FC2DDB0" w14:textId="77777777" w:rsidR="003C3C63" w:rsidRPr="003C3C63" w:rsidRDefault="003C3C63" w:rsidP="003C3C63">
            <w:pPr>
              <w:autoSpaceDE w:val="0"/>
              <w:autoSpaceDN w:val="0"/>
              <w:adjustRightInd w:val="0"/>
              <w:spacing w:line="240" w:lineRule="auto"/>
              <w:rPr>
                <w:rFonts w:eastAsiaTheme="minorHAnsi" w:cs="Arial"/>
                <w:color w:val="000000"/>
                <w:sz w:val="16"/>
                <w:szCs w:val="16"/>
              </w:rPr>
            </w:pPr>
            <w:r w:rsidRPr="003C3C63">
              <w:rPr>
                <w:rFonts w:eastAsiaTheme="minorHAnsi" w:cs="Arial"/>
                <w:b/>
                <w:bCs/>
                <w:color w:val="000000"/>
                <w:sz w:val="16"/>
                <w:szCs w:val="16"/>
              </w:rPr>
              <w:t xml:space="preserve">Vir podatkov </w:t>
            </w:r>
          </w:p>
          <w:p w14:paraId="51BF9B6D" w14:textId="77777777" w:rsidR="003C3C63" w:rsidRPr="003C3C63" w:rsidRDefault="003C3C63" w:rsidP="003C3C63">
            <w:pPr>
              <w:spacing w:before="120" w:after="120" w:line="480" w:lineRule="auto"/>
              <w:rPr>
                <w:rFonts w:eastAsiaTheme="minorHAnsi" w:cs="Arial"/>
                <w:b/>
                <w:noProof/>
                <w:sz w:val="16"/>
                <w:szCs w:val="16"/>
                <w:lang w:val="en-GB"/>
              </w:rPr>
            </w:pPr>
            <w:r w:rsidRPr="003C3C63">
              <w:rPr>
                <w:rFonts w:eastAsiaTheme="minorHAnsi" w:cs="Arial"/>
                <w:b/>
                <w:noProof/>
                <w:sz w:val="16"/>
                <w:szCs w:val="16"/>
                <w:lang w:val="en-GB"/>
              </w:rPr>
              <w:t xml:space="preserve"> [200]</w:t>
            </w:r>
          </w:p>
        </w:tc>
        <w:tc>
          <w:tcPr>
            <w:tcW w:w="638" w:type="pct"/>
          </w:tcPr>
          <w:p w14:paraId="3EBA936B" w14:textId="77777777" w:rsidR="003C3C63" w:rsidRPr="003C3C63" w:rsidRDefault="003C3C63" w:rsidP="003C3C63">
            <w:pPr>
              <w:spacing w:before="120" w:after="120" w:line="480" w:lineRule="auto"/>
              <w:rPr>
                <w:rFonts w:eastAsiaTheme="minorHAnsi" w:cs="Arial"/>
                <w:b/>
                <w:noProof/>
                <w:sz w:val="16"/>
                <w:szCs w:val="16"/>
                <w:lang w:val="en-GB"/>
              </w:rPr>
            </w:pPr>
            <w:r w:rsidRPr="003C3C63">
              <w:rPr>
                <w:rFonts w:eastAsiaTheme="minorHAnsi" w:cs="Arial"/>
                <w:b/>
                <w:noProof/>
                <w:sz w:val="16"/>
                <w:szCs w:val="16"/>
                <w:lang w:val="en-GB"/>
              </w:rPr>
              <w:t>Opombe [200]</w:t>
            </w:r>
          </w:p>
        </w:tc>
      </w:tr>
      <w:tr w:rsidR="003C3C63" w:rsidRPr="003C3C63" w14:paraId="133310C3" w14:textId="77777777" w:rsidTr="003C3C63">
        <w:trPr>
          <w:trHeight w:val="434"/>
        </w:trPr>
        <w:tc>
          <w:tcPr>
            <w:tcW w:w="538" w:type="pct"/>
          </w:tcPr>
          <w:p w14:paraId="682E5432" w14:textId="77777777" w:rsidR="003C3C63" w:rsidRPr="00AC29EA" w:rsidRDefault="003C3C63" w:rsidP="003C3C63">
            <w:pPr>
              <w:spacing w:before="120" w:after="120" w:line="360" w:lineRule="auto"/>
              <w:jc w:val="both"/>
              <w:rPr>
                <w:rFonts w:eastAsiaTheme="minorHAnsi" w:cs="Arial"/>
                <w:noProof/>
                <w:sz w:val="16"/>
                <w:szCs w:val="16"/>
              </w:rPr>
            </w:pPr>
            <w:r w:rsidRPr="00AC29EA">
              <w:rPr>
                <w:rFonts w:eastAsiaTheme="minorHAnsi" w:cs="Arial"/>
                <w:b/>
                <w:noProof/>
                <w:color w:val="4BACC6" w:themeColor="accent5"/>
                <w:sz w:val="16"/>
                <w:szCs w:val="16"/>
              </w:rPr>
              <w:t>K</w:t>
            </w:r>
            <w:r w:rsidRPr="003C3C63">
              <w:rPr>
                <w:rFonts w:eastAsiaTheme="minorHAnsi" w:cs="Arial"/>
                <w:b/>
                <w:noProof/>
                <w:color w:val="4BACC6" w:themeColor="accent5"/>
                <w:sz w:val="16"/>
                <w:szCs w:val="16"/>
              </w:rPr>
              <w:t>repitev mednarodnega upravljanja oceanov ter omogočanje varnih, zaščitenih, čistih in trajnostno upravljanih morij in oceanov</w:t>
            </w:r>
          </w:p>
        </w:tc>
        <w:tc>
          <w:tcPr>
            <w:tcW w:w="588" w:type="pct"/>
          </w:tcPr>
          <w:p w14:paraId="5460EC90" w14:textId="77777777" w:rsidR="003C3C63" w:rsidRPr="00AC29EA" w:rsidRDefault="003C3C63" w:rsidP="003C3C63">
            <w:pPr>
              <w:spacing w:before="120" w:after="120" w:line="360" w:lineRule="auto"/>
              <w:rPr>
                <w:rFonts w:eastAsiaTheme="minorHAnsi" w:cs="Arial"/>
                <w:i/>
                <w:noProof/>
                <w:sz w:val="16"/>
                <w:szCs w:val="16"/>
              </w:rPr>
            </w:pPr>
            <w:r w:rsidRPr="003C3C63">
              <w:rPr>
                <w:rFonts w:eastAsiaTheme="minorHAnsi" w:cs="Arial"/>
                <w:b/>
                <w:noProof/>
                <w:sz w:val="16"/>
                <w:szCs w:val="16"/>
              </w:rPr>
              <w:t>Intervencije, ki prispevajo h krepitvi mednarodnega upravljanja oceanov ter trajnostnega upravljanja morij in oceanov prek širjenja znanja o morju ter spodbujanja pomorskega nadzora in/ali sodelovanja obalnih straž</w:t>
            </w:r>
          </w:p>
        </w:tc>
        <w:tc>
          <w:tcPr>
            <w:tcW w:w="294" w:type="pct"/>
          </w:tcPr>
          <w:p w14:paraId="25602775" w14:textId="77777777" w:rsidR="003C3C63" w:rsidRPr="003C3C63" w:rsidRDefault="003C3C63" w:rsidP="003C3C63">
            <w:pPr>
              <w:spacing w:before="120" w:after="120" w:line="360" w:lineRule="auto"/>
              <w:rPr>
                <w:rFonts w:eastAsiaTheme="minorHAnsi" w:cs="Arial"/>
                <w:i/>
                <w:noProof/>
                <w:sz w:val="16"/>
                <w:szCs w:val="16"/>
                <w:lang w:val="en-GB"/>
              </w:rPr>
            </w:pPr>
            <w:r w:rsidRPr="003C3C63">
              <w:rPr>
                <w:rFonts w:eastAsiaTheme="minorHAnsi" w:cs="Arial"/>
                <w:b/>
                <w:i/>
                <w:noProof/>
                <w:sz w:val="16"/>
                <w:szCs w:val="16"/>
              </w:rPr>
              <w:t>ESPRA</w:t>
            </w:r>
          </w:p>
        </w:tc>
        <w:tc>
          <w:tcPr>
            <w:tcW w:w="344" w:type="pct"/>
          </w:tcPr>
          <w:p w14:paraId="74D6707E" w14:textId="7090CEA9" w:rsidR="003C3C63" w:rsidRPr="008E6BB7" w:rsidRDefault="000F68C3" w:rsidP="003C3C63">
            <w:pPr>
              <w:spacing w:before="120" w:after="120" w:line="360" w:lineRule="auto"/>
              <w:rPr>
                <w:rFonts w:eastAsiaTheme="minorHAnsi" w:cs="Arial"/>
                <w:noProof/>
                <w:sz w:val="16"/>
                <w:szCs w:val="16"/>
                <w:lang w:val="en-GB"/>
              </w:rPr>
            </w:pPr>
            <w:r w:rsidRPr="008E6BB7">
              <w:rPr>
                <w:rFonts w:eastAsiaTheme="minorHAnsi" w:cs="Arial"/>
                <w:noProof/>
                <w:sz w:val="16"/>
                <w:szCs w:val="16"/>
                <w:lang w:val="en-GB"/>
              </w:rPr>
              <w:t>CR10</w:t>
            </w:r>
          </w:p>
        </w:tc>
        <w:tc>
          <w:tcPr>
            <w:tcW w:w="490" w:type="pct"/>
            <w:shd w:val="clear" w:color="auto" w:fill="auto"/>
          </w:tcPr>
          <w:p w14:paraId="6FF39458" w14:textId="77777777" w:rsidR="000F68C3" w:rsidRPr="000F68C3" w:rsidRDefault="000F68C3" w:rsidP="000F68C3">
            <w:pPr>
              <w:rPr>
                <w:rFonts w:eastAsiaTheme="minorHAnsi" w:cs="Arial"/>
                <w:noProof/>
                <w:sz w:val="16"/>
                <w:szCs w:val="16"/>
                <w:lang w:val="en-US"/>
              </w:rPr>
            </w:pPr>
            <w:r w:rsidRPr="000F68C3">
              <w:rPr>
                <w:rFonts w:eastAsiaTheme="minorHAnsi" w:cs="Arial"/>
                <w:noProof/>
                <w:sz w:val="16"/>
                <w:szCs w:val="16"/>
                <w:lang w:val="en-US"/>
              </w:rPr>
              <w:t>Aktivnosti, ki prispevajo k dobremu stanju okolja, vključno z obnovo narave, ohranjanjem, zaščito ekosistemov, biotske raznovrstnosti, zdravja in dobrega počutja rib</w:t>
            </w:r>
          </w:p>
          <w:p w14:paraId="61A68C6E" w14:textId="7E55289F" w:rsidR="003C3C63" w:rsidRPr="003C3C63" w:rsidRDefault="003C3C63" w:rsidP="003C3C63">
            <w:pPr>
              <w:spacing w:before="120" w:after="120" w:line="360" w:lineRule="auto"/>
              <w:rPr>
                <w:rFonts w:eastAsiaTheme="minorHAnsi" w:cs="Arial"/>
                <w:noProof/>
                <w:sz w:val="16"/>
                <w:szCs w:val="16"/>
                <w:lang w:val="en-US"/>
              </w:rPr>
            </w:pPr>
          </w:p>
        </w:tc>
        <w:tc>
          <w:tcPr>
            <w:tcW w:w="392" w:type="pct"/>
          </w:tcPr>
          <w:p w14:paraId="4D663F23" w14:textId="77777777" w:rsidR="003C3C63" w:rsidRPr="003C3C63" w:rsidRDefault="003C3C63" w:rsidP="003C3C63">
            <w:pPr>
              <w:spacing w:before="120" w:after="120" w:line="360" w:lineRule="auto"/>
              <w:rPr>
                <w:rFonts w:eastAsiaTheme="minorHAnsi" w:cs="Arial"/>
                <w:noProof/>
                <w:sz w:val="16"/>
                <w:szCs w:val="16"/>
                <w:lang w:val="en-GB"/>
              </w:rPr>
            </w:pPr>
            <w:r w:rsidRPr="003C3C63">
              <w:rPr>
                <w:rFonts w:eastAsiaTheme="minorHAnsi" w:cs="Arial"/>
                <w:noProof/>
                <w:sz w:val="16"/>
                <w:szCs w:val="16"/>
                <w:lang w:val="en-GB"/>
              </w:rPr>
              <w:t>Število</w:t>
            </w:r>
          </w:p>
        </w:tc>
        <w:tc>
          <w:tcPr>
            <w:tcW w:w="442" w:type="pct"/>
          </w:tcPr>
          <w:p w14:paraId="6691001F" w14:textId="77777777" w:rsidR="003C3C63" w:rsidRPr="003C3C63" w:rsidRDefault="003C3C63" w:rsidP="003C3C63">
            <w:pPr>
              <w:spacing w:before="120" w:after="120" w:line="360" w:lineRule="auto"/>
              <w:rPr>
                <w:rFonts w:eastAsiaTheme="minorHAnsi" w:cs="Arial"/>
                <w:noProof/>
                <w:sz w:val="16"/>
                <w:szCs w:val="16"/>
                <w:lang w:val="en-GB"/>
              </w:rPr>
            </w:pPr>
            <w:r w:rsidRPr="003C3C63">
              <w:rPr>
                <w:rFonts w:eastAsiaTheme="minorHAnsi" w:cs="Arial"/>
                <w:noProof/>
                <w:sz w:val="16"/>
                <w:szCs w:val="16"/>
                <w:lang w:val="en-GB"/>
              </w:rPr>
              <w:t>0</w:t>
            </w:r>
          </w:p>
        </w:tc>
        <w:tc>
          <w:tcPr>
            <w:tcW w:w="539" w:type="pct"/>
          </w:tcPr>
          <w:p w14:paraId="63BEA05E" w14:textId="77777777" w:rsidR="003C3C63" w:rsidRPr="003C3C63" w:rsidRDefault="003C3C63" w:rsidP="003C3C63">
            <w:pPr>
              <w:spacing w:before="120" w:after="120" w:line="360" w:lineRule="auto"/>
              <w:rPr>
                <w:rFonts w:eastAsiaTheme="minorHAnsi" w:cs="Arial"/>
                <w:noProof/>
                <w:sz w:val="16"/>
                <w:szCs w:val="16"/>
                <w:lang w:val="en-GB"/>
              </w:rPr>
            </w:pPr>
            <w:r w:rsidRPr="003C3C63">
              <w:rPr>
                <w:rFonts w:eastAsiaTheme="minorHAnsi" w:cs="Arial"/>
                <w:noProof/>
                <w:sz w:val="16"/>
                <w:szCs w:val="16"/>
                <w:lang w:val="en-GB"/>
              </w:rPr>
              <w:t>2020</w:t>
            </w:r>
          </w:p>
        </w:tc>
        <w:tc>
          <w:tcPr>
            <w:tcW w:w="343" w:type="pct"/>
            <w:shd w:val="clear" w:color="auto" w:fill="auto"/>
          </w:tcPr>
          <w:p w14:paraId="231B20B3" w14:textId="52BB4792" w:rsidR="003C3C63" w:rsidRPr="003C3C63" w:rsidRDefault="00456F08" w:rsidP="00456F08">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5</w:t>
            </w:r>
          </w:p>
        </w:tc>
        <w:tc>
          <w:tcPr>
            <w:tcW w:w="393" w:type="pct"/>
            <w:shd w:val="clear" w:color="auto" w:fill="auto"/>
          </w:tcPr>
          <w:p w14:paraId="62C231BE" w14:textId="48A7F6FB" w:rsidR="003C3C63" w:rsidRPr="003C3C63" w:rsidRDefault="003C3C63" w:rsidP="003C3C63">
            <w:pPr>
              <w:spacing w:before="120" w:after="120" w:line="480" w:lineRule="auto"/>
              <w:rPr>
                <w:rFonts w:eastAsiaTheme="minorHAnsi" w:cs="Arial"/>
                <w:noProof/>
                <w:sz w:val="16"/>
                <w:szCs w:val="16"/>
                <w:lang w:val="en-GB"/>
              </w:rPr>
            </w:pPr>
            <w:r w:rsidRPr="003C3C63">
              <w:rPr>
                <w:rFonts w:eastAsiaTheme="minorHAnsi" w:cs="Arial"/>
                <w:noProof/>
                <w:sz w:val="16"/>
                <w:szCs w:val="16"/>
                <w:lang w:val="en-GB"/>
              </w:rPr>
              <w:t>Načrtovanje operacij partnerjev in rezultatov delavnic z deležniki, ki sodelujejo  v okviru te prednostne naloge: Ministrstva za okolje in prostor</w:t>
            </w:r>
            <w:r>
              <w:rPr>
                <w:rFonts w:eastAsiaTheme="minorHAnsi" w:cs="Arial"/>
                <w:noProof/>
                <w:sz w:val="16"/>
                <w:szCs w:val="16"/>
                <w:lang w:val="en-GB"/>
              </w:rPr>
              <w:t>, Ministrstva za kulturo.</w:t>
            </w:r>
          </w:p>
        </w:tc>
        <w:tc>
          <w:tcPr>
            <w:tcW w:w="638" w:type="pct"/>
          </w:tcPr>
          <w:p w14:paraId="4EFB2123" w14:textId="37973037" w:rsidR="003C3C63" w:rsidRPr="003C3C63" w:rsidRDefault="003C3C63" w:rsidP="003C3C63">
            <w:pPr>
              <w:rPr>
                <w:noProof/>
                <w:sz w:val="16"/>
                <w:szCs w:val="16"/>
                <w:lang w:val="fr-FR"/>
              </w:rPr>
            </w:pPr>
            <w:r w:rsidRPr="00BB4B01">
              <w:rPr>
                <w:noProof/>
                <w:sz w:val="16"/>
                <w:szCs w:val="16"/>
                <w:lang w:val="fr-FR"/>
              </w:rPr>
              <w:t>Več v metodologiji, ki je priloga OP ESPRA 2021-2027</w:t>
            </w:r>
          </w:p>
        </w:tc>
      </w:tr>
      <w:tr w:rsidR="003C3C63" w:rsidRPr="003C3C63" w14:paraId="7F96EBE6" w14:textId="77777777" w:rsidTr="003C3C63">
        <w:trPr>
          <w:trHeight w:val="434"/>
        </w:trPr>
        <w:tc>
          <w:tcPr>
            <w:tcW w:w="538" w:type="pct"/>
          </w:tcPr>
          <w:p w14:paraId="2916C289" w14:textId="77777777" w:rsidR="003C3C63" w:rsidRPr="003C3C63" w:rsidRDefault="003C3C63" w:rsidP="003C3C63">
            <w:pPr>
              <w:spacing w:before="120" w:after="120" w:line="360" w:lineRule="auto"/>
              <w:rPr>
                <w:rFonts w:eastAsiaTheme="minorHAnsi" w:cs="Arial"/>
                <w:b/>
                <w:noProof/>
                <w:sz w:val="16"/>
                <w:szCs w:val="16"/>
                <w:lang w:val="fr-FR"/>
              </w:rPr>
            </w:pPr>
          </w:p>
        </w:tc>
        <w:tc>
          <w:tcPr>
            <w:tcW w:w="588" w:type="pct"/>
          </w:tcPr>
          <w:p w14:paraId="6931D65D" w14:textId="77777777" w:rsidR="003C3C63" w:rsidRPr="003C3C63" w:rsidRDefault="003C3C63" w:rsidP="003C3C63">
            <w:pPr>
              <w:spacing w:before="120" w:after="120" w:line="360" w:lineRule="auto"/>
              <w:rPr>
                <w:rFonts w:eastAsiaTheme="minorHAnsi" w:cs="Arial"/>
                <w:b/>
                <w:noProof/>
                <w:sz w:val="16"/>
                <w:szCs w:val="16"/>
              </w:rPr>
            </w:pPr>
          </w:p>
        </w:tc>
        <w:tc>
          <w:tcPr>
            <w:tcW w:w="294" w:type="pct"/>
          </w:tcPr>
          <w:p w14:paraId="37F98A66" w14:textId="77777777" w:rsidR="003C3C63" w:rsidRPr="003C3C63" w:rsidRDefault="003C3C63" w:rsidP="003C3C63">
            <w:pPr>
              <w:spacing w:before="120" w:after="120" w:line="360" w:lineRule="auto"/>
              <w:rPr>
                <w:rFonts w:eastAsiaTheme="minorHAnsi" w:cs="Arial"/>
                <w:b/>
                <w:i/>
                <w:noProof/>
                <w:sz w:val="16"/>
                <w:szCs w:val="16"/>
              </w:rPr>
            </w:pPr>
          </w:p>
        </w:tc>
        <w:tc>
          <w:tcPr>
            <w:tcW w:w="344" w:type="pct"/>
          </w:tcPr>
          <w:p w14:paraId="7B3F3202" w14:textId="7AEE869A" w:rsidR="003C3C63" w:rsidRPr="008E6BB7" w:rsidRDefault="000F68C3" w:rsidP="003C3C63">
            <w:pPr>
              <w:spacing w:before="120" w:after="120" w:line="360" w:lineRule="auto"/>
              <w:rPr>
                <w:rFonts w:eastAsiaTheme="minorHAnsi" w:cs="Arial"/>
                <w:noProof/>
                <w:sz w:val="16"/>
                <w:szCs w:val="16"/>
                <w:lang w:val="fr-FR"/>
              </w:rPr>
            </w:pPr>
            <w:r>
              <w:rPr>
                <w:rFonts w:eastAsiaTheme="minorHAnsi" w:cs="Arial"/>
                <w:noProof/>
                <w:sz w:val="16"/>
                <w:szCs w:val="16"/>
                <w:lang w:val="fr-FR"/>
              </w:rPr>
              <w:t>CR19</w:t>
            </w:r>
          </w:p>
        </w:tc>
        <w:tc>
          <w:tcPr>
            <w:tcW w:w="490" w:type="pct"/>
            <w:shd w:val="clear" w:color="auto" w:fill="auto"/>
          </w:tcPr>
          <w:p w14:paraId="426E7774" w14:textId="53018A3D" w:rsidR="003C3C63" w:rsidRPr="00AC29EA" w:rsidRDefault="003C3C63" w:rsidP="000F68C3">
            <w:pPr>
              <w:spacing w:before="120" w:after="120" w:line="360" w:lineRule="auto"/>
              <w:rPr>
                <w:rFonts w:eastAsiaTheme="minorHAnsi" w:cs="Arial"/>
                <w:noProof/>
                <w:sz w:val="16"/>
                <w:szCs w:val="16"/>
                <w:lang w:val="fr-FR"/>
              </w:rPr>
            </w:pPr>
            <w:r w:rsidRPr="00AC29EA">
              <w:rPr>
                <w:rFonts w:eastAsiaTheme="minorHAnsi" w:cs="Arial"/>
                <w:noProof/>
                <w:sz w:val="16"/>
                <w:szCs w:val="16"/>
                <w:lang w:val="fr-FR"/>
              </w:rPr>
              <w:t>Aktivnosti</w:t>
            </w:r>
            <w:r w:rsidR="000F68C3">
              <w:rPr>
                <w:rFonts w:eastAsiaTheme="minorHAnsi" w:cs="Arial"/>
                <w:noProof/>
                <w:sz w:val="16"/>
                <w:szCs w:val="16"/>
                <w:lang w:val="fr-FR"/>
              </w:rPr>
              <w:t xml:space="preserve"> za izboljšanje upravne zmogljivosti</w:t>
            </w:r>
          </w:p>
        </w:tc>
        <w:tc>
          <w:tcPr>
            <w:tcW w:w="392" w:type="pct"/>
          </w:tcPr>
          <w:p w14:paraId="22E97961" w14:textId="77777777" w:rsidR="003C3C63" w:rsidRPr="003C3C63" w:rsidRDefault="003C3C63" w:rsidP="003C3C63">
            <w:pPr>
              <w:spacing w:before="120" w:after="120" w:line="360" w:lineRule="auto"/>
              <w:rPr>
                <w:rFonts w:eastAsiaTheme="minorHAnsi" w:cs="Arial"/>
                <w:noProof/>
                <w:sz w:val="16"/>
                <w:szCs w:val="16"/>
                <w:lang w:val="en-GB"/>
              </w:rPr>
            </w:pPr>
            <w:r w:rsidRPr="003C3C63">
              <w:rPr>
                <w:rFonts w:eastAsiaTheme="minorHAnsi" w:cs="Arial"/>
                <w:noProof/>
                <w:sz w:val="16"/>
                <w:szCs w:val="16"/>
                <w:lang w:val="en-GB"/>
              </w:rPr>
              <w:t>Število</w:t>
            </w:r>
          </w:p>
        </w:tc>
        <w:tc>
          <w:tcPr>
            <w:tcW w:w="442" w:type="pct"/>
          </w:tcPr>
          <w:p w14:paraId="71E248B7" w14:textId="77777777" w:rsidR="003C3C63" w:rsidRPr="003C3C63" w:rsidRDefault="003C3C63" w:rsidP="003C3C63">
            <w:pPr>
              <w:spacing w:before="120" w:after="120" w:line="360" w:lineRule="auto"/>
              <w:rPr>
                <w:rFonts w:eastAsiaTheme="minorHAnsi" w:cs="Arial"/>
                <w:i/>
                <w:noProof/>
                <w:sz w:val="16"/>
                <w:szCs w:val="16"/>
                <w:lang w:val="en-GB"/>
              </w:rPr>
            </w:pPr>
            <w:r w:rsidRPr="003C3C63">
              <w:rPr>
                <w:rFonts w:eastAsiaTheme="minorHAnsi" w:cs="Arial"/>
                <w:noProof/>
                <w:sz w:val="16"/>
                <w:szCs w:val="16"/>
                <w:lang w:val="en-GB"/>
              </w:rPr>
              <w:t>0</w:t>
            </w:r>
          </w:p>
        </w:tc>
        <w:tc>
          <w:tcPr>
            <w:tcW w:w="539" w:type="pct"/>
          </w:tcPr>
          <w:p w14:paraId="110C8374" w14:textId="77777777" w:rsidR="003C3C63" w:rsidRPr="003C3C63" w:rsidRDefault="003C3C63" w:rsidP="003C3C63">
            <w:pPr>
              <w:spacing w:before="120" w:after="120" w:line="360" w:lineRule="auto"/>
              <w:rPr>
                <w:rFonts w:eastAsiaTheme="minorHAnsi" w:cs="Arial"/>
                <w:b/>
                <w:noProof/>
                <w:sz w:val="16"/>
                <w:szCs w:val="16"/>
                <w:lang w:val="en-GB"/>
              </w:rPr>
            </w:pPr>
            <w:r w:rsidRPr="003C3C63">
              <w:rPr>
                <w:rFonts w:eastAsiaTheme="minorHAnsi" w:cs="Arial"/>
                <w:noProof/>
                <w:sz w:val="16"/>
                <w:szCs w:val="16"/>
                <w:lang w:val="en-GB"/>
              </w:rPr>
              <w:t>2020</w:t>
            </w:r>
          </w:p>
        </w:tc>
        <w:tc>
          <w:tcPr>
            <w:tcW w:w="343" w:type="pct"/>
            <w:shd w:val="clear" w:color="auto" w:fill="auto"/>
          </w:tcPr>
          <w:p w14:paraId="281BAD11" w14:textId="75B597DC" w:rsidR="003C3C63" w:rsidRPr="003C3C63" w:rsidRDefault="00456F08" w:rsidP="003C3C63">
            <w:pPr>
              <w:spacing w:before="120" w:after="120" w:line="360" w:lineRule="auto"/>
              <w:jc w:val="center"/>
              <w:rPr>
                <w:rFonts w:eastAsiaTheme="minorHAnsi" w:cs="Arial"/>
                <w:noProof/>
                <w:sz w:val="16"/>
                <w:szCs w:val="16"/>
                <w:lang w:val="en-GB"/>
              </w:rPr>
            </w:pPr>
            <w:r>
              <w:rPr>
                <w:rFonts w:eastAsiaTheme="minorHAnsi" w:cs="Arial"/>
                <w:noProof/>
                <w:sz w:val="16"/>
                <w:szCs w:val="16"/>
                <w:lang w:val="en-GB"/>
              </w:rPr>
              <w:t>6</w:t>
            </w:r>
          </w:p>
        </w:tc>
        <w:tc>
          <w:tcPr>
            <w:tcW w:w="393" w:type="pct"/>
            <w:shd w:val="clear" w:color="auto" w:fill="auto"/>
          </w:tcPr>
          <w:p w14:paraId="48CB3A4B" w14:textId="77777777" w:rsidR="003C3C63" w:rsidRPr="003C3C63" w:rsidRDefault="003C3C63" w:rsidP="003C3C63">
            <w:pPr>
              <w:spacing w:before="120" w:after="120" w:line="480" w:lineRule="auto"/>
              <w:rPr>
                <w:rFonts w:eastAsiaTheme="minorHAnsi" w:cs="Arial"/>
                <w:i/>
                <w:noProof/>
                <w:sz w:val="16"/>
                <w:szCs w:val="16"/>
                <w:lang w:val="en-GB"/>
              </w:rPr>
            </w:pPr>
            <w:r w:rsidRPr="003C3C63">
              <w:rPr>
                <w:rFonts w:eastAsiaTheme="minorHAnsi" w:cs="Arial"/>
                <w:noProof/>
                <w:sz w:val="16"/>
                <w:szCs w:val="16"/>
                <w:lang w:val="en-GB"/>
              </w:rPr>
              <w:t>Načrtovanje operacij partnerjev in rezultatov delavnic z deležniki, ki sodelujejo  v okviru te prednostne naloge: Ministrstva za okolje in prostor ter Uprave za pomorstvo RS.</w:t>
            </w:r>
          </w:p>
        </w:tc>
        <w:tc>
          <w:tcPr>
            <w:tcW w:w="638" w:type="pct"/>
          </w:tcPr>
          <w:p w14:paraId="37883646" w14:textId="74E7BA10" w:rsidR="003C3C63" w:rsidRPr="003C3C63" w:rsidRDefault="003C3C63" w:rsidP="003C3C63">
            <w:pPr>
              <w:rPr>
                <w:noProof/>
                <w:sz w:val="16"/>
                <w:szCs w:val="16"/>
                <w:lang w:val="fr-FR"/>
              </w:rPr>
            </w:pPr>
            <w:r w:rsidRPr="00BB4B01">
              <w:rPr>
                <w:noProof/>
                <w:sz w:val="16"/>
                <w:szCs w:val="16"/>
                <w:lang w:val="fr-FR"/>
              </w:rPr>
              <w:t>Več v metodologiji, ki je priloga OP ESPRA 2021-2027</w:t>
            </w:r>
          </w:p>
        </w:tc>
      </w:tr>
    </w:tbl>
    <w:p w14:paraId="158BBCA8" w14:textId="7E15CCB0" w:rsidR="00141029" w:rsidRDefault="00141029">
      <w:pPr>
        <w:spacing w:after="200" w:line="276" w:lineRule="auto"/>
        <w:rPr>
          <w:rFonts w:cs="Arial"/>
          <w:szCs w:val="20"/>
        </w:rPr>
      </w:pPr>
      <w:r>
        <w:rPr>
          <w:rFonts w:cs="Arial"/>
          <w:szCs w:val="20"/>
        </w:rPr>
        <w:br w:type="page"/>
      </w:r>
    </w:p>
    <w:p w14:paraId="5D34722E" w14:textId="7FF32E5E" w:rsidR="00440D0E" w:rsidRPr="00E660BB" w:rsidRDefault="00440D0E" w:rsidP="00440D0E">
      <w:pPr>
        <w:spacing w:line="276" w:lineRule="auto"/>
        <w:rPr>
          <w:b/>
          <w:iCs/>
        </w:rPr>
      </w:pPr>
      <w:r w:rsidRPr="00E660BB">
        <w:rPr>
          <w:b/>
          <w:iCs/>
        </w:rPr>
        <w:lastRenderedPageBreak/>
        <w:t>2..1.1.</w:t>
      </w:r>
      <w:r w:rsidR="008835AD">
        <w:rPr>
          <w:b/>
          <w:iCs/>
        </w:rPr>
        <w:t>1.</w:t>
      </w:r>
      <w:r w:rsidR="00340614">
        <w:rPr>
          <w:b/>
          <w:iCs/>
        </w:rPr>
        <w:t>4</w:t>
      </w:r>
      <w:r w:rsidRPr="00E660BB">
        <w:rPr>
          <w:b/>
          <w:iCs/>
        </w:rPr>
        <w:t xml:space="preserve"> </w:t>
      </w:r>
      <w:r w:rsidR="002D35F8">
        <w:rPr>
          <w:b/>
          <w:iCs/>
        </w:rPr>
        <w:t>Okvirna</w:t>
      </w:r>
      <w:r>
        <w:rPr>
          <w:b/>
          <w:iCs/>
        </w:rPr>
        <w:t xml:space="preserve"> raz</w:t>
      </w:r>
      <w:r w:rsidR="002D35F8">
        <w:rPr>
          <w:b/>
          <w:iCs/>
        </w:rPr>
        <w:t>člen</w:t>
      </w:r>
      <w:r>
        <w:rPr>
          <w:b/>
          <w:iCs/>
        </w:rPr>
        <w:t xml:space="preserve">itev </w:t>
      </w:r>
      <w:r w:rsidR="002D35F8">
        <w:rPr>
          <w:b/>
          <w:iCs/>
        </w:rPr>
        <w:t xml:space="preserve">programskih </w:t>
      </w:r>
      <w:r>
        <w:rPr>
          <w:b/>
          <w:iCs/>
        </w:rPr>
        <w:t>sredstev (EU) po</w:t>
      </w:r>
      <w:r w:rsidR="002D35F8">
        <w:rPr>
          <w:b/>
          <w:iCs/>
        </w:rPr>
        <w:t xml:space="preserve"> vrsti ukrepa</w:t>
      </w:r>
      <w:r>
        <w:rPr>
          <w:b/>
          <w:iCs/>
        </w:rPr>
        <w:t xml:space="preserve"> za ESPRA</w:t>
      </w:r>
    </w:p>
    <w:p w14:paraId="400D3091" w14:textId="222B81A2" w:rsidR="00440D0E" w:rsidRDefault="008835AD" w:rsidP="00440D0E">
      <w:pPr>
        <w:spacing w:line="276" w:lineRule="auto"/>
        <w:rPr>
          <w:i/>
          <w:iCs/>
        </w:rPr>
      </w:pPr>
      <w:r>
        <w:rPr>
          <w:i/>
          <w:iCs/>
        </w:rPr>
        <w:t>Sklic</w:t>
      </w:r>
      <w:r w:rsidR="00440D0E" w:rsidRPr="00E660BB">
        <w:rPr>
          <w:i/>
          <w:iCs/>
        </w:rPr>
        <w:t xml:space="preserve">: </w:t>
      </w:r>
      <w:r w:rsidR="00440D0E">
        <w:rPr>
          <w:i/>
        </w:rPr>
        <w:t>Člen</w:t>
      </w:r>
      <w:r w:rsidR="00440D0E" w:rsidRPr="00E660BB">
        <w:rPr>
          <w:i/>
        </w:rPr>
        <w:t xml:space="preserve"> </w:t>
      </w:r>
      <w:r w:rsidR="00B50688">
        <w:rPr>
          <w:i/>
        </w:rPr>
        <w:t>22</w:t>
      </w:r>
      <w:r w:rsidR="00440D0E" w:rsidRPr="00E660BB">
        <w:rPr>
          <w:i/>
        </w:rPr>
        <w:t>(3)(c) CPR</w:t>
      </w:r>
    </w:p>
    <w:p w14:paraId="11E21175" w14:textId="77777777" w:rsidR="00440D0E" w:rsidRPr="00E660BB" w:rsidRDefault="00440D0E" w:rsidP="00440D0E">
      <w:pPr>
        <w:spacing w:line="276" w:lineRule="auto"/>
        <w:rPr>
          <w:i/>
          <w:iCs/>
        </w:rPr>
      </w:pPr>
    </w:p>
    <w:tbl>
      <w:tblPr>
        <w:tblW w:w="15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829"/>
        <w:gridCol w:w="5103"/>
        <w:gridCol w:w="739"/>
        <w:gridCol w:w="2946"/>
        <w:gridCol w:w="1088"/>
      </w:tblGrid>
      <w:tr w:rsidR="00440D0E" w:rsidRPr="00E660BB" w14:paraId="70BABEE1" w14:textId="77777777" w:rsidTr="00714475">
        <w:trPr>
          <w:gridAfter w:val="1"/>
          <w:wAfter w:w="1088" w:type="dxa"/>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tcPr>
          <w:p w14:paraId="550D0D0E" w14:textId="7A18DC45" w:rsidR="00440D0E" w:rsidRPr="00E660BB" w:rsidRDefault="00440D0E" w:rsidP="004B5F68">
            <w:pPr>
              <w:spacing w:line="276" w:lineRule="auto"/>
              <w:rPr>
                <w:b/>
                <w:iCs/>
              </w:rPr>
            </w:pPr>
            <w:r>
              <w:rPr>
                <w:b/>
                <w:iCs/>
              </w:rPr>
              <w:t>Tabela</w:t>
            </w:r>
            <w:r w:rsidRPr="00E660BB">
              <w:rPr>
                <w:b/>
                <w:iCs/>
              </w:rPr>
              <w:t xml:space="preserve"> </w:t>
            </w:r>
            <w:r w:rsidR="00D32C35">
              <w:rPr>
                <w:b/>
                <w:iCs/>
              </w:rPr>
              <w:t>9</w:t>
            </w:r>
          </w:p>
        </w:tc>
      </w:tr>
      <w:tr w:rsidR="00777167" w:rsidRPr="00E660BB" w14:paraId="320500C9" w14:textId="77777777" w:rsidTr="00714475">
        <w:trPr>
          <w:gridAfter w:val="1"/>
          <w:wAfter w:w="1088" w:type="dxa"/>
        </w:trPr>
        <w:tc>
          <w:tcPr>
            <w:tcW w:w="2262" w:type="dxa"/>
            <w:tcBorders>
              <w:top w:val="single" w:sz="4" w:space="0" w:color="auto"/>
              <w:left w:val="single" w:sz="4" w:space="0" w:color="auto"/>
              <w:bottom w:val="single" w:sz="4" w:space="0" w:color="auto"/>
              <w:right w:val="single" w:sz="4" w:space="0" w:color="auto"/>
            </w:tcBorders>
            <w:shd w:val="clear" w:color="auto" w:fill="auto"/>
          </w:tcPr>
          <w:p w14:paraId="4739B40D" w14:textId="5FDBDDB4" w:rsidR="00440D0E" w:rsidRPr="00E660BB" w:rsidRDefault="00440D0E" w:rsidP="004B5F68">
            <w:pPr>
              <w:spacing w:line="276" w:lineRule="auto"/>
              <w:rPr>
                <w:b/>
                <w:iCs/>
              </w:rPr>
            </w:pPr>
            <w:r>
              <w:rPr>
                <w:b/>
                <w:iCs/>
              </w:rPr>
              <w:t>Prednostna naloga Unije št.</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0BBD295F" w14:textId="46BE5CC7" w:rsidR="00440D0E" w:rsidRPr="00E660BB" w:rsidRDefault="00440D0E" w:rsidP="004B5F68">
            <w:pPr>
              <w:spacing w:line="276" w:lineRule="auto"/>
              <w:rPr>
                <w:b/>
                <w:iCs/>
              </w:rPr>
            </w:pPr>
            <w:r>
              <w:rPr>
                <w:b/>
                <w:iCs/>
              </w:rPr>
              <w:t>Specifični cilj</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E8E266" w14:textId="4421EE9C" w:rsidR="00440D0E" w:rsidRPr="00E660BB" w:rsidRDefault="0087056B" w:rsidP="004B5F68">
            <w:pPr>
              <w:spacing w:line="276" w:lineRule="auto"/>
              <w:rPr>
                <w:b/>
                <w:iCs/>
              </w:rPr>
            </w:pPr>
            <w:r>
              <w:rPr>
                <w:b/>
                <w:iCs/>
              </w:rPr>
              <w:t>Vrsta ukrepa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B42486E" w14:textId="61D23CA1" w:rsidR="00440D0E" w:rsidRPr="00E660BB" w:rsidRDefault="00440D0E" w:rsidP="004B5F68">
            <w:pPr>
              <w:spacing w:line="276" w:lineRule="auto"/>
              <w:rPr>
                <w:b/>
                <w:iCs/>
              </w:rPr>
            </w:pPr>
            <w:r>
              <w:rPr>
                <w:b/>
                <w:iCs/>
              </w:rPr>
              <w:t>Koda</w:t>
            </w:r>
            <w:r w:rsidRPr="00E660BB">
              <w:rPr>
                <w:b/>
                <w:iCs/>
              </w:rPr>
              <w:t xml:space="preserve"> </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8E19B05" w14:textId="528FBB5F" w:rsidR="00440D0E" w:rsidRPr="00E660BB" w:rsidRDefault="00440D0E" w:rsidP="00456F08">
            <w:pPr>
              <w:spacing w:line="276" w:lineRule="auto"/>
              <w:rPr>
                <w:b/>
                <w:iCs/>
              </w:rPr>
            </w:pPr>
            <w:r>
              <w:rPr>
                <w:b/>
                <w:iCs/>
              </w:rPr>
              <w:t>Znesek</w:t>
            </w:r>
            <w:r w:rsidR="007743BB">
              <w:rPr>
                <w:b/>
                <w:iCs/>
              </w:rPr>
              <w:t xml:space="preserve"> (eur)</w:t>
            </w:r>
          </w:p>
        </w:tc>
      </w:tr>
      <w:tr w:rsidR="00FE45E9" w:rsidRPr="00E660BB" w14:paraId="3D7048E6" w14:textId="77777777" w:rsidTr="00FE45E9">
        <w:trPr>
          <w:gridAfter w:val="1"/>
          <w:wAfter w:w="1088" w:type="dxa"/>
        </w:trPr>
        <w:tc>
          <w:tcPr>
            <w:tcW w:w="2262" w:type="dxa"/>
            <w:vMerge w:val="restart"/>
            <w:tcBorders>
              <w:top w:val="single" w:sz="4" w:space="0" w:color="auto"/>
              <w:left w:val="single" w:sz="4" w:space="0" w:color="auto"/>
              <w:right w:val="single" w:sz="4" w:space="0" w:color="auto"/>
            </w:tcBorders>
            <w:shd w:val="clear" w:color="auto" w:fill="auto"/>
          </w:tcPr>
          <w:p w14:paraId="6DA1C6CB" w14:textId="6CEE66BD" w:rsidR="00FE45E9" w:rsidRPr="00933BB6" w:rsidRDefault="00FE45E9" w:rsidP="00905977">
            <w:pPr>
              <w:spacing w:line="276" w:lineRule="auto"/>
              <w:rPr>
                <w:iCs/>
              </w:rPr>
            </w:pPr>
            <w:r>
              <w:rPr>
                <w:iCs/>
              </w:rPr>
              <w:t>Prednostna naloga Unije 1</w:t>
            </w:r>
          </w:p>
        </w:tc>
        <w:tc>
          <w:tcPr>
            <w:tcW w:w="3829" w:type="dxa"/>
            <w:vMerge w:val="restart"/>
            <w:tcBorders>
              <w:top w:val="single" w:sz="4" w:space="0" w:color="auto"/>
              <w:left w:val="single" w:sz="4" w:space="0" w:color="auto"/>
              <w:right w:val="single" w:sz="4" w:space="0" w:color="auto"/>
            </w:tcBorders>
            <w:shd w:val="clear" w:color="auto" w:fill="auto"/>
          </w:tcPr>
          <w:p w14:paraId="5F2AE1E1" w14:textId="77777777" w:rsidR="00FE45E9" w:rsidRDefault="00FE45E9" w:rsidP="008E6BB7">
            <w:pPr>
              <w:spacing w:line="276" w:lineRule="auto"/>
              <w:jc w:val="center"/>
              <w:rPr>
                <w:iCs/>
              </w:rPr>
            </w:pPr>
          </w:p>
          <w:p w14:paraId="725450F4" w14:textId="26CB1960" w:rsidR="00FE45E9" w:rsidDel="00461A39" w:rsidRDefault="00FE45E9" w:rsidP="00461A39">
            <w:pPr>
              <w:spacing w:line="276" w:lineRule="auto"/>
              <w:jc w:val="center"/>
              <w:rPr>
                <w:iCs/>
              </w:rPr>
            </w:pPr>
            <w:r w:rsidRPr="00221810">
              <w:rPr>
                <w:iCs/>
              </w:rPr>
              <w:t>Krepitev ekonomsko, socialno in okoljsko trajnostnih ribolovnih dejavnosti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B2A08C" w14:textId="4E902218" w:rsidR="00FE45E9" w:rsidRPr="00221810" w:rsidDel="00461A39" w:rsidRDefault="00FE45E9" w:rsidP="008E6BB7">
            <w:pPr>
              <w:spacing w:line="276" w:lineRule="auto"/>
              <w:jc w:val="both"/>
              <w:rPr>
                <w:iCs/>
              </w:rPr>
            </w:pPr>
            <w:r w:rsidRPr="00537252">
              <w:rPr>
                <w:iCs/>
              </w:rPr>
              <w:t>Konkurenčna in e</w:t>
            </w:r>
            <w:r>
              <w:rPr>
                <w:iCs/>
              </w:rPr>
              <w:t>nergetsko bolj učinkovita flota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AC5D0BD" w14:textId="67E7880D" w:rsidR="00FE45E9" w:rsidDel="00461A39" w:rsidRDefault="00FE45E9"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1E586C6" w14:textId="6F140D71" w:rsidR="00FE45E9" w:rsidDel="00461A39" w:rsidRDefault="00FE45E9" w:rsidP="00E43132">
            <w:pPr>
              <w:spacing w:line="276" w:lineRule="auto"/>
              <w:rPr>
                <w:iCs/>
              </w:rPr>
            </w:pPr>
            <w:r>
              <w:rPr>
                <w:iCs/>
              </w:rPr>
              <w:t>320.000</w:t>
            </w:r>
          </w:p>
        </w:tc>
      </w:tr>
      <w:tr w:rsidR="00FE45E9" w:rsidRPr="00E660BB" w14:paraId="27AE5744" w14:textId="77777777" w:rsidTr="00FE45E9">
        <w:trPr>
          <w:gridAfter w:val="1"/>
          <w:wAfter w:w="1088" w:type="dxa"/>
        </w:trPr>
        <w:tc>
          <w:tcPr>
            <w:tcW w:w="2262" w:type="dxa"/>
            <w:vMerge/>
            <w:tcBorders>
              <w:left w:val="single" w:sz="4" w:space="0" w:color="auto"/>
              <w:right w:val="single" w:sz="4" w:space="0" w:color="auto"/>
            </w:tcBorders>
            <w:shd w:val="clear" w:color="auto" w:fill="auto"/>
          </w:tcPr>
          <w:p w14:paraId="74542773" w14:textId="77777777" w:rsidR="00FE45E9" w:rsidRPr="00933BB6" w:rsidRDefault="00FE45E9" w:rsidP="00905977">
            <w:pPr>
              <w:spacing w:line="276" w:lineRule="auto"/>
              <w:rPr>
                <w:iCs/>
              </w:rPr>
            </w:pPr>
          </w:p>
        </w:tc>
        <w:tc>
          <w:tcPr>
            <w:tcW w:w="3829" w:type="dxa"/>
            <w:vMerge/>
            <w:tcBorders>
              <w:left w:val="single" w:sz="4" w:space="0" w:color="auto"/>
              <w:right w:val="single" w:sz="4" w:space="0" w:color="auto"/>
            </w:tcBorders>
            <w:shd w:val="clear" w:color="auto" w:fill="auto"/>
          </w:tcPr>
          <w:p w14:paraId="5B7A5ED0" w14:textId="2CD96391" w:rsidR="00FE45E9" w:rsidDel="00461A39" w:rsidRDefault="00FE45E9" w:rsidP="00461A39">
            <w:pPr>
              <w:spacing w:line="276" w:lineRule="auto"/>
              <w:jc w:val="center"/>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942B1B" w14:textId="7ED37994" w:rsidR="00FE45E9" w:rsidRPr="00537252" w:rsidRDefault="00FE45E9" w:rsidP="008E6BB7">
            <w:pPr>
              <w:jc w:val="both"/>
              <w:rPr>
                <w:iCs/>
              </w:rPr>
            </w:pPr>
            <w:r w:rsidRPr="00537252">
              <w:rPr>
                <w:iCs/>
              </w:rPr>
              <w:t>Pristanišča, ki zagotavljajo ustrezne delovne</w:t>
            </w:r>
            <w:r>
              <w:rPr>
                <w:iCs/>
              </w:rPr>
              <w:t xml:space="preserve"> in trajnostne pogoje za ribiče</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4F46609B" w14:textId="37518195" w:rsidR="00FE45E9" w:rsidDel="00461A39" w:rsidRDefault="00FE45E9"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9F5042F" w14:textId="2B253C13" w:rsidR="00FE45E9" w:rsidDel="00461A39" w:rsidRDefault="00FE45E9" w:rsidP="00E43132">
            <w:pPr>
              <w:spacing w:line="276" w:lineRule="auto"/>
              <w:rPr>
                <w:iCs/>
              </w:rPr>
            </w:pPr>
            <w:r>
              <w:rPr>
                <w:iCs/>
              </w:rPr>
              <w:t>855.000</w:t>
            </w:r>
          </w:p>
        </w:tc>
      </w:tr>
      <w:tr w:rsidR="00FE45E9" w:rsidRPr="00E660BB" w14:paraId="49E153B3" w14:textId="77777777" w:rsidTr="00FE45E9">
        <w:trPr>
          <w:gridAfter w:val="1"/>
          <w:wAfter w:w="1088" w:type="dxa"/>
        </w:trPr>
        <w:tc>
          <w:tcPr>
            <w:tcW w:w="2262" w:type="dxa"/>
            <w:vMerge/>
            <w:tcBorders>
              <w:left w:val="single" w:sz="4" w:space="0" w:color="auto"/>
              <w:right w:val="single" w:sz="4" w:space="0" w:color="auto"/>
            </w:tcBorders>
            <w:shd w:val="clear" w:color="auto" w:fill="auto"/>
          </w:tcPr>
          <w:p w14:paraId="66569D86" w14:textId="77777777" w:rsidR="00FE45E9" w:rsidRPr="00933BB6" w:rsidRDefault="00FE45E9" w:rsidP="00905977">
            <w:pPr>
              <w:spacing w:line="276" w:lineRule="auto"/>
              <w:rPr>
                <w:iCs/>
              </w:rPr>
            </w:pPr>
          </w:p>
        </w:tc>
        <w:tc>
          <w:tcPr>
            <w:tcW w:w="3829" w:type="dxa"/>
            <w:vMerge/>
            <w:tcBorders>
              <w:left w:val="single" w:sz="4" w:space="0" w:color="auto"/>
              <w:right w:val="single" w:sz="4" w:space="0" w:color="auto"/>
            </w:tcBorders>
            <w:shd w:val="clear" w:color="auto" w:fill="auto"/>
          </w:tcPr>
          <w:p w14:paraId="23E60502" w14:textId="6113BCBD" w:rsidR="00FE45E9" w:rsidDel="00461A39" w:rsidRDefault="00FE45E9" w:rsidP="00461A39">
            <w:pPr>
              <w:spacing w:line="276" w:lineRule="auto"/>
              <w:jc w:val="center"/>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5AE3B6" w14:textId="4E7E72AD" w:rsidR="00FE45E9" w:rsidRPr="00537252" w:rsidRDefault="00FE45E9" w:rsidP="00A56666">
            <w:pPr>
              <w:jc w:val="both"/>
              <w:rPr>
                <w:iCs/>
              </w:rPr>
            </w:pPr>
            <w:r w:rsidRPr="00537252">
              <w:rPr>
                <w:iCs/>
              </w:rPr>
              <w:t>Spodbujanje ohranjanja kakovosti proizvodov znotraj kra</w:t>
            </w:r>
            <w:r>
              <w:rPr>
                <w:iCs/>
              </w:rPr>
              <w:t>tkih verig za ribiške proizvode</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1BDE899F" w14:textId="60EE78E1" w:rsidR="00FE45E9" w:rsidDel="00461A39" w:rsidRDefault="00FE45E9"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3525DB2" w14:textId="7D45B4AA" w:rsidR="00FE45E9" w:rsidDel="00461A39" w:rsidRDefault="00FE45E9" w:rsidP="00E43132">
            <w:pPr>
              <w:spacing w:line="276" w:lineRule="auto"/>
              <w:rPr>
                <w:iCs/>
              </w:rPr>
            </w:pPr>
            <w:r>
              <w:rPr>
                <w:iCs/>
              </w:rPr>
              <w:t>140.000</w:t>
            </w:r>
          </w:p>
        </w:tc>
      </w:tr>
      <w:tr w:rsidR="00FE45E9" w:rsidRPr="00E660BB" w14:paraId="6BA47D72" w14:textId="77777777" w:rsidTr="00FE45E9">
        <w:trPr>
          <w:gridAfter w:val="1"/>
          <w:wAfter w:w="1088" w:type="dxa"/>
        </w:trPr>
        <w:tc>
          <w:tcPr>
            <w:tcW w:w="2262" w:type="dxa"/>
            <w:vMerge/>
            <w:tcBorders>
              <w:left w:val="single" w:sz="4" w:space="0" w:color="auto"/>
              <w:right w:val="single" w:sz="4" w:space="0" w:color="auto"/>
            </w:tcBorders>
            <w:shd w:val="clear" w:color="auto" w:fill="auto"/>
          </w:tcPr>
          <w:p w14:paraId="259D917D" w14:textId="77777777" w:rsidR="00FE45E9" w:rsidRPr="00933BB6" w:rsidRDefault="00FE45E9" w:rsidP="00905977">
            <w:pPr>
              <w:spacing w:line="276" w:lineRule="auto"/>
              <w:rPr>
                <w:iCs/>
              </w:rPr>
            </w:pPr>
          </w:p>
        </w:tc>
        <w:tc>
          <w:tcPr>
            <w:tcW w:w="3829" w:type="dxa"/>
            <w:vMerge/>
            <w:tcBorders>
              <w:left w:val="single" w:sz="4" w:space="0" w:color="auto"/>
              <w:right w:val="single" w:sz="4" w:space="0" w:color="auto"/>
            </w:tcBorders>
            <w:shd w:val="clear" w:color="auto" w:fill="auto"/>
          </w:tcPr>
          <w:p w14:paraId="28E33118" w14:textId="77777777" w:rsidR="00FE45E9" w:rsidDel="00461A39" w:rsidRDefault="00FE45E9" w:rsidP="00461A39">
            <w:pPr>
              <w:spacing w:line="276" w:lineRule="auto"/>
              <w:jc w:val="center"/>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DF208A" w14:textId="55C5A21C" w:rsidR="00FE45E9" w:rsidRPr="00537252" w:rsidRDefault="00FE45E9" w:rsidP="00A56666">
            <w:pPr>
              <w:jc w:val="both"/>
              <w:rPr>
                <w:iCs/>
              </w:rPr>
            </w:pPr>
            <w:r>
              <w:rPr>
                <w:iCs/>
              </w:rPr>
              <w:t>Blažitev podnebnih sprememb in krepitev ekonomske trajnosti sektorja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40F0182A" w14:textId="68F29912" w:rsidR="00FE45E9" w:rsidRDefault="00FE45E9" w:rsidP="00905977">
            <w:pPr>
              <w:spacing w:line="276" w:lineRule="auto"/>
              <w:rPr>
                <w:iCs/>
              </w:rPr>
            </w:pPr>
            <w:r>
              <w:rPr>
                <w:iCs/>
              </w:rPr>
              <w:t>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5E58B71" w14:textId="3642331C" w:rsidR="00FE45E9" w:rsidRDefault="00FE45E9" w:rsidP="00E43132">
            <w:pPr>
              <w:spacing w:line="276" w:lineRule="auto"/>
              <w:rPr>
                <w:iCs/>
              </w:rPr>
            </w:pPr>
            <w:r>
              <w:rPr>
                <w:iCs/>
              </w:rPr>
              <w:t>210.000</w:t>
            </w:r>
          </w:p>
          <w:p w14:paraId="55DBC86A" w14:textId="1E1CE763" w:rsidR="00FE45E9" w:rsidRPr="00DB1E3F" w:rsidDel="00E43132" w:rsidRDefault="00FE45E9" w:rsidP="00E43132">
            <w:pPr>
              <w:spacing w:line="276" w:lineRule="auto"/>
              <w:rPr>
                <w:iCs/>
              </w:rPr>
            </w:pPr>
          </w:p>
        </w:tc>
      </w:tr>
      <w:tr w:rsidR="00777167" w:rsidRPr="00E660BB" w14:paraId="0C34F6F4"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4853C662" w14:textId="77777777" w:rsidR="00A56666" w:rsidRPr="00933BB6" w:rsidRDefault="00A56666" w:rsidP="00905977">
            <w:pPr>
              <w:spacing w:line="276" w:lineRule="auto"/>
              <w:rPr>
                <w:iCs/>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50EE696E" w14:textId="7630C767" w:rsidR="00A56666" w:rsidRPr="00221810" w:rsidRDefault="00A56666" w:rsidP="00905977">
            <w:pPr>
              <w:spacing w:line="276" w:lineRule="auto"/>
              <w:rPr>
                <w:iCs/>
              </w:rPr>
            </w:pPr>
            <w:r w:rsidRPr="00A7302F">
              <w:rPr>
                <w:iCs/>
              </w:rPr>
              <w:t>Povečanje energetske učinkovitosti in zmanjšanje misij C02 z zamenjavo ali posodobitvijo motorjev ribiških plovil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F73E8" w14:textId="485EBF1E" w:rsidR="00A56666" w:rsidRDefault="00A56666" w:rsidP="00905977">
            <w:pPr>
              <w:spacing w:line="276" w:lineRule="auto"/>
              <w:rPr>
                <w:iCs/>
              </w:rPr>
            </w:pPr>
            <w:r w:rsidRPr="00537252">
              <w:rPr>
                <w:iCs/>
              </w:rPr>
              <w:t>Zamenjava ali posodobitev glavnega ali pomožnega motorja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341E680B" w14:textId="4968832B" w:rsidR="00A56666" w:rsidDel="00461A39" w:rsidRDefault="00A56666" w:rsidP="00905977">
            <w:pPr>
              <w:spacing w:line="276" w:lineRule="auto"/>
              <w:rPr>
                <w:iCs/>
              </w:rPr>
            </w:pPr>
            <w:r>
              <w:rPr>
                <w:iCs/>
              </w:rPr>
              <w:t>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0D8A42E5" w14:textId="48212806" w:rsidR="00A56666" w:rsidRPr="00905977" w:rsidDel="00461A39" w:rsidRDefault="00C740DE" w:rsidP="00905977">
            <w:r>
              <w:t>75.000</w:t>
            </w:r>
          </w:p>
        </w:tc>
      </w:tr>
      <w:tr w:rsidR="00777167" w:rsidRPr="00E660BB" w14:paraId="44E842DD"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0D8DCEA4" w14:textId="77777777" w:rsidR="00A56666" w:rsidRPr="00933BB6" w:rsidRDefault="00A56666" w:rsidP="00905977">
            <w:pPr>
              <w:spacing w:line="276" w:lineRule="auto"/>
              <w:rPr>
                <w:iCs/>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143D2826" w14:textId="4842B30E" w:rsidR="00A56666" w:rsidRPr="00440D0E" w:rsidRDefault="00A56666" w:rsidP="00905977">
            <w:pPr>
              <w:spacing w:line="276" w:lineRule="auto"/>
              <w:rPr>
                <w:iCs/>
              </w:rPr>
            </w:pPr>
            <w:r w:rsidRPr="00221810">
              <w:rPr>
                <w:iCs/>
              </w:rPr>
              <w:t>Spodbujanje prilagajanja ribolovnih zmogljivosti ribolovnim možnostim v primerih trajnega prenehanje ribolovnih dejavnosti in prispevanje k primernemu življenjskemu standardu v primerih začasnega prenehanja ribolovnih dejavnosti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4B6C53" w14:textId="68DB200C" w:rsidR="00A56666" w:rsidRDefault="00A56666" w:rsidP="00905977">
            <w:r w:rsidRPr="00537252">
              <w:t>Začasno prenehanje ribolovnih dejavnosti</w:t>
            </w:r>
          </w:p>
          <w:p w14:paraId="403D0D08" w14:textId="64CBBD9F" w:rsidR="00A56666" w:rsidRPr="00905977" w:rsidRDefault="00A56666" w:rsidP="00905977">
            <w:pPr>
              <w:jc w:val="cente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E2426D6" w14:textId="77366CA0" w:rsidR="00A56666" w:rsidRPr="00440D0E" w:rsidRDefault="00A56666" w:rsidP="00905977">
            <w:pPr>
              <w:spacing w:line="276" w:lineRule="auto"/>
              <w:rPr>
                <w:iCs/>
              </w:rPr>
            </w:pPr>
            <w:r>
              <w:rPr>
                <w:iCs/>
              </w:rPr>
              <w:t>4</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B5BB880" w14:textId="0052D7BF" w:rsidR="00A56666" w:rsidRPr="00905977" w:rsidRDefault="00C740DE" w:rsidP="00905977">
            <w:r>
              <w:t>500.000</w:t>
            </w:r>
          </w:p>
        </w:tc>
      </w:tr>
      <w:tr w:rsidR="00777167" w:rsidRPr="00E660BB" w14:paraId="26A8B65F"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38D0A914" w14:textId="77777777" w:rsidR="00A56666" w:rsidRPr="00933BB6" w:rsidRDefault="00A56666" w:rsidP="00905977">
            <w:pPr>
              <w:spacing w:line="276" w:lineRule="auto"/>
              <w:rPr>
                <w:iCs/>
              </w:rPr>
            </w:pPr>
          </w:p>
        </w:tc>
        <w:tc>
          <w:tcPr>
            <w:tcW w:w="3829" w:type="dxa"/>
            <w:vMerge w:val="restart"/>
            <w:tcBorders>
              <w:top w:val="single" w:sz="4" w:space="0" w:color="auto"/>
              <w:left w:val="single" w:sz="4" w:space="0" w:color="auto"/>
              <w:right w:val="single" w:sz="4" w:space="0" w:color="auto"/>
            </w:tcBorders>
            <w:shd w:val="clear" w:color="auto" w:fill="auto"/>
          </w:tcPr>
          <w:p w14:paraId="37F33005" w14:textId="1D45847E" w:rsidR="00A56666" w:rsidRPr="00221810" w:rsidRDefault="00A56666" w:rsidP="00905977">
            <w:pPr>
              <w:spacing w:line="276" w:lineRule="auto"/>
              <w:rPr>
                <w:iCs/>
              </w:rPr>
            </w:pPr>
            <w:r w:rsidRPr="00221810">
              <w:rPr>
                <w:iCs/>
              </w:rPr>
              <w:t>Spodbujanje učinkovitega nadzora ribištva in izvrševanja zakonodaje ter pridobivanja zanesljivih podatkov za odloč</w:t>
            </w:r>
            <w:r>
              <w:rPr>
                <w:iCs/>
              </w:rPr>
              <w:t>anje, ki bo temeljilo na znanju</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85FBCC" w14:textId="5131D9A4" w:rsidR="00A56666" w:rsidRPr="00440D0E" w:rsidRDefault="00A56666" w:rsidP="00905977">
            <w:pPr>
              <w:spacing w:line="276" w:lineRule="auto"/>
              <w:rPr>
                <w:iCs/>
              </w:rPr>
            </w:pPr>
            <w:r>
              <w:rPr>
                <w:iCs/>
              </w:rPr>
              <w:t>Zbiranje podatkov</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3A197BA1" w14:textId="0077584D" w:rsidR="00A56666" w:rsidRPr="00440D0E" w:rsidRDefault="00A56666" w:rsidP="00905977">
            <w:pPr>
              <w:spacing w:line="276" w:lineRule="auto"/>
              <w:rPr>
                <w:iCs/>
              </w:rPr>
            </w:pPr>
            <w:r>
              <w:rPr>
                <w:iCs/>
              </w:rPr>
              <w:t>11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7EA8A401" w14:textId="21C0DC60" w:rsidR="00A56666" w:rsidRPr="00440D0E" w:rsidRDefault="00C740DE" w:rsidP="00905977">
            <w:pPr>
              <w:spacing w:line="276" w:lineRule="auto"/>
              <w:rPr>
                <w:iCs/>
              </w:rPr>
            </w:pPr>
            <w:r>
              <w:rPr>
                <w:iCs/>
              </w:rPr>
              <w:t>2.000.000</w:t>
            </w:r>
          </w:p>
        </w:tc>
      </w:tr>
      <w:tr w:rsidR="00777167" w:rsidRPr="00E660BB" w14:paraId="166B117E"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78859EC4" w14:textId="77777777" w:rsidR="00A56666" w:rsidRPr="00933BB6" w:rsidRDefault="00A56666" w:rsidP="00905977">
            <w:pPr>
              <w:spacing w:line="276" w:lineRule="auto"/>
              <w:rPr>
                <w:iCs/>
              </w:rPr>
            </w:pPr>
          </w:p>
        </w:tc>
        <w:tc>
          <w:tcPr>
            <w:tcW w:w="3829" w:type="dxa"/>
            <w:vMerge/>
            <w:tcBorders>
              <w:left w:val="single" w:sz="4" w:space="0" w:color="auto"/>
              <w:bottom w:val="single" w:sz="4" w:space="0" w:color="auto"/>
              <w:right w:val="single" w:sz="4" w:space="0" w:color="auto"/>
            </w:tcBorders>
            <w:shd w:val="clear" w:color="auto" w:fill="auto"/>
          </w:tcPr>
          <w:p w14:paraId="3928B06D" w14:textId="3FC5AB32" w:rsidR="00A56666" w:rsidRPr="00440D0E" w:rsidRDefault="00A56666"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051CBD" w14:textId="2CA679F6" w:rsidR="00A56666" w:rsidRPr="00440D0E" w:rsidRDefault="00A56666" w:rsidP="00905977">
            <w:pPr>
              <w:spacing w:line="276" w:lineRule="auto"/>
              <w:rPr>
                <w:iCs/>
              </w:rPr>
            </w:pPr>
            <w:r>
              <w:rPr>
                <w:iCs/>
              </w:rPr>
              <w:t>Nadzor in izvrševanje</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42C6205" w14:textId="09A1A684" w:rsidR="00A56666" w:rsidRPr="00440D0E" w:rsidRDefault="00A56666" w:rsidP="00905977">
            <w:pPr>
              <w:spacing w:line="276" w:lineRule="auto"/>
              <w:rPr>
                <w:iCs/>
              </w:rPr>
            </w:pPr>
            <w:r>
              <w:rPr>
                <w:iCs/>
              </w:rPr>
              <w:t>10</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5B907C0" w14:textId="0307D19A" w:rsidR="00A56666" w:rsidRPr="00440D0E" w:rsidRDefault="00C740DE" w:rsidP="00905977">
            <w:pPr>
              <w:spacing w:line="276" w:lineRule="auto"/>
              <w:rPr>
                <w:iCs/>
              </w:rPr>
            </w:pPr>
            <w:r>
              <w:rPr>
                <w:iCs/>
              </w:rPr>
              <w:t>2.414.000</w:t>
            </w:r>
          </w:p>
        </w:tc>
      </w:tr>
      <w:tr w:rsidR="00777167" w:rsidRPr="00E660BB" w14:paraId="1BB302FB"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6DD2CBE2" w14:textId="77777777" w:rsidR="00A56666" w:rsidRPr="00933BB6" w:rsidRDefault="00A56666" w:rsidP="00905977">
            <w:pPr>
              <w:spacing w:line="276" w:lineRule="auto"/>
              <w:rPr>
                <w:iCs/>
              </w:rPr>
            </w:pPr>
          </w:p>
        </w:tc>
        <w:tc>
          <w:tcPr>
            <w:tcW w:w="3829" w:type="dxa"/>
            <w:vMerge w:val="restart"/>
            <w:tcBorders>
              <w:top w:val="single" w:sz="4" w:space="0" w:color="auto"/>
              <w:left w:val="single" w:sz="4" w:space="0" w:color="auto"/>
              <w:right w:val="single" w:sz="4" w:space="0" w:color="auto"/>
            </w:tcBorders>
            <w:shd w:val="clear" w:color="auto" w:fill="auto"/>
          </w:tcPr>
          <w:p w14:paraId="0B674C90" w14:textId="77777777" w:rsidR="00A56666" w:rsidRDefault="00A56666" w:rsidP="00905977">
            <w:pPr>
              <w:rPr>
                <w:iCs/>
              </w:rPr>
            </w:pPr>
            <w:r w:rsidRPr="00221810">
              <w:rPr>
                <w:iCs/>
              </w:rPr>
              <w:t xml:space="preserve">Prispevanje k varstvu in </w:t>
            </w:r>
          </w:p>
          <w:p w14:paraId="4AE489AC" w14:textId="1BE06AA0" w:rsidR="00A56666" w:rsidRPr="00221810" w:rsidRDefault="00A56666" w:rsidP="00905977">
            <w:pPr>
              <w:rPr>
                <w:iCs/>
              </w:rPr>
            </w:pPr>
            <w:r w:rsidRPr="00221810">
              <w:rPr>
                <w:iCs/>
              </w:rPr>
              <w:t>obnavljanju vodne biotske raznovrstnosti in ekos</w:t>
            </w:r>
            <w:r>
              <w:rPr>
                <w:iCs/>
              </w:rPr>
              <w:t>istemov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26CF7" w14:textId="45E6313A" w:rsidR="00A56666" w:rsidRPr="00440D0E" w:rsidRDefault="00A56666" w:rsidP="008E6BB7">
            <w:pPr>
              <w:rPr>
                <w:iCs/>
              </w:rPr>
            </w:pPr>
            <w:r w:rsidRPr="00512374">
              <w:rPr>
                <w:iCs/>
              </w:rPr>
              <w:t>Varovanje in obnavljanje vodne i</w:t>
            </w:r>
            <w:r>
              <w:rPr>
                <w:iCs/>
              </w:rPr>
              <w:t>n morske biotske raznovrstnosti</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729B25A1" w14:textId="2AFB48ED" w:rsidR="00A56666" w:rsidRPr="00440D0E" w:rsidRDefault="00A56666" w:rsidP="00905977">
            <w:pPr>
              <w:spacing w:line="276" w:lineRule="auto"/>
              <w:rPr>
                <w:iCs/>
              </w:rPr>
            </w:pPr>
            <w:r>
              <w:rPr>
                <w:iCs/>
              </w:rPr>
              <w:t>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4FF92E4" w14:textId="5B8C6B1D" w:rsidR="00A56666" w:rsidRPr="00440D0E" w:rsidRDefault="00C740DE" w:rsidP="00905977">
            <w:pPr>
              <w:spacing w:line="276" w:lineRule="auto"/>
              <w:rPr>
                <w:iCs/>
              </w:rPr>
            </w:pPr>
            <w:r>
              <w:rPr>
                <w:iCs/>
              </w:rPr>
              <w:t>1.099.000,00</w:t>
            </w:r>
          </w:p>
        </w:tc>
      </w:tr>
      <w:tr w:rsidR="00777167" w:rsidRPr="00E660BB" w14:paraId="28F343E2" w14:textId="77777777" w:rsidTr="00714475">
        <w:trPr>
          <w:gridAfter w:val="1"/>
          <w:wAfter w:w="1088" w:type="dxa"/>
        </w:trPr>
        <w:tc>
          <w:tcPr>
            <w:tcW w:w="2262" w:type="dxa"/>
            <w:vMerge/>
            <w:tcBorders>
              <w:left w:val="single" w:sz="4" w:space="0" w:color="auto"/>
              <w:bottom w:val="single" w:sz="4" w:space="0" w:color="auto"/>
              <w:right w:val="single" w:sz="4" w:space="0" w:color="auto"/>
            </w:tcBorders>
            <w:shd w:val="clear" w:color="auto" w:fill="auto"/>
          </w:tcPr>
          <w:p w14:paraId="28662D65" w14:textId="77777777" w:rsidR="00A56666" w:rsidRPr="00933BB6" w:rsidRDefault="00A56666" w:rsidP="00905977">
            <w:pPr>
              <w:spacing w:line="276" w:lineRule="auto"/>
              <w:rPr>
                <w:iCs/>
              </w:rPr>
            </w:pPr>
          </w:p>
        </w:tc>
        <w:tc>
          <w:tcPr>
            <w:tcW w:w="3829" w:type="dxa"/>
            <w:vMerge/>
            <w:tcBorders>
              <w:left w:val="single" w:sz="4" w:space="0" w:color="auto"/>
              <w:bottom w:val="single" w:sz="4" w:space="0" w:color="auto"/>
              <w:right w:val="single" w:sz="4" w:space="0" w:color="auto"/>
            </w:tcBorders>
            <w:shd w:val="clear" w:color="auto" w:fill="auto"/>
          </w:tcPr>
          <w:p w14:paraId="72E8475E" w14:textId="1EE2358E" w:rsidR="00A56666" w:rsidRPr="00440D0E" w:rsidRDefault="00A56666" w:rsidP="00905977">
            <w:pPr>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06CC85" w14:textId="57305299" w:rsidR="00A56666" w:rsidRPr="00440D0E" w:rsidRDefault="00A56666" w:rsidP="008E6BB7">
            <w:pPr>
              <w:rPr>
                <w:iCs/>
              </w:rPr>
            </w:pPr>
            <w:r w:rsidRPr="00512374">
              <w:rPr>
                <w:iCs/>
              </w:rPr>
              <w:t>Upravljanje z območji NATURA 2000 in zavarovanimi območji ter izvajanj</w:t>
            </w:r>
            <w:r>
              <w:rPr>
                <w:iCs/>
              </w:rPr>
              <w:t>e prednostnega okvira ukrepanja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23E0EF66" w14:textId="73DD911E" w:rsidR="00A56666" w:rsidRPr="00440D0E" w:rsidRDefault="00A56666" w:rsidP="00905977">
            <w:pPr>
              <w:spacing w:line="276" w:lineRule="auto"/>
              <w:rPr>
                <w:iCs/>
              </w:rPr>
            </w:pPr>
            <w:r>
              <w:rPr>
                <w:iCs/>
              </w:rPr>
              <w:t>6</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FCEFE1B" w14:textId="0B47A998" w:rsidR="00A56666" w:rsidRPr="00DB1E3F" w:rsidRDefault="00C740DE" w:rsidP="00DB1E3F">
            <w:pPr>
              <w:spacing w:line="276" w:lineRule="auto"/>
              <w:rPr>
                <w:iCs/>
              </w:rPr>
            </w:pPr>
            <w:r>
              <w:rPr>
                <w:iCs/>
              </w:rPr>
              <w:t>180.000,00</w:t>
            </w:r>
          </w:p>
          <w:p w14:paraId="074CD0CF" w14:textId="16152E6D" w:rsidR="00A56666" w:rsidRPr="00440D0E" w:rsidRDefault="00A56666" w:rsidP="00905977">
            <w:pPr>
              <w:spacing w:line="276" w:lineRule="auto"/>
              <w:rPr>
                <w:iCs/>
              </w:rPr>
            </w:pPr>
          </w:p>
        </w:tc>
      </w:tr>
      <w:tr w:rsidR="00777167" w:rsidRPr="00E660BB" w14:paraId="55871D72" w14:textId="77777777" w:rsidTr="00714475">
        <w:trPr>
          <w:gridAfter w:val="1"/>
          <w:wAfter w:w="1088" w:type="dxa"/>
        </w:trPr>
        <w:tc>
          <w:tcPr>
            <w:tcW w:w="2262" w:type="dxa"/>
            <w:vMerge w:val="restart"/>
            <w:tcBorders>
              <w:top w:val="single" w:sz="4" w:space="0" w:color="auto"/>
              <w:left w:val="single" w:sz="4" w:space="0" w:color="auto"/>
              <w:right w:val="single" w:sz="4" w:space="0" w:color="auto"/>
            </w:tcBorders>
            <w:shd w:val="clear" w:color="auto" w:fill="auto"/>
          </w:tcPr>
          <w:p w14:paraId="5A323000" w14:textId="1796A5AA" w:rsidR="00512374" w:rsidRPr="00440D0E" w:rsidRDefault="00C740DE" w:rsidP="00905977">
            <w:pPr>
              <w:spacing w:line="276" w:lineRule="auto"/>
              <w:rPr>
                <w:iCs/>
              </w:rPr>
            </w:pPr>
            <w:r>
              <w:rPr>
                <w:iCs/>
              </w:rPr>
              <w:lastRenderedPageBreak/>
              <w:t>Prednostna naloga Unije 2</w:t>
            </w:r>
          </w:p>
        </w:tc>
        <w:tc>
          <w:tcPr>
            <w:tcW w:w="3829" w:type="dxa"/>
            <w:vMerge w:val="restart"/>
            <w:tcBorders>
              <w:top w:val="single" w:sz="4" w:space="0" w:color="auto"/>
              <w:left w:val="single" w:sz="4" w:space="0" w:color="auto"/>
              <w:right w:val="single" w:sz="4" w:space="0" w:color="auto"/>
            </w:tcBorders>
            <w:shd w:val="clear" w:color="auto" w:fill="auto"/>
          </w:tcPr>
          <w:p w14:paraId="52686004" w14:textId="00AE7AC6" w:rsidR="00512374" w:rsidRPr="00440D0E" w:rsidRDefault="00512374" w:rsidP="00905977">
            <w:pPr>
              <w:spacing w:line="276" w:lineRule="auto"/>
              <w:rPr>
                <w:iCs/>
              </w:rPr>
            </w:pPr>
            <w:r w:rsidRPr="00A7302F">
              <w:rPr>
                <w:iCs/>
              </w:rPr>
              <w:t>Spodbujanje trajnostnih dejavnosti akvakulture in zlasti povečevanje konkurenčnosti akvakulturne proizvodnje, pri čemer se hkrati zagotavlja, da so dejavnosti akvakulture dolgoročno okoljsko trajnostne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386880" w14:textId="218B4164" w:rsidR="00512374" w:rsidRPr="00440D0E" w:rsidRDefault="00512374" w:rsidP="00905977">
            <w:pPr>
              <w:spacing w:line="276" w:lineRule="auto"/>
              <w:rPr>
                <w:iCs/>
              </w:rPr>
            </w:pPr>
            <w:r w:rsidRPr="00512374">
              <w:rPr>
                <w:iCs/>
              </w:rPr>
              <w:t>Konkur</w:t>
            </w:r>
            <w:r>
              <w:rPr>
                <w:iCs/>
              </w:rPr>
              <w:t>enčna in trajnostna akvakultura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540DB151" w14:textId="76584DED" w:rsidR="00512374" w:rsidRPr="00440D0E" w:rsidRDefault="00374B70"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C5860D2" w14:textId="7ABAB577" w:rsidR="00512374" w:rsidRPr="00440D0E" w:rsidRDefault="00C740DE" w:rsidP="00905977">
            <w:pPr>
              <w:spacing w:line="276" w:lineRule="auto"/>
              <w:rPr>
                <w:iCs/>
              </w:rPr>
            </w:pPr>
            <w:r>
              <w:rPr>
                <w:iCs/>
              </w:rPr>
              <w:t>3.075.000,00</w:t>
            </w:r>
          </w:p>
        </w:tc>
      </w:tr>
      <w:tr w:rsidR="00777167" w:rsidRPr="00E660BB" w14:paraId="2D93298A"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455E1659" w14:textId="77777777" w:rsidR="00512374" w:rsidRPr="00933BB6" w:rsidRDefault="00512374" w:rsidP="00905977">
            <w:pPr>
              <w:spacing w:line="276" w:lineRule="auto"/>
              <w:rPr>
                <w:iCs/>
              </w:rPr>
            </w:pPr>
          </w:p>
        </w:tc>
        <w:tc>
          <w:tcPr>
            <w:tcW w:w="3829" w:type="dxa"/>
            <w:vMerge/>
            <w:tcBorders>
              <w:left w:val="single" w:sz="4" w:space="0" w:color="auto"/>
              <w:right w:val="single" w:sz="4" w:space="0" w:color="auto"/>
            </w:tcBorders>
            <w:shd w:val="clear" w:color="auto" w:fill="auto"/>
          </w:tcPr>
          <w:p w14:paraId="458C1C7D" w14:textId="3882BC98" w:rsidR="00512374" w:rsidRPr="00440D0E" w:rsidRDefault="00512374"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2DBE2E" w14:textId="492D3E89" w:rsidR="00512374" w:rsidRPr="00440D0E" w:rsidRDefault="00512374" w:rsidP="00905977">
            <w:pPr>
              <w:spacing w:line="276" w:lineRule="auto"/>
              <w:rPr>
                <w:iCs/>
              </w:rPr>
            </w:pPr>
            <w:r w:rsidRPr="00512374">
              <w:rPr>
                <w:iCs/>
              </w:rPr>
              <w:t>A</w:t>
            </w:r>
            <w:r>
              <w:rPr>
                <w:iCs/>
              </w:rPr>
              <w:t>kvakultura, ki ohranja habitate</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14E5AB3A" w14:textId="67C4ED4D" w:rsidR="00512374" w:rsidRPr="00440D0E" w:rsidRDefault="00374B70" w:rsidP="00905977">
            <w:pPr>
              <w:spacing w:line="276" w:lineRule="auto"/>
              <w:rPr>
                <w:iCs/>
              </w:rPr>
            </w:pPr>
            <w:r>
              <w:rPr>
                <w:iCs/>
              </w:rPr>
              <w:t>7</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9E6929B" w14:textId="67D095FB" w:rsidR="00512374" w:rsidRPr="00440D0E" w:rsidRDefault="00C740DE" w:rsidP="00905977">
            <w:pPr>
              <w:spacing w:line="276" w:lineRule="auto"/>
              <w:rPr>
                <w:iCs/>
              </w:rPr>
            </w:pPr>
            <w:r>
              <w:rPr>
                <w:iCs/>
              </w:rPr>
              <w:t>340.000.00</w:t>
            </w:r>
          </w:p>
        </w:tc>
      </w:tr>
      <w:tr w:rsidR="00777167" w:rsidRPr="00E660BB" w14:paraId="1C905CED"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730F0AA6" w14:textId="77777777" w:rsidR="00512374" w:rsidRPr="00933BB6" w:rsidRDefault="00512374" w:rsidP="00905977">
            <w:pPr>
              <w:spacing w:line="276" w:lineRule="auto"/>
              <w:rPr>
                <w:iCs/>
              </w:rPr>
            </w:pPr>
          </w:p>
        </w:tc>
        <w:tc>
          <w:tcPr>
            <w:tcW w:w="3829" w:type="dxa"/>
            <w:vMerge/>
            <w:tcBorders>
              <w:left w:val="single" w:sz="4" w:space="0" w:color="auto"/>
              <w:right w:val="single" w:sz="4" w:space="0" w:color="auto"/>
            </w:tcBorders>
            <w:shd w:val="clear" w:color="auto" w:fill="auto"/>
          </w:tcPr>
          <w:p w14:paraId="23187A6B" w14:textId="77777777" w:rsidR="00512374" w:rsidRPr="00440D0E" w:rsidRDefault="00512374"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1D14F0" w14:textId="44B8020C" w:rsidR="00512374" w:rsidRPr="00440D0E" w:rsidRDefault="00512374" w:rsidP="00905977">
            <w:pPr>
              <w:spacing w:line="276" w:lineRule="auto"/>
              <w:rPr>
                <w:iCs/>
              </w:rPr>
            </w:pPr>
            <w:r w:rsidRPr="00512374">
              <w:rPr>
                <w:iCs/>
              </w:rPr>
              <w:t xml:space="preserve">Akvakultura, ki </w:t>
            </w:r>
            <w:r>
              <w:rPr>
                <w:iCs/>
              </w:rPr>
              <w:t>temelji na znanju, in raziskave</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5FB9329F" w14:textId="6233710E" w:rsidR="00512374" w:rsidRPr="00440D0E" w:rsidRDefault="00374B70"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ED7EC48" w14:textId="4816B2D9" w:rsidR="00512374" w:rsidRPr="00440D0E" w:rsidRDefault="00C740DE" w:rsidP="00905977">
            <w:pPr>
              <w:spacing w:line="276" w:lineRule="auto"/>
              <w:rPr>
                <w:iCs/>
              </w:rPr>
            </w:pPr>
            <w:r>
              <w:rPr>
                <w:iCs/>
              </w:rPr>
              <w:t>630.000,00</w:t>
            </w:r>
          </w:p>
        </w:tc>
      </w:tr>
      <w:tr w:rsidR="00777167" w:rsidRPr="00E660BB" w14:paraId="05C9CD93"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27FD728F" w14:textId="77777777" w:rsidR="00512374" w:rsidRPr="00933BB6" w:rsidRDefault="00512374" w:rsidP="00905977">
            <w:pPr>
              <w:spacing w:line="276" w:lineRule="auto"/>
              <w:rPr>
                <w:iCs/>
              </w:rPr>
            </w:pPr>
          </w:p>
        </w:tc>
        <w:tc>
          <w:tcPr>
            <w:tcW w:w="3829" w:type="dxa"/>
            <w:vMerge/>
            <w:tcBorders>
              <w:left w:val="single" w:sz="4" w:space="0" w:color="auto"/>
              <w:bottom w:val="single" w:sz="4" w:space="0" w:color="auto"/>
              <w:right w:val="single" w:sz="4" w:space="0" w:color="auto"/>
            </w:tcBorders>
            <w:shd w:val="clear" w:color="auto" w:fill="auto"/>
          </w:tcPr>
          <w:p w14:paraId="412097CA" w14:textId="77777777" w:rsidR="00512374" w:rsidRPr="00440D0E" w:rsidRDefault="00512374"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6BF0EF" w14:textId="7BD4F98B" w:rsidR="00512374" w:rsidRPr="00512374" w:rsidRDefault="00512374" w:rsidP="00512374">
            <w:pPr>
              <w:spacing w:line="276" w:lineRule="auto"/>
              <w:rPr>
                <w:iCs/>
              </w:rPr>
            </w:pPr>
            <w:r>
              <w:rPr>
                <w:iCs/>
              </w:rPr>
              <w:t>Inovacije v akvakulturi</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3A06BE6A" w14:textId="212926F3" w:rsidR="00512374" w:rsidDel="00461A39" w:rsidRDefault="00374B70" w:rsidP="00905977">
            <w:pPr>
              <w:spacing w:line="276" w:lineRule="auto"/>
              <w:rPr>
                <w:iCs/>
              </w:rPr>
            </w:pPr>
            <w:r>
              <w:rPr>
                <w:iCs/>
              </w:rPr>
              <w:t>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FC3CE30" w14:textId="170D0C4F" w:rsidR="00512374" w:rsidDel="00461A39" w:rsidRDefault="00C740DE" w:rsidP="00905977">
            <w:pPr>
              <w:spacing w:line="276" w:lineRule="auto"/>
              <w:rPr>
                <w:iCs/>
              </w:rPr>
            </w:pPr>
            <w:r>
              <w:rPr>
                <w:iCs/>
              </w:rPr>
              <w:t>300.000,00</w:t>
            </w:r>
          </w:p>
        </w:tc>
      </w:tr>
      <w:tr w:rsidR="00777167" w:rsidRPr="00E660BB" w14:paraId="2DD70208"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7DC91E21" w14:textId="77777777" w:rsidR="00512374" w:rsidRPr="00933BB6" w:rsidRDefault="00512374" w:rsidP="00905977">
            <w:pPr>
              <w:spacing w:line="276" w:lineRule="auto"/>
              <w:rPr>
                <w:iCs/>
              </w:rPr>
            </w:pPr>
          </w:p>
        </w:tc>
        <w:tc>
          <w:tcPr>
            <w:tcW w:w="3829" w:type="dxa"/>
            <w:vMerge w:val="restart"/>
            <w:tcBorders>
              <w:top w:val="single" w:sz="4" w:space="0" w:color="auto"/>
              <w:left w:val="single" w:sz="4" w:space="0" w:color="auto"/>
              <w:right w:val="single" w:sz="4" w:space="0" w:color="auto"/>
            </w:tcBorders>
            <w:shd w:val="clear" w:color="auto" w:fill="auto"/>
          </w:tcPr>
          <w:p w14:paraId="2795CD41" w14:textId="78717237" w:rsidR="00512374" w:rsidRPr="00440D0E" w:rsidRDefault="00512374" w:rsidP="00905977">
            <w:pPr>
              <w:spacing w:line="276" w:lineRule="auto"/>
              <w:rPr>
                <w:iCs/>
              </w:rPr>
            </w:pPr>
            <w:r w:rsidRPr="00A7302F">
              <w:rPr>
                <w:iCs/>
              </w:rPr>
              <w:t>Spodbujanje trženja, kakovosti ter dodane vrednosti ribiških proizvodov in proizvodov iz akvakulture ter predelave teh proizvodov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EFF46E" w14:textId="791C462A" w:rsidR="00512374" w:rsidRPr="00EF0542" w:rsidRDefault="00512374" w:rsidP="00905977">
            <w:pPr>
              <w:spacing w:line="276" w:lineRule="auto"/>
              <w:rPr>
                <w:iCs/>
              </w:rPr>
            </w:pPr>
            <w:r w:rsidRPr="00512374">
              <w:rPr>
                <w:iCs/>
              </w:rPr>
              <w:t>Konkurenčna in okolju p</w:t>
            </w:r>
            <w:r>
              <w:rPr>
                <w:iCs/>
              </w:rPr>
              <w:t>rijazna predelovalna industrija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880F42E" w14:textId="4CBCBFFA" w:rsidR="00512374" w:rsidRPr="00440D0E" w:rsidRDefault="00374B70"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62468D8" w14:textId="5391D18B" w:rsidR="00512374" w:rsidRPr="00440D0E" w:rsidRDefault="00C740DE" w:rsidP="00905977">
            <w:pPr>
              <w:spacing w:line="276" w:lineRule="auto"/>
              <w:rPr>
                <w:iCs/>
              </w:rPr>
            </w:pPr>
            <w:r>
              <w:rPr>
                <w:iCs/>
              </w:rPr>
              <w:t>3.750.000,00</w:t>
            </w:r>
          </w:p>
        </w:tc>
      </w:tr>
      <w:tr w:rsidR="00777167" w:rsidRPr="00E660BB" w14:paraId="1514EB4A"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655D06C1" w14:textId="77777777" w:rsidR="00512374" w:rsidRPr="00933BB6" w:rsidRDefault="00512374" w:rsidP="00905977">
            <w:pPr>
              <w:spacing w:line="276" w:lineRule="auto"/>
              <w:rPr>
                <w:iCs/>
              </w:rPr>
            </w:pPr>
          </w:p>
        </w:tc>
        <w:tc>
          <w:tcPr>
            <w:tcW w:w="3829" w:type="dxa"/>
            <w:vMerge/>
            <w:tcBorders>
              <w:left w:val="single" w:sz="4" w:space="0" w:color="auto"/>
              <w:right w:val="single" w:sz="4" w:space="0" w:color="auto"/>
            </w:tcBorders>
            <w:shd w:val="clear" w:color="auto" w:fill="auto"/>
          </w:tcPr>
          <w:p w14:paraId="3CD9044A" w14:textId="77777777" w:rsidR="00512374" w:rsidRPr="00440D0E" w:rsidRDefault="00512374"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864D1E" w14:textId="267F2055" w:rsidR="00512374" w:rsidRPr="00EF0542" w:rsidRDefault="00512374" w:rsidP="00905977">
            <w:pPr>
              <w:spacing w:line="276" w:lineRule="auto"/>
              <w:rPr>
                <w:iCs/>
              </w:rPr>
            </w:pPr>
            <w:r w:rsidRPr="00512374">
              <w:rPr>
                <w:iCs/>
              </w:rPr>
              <w:t>Promocija rib, akvakulture, l</w:t>
            </w:r>
            <w:r>
              <w:rPr>
                <w:iCs/>
              </w:rPr>
              <w:t>okalnih sektorjev in proizvodov</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7749679D" w14:textId="760811E8" w:rsidR="00512374" w:rsidRPr="00440D0E" w:rsidRDefault="00374B70" w:rsidP="00905977">
            <w:pPr>
              <w:spacing w:line="276" w:lineRule="auto"/>
              <w:rPr>
                <w:iCs/>
              </w:rPr>
            </w:pPr>
            <w:r>
              <w:rPr>
                <w:iCs/>
              </w:rPr>
              <w:t>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618EBA5" w14:textId="503F4A2E" w:rsidR="00512374" w:rsidRPr="00440D0E" w:rsidRDefault="00C740DE" w:rsidP="00905977">
            <w:pPr>
              <w:spacing w:line="276" w:lineRule="auto"/>
              <w:rPr>
                <w:iCs/>
              </w:rPr>
            </w:pPr>
            <w:r>
              <w:rPr>
                <w:iCs/>
              </w:rPr>
              <w:t>2.009.192,00</w:t>
            </w:r>
          </w:p>
        </w:tc>
      </w:tr>
      <w:tr w:rsidR="00777167" w:rsidRPr="00E660BB" w14:paraId="61DA1912" w14:textId="77777777" w:rsidTr="00714475">
        <w:trPr>
          <w:gridAfter w:val="1"/>
          <w:wAfter w:w="1088" w:type="dxa"/>
        </w:trPr>
        <w:tc>
          <w:tcPr>
            <w:tcW w:w="2262" w:type="dxa"/>
            <w:vMerge/>
            <w:tcBorders>
              <w:left w:val="single" w:sz="4" w:space="0" w:color="auto"/>
              <w:bottom w:val="single" w:sz="4" w:space="0" w:color="auto"/>
              <w:right w:val="single" w:sz="4" w:space="0" w:color="auto"/>
            </w:tcBorders>
            <w:shd w:val="clear" w:color="auto" w:fill="auto"/>
          </w:tcPr>
          <w:p w14:paraId="37357D8B" w14:textId="77777777" w:rsidR="00512374" w:rsidRPr="00933BB6" w:rsidRDefault="00512374" w:rsidP="00905977">
            <w:pPr>
              <w:spacing w:line="276" w:lineRule="auto"/>
              <w:rPr>
                <w:iCs/>
              </w:rPr>
            </w:pPr>
          </w:p>
        </w:tc>
        <w:tc>
          <w:tcPr>
            <w:tcW w:w="3829" w:type="dxa"/>
            <w:vMerge/>
            <w:tcBorders>
              <w:left w:val="single" w:sz="4" w:space="0" w:color="auto"/>
              <w:bottom w:val="single" w:sz="4" w:space="0" w:color="auto"/>
              <w:right w:val="single" w:sz="4" w:space="0" w:color="auto"/>
            </w:tcBorders>
            <w:shd w:val="clear" w:color="auto" w:fill="auto"/>
          </w:tcPr>
          <w:p w14:paraId="1A1DFC5D" w14:textId="77777777" w:rsidR="00512374" w:rsidRPr="00440D0E" w:rsidRDefault="00512374"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673E7A" w14:textId="0E2ED536" w:rsidR="00512374" w:rsidRPr="00512374" w:rsidRDefault="00512374" w:rsidP="008E6BB7">
            <w:pPr>
              <w:rPr>
                <w:iCs/>
              </w:rPr>
            </w:pPr>
            <w:r>
              <w:rPr>
                <w:iCs/>
              </w:rPr>
              <w:t>Inovacije v predelavi</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12D474C3" w14:textId="1BDAC287" w:rsidR="00512374" w:rsidDel="00461A39" w:rsidRDefault="00374B70" w:rsidP="00905977">
            <w:pPr>
              <w:spacing w:line="276" w:lineRule="auto"/>
              <w:rPr>
                <w:iCs/>
              </w:rPr>
            </w:pPr>
            <w:r>
              <w:rPr>
                <w:iCs/>
              </w:rPr>
              <w:t>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7B901748" w14:textId="270D95C3" w:rsidR="00512374" w:rsidRPr="00C44C70" w:rsidDel="00461A39" w:rsidRDefault="00C740DE" w:rsidP="008E6BB7">
            <w:pPr>
              <w:rPr>
                <w:iCs/>
              </w:rPr>
            </w:pPr>
            <w:r>
              <w:rPr>
                <w:iCs/>
              </w:rPr>
              <w:t>200.000,00</w:t>
            </w:r>
          </w:p>
        </w:tc>
      </w:tr>
      <w:tr w:rsidR="00777167" w:rsidRPr="00E660BB" w14:paraId="30B154CE" w14:textId="77777777" w:rsidTr="00714475">
        <w:trPr>
          <w:gridAfter w:val="1"/>
          <w:wAfter w:w="1088" w:type="dxa"/>
        </w:trPr>
        <w:tc>
          <w:tcPr>
            <w:tcW w:w="2262" w:type="dxa"/>
            <w:vMerge w:val="restart"/>
            <w:tcBorders>
              <w:top w:val="single" w:sz="4" w:space="0" w:color="auto"/>
              <w:left w:val="single" w:sz="4" w:space="0" w:color="auto"/>
              <w:right w:val="single" w:sz="4" w:space="0" w:color="auto"/>
            </w:tcBorders>
            <w:shd w:val="clear" w:color="auto" w:fill="auto"/>
          </w:tcPr>
          <w:p w14:paraId="5D11E4CB" w14:textId="11A72454" w:rsidR="00512374" w:rsidRPr="00933BB6" w:rsidRDefault="00C740DE" w:rsidP="00C740DE">
            <w:pPr>
              <w:spacing w:line="276" w:lineRule="auto"/>
              <w:rPr>
                <w:iCs/>
              </w:rPr>
            </w:pPr>
            <w:r>
              <w:rPr>
                <w:iCs/>
              </w:rPr>
              <w:t>Prednostna naloga Unije 3</w:t>
            </w:r>
            <w:r w:rsidR="00512374" w:rsidRPr="00933BB6">
              <w:rPr>
                <w:iCs/>
              </w:rPr>
              <w:t xml:space="preserve"> </w:t>
            </w:r>
          </w:p>
        </w:tc>
        <w:tc>
          <w:tcPr>
            <w:tcW w:w="3829" w:type="dxa"/>
            <w:vMerge w:val="restart"/>
            <w:tcBorders>
              <w:top w:val="single" w:sz="4" w:space="0" w:color="auto"/>
              <w:left w:val="single" w:sz="4" w:space="0" w:color="auto"/>
              <w:right w:val="single" w:sz="4" w:space="0" w:color="auto"/>
            </w:tcBorders>
            <w:shd w:val="clear" w:color="auto" w:fill="auto"/>
          </w:tcPr>
          <w:p w14:paraId="128336F6" w14:textId="701EC00E" w:rsidR="00512374" w:rsidRPr="00440D0E" w:rsidRDefault="00512374" w:rsidP="007743BB">
            <w:pPr>
              <w:spacing w:line="276" w:lineRule="auto"/>
              <w:rPr>
                <w:iCs/>
              </w:rPr>
            </w:pPr>
            <w:r w:rsidRPr="00A7302F">
              <w:rPr>
                <w:iCs/>
              </w:rPr>
              <w:t>Intervencije, ki prispevajo k omogočanju trajnostnega modrega gospodarstva v obalnih, otoških in celinskih regijah ter spodbujanju trajnostnega razvoja ribiških in akvakulturnih skupnosti</w:t>
            </w:r>
          </w:p>
        </w:tc>
        <w:tc>
          <w:tcPr>
            <w:tcW w:w="5103" w:type="dxa"/>
            <w:vMerge w:val="restart"/>
            <w:tcBorders>
              <w:top w:val="single" w:sz="4" w:space="0" w:color="auto"/>
              <w:left w:val="single" w:sz="4" w:space="0" w:color="auto"/>
              <w:right w:val="single" w:sz="4" w:space="0" w:color="auto"/>
            </w:tcBorders>
            <w:shd w:val="clear" w:color="auto" w:fill="auto"/>
          </w:tcPr>
          <w:p w14:paraId="0C340E99" w14:textId="66BACEF2" w:rsidR="00512374" w:rsidRPr="00EF0542" w:rsidRDefault="00512374" w:rsidP="00905977">
            <w:pPr>
              <w:spacing w:line="276" w:lineRule="auto"/>
              <w:rPr>
                <w:iCs/>
              </w:rPr>
            </w:pPr>
          </w:p>
          <w:p w14:paraId="4420C3A5" w14:textId="27A20F7A" w:rsidR="00512374" w:rsidRPr="00EF0542" w:rsidRDefault="00512374" w:rsidP="00905977">
            <w:pPr>
              <w:spacing w:line="276" w:lineRule="auto"/>
              <w:rPr>
                <w:iCs/>
              </w:rPr>
            </w:pPr>
          </w:p>
          <w:p w14:paraId="31E9F15E" w14:textId="77777777" w:rsidR="00512374" w:rsidRPr="00512374" w:rsidRDefault="00512374" w:rsidP="00512374">
            <w:pPr>
              <w:spacing w:line="276" w:lineRule="auto"/>
              <w:rPr>
                <w:iCs/>
              </w:rPr>
            </w:pPr>
            <w:r w:rsidRPr="00512374">
              <w:rPr>
                <w:iCs/>
              </w:rPr>
              <w:t>Lokalni razvoj, ki ga vodi skupnost</w:t>
            </w:r>
          </w:p>
          <w:p w14:paraId="76DD738B" w14:textId="77777777" w:rsidR="00512374" w:rsidRPr="00512374" w:rsidRDefault="00512374" w:rsidP="00512374">
            <w:pPr>
              <w:spacing w:line="276" w:lineRule="auto"/>
              <w:rPr>
                <w:iCs/>
              </w:rPr>
            </w:pPr>
          </w:p>
          <w:p w14:paraId="28A697E1" w14:textId="77777777" w:rsidR="00512374" w:rsidRPr="00512374" w:rsidRDefault="00512374" w:rsidP="00512374">
            <w:pPr>
              <w:spacing w:line="276" w:lineRule="auto"/>
              <w:rPr>
                <w:iCs/>
              </w:rPr>
            </w:pPr>
          </w:p>
          <w:p w14:paraId="4EE02E78" w14:textId="0F3894F0" w:rsidR="00512374" w:rsidRPr="00EF0542" w:rsidRDefault="00512374" w:rsidP="00905977">
            <w:pPr>
              <w:spacing w:line="276" w:lineRule="auto"/>
              <w:rPr>
                <w:iC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96386CA" w14:textId="08B677F5" w:rsidR="00512374" w:rsidRPr="00440D0E" w:rsidRDefault="00DB1E3F" w:rsidP="00905977">
            <w:pPr>
              <w:spacing w:line="276" w:lineRule="auto"/>
              <w:rPr>
                <w:iCs/>
              </w:rPr>
            </w:pPr>
            <w:r>
              <w:rPr>
                <w:iCs/>
              </w:rPr>
              <w:t>13</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A36BB04" w14:textId="54296928" w:rsidR="00512374" w:rsidRPr="00440D0E" w:rsidRDefault="00C740DE" w:rsidP="00C740DE">
            <w:pPr>
              <w:spacing w:line="276" w:lineRule="auto"/>
              <w:rPr>
                <w:iCs/>
              </w:rPr>
            </w:pPr>
            <w:r>
              <w:rPr>
                <w:iCs/>
              </w:rPr>
              <w:t>130.000,00</w:t>
            </w:r>
          </w:p>
        </w:tc>
      </w:tr>
      <w:tr w:rsidR="00777167" w:rsidRPr="00E660BB" w14:paraId="576275C4" w14:textId="77777777" w:rsidTr="00714475">
        <w:trPr>
          <w:gridAfter w:val="1"/>
          <w:wAfter w:w="1088" w:type="dxa"/>
          <w:trHeight w:val="44"/>
        </w:trPr>
        <w:tc>
          <w:tcPr>
            <w:tcW w:w="2262" w:type="dxa"/>
            <w:vMerge/>
            <w:tcBorders>
              <w:left w:val="single" w:sz="4" w:space="0" w:color="auto"/>
              <w:right w:val="single" w:sz="4" w:space="0" w:color="auto"/>
            </w:tcBorders>
            <w:shd w:val="clear" w:color="auto" w:fill="auto"/>
          </w:tcPr>
          <w:p w14:paraId="1E0F4033" w14:textId="420DEA51" w:rsidR="00512374" w:rsidRPr="00933BB6" w:rsidRDefault="00512374" w:rsidP="00905977">
            <w:pPr>
              <w:spacing w:line="276" w:lineRule="auto"/>
              <w:rPr>
                <w:iCs/>
              </w:rPr>
            </w:pPr>
          </w:p>
        </w:tc>
        <w:tc>
          <w:tcPr>
            <w:tcW w:w="3829" w:type="dxa"/>
            <w:vMerge/>
            <w:tcBorders>
              <w:left w:val="single" w:sz="4" w:space="0" w:color="auto"/>
              <w:right w:val="single" w:sz="4" w:space="0" w:color="auto"/>
            </w:tcBorders>
            <w:shd w:val="clear" w:color="auto" w:fill="auto"/>
          </w:tcPr>
          <w:p w14:paraId="4A1EA471" w14:textId="77777777" w:rsidR="00512374" w:rsidRPr="00440D0E" w:rsidRDefault="00512374" w:rsidP="00905977">
            <w:pPr>
              <w:spacing w:line="276" w:lineRule="auto"/>
              <w:rPr>
                <w:iCs/>
              </w:rPr>
            </w:pPr>
          </w:p>
        </w:tc>
        <w:tc>
          <w:tcPr>
            <w:tcW w:w="5103" w:type="dxa"/>
            <w:vMerge/>
            <w:tcBorders>
              <w:left w:val="single" w:sz="4" w:space="0" w:color="auto"/>
              <w:right w:val="single" w:sz="4" w:space="0" w:color="auto"/>
            </w:tcBorders>
            <w:shd w:val="clear" w:color="auto" w:fill="auto"/>
          </w:tcPr>
          <w:p w14:paraId="14975A92" w14:textId="7CE8DB5A" w:rsidR="00512374" w:rsidRPr="00EF0542" w:rsidRDefault="00512374" w:rsidP="00905977">
            <w:pPr>
              <w:spacing w:line="276" w:lineRule="auto"/>
              <w:rPr>
                <w:iC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D7A4C83" w14:textId="29B63CCB" w:rsidR="00512374" w:rsidRPr="00440D0E" w:rsidRDefault="00DB1E3F" w:rsidP="00905977">
            <w:pPr>
              <w:spacing w:line="276" w:lineRule="auto"/>
              <w:rPr>
                <w:iCs/>
              </w:rPr>
            </w:pPr>
            <w:r>
              <w:rPr>
                <w:iCs/>
              </w:rPr>
              <w:t>14</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7D5FD48" w14:textId="53B3F7AD" w:rsidR="00512374" w:rsidRPr="00440D0E" w:rsidRDefault="00334449" w:rsidP="008E6BB7">
            <w:pPr>
              <w:rPr>
                <w:iCs/>
              </w:rPr>
            </w:pPr>
            <w:r>
              <w:rPr>
                <w:iCs/>
              </w:rPr>
              <w:t>9.</w:t>
            </w:r>
            <w:r w:rsidR="00C740DE">
              <w:rPr>
                <w:iCs/>
              </w:rPr>
              <w:t>435.000,00</w:t>
            </w:r>
          </w:p>
        </w:tc>
      </w:tr>
      <w:tr w:rsidR="00777167" w:rsidRPr="00E660BB" w14:paraId="0BE0F523" w14:textId="77777777" w:rsidTr="00714475">
        <w:trPr>
          <w:gridAfter w:val="1"/>
          <w:wAfter w:w="1088" w:type="dxa"/>
        </w:trPr>
        <w:tc>
          <w:tcPr>
            <w:tcW w:w="2262" w:type="dxa"/>
            <w:vMerge/>
            <w:tcBorders>
              <w:left w:val="single" w:sz="4" w:space="0" w:color="auto"/>
              <w:bottom w:val="single" w:sz="4" w:space="0" w:color="auto"/>
              <w:right w:val="single" w:sz="4" w:space="0" w:color="auto"/>
            </w:tcBorders>
            <w:shd w:val="clear" w:color="auto" w:fill="auto"/>
          </w:tcPr>
          <w:p w14:paraId="591BB776" w14:textId="5E0D3420" w:rsidR="00512374" w:rsidRPr="00440D0E" w:rsidRDefault="00512374" w:rsidP="00905977">
            <w:pPr>
              <w:spacing w:line="276" w:lineRule="auto"/>
              <w:rPr>
                <w:iCs/>
              </w:rPr>
            </w:pPr>
          </w:p>
        </w:tc>
        <w:tc>
          <w:tcPr>
            <w:tcW w:w="3829" w:type="dxa"/>
            <w:vMerge/>
            <w:tcBorders>
              <w:left w:val="single" w:sz="4" w:space="0" w:color="auto"/>
              <w:bottom w:val="single" w:sz="4" w:space="0" w:color="auto"/>
              <w:right w:val="single" w:sz="4" w:space="0" w:color="auto"/>
            </w:tcBorders>
            <w:shd w:val="clear" w:color="auto" w:fill="auto"/>
          </w:tcPr>
          <w:p w14:paraId="175A18FD" w14:textId="77777777" w:rsidR="00512374" w:rsidRPr="00440D0E" w:rsidRDefault="00512374" w:rsidP="00905977">
            <w:pPr>
              <w:spacing w:line="276" w:lineRule="auto"/>
              <w:rPr>
                <w:iCs/>
              </w:rPr>
            </w:pPr>
          </w:p>
        </w:tc>
        <w:tc>
          <w:tcPr>
            <w:tcW w:w="5103" w:type="dxa"/>
            <w:vMerge/>
            <w:tcBorders>
              <w:left w:val="single" w:sz="4" w:space="0" w:color="auto"/>
              <w:bottom w:val="single" w:sz="4" w:space="0" w:color="auto"/>
              <w:right w:val="single" w:sz="4" w:space="0" w:color="auto"/>
            </w:tcBorders>
            <w:shd w:val="clear" w:color="auto" w:fill="auto"/>
          </w:tcPr>
          <w:p w14:paraId="767D63B2" w14:textId="3421F081" w:rsidR="00512374" w:rsidRPr="00440D0E" w:rsidRDefault="00512374" w:rsidP="00905977">
            <w:pPr>
              <w:spacing w:line="276" w:lineRule="auto"/>
              <w:rPr>
                <w:iC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43668FF0" w14:textId="73F35F3D" w:rsidR="00512374" w:rsidRPr="00440D0E" w:rsidRDefault="00DB1E3F" w:rsidP="00905977">
            <w:pPr>
              <w:spacing w:line="276" w:lineRule="auto"/>
              <w:rPr>
                <w:iCs/>
              </w:rPr>
            </w:pPr>
            <w:r>
              <w:rPr>
                <w:iCs/>
              </w:rPr>
              <w:t>15</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0ACAFCC" w14:textId="3A318103" w:rsidR="00512374" w:rsidRPr="00440D0E" w:rsidRDefault="00C740DE" w:rsidP="00905977">
            <w:pPr>
              <w:spacing w:line="276" w:lineRule="auto"/>
              <w:rPr>
                <w:iCs/>
              </w:rPr>
            </w:pPr>
            <w:r>
              <w:rPr>
                <w:iCs/>
              </w:rPr>
              <w:t>3.145</w:t>
            </w:r>
            <w:r w:rsidR="00334449">
              <w:rPr>
                <w:iCs/>
              </w:rPr>
              <w:t>.000,00</w:t>
            </w:r>
          </w:p>
        </w:tc>
      </w:tr>
      <w:tr w:rsidR="00777167" w:rsidRPr="00E660BB" w14:paraId="3E3EED4B" w14:textId="77777777" w:rsidTr="00714475">
        <w:trPr>
          <w:gridAfter w:val="1"/>
          <w:wAfter w:w="1088" w:type="dxa"/>
        </w:trPr>
        <w:tc>
          <w:tcPr>
            <w:tcW w:w="2262" w:type="dxa"/>
            <w:vMerge w:val="restart"/>
            <w:tcBorders>
              <w:top w:val="single" w:sz="4" w:space="0" w:color="auto"/>
              <w:left w:val="single" w:sz="4" w:space="0" w:color="auto"/>
              <w:right w:val="single" w:sz="4" w:space="0" w:color="auto"/>
            </w:tcBorders>
            <w:shd w:val="clear" w:color="auto" w:fill="auto"/>
          </w:tcPr>
          <w:p w14:paraId="325BBA5B" w14:textId="182F2FC7" w:rsidR="007743BB" w:rsidRPr="00933BB6" w:rsidRDefault="00C740DE" w:rsidP="00905977">
            <w:pPr>
              <w:spacing w:line="276" w:lineRule="auto"/>
              <w:rPr>
                <w:iCs/>
              </w:rPr>
            </w:pPr>
            <w:r>
              <w:rPr>
                <w:iCs/>
              </w:rPr>
              <w:t>Prednostna naloga Unije 4</w:t>
            </w:r>
          </w:p>
        </w:tc>
        <w:tc>
          <w:tcPr>
            <w:tcW w:w="3829" w:type="dxa"/>
            <w:vMerge w:val="restart"/>
            <w:tcBorders>
              <w:top w:val="single" w:sz="4" w:space="0" w:color="auto"/>
              <w:left w:val="single" w:sz="4" w:space="0" w:color="auto"/>
              <w:right w:val="single" w:sz="4" w:space="0" w:color="auto"/>
            </w:tcBorders>
            <w:shd w:val="clear" w:color="auto" w:fill="auto"/>
          </w:tcPr>
          <w:p w14:paraId="0408FE6B" w14:textId="47AB398F" w:rsidR="007743BB" w:rsidRPr="00440D0E" w:rsidRDefault="00A7302F" w:rsidP="00905977">
            <w:pPr>
              <w:spacing w:line="276" w:lineRule="auto"/>
              <w:rPr>
                <w:iCs/>
              </w:rPr>
            </w:pPr>
            <w:r w:rsidRPr="00A7302F">
              <w:rPr>
                <w:iCs/>
              </w:rPr>
              <w:t>Intervencije, ki prispevajo h krepitvi mednarodnega upravljanja oceanov ter trajnostnega upravljanja morij in oceanov prek širjenja znanja o morju ter spodbujanja pomorskega nadzora in/ali sodelovanja obalnih straž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14FBAD" w14:textId="0ECBF00E" w:rsidR="007743BB" w:rsidRPr="00440D0E" w:rsidRDefault="00512374" w:rsidP="00905977">
            <w:pPr>
              <w:spacing w:line="276" w:lineRule="auto"/>
              <w:rPr>
                <w:iCs/>
              </w:rPr>
            </w:pPr>
            <w:r w:rsidRPr="00512374">
              <w:rPr>
                <w:iCs/>
              </w:rPr>
              <w:t>Ukrepanje za ohranjanje habitatnih tipov Natura 2000 t</w:t>
            </w:r>
            <w:r>
              <w:rPr>
                <w:iCs/>
              </w:rPr>
              <w:t>er za obnovo zaščitenih območij</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8080D85" w14:textId="40C4F90A" w:rsidR="007743BB" w:rsidRPr="00440D0E" w:rsidRDefault="00DB1E3F" w:rsidP="00905977">
            <w:pPr>
              <w:spacing w:line="276" w:lineRule="auto"/>
              <w:rPr>
                <w:iCs/>
              </w:rPr>
            </w:pPr>
            <w:r>
              <w:rPr>
                <w:iCs/>
              </w:rPr>
              <w:t>6</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7FB497C" w14:textId="2CD77237" w:rsidR="007743BB" w:rsidRPr="00440D0E" w:rsidRDefault="00334449" w:rsidP="00905977">
            <w:pPr>
              <w:spacing w:line="276" w:lineRule="auto"/>
              <w:rPr>
                <w:iCs/>
              </w:rPr>
            </w:pPr>
            <w:r>
              <w:rPr>
                <w:iCs/>
              </w:rPr>
              <w:t>520.000,00</w:t>
            </w:r>
          </w:p>
        </w:tc>
      </w:tr>
      <w:tr w:rsidR="00777167" w:rsidRPr="00E660BB" w14:paraId="15988C73"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351AE3CC" w14:textId="45E4F95A" w:rsidR="007743BB" w:rsidRPr="00933BB6" w:rsidRDefault="007743BB" w:rsidP="00905977">
            <w:pPr>
              <w:spacing w:line="276" w:lineRule="auto"/>
              <w:rPr>
                <w:iCs/>
              </w:rPr>
            </w:pPr>
          </w:p>
        </w:tc>
        <w:tc>
          <w:tcPr>
            <w:tcW w:w="3829" w:type="dxa"/>
            <w:vMerge/>
            <w:tcBorders>
              <w:left w:val="single" w:sz="4" w:space="0" w:color="auto"/>
              <w:right w:val="single" w:sz="4" w:space="0" w:color="auto"/>
            </w:tcBorders>
            <w:shd w:val="clear" w:color="auto" w:fill="auto"/>
          </w:tcPr>
          <w:p w14:paraId="63A1DB4E" w14:textId="77777777" w:rsidR="007743BB" w:rsidRPr="00440D0E" w:rsidRDefault="007743BB"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672324" w14:textId="1F77B914" w:rsidR="007743BB" w:rsidRPr="00440D0E" w:rsidRDefault="00512374" w:rsidP="00905977">
            <w:pPr>
              <w:spacing w:line="276" w:lineRule="auto"/>
              <w:rPr>
                <w:iCs/>
              </w:rPr>
            </w:pPr>
            <w:r w:rsidRPr="00512374">
              <w:rPr>
                <w:iCs/>
              </w:rPr>
              <w:t xml:space="preserve">Podpora pomorskemu prostorskemu načrtovanju </w:t>
            </w:r>
            <w:r>
              <w:rPr>
                <w:iCs/>
              </w:rPr>
              <w:t>v skladu z Direktivo 2014/89/EU</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36BBF3D2" w14:textId="4F03F0E2" w:rsidR="007743BB" w:rsidRPr="00440D0E" w:rsidRDefault="00DB1E3F" w:rsidP="00905977">
            <w:pPr>
              <w:spacing w:line="276" w:lineRule="auto"/>
              <w:rPr>
                <w:iCs/>
              </w:rPr>
            </w:pPr>
            <w:r>
              <w:rPr>
                <w:iCs/>
              </w:rPr>
              <w:t>1</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02EF74B" w14:textId="60456D10" w:rsidR="00DB1E3F" w:rsidRPr="00DB1E3F" w:rsidRDefault="00334449" w:rsidP="00DB1E3F">
            <w:pPr>
              <w:spacing w:line="276" w:lineRule="auto"/>
              <w:rPr>
                <w:iCs/>
              </w:rPr>
            </w:pPr>
            <w:r>
              <w:rPr>
                <w:iCs/>
              </w:rPr>
              <w:t>423.000,00</w:t>
            </w:r>
          </w:p>
          <w:p w14:paraId="63858DAA" w14:textId="653CE5EA" w:rsidR="007743BB" w:rsidRPr="00440D0E" w:rsidRDefault="007743BB" w:rsidP="00905977">
            <w:pPr>
              <w:spacing w:line="276" w:lineRule="auto"/>
              <w:rPr>
                <w:iCs/>
              </w:rPr>
            </w:pPr>
          </w:p>
        </w:tc>
      </w:tr>
      <w:tr w:rsidR="00777167" w:rsidRPr="00E660BB" w14:paraId="696B6BB8" w14:textId="77777777" w:rsidTr="00714475">
        <w:trPr>
          <w:gridAfter w:val="1"/>
          <w:wAfter w:w="1088" w:type="dxa"/>
        </w:trPr>
        <w:tc>
          <w:tcPr>
            <w:tcW w:w="2262" w:type="dxa"/>
            <w:vMerge/>
            <w:tcBorders>
              <w:left w:val="single" w:sz="4" w:space="0" w:color="auto"/>
              <w:right w:val="single" w:sz="4" w:space="0" w:color="auto"/>
            </w:tcBorders>
            <w:shd w:val="clear" w:color="auto" w:fill="auto"/>
          </w:tcPr>
          <w:p w14:paraId="24C4DA64" w14:textId="29DE61AA" w:rsidR="007743BB" w:rsidRPr="00440D0E" w:rsidRDefault="007743BB" w:rsidP="00905977">
            <w:pPr>
              <w:spacing w:line="276" w:lineRule="auto"/>
              <w:rPr>
                <w:iCs/>
              </w:rPr>
            </w:pPr>
          </w:p>
        </w:tc>
        <w:tc>
          <w:tcPr>
            <w:tcW w:w="3829" w:type="dxa"/>
            <w:vMerge/>
            <w:tcBorders>
              <w:left w:val="single" w:sz="4" w:space="0" w:color="auto"/>
              <w:right w:val="single" w:sz="4" w:space="0" w:color="auto"/>
            </w:tcBorders>
            <w:shd w:val="clear" w:color="auto" w:fill="auto"/>
          </w:tcPr>
          <w:p w14:paraId="2EFB0792" w14:textId="77777777" w:rsidR="007743BB" w:rsidRPr="00440D0E" w:rsidRDefault="007743BB" w:rsidP="00905977">
            <w:pPr>
              <w:spacing w:line="276" w:lineRule="auto"/>
              <w:rPr>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5E2C53" w14:textId="6C4D3DB6" w:rsidR="007743BB" w:rsidRPr="00440D0E" w:rsidRDefault="00512374" w:rsidP="00905977">
            <w:pPr>
              <w:spacing w:line="276" w:lineRule="auto"/>
              <w:rPr>
                <w:iCs/>
              </w:rPr>
            </w:pPr>
            <w:r>
              <w:rPr>
                <w:iCs/>
              </w:rPr>
              <w:t>Izvajanje pomorskega nadzora</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AD76684" w14:textId="437E7A20" w:rsidR="007743BB" w:rsidRPr="00440D0E" w:rsidRDefault="00DB1E3F" w:rsidP="00905977">
            <w:pPr>
              <w:spacing w:line="276" w:lineRule="auto"/>
              <w:rPr>
                <w:iCs/>
              </w:rPr>
            </w:pPr>
            <w:r>
              <w:rPr>
                <w:iCs/>
              </w:rPr>
              <w:t>12</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04847AE6" w14:textId="6275EAC8" w:rsidR="007743BB" w:rsidRPr="00440D0E" w:rsidRDefault="00334449" w:rsidP="007743BB">
            <w:pPr>
              <w:spacing w:line="276" w:lineRule="auto"/>
              <w:rPr>
                <w:iCs/>
              </w:rPr>
            </w:pPr>
            <w:r>
              <w:rPr>
                <w:iCs/>
              </w:rPr>
              <w:t>400.000,00</w:t>
            </w:r>
          </w:p>
        </w:tc>
      </w:tr>
      <w:tr w:rsidR="00334449" w:rsidRPr="00E660BB" w14:paraId="37CAC913" w14:textId="090DB505" w:rsidTr="00714475">
        <w:tc>
          <w:tcPr>
            <w:tcW w:w="2262" w:type="dxa"/>
            <w:tcBorders>
              <w:left w:val="single" w:sz="4" w:space="0" w:color="auto"/>
              <w:bottom w:val="single" w:sz="4" w:space="0" w:color="auto"/>
              <w:right w:val="single" w:sz="4" w:space="0" w:color="auto"/>
            </w:tcBorders>
            <w:shd w:val="clear" w:color="auto" w:fill="auto"/>
          </w:tcPr>
          <w:p w14:paraId="0EDEABC9" w14:textId="77777777" w:rsidR="00334449" w:rsidRPr="0084213A" w:rsidRDefault="00334449" w:rsidP="00334449">
            <w:pPr>
              <w:spacing w:line="276" w:lineRule="auto"/>
              <w:rPr>
                <w:b/>
                <w:iCs/>
              </w:rPr>
            </w:pPr>
          </w:p>
        </w:tc>
        <w:tc>
          <w:tcPr>
            <w:tcW w:w="3829" w:type="dxa"/>
            <w:tcBorders>
              <w:left w:val="single" w:sz="4" w:space="0" w:color="auto"/>
              <w:bottom w:val="single" w:sz="4" w:space="0" w:color="auto"/>
              <w:right w:val="single" w:sz="4" w:space="0" w:color="auto"/>
            </w:tcBorders>
            <w:shd w:val="clear" w:color="auto" w:fill="auto"/>
          </w:tcPr>
          <w:p w14:paraId="0F70E50F" w14:textId="77777777" w:rsidR="00334449" w:rsidRPr="0084213A" w:rsidRDefault="00334449" w:rsidP="00334449">
            <w:pPr>
              <w:spacing w:line="276" w:lineRule="auto"/>
              <w:rPr>
                <w:b/>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103C46" w14:textId="2A2A1734" w:rsidR="00334449" w:rsidRDefault="00334449" w:rsidP="00334449">
            <w:pPr>
              <w:spacing w:line="276" w:lineRule="auto"/>
              <w:rPr>
                <w:b/>
                <w:iCs/>
              </w:rPr>
            </w:pPr>
            <w:r w:rsidRPr="00EA17F7">
              <w:rPr>
                <w:iCs/>
              </w:rPr>
              <w:t>Tehnična pomoč</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7EE542BC" w14:textId="2BC8E595" w:rsidR="00334449" w:rsidRDefault="00334449" w:rsidP="00334449">
            <w:pPr>
              <w:spacing w:line="276" w:lineRule="auto"/>
              <w:rPr>
                <w:b/>
                <w:iCs/>
              </w:rPr>
            </w:pPr>
            <w:r w:rsidRPr="00EA17F7">
              <w:rPr>
                <w:iCs/>
              </w:rPr>
              <w:t>16</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C3E297F" w14:textId="551C47BD" w:rsidR="00334449" w:rsidRDefault="00334449" w:rsidP="00334449">
            <w:pPr>
              <w:spacing w:line="276" w:lineRule="auto"/>
              <w:rPr>
                <w:b/>
                <w:iCs/>
              </w:rPr>
            </w:pPr>
            <w:r w:rsidRPr="00EA17F7">
              <w:rPr>
                <w:iCs/>
              </w:rPr>
              <w:t>1.935.010,00</w:t>
            </w:r>
          </w:p>
        </w:tc>
        <w:tc>
          <w:tcPr>
            <w:tcW w:w="1088" w:type="dxa"/>
          </w:tcPr>
          <w:p w14:paraId="6DE64393" w14:textId="77777777" w:rsidR="00334449" w:rsidRPr="00E660BB" w:rsidRDefault="00334449" w:rsidP="00334449">
            <w:pPr>
              <w:spacing w:after="200" w:line="276" w:lineRule="auto"/>
            </w:pPr>
          </w:p>
        </w:tc>
      </w:tr>
      <w:tr w:rsidR="00777167" w:rsidRPr="00E660BB" w14:paraId="616C3062" w14:textId="77777777" w:rsidTr="00714475">
        <w:trPr>
          <w:gridAfter w:val="1"/>
          <w:wAfter w:w="1088" w:type="dxa"/>
        </w:trPr>
        <w:tc>
          <w:tcPr>
            <w:tcW w:w="2262" w:type="dxa"/>
            <w:tcBorders>
              <w:left w:val="single" w:sz="4" w:space="0" w:color="auto"/>
              <w:bottom w:val="single" w:sz="4" w:space="0" w:color="auto"/>
              <w:right w:val="single" w:sz="4" w:space="0" w:color="auto"/>
            </w:tcBorders>
            <w:shd w:val="clear" w:color="auto" w:fill="auto"/>
          </w:tcPr>
          <w:p w14:paraId="280AFC2D" w14:textId="60BCF10B" w:rsidR="00334449" w:rsidRPr="0084213A" w:rsidRDefault="00334449" w:rsidP="00334449">
            <w:pPr>
              <w:spacing w:line="276" w:lineRule="auto"/>
              <w:rPr>
                <w:b/>
                <w:iCs/>
              </w:rPr>
            </w:pPr>
            <w:r>
              <w:rPr>
                <w:b/>
                <w:iCs/>
              </w:rPr>
              <w:t>TOTAL</w:t>
            </w:r>
          </w:p>
        </w:tc>
        <w:tc>
          <w:tcPr>
            <w:tcW w:w="3829" w:type="dxa"/>
            <w:tcBorders>
              <w:left w:val="single" w:sz="4" w:space="0" w:color="auto"/>
              <w:bottom w:val="single" w:sz="4" w:space="0" w:color="auto"/>
              <w:right w:val="single" w:sz="4" w:space="0" w:color="auto"/>
            </w:tcBorders>
            <w:shd w:val="clear" w:color="auto" w:fill="auto"/>
          </w:tcPr>
          <w:p w14:paraId="48790504" w14:textId="63F3A2E8" w:rsidR="00334449" w:rsidRPr="0084213A" w:rsidRDefault="00334449" w:rsidP="00334449">
            <w:pPr>
              <w:spacing w:line="276" w:lineRule="auto"/>
              <w:rPr>
                <w:b/>
                <w:i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C24CE8" w14:textId="713E8CB9" w:rsidR="00334449" w:rsidRPr="00714475" w:rsidRDefault="00334449" w:rsidP="00334449">
            <w:pPr>
              <w:spacing w:line="276" w:lineRule="auto"/>
              <w:rPr>
                <w:iC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A0D540B" w14:textId="7A46EA1C" w:rsidR="00334449" w:rsidRPr="00714475" w:rsidRDefault="00334449" w:rsidP="00334449">
            <w:pPr>
              <w:spacing w:line="276" w:lineRule="auto"/>
              <w:rPr>
                <w:iC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C5E1C30" w14:textId="4B780C89" w:rsidR="00334449" w:rsidRPr="00777167" w:rsidRDefault="00334449" w:rsidP="00334449">
            <w:pPr>
              <w:spacing w:line="276" w:lineRule="auto"/>
              <w:rPr>
                <w:b/>
                <w:iCs/>
              </w:rPr>
            </w:pPr>
            <w:r w:rsidRPr="00714475">
              <w:rPr>
                <w:b/>
                <w:iCs/>
              </w:rPr>
              <w:t>34.185.202,00</w:t>
            </w:r>
          </w:p>
        </w:tc>
      </w:tr>
    </w:tbl>
    <w:p w14:paraId="300C65DB" w14:textId="01AECCC2" w:rsidR="00C074FE" w:rsidRDefault="00C074FE" w:rsidP="00141029">
      <w:pPr>
        <w:spacing w:after="200" w:line="276" w:lineRule="auto"/>
        <w:rPr>
          <w:rFonts w:cs="Arial"/>
          <w:szCs w:val="20"/>
        </w:rPr>
      </w:pPr>
    </w:p>
    <w:p w14:paraId="29F1D597" w14:textId="77777777" w:rsidR="0057683C" w:rsidRDefault="0057683C" w:rsidP="00141029">
      <w:pPr>
        <w:spacing w:after="200" w:line="276" w:lineRule="auto"/>
        <w:rPr>
          <w:rFonts w:cs="Arial"/>
          <w:szCs w:val="20"/>
        </w:rPr>
        <w:sectPr w:rsidR="0057683C" w:rsidSect="00777167">
          <w:pgSz w:w="16840" w:h="11900" w:orient="landscape" w:code="9"/>
          <w:pgMar w:top="1701" w:right="1701" w:bottom="1701" w:left="1134" w:header="964" w:footer="794" w:gutter="0"/>
          <w:cols w:space="708"/>
          <w:docGrid w:linePitch="272"/>
        </w:sectPr>
      </w:pPr>
    </w:p>
    <w:p w14:paraId="67F0F206" w14:textId="3D060C93" w:rsidR="00854925" w:rsidRDefault="005D2CCE" w:rsidP="008E6BB7">
      <w:pPr>
        <w:pStyle w:val="Naslov2"/>
      </w:pPr>
      <w:bookmarkStart w:id="17" w:name="_Toc106099903"/>
      <w:r>
        <w:lastRenderedPageBreak/>
        <w:t>2.</w:t>
      </w:r>
      <w:r w:rsidR="00937598">
        <w:t>2</w:t>
      </w:r>
      <w:r w:rsidR="00854925" w:rsidRPr="00A40660">
        <w:t>. Prednostna naloga „tehnična pomoč“</w:t>
      </w:r>
      <w:bookmarkEnd w:id="17"/>
    </w:p>
    <w:p w14:paraId="22C6407D" w14:textId="4AF0BA0A" w:rsidR="000B2178" w:rsidRDefault="000B2178"/>
    <w:p w14:paraId="101DE661" w14:textId="46318F5E" w:rsidR="000B2178" w:rsidRPr="005E51C2" w:rsidRDefault="000B2178" w:rsidP="008E6BB7">
      <w:pPr>
        <w:pStyle w:val="Naslov2"/>
      </w:pPr>
      <w:bookmarkStart w:id="18" w:name="_Toc106099904"/>
      <w:r w:rsidRPr="00293CEA">
        <w:t xml:space="preserve">2.2.1 Prednostna naloga za tehnično pomoč </w:t>
      </w:r>
      <w:r w:rsidR="008679F6" w:rsidRPr="00540FA0">
        <w:t>na podlagi čle</w:t>
      </w:r>
      <w:r w:rsidR="008679F6" w:rsidRPr="005E51C2">
        <w:t>na 36(4) uredbe o skupnih določbah</w:t>
      </w:r>
      <w:r w:rsidR="005E51C2">
        <w:t xml:space="preserve"> </w:t>
      </w:r>
      <w:r w:rsidR="005E51C2" w:rsidRPr="008E6BB7">
        <w:rPr>
          <w:sz w:val="20"/>
          <w:szCs w:val="20"/>
        </w:rPr>
        <w:t>(ponovi se za vsako takšno prednostno nalogo za tehnično pomoč)</w:t>
      </w:r>
      <w:bookmarkEnd w:id="18"/>
    </w:p>
    <w:p w14:paraId="2181CF8F" w14:textId="1FDBCE51" w:rsidR="00854925" w:rsidRPr="005C667A" w:rsidRDefault="00854925" w:rsidP="00854925">
      <w:pPr>
        <w:rPr>
          <w:rFonts w:cs="Arial"/>
          <w:i/>
          <w:szCs w:val="20"/>
        </w:rPr>
      </w:pPr>
      <w:r w:rsidRPr="005C667A">
        <w:rPr>
          <w:rFonts w:cs="Arial"/>
          <w:i/>
          <w:szCs w:val="20"/>
        </w:rPr>
        <w:t xml:space="preserve">Sklic: člen </w:t>
      </w:r>
      <w:r w:rsidR="00937598">
        <w:rPr>
          <w:rFonts w:cs="Arial"/>
          <w:i/>
          <w:szCs w:val="20"/>
        </w:rPr>
        <w:t>22</w:t>
      </w:r>
      <w:r w:rsidRPr="005C667A">
        <w:rPr>
          <w:rFonts w:cs="Arial"/>
          <w:i/>
          <w:szCs w:val="20"/>
        </w:rPr>
        <w:t>(3)(e</w:t>
      </w:r>
      <w:r w:rsidR="00F709BE">
        <w:rPr>
          <w:rFonts w:cs="Arial"/>
          <w:i/>
          <w:szCs w:val="20"/>
        </w:rPr>
        <w:t xml:space="preserve"> CPR </w:t>
      </w:r>
    </w:p>
    <w:p w14:paraId="0B20C256" w14:textId="18D7118D" w:rsidR="005E51C2" w:rsidRDefault="005E51C2" w:rsidP="008E6BB7">
      <w:pPr>
        <w:pStyle w:val="Naslov3"/>
        <w:rPr>
          <w:rFonts w:cs="Arial"/>
          <w:szCs w:val="20"/>
        </w:rPr>
      </w:pPr>
      <w:bookmarkStart w:id="19" w:name="_Toc106099905"/>
      <w:r>
        <w:rPr>
          <w:rFonts w:ascii="Arial" w:eastAsia="Times New Roman" w:hAnsi="Arial" w:cs="Arial"/>
          <w:b w:val="0"/>
          <w:bCs w:val="0"/>
          <w:color w:val="auto"/>
          <w:szCs w:val="20"/>
        </w:rPr>
        <w:t>2.2.1.1 Ukrepi iz skladov</w:t>
      </w:r>
      <w:bookmarkEnd w:id="19"/>
      <w:r>
        <w:rPr>
          <w:rFonts w:ascii="Arial" w:eastAsia="Times New Roman" w:hAnsi="Arial" w:cs="Arial"/>
          <w:b w:val="0"/>
          <w:bCs w:val="0"/>
          <w:color w:val="auto"/>
          <w:szCs w:val="20"/>
        </w:rPr>
        <w:t xml:space="preserve"> </w:t>
      </w:r>
    </w:p>
    <w:p w14:paraId="0DC91928" w14:textId="77777777" w:rsidR="005E51C2" w:rsidRPr="005E51C2" w:rsidRDefault="005E51C2"/>
    <w:p w14:paraId="21B0F706" w14:textId="00468DAD" w:rsidR="00854925" w:rsidRPr="00AC29EA" w:rsidRDefault="00854925" w:rsidP="00854925">
      <w:pPr>
        <w:rPr>
          <w:rFonts w:cs="Arial"/>
          <w:bCs/>
          <w:i/>
          <w:noProof/>
          <w:szCs w:val="20"/>
          <w:lang w:val="it-IT"/>
        </w:rPr>
      </w:pPr>
      <w:r w:rsidRPr="00AC29EA">
        <w:rPr>
          <w:rFonts w:cs="Arial"/>
          <w:bCs/>
          <w:i/>
          <w:noProof/>
          <w:szCs w:val="20"/>
          <w:lang w:val="it-IT"/>
        </w:rPr>
        <w:t>Povezan</w:t>
      </w:r>
      <w:r w:rsidR="005E51C2">
        <w:rPr>
          <w:rFonts w:cs="Arial"/>
          <w:bCs/>
          <w:i/>
          <w:noProof/>
          <w:szCs w:val="20"/>
          <w:lang w:val="it-IT"/>
        </w:rPr>
        <w:t>e</w:t>
      </w:r>
      <w:r w:rsidRPr="00AC29EA">
        <w:rPr>
          <w:rFonts w:cs="Arial"/>
          <w:bCs/>
          <w:i/>
          <w:noProof/>
          <w:szCs w:val="20"/>
          <w:lang w:val="it-IT"/>
        </w:rPr>
        <w:t xml:space="preserve"> </w:t>
      </w:r>
      <w:r w:rsidR="005E51C2">
        <w:rPr>
          <w:rFonts w:cs="Arial"/>
          <w:bCs/>
          <w:i/>
          <w:noProof/>
          <w:szCs w:val="20"/>
          <w:lang w:val="it-IT"/>
        </w:rPr>
        <w:t>vrste</w:t>
      </w:r>
      <w:r w:rsidRPr="00AC29EA">
        <w:rPr>
          <w:rFonts w:cs="Arial"/>
          <w:bCs/>
          <w:i/>
          <w:noProof/>
          <w:szCs w:val="20"/>
          <w:lang w:val="it-IT"/>
        </w:rPr>
        <w:t xml:space="preserve"> </w:t>
      </w:r>
      <w:r w:rsidR="005E51C2">
        <w:rPr>
          <w:rFonts w:cs="Arial"/>
          <w:bCs/>
          <w:i/>
          <w:noProof/>
          <w:szCs w:val="20"/>
          <w:lang w:val="it-IT"/>
        </w:rPr>
        <w:t>ukrepov</w:t>
      </w:r>
      <w:r w:rsidRPr="00AC29EA">
        <w:rPr>
          <w:rFonts w:cs="Arial"/>
          <w:bCs/>
          <w:i/>
          <w:noProof/>
          <w:szCs w:val="20"/>
          <w:lang w:val="it-IT"/>
        </w:rPr>
        <w:t xml:space="preserve"> – Člen </w:t>
      </w:r>
      <w:r w:rsidR="005E51C2">
        <w:rPr>
          <w:rFonts w:cs="Arial"/>
          <w:bCs/>
          <w:i/>
          <w:noProof/>
          <w:szCs w:val="20"/>
          <w:lang w:val="it-IT"/>
        </w:rPr>
        <w:t>22</w:t>
      </w:r>
      <w:r w:rsidRPr="00AC29EA">
        <w:rPr>
          <w:rFonts w:cs="Arial"/>
          <w:bCs/>
          <w:i/>
          <w:noProof/>
          <w:szCs w:val="20"/>
          <w:lang w:val="it-IT"/>
        </w:rPr>
        <w:t>(3)(e)(i)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54925" w:rsidRPr="005D2CCE" w14:paraId="5A7D9BA5" w14:textId="77777777" w:rsidTr="00714475">
        <w:tc>
          <w:tcPr>
            <w:tcW w:w="8359" w:type="dxa"/>
            <w:shd w:val="clear" w:color="auto" w:fill="auto"/>
          </w:tcPr>
          <w:p w14:paraId="0E120500" w14:textId="16CCFC7A" w:rsidR="00854925" w:rsidRPr="005D2CCE" w:rsidRDefault="00854925" w:rsidP="00854925">
            <w:pPr>
              <w:rPr>
                <w:rFonts w:cs="Arial"/>
                <w:bCs/>
                <w:i/>
                <w:noProof/>
                <w:sz w:val="18"/>
                <w:szCs w:val="18"/>
              </w:rPr>
            </w:pPr>
          </w:p>
          <w:p w14:paraId="56B1E896" w14:textId="2DB5C47F"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 xml:space="preserve">Tehnična pomoč </w:t>
            </w:r>
            <w:r w:rsidR="00C46E19" w:rsidRPr="005D2CCE">
              <w:rPr>
                <w:rFonts w:eastAsia="Calibri" w:cs="Arial"/>
                <w:noProof/>
                <w:sz w:val="18"/>
                <w:szCs w:val="18"/>
              </w:rPr>
              <w:t xml:space="preserve">se bo izvajala </w:t>
            </w:r>
            <w:r w:rsidRPr="005D2CCE">
              <w:rPr>
                <w:rFonts w:eastAsia="Calibri" w:cs="Arial"/>
                <w:noProof/>
                <w:sz w:val="18"/>
                <w:szCs w:val="18"/>
              </w:rPr>
              <w:t>v skladu s členom 3</w:t>
            </w:r>
            <w:r w:rsidR="00A056C8">
              <w:rPr>
                <w:rFonts w:eastAsia="Calibri" w:cs="Arial"/>
                <w:noProof/>
                <w:sz w:val="18"/>
                <w:szCs w:val="18"/>
              </w:rPr>
              <w:t>6</w:t>
            </w:r>
            <w:r w:rsidRPr="005D2CCE">
              <w:rPr>
                <w:rFonts w:eastAsia="Calibri" w:cs="Arial"/>
                <w:noProof/>
                <w:sz w:val="18"/>
                <w:szCs w:val="18"/>
              </w:rPr>
              <w:t>(</w:t>
            </w:r>
            <w:r w:rsidR="006063F9" w:rsidRPr="005D2CCE">
              <w:rPr>
                <w:rFonts w:eastAsia="Calibri" w:cs="Arial"/>
                <w:noProof/>
                <w:sz w:val="18"/>
                <w:szCs w:val="18"/>
              </w:rPr>
              <w:t>5</w:t>
            </w:r>
            <w:r w:rsidRPr="005D2CCE">
              <w:rPr>
                <w:rFonts w:eastAsia="Calibri" w:cs="Arial"/>
                <w:noProof/>
                <w:sz w:val="18"/>
                <w:szCs w:val="18"/>
              </w:rPr>
              <w:t>). Slovenija bo v okviru prihodnj</w:t>
            </w:r>
            <w:r w:rsidR="00856CE4" w:rsidRPr="005D2CCE">
              <w:rPr>
                <w:rFonts w:eastAsia="Calibri" w:cs="Arial"/>
                <w:noProof/>
                <w:sz w:val="18"/>
                <w:szCs w:val="18"/>
              </w:rPr>
              <w:t>e</w:t>
            </w:r>
            <w:r w:rsidRPr="005D2CCE">
              <w:rPr>
                <w:rFonts w:eastAsia="Calibri" w:cs="Arial"/>
                <w:noProof/>
                <w:sz w:val="18"/>
                <w:szCs w:val="18"/>
              </w:rPr>
              <w:t xml:space="preserve"> finančne perspektive v primerjavi z ostalimi državami članicami za Evropski sklad za pomorstvo, ribištvo in akvakulturo prejela zneskovno bistveno manj </w:t>
            </w:r>
            <w:r w:rsidR="00891014">
              <w:rPr>
                <w:rFonts w:eastAsia="Calibri" w:cs="Arial"/>
                <w:noProof/>
                <w:sz w:val="18"/>
                <w:szCs w:val="18"/>
              </w:rPr>
              <w:t xml:space="preserve">EU </w:t>
            </w:r>
            <w:r w:rsidRPr="005D2CCE">
              <w:rPr>
                <w:rFonts w:eastAsia="Calibri" w:cs="Arial"/>
                <w:noProof/>
                <w:sz w:val="18"/>
                <w:szCs w:val="18"/>
              </w:rPr>
              <w:t>sredstev. To nas umešča med manjše sklade na primerjalni ravni EU. Tehnična pomoč bo namenjena zagotavljanju učinkovitega izvajanja Operativnega programa za izvajanje Evropskega sklada za pomorstvo, ribištvo in akvakulturo v programskem obdobju 2021—2027, in sicer prvenstveno opravljanju sistemskih nalog, tj. zagotavljanja nalog organa upravljanja in posredniškega organa organa upravljanja.</w:t>
            </w:r>
          </w:p>
          <w:p w14:paraId="02349B5C"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w:t>
            </w:r>
            <w:r w:rsidRPr="005D2CCE">
              <w:rPr>
                <w:rFonts w:eastAsia="Calibri" w:cs="Arial"/>
                <w:noProof/>
                <w:sz w:val="18"/>
                <w:szCs w:val="18"/>
              </w:rPr>
              <w:tab/>
              <w:t xml:space="preserve">usposabljanja in izobraževanja: </w:t>
            </w:r>
          </w:p>
          <w:p w14:paraId="3738DC3C" w14:textId="313FFAC8"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Sredstva tehnične pomoči bodo pripomogla k dvigu upravne zmogljivosti za boljše upravljanje in bolj učinkovito uporabo ESPRA ter doseganje ciljev, sinergij in komplementarnosti z drugimi skladi EU in drugimi viri. OU bo s tenično pomočjo zagotavljal organizacijo usposabljanj in izobraževanj predvsem na ključnih področjih (javna naročila, državne pomoči, knjigovodstvo, poenostavljene oblike financiranja, preverjanja itd.). Usposabljanja oziroma izobraževanja se bodo prilagajala potrebam zaposlenih glede na pod</w:t>
            </w:r>
            <w:r w:rsidR="00891014">
              <w:rPr>
                <w:rFonts w:eastAsia="Calibri" w:cs="Arial"/>
                <w:noProof/>
                <w:sz w:val="18"/>
                <w:szCs w:val="18"/>
              </w:rPr>
              <w:t>ro</w:t>
            </w:r>
            <w:r w:rsidRPr="005D2CCE">
              <w:rPr>
                <w:rFonts w:eastAsia="Calibri" w:cs="Arial"/>
                <w:noProof/>
                <w:sz w:val="18"/>
                <w:szCs w:val="18"/>
              </w:rPr>
              <w:t xml:space="preserve">čje dela. </w:t>
            </w:r>
          </w:p>
          <w:p w14:paraId="1B65AC0A"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w:t>
            </w:r>
            <w:r w:rsidRPr="005D2CCE">
              <w:rPr>
                <w:rFonts w:eastAsia="Calibri" w:cs="Arial"/>
                <w:noProof/>
                <w:sz w:val="18"/>
                <w:szCs w:val="18"/>
              </w:rPr>
              <w:tab/>
              <w:t xml:space="preserve">študije in vrednotenja, najem zunanjih strokovnjakov: </w:t>
            </w:r>
          </w:p>
          <w:p w14:paraId="2685B5A1" w14:textId="3D352106"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Tehnična podpora bo namenjena izdelavi študij, vrednotenj, raziskav, ocen, strokovnih mnenj in poročil na področju izvajanja OP ESPRA 2021-2027. Prav tako pa tehnična pomoč namenjena najemu zunanjih strokovnjakov (npr. za preverjanja na kraju samem</w:t>
            </w:r>
            <w:r w:rsidR="00891014">
              <w:rPr>
                <w:rFonts w:eastAsia="Calibri" w:cs="Arial"/>
                <w:noProof/>
                <w:sz w:val="18"/>
                <w:szCs w:val="18"/>
              </w:rPr>
              <w:t>,</w:t>
            </w:r>
            <w:r w:rsidRPr="005D2CCE">
              <w:rPr>
                <w:rFonts w:eastAsia="Calibri" w:cs="Arial"/>
                <w:noProof/>
                <w:sz w:val="18"/>
                <w:szCs w:val="18"/>
              </w:rPr>
              <w:t xml:space="preserve"> celovito presojo vpliva na okolje</w:t>
            </w:r>
            <w:r w:rsidR="00891014">
              <w:rPr>
                <w:rFonts w:eastAsia="Calibri" w:cs="Arial"/>
                <w:noProof/>
                <w:sz w:val="18"/>
                <w:szCs w:val="18"/>
              </w:rPr>
              <w:t>, vrednotenje izvajanja programa…)</w:t>
            </w:r>
            <w:r w:rsidRPr="005D2CCE">
              <w:rPr>
                <w:rFonts w:eastAsia="Calibri" w:cs="Arial"/>
                <w:noProof/>
                <w:sz w:val="18"/>
                <w:szCs w:val="18"/>
              </w:rPr>
              <w:t>. V okviru tehnične pmoči so predvidene tudi druge študije glede na potrebe. Tehnična pomoč bo krila tudi stroške revizij</w:t>
            </w:r>
            <w:r w:rsidR="00891014">
              <w:rPr>
                <w:rFonts w:eastAsia="Calibri" w:cs="Arial"/>
                <w:noProof/>
                <w:sz w:val="18"/>
                <w:szCs w:val="18"/>
              </w:rPr>
              <w:t>, če bo to potrebno.</w:t>
            </w:r>
          </w:p>
          <w:p w14:paraId="7295AB97"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w:t>
            </w:r>
            <w:r w:rsidRPr="005D2CCE">
              <w:rPr>
                <w:rFonts w:eastAsia="Calibri" w:cs="Arial"/>
                <w:noProof/>
                <w:sz w:val="18"/>
                <w:szCs w:val="18"/>
              </w:rPr>
              <w:tab/>
              <w:t>informacijski sistemi:</w:t>
            </w:r>
          </w:p>
          <w:p w14:paraId="72E4B258"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Tenična podpora bo uporabljena za financiranje aktivnosti za posodobitev informacijskega sistema organa upravljanja in posredniškega organa organa upravljanja, ki mora biti prilagojen novi zakonodaji v obdobju 2021-2027.</w:t>
            </w:r>
          </w:p>
          <w:p w14:paraId="4A9AC8CA"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w:t>
            </w:r>
            <w:r w:rsidRPr="005D2CCE">
              <w:rPr>
                <w:rFonts w:eastAsia="Calibri" w:cs="Arial"/>
                <w:noProof/>
                <w:sz w:val="18"/>
                <w:szCs w:val="18"/>
              </w:rPr>
              <w:tab/>
              <w:t xml:space="preserve">komunikacijske aktivnosti: </w:t>
            </w:r>
          </w:p>
          <w:p w14:paraId="2F15B9BC"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Osrednji namen komuniciranja je informiranje različnih javnosti in zagotavljanje njihove aktivne vključenosti, kar bo prispevalo k učinkovitemu izvajanju OP ESPRA 2021-2027. OU bo uporabljal različna komunikacijska orodja, ki se bodo prilagajala ciljnim skupinam, vsebini, aktualnim trendom in potrebam tako OU kot ciljnih skupin. Aktivnosti bodo potekale v skladu s komunikacijsko strategijo (npr. vzpostavitev spletne strani in drugih digitalnih kanalov, oglaševanje v elektronskih in tiskanih medijih, na radiu, televiziji, spletnih straneh in družbenih omrežjih, produkcija avdio in video vsebin za posamezne kanale, organizacija dogodkov, konferenc, sejmov in seminarjev za komuniciranje posebnih tematskih vsebin ali doseganje določenih ciljnih skupin, priprava tiskovin ali promocijskih materialov itd.).</w:t>
            </w:r>
          </w:p>
          <w:p w14:paraId="6F833EA8" w14:textId="77777777"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w:t>
            </w:r>
            <w:r w:rsidRPr="005D2CCE">
              <w:rPr>
                <w:rFonts w:eastAsia="Calibri" w:cs="Arial"/>
                <w:noProof/>
                <w:sz w:val="18"/>
                <w:szCs w:val="18"/>
              </w:rPr>
              <w:tab/>
              <w:t>krepitev upravne administrativne in tehnične zmogljivosti za učinkovito izvajanje ESPRA:</w:t>
            </w:r>
          </w:p>
          <w:p w14:paraId="67C9CCFE" w14:textId="5AAD6321" w:rsidR="00891014" w:rsidRPr="00891014" w:rsidRDefault="00C138E4" w:rsidP="00C138E4">
            <w:pPr>
              <w:spacing w:line="276" w:lineRule="auto"/>
              <w:jc w:val="both"/>
              <w:rPr>
                <w:rFonts w:eastAsia="Calibri" w:cs="Arial"/>
                <w:noProof/>
                <w:sz w:val="18"/>
                <w:szCs w:val="18"/>
              </w:rPr>
            </w:pPr>
            <w:r w:rsidRPr="005D2CCE">
              <w:rPr>
                <w:rFonts w:eastAsia="Calibri" w:cs="Arial"/>
                <w:noProof/>
                <w:sz w:val="18"/>
                <w:szCs w:val="18"/>
              </w:rPr>
              <w:t>Tehnična podpora bo uporabljena za ukrepe, ki bodo pripomogli k boljši upravni zmogljivosti vseh organov, vključenih v izvajanje OP ESPRA 2021-2027, npr. nabavo in vzdrževanje te</w:t>
            </w:r>
            <w:r w:rsidR="000C7B02">
              <w:rPr>
                <w:rFonts w:eastAsia="Calibri" w:cs="Arial"/>
                <w:noProof/>
                <w:sz w:val="18"/>
                <w:szCs w:val="18"/>
              </w:rPr>
              <w:t>h</w:t>
            </w:r>
            <w:r w:rsidRPr="005D2CCE">
              <w:rPr>
                <w:rFonts w:eastAsia="Calibri" w:cs="Arial"/>
                <w:noProof/>
                <w:sz w:val="18"/>
                <w:szCs w:val="18"/>
              </w:rPr>
              <w:t xml:space="preserve">nične opreme za bolj učinkovito delo ter druge aktivnosti za dvig </w:t>
            </w:r>
            <w:r w:rsidRPr="00891014">
              <w:rPr>
                <w:rFonts w:eastAsia="Calibri" w:cs="Arial"/>
                <w:noProof/>
                <w:sz w:val="18"/>
                <w:szCs w:val="18"/>
              </w:rPr>
              <w:t>usposobljenosti.</w:t>
            </w:r>
            <w:r w:rsidR="0093599C" w:rsidRPr="00891014">
              <w:rPr>
                <w:rFonts w:eastAsia="Calibri" w:cs="Arial"/>
                <w:noProof/>
                <w:sz w:val="18"/>
                <w:szCs w:val="18"/>
              </w:rPr>
              <w:t xml:space="preserve"> </w:t>
            </w:r>
            <w:r w:rsidR="00891014">
              <w:rPr>
                <w:rFonts w:eastAsia="Calibri" w:cs="Arial"/>
                <w:noProof/>
                <w:sz w:val="18"/>
                <w:szCs w:val="18"/>
              </w:rPr>
              <w:t xml:space="preserve">S pomočjo višje stopnje sofinanciranja (EU: 45%, SI: 55%) </w:t>
            </w:r>
            <w:r w:rsidR="0093599C" w:rsidRPr="00891014">
              <w:rPr>
                <w:rFonts w:eastAsia="Calibri" w:cs="Arial"/>
                <w:noProof/>
                <w:sz w:val="18"/>
                <w:szCs w:val="18"/>
              </w:rPr>
              <w:t>bomo</w:t>
            </w:r>
            <w:r w:rsidR="002D3A44">
              <w:rPr>
                <w:rFonts w:eastAsia="Calibri" w:cs="Arial"/>
                <w:noProof/>
                <w:sz w:val="18"/>
                <w:szCs w:val="18"/>
              </w:rPr>
              <w:t>, vsaj deloma,</w:t>
            </w:r>
            <w:r w:rsidR="0093599C" w:rsidRPr="00891014">
              <w:rPr>
                <w:rFonts w:eastAsia="Calibri" w:cs="Arial"/>
                <w:noProof/>
                <w:sz w:val="18"/>
                <w:szCs w:val="18"/>
              </w:rPr>
              <w:t xml:space="preserve"> </w:t>
            </w:r>
            <w:r w:rsidR="00891014">
              <w:rPr>
                <w:rFonts w:eastAsia="Calibri" w:cs="Arial"/>
                <w:noProof/>
                <w:sz w:val="18"/>
                <w:szCs w:val="18"/>
              </w:rPr>
              <w:t xml:space="preserve">omogočili nadaljnje </w:t>
            </w:r>
            <w:r w:rsidR="0093599C" w:rsidRPr="00891014">
              <w:rPr>
                <w:rFonts w:eastAsia="Calibri" w:cs="Arial"/>
                <w:noProof/>
                <w:sz w:val="18"/>
                <w:szCs w:val="18"/>
              </w:rPr>
              <w:t>sofinanciranje plač za 10 zaposlenih</w:t>
            </w:r>
            <w:r w:rsidR="00891014">
              <w:rPr>
                <w:rFonts w:eastAsia="Calibri" w:cs="Arial"/>
                <w:noProof/>
                <w:sz w:val="18"/>
                <w:szCs w:val="18"/>
              </w:rPr>
              <w:t>, ki bodo v okviru organa upravljanja in posredniškega organa organa upravljanja izvajali naloge OP ESPRA 2021-2027</w:t>
            </w:r>
            <w:r w:rsidR="0093599C" w:rsidRPr="00891014">
              <w:rPr>
                <w:rFonts w:eastAsia="Calibri" w:cs="Arial"/>
                <w:noProof/>
                <w:sz w:val="18"/>
                <w:szCs w:val="18"/>
              </w:rPr>
              <w:t>.</w:t>
            </w:r>
          </w:p>
          <w:p w14:paraId="5391434A" w14:textId="77777777" w:rsidR="00C138E4" w:rsidRPr="005D2CCE" w:rsidRDefault="00C138E4" w:rsidP="00C138E4">
            <w:pPr>
              <w:spacing w:line="276" w:lineRule="auto"/>
              <w:jc w:val="both"/>
              <w:rPr>
                <w:rFonts w:eastAsia="Calibri" w:cs="Arial"/>
                <w:noProof/>
                <w:sz w:val="18"/>
                <w:szCs w:val="18"/>
              </w:rPr>
            </w:pPr>
            <w:r w:rsidRPr="00891014">
              <w:rPr>
                <w:rFonts w:eastAsia="Calibri" w:cs="Arial"/>
                <w:noProof/>
                <w:sz w:val="18"/>
                <w:szCs w:val="18"/>
              </w:rPr>
              <w:t>-</w:t>
            </w:r>
            <w:r w:rsidRPr="00891014">
              <w:rPr>
                <w:rFonts w:eastAsia="Calibri" w:cs="Arial"/>
                <w:noProof/>
                <w:sz w:val="18"/>
                <w:szCs w:val="18"/>
              </w:rPr>
              <w:tab/>
              <w:t>stroški službenih poti:</w:t>
            </w:r>
          </w:p>
          <w:p w14:paraId="06CF54B0" w14:textId="5DEE5986"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lastRenderedPageBreak/>
              <w:t xml:space="preserve">Tehnična pomoč bo uporabljena tudi za kritje stroškov službenih poti za zaposlene v organih, ki so del sistema izvajanja OP ESPRA 2021-2027. Iz tehnične pomoči bodo financirane tudi aktivnosti, izvedene izven območja upravičenosti, v kolikor bodo te aktivnosti predstavljale korist za upravičeno območje (npr. usposabljanja v tujini, izmenjava dobrih praks ipd.). </w:t>
            </w:r>
          </w:p>
          <w:p w14:paraId="5AF09F81" w14:textId="1660C208"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w:t>
            </w:r>
            <w:r w:rsidRPr="005D2CCE">
              <w:rPr>
                <w:rFonts w:eastAsia="Calibri" w:cs="Arial"/>
                <w:noProof/>
                <w:sz w:val="18"/>
                <w:szCs w:val="18"/>
              </w:rPr>
              <w:tab/>
              <w:t>drugi upravljavski stroški</w:t>
            </w:r>
            <w:r w:rsidR="001D2EDB">
              <w:rPr>
                <w:rFonts w:eastAsia="Calibri" w:cs="Arial"/>
                <w:noProof/>
                <w:sz w:val="18"/>
                <w:szCs w:val="18"/>
              </w:rPr>
              <w:t>:</w:t>
            </w:r>
          </w:p>
          <w:p w14:paraId="1C7A3409" w14:textId="1BED610B" w:rsidR="00C138E4" w:rsidRPr="005D2CCE" w:rsidRDefault="00C138E4" w:rsidP="00C138E4">
            <w:pPr>
              <w:spacing w:line="276" w:lineRule="auto"/>
              <w:jc w:val="both"/>
              <w:rPr>
                <w:rFonts w:eastAsia="Calibri" w:cs="Arial"/>
                <w:noProof/>
                <w:sz w:val="18"/>
                <w:szCs w:val="18"/>
              </w:rPr>
            </w:pPr>
            <w:r w:rsidRPr="005D2CCE">
              <w:rPr>
                <w:rFonts w:eastAsia="Calibri" w:cs="Arial"/>
                <w:noProof/>
                <w:sz w:val="18"/>
                <w:szCs w:val="18"/>
              </w:rPr>
              <w:t>Tehnična pomoč OP ESPRA 2021-2027 bo uporabljena tudi za kritje stroškov delovanja sistema, npr. odbora za spremljanje, strošk</w:t>
            </w:r>
            <w:r w:rsidR="0093599C">
              <w:rPr>
                <w:rFonts w:eastAsia="Calibri" w:cs="Arial"/>
                <w:noProof/>
                <w:sz w:val="18"/>
                <w:szCs w:val="18"/>
              </w:rPr>
              <w:t>e</w:t>
            </w:r>
            <w:r w:rsidRPr="005D2CCE">
              <w:rPr>
                <w:rFonts w:eastAsia="Calibri" w:cs="Arial"/>
                <w:noProof/>
                <w:sz w:val="18"/>
                <w:szCs w:val="18"/>
              </w:rPr>
              <w:t xml:space="preserve"> javnih objav (npr. objave v Uradnem listu RS), stroški prevodov in tolmačenja ter</w:t>
            </w:r>
            <w:r w:rsidR="000C7B02">
              <w:rPr>
                <w:rFonts w:eastAsia="Calibri" w:cs="Arial"/>
                <w:noProof/>
                <w:sz w:val="18"/>
                <w:szCs w:val="18"/>
              </w:rPr>
              <w:t xml:space="preserve"> drugi stroški v zvezi z organizacijo srečanj, delavnic </w:t>
            </w:r>
            <w:r w:rsidRPr="005D2CCE">
              <w:rPr>
                <w:rFonts w:eastAsia="Calibri" w:cs="Arial"/>
                <w:noProof/>
                <w:sz w:val="18"/>
                <w:szCs w:val="18"/>
              </w:rPr>
              <w:t>idr.</w:t>
            </w:r>
          </w:p>
          <w:p w14:paraId="1D016B49" w14:textId="1F91BA39" w:rsidR="00C138E4" w:rsidRPr="005D2CCE" w:rsidRDefault="00C138E4" w:rsidP="001D2EDB">
            <w:pPr>
              <w:spacing w:line="276" w:lineRule="auto"/>
              <w:jc w:val="both"/>
              <w:rPr>
                <w:rFonts w:eastAsia="Calibri" w:cs="Arial"/>
                <w:noProof/>
                <w:sz w:val="18"/>
                <w:szCs w:val="18"/>
              </w:rPr>
            </w:pPr>
            <w:r w:rsidRPr="005D2CCE">
              <w:rPr>
                <w:rFonts w:eastAsia="Calibri" w:cs="Arial"/>
                <w:noProof/>
                <w:sz w:val="18"/>
                <w:szCs w:val="18"/>
              </w:rPr>
              <w:t>Tehnična pomoč prispeva k tipu intervencije</w:t>
            </w:r>
            <w:r w:rsidR="001D2EDB">
              <w:rPr>
                <w:rFonts w:eastAsia="Calibri" w:cs="Arial"/>
                <w:noProof/>
                <w:sz w:val="18"/>
                <w:szCs w:val="18"/>
              </w:rPr>
              <w:t xml:space="preserve"> Tehnična pomoč</w:t>
            </w:r>
            <w:r w:rsidRPr="005D2CCE">
              <w:rPr>
                <w:rFonts w:eastAsia="Calibri" w:cs="Arial"/>
                <w:noProof/>
                <w:sz w:val="18"/>
                <w:szCs w:val="18"/>
              </w:rPr>
              <w:t xml:space="preserve">. </w:t>
            </w:r>
          </w:p>
        </w:tc>
      </w:tr>
    </w:tbl>
    <w:p w14:paraId="1FC8F7C3" w14:textId="77777777" w:rsidR="00854925" w:rsidRPr="005D2CCE" w:rsidRDefault="00854925" w:rsidP="00854925">
      <w:pPr>
        <w:rPr>
          <w:rFonts w:cs="Arial"/>
          <w:bCs/>
          <w:i/>
          <w:noProof/>
          <w:sz w:val="18"/>
          <w:szCs w:val="18"/>
        </w:rPr>
      </w:pPr>
    </w:p>
    <w:p w14:paraId="10AD3419" w14:textId="2E2FBD4B" w:rsidR="00E40204" w:rsidRPr="008E6BB7" w:rsidRDefault="00E40204" w:rsidP="00854925">
      <w:pPr>
        <w:rPr>
          <w:rFonts w:cs="Arial"/>
          <w:bCs/>
          <w:i/>
          <w:noProof/>
          <w:szCs w:val="20"/>
          <w:lang w:val="de-DE"/>
        </w:rPr>
      </w:pPr>
      <w:r w:rsidRPr="008E6BB7">
        <w:rPr>
          <w:rFonts w:cs="Arial"/>
          <w:bCs/>
          <w:i/>
          <w:noProof/>
          <w:szCs w:val="20"/>
          <w:lang w:val="de-DE"/>
        </w:rPr>
        <w:t>Glavne c</w:t>
      </w:r>
      <w:r w:rsidR="00854925" w:rsidRPr="008E6BB7">
        <w:rPr>
          <w:rFonts w:cs="Arial"/>
          <w:bCs/>
          <w:i/>
          <w:noProof/>
          <w:szCs w:val="20"/>
          <w:lang w:val="de-DE"/>
        </w:rPr>
        <w:t xml:space="preserve">iljne skupine – Člen </w:t>
      </w:r>
      <w:r w:rsidRPr="008E6BB7">
        <w:rPr>
          <w:rFonts w:cs="Arial"/>
          <w:bCs/>
          <w:i/>
          <w:noProof/>
          <w:szCs w:val="20"/>
          <w:lang w:val="de-DE"/>
        </w:rPr>
        <w:t>22</w:t>
      </w:r>
      <w:r w:rsidR="00854925" w:rsidRPr="008E6BB7">
        <w:rPr>
          <w:rFonts w:cs="Arial"/>
          <w:bCs/>
          <w:i/>
          <w:noProof/>
          <w:szCs w:val="20"/>
          <w:lang w:val="de-DE"/>
        </w:rPr>
        <w:t>(3)(e)(iii)</w:t>
      </w:r>
    </w:p>
    <w:p w14:paraId="4C95A25B" w14:textId="01635339" w:rsidR="00854925" w:rsidRPr="005D2CCE" w:rsidRDefault="00C138E4" w:rsidP="005D2CCE">
      <w:pPr>
        <w:jc w:val="both"/>
        <w:rPr>
          <w:rFonts w:cs="Arial"/>
          <w:sz w:val="18"/>
          <w:szCs w:val="18"/>
        </w:rPr>
      </w:pPr>
      <w:r w:rsidRPr="005D2CCE">
        <w:rPr>
          <w:rFonts w:cs="Arial"/>
          <w:bCs/>
          <w:iCs/>
          <w:noProof/>
          <w:sz w:val="18"/>
          <w:szCs w:val="18"/>
          <w:lang w:val="de-DE"/>
        </w:rPr>
        <w:t>Ciljne skupine so zaposleni vse</w:t>
      </w:r>
      <w:r w:rsidR="0015582D">
        <w:rPr>
          <w:rFonts w:cs="Arial"/>
          <w:bCs/>
          <w:iCs/>
          <w:noProof/>
          <w:sz w:val="18"/>
          <w:szCs w:val="18"/>
          <w:lang w:val="de-DE"/>
        </w:rPr>
        <w:t>h</w:t>
      </w:r>
      <w:r w:rsidRPr="005D2CCE">
        <w:rPr>
          <w:rFonts w:cs="Arial"/>
          <w:bCs/>
          <w:iCs/>
          <w:noProof/>
          <w:sz w:val="18"/>
          <w:szCs w:val="18"/>
          <w:lang w:val="de-DE"/>
        </w:rPr>
        <w:t xml:space="preserve"> organov</w:t>
      </w:r>
      <w:r w:rsidR="001D2EDB">
        <w:rPr>
          <w:rFonts w:cs="Arial"/>
          <w:bCs/>
          <w:iCs/>
          <w:noProof/>
          <w:sz w:val="18"/>
          <w:szCs w:val="18"/>
          <w:lang w:val="de-DE"/>
        </w:rPr>
        <w:t xml:space="preserve"> v okviru sistema upravljanja in nadzora</w:t>
      </w:r>
      <w:r w:rsidRPr="005D2CCE">
        <w:rPr>
          <w:rFonts w:cs="Arial"/>
          <w:bCs/>
          <w:iCs/>
          <w:noProof/>
          <w:sz w:val="18"/>
          <w:szCs w:val="18"/>
          <w:lang w:val="de-DE"/>
        </w:rPr>
        <w:t>: organa upravljanja, posredniškega organa</w:t>
      </w:r>
      <w:r w:rsidR="001D2EDB">
        <w:rPr>
          <w:rFonts w:cs="Arial"/>
          <w:bCs/>
          <w:iCs/>
          <w:noProof/>
          <w:sz w:val="18"/>
          <w:szCs w:val="18"/>
          <w:lang w:val="de-DE"/>
        </w:rPr>
        <w:t xml:space="preserve"> in organa, ki izvaja računovodsko funkcijo iz člena 76 Uredbe (EU) 2021/1060</w:t>
      </w:r>
      <w:r w:rsidR="00BB3F35">
        <w:rPr>
          <w:rFonts w:cs="Arial"/>
          <w:bCs/>
          <w:iCs/>
          <w:noProof/>
          <w:sz w:val="18"/>
          <w:szCs w:val="18"/>
          <w:lang w:val="de-DE"/>
        </w:rPr>
        <w:t xml:space="preserve">, </w:t>
      </w:r>
      <w:r w:rsidRPr="005D2CCE">
        <w:rPr>
          <w:rFonts w:cs="Arial"/>
          <w:bCs/>
          <w:iCs/>
          <w:noProof/>
          <w:sz w:val="18"/>
          <w:szCs w:val="18"/>
          <w:lang w:val="de-DE"/>
        </w:rPr>
        <w:t xml:space="preserve">in revizijskega organa, prav tako pa </w:t>
      </w:r>
      <w:r w:rsidR="005F4D25">
        <w:rPr>
          <w:rFonts w:cs="Arial"/>
          <w:bCs/>
          <w:iCs/>
          <w:noProof/>
          <w:sz w:val="18"/>
          <w:szCs w:val="18"/>
          <w:lang w:val="de-DE"/>
        </w:rPr>
        <w:t xml:space="preserve">tudi subjekti v </w:t>
      </w:r>
      <w:r w:rsidRPr="005D2CCE">
        <w:rPr>
          <w:rFonts w:cs="Arial"/>
          <w:bCs/>
          <w:iCs/>
          <w:noProof/>
          <w:sz w:val="18"/>
          <w:szCs w:val="18"/>
          <w:lang w:val="de-DE"/>
        </w:rPr>
        <w:t>s</w:t>
      </w:r>
      <w:r w:rsidR="005F4D25">
        <w:rPr>
          <w:rFonts w:cs="Arial"/>
          <w:bCs/>
          <w:iCs/>
          <w:noProof/>
          <w:sz w:val="18"/>
          <w:szCs w:val="18"/>
          <w:lang w:val="de-DE"/>
        </w:rPr>
        <w:t>ektorjih</w:t>
      </w:r>
      <w:r w:rsidRPr="005D2CCE">
        <w:rPr>
          <w:rFonts w:cs="Arial"/>
          <w:bCs/>
          <w:iCs/>
          <w:noProof/>
          <w:sz w:val="18"/>
          <w:szCs w:val="18"/>
          <w:lang w:val="de-DE"/>
        </w:rPr>
        <w:t xml:space="preserve"> morskega gospodarskega ribolova, akvakulture in predelave proizvodov iz ribištva in akvakulture</w:t>
      </w:r>
      <w:r w:rsidR="00BB3F35">
        <w:rPr>
          <w:rFonts w:cs="Arial"/>
          <w:bCs/>
          <w:iCs/>
          <w:noProof/>
          <w:sz w:val="18"/>
          <w:szCs w:val="18"/>
          <w:lang w:val="de-DE"/>
        </w:rPr>
        <w:t xml:space="preserve"> ter druge ciljne skupine, navedene v programu.</w:t>
      </w:r>
    </w:p>
    <w:p w14:paraId="09A813EB" w14:textId="77777777" w:rsidR="000E68C3" w:rsidRDefault="000E68C3" w:rsidP="004A0C99">
      <w:pPr>
        <w:rPr>
          <w:rFonts w:cs="Arial"/>
          <w:b/>
          <w:szCs w:val="20"/>
        </w:rPr>
      </w:pPr>
    </w:p>
    <w:p w14:paraId="1E649879" w14:textId="3BD7316C" w:rsidR="008A594D" w:rsidRPr="008E6BB7" w:rsidRDefault="004F108E" w:rsidP="008E6BB7">
      <w:pPr>
        <w:pStyle w:val="Naslov3"/>
        <w:rPr>
          <w:rFonts w:cs="Arial"/>
          <w:b w:val="0"/>
        </w:rPr>
      </w:pPr>
      <w:bookmarkStart w:id="20" w:name="_Toc106099906"/>
      <w:r w:rsidRPr="00817570">
        <w:rPr>
          <w:rFonts w:ascii="Arial" w:hAnsi="Arial" w:cs="Arial"/>
          <w:b w:val="0"/>
        </w:rPr>
        <w:t>2.2.1.2 Kazalniki</w:t>
      </w:r>
      <w:bookmarkStart w:id="21" w:name="_GoBack"/>
      <w:bookmarkEnd w:id="20"/>
      <w:bookmarkEnd w:id="21"/>
    </w:p>
    <w:p w14:paraId="442B4BBC" w14:textId="77777777" w:rsidR="004F108E" w:rsidRDefault="004F108E" w:rsidP="004A0C99">
      <w:pPr>
        <w:rPr>
          <w:rFonts w:cs="Arial"/>
          <w:b/>
          <w:szCs w:val="20"/>
        </w:rPr>
      </w:pPr>
    </w:p>
    <w:p w14:paraId="5AF05FDB" w14:textId="40022925" w:rsidR="00854925" w:rsidRPr="00A40660" w:rsidRDefault="004A0C99" w:rsidP="00854925">
      <w:pPr>
        <w:rPr>
          <w:rFonts w:cs="Arial"/>
          <w:szCs w:val="20"/>
        </w:rPr>
      </w:pPr>
      <w:r w:rsidRPr="008E6BB7">
        <w:rPr>
          <w:rFonts w:cs="Arial"/>
          <w:szCs w:val="20"/>
        </w:rPr>
        <w:t>Kazalniki učinka povezani z mejniki in cilji</w:t>
      </w:r>
      <w:r w:rsidR="008A594D">
        <w:rPr>
          <w:rFonts w:cs="Arial"/>
          <w:szCs w:val="20"/>
        </w:rPr>
        <w:t xml:space="preserve"> </w:t>
      </w:r>
      <w:r w:rsidRPr="008E6BB7">
        <w:rPr>
          <w:rFonts w:cs="Arial"/>
          <w:szCs w:val="20"/>
        </w:rPr>
        <w:t xml:space="preserve">– </w:t>
      </w:r>
      <w:r w:rsidR="008A594D">
        <w:rPr>
          <w:rFonts w:cs="Arial"/>
          <w:szCs w:val="20"/>
        </w:rPr>
        <w:t xml:space="preserve">Sklic: </w:t>
      </w:r>
      <w:r w:rsidRPr="008E6BB7">
        <w:rPr>
          <w:rFonts w:cs="Arial"/>
          <w:noProof/>
          <w:szCs w:val="20"/>
        </w:rPr>
        <w:t xml:space="preserve">Člen </w:t>
      </w:r>
      <w:r w:rsidR="008A594D">
        <w:rPr>
          <w:rFonts w:cs="Arial"/>
          <w:noProof/>
          <w:szCs w:val="20"/>
        </w:rPr>
        <w:t>22</w:t>
      </w:r>
      <w:r w:rsidRPr="008E6BB7">
        <w:rPr>
          <w:rFonts w:cs="Arial"/>
          <w:noProof/>
          <w:szCs w:val="20"/>
        </w:rPr>
        <w:t>(3)(e)(ii)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061"/>
        <w:gridCol w:w="895"/>
        <w:gridCol w:w="868"/>
        <w:gridCol w:w="1029"/>
        <w:gridCol w:w="907"/>
        <w:gridCol w:w="947"/>
        <w:gridCol w:w="1219"/>
      </w:tblGrid>
      <w:tr w:rsidR="004A0C99" w:rsidRPr="00A40660" w14:paraId="7F2C79A5" w14:textId="77777777" w:rsidTr="00C251F2">
        <w:trPr>
          <w:trHeight w:val="425"/>
        </w:trPr>
        <w:tc>
          <w:tcPr>
            <w:tcW w:w="5000" w:type="pct"/>
            <w:gridSpan w:val="8"/>
          </w:tcPr>
          <w:p w14:paraId="529A293A" w14:textId="77777777" w:rsidR="004A0C99" w:rsidRPr="00A40660" w:rsidRDefault="004A0C99" w:rsidP="002008C1">
            <w:pPr>
              <w:pStyle w:val="Text1"/>
              <w:ind w:left="0"/>
              <w:rPr>
                <w:rFonts w:ascii="Arial" w:hAnsi="Arial" w:cs="Arial"/>
                <w:b/>
                <w:noProof/>
                <w:sz w:val="20"/>
                <w:szCs w:val="20"/>
              </w:rPr>
            </w:pPr>
            <w:r w:rsidRPr="00A40660">
              <w:rPr>
                <w:rFonts w:ascii="Arial" w:eastAsia="Times New Roman" w:hAnsi="Arial" w:cs="Arial"/>
                <w:b/>
                <w:iCs/>
                <w:noProof/>
                <w:sz w:val="20"/>
                <w:szCs w:val="20"/>
                <w:lang w:eastAsia="en-GB"/>
              </w:rPr>
              <w:t>Preglednica 2: Kazalniki učinka</w:t>
            </w:r>
          </w:p>
        </w:tc>
      </w:tr>
      <w:tr w:rsidR="004A0C99" w:rsidRPr="00A40660" w14:paraId="3401DEBB" w14:textId="77777777" w:rsidTr="00BC6F4E">
        <w:trPr>
          <w:trHeight w:val="1647"/>
        </w:trPr>
        <w:tc>
          <w:tcPr>
            <w:tcW w:w="920" w:type="pct"/>
          </w:tcPr>
          <w:p w14:paraId="6843BE80"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Prednostna naloga</w:t>
            </w:r>
          </w:p>
        </w:tc>
        <w:tc>
          <w:tcPr>
            <w:tcW w:w="625" w:type="pct"/>
          </w:tcPr>
          <w:p w14:paraId="09F0359B" w14:textId="77777777" w:rsidR="004A0C99" w:rsidRPr="00952759" w:rsidRDefault="004A0C99" w:rsidP="002008C1">
            <w:pPr>
              <w:pStyle w:val="Text1"/>
              <w:ind w:left="0"/>
              <w:rPr>
                <w:rFonts w:ascii="Arial" w:hAnsi="Arial" w:cs="Arial"/>
                <w:b/>
                <w:noProof/>
                <w:sz w:val="20"/>
                <w:szCs w:val="20"/>
                <w:lang w:val="it-IT"/>
              </w:rPr>
            </w:pPr>
            <w:r w:rsidRPr="00952759">
              <w:rPr>
                <w:rFonts w:ascii="Arial" w:hAnsi="Arial" w:cs="Arial"/>
                <w:b/>
                <w:noProof/>
                <w:sz w:val="20"/>
                <w:szCs w:val="20"/>
                <w:lang w:val="it-IT"/>
              </w:rPr>
              <w:t xml:space="preserve">Posebni cilj ali področje podpore </w:t>
            </w:r>
          </w:p>
        </w:tc>
        <w:tc>
          <w:tcPr>
            <w:tcW w:w="527" w:type="pct"/>
          </w:tcPr>
          <w:p w14:paraId="5F452D82"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Sklad</w:t>
            </w:r>
          </w:p>
        </w:tc>
        <w:tc>
          <w:tcPr>
            <w:tcW w:w="512" w:type="pct"/>
          </w:tcPr>
          <w:p w14:paraId="7BEFC8E3"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ID [5]</w:t>
            </w:r>
          </w:p>
        </w:tc>
        <w:tc>
          <w:tcPr>
            <w:tcW w:w="606" w:type="pct"/>
            <w:shd w:val="clear" w:color="auto" w:fill="auto"/>
          </w:tcPr>
          <w:p w14:paraId="38FAA58D"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 xml:space="preserve">Kazalnik [255] </w:t>
            </w:r>
          </w:p>
        </w:tc>
        <w:tc>
          <w:tcPr>
            <w:tcW w:w="534" w:type="pct"/>
          </w:tcPr>
          <w:p w14:paraId="02ADDA15"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Merska enota</w:t>
            </w:r>
          </w:p>
        </w:tc>
        <w:tc>
          <w:tcPr>
            <w:tcW w:w="558" w:type="pct"/>
            <w:shd w:val="clear" w:color="auto" w:fill="auto"/>
          </w:tcPr>
          <w:p w14:paraId="62941285"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Mejnik (2024)</w:t>
            </w:r>
          </w:p>
          <w:p w14:paraId="65976FAD" w14:textId="77777777" w:rsidR="004A0C99" w:rsidRPr="00A40660" w:rsidRDefault="004A0C99" w:rsidP="002008C1">
            <w:pPr>
              <w:pStyle w:val="Text1"/>
              <w:ind w:left="0"/>
              <w:rPr>
                <w:rFonts w:ascii="Arial" w:hAnsi="Arial" w:cs="Arial"/>
                <w:b/>
                <w:noProof/>
                <w:sz w:val="20"/>
                <w:szCs w:val="20"/>
              </w:rPr>
            </w:pPr>
          </w:p>
        </w:tc>
        <w:tc>
          <w:tcPr>
            <w:tcW w:w="717" w:type="pct"/>
            <w:shd w:val="clear" w:color="auto" w:fill="auto"/>
          </w:tcPr>
          <w:p w14:paraId="7DA43E40"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Cilj</w:t>
            </w:r>
          </w:p>
          <w:p w14:paraId="20F50780" w14:textId="77777777" w:rsidR="004A0C99" w:rsidRPr="00A40660" w:rsidRDefault="004A0C99" w:rsidP="002008C1">
            <w:pPr>
              <w:pStyle w:val="Text1"/>
              <w:ind w:left="0"/>
              <w:rPr>
                <w:rFonts w:ascii="Arial" w:hAnsi="Arial" w:cs="Arial"/>
                <w:b/>
                <w:noProof/>
                <w:sz w:val="20"/>
                <w:szCs w:val="20"/>
              </w:rPr>
            </w:pPr>
            <w:r w:rsidRPr="00A40660">
              <w:rPr>
                <w:rFonts w:ascii="Arial" w:hAnsi="Arial" w:cs="Arial"/>
                <w:b/>
                <w:noProof/>
                <w:sz w:val="20"/>
                <w:szCs w:val="20"/>
              </w:rPr>
              <w:t>(2029)</w:t>
            </w:r>
          </w:p>
          <w:p w14:paraId="732D82DA" w14:textId="77777777" w:rsidR="004A0C99" w:rsidRPr="00A40660" w:rsidRDefault="004A0C99" w:rsidP="002008C1">
            <w:pPr>
              <w:pStyle w:val="Text1"/>
              <w:ind w:left="0"/>
              <w:rPr>
                <w:rFonts w:ascii="Arial" w:hAnsi="Arial" w:cs="Arial"/>
                <w:b/>
                <w:noProof/>
                <w:sz w:val="20"/>
                <w:szCs w:val="20"/>
              </w:rPr>
            </w:pPr>
          </w:p>
        </w:tc>
      </w:tr>
      <w:tr w:rsidR="000E68C3" w:rsidRPr="00A40660" w14:paraId="29AA1AFC" w14:textId="77777777" w:rsidTr="00BC6F4E">
        <w:trPr>
          <w:trHeight w:val="340"/>
        </w:trPr>
        <w:tc>
          <w:tcPr>
            <w:tcW w:w="920" w:type="pct"/>
            <w:vMerge w:val="restart"/>
          </w:tcPr>
          <w:p w14:paraId="46CA7763" w14:textId="317D1631" w:rsidR="000E68C3" w:rsidRPr="00C251F2" w:rsidRDefault="000E68C3" w:rsidP="002008C1">
            <w:pPr>
              <w:pStyle w:val="Text1"/>
              <w:ind w:left="0"/>
              <w:rPr>
                <w:rFonts w:ascii="Arial" w:hAnsi="Arial" w:cs="Arial"/>
                <w:bCs/>
                <w:iCs/>
                <w:noProof/>
                <w:sz w:val="20"/>
                <w:szCs w:val="20"/>
                <w:lang w:val="sl-SI"/>
              </w:rPr>
            </w:pPr>
            <w:r w:rsidRPr="00C251F2">
              <w:rPr>
                <w:rFonts w:ascii="Arial" w:hAnsi="Arial" w:cs="Arial"/>
                <w:bCs/>
                <w:iCs/>
                <w:noProof/>
                <w:sz w:val="20"/>
                <w:szCs w:val="20"/>
                <w:lang w:val="sl-SI"/>
              </w:rPr>
              <w:t>Spodbujanje trajnostnega ribištva in ohranjanje vodnih bioloških virov</w:t>
            </w:r>
          </w:p>
        </w:tc>
        <w:tc>
          <w:tcPr>
            <w:tcW w:w="625" w:type="pct"/>
          </w:tcPr>
          <w:p w14:paraId="6052E76E" w14:textId="1A50E813" w:rsidR="000E68C3" w:rsidRPr="000A4DE5" w:rsidRDefault="000E68C3" w:rsidP="002008C1">
            <w:pPr>
              <w:pStyle w:val="Text1"/>
              <w:ind w:left="0"/>
              <w:rPr>
                <w:rFonts w:ascii="Arial" w:hAnsi="Arial" w:cs="Arial"/>
                <w:noProof/>
                <w:sz w:val="20"/>
                <w:szCs w:val="20"/>
                <w:lang w:val="sl-SI"/>
              </w:rPr>
            </w:pPr>
            <w:r w:rsidRPr="000A4DE5">
              <w:rPr>
                <w:rFonts w:ascii="Arial" w:hAnsi="Arial" w:cs="Arial"/>
                <w:noProof/>
                <w:sz w:val="20"/>
                <w:szCs w:val="20"/>
                <w:lang w:val="sl-SI"/>
              </w:rPr>
              <w:t>1.1</w:t>
            </w:r>
            <w:r w:rsidR="00BF6BB5">
              <w:rPr>
                <w:rFonts w:ascii="Arial" w:hAnsi="Arial" w:cs="Arial"/>
                <w:noProof/>
                <w:sz w:val="20"/>
                <w:szCs w:val="20"/>
                <w:lang w:val="sl-SI"/>
              </w:rPr>
              <w:t>.1</w:t>
            </w:r>
          </w:p>
        </w:tc>
        <w:tc>
          <w:tcPr>
            <w:tcW w:w="527" w:type="pct"/>
          </w:tcPr>
          <w:p w14:paraId="67855853" w14:textId="32882E5D" w:rsidR="000E68C3" w:rsidRPr="002730C5" w:rsidRDefault="000E68C3" w:rsidP="002008C1">
            <w:pPr>
              <w:pStyle w:val="Text1"/>
              <w:ind w:left="0"/>
              <w:rPr>
                <w:rFonts w:ascii="Arial" w:hAnsi="Arial" w:cs="Arial"/>
                <w:bCs/>
                <w:iCs/>
                <w:noProof/>
                <w:sz w:val="20"/>
                <w:szCs w:val="20"/>
              </w:rPr>
            </w:pPr>
            <w:r w:rsidRPr="002730C5">
              <w:rPr>
                <w:rFonts w:ascii="Arial" w:hAnsi="Arial" w:cs="Arial"/>
                <w:bCs/>
                <w:iCs/>
                <w:noProof/>
                <w:sz w:val="20"/>
                <w:szCs w:val="20"/>
              </w:rPr>
              <w:t>ESPRA</w:t>
            </w:r>
          </w:p>
        </w:tc>
        <w:tc>
          <w:tcPr>
            <w:tcW w:w="512" w:type="pct"/>
          </w:tcPr>
          <w:p w14:paraId="019A618A" w14:textId="77777777" w:rsidR="000E68C3" w:rsidRPr="000A4DE5" w:rsidRDefault="000E68C3" w:rsidP="002008C1">
            <w:pPr>
              <w:pStyle w:val="Text1"/>
              <w:ind w:left="0"/>
              <w:rPr>
                <w:rFonts w:ascii="Arial" w:hAnsi="Arial" w:cs="Arial"/>
                <w:noProof/>
                <w:sz w:val="20"/>
                <w:szCs w:val="20"/>
              </w:rPr>
            </w:pPr>
          </w:p>
        </w:tc>
        <w:tc>
          <w:tcPr>
            <w:tcW w:w="606" w:type="pct"/>
            <w:shd w:val="clear" w:color="auto" w:fill="auto"/>
          </w:tcPr>
          <w:p w14:paraId="1A9CA880" w14:textId="30FAAAFB" w:rsidR="000E68C3" w:rsidRPr="000A4DE5" w:rsidRDefault="000E68C3" w:rsidP="002008C1">
            <w:pPr>
              <w:pStyle w:val="Text1"/>
              <w:ind w:left="0"/>
              <w:rPr>
                <w:rFonts w:ascii="Arial" w:hAnsi="Arial" w:cs="Arial"/>
                <w:noProof/>
                <w:sz w:val="20"/>
                <w:szCs w:val="20"/>
              </w:rPr>
            </w:pPr>
            <w:r>
              <w:rPr>
                <w:rFonts w:ascii="Arial" w:hAnsi="Arial" w:cs="Arial"/>
                <w:noProof/>
                <w:sz w:val="20"/>
                <w:szCs w:val="20"/>
              </w:rPr>
              <w:t>Število operacij</w:t>
            </w:r>
          </w:p>
        </w:tc>
        <w:tc>
          <w:tcPr>
            <w:tcW w:w="534" w:type="pct"/>
          </w:tcPr>
          <w:p w14:paraId="06F90747" w14:textId="1F219E7E" w:rsidR="000E68C3" w:rsidRPr="000A4DE5" w:rsidRDefault="000E68C3" w:rsidP="002008C1">
            <w:pPr>
              <w:pStyle w:val="Text1"/>
              <w:ind w:left="0"/>
              <w:rPr>
                <w:rFonts w:ascii="Arial" w:hAnsi="Arial" w:cs="Arial"/>
                <w:noProof/>
                <w:sz w:val="20"/>
                <w:szCs w:val="20"/>
              </w:rPr>
            </w:pPr>
            <w:r>
              <w:rPr>
                <w:rFonts w:ascii="Arial" w:hAnsi="Arial" w:cs="Arial"/>
                <w:noProof/>
                <w:sz w:val="20"/>
                <w:szCs w:val="20"/>
              </w:rPr>
              <w:t>število</w:t>
            </w:r>
          </w:p>
        </w:tc>
        <w:tc>
          <w:tcPr>
            <w:tcW w:w="558" w:type="pct"/>
            <w:shd w:val="clear" w:color="auto" w:fill="auto"/>
          </w:tcPr>
          <w:p w14:paraId="1A98E66E" w14:textId="5785BFEE" w:rsidR="000E68C3" w:rsidRPr="000A4DE5" w:rsidRDefault="0057683C" w:rsidP="002008C1">
            <w:pPr>
              <w:pStyle w:val="Text1"/>
              <w:ind w:left="0"/>
              <w:rPr>
                <w:rFonts w:ascii="Arial" w:hAnsi="Arial" w:cs="Arial"/>
                <w:noProof/>
                <w:sz w:val="20"/>
                <w:szCs w:val="20"/>
              </w:rPr>
            </w:pPr>
            <w:r>
              <w:rPr>
                <w:rFonts w:ascii="Arial" w:hAnsi="Arial" w:cs="Arial"/>
                <w:noProof/>
                <w:sz w:val="20"/>
                <w:szCs w:val="20"/>
              </w:rPr>
              <w:t>2</w:t>
            </w:r>
          </w:p>
        </w:tc>
        <w:tc>
          <w:tcPr>
            <w:tcW w:w="717" w:type="pct"/>
            <w:shd w:val="clear" w:color="auto" w:fill="auto"/>
          </w:tcPr>
          <w:p w14:paraId="76CCCB8F" w14:textId="4120F756" w:rsidR="000E68C3" w:rsidRPr="000A4DE5" w:rsidRDefault="00BB3F35" w:rsidP="002008C1">
            <w:pPr>
              <w:pStyle w:val="Text1"/>
              <w:ind w:left="0"/>
              <w:rPr>
                <w:rFonts w:ascii="Arial" w:hAnsi="Arial" w:cs="Arial"/>
                <w:noProof/>
                <w:sz w:val="20"/>
                <w:szCs w:val="20"/>
              </w:rPr>
            </w:pPr>
            <w:r>
              <w:rPr>
                <w:rFonts w:ascii="Arial" w:hAnsi="Arial" w:cs="Arial"/>
                <w:noProof/>
                <w:sz w:val="20"/>
                <w:szCs w:val="20"/>
              </w:rPr>
              <w:t>2</w:t>
            </w:r>
            <w:r w:rsidR="00226315">
              <w:rPr>
                <w:rFonts w:ascii="Arial" w:hAnsi="Arial" w:cs="Arial"/>
                <w:noProof/>
                <w:sz w:val="20"/>
                <w:szCs w:val="20"/>
              </w:rPr>
              <w:t>1</w:t>
            </w:r>
          </w:p>
        </w:tc>
      </w:tr>
      <w:tr w:rsidR="00BB3F35" w:rsidRPr="00A40660" w14:paraId="5F77D15E" w14:textId="77777777" w:rsidTr="00BC6F4E">
        <w:trPr>
          <w:trHeight w:val="332"/>
        </w:trPr>
        <w:tc>
          <w:tcPr>
            <w:tcW w:w="920" w:type="pct"/>
            <w:vMerge/>
          </w:tcPr>
          <w:p w14:paraId="304EAEF1" w14:textId="77777777" w:rsidR="00BB3F35" w:rsidRPr="00A40660" w:rsidRDefault="00BB3F35" w:rsidP="002008C1">
            <w:pPr>
              <w:pStyle w:val="Text1"/>
              <w:ind w:left="0"/>
              <w:rPr>
                <w:rFonts w:ascii="Arial" w:hAnsi="Arial" w:cs="Arial"/>
                <w:b/>
                <w:i/>
                <w:noProof/>
                <w:sz w:val="20"/>
                <w:szCs w:val="20"/>
              </w:rPr>
            </w:pPr>
          </w:p>
        </w:tc>
        <w:tc>
          <w:tcPr>
            <w:tcW w:w="625" w:type="pct"/>
          </w:tcPr>
          <w:p w14:paraId="559A1736" w14:textId="6E267032" w:rsidR="00BB3F35" w:rsidRPr="000A4DE5" w:rsidRDefault="00BB3F35" w:rsidP="002008C1">
            <w:pPr>
              <w:pStyle w:val="Text1"/>
              <w:ind w:left="0"/>
              <w:rPr>
                <w:rFonts w:ascii="Arial" w:hAnsi="Arial" w:cs="Arial"/>
                <w:noProof/>
                <w:sz w:val="20"/>
                <w:szCs w:val="20"/>
              </w:rPr>
            </w:pPr>
            <w:r>
              <w:rPr>
                <w:rFonts w:ascii="Arial" w:hAnsi="Arial" w:cs="Arial"/>
                <w:noProof/>
                <w:sz w:val="20"/>
                <w:szCs w:val="20"/>
              </w:rPr>
              <w:t>1.2</w:t>
            </w:r>
          </w:p>
        </w:tc>
        <w:tc>
          <w:tcPr>
            <w:tcW w:w="527" w:type="pct"/>
          </w:tcPr>
          <w:p w14:paraId="13794D49" w14:textId="6BCCD13C" w:rsidR="00BB3F35" w:rsidRPr="002730C5" w:rsidRDefault="00BB3F35" w:rsidP="002008C1">
            <w:pPr>
              <w:pStyle w:val="Text1"/>
              <w:ind w:left="0"/>
              <w:rPr>
                <w:rFonts w:ascii="Arial" w:hAnsi="Arial" w:cs="Arial"/>
                <w:bCs/>
                <w:iCs/>
                <w:noProof/>
                <w:sz w:val="20"/>
                <w:szCs w:val="20"/>
              </w:rPr>
            </w:pPr>
            <w:r>
              <w:rPr>
                <w:rFonts w:ascii="Arial" w:hAnsi="Arial" w:cs="Arial"/>
                <w:bCs/>
                <w:iCs/>
                <w:noProof/>
                <w:sz w:val="20"/>
                <w:szCs w:val="20"/>
              </w:rPr>
              <w:t>ESPRA</w:t>
            </w:r>
          </w:p>
        </w:tc>
        <w:tc>
          <w:tcPr>
            <w:tcW w:w="512" w:type="pct"/>
          </w:tcPr>
          <w:p w14:paraId="2F9694C1" w14:textId="77777777" w:rsidR="00BB3F35" w:rsidRPr="000A4DE5" w:rsidRDefault="00BB3F35" w:rsidP="002008C1">
            <w:pPr>
              <w:pStyle w:val="Text1"/>
              <w:ind w:left="0"/>
              <w:rPr>
                <w:rFonts w:ascii="Arial" w:hAnsi="Arial" w:cs="Arial"/>
                <w:noProof/>
                <w:sz w:val="20"/>
                <w:szCs w:val="20"/>
              </w:rPr>
            </w:pPr>
          </w:p>
        </w:tc>
        <w:tc>
          <w:tcPr>
            <w:tcW w:w="606" w:type="pct"/>
            <w:shd w:val="clear" w:color="auto" w:fill="auto"/>
          </w:tcPr>
          <w:p w14:paraId="3ED58289" w14:textId="0F47F30B" w:rsidR="00BB3F35" w:rsidRPr="000E68C3" w:rsidRDefault="00BB3F35" w:rsidP="002008C1">
            <w:pPr>
              <w:pStyle w:val="Text1"/>
              <w:ind w:left="0"/>
              <w:rPr>
                <w:rFonts w:ascii="Arial" w:hAnsi="Arial" w:cs="Arial"/>
                <w:noProof/>
                <w:sz w:val="20"/>
                <w:szCs w:val="20"/>
              </w:rPr>
            </w:pPr>
            <w:r w:rsidRPr="00BB3F35">
              <w:rPr>
                <w:rFonts w:ascii="Arial" w:hAnsi="Arial" w:cs="Arial"/>
                <w:noProof/>
                <w:sz w:val="20"/>
                <w:szCs w:val="20"/>
              </w:rPr>
              <w:t>Število operacij</w:t>
            </w:r>
          </w:p>
        </w:tc>
        <w:tc>
          <w:tcPr>
            <w:tcW w:w="534" w:type="pct"/>
          </w:tcPr>
          <w:p w14:paraId="1FFD941E" w14:textId="4E879B98" w:rsidR="00BB3F35" w:rsidRPr="000E68C3" w:rsidRDefault="00BB3F35" w:rsidP="002008C1">
            <w:pPr>
              <w:pStyle w:val="Text1"/>
              <w:ind w:left="0"/>
              <w:rPr>
                <w:rFonts w:ascii="Arial" w:hAnsi="Arial" w:cs="Arial"/>
                <w:noProof/>
                <w:sz w:val="20"/>
                <w:szCs w:val="20"/>
              </w:rPr>
            </w:pPr>
            <w:r w:rsidRPr="00BB3F35">
              <w:rPr>
                <w:rFonts w:ascii="Arial" w:hAnsi="Arial" w:cs="Arial"/>
                <w:noProof/>
                <w:sz w:val="20"/>
                <w:szCs w:val="20"/>
              </w:rPr>
              <w:t>število</w:t>
            </w:r>
          </w:p>
        </w:tc>
        <w:tc>
          <w:tcPr>
            <w:tcW w:w="558" w:type="pct"/>
            <w:shd w:val="clear" w:color="auto" w:fill="auto"/>
          </w:tcPr>
          <w:p w14:paraId="5E280E46" w14:textId="62ED57A9" w:rsidR="00BB3F35" w:rsidRDefault="00BB3F35" w:rsidP="002008C1">
            <w:pPr>
              <w:pStyle w:val="Text1"/>
              <w:ind w:left="0"/>
              <w:rPr>
                <w:rFonts w:ascii="Arial" w:hAnsi="Arial" w:cs="Arial"/>
                <w:noProof/>
                <w:sz w:val="20"/>
                <w:szCs w:val="20"/>
              </w:rPr>
            </w:pPr>
            <w:r>
              <w:rPr>
                <w:rFonts w:ascii="Arial" w:hAnsi="Arial" w:cs="Arial"/>
                <w:noProof/>
                <w:sz w:val="20"/>
                <w:szCs w:val="20"/>
              </w:rPr>
              <w:t>0</w:t>
            </w:r>
          </w:p>
        </w:tc>
        <w:tc>
          <w:tcPr>
            <w:tcW w:w="717" w:type="pct"/>
            <w:shd w:val="clear" w:color="auto" w:fill="auto"/>
          </w:tcPr>
          <w:p w14:paraId="41B8894B" w14:textId="3A63F798" w:rsidR="00BB3F35" w:rsidRDefault="00BB3F35" w:rsidP="002008C1">
            <w:pPr>
              <w:pStyle w:val="Text1"/>
              <w:ind w:left="0"/>
              <w:rPr>
                <w:rFonts w:ascii="Arial" w:hAnsi="Arial" w:cs="Arial"/>
                <w:noProof/>
                <w:sz w:val="20"/>
                <w:szCs w:val="20"/>
              </w:rPr>
            </w:pPr>
            <w:r>
              <w:rPr>
                <w:rFonts w:ascii="Arial" w:hAnsi="Arial" w:cs="Arial"/>
                <w:noProof/>
                <w:sz w:val="20"/>
                <w:szCs w:val="20"/>
              </w:rPr>
              <w:t>4</w:t>
            </w:r>
          </w:p>
        </w:tc>
      </w:tr>
      <w:tr w:rsidR="000E68C3" w:rsidRPr="00A40660" w14:paraId="17D07892" w14:textId="77777777" w:rsidTr="00BC6F4E">
        <w:trPr>
          <w:trHeight w:val="332"/>
        </w:trPr>
        <w:tc>
          <w:tcPr>
            <w:tcW w:w="920" w:type="pct"/>
            <w:vMerge/>
          </w:tcPr>
          <w:p w14:paraId="776759D6" w14:textId="2819353F" w:rsidR="000E68C3" w:rsidRPr="00A40660" w:rsidRDefault="000E68C3" w:rsidP="002008C1">
            <w:pPr>
              <w:pStyle w:val="Text1"/>
              <w:ind w:left="0"/>
              <w:rPr>
                <w:rFonts w:ascii="Arial" w:hAnsi="Arial" w:cs="Arial"/>
                <w:b/>
                <w:i/>
                <w:noProof/>
                <w:sz w:val="20"/>
                <w:szCs w:val="20"/>
              </w:rPr>
            </w:pPr>
          </w:p>
        </w:tc>
        <w:tc>
          <w:tcPr>
            <w:tcW w:w="625" w:type="pct"/>
          </w:tcPr>
          <w:p w14:paraId="52EE679E" w14:textId="079CB2DB" w:rsidR="000E68C3" w:rsidRPr="000A4DE5" w:rsidRDefault="000E68C3" w:rsidP="002008C1">
            <w:pPr>
              <w:pStyle w:val="Text1"/>
              <w:ind w:left="0"/>
              <w:rPr>
                <w:rFonts w:ascii="Arial" w:hAnsi="Arial" w:cs="Arial"/>
                <w:noProof/>
                <w:sz w:val="20"/>
                <w:szCs w:val="20"/>
              </w:rPr>
            </w:pPr>
            <w:r w:rsidRPr="000A4DE5">
              <w:rPr>
                <w:rFonts w:ascii="Arial" w:hAnsi="Arial" w:cs="Arial"/>
                <w:noProof/>
                <w:sz w:val="20"/>
                <w:szCs w:val="20"/>
              </w:rPr>
              <w:t>1.3</w:t>
            </w:r>
          </w:p>
        </w:tc>
        <w:tc>
          <w:tcPr>
            <w:tcW w:w="527" w:type="pct"/>
          </w:tcPr>
          <w:p w14:paraId="1F0A026D" w14:textId="1EE0DA37" w:rsidR="000E68C3" w:rsidRPr="002730C5" w:rsidRDefault="000E68C3" w:rsidP="002008C1">
            <w:pPr>
              <w:pStyle w:val="Text1"/>
              <w:ind w:left="0"/>
              <w:rPr>
                <w:rFonts w:ascii="Arial" w:hAnsi="Arial" w:cs="Arial"/>
                <w:bCs/>
                <w:iCs/>
                <w:noProof/>
                <w:sz w:val="20"/>
                <w:szCs w:val="20"/>
              </w:rPr>
            </w:pPr>
            <w:r w:rsidRPr="002730C5">
              <w:rPr>
                <w:rFonts w:ascii="Arial" w:hAnsi="Arial" w:cs="Arial"/>
                <w:bCs/>
                <w:iCs/>
                <w:noProof/>
                <w:sz w:val="20"/>
                <w:szCs w:val="20"/>
              </w:rPr>
              <w:t>ESPRA</w:t>
            </w:r>
          </w:p>
        </w:tc>
        <w:tc>
          <w:tcPr>
            <w:tcW w:w="512" w:type="pct"/>
          </w:tcPr>
          <w:p w14:paraId="5E0BC3E5" w14:textId="77777777" w:rsidR="000E68C3" w:rsidRPr="000A4DE5" w:rsidRDefault="000E68C3" w:rsidP="002008C1">
            <w:pPr>
              <w:pStyle w:val="Text1"/>
              <w:ind w:left="0"/>
              <w:rPr>
                <w:rFonts w:ascii="Arial" w:hAnsi="Arial" w:cs="Arial"/>
                <w:noProof/>
                <w:sz w:val="20"/>
                <w:szCs w:val="20"/>
              </w:rPr>
            </w:pPr>
          </w:p>
        </w:tc>
        <w:tc>
          <w:tcPr>
            <w:tcW w:w="606" w:type="pct"/>
            <w:shd w:val="clear" w:color="auto" w:fill="auto"/>
          </w:tcPr>
          <w:p w14:paraId="04672028" w14:textId="4574FC07" w:rsidR="000E68C3" w:rsidRPr="000A4DE5" w:rsidRDefault="000E68C3" w:rsidP="002008C1">
            <w:pPr>
              <w:pStyle w:val="Text1"/>
              <w:ind w:left="0"/>
              <w:rPr>
                <w:rFonts w:ascii="Arial" w:hAnsi="Arial" w:cs="Arial"/>
                <w:noProof/>
                <w:sz w:val="20"/>
                <w:szCs w:val="20"/>
              </w:rPr>
            </w:pPr>
            <w:r w:rsidRPr="000E68C3">
              <w:rPr>
                <w:rFonts w:ascii="Arial" w:hAnsi="Arial" w:cs="Arial"/>
                <w:noProof/>
                <w:sz w:val="20"/>
                <w:szCs w:val="20"/>
              </w:rPr>
              <w:t>Število operacij</w:t>
            </w:r>
          </w:p>
        </w:tc>
        <w:tc>
          <w:tcPr>
            <w:tcW w:w="534" w:type="pct"/>
          </w:tcPr>
          <w:p w14:paraId="03494A98" w14:textId="45A3DE71" w:rsidR="000E68C3" w:rsidRPr="000A4DE5" w:rsidRDefault="000E68C3" w:rsidP="002008C1">
            <w:pPr>
              <w:pStyle w:val="Text1"/>
              <w:ind w:left="0"/>
              <w:rPr>
                <w:rFonts w:ascii="Arial" w:hAnsi="Arial" w:cs="Arial"/>
                <w:noProof/>
                <w:sz w:val="20"/>
                <w:szCs w:val="20"/>
              </w:rPr>
            </w:pPr>
            <w:r w:rsidRPr="000E68C3">
              <w:rPr>
                <w:rFonts w:ascii="Arial" w:hAnsi="Arial" w:cs="Arial"/>
                <w:noProof/>
                <w:sz w:val="20"/>
                <w:szCs w:val="20"/>
              </w:rPr>
              <w:t>število</w:t>
            </w:r>
          </w:p>
        </w:tc>
        <w:tc>
          <w:tcPr>
            <w:tcW w:w="558" w:type="pct"/>
            <w:shd w:val="clear" w:color="auto" w:fill="auto"/>
          </w:tcPr>
          <w:p w14:paraId="2DBF5534" w14:textId="1E1FEDCB" w:rsidR="000E68C3" w:rsidRPr="000A4DE5" w:rsidRDefault="00BB3F35" w:rsidP="002008C1">
            <w:pPr>
              <w:pStyle w:val="Text1"/>
              <w:ind w:left="0"/>
              <w:rPr>
                <w:rFonts w:ascii="Arial" w:hAnsi="Arial" w:cs="Arial"/>
                <w:noProof/>
                <w:sz w:val="20"/>
                <w:szCs w:val="20"/>
              </w:rPr>
            </w:pPr>
            <w:r>
              <w:rPr>
                <w:rFonts w:ascii="Arial" w:hAnsi="Arial" w:cs="Arial"/>
                <w:noProof/>
                <w:sz w:val="20"/>
                <w:szCs w:val="20"/>
              </w:rPr>
              <w:t>5</w:t>
            </w:r>
          </w:p>
        </w:tc>
        <w:tc>
          <w:tcPr>
            <w:tcW w:w="717" w:type="pct"/>
            <w:shd w:val="clear" w:color="auto" w:fill="auto"/>
          </w:tcPr>
          <w:p w14:paraId="20347746" w14:textId="49F251D9" w:rsidR="000E68C3" w:rsidRPr="000A4DE5" w:rsidRDefault="00BB3F35" w:rsidP="002008C1">
            <w:pPr>
              <w:pStyle w:val="Text1"/>
              <w:ind w:left="0"/>
              <w:rPr>
                <w:rFonts w:ascii="Arial" w:hAnsi="Arial" w:cs="Arial"/>
                <w:noProof/>
                <w:sz w:val="20"/>
                <w:szCs w:val="20"/>
              </w:rPr>
            </w:pPr>
            <w:r>
              <w:rPr>
                <w:rFonts w:ascii="Arial" w:hAnsi="Arial" w:cs="Arial"/>
                <w:noProof/>
                <w:sz w:val="20"/>
                <w:szCs w:val="20"/>
              </w:rPr>
              <w:t>30</w:t>
            </w:r>
          </w:p>
        </w:tc>
      </w:tr>
      <w:tr w:rsidR="000E68C3" w:rsidRPr="00A40660" w14:paraId="77531180" w14:textId="77777777" w:rsidTr="00BC6F4E">
        <w:trPr>
          <w:trHeight w:val="332"/>
        </w:trPr>
        <w:tc>
          <w:tcPr>
            <w:tcW w:w="920" w:type="pct"/>
            <w:vMerge/>
          </w:tcPr>
          <w:p w14:paraId="33AE3F19" w14:textId="6A1C898D" w:rsidR="000E68C3" w:rsidRPr="00A40660" w:rsidRDefault="000E68C3" w:rsidP="002008C1">
            <w:pPr>
              <w:pStyle w:val="Text1"/>
              <w:ind w:left="0"/>
              <w:rPr>
                <w:rFonts w:ascii="Arial" w:hAnsi="Arial" w:cs="Arial"/>
                <w:b/>
                <w:i/>
                <w:noProof/>
                <w:sz w:val="20"/>
                <w:szCs w:val="20"/>
              </w:rPr>
            </w:pPr>
          </w:p>
        </w:tc>
        <w:tc>
          <w:tcPr>
            <w:tcW w:w="625" w:type="pct"/>
          </w:tcPr>
          <w:p w14:paraId="3EB7758D" w14:textId="330FFD7F" w:rsidR="000E68C3" w:rsidRPr="000A4DE5" w:rsidRDefault="000E68C3" w:rsidP="002008C1">
            <w:pPr>
              <w:pStyle w:val="Text1"/>
              <w:ind w:left="0"/>
              <w:rPr>
                <w:rFonts w:ascii="Arial" w:hAnsi="Arial" w:cs="Arial"/>
                <w:noProof/>
                <w:sz w:val="20"/>
                <w:szCs w:val="20"/>
              </w:rPr>
            </w:pPr>
            <w:r w:rsidRPr="000A4DE5">
              <w:rPr>
                <w:rFonts w:ascii="Arial" w:hAnsi="Arial" w:cs="Arial"/>
                <w:noProof/>
                <w:sz w:val="20"/>
                <w:szCs w:val="20"/>
              </w:rPr>
              <w:t>1.4</w:t>
            </w:r>
          </w:p>
        </w:tc>
        <w:tc>
          <w:tcPr>
            <w:tcW w:w="527" w:type="pct"/>
          </w:tcPr>
          <w:p w14:paraId="1F258967" w14:textId="23C21CA6" w:rsidR="000E68C3" w:rsidRPr="002730C5" w:rsidRDefault="000E68C3" w:rsidP="002008C1">
            <w:pPr>
              <w:pStyle w:val="Text1"/>
              <w:ind w:left="0"/>
              <w:rPr>
                <w:rFonts w:ascii="Arial" w:hAnsi="Arial" w:cs="Arial"/>
                <w:bCs/>
                <w:iCs/>
                <w:noProof/>
                <w:sz w:val="20"/>
                <w:szCs w:val="20"/>
              </w:rPr>
            </w:pPr>
            <w:r w:rsidRPr="002730C5">
              <w:rPr>
                <w:rFonts w:ascii="Arial" w:hAnsi="Arial" w:cs="Arial"/>
                <w:bCs/>
                <w:iCs/>
                <w:noProof/>
                <w:sz w:val="20"/>
                <w:szCs w:val="20"/>
              </w:rPr>
              <w:t>ESPRA</w:t>
            </w:r>
          </w:p>
        </w:tc>
        <w:tc>
          <w:tcPr>
            <w:tcW w:w="512" w:type="pct"/>
          </w:tcPr>
          <w:p w14:paraId="7E14EC76" w14:textId="77777777" w:rsidR="000E68C3" w:rsidRPr="000A4DE5" w:rsidRDefault="000E68C3" w:rsidP="002008C1">
            <w:pPr>
              <w:pStyle w:val="Text1"/>
              <w:ind w:left="0"/>
              <w:rPr>
                <w:rFonts w:ascii="Arial" w:hAnsi="Arial" w:cs="Arial"/>
                <w:noProof/>
                <w:sz w:val="20"/>
                <w:szCs w:val="20"/>
              </w:rPr>
            </w:pPr>
          </w:p>
        </w:tc>
        <w:tc>
          <w:tcPr>
            <w:tcW w:w="606" w:type="pct"/>
            <w:shd w:val="clear" w:color="auto" w:fill="auto"/>
          </w:tcPr>
          <w:p w14:paraId="03C065FA" w14:textId="54DBB9CD" w:rsidR="000E68C3" w:rsidRPr="000A4DE5" w:rsidRDefault="000E68C3" w:rsidP="002008C1">
            <w:pPr>
              <w:pStyle w:val="Text1"/>
              <w:ind w:left="0"/>
              <w:rPr>
                <w:rFonts w:ascii="Arial" w:hAnsi="Arial" w:cs="Arial"/>
                <w:noProof/>
                <w:sz w:val="20"/>
                <w:szCs w:val="20"/>
              </w:rPr>
            </w:pPr>
            <w:r w:rsidRPr="000E68C3">
              <w:rPr>
                <w:rFonts w:ascii="Arial" w:hAnsi="Arial" w:cs="Arial"/>
                <w:noProof/>
                <w:sz w:val="20"/>
                <w:szCs w:val="20"/>
              </w:rPr>
              <w:t>Število operacij</w:t>
            </w:r>
          </w:p>
        </w:tc>
        <w:tc>
          <w:tcPr>
            <w:tcW w:w="534" w:type="pct"/>
          </w:tcPr>
          <w:p w14:paraId="0714EC15" w14:textId="6851C293" w:rsidR="000E68C3" w:rsidRPr="000A4DE5" w:rsidRDefault="000E68C3" w:rsidP="002008C1">
            <w:pPr>
              <w:pStyle w:val="Text1"/>
              <w:ind w:left="0"/>
              <w:rPr>
                <w:rFonts w:ascii="Arial" w:hAnsi="Arial" w:cs="Arial"/>
                <w:noProof/>
                <w:sz w:val="20"/>
                <w:szCs w:val="20"/>
              </w:rPr>
            </w:pPr>
            <w:r w:rsidRPr="000E68C3">
              <w:rPr>
                <w:rFonts w:ascii="Arial" w:hAnsi="Arial" w:cs="Arial"/>
                <w:noProof/>
                <w:sz w:val="20"/>
                <w:szCs w:val="20"/>
              </w:rPr>
              <w:t>število</w:t>
            </w:r>
          </w:p>
        </w:tc>
        <w:tc>
          <w:tcPr>
            <w:tcW w:w="558" w:type="pct"/>
            <w:shd w:val="clear" w:color="auto" w:fill="auto"/>
          </w:tcPr>
          <w:p w14:paraId="48B1A750" w14:textId="703AC826" w:rsidR="000E68C3" w:rsidRPr="000A4DE5" w:rsidRDefault="00BB3F35" w:rsidP="002008C1">
            <w:pPr>
              <w:pStyle w:val="Text1"/>
              <w:ind w:left="0"/>
              <w:rPr>
                <w:rFonts w:ascii="Arial" w:hAnsi="Arial" w:cs="Arial"/>
                <w:noProof/>
                <w:sz w:val="20"/>
                <w:szCs w:val="20"/>
              </w:rPr>
            </w:pPr>
            <w:r>
              <w:rPr>
                <w:rFonts w:ascii="Arial" w:hAnsi="Arial" w:cs="Arial"/>
                <w:noProof/>
                <w:sz w:val="20"/>
                <w:szCs w:val="20"/>
              </w:rPr>
              <w:t>9</w:t>
            </w:r>
          </w:p>
        </w:tc>
        <w:tc>
          <w:tcPr>
            <w:tcW w:w="717" w:type="pct"/>
            <w:shd w:val="clear" w:color="auto" w:fill="auto"/>
          </w:tcPr>
          <w:p w14:paraId="626C7F0D" w14:textId="1A1D3D3D" w:rsidR="000E68C3" w:rsidRPr="000A4DE5" w:rsidRDefault="00BB3F35" w:rsidP="002008C1">
            <w:pPr>
              <w:pStyle w:val="Text1"/>
              <w:ind w:left="0"/>
              <w:rPr>
                <w:rFonts w:ascii="Arial" w:hAnsi="Arial" w:cs="Arial"/>
                <w:noProof/>
                <w:sz w:val="20"/>
                <w:szCs w:val="20"/>
              </w:rPr>
            </w:pPr>
            <w:r>
              <w:rPr>
                <w:rFonts w:ascii="Arial" w:hAnsi="Arial" w:cs="Arial"/>
                <w:noProof/>
                <w:sz w:val="20"/>
                <w:szCs w:val="20"/>
              </w:rPr>
              <w:t>30</w:t>
            </w:r>
          </w:p>
        </w:tc>
      </w:tr>
      <w:tr w:rsidR="000E68C3" w:rsidRPr="00A40660" w14:paraId="0304F14B" w14:textId="77777777" w:rsidTr="00BC6F4E">
        <w:trPr>
          <w:trHeight w:val="332"/>
        </w:trPr>
        <w:tc>
          <w:tcPr>
            <w:tcW w:w="920" w:type="pct"/>
            <w:vMerge/>
          </w:tcPr>
          <w:p w14:paraId="3B991F43" w14:textId="77777777" w:rsidR="000E68C3" w:rsidRPr="00A40660" w:rsidRDefault="000E68C3" w:rsidP="002008C1">
            <w:pPr>
              <w:pStyle w:val="Text1"/>
              <w:ind w:left="0"/>
              <w:rPr>
                <w:rFonts w:ascii="Arial" w:hAnsi="Arial" w:cs="Arial"/>
                <w:b/>
                <w:i/>
                <w:noProof/>
                <w:sz w:val="20"/>
                <w:szCs w:val="20"/>
              </w:rPr>
            </w:pPr>
          </w:p>
        </w:tc>
        <w:tc>
          <w:tcPr>
            <w:tcW w:w="625" w:type="pct"/>
          </w:tcPr>
          <w:p w14:paraId="7C512681" w14:textId="6EC30222" w:rsidR="000E68C3" w:rsidRPr="000A4DE5" w:rsidRDefault="000E68C3" w:rsidP="002008C1">
            <w:pPr>
              <w:pStyle w:val="Text1"/>
              <w:ind w:left="0"/>
              <w:rPr>
                <w:rFonts w:ascii="Arial" w:hAnsi="Arial" w:cs="Arial"/>
                <w:noProof/>
                <w:sz w:val="20"/>
                <w:szCs w:val="20"/>
              </w:rPr>
            </w:pPr>
            <w:r w:rsidRPr="000A4DE5">
              <w:rPr>
                <w:rFonts w:ascii="Arial" w:hAnsi="Arial" w:cs="Arial"/>
                <w:noProof/>
                <w:sz w:val="20"/>
                <w:szCs w:val="20"/>
              </w:rPr>
              <w:t>1.</w:t>
            </w:r>
            <w:r w:rsidR="00BB3F35">
              <w:rPr>
                <w:rFonts w:ascii="Arial" w:hAnsi="Arial" w:cs="Arial"/>
                <w:noProof/>
                <w:sz w:val="20"/>
                <w:szCs w:val="20"/>
              </w:rPr>
              <w:t>6</w:t>
            </w:r>
          </w:p>
        </w:tc>
        <w:tc>
          <w:tcPr>
            <w:tcW w:w="527" w:type="pct"/>
          </w:tcPr>
          <w:p w14:paraId="503F198D" w14:textId="25EBB8A2" w:rsidR="000E68C3" w:rsidRPr="002730C5" w:rsidRDefault="000E68C3" w:rsidP="002008C1">
            <w:pPr>
              <w:pStyle w:val="Text1"/>
              <w:ind w:left="0"/>
              <w:rPr>
                <w:rFonts w:ascii="Arial" w:hAnsi="Arial" w:cs="Arial"/>
                <w:bCs/>
                <w:iCs/>
                <w:noProof/>
                <w:sz w:val="20"/>
                <w:szCs w:val="20"/>
              </w:rPr>
            </w:pPr>
            <w:r w:rsidRPr="000E68C3">
              <w:rPr>
                <w:rFonts w:ascii="Arial" w:hAnsi="Arial" w:cs="Arial"/>
                <w:bCs/>
                <w:iCs/>
                <w:noProof/>
                <w:sz w:val="20"/>
                <w:szCs w:val="20"/>
              </w:rPr>
              <w:t>ESPRA</w:t>
            </w:r>
          </w:p>
        </w:tc>
        <w:tc>
          <w:tcPr>
            <w:tcW w:w="512" w:type="pct"/>
          </w:tcPr>
          <w:p w14:paraId="1FC40546" w14:textId="77777777" w:rsidR="000E68C3" w:rsidRPr="0001712A" w:rsidRDefault="000E68C3" w:rsidP="002008C1">
            <w:pPr>
              <w:pStyle w:val="Text1"/>
              <w:ind w:left="0"/>
              <w:rPr>
                <w:rFonts w:ascii="Arial" w:hAnsi="Arial" w:cs="Arial"/>
                <w:noProof/>
                <w:sz w:val="20"/>
                <w:szCs w:val="20"/>
              </w:rPr>
            </w:pPr>
          </w:p>
        </w:tc>
        <w:tc>
          <w:tcPr>
            <w:tcW w:w="606" w:type="pct"/>
            <w:shd w:val="clear" w:color="auto" w:fill="auto"/>
          </w:tcPr>
          <w:p w14:paraId="3E0B1A1C" w14:textId="417DF7E2" w:rsidR="000E68C3" w:rsidRPr="0001712A" w:rsidRDefault="000E68C3" w:rsidP="002008C1">
            <w:pPr>
              <w:pStyle w:val="Text1"/>
              <w:ind w:left="0"/>
              <w:rPr>
                <w:rFonts w:ascii="Arial" w:hAnsi="Arial" w:cs="Arial"/>
                <w:noProof/>
                <w:sz w:val="20"/>
                <w:szCs w:val="20"/>
              </w:rPr>
            </w:pPr>
            <w:r w:rsidRPr="000E68C3">
              <w:rPr>
                <w:rFonts w:ascii="Arial" w:hAnsi="Arial" w:cs="Arial"/>
                <w:noProof/>
                <w:sz w:val="20"/>
                <w:szCs w:val="20"/>
              </w:rPr>
              <w:t>Število operacij</w:t>
            </w:r>
          </w:p>
        </w:tc>
        <w:tc>
          <w:tcPr>
            <w:tcW w:w="534" w:type="pct"/>
          </w:tcPr>
          <w:p w14:paraId="4AF5692E" w14:textId="056C3F0D" w:rsidR="000E68C3" w:rsidRPr="0001712A" w:rsidRDefault="000E68C3" w:rsidP="002008C1">
            <w:pPr>
              <w:pStyle w:val="Text1"/>
              <w:ind w:left="0"/>
              <w:rPr>
                <w:rFonts w:ascii="Arial" w:hAnsi="Arial" w:cs="Arial"/>
                <w:noProof/>
                <w:sz w:val="20"/>
                <w:szCs w:val="20"/>
              </w:rPr>
            </w:pPr>
            <w:r w:rsidRPr="000E68C3">
              <w:rPr>
                <w:rFonts w:ascii="Arial" w:hAnsi="Arial" w:cs="Arial"/>
                <w:noProof/>
                <w:sz w:val="20"/>
                <w:szCs w:val="20"/>
              </w:rPr>
              <w:t>število</w:t>
            </w:r>
          </w:p>
        </w:tc>
        <w:tc>
          <w:tcPr>
            <w:tcW w:w="558" w:type="pct"/>
            <w:shd w:val="clear" w:color="auto" w:fill="auto"/>
          </w:tcPr>
          <w:p w14:paraId="43D0EEB7" w14:textId="28BD6AF8" w:rsidR="000E68C3" w:rsidRPr="0001712A" w:rsidRDefault="00226315" w:rsidP="002008C1">
            <w:pPr>
              <w:pStyle w:val="Text1"/>
              <w:ind w:left="0"/>
              <w:rPr>
                <w:rFonts w:ascii="Arial" w:hAnsi="Arial" w:cs="Arial"/>
                <w:noProof/>
                <w:sz w:val="20"/>
                <w:szCs w:val="20"/>
              </w:rPr>
            </w:pPr>
            <w:r>
              <w:rPr>
                <w:rFonts w:ascii="Arial" w:hAnsi="Arial" w:cs="Arial"/>
                <w:noProof/>
                <w:sz w:val="20"/>
                <w:szCs w:val="20"/>
              </w:rPr>
              <w:t>0</w:t>
            </w:r>
          </w:p>
        </w:tc>
        <w:tc>
          <w:tcPr>
            <w:tcW w:w="717" w:type="pct"/>
            <w:shd w:val="clear" w:color="auto" w:fill="auto"/>
          </w:tcPr>
          <w:p w14:paraId="4162B6A0" w14:textId="05BD85F0" w:rsidR="000E68C3" w:rsidRPr="0001712A" w:rsidRDefault="00BB3F35" w:rsidP="002008C1">
            <w:pPr>
              <w:pStyle w:val="Text1"/>
              <w:ind w:left="0"/>
              <w:rPr>
                <w:rFonts w:ascii="Arial" w:hAnsi="Arial" w:cs="Arial"/>
                <w:noProof/>
                <w:sz w:val="20"/>
                <w:szCs w:val="20"/>
              </w:rPr>
            </w:pPr>
            <w:r>
              <w:rPr>
                <w:rFonts w:ascii="Arial" w:hAnsi="Arial" w:cs="Arial"/>
                <w:noProof/>
                <w:sz w:val="20"/>
                <w:szCs w:val="20"/>
              </w:rPr>
              <w:t>1</w:t>
            </w:r>
            <w:r w:rsidR="00226315">
              <w:rPr>
                <w:rFonts w:ascii="Arial" w:hAnsi="Arial" w:cs="Arial"/>
                <w:noProof/>
                <w:sz w:val="20"/>
                <w:szCs w:val="20"/>
              </w:rPr>
              <w:t>3</w:t>
            </w:r>
          </w:p>
        </w:tc>
      </w:tr>
      <w:tr w:rsidR="000E68C3" w:rsidRPr="00A40660" w14:paraId="474D2194" w14:textId="77777777" w:rsidTr="00BC6F4E">
        <w:trPr>
          <w:trHeight w:val="332"/>
        </w:trPr>
        <w:tc>
          <w:tcPr>
            <w:tcW w:w="920" w:type="pct"/>
            <w:vMerge w:val="restart"/>
          </w:tcPr>
          <w:p w14:paraId="6FA98390" w14:textId="23491DD3" w:rsidR="000E68C3" w:rsidRPr="000A4DE5" w:rsidRDefault="000E68C3" w:rsidP="002008C1">
            <w:pPr>
              <w:pStyle w:val="Text1"/>
              <w:ind w:left="0"/>
              <w:rPr>
                <w:rFonts w:ascii="Arial" w:hAnsi="Arial" w:cs="Arial"/>
                <w:noProof/>
                <w:sz w:val="20"/>
                <w:szCs w:val="20"/>
                <w:lang w:val="sl-SI"/>
              </w:rPr>
            </w:pPr>
            <w:r w:rsidRPr="000A4DE5">
              <w:rPr>
                <w:rFonts w:ascii="Arial" w:hAnsi="Arial" w:cs="Arial"/>
                <w:noProof/>
                <w:sz w:val="20"/>
                <w:szCs w:val="20"/>
                <w:lang w:val="sl-SI"/>
              </w:rPr>
              <w:t xml:space="preserve">Spodbujanje trajnostnih </w:t>
            </w:r>
            <w:r w:rsidRPr="000A4DE5">
              <w:rPr>
                <w:rFonts w:ascii="Arial" w:hAnsi="Arial" w:cs="Arial"/>
                <w:noProof/>
                <w:sz w:val="20"/>
                <w:szCs w:val="20"/>
                <w:lang w:val="sl-SI"/>
              </w:rPr>
              <w:lastRenderedPageBreak/>
              <w:t>dejavnosti akvakulture ter predelave in trženja ribiških proizvodov in proizvodov iz akvakulture</w:t>
            </w:r>
          </w:p>
        </w:tc>
        <w:tc>
          <w:tcPr>
            <w:tcW w:w="625" w:type="pct"/>
          </w:tcPr>
          <w:p w14:paraId="552929CB" w14:textId="3392B9CD" w:rsidR="000E68C3" w:rsidRPr="000A4DE5" w:rsidRDefault="000E68C3" w:rsidP="002008C1">
            <w:pPr>
              <w:pStyle w:val="Text1"/>
              <w:ind w:left="0"/>
              <w:rPr>
                <w:rFonts w:ascii="Arial" w:hAnsi="Arial" w:cs="Arial"/>
                <w:noProof/>
                <w:sz w:val="20"/>
                <w:szCs w:val="20"/>
              </w:rPr>
            </w:pPr>
            <w:r w:rsidRPr="000A4DE5">
              <w:rPr>
                <w:rFonts w:ascii="Arial" w:hAnsi="Arial" w:cs="Arial"/>
                <w:noProof/>
                <w:sz w:val="20"/>
                <w:szCs w:val="20"/>
              </w:rPr>
              <w:lastRenderedPageBreak/>
              <w:t>2.1</w:t>
            </w:r>
          </w:p>
        </w:tc>
        <w:tc>
          <w:tcPr>
            <w:tcW w:w="527" w:type="pct"/>
          </w:tcPr>
          <w:p w14:paraId="273532AE" w14:textId="0ED70F00" w:rsidR="000E68C3" w:rsidRPr="002730C5" w:rsidRDefault="000E68C3" w:rsidP="002008C1">
            <w:pPr>
              <w:pStyle w:val="Text1"/>
              <w:ind w:left="0"/>
              <w:rPr>
                <w:rFonts w:ascii="Arial" w:hAnsi="Arial" w:cs="Arial"/>
                <w:bCs/>
                <w:iCs/>
                <w:noProof/>
                <w:sz w:val="20"/>
                <w:szCs w:val="20"/>
              </w:rPr>
            </w:pPr>
            <w:r w:rsidRPr="000E68C3">
              <w:rPr>
                <w:rFonts w:ascii="Arial" w:hAnsi="Arial" w:cs="Arial"/>
                <w:bCs/>
                <w:iCs/>
                <w:noProof/>
                <w:sz w:val="20"/>
                <w:szCs w:val="20"/>
              </w:rPr>
              <w:t>ESPRA</w:t>
            </w:r>
          </w:p>
        </w:tc>
        <w:tc>
          <w:tcPr>
            <w:tcW w:w="512" w:type="pct"/>
          </w:tcPr>
          <w:p w14:paraId="3EE60032" w14:textId="77777777" w:rsidR="000E68C3" w:rsidRPr="0001712A" w:rsidRDefault="000E68C3" w:rsidP="002008C1">
            <w:pPr>
              <w:pStyle w:val="Text1"/>
              <w:ind w:left="0"/>
              <w:rPr>
                <w:rFonts w:ascii="Arial" w:hAnsi="Arial" w:cs="Arial"/>
                <w:noProof/>
                <w:sz w:val="20"/>
                <w:szCs w:val="20"/>
              </w:rPr>
            </w:pPr>
          </w:p>
        </w:tc>
        <w:tc>
          <w:tcPr>
            <w:tcW w:w="606" w:type="pct"/>
            <w:shd w:val="clear" w:color="auto" w:fill="auto"/>
          </w:tcPr>
          <w:p w14:paraId="18A266D7" w14:textId="3E6CF16E" w:rsidR="000E68C3" w:rsidRPr="0001712A" w:rsidRDefault="000E68C3" w:rsidP="002008C1">
            <w:pPr>
              <w:pStyle w:val="Text1"/>
              <w:ind w:left="0"/>
              <w:rPr>
                <w:rFonts w:ascii="Arial" w:hAnsi="Arial" w:cs="Arial"/>
                <w:noProof/>
                <w:sz w:val="20"/>
                <w:szCs w:val="20"/>
              </w:rPr>
            </w:pPr>
            <w:r w:rsidRPr="000E68C3">
              <w:rPr>
                <w:rFonts w:ascii="Arial" w:hAnsi="Arial" w:cs="Arial"/>
                <w:noProof/>
                <w:sz w:val="20"/>
                <w:szCs w:val="20"/>
              </w:rPr>
              <w:t>Število operacij</w:t>
            </w:r>
          </w:p>
        </w:tc>
        <w:tc>
          <w:tcPr>
            <w:tcW w:w="534" w:type="pct"/>
          </w:tcPr>
          <w:p w14:paraId="2950166E" w14:textId="6F730A99" w:rsidR="000E68C3" w:rsidRPr="0001712A" w:rsidRDefault="000E68C3" w:rsidP="002008C1">
            <w:pPr>
              <w:pStyle w:val="Text1"/>
              <w:ind w:left="0"/>
              <w:rPr>
                <w:rFonts w:ascii="Arial" w:hAnsi="Arial" w:cs="Arial"/>
                <w:noProof/>
                <w:sz w:val="20"/>
                <w:szCs w:val="20"/>
              </w:rPr>
            </w:pPr>
            <w:r w:rsidRPr="000E68C3">
              <w:rPr>
                <w:rFonts w:ascii="Arial" w:hAnsi="Arial" w:cs="Arial"/>
                <w:noProof/>
                <w:sz w:val="20"/>
                <w:szCs w:val="20"/>
              </w:rPr>
              <w:t>število</w:t>
            </w:r>
          </w:p>
        </w:tc>
        <w:tc>
          <w:tcPr>
            <w:tcW w:w="558" w:type="pct"/>
            <w:shd w:val="clear" w:color="auto" w:fill="auto"/>
          </w:tcPr>
          <w:p w14:paraId="00794904" w14:textId="44D09A95" w:rsidR="000E68C3" w:rsidRPr="0001712A" w:rsidRDefault="00BB3F35" w:rsidP="002008C1">
            <w:pPr>
              <w:pStyle w:val="Text1"/>
              <w:ind w:left="0"/>
              <w:rPr>
                <w:rFonts w:ascii="Arial" w:hAnsi="Arial" w:cs="Arial"/>
                <w:noProof/>
                <w:sz w:val="20"/>
                <w:szCs w:val="20"/>
              </w:rPr>
            </w:pPr>
            <w:r>
              <w:rPr>
                <w:rFonts w:ascii="Arial" w:hAnsi="Arial" w:cs="Arial"/>
                <w:noProof/>
                <w:sz w:val="20"/>
                <w:szCs w:val="20"/>
              </w:rPr>
              <w:t>8</w:t>
            </w:r>
          </w:p>
        </w:tc>
        <w:tc>
          <w:tcPr>
            <w:tcW w:w="717" w:type="pct"/>
            <w:shd w:val="clear" w:color="auto" w:fill="auto"/>
          </w:tcPr>
          <w:p w14:paraId="47F2C3C4" w14:textId="11C70FF0" w:rsidR="000E68C3" w:rsidRPr="0001712A" w:rsidRDefault="00BB3F35" w:rsidP="002008C1">
            <w:pPr>
              <w:pStyle w:val="Text1"/>
              <w:ind w:left="0"/>
              <w:rPr>
                <w:rFonts w:ascii="Arial" w:hAnsi="Arial" w:cs="Arial"/>
                <w:noProof/>
                <w:sz w:val="20"/>
                <w:szCs w:val="20"/>
              </w:rPr>
            </w:pPr>
            <w:r>
              <w:rPr>
                <w:rFonts w:ascii="Arial" w:hAnsi="Arial" w:cs="Arial"/>
                <w:noProof/>
                <w:sz w:val="20"/>
                <w:szCs w:val="20"/>
              </w:rPr>
              <w:t>54</w:t>
            </w:r>
          </w:p>
        </w:tc>
      </w:tr>
      <w:tr w:rsidR="000E68C3" w:rsidRPr="00A40660" w14:paraId="45B940A3" w14:textId="77777777" w:rsidTr="00BC6F4E">
        <w:trPr>
          <w:trHeight w:val="332"/>
        </w:trPr>
        <w:tc>
          <w:tcPr>
            <w:tcW w:w="920" w:type="pct"/>
            <w:vMerge/>
          </w:tcPr>
          <w:p w14:paraId="750DF4DE" w14:textId="77777777" w:rsidR="000E68C3" w:rsidRPr="00A40660" w:rsidRDefault="000E68C3" w:rsidP="002008C1">
            <w:pPr>
              <w:pStyle w:val="Text1"/>
              <w:ind w:left="0"/>
              <w:rPr>
                <w:rFonts w:ascii="Arial" w:hAnsi="Arial" w:cs="Arial"/>
                <w:b/>
                <w:i/>
                <w:noProof/>
                <w:sz w:val="20"/>
                <w:szCs w:val="20"/>
              </w:rPr>
            </w:pPr>
          </w:p>
        </w:tc>
        <w:tc>
          <w:tcPr>
            <w:tcW w:w="625" w:type="pct"/>
          </w:tcPr>
          <w:p w14:paraId="3377DB24" w14:textId="5E58F34D" w:rsidR="000E68C3" w:rsidRPr="000A4DE5" w:rsidRDefault="000E68C3" w:rsidP="002008C1">
            <w:pPr>
              <w:pStyle w:val="Text1"/>
              <w:ind w:left="0"/>
              <w:rPr>
                <w:rFonts w:ascii="Arial" w:hAnsi="Arial" w:cs="Arial"/>
                <w:i/>
                <w:noProof/>
                <w:sz w:val="20"/>
                <w:szCs w:val="20"/>
              </w:rPr>
            </w:pPr>
            <w:r w:rsidRPr="000A4DE5">
              <w:rPr>
                <w:rFonts w:ascii="Arial" w:hAnsi="Arial" w:cs="Arial"/>
                <w:i/>
                <w:noProof/>
                <w:sz w:val="20"/>
                <w:szCs w:val="20"/>
              </w:rPr>
              <w:t>2.2</w:t>
            </w:r>
          </w:p>
        </w:tc>
        <w:tc>
          <w:tcPr>
            <w:tcW w:w="527" w:type="pct"/>
          </w:tcPr>
          <w:p w14:paraId="181EBC89" w14:textId="06DD8D13" w:rsidR="000E68C3" w:rsidRPr="002730C5" w:rsidRDefault="000E68C3" w:rsidP="002008C1">
            <w:pPr>
              <w:pStyle w:val="Text1"/>
              <w:ind w:left="0"/>
              <w:rPr>
                <w:rFonts w:ascii="Arial" w:hAnsi="Arial" w:cs="Arial"/>
                <w:bCs/>
                <w:iCs/>
                <w:noProof/>
                <w:sz w:val="20"/>
                <w:szCs w:val="20"/>
              </w:rPr>
            </w:pPr>
            <w:r w:rsidRPr="000E68C3">
              <w:rPr>
                <w:rFonts w:ascii="Arial" w:hAnsi="Arial" w:cs="Arial"/>
                <w:bCs/>
                <w:iCs/>
                <w:noProof/>
                <w:sz w:val="20"/>
                <w:szCs w:val="20"/>
              </w:rPr>
              <w:t>ESPRA</w:t>
            </w:r>
          </w:p>
        </w:tc>
        <w:tc>
          <w:tcPr>
            <w:tcW w:w="512" w:type="pct"/>
          </w:tcPr>
          <w:p w14:paraId="6E33A00B" w14:textId="77777777" w:rsidR="000E68C3" w:rsidRPr="0001712A" w:rsidRDefault="000E68C3" w:rsidP="002008C1">
            <w:pPr>
              <w:pStyle w:val="Text1"/>
              <w:ind w:left="0"/>
              <w:rPr>
                <w:rFonts w:ascii="Arial" w:hAnsi="Arial" w:cs="Arial"/>
                <w:noProof/>
                <w:sz w:val="20"/>
                <w:szCs w:val="20"/>
              </w:rPr>
            </w:pPr>
          </w:p>
        </w:tc>
        <w:tc>
          <w:tcPr>
            <w:tcW w:w="606" w:type="pct"/>
            <w:shd w:val="clear" w:color="auto" w:fill="auto"/>
          </w:tcPr>
          <w:p w14:paraId="4D8FC2C0" w14:textId="532FC981" w:rsidR="000E68C3" w:rsidRPr="0001712A" w:rsidRDefault="000E68C3" w:rsidP="002008C1">
            <w:pPr>
              <w:pStyle w:val="Text1"/>
              <w:ind w:left="0"/>
              <w:rPr>
                <w:rFonts w:ascii="Arial" w:hAnsi="Arial" w:cs="Arial"/>
                <w:noProof/>
                <w:sz w:val="20"/>
                <w:szCs w:val="20"/>
              </w:rPr>
            </w:pPr>
            <w:r w:rsidRPr="000E68C3">
              <w:rPr>
                <w:rFonts w:ascii="Arial" w:hAnsi="Arial" w:cs="Arial"/>
                <w:noProof/>
                <w:sz w:val="20"/>
                <w:szCs w:val="20"/>
              </w:rPr>
              <w:t>Število operacij</w:t>
            </w:r>
          </w:p>
        </w:tc>
        <w:tc>
          <w:tcPr>
            <w:tcW w:w="534" w:type="pct"/>
          </w:tcPr>
          <w:p w14:paraId="1F2F2A3A" w14:textId="1D8815CA" w:rsidR="000E68C3" w:rsidRPr="0001712A" w:rsidRDefault="000E68C3" w:rsidP="002008C1">
            <w:pPr>
              <w:pStyle w:val="Text1"/>
              <w:ind w:left="0"/>
              <w:rPr>
                <w:rFonts w:ascii="Arial" w:hAnsi="Arial" w:cs="Arial"/>
                <w:noProof/>
                <w:sz w:val="20"/>
                <w:szCs w:val="20"/>
              </w:rPr>
            </w:pPr>
            <w:r w:rsidRPr="000E68C3">
              <w:rPr>
                <w:rFonts w:ascii="Arial" w:hAnsi="Arial" w:cs="Arial"/>
                <w:noProof/>
                <w:sz w:val="20"/>
                <w:szCs w:val="20"/>
              </w:rPr>
              <w:t>število</w:t>
            </w:r>
          </w:p>
        </w:tc>
        <w:tc>
          <w:tcPr>
            <w:tcW w:w="558" w:type="pct"/>
            <w:shd w:val="clear" w:color="auto" w:fill="auto"/>
          </w:tcPr>
          <w:p w14:paraId="6F73AAD0" w14:textId="02762FBF" w:rsidR="000E68C3" w:rsidRPr="0001712A" w:rsidRDefault="00BC6F4E" w:rsidP="002008C1">
            <w:pPr>
              <w:pStyle w:val="Text1"/>
              <w:ind w:left="0"/>
              <w:rPr>
                <w:rFonts w:ascii="Arial" w:hAnsi="Arial" w:cs="Arial"/>
                <w:noProof/>
                <w:sz w:val="20"/>
                <w:szCs w:val="20"/>
              </w:rPr>
            </w:pPr>
            <w:r>
              <w:rPr>
                <w:rFonts w:ascii="Arial" w:hAnsi="Arial" w:cs="Arial"/>
                <w:noProof/>
                <w:sz w:val="20"/>
                <w:szCs w:val="20"/>
              </w:rPr>
              <w:t>3</w:t>
            </w:r>
          </w:p>
        </w:tc>
        <w:tc>
          <w:tcPr>
            <w:tcW w:w="717" w:type="pct"/>
            <w:shd w:val="clear" w:color="auto" w:fill="auto"/>
          </w:tcPr>
          <w:p w14:paraId="436CF329" w14:textId="52C7F37F" w:rsidR="000E68C3" w:rsidRPr="0001712A" w:rsidRDefault="00226315" w:rsidP="002008C1">
            <w:pPr>
              <w:pStyle w:val="Text1"/>
              <w:ind w:left="0"/>
              <w:rPr>
                <w:rFonts w:ascii="Arial" w:hAnsi="Arial" w:cs="Arial"/>
                <w:noProof/>
                <w:sz w:val="20"/>
                <w:szCs w:val="20"/>
              </w:rPr>
            </w:pPr>
            <w:r>
              <w:rPr>
                <w:rFonts w:ascii="Arial" w:hAnsi="Arial" w:cs="Arial"/>
                <w:noProof/>
                <w:sz w:val="20"/>
                <w:szCs w:val="20"/>
              </w:rPr>
              <w:t>15</w:t>
            </w:r>
          </w:p>
        </w:tc>
      </w:tr>
      <w:tr w:rsidR="000E68C3" w:rsidRPr="00A40660" w14:paraId="18EBDD02" w14:textId="77777777" w:rsidTr="00BC6F4E">
        <w:trPr>
          <w:trHeight w:val="332"/>
        </w:trPr>
        <w:tc>
          <w:tcPr>
            <w:tcW w:w="920" w:type="pct"/>
          </w:tcPr>
          <w:p w14:paraId="754E771E" w14:textId="35C04BF2" w:rsidR="000E68C3" w:rsidRPr="000A4DE5" w:rsidRDefault="000E68C3" w:rsidP="002008C1">
            <w:pPr>
              <w:pStyle w:val="Text1"/>
              <w:ind w:left="0"/>
              <w:rPr>
                <w:rFonts w:ascii="Arial" w:hAnsi="Arial" w:cs="Arial"/>
                <w:noProof/>
                <w:sz w:val="20"/>
                <w:szCs w:val="20"/>
                <w:lang w:val="sl-SI"/>
              </w:rPr>
            </w:pPr>
            <w:r w:rsidRPr="000A4DE5">
              <w:rPr>
                <w:rFonts w:ascii="Arial" w:hAnsi="Arial" w:cs="Arial"/>
                <w:noProof/>
                <w:sz w:val="20"/>
                <w:szCs w:val="20"/>
                <w:lang w:val="sl-SI"/>
              </w:rPr>
              <w:t>Omogočanje rasti trajnostnega modrega gospodarstva ter spodbujanje razvoja ribiških in akvakulturnih skupnosti na obalnih in celinskih območjih</w:t>
            </w:r>
          </w:p>
        </w:tc>
        <w:tc>
          <w:tcPr>
            <w:tcW w:w="625" w:type="pct"/>
          </w:tcPr>
          <w:p w14:paraId="5E3CC20B" w14:textId="4D37AED8" w:rsidR="000E68C3" w:rsidRPr="000A4DE5" w:rsidRDefault="000E68C3" w:rsidP="002008C1">
            <w:pPr>
              <w:pStyle w:val="Text1"/>
              <w:ind w:left="0"/>
              <w:rPr>
                <w:rFonts w:ascii="Arial" w:hAnsi="Arial" w:cs="Arial"/>
                <w:noProof/>
                <w:sz w:val="20"/>
                <w:szCs w:val="20"/>
              </w:rPr>
            </w:pPr>
            <w:r>
              <w:rPr>
                <w:rFonts w:ascii="Arial" w:hAnsi="Arial" w:cs="Arial"/>
                <w:noProof/>
                <w:sz w:val="20"/>
                <w:szCs w:val="20"/>
              </w:rPr>
              <w:t>3.1</w:t>
            </w:r>
          </w:p>
        </w:tc>
        <w:tc>
          <w:tcPr>
            <w:tcW w:w="527" w:type="pct"/>
          </w:tcPr>
          <w:p w14:paraId="5BECFB7B" w14:textId="19A0269D" w:rsidR="000E68C3" w:rsidRPr="000E68C3" w:rsidRDefault="000E68C3" w:rsidP="002008C1">
            <w:pPr>
              <w:pStyle w:val="Text1"/>
              <w:ind w:left="0"/>
              <w:rPr>
                <w:rFonts w:ascii="Arial" w:hAnsi="Arial" w:cs="Arial"/>
                <w:bCs/>
                <w:iCs/>
                <w:noProof/>
                <w:sz w:val="20"/>
                <w:szCs w:val="20"/>
              </w:rPr>
            </w:pPr>
            <w:r w:rsidRPr="000E68C3">
              <w:rPr>
                <w:rFonts w:ascii="Arial" w:hAnsi="Arial" w:cs="Arial"/>
                <w:bCs/>
                <w:iCs/>
                <w:noProof/>
                <w:sz w:val="20"/>
                <w:szCs w:val="20"/>
              </w:rPr>
              <w:t>ESPRA</w:t>
            </w:r>
          </w:p>
        </w:tc>
        <w:tc>
          <w:tcPr>
            <w:tcW w:w="512" w:type="pct"/>
          </w:tcPr>
          <w:p w14:paraId="2D789592" w14:textId="77777777" w:rsidR="000E68C3" w:rsidRPr="0001712A" w:rsidRDefault="000E68C3" w:rsidP="002008C1">
            <w:pPr>
              <w:pStyle w:val="Text1"/>
              <w:ind w:left="0"/>
              <w:rPr>
                <w:rFonts w:ascii="Arial" w:hAnsi="Arial" w:cs="Arial"/>
                <w:noProof/>
                <w:sz w:val="20"/>
                <w:szCs w:val="20"/>
              </w:rPr>
            </w:pPr>
          </w:p>
        </w:tc>
        <w:tc>
          <w:tcPr>
            <w:tcW w:w="606" w:type="pct"/>
            <w:shd w:val="clear" w:color="auto" w:fill="auto"/>
          </w:tcPr>
          <w:p w14:paraId="060ECD7F" w14:textId="5E22BF31" w:rsidR="000E68C3" w:rsidRPr="000E68C3" w:rsidRDefault="000E68C3" w:rsidP="002008C1">
            <w:pPr>
              <w:pStyle w:val="Text1"/>
              <w:ind w:left="0"/>
              <w:rPr>
                <w:rFonts w:ascii="Arial" w:hAnsi="Arial" w:cs="Arial"/>
                <w:noProof/>
                <w:sz w:val="20"/>
                <w:szCs w:val="20"/>
              </w:rPr>
            </w:pPr>
            <w:r w:rsidRPr="000E68C3">
              <w:rPr>
                <w:rFonts w:ascii="Arial" w:hAnsi="Arial" w:cs="Arial"/>
                <w:noProof/>
                <w:sz w:val="20"/>
                <w:szCs w:val="20"/>
              </w:rPr>
              <w:t>Število operacij</w:t>
            </w:r>
          </w:p>
        </w:tc>
        <w:tc>
          <w:tcPr>
            <w:tcW w:w="534" w:type="pct"/>
          </w:tcPr>
          <w:p w14:paraId="00EE313F" w14:textId="681D4656" w:rsidR="000E68C3" w:rsidRPr="000E68C3" w:rsidRDefault="000E68C3" w:rsidP="002008C1">
            <w:pPr>
              <w:pStyle w:val="Text1"/>
              <w:ind w:left="0"/>
              <w:rPr>
                <w:rFonts w:ascii="Arial" w:hAnsi="Arial" w:cs="Arial"/>
                <w:noProof/>
                <w:sz w:val="20"/>
                <w:szCs w:val="20"/>
              </w:rPr>
            </w:pPr>
            <w:r w:rsidRPr="000E68C3">
              <w:rPr>
                <w:rFonts w:ascii="Arial" w:hAnsi="Arial" w:cs="Arial"/>
                <w:noProof/>
                <w:sz w:val="20"/>
                <w:szCs w:val="20"/>
              </w:rPr>
              <w:t>število</w:t>
            </w:r>
          </w:p>
        </w:tc>
        <w:tc>
          <w:tcPr>
            <w:tcW w:w="558" w:type="pct"/>
            <w:shd w:val="clear" w:color="auto" w:fill="auto"/>
          </w:tcPr>
          <w:p w14:paraId="4CE3E287" w14:textId="1DC296CF" w:rsidR="000E68C3" w:rsidRDefault="00BC6F4E" w:rsidP="002008C1">
            <w:pPr>
              <w:pStyle w:val="Text1"/>
              <w:ind w:left="0"/>
              <w:rPr>
                <w:rFonts w:ascii="Arial" w:hAnsi="Arial" w:cs="Arial"/>
                <w:noProof/>
                <w:sz w:val="20"/>
                <w:szCs w:val="20"/>
              </w:rPr>
            </w:pPr>
            <w:r>
              <w:rPr>
                <w:rFonts w:ascii="Arial" w:hAnsi="Arial" w:cs="Arial"/>
                <w:noProof/>
                <w:sz w:val="20"/>
                <w:szCs w:val="20"/>
              </w:rPr>
              <w:t>6</w:t>
            </w:r>
          </w:p>
        </w:tc>
        <w:tc>
          <w:tcPr>
            <w:tcW w:w="717" w:type="pct"/>
            <w:shd w:val="clear" w:color="auto" w:fill="auto"/>
          </w:tcPr>
          <w:p w14:paraId="5D762810" w14:textId="5BD52886" w:rsidR="000E68C3" w:rsidRDefault="00226315" w:rsidP="002008C1">
            <w:pPr>
              <w:pStyle w:val="Text1"/>
              <w:ind w:left="0"/>
              <w:rPr>
                <w:rFonts w:ascii="Arial" w:hAnsi="Arial" w:cs="Arial"/>
                <w:noProof/>
                <w:sz w:val="20"/>
                <w:szCs w:val="20"/>
              </w:rPr>
            </w:pPr>
            <w:r>
              <w:rPr>
                <w:rFonts w:ascii="Arial" w:hAnsi="Arial" w:cs="Arial"/>
                <w:noProof/>
                <w:sz w:val="20"/>
                <w:szCs w:val="20"/>
              </w:rPr>
              <w:t>82</w:t>
            </w:r>
          </w:p>
        </w:tc>
      </w:tr>
      <w:tr w:rsidR="000E68C3" w:rsidRPr="00A40660" w14:paraId="0C559F5D" w14:textId="77777777" w:rsidTr="00BC6F4E">
        <w:trPr>
          <w:trHeight w:val="332"/>
        </w:trPr>
        <w:tc>
          <w:tcPr>
            <w:tcW w:w="920" w:type="pct"/>
          </w:tcPr>
          <w:p w14:paraId="2B8A5E7C" w14:textId="6C6194F4" w:rsidR="000E68C3" w:rsidRPr="000A4DE5" w:rsidRDefault="00BD55A6" w:rsidP="0001712A">
            <w:pPr>
              <w:pStyle w:val="Text1"/>
              <w:ind w:left="0"/>
              <w:rPr>
                <w:rFonts w:ascii="Arial" w:hAnsi="Arial" w:cs="Arial"/>
                <w:noProof/>
                <w:sz w:val="20"/>
                <w:szCs w:val="20"/>
                <w:lang w:val="sl-SI"/>
              </w:rPr>
            </w:pPr>
            <w:r w:rsidRPr="000A4DE5">
              <w:rPr>
                <w:rFonts w:ascii="Arial" w:hAnsi="Arial" w:cs="Arial"/>
                <w:noProof/>
                <w:sz w:val="20"/>
                <w:szCs w:val="20"/>
                <w:lang w:val="sl-SI"/>
              </w:rPr>
              <w:t>Krepitev mednarodnega upravljanja oceanov ter omogočanje varnih, zaščitenih, čistih in trajnostno upravljanih morij in oceanov</w:t>
            </w:r>
          </w:p>
        </w:tc>
        <w:tc>
          <w:tcPr>
            <w:tcW w:w="625" w:type="pct"/>
          </w:tcPr>
          <w:p w14:paraId="76577CD5" w14:textId="5173A999" w:rsidR="000E68C3" w:rsidRPr="0001712A" w:rsidRDefault="00BD55A6" w:rsidP="002008C1">
            <w:pPr>
              <w:pStyle w:val="Text1"/>
              <w:ind w:left="0"/>
              <w:rPr>
                <w:rFonts w:ascii="Arial" w:hAnsi="Arial" w:cs="Arial"/>
                <w:i/>
                <w:noProof/>
                <w:sz w:val="20"/>
                <w:szCs w:val="20"/>
              </w:rPr>
            </w:pPr>
            <w:r>
              <w:rPr>
                <w:rFonts w:ascii="Arial" w:hAnsi="Arial" w:cs="Arial"/>
                <w:i/>
                <w:noProof/>
                <w:sz w:val="20"/>
                <w:szCs w:val="20"/>
              </w:rPr>
              <w:t>4.1</w:t>
            </w:r>
          </w:p>
        </w:tc>
        <w:tc>
          <w:tcPr>
            <w:tcW w:w="527" w:type="pct"/>
          </w:tcPr>
          <w:p w14:paraId="155CE3A7" w14:textId="53F35CD3" w:rsidR="000E68C3" w:rsidRPr="000E68C3" w:rsidRDefault="00BD55A6" w:rsidP="002008C1">
            <w:pPr>
              <w:pStyle w:val="Text1"/>
              <w:ind w:left="0"/>
              <w:rPr>
                <w:rFonts w:ascii="Arial" w:hAnsi="Arial" w:cs="Arial"/>
                <w:bCs/>
                <w:iCs/>
                <w:noProof/>
                <w:sz w:val="20"/>
                <w:szCs w:val="20"/>
              </w:rPr>
            </w:pPr>
            <w:r w:rsidRPr="00BD55A6">
              <w:rPr>
                <w:rFonts w:ascii="Arial" w:hAnsi="Arial" w:cs="Arial"/>
                <w:bCs/>
                <w:iCs/>
                <w:noProof/>
                <w:sz w:val="20"/>
                <w:szCs w:val="20"/>
              </w:rPr>
              <w:t>ESPRA</w:t>
            </w:r>
          </w:p>
        </w:tc>
        <w:tc>
          <w:tcPr>
            <w:tcW w:w="512" w:type="pct"/>
          </w:tcPr>
          <w:p w14:paraId="27964347" w14:textId="77777777" w:rsidR="000E68C3" w:rsidRPr="0001712A" w:rsidRDefault="000E68C3" w:rsidP="002008C1">
            <w:pPr>
              <w:pStyle w:val="Text1"/>
              <w:ind w:left="0"/>
              <w:rPr>
                <w:rFonts w:ascii="Arial" w:hAnsi="Arial" w:cs="Arial"/>
                <w:noProof/>
                <w:sz w:val="20"/>
                <w:szCs w:val="20"/>
              </w:rPr>
            </w:pPr>
          </w:p>
        </w:tc>
        <w:tc>
          <w:tcPr>
            <w:tcW w:w="606" w:type="pct"/>
            <w:shd w:val="clear" w:color="auto" w:fill="auto"/>
          </w:tcPr>
          <w:p w14:paraId="4A9FCAD1" w14:textId="6D10A4D5" w:rsidR="000E68C3" w:rsidRPr="000E68C3" w:rsidRDefault="00BD55A6" w:rsidP="002008C1">
            <w:pPr>
              <w:pStyle w:val="Text1"/>
              <w:ind w:left="0"/>
              <w:rPr>
                <w:rFonts w:ascii="Arial" w:hAnsi="Arial" w:cs="Arial"/>
                <w:noProof/>
                <w:sz w:val="20"/>
                <w:szCs w:val="20"/>
              </w:rPr>
            </w:pPr>
            <w:r w:rsidRPr="00BD55A6">
              <w:rPr>
                <w:rFonts w:ascii="Arial" w:hAnsi="Arial" w:cs="Arial"/>
                <w:noProof/>
                <w:sz w:val="20"/>
                <w:szCs w:val="20"/>
              </w:rPr>
              <w:t>Število operacij</w:t>
            </w:r>
          </w:p>
        </w:tc>
        <w:tc>
          <w:tcPr>
            <w:tcW w:w="534" w:type="pct"/>
          </w:tcPr>
          <w:p w14:paraId="6F348D76" w14:textId="7D85ECC5" w:rsidR="000E68C3" w:rsidRPr="000E68C3" w:rsidRDefault="00BD55A6" w:rsidP="002008C1">
            <w:pPr>
              <w:pStyle w:val="Text1"/>
              <w:ind w:left="0"/>
              <w:rPr>
                <w:rFonts w:ascii="Arial" w:hAnsi="Arial" w:cs="Arial"/>
                <w:noProof/>
                <w:sz w:val="20"/>
                <w:szCs w:val="20"/>
              </w:rPr>
            </w:pPr>
            <w:r w:rsidRPr="00BD55A6">
              <w:rPr>
                <w:rFonts w:ascii="Arial" w:hAnsi="Arial" w:cs="Arial"/>
                <w:noProof/>
                <w:sz w:val="20"/>
                <w:szCs w:val="20"/>
              </w:rPr>
              <w:t>število</w:t>
            </w:r>
          </w:p>
        </w:tc>
        <w:tc>
          <w:tcPr>
            <w:tcW w:w="558" w:type="pct"/>
            <w:shd w:val="clear" w:color="auto" w:fill="auto"/>
          </w:tcPr>
          <w:p w14:paraId="4E23EA64" w14:textId="58949138" w:rsidR="000E68C3" w:rsidRDefault="00BC6F4E" w:rsidP="002008C1">
            <w:pPr>
              <w:pStyle w:val="Text1"/>
              <w:ind w:left="0"/>
              <w:rPr>
                <w:rFonts w:ascii="Arial" w:hAnsi="Arial" w:cs="Arial"/>
                <w:noProof/>
                <w:sz w:val="20"/>
                <w:szCs w:val="20"/>
              </w:rPr>
            </w:pPr>
            <w:r>
              <w:rPr>
                <w:rFonts w:ascii="Arial" w:hAnsi="Arial" w:cs="Arial"/>
                <w:noProof/>
                <w:sz w:val="20"/>
                <w:szCs w:val="20"/>
              </w:rPr>
              <w:t>1</w:t>
            </w:r>
          </w:p>
        </w:tc>
        <w:tc>
          <w:tcPr>
            <w:tcW w:w="717" w:type="pct"/>
            <w:shd w:val="clear" w:color="auto" w:fill="auto"/>
          </w:tcPr>
          <w:p w14:paraId="52E3E85A" w14:textId="1B809145" w:rsidR="000E68C3" w:rsidRDefault="00BC6F4E" w:rsidP="002008C1">
            <w:pPr>
              <w:pStyle w:val="Text1"/>
              <w:ind w:left="0"/>
              <w:rPr>
                <w:rFonts w:ascii="Arial" w:hAnsi="Arial" w:cs="Arial"/>
                <w:noProof/>
                <w:sz w:val="20"/>
                <w:szCs w:val="20"/>
              </w:rPr>
            </w:pPr>
            <w:r>
              <w:rPr>
                <w:rFonts w:ascii="Arial" w:hAnsi="Arial" w:cs="Arial"/>
                <w:noProof/>
                <w:sz w:val="20"/>
                <w:szCs w:val="20"/>
              </w:rPr>
              <w:t>1</w:t>
            </w:r>
            <w:r w:rsidR="00226315">
              <w:rPr>
                <w:rFonts w:ascii="Arial" w:hAnsi="Arial" w:cs="Arial"/>
                <w:noProof/>
                <w:sz w:val="20"/>
                <w:szCs w:val="20"/>
              </w:rPr>
              <w:t>2</w:t>
            </w:r>
          </w:p>
        </w:tc>
      </w:tr>
    </w:tbl>
    <w:p w14:paraId="1204EF56" w14:textId="0B8BE062" w:rsidR="009D62C2" w:rsidRDefault="009D62C2" w:rsidP="00F2198D">
      <w:pPr>
        <w:rPr>
          <w:rFonts w:asciiTheme="majorHAnsi" w:eastAsiaTheme="majorEastAsia" w:hAnsiTheme="majorHAnsi" w:cstheme="majorBidi"/>
          <w:b/>
          <w:bCs/>
          <w:noProof/>
          <w:color w:val="4F81BD" w:themeColor="accent1"/>
          <w:sz w:val="26"/>
          <w:szCs w:val="26"/>
        </w:rPr>
        <w:sectPr w:rsidR="009D62C2" w:rsidSect="00714475">
          <w:pgSz w:w="11900" w:h="16840" w:code="9"/>
          <w:pgMar w:top="1701" w:right="1701" w:bottom="1134" w:left="1701" w:header="964" w:footer="794" w:gutter="0"/>
          <w:cols w:space="708"/>
          <w:docGrid w:linePitch="272"/>
        </w:sectPr>
      </w:pPr>
    </w:p>
    <w:p w14:paraId="6EC3BBA2" w14:textId="5CBFC537" w:rsidR="004A0C99" w:rsidRDefault="004A0C99" w:rsidP="008E6BB7">
      <w:pPr>
        <w:pStyle w:val="Naslov2"/>
        <w:rPr>
          <w:noProof/>
        </w:rPr>
      </w:pPr>
      <w:bookmarkStart w:id="22" w:name="_Toc106099907"/>
      <w:r w:rsidRPr="00A40660">
        <w:rPr>
          <w:noProof/>
        </w:rPr>
        <w:lastRenderedPageBreak/>
        <w:t>2.</w:t>
      </w:r>
      <w:r w:rsidR="00186775">
        <w:rPr>
          <w:noProof/>
        </w:rPr>
        <w:t>2</w:t>
      </w:r>
      <w:r w:rsidRPr="00A40660">
        <w:rPr>
          <w:noProof/>
        </w:rPr>
        <w:t>.2 Prednost</w:t>
      </w:r>
      <w:r w:rsidR="00186775">
        <w:rPr>
          <w:noProof/>
        </w:rPr>
        <w:t>na naloga</w:t>
      </w:r>
      <w:r w:rsidRPr="00A40660">
        <w:rPr>
          <w:noProof/>
        </w:rPr>
        <w:t xml:space="preserve"> za  tehnično pomoč </w:t>
      </w:r>
      <w:r w:rsidR="00186775">
        <w:rPr>
          <w:noProof/>
        </w:rPr>
        <w:t>na podlagi člena 37 uredbe o skupnih določbah (ponovi se za vsako takšno prednostno nalogo za tehnično pomoč)</w:t>
      </w:r>
      <w:bookmarkEnd w:id="22"/>
    </w:p>
    <w:p w14:paraId="5F0B4D97" w14:textId="77777777" w:rsidR="00186775" w:rsidRPr="008E6BB7" w:rsidRDefault="00186775"/>
    <w:p w14:paraId="66022F88" w14:textId="55713EBE" w:rsidR="004A0C99" w:rsidRDefault="00186775" w:rsidP="004A0C99">
      <w:pPr>
        <w:rPr>
          <w:rFonts w:cs="Arial"/>
          <w:bCs/>
          <w:i/>
          <w:noProof/>
          <w:szCs w:val="20"/>
        </w:rPr>
      </w:pPr>
      <w:r>
        <w:rPr>
          <w:rFonts w:cs="Arial"/>
          <w:bCs/>
          <w:i/>
          <w:noProof/>
          <w:szCs w:val="20"/>
        </w:rPr>
        <w:t>Sklic</w:t>
      </w:r>
      <w:r w:rsidR="004A0C99" w:rsidRPr="00AC6084">
        <w:rPr>
          <w:rFonts w:cs="Arial"/>
          <w:bCs/>
          <w:i/>
          <w:noProof/>
          <w:szCs w:val="20"/>
        </w:rPr>
        <w:t xml:space="preserve">: </w:t>
      </w:r>
      <w:r>
        <w:rPr>
          <w:rFonts w:cs="Arial"/>
          <w:bCs/>
          <w:i/>
          <w:noProof/>
          <w:szCs w:val="20"/>
        </w:rPr>
        <w:t>Člen</w:t>
      </w:r>
      <w:r w:rsidR="004A0C99" w:rsidRPr="00AC6084">
        <w:rPr>
          <w:rFonts w:cs="Arial"/>
          <w:bCs/>
          <w:i/>
          <w:noProof/>
          <w:szCs w:val="20"/>
        </w:rPr>
        <w:t xml:space="preserve"> </w:t>
      </w:r>
      <w:r>
        <w:rPr>
          <w:rFonts w:cs="Arial"/>
          <w:bCs/>
          <w:i/>
          <w:noProof/>
          <w:szCs w:val="20"/>
        </w:rPr>
        <w:t>22</w:t>
      </w:r>
      <w:r w:rsidR="004A0C99" w:rsidRPr="00AC6084">
        <w:rPr>
          <w:rFonts w:cs="Arial"/>
          <w:bCs/>
          <w:i/>
          <w:noProof/>
          <w:szCs w:val="20"/>
        </w:rPr>
        <w:t>(3)(</w:t>
      </w:r>
      <w:r>
        <w:rPr>
          <w:rFonts w:cs="Arial"/>
          <w:bCs/>
          <w:i/>
          <w:noProof/>
          <w:szCs w:val="20"/>
        </w:rPr>
        <w:t>f</w:t>
      </w:r>
      <w:r w:rsidR="004A0C99" w:rsidRPr="00AC6084">
        <w:rPr>
          <w:rFonts w:cs="Arial"/>
          <w:bCs/>
          <w:i/>
          <w:noProof/>
          <w:szCs w:val="20"/>
        </w:rPr>
        <w:t xml:space="preserve">); </w:t>
      </w:r>
    </w:p>
    <w:p w14:paraId="7CE67401" w14:textId="77777777" w:rsidR="004A0C99" w:rsidRPr="00A40660" w:rsidRDefault="004A0C99" w:rsidP="00854925">
      <w:pPr>
        <w:rPr>
          <w:rFonts w:cs="Arial"/>
          <w:szCs w:val="20"/>
        </w:rPr>
      </w:pPr>
    </w:p>
    <w:p w14:paraId="2FFD5761" w14:textId="3F882B17" w:rsidR="004A0C99" w:rsidRPr="00A40660" w:rsidRDefault="00186775" w:rsidP="00854925">
      <w:pPr>
        <w:rPr>
          <w:rFonts w:cs="Arial"/>
          <w:szCs w:val="20"/>
        </w:rPr>
      </w:pPr>
      <w:r>
        <w:rPr>
          <w:rFonts w:cs="Arial"/>
          <w:szCs w:val="20"/>
        </w:rPr>
        <w:t xml:space="preserve">2.2.2.1 </w:t>
      </w:r>
      <w:r w:rsidR="004A0C99" w:rsidRPr="00A40660">
        <w:rPr>
          <w:rFonts w:cs="Arial"/>
          <w:szCs w:val="20"/>
        </w:rPr>
        <w:t>Opis tehnične pomoči</w:t>
      </w:r>
      <w:r>
        <w:rPr>
          <w:rFonts w:cs="Arial"/>
          <w:szCs w:val="20"/>
        </w:rPr>
        <w:t xml:space="preserve"> na podlagi financiranja, ki ni</w:t>
      </w:r>
      <w:r w:rsidR="004A0C99" w:rsidRPr="00A40660">
        <w:rPr>
          <w:rFonts w:cs="Arial"/>
          <w:szCs w:val="20"/>
        </w:rPr>
        <w:t xml:space="preserve"> povezan</w:t>
      </w:r>
      <w:r>
        <w:rPr>
          <w:rFonts w:cs="Arial"/>
          <w:szCs w:val="20"/>
        </w:rPr>
        <w:t>o</w:t>
      </w:r>
      <w:r w:rsidR="004A0C99" w:rsidRPr="00A40660">
        <w:rPr>
          <w:rFonts w:cs="Arial"/>
          <w:szCs w:val="20"/>
        </w:rPr>
        <w:t xml:space="preserve"> s stroški – člen 3</w:t>
      </w:r>
      <w:r>
        <w:rPr>
          <w:rFonts w:cs="Arial"/>
          <w:szCs w:val="20"/>
        </w:rPr>
        <w:t>7 CPR</w:t>
      </w:r>
    </w:p>
    <w:p w14:paraId="250DF862" w14:textId="77777777" w:rsidR="004A0C99" w:rsidRPr="00AC6084" w:rsidRDefault="004A0C99" w:rsidP="004A0C99">
      <w:pPr>
        <w:rPr>
          <w:rFonts w:cs="Arial"/>
          <w:b/>
          <w:i/>
          <w:noProof/>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4A0C99" w:rsidRPr="00A40660" w14:paraId="7A6A5EE2" w14:textId="77777777" w:rsidTr="002008C1">
        <w:tc>
          <w:tcPr>
            <w:tcW w:w="9288" w:type="dxa"/>
            <w:shd w:val="clear" w:color="auto" w:fill="auto"/>
          </w:tcPr>
          <w:p w14:paraId="23FEA0C5" w14:textId="227D9E17" w:rsidR="004A0C99" w:rsidRPr="00A40660" w:rsidRDefault="0023746A" w:rsidP="002008C1">
            <w:pPr>
              <w:rPr>
                <w:rFonts w:cs="Arial"/>
                <w:b/>
                <w:i/>
                <w:iCs/>
                <w:noProof/>
                <w:szCs w:val="20"/>
                <w:u w:val="single"/>
              </w:rPr>
            </w:pPr>
            <w:r w:rsidRPr="0023746A">
              <w:rPr>
                <w:rFonts w:cs="Arial"/>
                <w:bCs/>
                <w:iCs/>
                <w:noProof/>
                <w:szCs w:val="20"/>
              </w:rPr>
              <w:t>Republika Slovenija te oblike izplačil v okviru Tehnične pomoči ne bo uporabljala.</w:t>
            </w:r>
            <w:r>
              <w:rPr>
                <w:rFonts w:cs="Arial"/>
                <w:bCs/>
                <w:i/>
                <w:noProof/>
                <w:szCs w:val="20"/>
              </w:rPr>
              <w:t xml:space="preserve"> </w:t>
            </w:r>
            <w:r w:rsidR="004A0C99" w:rsidRPr="00A40660">
              <w:rPr>
                <w:rFonts w:cs="Arial"/>
                <w:b/>
                <w:i/>
                <w:iCs/>
                <w:noProof/>
                <w:szCs w:val="20"/>
                <w:u w:val="single"/>
              </w:rPr>
              <w:t xml:space="preserve"> </w:t>
            </w:r>
          </w:p>
        </w:tc>
      </w:tr>
    </w:tbl>
    <w:p w14:paraId="5DC70294" w14:textId="77777777" w:rsidR="006626B9" w:rsidRDefault="006626B9">
      <w:pPr>
        <w:spacing w:after="200" w:line="276" w:lineRule="auto"/>
        <w:rPr>
          <w:rFonts w:cs="Arial"/>
          <w:szCs w:val="20"/>
        </w:rPr>
        <w:sectPr w:rsidR="006626B9" w:rsidSect="009D62C2">
          <w:pgSz w:w="11900" w:h="16840" w:code="9"/>
          <w:pgMar w:top="1701" w:right="1701" w:bottom="1134" w:left="1701" w:header="964" w:footer="794" w:gutter="0"/>
          <w:cols w:space="708"/>
          <w:docGrid w:linePitch="272"/>
        </w:sectPr>
      </w:pPr>
    </w:p>
    <w:p w14:paraId="392300A2" w14:textId="3EDC3C9E" w:rsidR="00151AB9" w:rsidRPr="002458C0" w:rsidRDefault="00151AB9" w:rsidP="002458C0">
      <w:pPr>
        <w:pStyle w:val="Naslov1"/>
      </w:pPr>
      <w:bookmarkStart w:id="23" w:name="_Toc106099908"/>
      <w:r w:rsidRPr="002458C0">
        <w:lastRenderedPageBreak/>
        <w:t>3. Finančni načrt</w:t>
      </w:r>
      <w:bookmarkEnd w:id="23"/>
      <w:r w:rsidRPr="002458C0">
        <w:t xml:space="preserve"> </w:t>
      </w:r>
    </w:p>
    <w:p w14:paraId="0EDC0C77" w14:textId="333E1738" w:rsidR="004A0C99" w:rsidRPr="00A40660" w:rsidRDefault="00151AB9" w:rsidP="00151AB9">
      <w:pPr>
        <w:rPr>
          <w:rFonts w:cs="Arial"/>
          <w:i/>
          <w:iCs/>
          <w:szCs w:val="20"/>
        </w:rPr>
      </w:pPr>
      <w:r w:rsidRPr="00A40660">
        <w:rPr>
          <w:rFonts w:cs="Arial"/>
          <w:i/>
          <w:iCs/>
          <w:szCs w:val="20"/>
        </w:rPr>
        <w:t xml:space="preserve">Sklic: člen </w:t>
      </w:r>
      <w:r w:rsidR="00005273">
        <w:rPr>
          <w:rFonts w:cs="Arial"/>
          <w:i/>
          <w:iCs/>
          <w:szCs w:val="20"/>
        </w:rPr>
        <w:t>22</w:t>
      </w:r>
      <w:r w:rsidRPr="00A40660">
        <w:rPr>
          <w:rFonts w:cs="Arial"/>
          <w:i/>
          <w:iCs/>
          <w:szCs w:val="20"/>
        </w:rPr>
        <w:t>(3)(</w:t>
      </w:r>
      <w:r w:rsidR="00005273">
        <w:rPr>
          <w:rFonts w:cs="Arial"/>
          <w:i/>
          <w:iCs/>
          <w:szCs w:val="20"/>
        </w:rPr>
        <w:t>g</w:t>
      </w:r>
      <w:r w:rsidRPr="00A40660">
        <w:rPr>
          <w:rFonts w:cs="Arial"/>
          <w:i/>
          <w:iCs/>
          <w:szCs w:val="20"/>
        </w:rPr>
        <w:t>)(i)-(iii); člen 1</w:t>
      </w:r>
      <w:r w:rsidR="00005273">
        <w:rPr>
          <w:rFonts w:cs="Arial"/>
          <w:i/>
          <w:iCs/>
          <w:szCs w:val="20"/>
        </w:rPr>
        <w:t>12</w:t>
      </w:r>
      <w:r w:rsidRPr="00A40660">
        <w:rPr>
          <w:rFonts w:cs="Arial"/>
          <w:i/>
          <w:iCs/>
          <w:szCs w:val="20"/>
        </w:rPr>
        <w:t>(1)–(3), člen 1</w:t>
      </w:r>
      <w:r w:rsidR="00005273">
        <w:rPr>
          <w:rFonts w:cs="Arial"/>
          <w:i/>
          <w:iCs/>
          <w:szCs w:val="20"/>
        </w:rPr>
        <w:t>4</w:t>
      </w:r>
      <w:r w:rsidRPr="00A40660">
        <w:rPr>
          <w:rFonts w:cs="Arial"/>
          <w:i/>
          <w:iCs/>
          <w:szCs w:val="20"/>
        </w:rPr>
        <w:t>; člen 2</w:t>
      </w:r>
      <w:r w:rsidR="00005273">
        <w:rPr>
          <w:rFonts w:cs="Arial"/>
          <w:i/>
          <w:iCs/>
          <w:szCs w:val="20"/>
        </w:rPr>
        <w:t>6</w:t>
      </w:r>
      <w:r w:rsidRPr="00A40660">
        <w:rPr>
          <w:rFonts w:cs="Arial"/>
          <w:i/>
          <w:iCs/>
          <w:szCs w:val="20"/>
        </w:rPr>
        <w:t xml:space="preserve"> uredbe o skupnih določbah</w:t>
      </w:r>
    </w:p>
    <w:p w14:paraId="2AD6DAE4" w14:textId="77777777" w:rsidR="00151AB9" w:rsidRPr="00A40660" w:rsidRDefault="00151AB9" w:rsidP="00151AB9">
      <w:pPr>
        <w:rPr>
          <w:rFonts w:cs="Arial"/>
          <w:i/>
          <w:noProof/>
          <w:szCs w:val="20"/>
        </w:rPr>
      </w:pPr>
    </w:p>
    <w:p w14:paraId="0F98365F" w14:textId="700D9296" w:rsidR="00151AB9" w:rsidRPr="00AC6084" w:rsidRDefault="00151AB9" w:rsidP="00C857A1">
      <w:pPr>
        <w:pStyle w:val="Naslov2"/>
      </w:pPr>
      <w:bookmarkStart w:id="24" w:name="_Toc106099909"/>
      <w:r w:rsidRPr="00AC6084">
        <w:t>3.</w:t>
      </w:r>
      <w:r w:rsidR="00810AF8">
        <w:t>1</w:t>
      </w:r>
      <w:r w:rsidRPr="00AC6084">
        <w:t xml:space="preserve"> Prerazporeditve in prispevki</w:t>
      </w:r>
      <w:bookmarkEnd w:id="24"/>
      <w:r w:rsidRPr="00AC6084">
        <w:t xml:space="preserve"> </w:t>
      </w:r>
    </w:p>
    <w:p w14:paraId="5D6A904F" w14:textId="5C514E77" w:rsidR="00151AB9" w:rsidRPr="00A40660" w:rsidRDefault="00151AB9" w:rsidP="00151AB9">
      <w:pPr>
        <w:rPr>
          <w:rFonts w:cs="Arial"/>
          <w:i/>
          <w:iCs/>
          <w:szCs w:val="20"/>
        </w:rPr>
      </w:pPr>
      <w:r w:rsidRPr="00A40660">
        <w:rPr>
          <w:rFonts w:cs="Arial"/>
          <w:i/>
          <w:iCs/>
          <w:szCs w:val="20"/>
        </w:rPr>
        <w:t>Sklic: člen 1</w:t>
      </w:r>
      <w:r w:rsidR="00810AF8">
        <w:rPr>
          <w:rFonts w:cs="Arial"/>
          <w:i/>
          <w:iCs/>
          <w:szCs w:val="20"/>
        </w:rPr>
        <w:t>4</w:t>
      </w:r>
      <w:r w:rsidRPr="00A40660">
        <w:rPr>
          <w:rFonts w:cs="Arial"/>
          <w:i/>
          <w:iCs/>
          <w:szCs w:val="20"/>
        </w:rPr>
        <w:t>; člen 2</w:t>
      </w:r>
      <w:r w:rsidR="00810AF8">
        <w:rPr>
          <w:rFonts w:cs="Arial"/>
          <w:i/>
          <w:iCs/>
          <w:szCs w:val="20"/>
        </w:rPr>
        <w:t>6 in 27</w:t>
      </w:r>
      <w:r w:rsidRPr="00A40660">
        <w:rPr>
          <w:rFonts w:cs="Arial"/>
          <w:i/>
          <w:iCs/>
          <w:szCs w:val="20"/>
        </w:rPr>
        <w:t xml:space="preserve"> uredbe o skupnih določbah</w:t>
      </w:r>
    </w:p>
    <w:p w14:paraId="5C2F1092" w14:textId="77777777" w:rsidR="00151AB9" w:rsidRPr="00A40660" w:rsidRDefault="00151AB9" w:rsidP="00151AB9">
      <w:pPr>
        <w:rPr>
          <w:rFonts w:cs="Arial"/>
          <w:i/>
          <w:noProof/>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51AB9" w:rsidRPr="00F700CD" w14:paraId="31F45FD4" w14:textId="77777777" w:rsidTr="002008C1">
        <w:tc>
          <w:tcPr>
            <w:tcW w:w="9322" w:type="dxa"/>
          </w:tcPr>
          <w:p w14:paraId="149BA422" w14:textId="185F188A" w:rsidR="00151AB9" w:rsidRPr="00A40660" w:rsidRDefault="00151AB9" w:rsidP="00151AB9">
            <w:pPr>
              <w:pStyle w:val="Text3"/>
              <w:spacing w:before="0" w:after="0"/>
              <w:ind w:left="0"/>
              <w:rPr>
                <w:rFonts w:ascii="Arial" w:hAnsi="Arial" w:cs="Arial"/>
                <w:noProof/>
                <w:sz w:val="20"/>
                <w:szCs w:val="20"/>
                <w:lang w:val="sl-SI"/>
              </w:rPr>
            </w:pPr>
            <w:r w:rsidRPr="00A40660">
              <w:rPr>
                <w:rFonts w:ascii="Arial" w:hAnsi="Arial" w:cs="Arial"/>
                <w:noProof/>
                <w:sz w:val="20"/>
                <w:szCs w:val="20"/>
              </w:rPr>
              <w:fldChar w:fldCharType="begin">
                <w:ffData>
                  <w:name w:val="Check1"/>
                  <w:enabled/>
                  <w:calcOnExit w:val="0"/>
                  <w:checkBox>
                    <w:sizeAuto/>
                    <w:default w:val="0"/>
                  </w:checkBox>
                </w:ffData>
              </w:fldChar>
            </w:r>
            <w:r w:rsidRPr="00AC6084">
              <w:rPr>
                <w:rFonts w:ascii="Arial" w:hAnsi="Arial" w:cs="Arial"/>
                <w:noProof/>
                <w:sz w:val="20"/>
                <w:szCs w:val="20"/>
                <w:lang w:val="sl-SI"/>
              </w:rPr>
              <w:instrText xml:space="preserve"> FORMCHECKBOX </w:instrText>
            </w:r>
            <w:r w:rsidR="00FE45E9">
              <w:rPr>
                <w:rFonts w:ascii="Arial" w:hAnsi="Arial" w:cs="Arial"/>
                <w:noProof/>
                <w:sz w:val="20"/>
                <w:szCs w:val="20"/>
              </w:rPr>
            </w:r>
            <w:r w:rsidR="00FE45E9">
              <w:rPr>
                <w:rFonts w:ascii="Arial" w:hAnsi="Arial" w:cs="Arial"/>
                <w:noProof/>
                <w:sz w:val="20"/>
                <w:szCs w:val="20"/>
              </w:rPr>
              <w:fldChar w:fldCharType="separate"/>
            </w:r>
            <w:r w:rsidRPr="00A40660">
              <w:rPr>
                <w:rFonts w:ascii="Arial" w:hAnsi="Arial" w:cs="Arial"/>
                <w:noProof/>
                <w:sz w:val="20"/>
                <w:szCs w:val="20"/>
              </w:rPr>
              <w:fldChar w:fldCharType="end"/>
            </w:r>
            <w:r w:rsidRPr="00AC6084">
              <w:rPr>
                <w:rFonts w:ascii="Arial" w:hAnsi="Arial" w:cs="Arial"/>
                <w:noProof/>
                <w:sz w:val="20"/>
                <w:szCs w:val="20"/>
                <w:lang w:val="sl-SI"/>
              </w:rPr>
              <w:t xml:space="preserve"> Sprememba programa v zvezi s členom 10 uredbe o skupnih določbah (prispevek k InvestEU)</w:t>
            </w:r>
          </w:p>
        </w:tc>
      </w:tr>
      <w:tr w:rsidR="00151AB9" w:rsidRPr="00F700CD" w14:paraId="1C9F4E54" w14:textId="77777777" w:rsidTr="002008C1">
        <w:tc>
          <w:tcPr>
            <w:tcW w:w="9322" w:type="dxa"/>
          </w:tcPr>
          <w:p w14:paraId="070D19B1" w14:textId="502EDC8F" w:rsidR="00151AB9" w:rsidRPr="00A40660" w:rsidRDefault="00151AB9" w:rsidP="00151AB9">
            <w:pPr>
              <w:pStyle w:val="Text3"/>
              <w:spacing w:after="0"/>
              <w:ind w:left="0"/>
              <w:rPr>
                <w:rFonts w:ascii="Arial" w:hAnsi="Arial" w:cs="Arial"/>
                <w:noProof/>
                <w:sz w:val="20"/>
                <w:szCs w:val="20"/>
                <w:lang w:val="sl-SI"/>
              </w:rPr>
            </w:pPr>
            <w:r w:rsidRPr="00A40660">
              <w:rPr>
                <w:rFonts w:ascii="Arial" w:hAnsi="Arial" w:cs="Arial"/>
                <w:noProof/>
                <w:sz w:val="20"/>
                <w:szCs w:val="20"/>
              </w:rPr>
              <w:fldChar w:fldCharType="begin">
                <w:ffData>
                  <w:name w:val="Check2"/>
                  <w:enabled/>
                  <w:calcOnExit w:val="0"/>
                  <w:checkBox>
                    <w:sizeAuto/>
                    <w:default w:val="0"/>
                  </w:checkBox>
                </w:ffData>
              </w:fldChar>
            </w:r>
            <w:r w:rsidRPr="00AC6084">
              <w:rPr>
                <w:rFonts w:ascii="Arial" w:hAnsi="Arial" w:cs="Arial"/>
                <w:noProof/>
                <w:sz w:val="20"/>
                <w:szCs w:val="20"/>
                <w:lang w:val="sl-SI"/>
              </w:rPr>
              <w:instrText xml:space="preserve"> FORMCHECKBOX </w:instrText>
            </w:r>
            <w:r w:rsidR="00FE45E9">
              <w:rPr>
                <w:rFonts w:ascii="Arial" w:hAnsi="Arial" w:cs="Arial"/>
                <w:noProof/>
                <w:sz w:val="20"/>
                <w:szCs w:val="20"/>
              </w:rPr>
            </w:r>
            <w:r w:rsidR="00FE45E9">
              <w:rPr>
                <w:rFonts w:ascii="Arial" w:hAnsi="Arial" w:cs="Arial"/>
                <w:noProof/>
                <w:sz w:val="20"/>
                <w:szCs w:val="20"/>
              </w:rPr>
              <w:fldChar w:fldCharType="separate"/>
            </w:r>
            <w:r w:rsidRPr="00A40660">
              <w:rPr>
                <w:rFonts w:ascii="Arial" w:hAnsi="Arial" w:cs="Arial"/>
                <w:noProof/>
                <w:sz w:val="20"/>
                <w:szCs w:val="20"/>
              </w:rPr>
              <w:fldChar w:fldCharType="end"/>
            </w:r>
            <w:r w:rsidRPr="00AC6084">
              <w:rPr>
                <w:rFonts w:ascii="Arial" w:hAnsi="Arial" w:cs="Arial"/>
                <w:noProof/>
                <w:sz w:val="20"/>
                <w:szCs w:val="20"/>
                <w:lang w:val="sl-SI"/>
              </w:rPr>
              <w:t xml:space="preserve"> Sprememba programa v zvezi s členom 21 uredbe o skupnih določbah (prerazporeditve za instrumente v okviru neposrednega ali posrednega upravljanja skladov z deljenim upravljanjem)</w:t>
            </w:r>
          </w:p>
        </w:tc>
      </w:tr>
    </w:tbl>
    <w:p w14:paraId="268CBABE" w14:textId="77777777" w:rsidR="00151AB9" w:rsidRPr="00AC6084" w:rsidRDefault="00151AB9" w:rsidP="00151AB9">
      <w:pPr>
        <w:rPr>
          <w:rFonts w:cs="Arial"/>
          <w:b/>
          <w:noProof/>
          <w:szCs w:val="20"/>
        </w:rPr>
      </w:pPr>
    </w:p>
    <w:p w14:paraId="7FE4D6C6" w14:textId="77777777" w:rsidR="00151AB9" w:rsidRPr="00A40660" w:rsidRDefault="00151AB9" w:rsidP="00A47A2C">
      <w:pPr>
        <w:jc w:val="both"/>
        <w:rPr>
          <w:rFonts w:cs="Arial"/>
          <w:b/>
          <w:bCs/>
          <w:szCs w:val="20"/>
        </w:rPr>
      </w:pPr>
      <w:r w:rsidRPr="00A40660">
        <w:rPr>
          <w:rFonts w:cs="Arial"/>
          <w:b/>
          <w:bCs/>
          <w:szCs w:val="20"/>
        </w:rPr>
        <w:t>Tabela 15: Prispevki za InvestEU*</w:t>
      </w:r>
    </w:p>
    <w:p w14:paraId="09105C46" w14:textId="77777777" w:rsidR="00151AB9" w:rsidRPr="00A40660" w:rsidRDefault="00151AB9" w:rsidP="00151AB9">
      <w:pPr>
        <w:rPr>
          <w:rFonts w:cs="Arial"/>
          <w:b/>
          <w:bCs/>
          <w:szCs w:val="20"/>
        </w:rPr>
      </w:pPr>
    </w:p>
    <w:tbl>
      <w:tblPr>
        <w:tblW w:w="4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455"/>
        <w:gridCol w:w="1455"/>
        <w:gridCol w:w="1455"/>
        <w:gridCol w:w="1455"/>
        <w:gridCol w:w="1455"/>
        <w:gridCol w:w="3312"/>
      </w:tblGrid>
      <w:tr w:rsidR="00151AB9" w:rsidRPr="00A40660" w14:paraId="325E6CE4" w14:textId="77777777" w:rsidTr="00151AB9">
        <w:tc>
          <w:tcPr>
            <w:tcW w:w="729" w:type="pct"/>
            <w:shd w:val="clear" w:color="auto" w:fill="auto"/>
          </w:tcPr>
          <w:p w14:paraId="53B0A419" w14:textId="77777777" w:rsidR="00151AB9" w:rsidRPr="00A40660" w:rsidRDefault="00151AB9" w:rsidP="002008C1">
            <w:pPr>
              <w:spacing w:line="276" w:lineRule="auto"/>
              <w:jc w:val="center"/>
              <w:rPr>
                <w:rFonts w:cs="Arial"/>
                <w:b/>
                <w:noProof/>
                <w:szCs w:val="20"/>
              </w:rPr>
            </w:pPr>
          </w:p>
        </w:tc>
        <w:tc>
          <w:tcPr>
            <w:tcW w:w="587" w:type="pct"/>
            <w:shd w:val="clear" w:color="auto" w:fill="auto"/>
          </w:tcPr>
          <w:p w14:paraId="3A94358A" w14:textId="77777777" w:rsidR="00151AB9" w:rsidRPr="00A40660" w:rsidRDefault="00151AB9" w:rsidP="002008C1">
            <w:pPr>
              <w:spacing w:line="276" w:lineRule="auto"/>
              <w:jc w:val="center"/>
              <w:rPr>
                <w:rFonts w:cs="Arial"/>
                <w:b/>
                <w:noProof/>
                <w:szCs w:val="20"/>
              </w:rPr>
            </w:pPr>
            <w:r w:rsidRPr="00A40660">
              <w:rPr>
                <w:rFonts w:cs="Arial"/>
                <w:b/>
                <w:noProof/>
                <w:szCs w:val="20"/>
              </w:rPr>
              <w:t>Razdelek</w:t>
            </w:r>
          </w:p>
          <w:p w14:paraId="62D6BC88" w14:textId="77777777" w:rsidR="00151AB9" w:rsidRPr="00A40660" w:rsidRDefault="00151AB9" w:rsidP="002008C1">
            <w:pPr>
              <w:spacing w:line="276" w:lineRule="auto"/>
              <w:jc w:val="center"/>
              <w:rPr>
                <w:rFonts w:cs="Arial"/>
                <w:b/>
                <w:noProof/>
                <w:szCs w:val="20"/>
              </w:rPr>
            </w:pPr>
            <w:r w:rsidRPr="00A40660">
              <w:rPr>
                <w:rFonts w:cs="Arial"/>
                <w:b/>
                <w:noProof/>
                <w:szCs w:val="20"/>
              </w:rPr>
              <w:t>1</w:t>
            </w:r>
          </w:p>
        </w:tc>
        <w:tc>
          <w:tcPr>
            <w:tcW w:w="587" w:type="pct"/>
            <w:shd w:val="clear" w:color="auto" w:fill="auto"/>
          </w:tcPr>
          <w:p w14:paraId="630B9F98" w14:textId="77777777" w:rsidR="00151AB9" w:rsidRPr="00A40660" w:rsidRDefault="00151AB9" w:rsidP="00151AB9">
            <w:pPr>
              <w:spacing w:line="276" w:lineRule="auto"/>
              <w:jc w:val="center"/>
              <w:rPr>
                <w:rFonts w:cs="Arial"/>
                <w:b/>
                <w:noProof/>
                <w:szCs w:val="20"/>
              </w:rPr>
            </w:pPr>
            <w:r w:rsidRPr="00A40660">
              <w:rPr>
                <w:rFonts w:cs="Arial"/>
                <w:b/>
                <w:noProof/>
                <w:szCs w:val="20"/>
              </w:rPr>
              <w:t>Razdelek</w:t>
            </w:r>
          </w:p>
          <w:p w14:paraId="4FF68387" w14:textId="77777777" w:rsidR="00151AB9" w:rsidRPr="00A40660" w:rsidRDefault="00151AB9" w:rsidP="002008C1">
            <w:pPr>
              <w:spacing w:line="276" w:lineRule="auto"/>
              <w:jc w:val="center"/>
              <w:rPr>
                <w:rFonts w:cs="Arial"/>
                <w:b/>
                <w:noProof/>
                <w:szCs w:val="20"/>
              </w:rPr>
            </w:pPr>
            <w:r w:rsidRPr="00A40660">
              <w:rPr>
                <w:rFonts w:cs="Arial"/>
                <w:b/>
                <w:noProof/>
                <w:szCs w:val="20"/>
              </w:rPr>
              <w:t>2</w:t>
            </w:r>
          </w:p>
        </w:tc>
        <w:tc>
          <w:tcPr>
            <w:tcW w:w="587" w:type="pct"/>
            <w:shd w:val="clear" w:color="auto" w:fill="auto"/>
          </w:tcPr>
          <w:p w14:paraId="3F20AECE" w14:textId="77777777" w:rsidR="00151AB9" w:rsidRPr="00A40660" w:rsidRDefault="00151AB9" w:rsidP="00151AB9">
            <w:pPr>
              <w:spacing w:line="276" w:lineRule="auto"/>
              <w:jc w:val="center"/>
              <w:rPr>
                <w:rFonts w:cs="Arial"/>
                <w:b/>
                <w:noProof/>
                <w:szCs w:val="20"/>
              </w:rPr>
            </w:pPr>
            <w:r w:rsidRPr="00A40660">
              <w:rPr>
                <w:rFonts w:cs="Arial"/>
                <w:b/>
                <w:noProof/>
                <w:szCs w:val="20"/>
              </w:rPr>
              <w:t>Razdelek</w:t>
            </w:r>
          </w:p>
          <w:p w14:paraId="63DEE9BA" w14:textId="77777777" w:rsidR="00151AB9" w:rsidRPr="00A40660" w:rsidRDefault="00151AB9" w:rsidP="00151AB9">
            <w:pPr>
              <w:spacing w:line="276" w:lineRule="auto"/>
              <w:jc w:val="center"/>
              <w:rPr>
                <w:rFonts w:cs="Arial"/>
                <w:b/>
                <w:noProof/>
                <w:szCs w:val="20"/>
              </w:rPr>
            </w:pPr>
            <w:r w:rsidRPr="00A40660">
              <w:rPr>
                <w:rFonts w:cs="Arial"/>
                <w:b/>
                <w:noProof/>
                <w:szCs w:val="20"/>
              </w:rPr>
              <w:t>3</w:t>
            </w:r>
          </w:p>
        </w:tc>
        <w:tc>
          <w:tcPr>
            <w:tcW w:w="587" w:type="pct"/>
            <w:shd w:val="clear" w:color="auto" w:fill="auto"/>
          </w:tcPr>
          <w:p w14:paraId="79B97D0D" w14:textId="77777777" w:rsidR="00151AB9" w:rsidRPr="00A40660" w:rsidRDefault="00151AB9" w:rsidP="00151AB9">
            <w:pPr>
              <w:spacing w:line="276" w:lineRule="auto"/>
              <w:jc w:val="center"/>
              <w:rPr>
                <w:rFonts w:cs="Arial"/>
                <w:b/>
                <w:noProof/>
                <w:szCs w:val="20"/>
              </w:rPr>
            </w:pPr>
            <w:r w:rsidRPr="00A40660">
              <w:rPr>
                <w:rFonts w:cs="Arial"/>
                <w:b/>
                <w:noProof/>
                <w:szCs w:val="20"/>
              </w:rPr>
              <w:t>Razdelek</w:t>
            </w:r>
          </w:p>
          <w:p w14:paraId="5BFF5EEC" w14:textId="77777777" w:rsidR="00151AB9" w:rsidRPr="00A40660" w:rsidRDefault="00151AB9" w:rsidP="00151AB9">
            <w:pPr>
              <w:spacing w:line="276" w:lineRule="auto"/>
              <w:jc w:val="center"/>
              <w:rPr>
                <w:rFonts w:cs="Arial"/>
                <w:b/>
                <w:noProof/>
                <w:szCs w:val="20"/>
              </w:rPr>
            </w:pPr>
            <w:r w:rsidRPr="00A40660">
              <w:rPr>
                <w:rFonts w:cs="Arial"/>
                <w:b/>
                <w:noProof/>
                <w:szCs w:val="20"/>
              </w:rPr>
              <w:t xml:space="preserve"> 4</w:t>
            </w:r>
          </w:p>
        </w:tc>
        <w:tc>
          <w:tcPr>
            <w:tcW w:w="587" w:type="pct"/>
            <w:shd w:val="clear" w:color="auto" w:fill="auto"/>
          </w:tcPr>
          <w:p w14:paraId="6EE95FAB" w14:textId="77777777" w:rsidR="00151AB9" w:rsidRPr="00A40660" w:rsidRDefault="00151AB9" w:rsidP="00151AB9">
            <w:pPr>
              <w:spacing w:line="276" w:lineRule="auto"/>
              <w:jc w:val="center"/>
              <w:rPr>
                <w:rFonts w:cs="Arial"/>
                <w:b/>
                <w:noProof/>
                <w:szCs w:val="20"/>
              </w:rPr>
            </w:pPr>
            <w:r w:rsidRPr="00A40660">
              <w:rPr>
                <w:rFonts w:cs="Arial"/>
                <w:b/>
                <w:noProof/>
                <w:szCs w:val="20"/>
              </w:rPr>
              <w:t>Razdelek</w:t>
            </w:r>
          </w:p>
          <w:p w14:paraId="0A081E75" w14:textId="77777777" w:rsidR="00151AB9" w:rsidRPr="00A40660" w:rsidRDefault="00151AB9" w:rsidP="002008C1">
            <w:pPr>
              <w:spacing w:line="276" w:lineRule="auto"/>
              <w:jc w:val="center"/>
              <w:rPr>
                <w:rFonts w:cs="Arial"/>
                <w:b/>
                <w:noProof/>
                <w:szCs w:val="20"/>
              </w:rPr>
            </w:pPr>
            <w:r w:rsidRPr="00A40660">
              <w:rPr>
                <w:rFonts w:cs="Arial"/>
                <w:b/>
                <w:noProof/>
                <w:szCs w:val="20"/>
              </w:rPr>
              <w:t>5</w:t>
            </w:r>
          </w:p>
        </w:tc>
        <w:tc>
          <w:tcPr>
            <w:tcW w:w="1336" w:type="pct"/>
            <w:shd w:val="clear" w:color="auto" w:fill="auto"/>
          </w:tcPr>
          <w:p w14:paraId="74852161" w14:textId="77777777" w:rsidR="00151AB9" w:rsidRPr="00A40660" w:rsidRDefault="00151AB9" w:rsidP="002008C1">
            <w:pPr>
              <w:spacing w:line="276" w:lineRule="auto"/>
              <w:rPr>
                <w:rFonts w:cs="Arial"/>
                <w:b/>
                <w:noProof/>
                <w:szCs w:val="20"/>
              </w:rPr>
            </w:pPr>
            <w:r w:rsidRPr="00A40660">
              <w:rPr>
                <w:rFonts w:cs="Arial"/>
                <w:b/>
                <w:noProof/>
                <w:szCs w:val="20"/>
              </w:rPr>
              <w:t>Vsota</w:t>
            </w:r>
          </w:p>
        </w:tc>
      </w:tr>
      <w:tr w:rsidR="00151AB9" w:rsidRPr="00A40660" w14:paraId="7C637029" w14:textId="77777777" w:rsidTr="00151AB9">
        <w:tc>
          <w:tcPr>
            <w:tcW w:w="729" w:type="pct"/>
            <w:shd w:val="clear" w:color="auto" w:fill="auto"/>
          </w:tcPr>
          <w:p w14:paraId="6B843AF8" w14:textId="77777777" w:rsidR="00151AB9" w:rsidRPr="00A40660" w:rsidRDefault="00151AB9" w:rsidP="002008C1">
            <w:pPr>
              <w:jc w:val="center"/>
              <w:rPr>
                <w:rFonts w:cs="Arial"/>
                <w:noProof/>
                <w:szCs w:val="20"/>
              </w:rPr>
            </w:pPr>
          </w:p>
        </w:tc>
        <w:tc>
          <w:tcPr>
            <w:tcW w:w="587" w:type="pct"/>
            <w:shd w:val="clear" w:color="auto" w:fill="auto"/>
          </w:tcPr>
          <w:p w14:paraId="4AD73B9F" w14:textId="77777777" w:rsidR="00151AB9" w:rsidRPr="00A40660" w:rsidRDefault="00151AB9" w:rsidP="002008C1">
            <w:pPr>
              <w:jc w:val="center"/>
              <w:rPr>
                <w:rFonts w:cs="Arial"/>
                <w:noProof/>
                <w:szCs w:val="20"/>
              </w:rPr>
            </w:pPr>
            <w:r w:rsidRPr="00A40660">
              <w:rPr>
                <w:rFonts w:cs="Arial"/>
                <w:noProof/>
                <w:szCs w:val="20"/>
              </w:rPr>
              <w:t>(a)</w:t>
            </w:r>
          </w:p>
        </w:tc>
        <w:tc>
          <w:tcPr>
            <w:tcW w:w="587" w:type="pct"/>
            <w:shd w:val="clear" w:color="auto" w:fill="auto"/>
          </w:tcPr>
          <w:p w14:paraId="3E172298" w14:textId="77777777" w:rsidR="00151AB9" w:rsidRPr="00A40660" w:rsidRDefault="00151AB9" w:rsidP="002008C1">
            <w:pPr>
              <w:jc w:val="center"/>
              <w:rPr>
                <w:rFonts w:cs="Arial"/>
                <w:noProof/>
                <w:szCs w:val="20"/>
              </w:rPr>
            </w:pPr>
            <w:r w:rsidRPr="00A40660">
              <w:rPr>
                <w:rFonts w:cs="Arial"/>
                <w:noProof/>
                <w:szCs w:val="20"/>
              </w:rPr>
              <w:t>(b)</w:t>
            </w:r>
          </w:p>
        </w:tc>
        <w:tc>
          <w:tcPr>
            <w:tcW w:w="587" w:type="pct"/>
            <w:shd w:val="clear" w:color="auto" w:fill="auto"/>
          </w:tcPr>
          <w:p w14:paraId="18970746" w14:textId="77777777" w:rsidR="00151AB9" w:rsidRPr="00A40660" w:rsidRDefault="00151AB9" w:rsidP="002008C1">
            <w:pPr>
              <w:jc w:val="center"/>
              <w:rPr>
                <w:rFonts w:cs="Arial"/>
                <w:noProof/>
                <w:szCs w:val="20"/>
              </w:rPr>
            </w:pPr>
            <w:r w:rsidRPr="00A40660">
              <w:rPr>
                <w:rFonts w:cs="Arial"/>
                <w:noProof/>
                <w:szCs w:val="20"/>
              </w:rPr>
              <w:t>(c)</w:t>
            </w:r>
          </w:p>
        </w:tc>
        <w:tc>
          <w:tcPr>
            <w:tcW w:w="587" w:type="pct"/>
            <w:shd w:val="clear" w:color="auto" w:fill="auto"/>
          </w:tcPr>
          <w:p w14:paraId="74FECB0A" w14:textId="77777777" w:rsidR="00151AB9" w:rsidRPr="00A40660" w:rsidRDefault="00151AB9" w:rsidP="002008C1">
            <w:pPr>
              <w:jc w:val="center"/>
              <w:rPr>
                <w:rFonts w:cs="Arial"/>
                <w:noProof/>
                <w:szCs w:val="20"/>
              </w:rPr>
            </w:pPr>
            <w:r w:rsidRPr="00A40660">
              <w:rPr>
                <w:rFonts w:cs="Arial"/>
                <w:noProof/>
                <w:szCs w:val="20"/>
              </w:rPr>
              <w:t>(d)</w:t>
            </w:r>
          </w:p>
        </w:tc>
        <w:tc>
          <w:tcPr>
            <w:tcW w:w="587" w:type="pct"/>
            <w:shd w:val="clear" w:color="auto" w:fill="auto"/>
          </w:tcPr>
          <w:p w14:paraId="6DC02AD4" w14:textId="77777777" w:rsidR="00151AB9" w:rsidRPr="00A40660" w:rsidRDefault="00151AB9" w:rsidP="002008C1">
            <w:pPr>
              <w:jc w:val="center"/>
              <w:rPr>
                <w:rFonts w:cs="Arial"/>
                <w:noProof/>
                <w:szCs w:val="20"/>
              </w:rPr>
            </w:pPr>
            <w:r w:rsidRPr="00A40660">
              <w:rPr>
                <w:rFonts w:cs="Arial"/>
                <w:noProof/>
                <w:szCs w:val="20"/>
              </w:rPr>
              <w:t>(e)</w:t>
            </w:r>
          </w:p>
        </w:tc>
        <w:tc>
          <w:tcPr>
            <w:tcW w:w="1336" w:type="pct"/>
            <w:shd w:val="clear" w:color="auto" w:fill="auto"/>
          </w:tcPr>
          <w:p w14:paraId="0037EBF3" w14:textId="77777777" w:rsidR="00151AB9" w:rsidRPr="00A40660" w:rsidRDefault="00151AB9" w:rsidP="002008C1">
            <w:pPr>
              <w:jc w:val="center"/>
              <w:rPr>
                <w:rFonts w:cs="Arial"/>
                <w:noProof/>
                <w:szCs w:val="20"/>
              </w:rPr>
            </w:pPr>
            <w:r w:rsidRPr="00A40660">
              <w:rPr>
                <w:rFonts w:cs="Arial"/>
                <w:noProof/>
                <w:szCs w:val="20"/>
              </w:rPr>
              <w:t>(f)=(a)+(b)+(c)+(d)+(e))</w:t>
            </w:r>
          </w:p>
        </w:tc>
      </w:tr>
      <w:tr w:rsidR="00824944" w:rsidRPr="00A40660" w14:paraId="2A91616D" w14:textId="77777777" w:rsidTr="00151AB9">
        <w:tc>
          <w:tcPr>
            <w:tcW w:w="729" w:type="pct"/>
            <w:shd w:val="clear" w:color="auto" w:fill="auto"/>
          </w:tcPr>
          <w:p w14:paraId="0DD2DF84" w14:textId="77777777" w:rsidR="00824944" w:rsidRPr="00A40660" w:rsidRDefault="00824944" w:rsidP="002008C1">
            <w:pPr>
              <w:rPr>
                <w:rFonts w:cs="Arial"/>
                <w:noProof/>
                <w:szCs w:val="20"/>
              </w:rPr>
            </w:pPr>
            <w:r w:rsidRPr="00A40660">
              <w:rPr>
                <w:rFonts w:cs="Arial"/>
                <w:noProof/>
                <w:szCs w:val="20"/>
              </w:rPr>
              <w:t>ESPRA</w:t>
            </w:r>
          </w:p>
        </w:tc>
        <w:tc>
          <w:tcPr>
            <w:tcW w:w="587" w:type="pct"/>
            <w:shd w:val="clear" w:color="auto" w:fill="auto"/>
          </w:tcPr>
          <w:p w14:paraId="6DD58E29" w14:textId="6E414BAB"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34BBB87A" w14:textId="185B598D"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20A0E448" w14:textId="74A4FAB2"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57626E54" w14:textId="41823BB1"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762F73FD" w14:textId="6B669EA0" w:rsidR="00824944" w:rsidRPr="00A40660" w:rsidRDefault="00824944" w:rsidP="00824944">
            <w:pPr>
              <w:jc w:val="center"/>
              <w:rPr>
                <w:rFonts w:cs="Arial"/>
                <w:noProof/>
                <w:szCs w:val="20"/>
              </w:rPr>
            </w:pPr>
            <w:r>
              <w:rPr>
                <w:rFonts w:cs="Arial"/>
                <w:noProof/>
                <w:szCs w:val="20"/>
              </w:rPr>
              <w:t>0,00</w:t>
            </w:r>
          </w:p>
        </w:tc>
        <w:tc>
          <w:tcPr>
            <w:tcW w:w="1336" w:type="pct"/>
            <w:shd w:val="clear" w:color="auto" w:fill="auto"/>
          </w:tcPr>
          <w:p w14:paraId="1581AB32" w14:textId="6B6C58D0" w:rsidR="00824944" w:rsidRPr="00A40660" w:rsidRDefault="00824944" w:rsidP="00824944">
            <w:pPr>
              <w:jc w:val="center"/>
              <w:rPr>
                <w:rFonts w:cs="Arial"/>
                <w:noProof/>
                <w:szCs w:val="20"/>
              </w:rPr>
            </w:pPr>
            <w:r>
              <w:rPr>
                <w:rFonts w:cs="Arial"/>
                <w:noProof/>
                <w:szCs w:val="20"/>
              </w:rPr>
              <w:t>0,00</w:t>
            </w:r>
          </w:p>
        </w:tc>
      </w:tr>
      <w:tr w:rsidR="00824944" w:rsidRPr="00A40660" w14:paraId="6252C20F" w14:textId="77777777" w:rsidTr="00151AB9">
        <w:tc>
          <w:tcPr>
            <w:tcW w:w="729" w:type="pct"/>
            <w:shd w:val="clear" w:color="auto" w:fill="auto"/>
          </w:tcPr>
          <w:p w14:paraId="26535848" w14:textId="77777777" w:rsidR="00824944" w:rsidRPr="00A40660" w:rsidRDefault="00824944" w:rsidP="002008C1">
            <w:pPr>
              <w:rPr>
                <w:rFonts w:cs="Arial"/>
                <w:noProof/>
                <w:szCs w:val="20"/>
              </w:rPr>
            </w:pPr>
            <w:r w:rsidRPr="00A40660">
              <w:rPr>
                <w:rFonts w:cs="Arial"/>
                <w:noProof/>
                <w:szCs w:val="20"/>
              </w:rPr>
              <w:t>Celoten znesek</w:t>
            </w:r>
          </w:p>
        </w:tc>
        <w:tc>
          <w:tcPr>
            <w:tcW w:w="587" w:type="pct"/>
            <w:shd w:val="clear" w:color="auto" w:fill="auto"/>
          </w:tcPr>
          <w:p w14:paraId="666E9925" w14:textId="1D504A4C"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3BF61C39" w14:textId="03873265"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6BA5933E" w14:textId="78326CBB"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4A0E97E0" w14:textId="3C38D596" w:rsidR="00824944" w:rsidRPr="00A40660" w:rsidRDefault="00824944" w:rsidP="00824944">
            <w:pPr>
              <w:jc w:val="center"/>
              <w:rPr>
                <w:rFonts w:cs="Arial"/>
                <w:noProof/>
                <w:szCs w:val="20"/>
              </w:rPr>
            </w:pPr>
            <w:r>
              <w:rPr>
                <w:rFonts w:cs="Arial"/>
                <w:noProof/>
                <w:szCs w:val="20"/>
              </w:rPr>
              <w:t>0,00</w:t>
            </w:r>
          </w:p>
        </w:tc>
        <w:tc>
          <w:tcPr>
            <w:tcW w:w="587" w:type="pct"/>
            <w:shd w:val="clear" w:color="auto" w:fill="auto"/>
          </w:tcPr>
          <w:p w14:paraId="2CE54B03" w14:textId="5AE056BC" w:rsidR="00824944" w:rsidRPr="00A40660" w:rsidRDefault="00824944" w:rsidP="00824944">
            <w:pPr>
              <w:jc w:val="center"/>
              <w:rPr>
                <w:rFonts w:cs="Arial"/>
                <w:noProof/>
                <w:szCs w:val="20"/>
              </w:rPr>
            </w:pPr>
            <w:r>
              <w:rPr>
                <w:rFonts w:cs="Arial"/>
                <w:noProof/>
                <w:szCs w:val="20"/>
              </w:rPr>
              <w:t>0,00</w:t>
            </w:r>
          </w:p>
        </w:tc>
        <w:tc>
          <w:tcPr>
            <w:tcW w:w="1336" w:type="pct"/>
            <w:shd w:val="clear" w:color="auto" w:fill="auto"/>
          </w:tcPr>
          <w:p w14:paraId="737B755F" w14:textId="369820B2" w:rsidR="00824944" w:rsidRPr="00A40660" w:rsidRDefault="00824944" w:rsidP="00824944">
            <w:pPr>
              <w:jc w:val="center"/>
              <w:rPr>
                <w:rFonts w:cs="Arial"/>
                <w:noProof/>
                <w:szCs w:val="20"/>
              </w:rPr>
            </w:pPr>
            <w:r>
              <w:rPr>
                <w:rFonts w:cs="Arial"/>
                <w:noProof/>
                <w:szCs w:val="20"/>
              </w:rPr>
              <w:t>0,00</w:t>
            </w:r>
          </w:p>
        </w:tc>
      </w:tr>
    </w:tbl>
    <w:p w14:paraId="1BEB9FBB" w14:textId="77777777" w:rsidR="00151AB9" w:rsidRPr="00A40660" w:rsidRDefault="00151AB9" w:rsidP="00151AB9">
      <w:pPr>
        <w:rPr>
          <w:rFonts w:cs="Arial"/>
          <w:szCs w:val="20"/>
        </w:rPr>
      </w:pPr>
      <w:r w:rsidRPr="00A40660">
        <w:rPr>
          <w:rFonts w:cs="Arial"/>
          <w:noProof/>
          <w:szCs w:val="20"/>
        </w:rPr>
        <w:t xml:space="preserve">* </w:t>
      </w:r>
      <w:r w:rsidRPr="00A40660">
        <w:rPr>
          <w:rFonts w:cs="Arial"/>
          <w:szCs w:val="20"/>
        </w:rPr>
        <w:t>Kumulativni zneski za vse prispevke v programskem obdobju.</w:t>
      </w:r>
    </w:p>
    <w:p w14:paraId="395B7A16" w14:textId="77777777" w:rsidR="00151AB9" w:rsidRPr="00A40660" w:rsidRDefault="00151AB9" w:rsidP="00151AB9">
      <w:pPr>
        <w:rPr>
          <w:rFonts w:cs="Arial"/>
          <w:szCs w:val="20"/>
        </w:rPr>
      </w:pPr>
    </w:p>
    <w:p w14:paraId="05677DD4" w14:textId="77777777" w:rsidR="00151AB9" w:rsidRPr="00A40660" w:rsidRDefault="00151AB9" w:rsidP="00A47A2C">
      <w:pPr>
        <w:jc w:val="both"/>
        <w:rPr>
          <w:rFonts w:cs="Arial"/>
          <w:b/>
          <w:bCs/>
          <w:szCs w:val="20"/>
        </w:rPr>
      </w:pPr>
      <w:r w:rsidRPr="00A40660">
        <w:rPr>
          <w:rFonts w:cs="Arial"/>
          <w:b/>
          <w:bCs/>
          <w:szCs w:val="20"/>
        </w:rPr>
        <w:t>Tabela 16: Prerazporeditve za instrumente v okviru neposrednega ali posrednega upravljanja*</w:t>
      </w:r>
    </w:p>
    <w:p w14:paraId="6E52EDB4" w14:textId="77777777" w:rsidR="00151AB9" w:rsidRPr="00A40660" w:rsidRDefault="00151AB9" w:rsidP="00151AB9">
      <w:pPr>
        <w:rPr>
          <w:rFonts w:cs="Arial"/>
          <w:b/>
          <w:bCs/>
          <w:szCs w:val="20"/>
        </w:rPr>
      </w:pP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655"/>
        <w:gridCol w:w="1655"/>
        <w:gridCol w:w="1655"/>
        <w:gridCol w:w="1655"/>
        <w:gridCol w:w="1655"/>
        <w:gridCol w:w="2932"/>
      </w:tblGrid>
      <w:tr w:rsidR="00151AB9" w:rsidRPr="00A40660" w14:paraId="3DC72DF9" w14:textId="77777777" w:rsidTr="00824944">
        <w:tc>
          <w:tcPr>
            <w:tcW w:w="490" w:type="pct"/>
            <w:shd w:val="clear" w:color="auto" w:fill="auto"/>
          </w:tcPr>
          <w:p w14:paraId="7E75FB5D" w14:textId="77777777" w:rsidR="00151AB9" w:rsidRPr="00A40660" w:rsidRDefault="00151AB9" w:rsidP="002008C1">
            <w:pPr>
              <w:spacing w:line="276" w:lineRule="auto"/>
              <w:jc w:val="center"/>
              <w:rPr>
                <w:rFonts w:cs="Arial"/>
                <w:b/>
                <w:noProof/>
                <w:szCs w:val="20"/>
              </w:rPr>
            </w:pPr>
          </w:p>
        </w:tc>
        <w:tc>
          <w:tcPr>
            <w:tcW w:w="666" w:type="pct"/>
            <w:shd w:val="clear" w:color="auto" w:fill="auto"/>
          </w:tcPr>
          <w:p w14:paraId="0F390B0F" w14:textId="77777777" w:rsidR="00151AB9" w:rsidRPr="00A40660" w:rsidRDefault="00151AB9" w:rsidP="002008C1">
            <w:pPr>
              <w:spacing w:line="276" w:lineRule="auto"/>
              <w:jc w:val="center"/>
              <w:rPr>
                <w:rFonts w:cs="Arial"/>
                <w:b/>
                <w:noProof/>
                <w:szCs w:val="20"/>
              </w:rPr>
            </w:pPr>
            <w:r w:rsidRPr="00A40660">
              <w:rPr>
                <w:rFonts w:cs="Arial"/>
                <w:b/>
                <w:noProof/>
                <w:szCs w:val="20"/>
              </w:rPr>
              <w:t>Instrument 1</w:t>
            </w:r>
          </w:p>
        </w:tc>
        <w:tc>
          <w:tcPr>
            <w:tcW w:w="666" w:type="pct"/>
            <w:shd w:val="clear" w:color="auto" w:fill="auto"/>
          </w:tcPr>
          <w:p w14:paraId="1A6A040F" w14:textId="77777777" w:rsidR="00151AB9" w:rsidRPr="00A40660" w:rsidRDefault="00151AB9" w:rsidP="002008C1">
            <w:pPr>
              <w:spacing w:line="276" w:lineRule="auto"/>
              <w:jc w:val="center"/>
              <w:rPr>
                <w:rFonts w:cs="Arial"/>
                <w:b/>
                <w:noProof/>
                <w:szCs w:val="20"/>
              </w:rPr>
            </w:pPr>
            <w:r w:rsidRPr="00A40660">
              <w:rPr>
                <w:rFonts w:cs="Arial"/>
                <w:b/>
                <w:noProof/>
                <w:szCs w:val="20"/>
              </w:rPr>
              <w:t>Instrument 2</w:t>
            </w:r>
          </w:p>
        </w:tc>
        <w:tc>
          <w:tcPr>
            <w:tcW w:w="666" w:type="pct"/>
            <w:shd w:val="clear" w:color="auto" w:fill="auto"/>
          </w:tcPr>
          <w:p w14:paraId="702A8378" w14:textId="77777777" w:rsidR="00151AB9" w:rsidRPr="00A40660" w:rsidRDefault="00151AB9" w:rsidP="002008C1">
            <w:pPr>
              <w:spacing w:line="276" w:lineRule="auto"/>
              <w:jc w:val="center"/>
              <w:rPr>
                <w:rFonts w:cs="Arial"/>
                <w:b/>
                <w:noProof/>
                <w:szCs w:val="20"/>
              </w:rPr>
            </w:pPr>
            <w:r w:rsidRPr="00A40660">
              <w:rPr>
                <w:rFonts w:cs="Arial"/>
                <w:b/>
                <w:noProof/>
                <w:szCs w:val="20"/>
              </w:rPr>
              <w:t>Instrument 3</w:t>
            </w:r>
          </w:p>
        </w:tc>
        <w:tc>
          <w:tcPr>
            <w:tcW w:w="666" w:type="pct"/>
            <w:shd w:val="clear" w:color="auto" w:fill="auto"/>
          </w:tcPr>
          <w:p w14:paraId="2A02927F" w14:textId="77777777" w:rsidR="00151AB9" w:rsidRPr="00A40660" w:rsidRDefault="00151AB9" w:rsidP="002008C1">
            <w:pPr>
              <w:spacing w:line="276" w:lineRule="auto"/>
              <w:jc w:val="center"/>
              <w:rPr>
                <w:rFonts w:cs="Arial"/>
                <w:b/>
                <w:noProof/>
                <w:szCs w:val="20"/>
              </w:rPr>
            </w:pPr>
            <w:r w:rsidRPr="00A40660">
              <w:rPr>
                <w:rFonts w:cs="Arial"/>
                <w:b/>
                <w:noProof/>
                <w:szCs w:val="20"/>
              </w:rPr>
              <w:t>Instrument 4</w:t>
            </w:r>
          </w:p>
        </w:tc>
        <w:tc>
          <w:tcPr>
            <w:tcW w:w="666" w:type="pct"/>
            <w:shd w:val="clear" w:color="auto" w:fill="auto"/>
          </w:tcPr>
          <w:p w14:paraId="3FBAEE60" w14:textId="77777777" w:rsidR="00151AB9" w:rsidRPr="00A40660" w:rsidRDefault="00151AB9" w:rsidP="002008C1">
            <w:pPr>
              <w:spacing w:line="276" w:lineRule="auto"/>
              <w:jc w:val="center"/>
              <w:rPr>
                <w:rFonts w:cs="Arial"/>
                <w:b/>
                <w:noProof/>
                <w:szCs w:val="20"/>
              </w:rPr>
            </w:pPr>
            <w:r w:rsidRPr="00A40660">
              <w:rPr>
                <w:rFonts w:cs="Arial"/>
                <w:b/>
                <w:noProof/>
                <w:szCs w:val="20"/>
              </w:rPr>
              <w:t>Instrument 5</w:t>
            </w:r>
          </w:p>
        </w:tc>
        <w:tc>
          <w:tcPr>
            <w:tcW w:w="1180" w:type="pct"/>
            <w:shd w:val="clear" w:color="auto" w:fill="auto"/>
          </w:tcPr>
          <w:p w14:paraId="0157A35C" w14:textId="77777777" w:rsidR="00151AB9" w:rsidRPr="00A40660" w:rsidRDefault="00151AB9" w:rsidP="00151AB9">
            <w:pPr>
              <w:pStyle w:val="Default"/>
              <w:rPr>
                <w:rFonts w:ascii="Arial" w:hAnsi="Arial" w:cs="Arial"/>
                <w:sz w:val="20"/>
                <w:szCs w:val="20"/>
              </w:rPr>
            </w:pPr>
            <w:r w:rsidRPr="00A40660">
              <w:rPr>
                <w:rFonts w:ascii="Arial" w:hAnsi="Arial" w:cs="Arial"/>
                <w:b/>
                <w:bCs/>
                <w:sz w:val="20"/>
                <w:szCs w:val="20"/>
              </w:rPr>
              <w:t xml:space="preserve">Znesek prerazporeditve </w:t>
            </w:r>
          </w:p>
          <w:p w14:paraId="1A22A2AB" w14:textId="77777777" w:rsidR="00151AB9" w:rsidRPr="00A40660" w:rsidRDefault="00151AB9" w:rsidP="00151AB9">
            <w:pPr>
              <w:spacing w:line="276" w:lineRule="auto"/>
              <w:rPr>
                <w:rFonts w:cs="Arial"/>
                <w:b/>
                <w:noProof/>
                <w:szCs w:val="20"/>
              </w:rPr>
            </w:pPr>
          </w:p>
        </w:tc>
      </w:tr>
      <w:tr w:rsidR="00151AB9" w:rsidRPr="00A40660" w14:paraId="3139967C" w14:textId="77777777" w:rsidTr="00824944">
        <w:tc>
          <w:tcPr>
            <w:tcW w:w="490" w:type="pct"/>
            <w:shd w:val="clear" w:color="auto" w:fill="auto"/>
          </w:tcPr>
          <w:p w14:paraId="1D3B831C" w14:textId="77777777" w:rsidR="00151AB9" w:rsidRPr="00A40660" w:rsidRDefault="00151AB9" w:rsidP="002008C1">
            <w:pPr>
              <w:jc w:val="center"/>
              <w:rPr>
                <w:rFonts w:cs="Arial"/>
                <w:noProof/>
                <w:szCs w:val="20"/>
              </w:rPr>
            </w:pPr>
          </w:p>
        </w:tc>
        <w:tc>
          <w:tcPr>
            <w:tcW w:w="666" w:type="pct"/>
            <w:shd w:val="clear" w:color="auto" w:fill="auto"/>
          </w:tcPr>
          <w:p w14:paraId="0F219CA5" w14:textId="77777777" w:rsidR="00151AB9" w:rsidRPr="00A40660" w:rsidRDefault="00151AB9" w:rsidP="002008C1">
            <w:pPr>
              <w:jc w:val="center"/>
              <w:rPr>
                <w:rFonts w:cs="Arial"/>
                <w:noProof/>
                <w:szCs w:val="20"/>
              </w:rPr>
            </w:pPr>
            <w:r w:rsidRPr="00A40660">
              <w:rPr>
                <w:rFonts w:cs="Arial"/>
                <w:noProof/>
                <w:szCs w:val="20"/>
              </w:rPr>
              <w:t>(a)</w:t>
            </w:r>
          </w:p>
        </w:tc>
        <w:tc>
          <w:tcPr>
            <w:tcW w:w="666" w:type="pct"/>
            <w:shd w:val="clear" w:color="auto" w:fill="auto"/>
          </w:tcPr>
          <w:p w14:paraId="178326C2" w14:textId="77777777" w:rsidR="00151AB9" w:rsidRPr="00A40660" w:rsidRDefault="00151AB9" w:rsidP="002008C1">
            <w:pPr>
              <w:jc w:val="center"/>
              <w:rPr>
                <w:rFonts w:cs="Arial"/>
                <w:noProof/>
                <w:szCs w:val="20"/>
              </w:rPr>
            </w:pPr>
            <w:r w:rsidRPr="00A40660">
              <w:rPr>
                <w:rFonts w:cs="Arial"/>
                <w:noProof/>
                <w:szCs w:val="20"/>
              </w:rPr>
              <w:t>(b)</w:t>
            </w:r>
          </w:p>
        </w:tc>
        <w:tc>
          <w:tcPr>
            <w:tcW w:w="666" w:type="pct"/>
            <w:shd w:val="clear" w:color="auto" w:fill="auto"/>
          </w:tcPr>
          <w:p w14:paraId="1D729886" w14:textId="77777777" w:rsidR="00151AB9" w:rsidRPr="00A40660" w:rsidRDefault="00151AB9" w:rsidP="002008C1">
            <w:pPr>
              <w:jc w:val="center"/>
              <w:rPr>
                <w:rFonts w:cs="Arial"/>
                <w:noProof/>
                <w:szCs w:val="20"/>
              </w:rPr>
            </w:pPr>
            <w:r w:rsidRPr="00A40660">
              <w:rPr>
                <w:rFonts w:cs="Arial"/>
                <w:noProof/>
                <w:szCs w:val="20"/>
              </w:rPr>
              <w:t>(c)</w:t>
            </w:r>
          </w:p>
        </w:tc>
        <w:tc>
          <w:tcPr>
            <w:tcW w:w="666" w:type="pct"/>
            <w:shd w:val="clear" w:color="auto" w:fill="auto"/>
          </w:tcPr>
          <w:p w14:paraId="5052216C" w14:textId="77777777" w:rsidR="00151AB9" w:rsidRPr="00A40660" w:rsidRDefault="00151AB9" w:rsidP="002008C1">
            <w:pPr>
              <w:jc w:val="center"/>
              <w:rPr>
                <w:rFonts w:cs="Arial"/>
                <w:noProof/>
                <w:szCs w:val="20"/>
              </w:rPr>
            </w:pPr>
            <w:r w:rsidRPr="00A40660">
              <w:rPr>
                <w:rFonts w:cs="Arial"/>
                <w:noProof/>
                <w:szCs w:val="20"/>
              </w:rPr>
              <w:t>(d)</w:t>
            </w:r>
          </w:p>
        </w:tc>
        <w:tc>
          <w:tcPr>
            <w:tcW w:w="666" w:type="pct"/>
            <w:shd w:val="clear" w:color="auto" w:fill="auto"/>
          </w:tcPr>
          <w:p w14:paraId="79D916C7" w14:textId="77777777" w:rsidR="00151AB9" w:rsidRPr="00A40660" w:rsidRDefault="00151AB9" w:rsidP="002008C1">
            <w:pPr>
              <w:jc w:val="center"/>
              <w:rPr>
                <w:rFonts w:cs="Arial"/>
                <w:noProof/>
                <w:szCs w:val="20"/>
              </w:rPr>
            </w:pPr>
            <w:r w:rsidRPr="00A40660">
              <w:rPr>
                <w:rFonts w:cs="Arial"/>
                <w:noProof/>
                <w:szCs w:val="20"/>
              </w:rPr>
              <w:t>(e)</w:t>
            </w:r>
          </w:p>
        </w:tc>
        <w:tc>
          <w:tcPr>
            <w:tcW w:w="1180" w:type="pct"/>
            <w:shd w:val="clear" w:color="auto" w:fill="auto"/>
          </w:tcPr>
          <w:p w14:paraId="184BDBBD" w14:textId="77777777" w:rsidR="00151AB9" w:rsidRPr="00A40660" w:rsidRDefault="00151AB9" w:rsidP="002008C1">
            <w:pPr>
              <w:jc w:val="center"/>
              <w:rPr>
                <w:rFonts w:cs="Arial"/>
                <w:noProof/>
                <w:szCs w:val="20"/>
              </w:rPr>
            </w:pPr>
            <w:r w:rsidRPr="00A40660">
              <w:rPr>
                <w:rFonts w:cs="Arial"/>
                <w:noProof/>
                <w:szCs w:val="20"/>
              </w:rPr>
              <w:t>(f)=(a)+(b)+(c)+(d)+(e))</w:t>
            </w:r>
          </w:p>
        </w:tc>
      </w:tr>
      <w:tr w:rsidR="00824944" w:rsidRPr="00A40660" w14:paraId="45CA3FCC" w14:textId="77777777" w:rsidTr="00824944">
        <w:tc>
          <w:tcPr>
            <w:tcW w:w="490" w:type="pct"/>
            <w:shd w:val="clear" w:color="auto" w:fill="auto"/>
          </w:tcPr>
          <w:p w14:paraId="094EEF10" w14:textId="77777777" w:rsidR="00824944" w:rsidRPr="00A40660" w:rsidRDefault="00824944" w:rsidP="002008C1">
            <w:pPr>
              <w:rPr>
                <w:rFonts w:cs="Arial"/>
                <w:noProof/>
                <w:szCs w:val="20"/>
              </w:rPr>
            </w:pPr>
            <w:r w:rsidRPr="00A40660">
              <w:rPr>
                <w:rFonts w:cs="Arial"/>
                <w:noProof/>
                <w:szCs w:val="20"/>
              </w:rPr>
              <w:t>ESPRA</w:t>
            </w:r>
          </w:p>
        </w:tc>
        <w:tc>
          <w:tcPr>
            <w:tcW w:w="666" w:type="pct"/>
            <w:shd w:val="clear" w:color="auto" w:fill="auto"/>
          </w:tcPr>
          <w:p w14:paraId="3435EE63" w14:textId="3C23C0FA"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140720F0" w14:textId="4F5309C2"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708749E9" w14:textId="00357676"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112B6EBA" w14:textId="259EAC6F"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4A438B72" w14:textId="564C85BE" w:rsidR="00824944" w:rsidRPr="00A40660" w:rsidRDefault="00824944" w:rsidP="00824944">
            <w:pPr>
              <w:jc w:val="center"/>
              <w:rPr>
                <w:rFonts w:cs="Arial"/>
                <w:noProof/>
                <w:szCs w:val="20"/>
              </w:rPr>
            </w:pPr>
            <w:r>
              <w:rPr>
                <w:rFonts w:cs="Arial"/>
                <w:noProof/>
                <w:szCs w:val="20"/>
              </w:rPr>
              <w:t>0,00</w:t>
            </w:r>
          </w:p>
        </w:tc>
        <w:tc>
          <w:tcPr>
            <w:tcW w:w="1180" w:type="pct"/>
            <w:shd w:val="clear" w:color="auto" w:fill="auto"/>
          </w:tcPr>
          <w:p w14:paraId="1C495EE5" w14:textId="165D2A10" w:rsidR="00824944" w:rsidRPr="00A40660" w:rsidRDefault="00824944" w:rsidP="00824944">
            <w:pPr>
              <w:jc w:val="center"/>
              <w:rPr>
                <w:rFonts w:cs="Arial"/>
                <w:noProof/>
                <w:szCs w:val="20"/>
              </w:rPr>
            </w:pPr>
            <w:r>
              <w:rPr>
                <w:rFonts w:cs="Arial"/>
                <w:noProof/>
                <w:szCs w:val="20"/>
              </w:rPr>
              <w:t>0,00</w:t>
            </w:r>
          </w:p>
        </w:tc>
      </w:tr>
      <w:tr w:rsidR="00824944" w:rsidRPr="00A40660" w14:paraId="043D5229" w14:textId="77777777" w:rsidTr="00824944">
        <w:tc>
          <w:tcPr>
            <w:tcW w:w="490" w:type="pct"/>
            <w:shd w:val="clear" w:color="auto" w:fill="auto"/>
          </w:tcPr>
          <w:p w14:paraId="7AFE4F52" w14:textId="77777777" w:rsidR="00824944" w:rsidRPr="00A40660" w:rsidRDefault="00824944" w:rsidP="002008C1">
            <w:pPr>
              <w:rPr>
                <w:rFonts w:cs="Arial"/>
                <w:noProof/>
                <w:szCs w:val="20"/>
              </w:rPr>
            </w:pPr>
            <w:r w:rsidRPr="00A40660">
              <w:rPr>
                <w:rFonts w:cs="Arial"/>
                <w:noProof/>
                <w:szCs w:val="20"/>
              </w:rPr>
              <w:t>Celoten znesek</w:t>
            </w:r>
          </w:p>
        </w:tc>
        <w:tc>
          <w:tcPr>
            <w:tcW w:w="666" w:type="pct"/>
            <w:shd w:val="clear" w:color="auto" w:fill="auto"/>
          </w:tcPr>
          <w:p w14:paraId="0935F14E" w14:textId="42AF04AC"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75770231" w14:textId="3FAA380F"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719C0F3A" w14:textId="1E0E4CA2"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0B0126F9" w14:textId="5349EE6C" w:rsidR="00824944" w:rsidRPr="00A40660" w:rsidRDefault="00824944" w:rsidP="00824944">
            <w:pPr>
              <w:jc w:val="center"/>
              <w:rPr>
                <w:rFonts w:cs="Arial"/>
                <w:noProof/>
                <w:szCs w:val="20"/>
              </w:rPr>
            </w:pPr>
            <w:r>
              <w:rPr>
                <w:rFonts w:cs="Arial"/>
                <w:noProof/>
                <w:szCs w:val="20"/>
              </w:rPr>
              <w:t>0,00</w:t>
            </w:r>
          </w:p>
        </w:tc>
        <w:tc>
          <w:tcPr>
            <w:tcW w:w="666" w:type="pct"/>
            <w:shd w:val="clear" w:color="auto" w:fill="auto"/>
          </w:tcPr>
          <w:p w14:paraId="4640DE85" w14:textId="50B3A210" w:rsidR="00824944" w:rsidRPr="00A40660" w:rsidRDefault="00824944" w:rsidP="00824944">
            <w:pPr>
              <w:jc w:val="center"/>
              <w:rPr>
                <w:rFonts w:cs="Arial"/>
                <w:noProof/>
                <w:szCs w:val="20"/>
              </w:rPr>
            </w:pPr>
            <w:r>
              <w:rPr>
                <w:rFonts w:cs="Arial"/>
                <w:noProof/>
                <w:szCs w:val="20"/>
              </w:rPr>
              <w:t>0,00</w:t>
            </w:r>
          </w:p>
        </w:tc>
        <w:tc>
          <w:tcPr>
            <w:tcW w:w="1180" w:type="pct"/>
            <w:shd w:val="clear" w:color="auto" w:fill="auto"/>
          </w:tcPr>
          <w:p w14:paraId="41A579C5" w14:textId="0F237105" w:rsidR="00824944" w:rsidRPr="00A40660" w:rsidRDefault="00824944" w:rsidP="00824944">
            <w:pPr>
              <w:jc w:val="center"/>
              <w:rPr>
                <w:rFonts w:cs="Arial"/>
                <w:noProof/>
                <w:szCs w:val="20"/>
              </w:rPr>
            </w:pPr>
            <w:r>
              <w:rPr>
                <w:rFonts w:cs="Arial"/>
                <w:noProof/>
                <w:szCs w:val="20"/>
              </w:rPr>
              <w:t>0,00</w:t>
            </w:r>
          </w:p>
        </w:tc>
      </w:tr>
    </w:tbl>
    <w:p w14:paraId="3F85AF55" w14:textId="77777777" w:rsidR="00151AB9" w:rsidRPr="00A40660" w:rsidRDefault="00151AB9" w:rsidP="00151AB9">
      <w:pPr>
        <w:rPr>
          <w:rFonts w:cs="Arial"/>
          <w:szCs w:val="20"/>
        </w:rPr>
      </w:pPr>
      <w:r w:rsidRPr="00A40660">
        <w:rPr>
          <w:rFonts w:cs="Arial"/>
          <w:szCs w:val="20"/>
        </w:rPr>
        <w:lastRenderedPageBreak/>
        <w:t>Kumulativni zneski za vse prerazporeditve v programskem obdobju.</w:t>
      </w:r>
    </w:p>
    <w:p w14:paraId="06A431D0" w14:textId="77777777" w:rsidR="00151AB9" w:rsidRPr="00A40660" w:rsidRDefault="00151AB9" w:rsidP="00151AB9">
      <w:pPr>
        <w:rPr>
          <w:rFonts w:cs="Arial"/>
          <w:szCs w:val="20"/>
        </w:rPr>
      </w:pPr>
    </w:p>
    <w:p w14:paraId="6417BB8C" w14:textId="77777777" w:rsidR="00151AB9" w:rsidRPr="00A40660" w:rsidRDefault="00151AB9" w:rsidP="00A47A2C">
      <w:pPr>
        <w:jc w:val="both"/>
        <w:rPr>
          <w:rFonts w:cs="Arial"/>
          <w:b/>
          <w:bCs/>
          <w:szCs w:val="20"/>
        </w:rPr>
      </w:pPr>
      <w:r w:rsidRPr="00A40660">
        <w:rPr>
          <w:rFonts w:cs="Arial"/>
          <w:b/>
          <w:bCs/>
          <w:szCs w:val="20"/>
        </w:rPr>
        <w:t>Tabela 17: Prerazporeditve med skladi z deljenim upravljanjem*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
        <w:gridCol w:w="1215"/>
        <w:gridCol w:w="839"/>
        <w:gridCol w:w="950"/>
        <w:gridCol w:w="806"/>
        <w:gridCol w:w="1215"/>
        <w:gridCol w:w="839"/>
        <w:gridCol w:w="978"/>
        <w:gridCol w:w="843"/>
        <w:gridCol w:w="1215"/>
        <w:gridCol w:w="606"/>
        <w:gridCol w:w="761"/>
        <w:gridCol w:w="705"/>
        <w:gridCol w:w="528"/>
        <w:gridCol w:w="716"/>
        <w:gridCol w:w="872"/>
      </w:tblGrid>
      <w:tr w:rsidR="009D4BB4" w:rsidRPr="00A40660" w14:paraId="611B5135" w14:textId="77777777" w:rsidTr="002008C1">
        <w:tc>
          <w:tcPr>
            <w:tcW w:w="0" w:type="auto"/>
            <w:gridSpan w:val="2"/>
            <w:vMerge w:val="restart"/>
            <w:tcBorders>
              <w:tl2br w:val="single" w:sz="4" w:space="0" w:color="auto"/>
            </w:tcBorders>
            <w:shd w:val="clear" w:color="auto" w:fill="FFFFFF"/>
          </w:tcPr>
          <w:p w14:paraId="7D82D288" w14:textId="77777777" w:rsidR="00151AB9" w:rsidRPr="00A40660" w:rsidRDefault="00151AB9" w:rsidP="002008C1">
            <w:pPr>
              <w:rPr>
                <w:rFonts w:cs="Arial"/>
                <w:b/>
                <w:noProof/>
                <w:szCs w:val="20"/>
              </w:rPr>
            </w:pPr>
          </w:p>
        </w:tc>
        <w:tc>
          <w:tcPr>
            <w:tcW w:w="0" w:type="auto"/>
            <w:gridSpan w:val="4"/>
            <w:shd w:val="clear" w:color="auto" w:fill="FFFFFF"/>
          </w:tcPr>
          <w:p w14:paraId="1ED3A218" w14:textId="77777777" w:rsidR="00151AB9" w:rsidRPr="00A40660" w:rsidRDefault="00151AB9" w:rsidP="002008C1">
            <w:pPr>
              <w:jc w:val="center"/>
              <w:rPr>
                <w:rFonts w:cs="Arial"/>
                <w:b/>
                <w:noProof/>
                <w:szCs w:val="20"/>
              </w:rPr>
            </w:pPr>
            <w:r w:rsidRPr="00A40660">
              <w:rPr>
                <w:rFonts w:cs="Arial"/>
                <w:b/>
                <w:noProof/>
                <w:szCs w:val="20"/>
              </w:rPr>
              <w:t>ERDF</w:t>
            </w:r>
          </w:p>
        </w:tc>
        <w:tc>
          <w:tcPr>
            <w:tcW w:w="0" w:type="auto"/>
            <w:gridSpan w:val="4"/>
            <w:shd w:val="clear" w:color="auto" w:fill="FFFFFF"/>
          </w:tcPr>
          <w:p w14:paraId="37FE41C5" w14:textId="77777777" w:rsidR="00151AB9" w:rsidRPr="00A40660" w:rsidRDefault="00151AB9" w:rsidP="002008C1">
            <w:pPr>
              <w:jc w:val="center"/>
              <w:rPr>
                <w:rFonts w:cs="Arial"/>
                <w:b/>
                <w:noProof/>
                <w:szCs w:val="20"/>
              </w:rPr>
            </w:pPr>
            <w:r w:rsidRPr="00A40660">
              <w:rPr>
                <w:rFonts w:cs="Arial"/>
                <w:b/>
                <w:noProof/>
                <w:szCs w:val="20"/>
              </w:rPr>
              <w:t>ESF+</w:t>
            </w:r>
          </w:p>
        </w:tc>
        <w:tc>
          <w:tcPr>
            <w:tcW w:w="0" w:type="auto"/>
            <w:vMerge w:val="restart"/>
            <w:shd w:val="clear" w:color="auto" w:fill="FFFFFF"/>
          </w:tcPr>
          <w:p w14:paraId="302DEE3F" w14:textId="77777777" w:rsidR="00151AB9" w:rsidRPr="00A40660" w:rsidRDefault="00151AB9" w:rsidP="002008C1">
            <w:pPr>
              <w:rPr>
                <w:rFonts w:cs="Arial"/>
                <w:b/>
                <w:noProof/>
                <w:szCs w:val="20"/>
              </w:rPr>
            </w:pPr>
            <w:r w:rsidRPr="00A40660">
              <w:rPr>
                <w:rFonts w:cs="Arial"/>
                <w:b/>
                <w:noProof/>
                <w:szCs w:val="20"/>
              </w:rPr>
              <w:t>CF</w:t>
            </w:r>
          </w:p>
        </w:tc>
        <w:tc>
          <w:tcPr>
            <w:tcW w:w="0" w:type="auto"/>
            <w:vMerge w:val="restart"/>
            <w:shd w:val="clear" w:color="auto" w:fill="FFFFFF"/>
          </w:tcPr>
          <w:p w14:paraId="6D19ABE5" w14:textId="77777777" w:rsidR="00151AB9" w:rsidRPr="00A40660" w:rsidRDefault="00151AB9" w:rsidP="002008C1">
            <w:pPr>
              <w:rPr>
                <w:rFonts w:cs="Arial"/>
                <w:b/>
                <w:noProof/>
                <w:szCs w:val="20"/>
              </w:rPr>
            </w:pPr>
            <w:r w:rsidRPr="00A40660">
              <w:rPr>
                <w:rFonts w:cs="Arial"/>
                <w:b/>
                <w:noProof/>
                <w:szCs w:val="20"/>
              </w:rPr>
              <w:t>EMFF</w:t>
            </w:r>
          </w:p>
        </w:tc>
        <w:tc>
          <w:tcPr>
            <w:tcW w:w="0" w:type="auto"/>
            <w:vMerge w:val="restart"/>
            <w:shd w:val="clear" w:color="auto" w:fill="FFFFFF"/>
          </w:tcPr>
          <w:p w14:paraId="0CE45533" w14:textId="77777777" w:rsidR="00151AB9" w:rsidRPr="00A40660" w:rsidRDefault="00151AB9" w:rsidP="002008C1">
            <w:pPr>
              <w:rPr>
                <w:rFonts w:cs="Arial"/>
                <w:b/>
                <w:noProof/>
                <w:szCs w:val="20"/>
              </w:rPr>
            </w:pPr>
            <w:r w:rsidRPr="00A40660">
              <w:rPr>
                <w:rFonts w:cs="Arial"/>
                <w:b/>
                <w:noProof/>
                <w:szCs w:val="20"/>
              </w:rPr>
              <w:t>AMIF</w:t>
            </w:r>
          </w:p>
        </w:tc>
        <w:tc>
          <w:tcPr>
            <w:tcW w:w="0" w:type="auto"/>
            <w:vMerge w:val="restart"/>
            <w:shd w:val="clear" w:color="auto" w:fill="FFFFFF"/>
          </w:tcPr>
          <w:p w14:paraId="2EA5334F" w14:textId="77777777" w:rsidR="00151AB9" w:rsidRPr="00A40660" w:rsidRDefault="00151AB9" w:rsidP="002008C1">
            <w:pPr>
              <w:rPr>
                <w:rFonts w:cs="Arial"/>
                <w:b/>
                <w:noProof/>
                <w:szCs w:val="20"/>
              </w:rPr>
            </w:pPr>
            <w:r w:rsidRPr="00A40660">
              <w:rPr>
                <w:rFonts w:cs="Arial"/>
                <w:b/>
                <w:noProof/>
                <w:szCs w:val="20"/>
              </w:rPr>
              <w:t>ISF</w:t>
            </w:r>
          </w:p>
        </w:tc>
        <w:tc>
          <w:tcPr>
            <w:tcW w:w="0" w:type="auto"/>
            <w:vMerge w:val="restart"/>
            <w:shd w:val="clear" w:color="auto" w:fill="FFFFFF"/>
          </w:tcPr>
          <w:p w14:paraId="12AE36DE" w14:textId="77777777" w:rsidR="00151AB9" w:rsidRPr="00A40660" w:rsidRDefault="00151AB9" w:rsidP="002008C1">
            <w:pPr>
              <w:rPr>
                <w:rFonts w:cs="Arial"/>
                <w:b/>
                <w:noProof/>
                <w:szCs w:val="20"/>
              </w:rPr>
            </w:pPr>
            <w:r w:rsidRPr="00A40660">
              <w:rPr>
                <w:rFonts w:cs="Arial"/>
                <w:b/>
                <w:noProof/>
                <w:szCs w:val="20"/>
              </w:rPr>
              <w:t>BMVI</w:t>
            </w:r>
          </w:p>
        </w:tc>
        <w:tc>
          <w:tcPr>
            <w:tcW w:w="0" w:type="auto"/>
            <w:vMerge w:val="restart"/>
            <w:shd w:val="clear" w:color="auto" w:fill="FFFFFF"/>
          </w:tcPr>
          <w:p w14:paraId="407B9BF8" w14:textId="77777777" w:rsidR="00151AB9" w:rsidRPr="00A40660" w:rsidRDefault="009D4BB4" w:rsidP="002008C1">
            <w:pPr>
              <w:rPr>
                <w:rFonts w:cs="Arial"/>
                <w:b/>
                <w:noProof/>
                <w:szCs w:val="20"/>
              </w:rPr>
            </w:pPr>
            <w:r w:rsidRPr="00A40660">
              <w:rPr>
                <w:rFonts w:cs="Arial"/>
                <w:b/>
                <w:noProof/>
                <w:szCs w:val="20"/>
              </w:rPr>
              <w:t>Skupaj</w:t>
            </w:r>
          </w:p>
        </w:tc>
      </w:tr>
      <w:tr w:rsidR="009D4BB4" w:rsidRPr="00F700CD" w14:paraId="37D30FA5" w14:textId="77777777" w:rsidTr="00824944">
        <w:trPr>
          <w:trHeight w:val="673"/>
        </w:trPr>
        <w:tc>
          <w:tcPr>
            <w:tcW w:w="0" w:type="auto"/>
            <w:gridSpan w:val="2"/>
            <w:vMerge/>
            <w:tcBorders>
              <w:tl2br w:val="single" w:sz="4" w:space="0" w:color="auto"/>
            </w:tcBorders>
            <w:shd w:val="clear" w:color="auto" w:fill="FFFFFF"/>
          </w:tcPr>
          <w:p w14:paraId="70074F78" w14:textId="77777777" w:rsidR="009D4BB4" w:rsidRPr="00A40660" w:rsidRDefault="009D4BB4" w:rsidP="002008C1">
            <w:pPr>
              <w:rPr>
                <w:rFonts w:cs="Arial"/>
                <w:b/>
                <w:i/>
                <w:noProof/>
                <w:szCs w:val="20"/>
              </w:rPr>
            </w:pPr>
          </w:p>
        </w:tc>
        <w:tc>
          <w:tcPr>
            <w:tcW w:w="0" w:type="auto"/>
            <w:tcBorders>
              <w:bottom w:val="single" w:sz="4" w:space="0" w:color="auto"/>
            </w:tcBorders>
            <w:shd w:val="clear" w:color="auto" w:fill="FFFFFF"/>
          </w:tcPr>
          <w:p w14:paraId="63809A0A" w14:textId="77777777" w:rsidR="009D4BB4" w:rsidRPr="00A40660" w:rsidRDefault="009D4BB4" w:rsidP="009D4BB4">
            <w:pPr>
              <w:jc w:val="center"/>
              <w:rPr>
                <w:rFonts w:cs="Arial"/>
                <w:noProof/>
                <w:szCs w:val="20"/>
              </w:rPr>
            </w:pPr>
            <w:r w:rsidRPr="00A40660">
              <w:rPr>
                <w:rFonts w:cs="Arial"/>
                <w:noProof/>
                <w:szCs w:val="20"/>
              </w:rPr>
              <w:t>Bolj razvite regije</w:t>
            </w:r>
          </w:p>
        </w:tc>
        <w:tc>
          <w:tcPr>
            <w:tcW w:w="950" w:type="dxa"/>
            <w:tcBorders>
              <w:bottom w:val="single" w:sz="4" w:space="0" w:color="auto"/>
            </w:tcBorders>
            <w:shd w:val="clear" w:color="auto" w:fill="FFFFFF"/>
          </w:tcPr>
          <w:p w14:paraId="57A25DC1" w14:textId="77777777" w:rsidR="009D4BB4" w:rsidRPr="00A40660" w:rsidRDefault="009D4BB4" w:rsidP="002008C1">
            <w:pPr>
              <w:jc w:val="center"/>
              <w:rPr>
                <w:rFonts w:cs="Arial"/>
                <w:noProof/>
                <w:szCs w:val="20"/>
              </w:rPr>
            </w:pPr>
            <w:r w:rsidRPr="00A40660">
              <w:rPr>
                <w:rFonts w:cs="Arial"/>
                <w:noProof/>
                <w:szCs w:val="20"/>
              </w:rPr>
              <w:t>Regije v prehodu</w:t>
            </w:r>
          </w:p>
        </w:tc>
        <w:tc>
          <w:tcPr>
            <w:tcW w:w="806" w:type="dxa"/>
            <w:tcBorders>
              <w:bottom w:val="single" w:sz="4" w:space="0" w:color="auto"/>
            </w:tcBorders>
            <w:shd w:val="clear" w:color="auto" w:fill="FFFFFF"/>
          </w:tcPr>
          <w:p w14:paraId="0AF39314" w14:textId="77777777" w:rsidR="009D4BB4" w:rsidRPr="00A40660" w:rsidRDefault="009D4BB4" w:rsidP="002008C1">
            <w:pPr>
              <w:jc w:val="center"/>
              <w:rPr>
                <w:rFonts w:cs="Arial"/>
                <w:noProof/>
                <w:szCs w:val="20"/>
              </w:rPr>
            </w:pPr>
            <w:r w:rsidRPr="00A40660">
              <w:rPr>
                <w:rFonts w:cs="Arial"/>
                <w:noProof/>
                <w:szCs w:val="20"/>
              </w:rPr>
              <w:t>Manj razvite regije</w:t>
            </w:r>
          </w:p>
        </w:tc>
        <w:tc>
          <w:tcPr>
            <w:tcW w:w="0" w:type="auto"/>
            <w:tcBorders>
              <w:bottom w:val="single" w:sz="4" w:space="0" w:color="auto"/>
            </w:tcBorders>
            <w:shd w:val="clear" w:color="auto" w:fill="FFFFFF"/>
          </w:tcPr>
          <w:p w14:paraId="3D5E1133" w14:textId="77777777" w:rsidR="009D4BB4" w:rsidRPr="00A40660" w:rsidRDefault="009D4BB4" w:rsidP="002008C1">
            <w:pPr>
              <w:jc w:val="center"/>
              <w:rPr>
                <w:rFonts w:cs="Arial"/>
                <w:noProof/>
                <w:szCs w:val="20"/>
              </w:rPr>
            </w:pPr>
            <w:r w:rsidRPr="00A40660">
              <w:rPr>
                <w:rFonts w:cs="Arial"/>
                <w:noProof/>
                <w:szCs w:val="20"/>
              </w:rPr>
              <w:t>Najbolj oddaljene in severne redko poseljene regije</w:t>
            </w:r>
          </w:p>
        </w:tc>
        <w:tc>
          <w:tcPr>
            <w:tcW w:w="0" w:type="auto"/>
            <w:shd w:val="clear" w:color="auto" w:fill="FFFFFF"/>
          </w:tcPr>
          <w:p w14:paraId="5CC6AE70" w14:textId="77777777" w:rsidR="009D4BB4" w:rsidRPr="00A40660" w:rsidRDefault="009D4BB4" w:rsidP="002008C1">
            <w:pPr>
              <w:jc w:val="center"/>
              <w:rPr>
                <w:rFonts w:cs="Arial"/>
                <w:noProof/>
                <w:szCs w:val="20"/>
              </w:rPr>
            </w:pPr>
            <w:r w:rsidRPr="00A40660">
              <w:rPr>
                <w:rFonts w:cs="Arial"/>
                <w:noProof/>
                <w:szCs w:val="20"/>
              </w:rPr>
              <w:t>Bolj razvite regije</w:t>
            </w:r>
          </w:p>
        </w:tc>
        <w:tc>
          <w:tcPr>
            <w:tcW w:w="0" w:type="auto"/>
            <w:shd w:val="clear" w:color="auto" w:fill="FFFFFF"/>
          </w:tcPr>
          <w:p w14:paraId="4D1EE184" w14:textId="77777777" w:rsidR="009D4BB4" w:rsidRPr="00A40660" w:rsidRDefault="009D4BB4" w:rsidP="002008C1">
            <w:pPr>
              <w:jc w:val="center"/>
              <w:rPr>
                <w:rFonts w:cs="Arial"/>
                <w:noProof/>
                <w:szCs w:val="20"/>
              </w:rPr>
            </w:pPr>
            <w:r w:rsidRPr="00A40660">
              <w:rPr>
                <w:rFonts w:cs="Arial"/>
                <w:noProof/>
                <w:szCs w:val="20"/>
              </w:rPr>
              <w:t>Regije v prehodu</w:t>
            </w:r>
          </w:p>
        </w:tc>
        <w:tc>
          <w:tcPr>
            <w:tcW w:w="0" w:type="auto"/>
            <w:shd w:val="clear" w:color="auto" w:fill="FFFFFF"/>
          </w:tcPr>
          <w:p w14:paraId="34BE7532" w14:textId="77777777" w:rsidR="009D4BB4" w:rsidRPr="00A40660" w:rsidRDefault="009D4BB4" w:rsidP="002008C1">
            <w:pPr>
              <w:jc w:val="center"/>
              <w:rPr>
                <w:rFonts w:cs="Arial"/>
                <w:noProof/>
                <w:szCs w:val="20"/>
              </w:rPr>
            </w:pPr>
            <w:r w:rsidRPr="00A40660">
              <w:rPr>
                <w:rFonts w:cs="Arial"/>
                <w:noProof/>
                <w:szCs w:val="20"/>
              </w:rPr>
              <w:t>Manj razvite regije</w:t>
            </w:r>
          </w:p>
        </w:tc>
        <w:tc>
          <w:tcPr>
            <w:tcW w:w="0" w:type="auto"/>
            <w:shd w:val="clear" w:color="auto" w:fill="FFFFFF"/>
          </w:tcPr>
          <w:p w14:paraId="09A2DCC1" w14:textId="77777777" w:rsidR="009D4BB4" w:rsidRPr="00A40660" w:rsidRDefault="009D4BB4" w:rsidP="002008C1">
            <w:pPr>
              <w:jc w:val="center"/>
              <w:rPr>
                <w:rFonts w:cs="Arial"/>
                <w:noProof/>
                <w:szCs w:val="20"/>
              </w:rPr>
            </w:pPr>
            <w:r w:rsidRPr="00A40660">
              <w:rPr>
                <w:rFonts w:cs="Arial"/>
                <w:noProof/>
                <w:szCs w:val="20"/>
              </w:rPr>
              <w:t>Najbolj oddaljene in severne redko poseljene regije</w:t>
            </w:r>
          </w:p>
        </w:tc>
        <w:tc>
          <w:tcPr>
            <w:tcW w:w="0" w:type="auto"/>
            <w:vMerge/>
            <w:shd w:val="clear" w:color="auto" w:fill="FFFFFF"/>
          </w:tcPr>
          <w:p w14:paraId="47FB8692" w14:textId="77777777" w:rsidR="009D4BB4" w:rsidRPr="00A40660" w:rsidRDefault="009D4BB4" w:rsidP="002008C1">
            <w:pPr>
              <w:rPr>
                <w:rFonts w:cs="Arial"/>
                <w:b/>
                <w:i/>
                <w:noProof/>
                <w:szCs w:val="20"/>
                <w:lang w:val="de-DE"/>
              </w:rPr>
            </w:pPr>
          </w:p>
        </w:tc>
        <w:tc>
          <w:tcPr>
            <w:tcW w:w="0" w:type="auto"/>
            <w:vMerge/>
            <w:shd w:val="clear" w:color="auto" w:fill="FFFFFF"/>
          </w:tcPr>
          <w:p w14:paraId="17665A32" w14:textId="77777777" w:rsidR="009D4BB4" w:rsidRPr="00A40660" w:rsidRDefault="009D4BB4" w:rsidP="002008C1">
            <w:pPr>
              <w:rPr>
                <w:rFonts w:cs="Arial"/>
                <w:b/>
                <w:i/>
                <w:noProof/>
                <w:szCs w:val="20"/>
                <w:lang w:val="de-DE"/>
              </w:rPr>
            </w:pPr>
          </w:p>
        </w:tc>
        <w:tc>
          <w:tcPr>
            <w:tcW w:w="0" w:type="auto"/>
            <w:vMerge/>
            <w:shd w:val="clear" w:color="auto" w:fill="FFFFFF"/>
          </w:tcPr>
          <w:p w14:paraId="4C9EEAC2" w14:textId="77777777" w:rsidR="009D4BB4" w:rsidRPr="00A40660" w:rsidRDefault="009D4BB4" w:rsidP="002008C1">
            <w:pPr>
              <w:rPr>
                <w:rFonts w:cs="Arial"/>
                <w:b/>
                <w:i/>
                <w:noProof/>
                <w:szCs w:val="20"/>
                <w:lang w:val="de-DE"/>
              </w:rPr>
            </w:pPr>
          </w:p>
        </w:tc>
        <w:tc>
          <w:tcPr>
            <w:tcW w:w="0" w:type="auto"/>
            <w:vMerge/>
            <w:shd w:val="clear" w:color="auto" w:fill="FFFFFF"/>
          </w:tcPr>
          <w:p w14:paraId="07A0EFF8" w14:textId="77777777" w:rsidR="009D4BB4" w:rsidRPr="00A40660" w:rsidRDefault="009D4BB4" w:rsidP="002008C1">
            <w:pPr>
              <w:rPr>
                <w:rFonts w:cs="Arial"/>
                <w:b/>
                <w:i/>
                <w:noProof/>
                <w:szCs w:val="20"/>
                <w:lang w:val="de-DE"/>
              </w:rPr>
            </w:pPr>
          </w:p>
        </w:tc>
        <w:tc>
          <w:tcPr>
            <w:tcW w:w="0" w:type="auto"/>
            <w:vMerge/>
            <w:shd w:val="clear" w:color="auto" w:fill="FFFFFF"/>
          </w:tcPr>
          <w:p w14:paraId="4422A841" w14:textId="77777777" w:rsidR="009D4BB4" w:rsidRPr="00A40660" w:rsidRDefault="009D4BB4" w:rsidP="002008C1">
            <w:pPr>
              <w:rPr>
                <w:rFonts w:cs="Arial"/>
                <w:b/>
                <w:i/>
                <w:noProof/>
                <w:szCs w:val="20"/>
                <w:lang w:val="de-DE"/>
              </w:rPr>
            </w:pPr>
          </w:p>
        </w:tc>
        <w:tc>
          <w:tcPr>
            <w:tcW w:w="0" w:type="auto"/>
            <w:vMerge/>
            <w:shd w:val="clear" w:color="auto" w:fill="FFFFFF"/>
          </w:tcPr>
          <w:p w14:paraId="009D9112" w14:textId="77777777" w:rsidR="009D4BB4" w:rsidRPr="00A40660" w:rsidRDefault="009D4BB4" w:rsidP="002008C1">
            <w:pPr>
              <w:rPr>
                <w:rFonts w:cs="Arial"/>
                <w:b/>
                <w:i/>
                <w:noProof/>
                <w:szCs w:val="20"/>
                <w:lang w:val="de-DE"/>
              </w:rPr>
            </w:pPr>
          </w:p>
        </w:tc>
      </w:tr>
      <w:tr w:rsidR="00824944" w:rsidRPr="00A40660" w14:paraId="3B3A2632" w14:textId="77777777" w:rsidTr="00824944">
        <w:trPr>
          <w:trHeight w:val="428"/>
        </w:trPr>
        <w:tc>
          <w:tcPr>
            <w:tcW w:w="0" w:type="auto"/>
            <w:vMerge w:val="restart"/>
            <w:shd w:val="clear" w:color="auto" w:fill="FFFFFF"/>
          </w:tcPr>
          <w:p w14:paraId="370BF7F2" w14:textId="77777777" w:rsidR="00824944" w:rsidRPr="00A40660" w:rsidRDefault="00824944" w:rsidP="002008C1">
            <w:pPr>
              <w:spacing w:before="60" w:after="60"/>
              <w:rPr>
                <w:rFonts w:cs="Arial"/>
                <w:b/>
                <w:noProof/>
                <w:szCs w:val="20"/>
              </w:rPr>
            </w:pPr>
            <w:r w:rsidRPr="00A40660">
              <w:rPr>
                <w:rFonts w:cs="Arial"/>
                <w:b/>
                <w:noProof/>
                <w:szCs w:val="20"/>
              </w:rPr>
              <w:t>ERDF</w:t>
            </w:r>
          </w:p>
        </w:tc>
        <w:tc>
          <w:tcPr>
            <w:tcW w:w="0" w:type="auto"/>
            <w:shd w:val="clear" w:color="auto" w:fill="FFFFFF"/>
          </w:tcPr>
          <w:p w14:paraId="6133DD66" w14:textId="77777777" w:rsidR="00824944" w:rsidRPr="00A40660" w:rsidRDefault="00824944" w:rsidP="002008C1">
            <w:pPr>
              <w:spacing w:before="60" w:after="60"/>
              <w:rPr>
                <w:rFonts w:cs="Arial"/>
                <w:noProof/>
                <w:szCs w:val="20"/>
              </w:rPr>
            </w:pPr>
            <w:r w:rsidRPr="00A40660">
              <w:rPr>
                <w:rFonts w:cs="Arial"/>
                <w:noProof/>
                <w:szCs w:val="20"/>
              </w:rPr>
              <w:t>Bolj razvite regije</w:t>
            </w:r>
          </w:p>
        </w:tc>
        <w:tc>
          <w:tcPr>
            <w:tcW w:w="0" w:type="auto"/>
            <w:shd w:val="clear" w:color="auto" w:fill="7F7F7F"/>
          </w:tcPr>
          <w:p w14:paraId="1DC16DC5" w14:textId="77777777" w:rsidR="00824944" w:rsidRPr="00A40660" w:rsidRDefault="00824944" w:rsidP="002008C1">
            <w:pPr>
              <w:spacing w:before="60" w:after="60"/>
              <w:rPr>
                <w:rFonts w:cs="Arial"/>
                <w:b/>
                <w:noProof/>
                <w:szCs w:val="20"/>
              </w:rPr>
            </w:pPr>
          </w:p>
        </w:tc>
        <w:tc>
          <w:tcPr>
            <w:tcW w:w="950" w:type="dxa"/>
            <w:shd w:val="clear" w:color="auto" w:fill="7F7F7F"/>
          </w:tcPr>
          <w:p w14:paraId="209CDEA2" w14:textId="77777777" w:rsidR="00824944" w:rsidRPr="00A40660" w:rsidRDefault="00824944" w:rsidP="002008C1">
            <w:pPr>
              <w:spacing w:before="60" w:after="60"/>
              <w:rPr>
                <w:rFonts w:cs="Arial"/>
                <w:b/>
                <w:noProof/>
                <w:szCs w:val="20"/>
              </w:rPr>
            </w:pPr>
          </w:p>
        </w:tc>
        <w:tc>
          <w:tcPr>
            <w:tcW w:w="806" w:type="dxa"/>
            <w:shd w:val="clear" w:color="auto" w:fill="7F7F7F"/>
          </w:tcPr>
          <w:p w14:paraId="3D15ABF1" w14:textId="77777777" w:rsidR="00824944" w:rsidRPr="00A40660" w:rsidRDefault="00824944" w:rsidP="002008C1">
            <w:pPr>
              <w:spacing w:before="60" w:after="60"/>
              <w:rPr>
                <w:rFonts w:cs="Arial"/>
                <w:b/>
                <w:noProof/>
                <w:szCs w:val="20"/>
              </w:rPr>
            </w:pPr>
          </w:p>
        </w:tc>
        <w:tc>
          <w:tcPr>
            <w:tcW w:w="0" w:type="auto"/>
            <w:shd w:val="clear" w:color="auto" w:fill="7F7F7F"/>
          </w:tcPr>
          <w:p w14:paraId="03721425" w14:textId="77777777" w:rsidR="00824944" w:rsidRPr="00A40660" w:rsidRDefault="00824944" w:rsidP="002008C1">
            <w:pPr>
              <w:spacing w:before="60" w:after="60"/>
              <w:rPr>
                <w:rFonts w:cs="Arial"/>
                <w:b/>
                <w:noProof/>
                <w:szCs w:val="20"/>
              </w:rPr>
            </w:pPr>
          </w:p>
        </w:tc>
        <w:tc>
          <w:tcPr>
            <w:tcW w:w="0" w:type="auto"/>
            <w:shd w:val="clear" w:color="auto" w:fill="FFFFFF"/>
          </w:tcPr>
          <w:p w14:paraId="4A7B8FE1" w14:textId="77777777" w:rsidR="00824944" w:rsidRPr="00A40660" w:rsidRDefault="00824944" w:rsidP="002008C1">
            <w:pPr>
              <w:spacing w:before="60" w:after="60"/>
              <w:rPr>
                <w:rFonts w:cs="Arial"/>
                <w:b/>
                <w:noProof/>
                <w:szCs w:val="20"/>
              </w:rPr>
            </w:pPr>
          </w:p>
        </w:tc>
        <w:tc>
          <w:tcPr>
            <w:tcW w:w="0" w:type="auto"/>
            <w:shd w:val="clear" w:color="auto" w:fill="FFFFFF"/>
          </w:tcPr>
          <w:p w14:paraId="014B8CAC" w14:textId="77777777" w:rsidR="00824944" w:rsidRPr="00A40660" w:rsidRDefault="00824944" w:rsidP="002008C1">
            <w:pPr>
              <w:spacing w:before="60" w:after="60"/>
              <w:rPr>
                <w:rFonts w:cs="Arial"/>
                <w:b/>
                <w:noProof/>
                <w:szCs w:val="20"/>
              </w:rPr>
            </w:pPr>
          </w:p>
        </w:tc>
        <w:tc>
          <w:tcPr>
            <w:tcW w:w="0" w:type="auto"/>
            <w:shd w:val="clear" w:color="auto" w:fill="FFFFFF"/>
          </w:tcPr>
          <w:p w14:paraId="4A606578" w14:textId="77777777" w:rsidR="00824944" w:rsidRPr="00A40660" w:rsidRDefault="00824944" w:rsidP="002008C1">
            <w:pPr>
              <w:spacing w:before="60" w:after="60"/>
              <w:rPr>
                <w:rFonts w:cs="Arial"/>
                <w:b/>
                <w:noProof/>
                <w:szCs w:val="20"/>
              </w:rPr>
            </w:pPr>
          </w:p>
        </w:tc>
        <w:tc>
          <w:tcPr>
            <w:tcW w:w="0" w:type="auto"/>
            <w:shd w:val="clear" w:color="auto" w:fill="FFFFFF"/>
          </w:tcPr>
          <w:p w14:paraId="6F219544" w14:textId="77777777" w:rsidR="00824944" w:rsidRPr="00A40660" w:rsidRDefault="00824944" w:rsidP="002008C1">
            <w:pPr>
              <w:spacing w:before="60" w:after="60"/>
              <w:rPr>
                <w:rFonts w:cs="Arial"/>
                <w:b/>
                <w:noProof/>
                <w:szCs w:val="20"/>
              </w:rPr>
            </w:pPr>
          </w:p>
        </w:tc>
        <w:tc>
          <w:tcPr>
            <w:tcW w:w="0" w:type="auto"/>
            <w:shd w:val="clear" w:color="auto" w:fill="FFFFFF"/>
          </w:tcPr>
          <w:p w14:paraId="766853DA" w14:textId="77777777" w:rsidR="00824944" w:rsidRPr="00A40660" w:rsidRDefault="00824944" w:rsidP="002008C1">
            <w:pPr>
              <w:spacing w:before="60" w:after="60"/>
              <w:rPr>
                <w:rFonts w:cs="Arial"/>
                <w:b/>
                <w:noProof/>
                <w:szCs w:val="20"/>
              </w:rPr>
            </w:pPr>
          </w:p>
        </w:tc>
        <w:tc>
          <w:tcPr>
            <w:tcW w:w="0" w:type="auto"/>
            <w:shd w:val="clear" w:color="auto" w:fill="FFFFFF"/>
          </w:tcPr>
          <w:p w14:paraId="1B65BFAB" w14:textId="32459B62"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2976C522" w14:textId="77777777" w:rsidR="00824944" w:rsidRPr="00A40660" w:rsidRDefault="00824944" w:rsidP="002008C1">
            <w:pPr>
              <w:spacing w:before="60" w:after="60"/>
              <w:rPr>
                <w:rFonts w:cs="Arial"/>
                <w:b/>
                <w:noProof/>
                <w:szCs w:val="20"/>
              </w:rPr>
            </w:pPr>
          </w:p>
        </w:tc>
        <w:tc>
          <w:tcPr>
            <w:tcW w:w="0" w:type="auto"/>
            <w:shd w:val="clear" w:color="auto" w:fill="FFFFFF"/>
          </w:tcPr>
          <w:p w14:paraId="4C75842A" w14:textId="77777777" w:rsidR="00824944" w:rsidRPr="00A40660" w:rsidRDefault="00824944" w:rsidP="002008C1">
            <w:pPr>
              <w:spacing w:before="60" w:after="60"/>
              <w:rPr>
                <w:rFonts w:cs="Arial"/>
                <w:b/>
                <w:noProof/>
                <w:szCs w:val="20"/>
              </w:rPr>
            </w:pPr>
          </w:p>
        </w:tc>
        <w:tc>
          <w:tcPr>
            <w:tcW w:w="0" w:type="auto"/>
            <w:shd w:val="clear" w:color="auto" w:fill="FFFFFF"/>
          </w:tcPr>
          <w:p w14:paraId="535C1ECA" w14:textId="77777777" w:rsidR="00824944" w:rsidRPr="00A40660" w:rsidRDefault="00824944" w:rsidP="002008C1">
            <w:pPr>
              <w:spacing w:before="60" w:after="60"/>
              <w:rPr>
                <w:rFonts w:cs="Arial"/>
                <w:b/>
                <w:noProof/>
                <w:szCs w:val="20"/>
              </w:rPr>
            </w:pPr>
          </w:p>
        </w:tc>
        <w:tc>
          <w:tcPr>
            <w:tcW w:w="0" w:type="auto"/>
            <w:shd w:val="clear" w:color="auto" w:fill="FFFFFF"/>
          </w:tcPr>
          <w:p w14:paraId="10161BEE" w14:textId="77777777" w:rsidR="00824944" w:rsidRPr="00A40660" w:rsidRDefault="00824944" w:rsidP="002008C1">
            <w:pPr>
              <w:spacing w:before="60" w:after="60"/>
              <w:rPr>
                <w:rFonts w:cs="Arial"/>
                <w:b/>
                <w:noProof/>
                <w:szCs w:val="20"/>
              </w:rPr>
            </w:pPr>
          </w:p>
        </w:tc>
      </w:tr>
      <w:tr w:rsidR="00824944" w:rsidRPr="00A40660" w14:paraId="22116636" w14:textId="77777777" w:rsidTr="00824944">
        <w:trPr>
          <w:trHeight w:val="350"/>
        </w:trPr>
        <w:tc>
          <w:tcPr>
            <w:tcW w:w="0" w:type="auto"/>
            <w:vMerge/>
            <w:shd w:val="clear" w:color="auto" w:fill="FFFFFF"/>
          </w:tcPr>
          <w:p w14:paraId="40D81080" w14:textId="77777777" w:rsidR="00824944" w:rsidRPr="00A40660" w:rsidRDefault="00824944" w:rsidP="002008C1">
            <w:pPr>
              <w:spacing w:before="60" w:after="60"/>
              <w:rPr>
                <w:rFonts w:cs="Arial"/>
                <w:b/>
                <w:noProof/>
                <w:szCs w:val="20"/>
              </w:rPr>
            </w:pPr>
          </w:p>
        </w:tc>
        <w:tc>
          <w:tcPr>
            <w:tcW w:w="0" w:type="auto"/>
            <w:shd w:val="clear" w:color="auto" w:fill="FFFFFF"/>
          </w:tcPr>
          <w:p w14:paraId="3BFDCB27" w14:textId="77777777" w:rsidR="00824944" w:rsidRPr="00A40660" w:rsidRDefault="00824944" w:rsidP="002008C1">
            <w:pPr>
              <w:spacing w:before="60" w:after="60"/>
              <w:rPr>
                <w:rFonts w:cs="Arial"/>
                <w:noProof/>
                <w:szCs w:val="20"/>
              </w:rPr>
            </w:pPr>
            <w:r w:rsidRPr="00A40660">
              <w:rPr>
                <w:rFonts w:cs="Arial"/>
                <w:noProof/>
                <w:szCs w:val="20"/>
              </w:rPr>
              <w:t>Regije v prehodu</w:t>
            </w:r>
          </w:p>
        </w:tc>
        <w:tc>
          <w:tcPr>
            <w:tcW w:w="0" w:type="auto"/>
            <w:shd w:val="clear" w:color="auto" w:fill="7F7F7F"/>
          </w:tcPr>
          <w:p w14:paraId="12676A0B" w14:textId="77777777" w:rsidR="00824944" w:rsidRPr="00A40660" w:rsidRDefault="00824944" w:rsidP="002008C1">
            <w:pPr>
              <w:spacing w:before="60" w:after="60"/>
              <w:rPr>
                <w:rFonts w:cs="Arial"/>
                <w:b/>
                <w:noProof/>
                <w:szCs w:val="20"/>
              </w:rPr>
            </w:pPr>
          </w:p>
        </w:tc>
        <w:tc>
          <w:tcPr>
            <w:tcW w:w="950" w:type="dxa"/>
            <w:shd w:val="clear" w:color="auto" w:fill="7F7F7F"/>
          </w:tcPr>
          <w:p w14:paraId="245BD76D" w14:textId="77777777" w:rsidR="00824944" w:rsidRPr="00A40660" w:rsidRDefault="00824944" w:rsidP="002008C1">
            <w:pPr>
              <w:spacing w:before="60" w:after="60"/>
              <w:rPr>
                <w:rFonts w:cs="Arial"/>
                <w:b/>
                <w:noProof/>
                <w:szCs w:val="20"/>
              </w:rPr>
            </w:pPr>
          </w:p>
        </w:tc>
        <w:tc>
          <w:tcPr>
            <w:tcW w:w="806" w:type="dxa"/>
            <w:shd w:val="clear" w:color="auto" w:fill="7F7F7F"/>
          </w:tcPr>
          <w:p w14:paraId="7264499C" w14:textId="77777777" w:rsidR="00824944" w:rsidRPr="00A40660" w:rsidRDefault="00824944" w:rsidP="002008C1">
            <w:pPr>
              <w:spacing w:before="60" w:after="60"/>
              <w:rPr>
                <w:rFonts w:cs="Arial"/>
                <w:b/>
                <w:noProof/>
                <w:szCs w:val="20"/>
              </w:rPr>
            </w:pPr>
          </w:p>
        </w:tc>
        <w:tc>
          <w:tcPr>
            <w:tcW w:w="0" w:type="auto"/>
            <w:shd w:val="clear" w:color="auto" w:fill="7F7F7F"/>
          </w:tcPr>
          <w:p w14:paraId="0C68DDC9" w14:textId="77777777" w:rsidR="00824944" w:rsidRPr="00A40660" w:rsidRDefault="00824944" w:rsidP="002008C1">
            <w:pPr>
              <w:spacing w:before="60" w:after="60"/>
              <w:rPr>
                <w:rFonts w:cs="Arial"/>
                <w:b/>
                <w:noProof/>
                <w:szCs w:val="20"/>
              </w:rPr>
            </w:pPr>
          </w:p>
        </w:tc>
        <w:tc>
          <w:tcPr>
            <w:tcW w:w="0" w:type="auto"/>
            <w:shd w:val="clear" w:color="auto" w:fill="FFFFFF"/>
          </w:tcPr>
          <w:p w14:paraId="2E112217" w14:textId="77777777" w:rsidR="00824944" w:rsidRPr="00A40660" w:rsidRDefault="00824944" w:rsidP="002008C1">
            <w:pPr>
              <w:spacing w:before="60" w:after="60"/>
              <w:rPr>
                <w:rFonts w:cs="Arial"/>
                <w:b/>
                <w:noProof/>
                <w:szCs w:val="20"/>
              </w:rPr>
            </w:pPr>
          </w:p>
        </w:tc>
        <w:tc>
          <w:tcPr>
            <w:tcW w:w="0" w:type="auto"/>
            <w:shd w:val="clear" w:color="auto" w:fill="FFFFFF"/>
          </w:tcPr>
          <w:p w14:paraId="62559D6D" w14:textId="77777777" w:rsidR="00824944" w:rsidRPr="00A40660" w:rsidRDefault="00824944" w:rsidP="002008C1">
            <w:pPr>
              <w:spacing w:before="60" w:after="60"/>
              <w:rPr>
                <w:rFonts w:cs="Arial"/>
                <w:b/>
                <w:noProof/>
                <w:szCs w:val="20"/>
              </w:rPr>
            </w:pPr>
          </w:p>
        </w:tc>
        <w:tc>
          <w:tcPr>
            <w:tcW w:w="0" w:type="auto"/>
            <w:shd w:val="clear" w:color="auto" w:fill="FFFFFF"/>
          </w:tcPr>
          <w:p w14:paraId="09854CF8" w14:textId="77777777" w:rsidR="00824944" w:rsidRPr="00A40660" w:rsidRDefault="00824944" w:rsidP="002008C1">
            <w:pPr>
              <w:spacing w:before="60" w:after="60"/>
              <w:rPr>
                <w:rFonts w:cs="Arial"/>
                <w:b/>
                <w:noProof/>
                <w:szCs w:val="20"/>
              </w:rPr>
            </w:pPr>
          </w:p>
        </w:tc>
        <w:tc>
          <w:tcPr>
            <w:tcW w:w="0" w:type="auto"/>
            <w:shd w:val="clear" w:color="auto" w:fill="FFFFFF"/>
          </w:tcPr>
          <w:p w14:paraId="59E68EEC" w14:textId="77777777" w:rsidR="00824944" w:rsidRPr="00A40660" w:rsidRDefault="00824944" w:rsidP="002008C1">
            <w:pPr>
              <w:spacing w:before="60" w:after="60"/>
              <w:rPr>
                <w:rFonts w:cs="Arial"/>
                <w:b/>
                <w:noProof/>
                <w:szCs w:val="20"/>
              </w:rPr>
            </w:pPr>
          </w:p>
        </w:tc>
        <w:tc>
          <w:tcPr>
            <w:tcW w:w="0" w:type="auto"/>
            <w:shd w:val="clear" w:color="auto" w:fill="FFFFFF"/>
          </w:tcPr>
          <w:p w14:paraId="7D05E2DA" w14:textId="77777777" w:rsidR="00824944" w:rsidRPr="00A40660" w:rsidRDefault="00824944" w:rsidP="002008C1">
            <w:pPr>
              <w:spacing w:before="60" w:after="60"/>
              <w:rPr>
                <w:rFonts w:cs="Arial"/>
                <w:b/>
                <w:noProof/>
                <w:szCs w:val="20"/>
              </w:rPr>
            </w:pPr>
          </w:p>
        </w:tc>
        <w:tc>
          <w:tcPr>
            <w:tcW w:w="0" w:type="auto"/>
            <w:shd w:val="clear" w:color="auto" w:fill="FFFFFF"/>
          </w:tcPr>
          <w:p w14:paraId="65DCAD58" w14:textId="1B17D784"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5DF2F563" w14:textId="77777777" w:rsidR="00824944" w:rsidRPr="00A40660" w:rsidRDefault="00824944" w:rsidP="002008C1">
            <w:pPr>
              <w:spacing w:before="60" w:after="60"/>
              <w:rPr>
                <w:rFonts w:cs="Arial"/>
                <w:b/>
                <w:noProof/>
                <w:szCs w:val="20"/>
              </w:rPr>
            </w:pPr>
          </w:p>
        </w:tc>
        <w:tc>
          <w:tcPr>
            <w:tcW w:w="0" w:type="auto"/>
            <w:shd w:val="clear" w:color="auto" w:fill="FFFFFF"/>
          </w:tcPr>
          <w:p w14:paraId="4CBCD0CC" w14:textId="77777777" w:rsidR="00824944" w:rsidRPr="00A40660" w:rsidRDefault="00824944" w:rsidP="002008C1">
            <w:pPr>
              <w:spacing w:before="60" w:after="60"/>
              <w:rPr>
                <w:rFonts w:cs="Arial"/>
                <w:b/>
                <w:noProof/>
                <w:szCs w:val="20"/>
              </w:rPr>
            </w:pPr>
          </w:p>
        </w:tc>
        <w:tc>
          <w:tcPr>
            <w:tcW w:w="0" w:type="auto"/>
            <w:shd w:val="clear" w:color="auto" w:fill="FFFFFF"/>
          </w:tcPr>
          <w:p w14:paraId="02A3094A" w14:textId="77777777" w:rsidR="00824944" w:rsidRPr="00A40660" w:rsidRDefault="00824944" w:rsidP="002008C1">
            <w:pPr>
              <w:spacing w:before="60" w:after="60"/>
              <w:rPr>
                <w:rFonts w:cs="Arial"/>
                <w:b/>
                <w:noProof/>
                <w:szCs w:val="20"/>
              </w:rPr>
            </w:pPr>
          </w:p>
        </w:tc>
        <w:tc>
          <w:tcPr>
            <w:tcW w:w="0" w:type="auto"/>
            <w:shd w:val="clear" w:color="auto" w:fill="FFFFFF"/>
          </w:tcPr>
          <w:p w14:paraId="43A813EE" w14:textId="77777777" w:rsidR="00824944" w:rsidRPr="00A40660" w:rsidRDefault="00824944" w:rsidP="002008C1">
            <w:pPr>
              <w:spacing w:before="60" w:after="60"/>
              <w:rPr>
                <w:rFonts w:cs="Arial"/>
                <w:b/>
                <w:noProof/>
                <w:szCs w:val="20"/>
              </w:rPr>
            </w:pPr>
          </w:p>
        </w:tc>
      </w:tr>
      <w:tr w:rsidR="00824944" w:rsidRPr="00A40660" w14:paraId="6035077B" w14:textId="77777777" w:rsidTr="00824944">
        <w:trPr>
          <w:trHeight w:val="286"/>
        </w:trPr>
        <w:tc>
          <w:tcPr>
            <w:tcW w:w="0" w:type="auto"/>
            <w:vMerge/>
            <w:shd w:val="clear" w:color="auto" w:fill="FFFFFF"/>
          </w:tcPr>
          <w:p w14:paraId="108ADA72" w14:textId="77777777" w:rsidR="00824944" w:rsidRPr="00A40660" w:rsidRDefault="00824944" w:rsidP="002008C1">
            <w:pPr>
              <w:spacing w:before="60" w:after="60"/>
              <w:rPr>
                <w:rFonts w:cs="Arial"/>
                <w:b/>
                <w:noProof/>
                <w:szCs w:val="20"/>
              </w:rPr>
            </w:pPr>
          </w:p>
        </w:tc>
        <w:tc>
          <w:tcPr>
            <w:tcW w:w="0" w:type="auto"/>
            <w:shd w:val="clear" w:color="auto" w:fill="FFFFFF"/>
          </w:tcPr>
          <w:p w14:paraId="39EAFD10" w14:textId="77777777" w:rsidR="00824944" w:rsidRPr="00A40660" w:rsidRDefault="00824944" w:rsidP="002008C1">
            <w:pPr>
              <w:spacing w:before="60" w:after="60"/>
              <w:rPr>
                <w:rFonts w:cs="Arial"/>
                <w:noProof/>
                <w:szCs w:val="20"/>
              </w:rPr>
            </w:pPr>
            <w:r w:rsidRPr="00A40660">
              <w:rPr>
                <w:rFonts w:cs="Arial"/>
                <w:noProof/>
                <w:szCs w:val="20"/>
              </w:rPr>
              <w:t>Manj razvite regije</w:t>
            </w:r>
          </w:p>
        </w:tc>
        <w:tc>
          <w:tcPr>
            <w:tcW w:w="0" w:type="auto"/>
            <w:shd w:val="clear" w:color="auto" w:fill="7F7F7F"/>
          </w:tcPr>
          <w:p w14:paraId="06FB2AC1" w14:textId="77777777" w:rsidR="00824944" w:rsidRPr="00A40660" w:rsidRDefault="00824944" w:rsidP="002008C1">
            <w:pPr>
              <w:spacing w:before="60" w:after="60"/>
              <w:rPr>
                <w:rFonts w:cs="Arial"/>
                <w:b/>
                <w:noProof/>
                <w:szCs w:val="20"/>
              </w:rPr>
            </w:pPr>
          </w:p>
        </w:tc>
        <w:tc>
          <w:tcPr>
            <w:tcW w:w="950" w:type="dxa"/>
            <w:shd w:val="clear" w:color="auto" w:fill="7F7F7F"/>
          </w:tcPr>
          <w:p w14:paraId="6CA3DCB7" w14:textId="77777777" w:rsidR="00824944" w:rsidRPr="00A40660" w:rsidRDefault="00824944" w:rsidP="002008C1">
            <w:pPr>
              <w:spacing w:before="60" w:after="60"/>
              <w:rPr>
                <w:rFonts w:cs="Arial"/>
                <w:b/>
                <w:noProof/>
                <w:szCs w:val="20"/>
              </w:rPr>
            </w:pPr>
          </w:p>
        </w:tc>
        <w:tc>
          <w:tcPr>
            <w:tcW w:w="806" w:type="dxa"/>
            <w:shd w:val="clear" w:color="auto" w:fill="7F7F7F"/>
          </w:tcPr>
          <w:p w14:paraId="655757EE" w14:textId="77777777" w:rsidR="00824944" w:rsidRPr="00A40660" w:rsidRDefault="00824944" w:rsidP="002008C1">
            <w:pPr>
              <w:spacing w:before="60" w:after="60"/>
              <w:rPr>
                <w:rFonts w:cs="Arial"/>
                <w:b/>
                <w:noProof/>
                <w:szCs w:val="20"/>
              </w:rPr>
            </w:pPr>
          </w:p>
        </w:tc>
        <w:tc>
          <w:tcPr>
            <w:tcW w:w="0" w:type="auto"/>
            <w:shd w:val="clear" w:color="auto" w:fill="7F7F7F"/>
          </w:tcPr>
          <w:p w14:paraId="62D5449D" w14:textId="77777777" w:rsidR="00824944" w:rsidRPr="00A40660" w:rsidRDefault="00824944" w:rsidP="002008C1">
            <w:pPr>
              <w:spacing w:before="60" w:after="60"/>
              <w:rPr>
                <w:rFonts w:cs="Arial"/>
                <w:b/>
                <w:noProof/>
                <w:szCs w:val="20"/>
              </w:rPr>
            </w:pPr>
          </w:p>
        </w:tc>
        <w:tc>
          <w:tcPr>
            <w:tcW w:w="0" w:type="auto"/>
            <w:shd w:val="clear" w:color="auto" w:fill="FFFFFF"/>
          </w:tcPr>
          <w:p w14:paraId="2AB61E3E" w14:textId="77777777" w:rsidR="00824944" w:rsidRPr="00A40660" w:rsidRDefault="00824944" w:rsidP="002008C1">
            <w:pPr>
              <w:spacing w:before="60" w:after="60"/>
              <w:rPr>
                <w:rFonts w:cs="Arial"/>
                <w:b/>
                <w:noProof/>
                <w:szCs w:val="20"/>
              </w:rPr>
            </w:pPr>
          </w:p>
        </w:tc>
        <w:tc>
          <w:tcPr>
            <w:tcW w:w="0" w:type="auto"/>
            <w:shd w:val="clear" w:color="auto" w:fill="FFFFFF"/>
          </w:tcPr>
          <w:p w14:paraId="27B2F6E2" w14:textId="77777777" w:rsidR="00824944" w:rsidRPr="00A40660" w:rsidRDefault="00824944" w:rsidP="002008C1">
            <w:pPr>
              <w:spacing w:before="60" w:after="60"/>
              <w:rPr>
                <w:rFonts w:cs="Arial"/>
                <w:b/>
                <w:noProof/>
                <w:szCs w:val="20"/>
              </w:rPr>
            </w:pPr>
          </w:p>
        </w:tc>
        <w:tc>
          <w:tcPr>
            <w:tcW w:w="0" w:type="auto"/>
            <w:shd w:val="clear" w:color="auto" w:fill="FFFFFF"/>
          </w:tcPr>
          <w:p w14:paraId="17B60516" w14:textId="77777777" w:rsidR="00824944" w:rsidRPr="00A40660" w:rsidRDefault="00824944" w:rsidP="002008C1">
            <w:pPr>
              <w:spacing w:before="60" w:after="60"/>
              <w:rPr>
                <w:rFonts w:cs="Arial"/>
                <w:b/>
                <w:noProof/>
                <w:szCs w:val="20"/>
              </w:rPr>
            </w:pPr>
          </w:p>
        </w:tc>
        <w:tc>
          <w:tcPr>
            <w:tcW w:w="0" w:type="auto"/>
            <w:shd w:val="clear" w:color="auto" w:fill="FFFFFF"/>
          </w:tcPr>
          <w:p w14:paraId="3CEDCD52" w14:textId="77777777" w:rsidR="00824944" w:rsidRPr="00A40660" w:rsidRDefault="00824944" w:rsidP="002008C1">
            <w:pPr>
              <w:spacing w:before="60" w:after="60"/>
              <w:rPr>
                <w:rFonts w:cs="Arial"/>
                <w:b/>
                <w:noProof/>
                <w:szCs w:val="20"/>
              </w:rPr>
            </w:pPr>
          </w:p>
        </w:tc>
        <w:tc>
          <w:tcPr>
            <w:tcW w:w="0" w:type="auto"/>
            <w:shd w:val="clear" w:color="auto" w:fill="FFFFFF"/>
          </w:tcPr>
          <w:p w14:paraId="09EAA2B3" w14:textId="77777777" w:rsidR="00824944" w:rsidRPr="00A40660" w:rsidRDefault="00824944" w:rsidP="002008C1">
            <w:pPr>
              <w:spacing w:before="60" w:after="60"/>
              <w:rPr>
                <w:rFonts w:cs="Arial"/>
                <w:b/>
                <w:noProof/>
                <w:szCs w:val="20"/>
              </w:rPr>
            </w:pPr>
          </w:p>
        </w:tc>
        <w:tc>
          <w:tcPr>
            <w:tcW w:w="0" w:type="auto"/>
            <w:shd w:val="clear" w:color="auto" w:fill="FFFFFF"/>
          </w:tcPr>
          <w:p w14:paraId="097073B0" w14:textId="209D54C9"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3A12E56E" w14:textId="77777777" w:rsidR="00824944" w:rsidRPr="00A40660" w:rsidRDefault="00824944" w:rsidP="002008C1">
            <w:pPr>
              <w:spacing w:before="60" w:after="60"/>
              <w:rPr>
                <w:rFonts w:cs="Arial"/>
                <w:b/>
                <w:noProof/>
                <w:szCs w:val="20"/>
              </w:rPr>
            </w:pPr>
          </w:p>
        </w:tc>
        <w:tc>
          <w:tcPr>
            <w:tcW w:w="0" w:type="auto"/>
            <w:shd w:val="clear" w:color="auto" w:fill="FFFFFF"/>
          </w:tcPr>
          <w:p w14:paraId="01F8732C" w14:textId="77777777" w:rsidR="00824944" w:rsidRPr="00A40660" w:rsidRDefault="00824944" w:rsidP="002008C1">
            <w:pPr>
              <w:spacing w:before="60" w:after="60"/>
              <w:rPr>
                <w:rFonts w:cs="Arial"/>
                <w:b/>
                <w:noProof/>
                <w:szCs w:val="20"/>
              </w:rPr>
            </w:pPr>
          </w:p>
        </w:tc>
        <w:tc>
          <w:tcPr>
            <w:tcW w:w="0" w:type="auto"/>
            <w:shd w:val="clear" w:color="auto" w:fill="FFFFFF"/>
          </w:tcPr>
          <w:p w14:paraId="33671A07" w14:textId="77777777" w:rsidR="00824944" w:rsidRPr="00A40660" w:rsidRDefault="00824944" w:rsidP="002008C1">
            <w:pPr>
              <w:spacing w:before="60" w:after="60"/>
              <w:rPr>
                <w:rFonts w:cs="Arial"/>
                <w:b/>
                <w:noProof/>
                <w:szCs w:val="20"/>
              </w:rPr>
            </w:pPr>
          </w:p>
        </w:tc>
        <w:tc>
          <w:tcPr>
            <w:tcW w:w="0" w:type="auto"/>
            <w:shd w:val="clear" w:color="auto" w:fill="FFFFFF"/>
          </w:tcPr>
          <w:p w14:paraId="155E5D7B" w14:textId="77777777" w:rsidR="00824944" w:rsidRPr="00A40660" w:rsidRDefault="00824944" w:rsidP="002008C1">
            <w:pPr>
              <w:spacing w:before="60" w:after="60"/>
              <w:rPr>
                <w:rFonts w:cs="Arial"/>
                <w:b/>
                <w:noProof/>
                <w:szCs w:val="20"/>
              </w:rPr>
            </w:pPr>
          </w:p>
        </w:tc>
      </w:tr>
      <w:tr w:rsidR="00824944" w:rsidRPr="00F700CD" w14:paraId="134EE3D0" w14:textId="77777777" w:rsidTr="00824944">
        <w:trPr>
          <w:trHeight w:val="648"/>
        </w:trPr>
        <w:tc>
          <w:tcPr>
            <w:tcW w:w="0" w:type="auto"/>
            <w:vMerge/>
            <w:shd w:val="clear" w:color="auto" w:fill="FFFFFF"/>
          </w:tcPr>
          <w:p w14:paraId="6D6CE4AE" w14:textId="77777777" w:rsidR="00824944" w:rsidRPr="00A40660" w:rsidRDefault="00824944" w:rsidP="002008C1">
            <w:pPr>
              <w:spacing w:before="60" w:after="60"/>
              <w:rPr>
                <w:rFonts w:cs="Arial"/>
                <w:b/>
                <w:noProof/>
                <w:szCs w:val="20"/>
              </w:rPr>
            </w:pPr>
          </w:p>
        </w:tc>
        <w:tc>
          <w:tcPr>
            <w:tcW w:w="0" w:type="auto"/>
            <w:shd w:val="clear" w:color="auto" w:fill="FFFFFF"/>
          </w:tcPr>
          <w:p w14:paraId="058DCFBD" w14:textId="77777777" w:rsidR="00824944" w:rsidRPr="00A40660" w:rsidRDefault="00824944" w:rsidP="002008C1">
            <w:pPr>
              <w:spacing w:before="60" w:after="60"/>
              <w:rPr>
                <w:rFonts w:cs="Arial"/>
                <w:noProof/>
                <w:szCs w:val="20"/>
                <w:lang w:val="de-DE"/>
              </w:rPr>
            </w:pPr>
            <w:r w:rsidRPr="00A40660">
              <w:rPr>
                <w:rFonts w:cs="Arial"/>
                <w:noProof/>
                <w:szCs w:val="20"/>
              </w:rPr>
              <w:t>Najbolj oddaljene in severne redko poseljene regije</w:t>
            </w:r>
          </w:p>
        </w:tc>
        <w:tc>
          <w:tcPr>
            <w:tcW w:w="0" w:type="auto"/>
            <w:shd w:val="clear" w:color="auto" w:fill="7F7F7F"/>
          </w:tcPr>
          <w:p w14:paraId="2C674820" w14:textId="77777777" w:rsidR="00824944" w:rsidRPr="00A40660" w:rsidRDefault="00824944" w:rsidP="002008C1">
            <w:pPr>
              <w:spacing w:before="60" w:after="60"/>
              <w:rPr>
                <w:rFonts w:cs="Arial"/>
                <w:b/>
                <w:noProof/>
                <w:szCs w:val="20"/>
                <w:lang w:val="de-DE"/>
              </w:rPr>
            </w:pPr>
          </w:p>
        </w:tc>
        <w:tc>
          <w:tcPr>
            <w:tcW w:w="950" w:type="dxa"/>
            <w:shd w:val="clear" w:color="auto" w:fill="7F7F7F"/>
          </w:tcPr>
          <w:p w14:paraId="1146AB86" w14:textId="77777777" w:rsidR="00824944" w:rsidRPr="00A40660" w:rsidRDefault="00824944" w:rsidP="002008C1">
            <w:pPr>
              <w:spacing w:before="60" w:after="60"/>
              <w:rPr>
                <w:rFonts w:cs="Arial"/>
                <w:b/>
                <w:noProof/>
                <w:szCs w:val="20"/>
                <w:lang w:val="de-DE"/>
              </w:rPr>
            </w:pPr>
          </w:p>
        </w:tc>
        <w:tc>
          <w:tcPr>
            <w:tcW w:w="806" w:type="dxa"/>
            <w:shd w:val="clear" w:color="auto" w:fill="7F7F7F"/>
          </w:tcPr>
          <w:p w14:paraId="5F2EFA7C" w14:textId="77777777" w:rsidR="00824944" w:rsidRPr="00A40660" w:rsidRDefault="00824944" w:rsidP="002008C1">
            <w:pPr>
              <w:spacing w:before="60" w:after="60"/>
              <w:rPr>
                <w:rFonts w:cs="Arial"/>
                <w:b/>
                <w:noProof/>
                <w:szCs w:val="20"/>
                <w:lang w:val="de-DE"/>
              </w:rPr>
            </w:pPr>
          </w:p>
        </w:tc>
        <w:tc>
          <w:tcPr>
            <w:tcW w:w="0" w:type="auto"/>
            <w:shd w:val="clear" w:color="auto" w:fill="7F7F7F"/>
          </w:tcPr>
          <w:p w14:paraId="284C59D7" w14:textId="77777777" w:rsidR="00824944" w:rsidRPr="00A40660" w:rsidRDefault="00824944" w:rsidP="002008C1">
            <w:pPr>
              <w:spacing w:before="60" w:after="60"/>
              <w:rPr>
                <w:rFonts w:cs="Arial"/>
                <w:b/>
                <w:noProof/>
                <w:szCs w:val="20"/>
                <w:lang w:val="de-DE"/>
              </w:rPr>
            </w:pPr>
          </w:p>
        </w:tc>
        <w:tc>
          <w:tcPr>
            <w:tcW w:w="0" w:type="auto"/>
            <w:tcBorders>
              <w:bottom w:val="single" w:sz="4" w:space="0" w:color="auto"/>
            </w:tcBorders>
            <w:shd w:val="clear" w:color="auto" w:fill="FFFFFF"/>
          </w:tcPr>
          <w:p w14:paraId="141F4B13" w14:textId="77777777" w:rsidR="00824944" w:rsidRPr="00A40660" w:rsidRDefault="00824944" w:rsidP="002008C1">
            <w:pPr>
              <w:spacing w:before="60" w:after="60"/>
              <w:rPr>
                <w:rFonts w:cs="Arial"/>
                <w:b/>
                <w:noProof/>
                <w:szCs w:val="20"/>
                <w:lang w:val="de-DE"/>
              </w:rPr>
            </w:pPr>
          </w:p>
        </w:tc>
        <w:tc>
          <w:tcPr>
            <w:tcW w:w="0" w:type="auto"/>
            <w:tcBorders>
              <w:bottom w:val="single" w:sz="4" w:space="0" w:color="auto"/>
            </w:tcBorders>
            <w:shd w:val="clear" w:color="auto" w:fill="FFFFFF"/>
          </w:tcPr>
          <w:p w14:paraId="0F8FD3B3" w14:textId="77777777" w:rsidR="00824944" w:rsidRPr="00A40660" w:rsidRDefault="00824944" w:rsidP="002008C1">
            <w:pPr>
              <w:spacing w:before="60" w:after="60"/>
              <w:rPr>
                <w:rFonts w:cs="Arial"/>
                <w:b/>
                <w:noProof/>
                <w:szCs w:val="20"/>
                <w:lang w:val="de-DE"/>
              </w:rPr>
            </w:pPr>
          </w:p>
        </w:tc>
        <w:tc>
          <w:tcPr>
            <w:tcW w:w="0" w:type="auto"/>
            <w:tcBorders>
              <w:bottom w:val="single" w:sz="4" w:space="0" w:color="auto"/>
            </w:tcBorders>
            <w:shd w:val="clear" w:color="auto" w:fill="FFFFFF"/>
          </w:tcPr>
          <w:p w14:paraId="1BB92B8F" w14:textId="77777777" w:rsidR="00824944" w:rsidRPr="00A40660" w:rsidRDefault="00824944" w:rsidP="002008C1">
            <w:pPr>
              <w:spacing w:before="60" w:after="60"/>
              <w:rPr>
                <w:rFonts w:cs="Arial"/>
                <w:b/>
                <w:noProof/>
                <w:szCs w:val="20"/>
                <w:lang w:val="de-DE"/>
              </w:rPr>
            </w:pPr>
          </w:p>
        </w:tc>
        <w:tc>
          <w:tcPr>
            <w:tcW w:w="0" w:type="auto"/>
            <w:tcBorders>
              <w:bottom w:val="single" w:sz="4" w:space="0" w:color="auto"/>
            </w:tcBorders>
            <w:shd w:val="clear" w:color="auto" w:fill="FFFFFF"/>
          </w:tcPr>
          <w:p w14:paraId="29C8C2E6"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15E9C301"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43EAC1D9" w14:textId="4961F170" w:rsidR="00824944" w:rsidRPr="00A40660" w:rsidRDefault="00824944" w:rsidP="002008C1">
            <w:pPr>
              <w:spacing w:before="60" w:after="60"/>
              <w:rPr>
                <w:rFonts w:cs="Arial"/>
                <w:b/>
                <w:noProof/>
                <w:szCs w:val="20"/>
                <w:lang w:val="de-DE"/>
              </w:rPr>
            </w:pPr>
            <w:r>
              <w:rPr>
                <w:rFonts w:cs="Arial"/>
                <w:noProof/>
                <w:szCs w:val="20"/>
              </w:rPr>
              <w:t>0,00</w:t>
            </w:r>
          </w:p>
        </w:tc>
        <w:tc>
          <w:tcPr>
            <w:tcW w:w="0" w:type="auto"/>
            <w:shd w:val="clear" w:color="auto" w:fill="FFFFFF"/>
          </w:tcPr>
          <w:p w14:paraId="201B7C6C"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598105DD"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45CAC5D4"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0F1427FE" w14:textId="77777777" w:rsidR="00824944" w:rsidRPr="00A40660" w:rsidRDefault="00824944" w:rsidP="002008C1">
            <w:pPr>
              <w:spacing w:before="60" w:after="60"/>
              <w:rPr>
                <w:rFonts w:cs="Arial"/>
                <w:b/>
                <w:noProof/>
                <w:szCs w:val="20"/>
                <w:lang w:val="de-DE"/>
              </w:rPr>
            </w:pPr>
          </w:p>
        </w:tc>
      </w:tr>
      <w:tr w:rsidR="00824944" w:rsidRPr="00A40660" w14:paraId="070EE91C" w14:textId="77777777" w:rsidTr="00824944">
        <w:tc>
          <w:tcPr>
            <w:tcW w:w="0" w:type="auto"/>
            <w:vMerge w:val="restart"/>
            <w:shd w:val="clear" w:color="auto" w:fill="FFFFFF"/>
          </w:tcPr>
          <w:p w14:paraId="5486604D" w14:textId="77777777" w:rsidR="00824944" w:rsidRPr="00A40660" w:rsidRDefault="00824944" w:rsidP="002008C1">
            <w:pPr>
              <w:spacing w:before="60" w:after="60"/>
              <w:rPr>
                <w:rFonts w:cs="Arial"/>
                <w:b/>
                <w:i/>
                <w:noProof/>
                <w:szCs w:val="20"/>
              </w:rPr>
            </w:pPr>
            <w:r w:rsidRPr="00A40660">
              <w:rPr>
                <w:rFonts w:cs="Arial"/>
                <w:b/>
                <w:i/>
                <w:noProof/>
                <w:szCs w:val="20"/>
              </w:rPr>
              <w:t>ESF+</w:t>
            </w:r>
          </w:p>
        </w:tc>
        <w:tc>
          <w:tcPr>
            <w:tcW w:w="0" w:type="auto"/>
            <w:shd w:val="clear" w:color="auto" w:fill="FFFFFF"/>
          </w:tcPr>
          <w:p w14:paraId="42295D96" w14:textId="77777777" w:rsidR="00824944" w:rsidRPr="00A40660" w:rsidRDefault="00824944" w:rsidP="002008C1">
            <w:pPr>
              <w:spacing w:before="60" w:after="60"/>
              <w:rPr>
                <w:rFonts w:cs="Arial"/>
                <w:noProof/>
                <w:szCs w:val="20"/>
              </w:rPr>
            </w:pPr>
            <w:r w:rsidRPr="00A40660">
              <w:rPr>
                <w:rFonts w:cs="Arial"/>
                <w:noProof/>
                <w:szCs w:val="20"/>
              </w:rPr>
              <w:t>Bolj razvite regije</w:t>
            </w:r>
          </w:p>
        </w:tc>
        <w:tc>
          <w:tcPr>
            <w:tcW w:w="0" w:type="auto"/>
            <w:shd w:val="clear" w:color="auto" w:fill="FFFFFF"/>
          </w:tcPr>
          <w:p w14:paraId="47F827BF" w14:textId="77777777" w:rsidR="00824944" w:rsidRPr="00A40660" w:rsidRDefault="00824944" w:rsidP="002008C1">
            <w:pPr>
              <w:spacing w:before="60" w:after="60"/>
              <w:rPr>
                <w:rFonts w:cs="Arial"/>
                <w:b/>
                <w:noProof/>
                <w:szCs w:val="20"/>
              </w:rPr>
            </w:pPr>
          </w:p>
        </w:tc>
        <w:tc>
          <w:tcPr>
            <w:tcW w:w="950" w:type="dxa"/>
            <w:shd w:val="clear" w:color="auto" w:fill="FFFFFF"/>
          </w:tcPr>
          <w:p w14:paraId="1619A594" w14:textId="77777777" w:rsidR="00824944" w:rsidRPr="00A40660" w:rsidRDefault="00824944" w:rsidP="002008C1">
            <w:pPr>
              <w:spacing w:before="60" w:after="60"/>
              <w:rPr>
                <w:rFonts w:cs="Arial"/>
                <w:b/>
                <w:noProof/>
                <w:szCs w:val="20"/>
              </w:rPr>
            </w:pPr>
          </w:p>
        </w:tc>
        <w:tc>
          <w:tcPr>
            <w:tcW w:w="806" w:type="dxa"/>
            <w:shd w:val="clear" w:color="auto" w:fill="FFFFFF"/>
          </w:tcPr>
          <w:p w14:paraId="70F1D469" w14:textId="77777777" w:rsidR="00824944" w:rsidRPr="00A40660" w:rsidRDefault="00824944" w:rsidP="002008C1">
            <w:pPr>
              <w:spacing w:before="60" w:after="60"/>
              <w:rPr>
                <w:rFonts w:cs="Arial"/>
                <w:b/>
                <w:noProof/>
                <w:szCs w:val="20"/>
              </w:rPr>
            </w:pPr>
          </w:p>
        </w:tc>
        <w:tc>
          <w:tcPr>
            <w:tcW w:w="0" w:type="auto"/>
            <w:shd w:val="clear" w:color="auto" w:fill="FFFFFF"/>
          </w:tcPr>
          <w:p w14:paraId="086EC273" w14:textId="77777777" w:rsidR="00824944" w:rsidRPr="00A40660" w:rsidRDefault="00824944" w:rsidP="002008C1">
            <w:pPr>
              <w:spacing w:before="60" w:after="60"/>
              <w:rPr>
                <w:rFonts w:cs="Arial"/>
                <w:b/>
                <w:noProof/>
                <w:szCs w:val="20"/>
              </w:rPr>
            </w:pPr>
          </w:p>
        </w:tc>
        <w:tc>
          <w:tcPr>
            <w:tcW w:w="0" w:type="auto"/>
            <w:shd w:val="clear" w:color="auto" w:fill="7F7F7F"/>
          </w:tcPr>
          <w:p w14:paraId="1C266476" w14:textId="77777777" w:rsidR="00824944" w:rsidRPr="00A40660" w:rsidRDefault="00824944" w:rsidP="002008C1">
            <w:pPr>
              <w:spacing w:before="60" w:after="60"/>
              <w:rPr>
                <w:rFonts w:cs="Arial"/>
                <w:b/>
                <w:noProof/>
                <w:szCs w:val="20"/>
              </w:rPr>
            </w:pPr>
          </w:p>
        </w:tc>
        <w:tc>
          <w:tcPr>
            <w:tcW w:w="0" w:type="auto"/>
            <w:shd w:val="clear" w:color="auto" w:fill="7F7F7F"/>
          </w:tcPr>
          <w:p w14:paraId="07E8BC91" w14:textId="77777777" w:rsidR="00824944" w:rsidRPr="00A40660" w:rsidRDefault="00824944" w:rsidP="002008C1">
            <w:pPr>
              <w:spacing w:before="60" w:after="60"/>
              <w:rPr>
                <w:rFonts w:cs="Arial"/>
                <w:b/>
                <w:noProof/>
                <w:szCs w:val="20"/>
              </w:rPr>
            </w:pPr>
          </w:p>
        </w:tc>
        <w:tc>
          <w:tcPr>
            <w:tcW w:w="0" w:type="auto"/>
            <w:shd w:val="clear" w:color="auto" w:fill="7F7F7F"/>
          </w:tcPr>
          <w:p w14:paraId="0696B4E9" w14:textId="77777777" w:rsidR="00824944" w:rsidRPr="00A40660" w:rsidRDefault="00824944" w:rsidP="002008C1">
            <w:pPr>
              <w:spacing w:before="60" w:after="60"/>
              <w:rPr>
                <w:rFonts w:cs="Arial"/>
                <w:b/>
                <w:noProof/>
                <w:szCs w:val="20"/>
              </w:rPr>
            </w:pPr>
          </w:p>
        </w:tc>
        <w:tc>
          <w:tcPr>
            <w:tcW w:w="0" w:type="auto"/>
            <w:shd w:val="clear" w:color="auto" w:fill="7F7F7F"/>
          </w:tcPr>
          <w:p w14:paraId="5EA704E4" w14:textId="77777777" w:rsidR="00824944" w:rsidRPr="00A40660" w:rsidRDefault="00824944" w:rsidP="002008C1">
            <w:pPr>
              <w:spacing w:before="60" w:after="60"/>
              <w:rPr>
                <w:rFonts w:cs="Arial"/>
                <w:b/>
                <w:noProof/>
                <w:szCs w:val="20"/>
              </w:rPr>
            </w:pPr>
          </w:p>
        </w:tc>
        <w:tc>
          <w:tcPr>
            <w:tcW w:w="0" w:type="auto"/>
            <w:shd w:val="clear" w:color="auto" w:fill="FFFFFF"/>
          </w:tcPr>
          <w:p w14:paraId="48738C26" w14:textId="77777777" w:rsidR="00824944" w:rsidRPr="00A40660" w:rsidRDefault="00824944" w:rsidP="002008C1">
            <w:pPr>
              <w:spacing w:before="60" w:after="60"/>
              <w:rPr>
                <w:rFonts w:cs="Arial"/>
                <w:b/>
                <w:noProof/>
                <w:szCs w:val="20"/>
              </w:rPr>
            </w:pPr>
          </w:p>
        </w:tc>
        <w:tc>
          <w:tcPr>
            <w:tcW w:w="0" w:type="auto"/>
            <w:shd w:val="clear" w:color="auto" w:fill="FFFFFF"/>
          </w:tcPr>
          <w:p w14:paraId="13D4682C" w14:textId="768BD9D9"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56AD15B5" w14:textId="77777777" w:rsidR="00824944" w:rsidRPr="00A40660" w:rsidRDefault="00824944" w:rsidP="002008C1">
            <w:pPr>
              <w:spacing w:before="60" w:after="60"/>
              <w:rPr>
                <w:rFonts w:cs="Arial"/>
                <w:b/>
                <w:noProof/>
                <w:szCs w:val="20"/>
              </w:rPr>
            </w:pPr>
          </w:p>
        </w:tc>
        <w:tc>
          <w:tcPr>
            <w:tcW w:w="0" w:type="auto"/>
            <w:shd w:val="clear" w:color="auto" w:fill="FFFFFF"/>
          </w:tcPr>
          <w:p w14:paraId="4926A3A9" w14:textId="77777777" w:rsidR="00824944" w:rsidRPr="00A40660" w:rsidRDefault="00824944" w:rsidP="002008C1">
            <w:pPr>
              <w:spacing w:before="60" w:after="60"/>
              <w:rPr>
                <w:rFonts w:cs="Arial"/>
                <w:b/>
                <w:noProof/>
                <w:szCs w:val="20"/>
              </w:rPr>
            </w:pPr>
          </w:p>
        </w:tc>
        <w:tc>
          <w:tcPr>
            <w:tcW w:w="0" w:type="auto"/>
            <w:shd w:val="clear" w:color="auto" w:fill="FFFFFF"/>
          </w:tcPr>
          <w:p w14:paraId="6A615B3D" w14:textId="77777777" w:rsidR="00824944" w:rsidRPr="00A40660" w:rsidRDefault="00824944" w:rsidP="002008C1">
            <w:pPr>
              <w:spacing w:before="60" w:after="60"/>
              <w:rPr>
                <w:rFonts w:cs="Arial"/>
                <w:b/>
                <w:noProof/>
                <w:szCs w:val="20"/>
              </w:rPr>
            </w:pPr>
          </w:p>
        </w:tc>
        <w:tc>
          <w:tcPr>
            <w:tcW w:w="0" w:type="auto"/>
            <w:shd w:val="clear" w:color="auto" w:fill="FFFFFF"/>
          </w:tcPr>
          <w:p w14:paraId="33F632FD" w14:textId="77777777" w:rsidR="00824944" w:rsidRPr="00A40660" w:rsidRDefault="00824944" w:rsidP="002008C1">
            <w:pPr>
              <w:spacing w:before="60" w:after="60"/>
              <w:rPr>
                <w:rFonts w:cs="Arial"/>
                <w:b/>
                <w:noProof/>
                <w:szCs w:val="20"/>
              </w:rPr>
            </w:pPr>
          </w:p>
        </w:tc>
      </w:tr>
      <w:tr w:rsidR="00824944" w:rsidRPr="00A40660" w14:paraId="773B6D93" w14:textId="77777777" w:rsidTr="00824944">
        <w:tc>
          <w:tcPr>
            <w:tcW w:w="0" w:type="auto"/>
            <w:vMerge/>
            <w:shd w:val="clear" w:color="auto" w:fill="FFFFFF"/>
          </w:tcPr>
          <w:p w14:paraId="62117870" w14:textId="77777777" w:rsidR="00824944" w:rsidRPr="00A40660" w:rsidRDefault="00824944" w:rsidP="002008C1">
            <w:pPr>
              <w:spacing w:before="60" w:after="60"/>
              <w:rPr>
                <w:rFonts w:cs="Arial"/>
                <w:b/>
                <w:i/>
                <w:noProof/>
                <w:szCs w:val="20"/>
              </w:rPr>
            </w:pPr>
          </w:p>
        </w:tc>
        <w:tc>
          <w:tcPr>
            <w:tcW w:w="0" w:type="auto"/>
            <w:shd w:val="clear" w:color="auto" w:fill="FFFFFF"/>
          </w:tcPr>
          <w:p w14:paraId="53465367" w14:textId="77777777" w:rsidR="00824944" w:rsidRPr="00A40660" w:rsidRDefault="00824944" w:rsidP="002008C1">
            <w:pPr>
              <w:spacing w:before="60" w:after="60"/>
              <w:rPr>
                <w:rFonts w:cs="Arial"/>
                <w:noProof/>
                <w:szCs w:val="20"/>
              </w:rPr>
            </w:pPr>
            <w:r w:rsidRPr="00A40660">
              <w:rPr>
                <w:rFonts w:cs="Arial"/>
                <w:noProof/>
                <w:szCs w:val="20"/>
              </w:rPr>
              <w:t>Regije v prehodu</w:t>
            </w:r>
          </w:p>
        </w:tc>
        <w:tc>
          <w:tcPr>
            <w:tcW w:w="0" w:type="auto"/>
            <w:shd w:val="clear" w:color="auto" w:fill="FFFFFF"/>
          </w:tcPr>
          <w:p w14:paraId="4BFA73C7" w14:textId="77777777" w:rsidR="00824944" w:rsidRPr="00A40660" w:rsidRDefault="00824944" w:rsidP="002008C1">
            <w:pPr>
              <w:spacing w:before="60" w:after="60"/>
              <w:rPr>
                <w:rFonts w:cs="Arial"/>
                <w:b/>
                <w:noProof/>
                <w:szCs w:val="20"/>
              </w:rPr>
            </w:pPr>
          </w:p>
        </w:tc>
        <w:tc>
          <w:tcPr>
            <w:tcW w:w="950" w:type="dxa"/>
            <w:shd w:val="clear" w:color="auto" w:fill="FFFFFF"/>
          </w:tcPr>
          <w:p w14:paraId="62387F91" w14:textId="77777777" w:rsidR="00824944" w:rsidRPr="00A40660" w:rsidRDefault="00824944" w:rsidP="002008C1">
            <w:pPr>
              <w:spacing w:before="60" w:after="60"/>
              <w:rPr>
                <w:rFonts w:cs="Arial"/>
                <w:b/>
                <w:noProof/>
                <w:szCs w:val="20"/>
              </w:rPr>
            </w:pPr>
          </w:p>
        </w:tc>
        <w:tc>
          <w:tcPr>
            <w:tcW w:w="806" w:type="dxa"/>
            <w:shd w:val="clear" w:color="auto" w:fill="FFFFFF"/>
          </w:tcPr>
          <w:p w14:paraId="2C82DB8F" w14:textId="77777777" w:rsidR="00824944" w:rsidRPr="00A40660" w:rsidRDefault="00824944" w:rsidP="002008C1">
            <w:pPr>
              <w:spacing w:before="60" w:after="60"/>
              <w:rPr>
                <w:rFonts w:cs="Arial"/>
                <w:b/>
                <w:noProof/>
                <w:szCs w:val="20"/>
              </w:rPr>
            </w:pPr>
          </w:p>
        </w:tc>
        <w:tc>
          <w:tcPr>
            <w:tcW w:w="0" w:type="auto"/>
            <w:shd w:val="clear" w:color="auto" w:fill="FFFFFF"/>
          </w:tcPr>
          <w:p w14:paraId="332DB66C" w14:textId="77777777" w:rsidR="00824944" w:rsidRPr="00A40660" w:rsidRDefault="00824944" w:rsidP="002008C1">
            <w:pPr>
              <w:spacing w:before="60" w:after="60"/>
              <w:rPr>
                <w:rFonts w:cs="Arial"/>
                <w:b/>
                <w:noProof/>
                <w:szCs w:val="20"/>
              </w:rPr>
            </w:pPr>
          </w:p>
        </w:tc>
        <w:tc>
          <w:tcPr>
            <w:tcW w:w="0" w:type="auto"/>
            <w:shd w:val="clear" w:color="auto" w:fill="7F7F7F"/>
          </w:tcPr>
          <w:p w14:paraId="7BBC0CEC" w14:textId="77777777" w:rsidR="00824944" w:rsidRPr="00A40660" w:rsidRDefault="00824944" w:rsidP="002008C1">
            <w:pPr>
              <w:spacing w:before="60" w:after="60"/>
              <w:rPr>
                <w:rFonts w:cs="Arial"/>
                <w:b/>
                <w:noProof/>
                <w:szCs w:val="20"/>
              </w:rPr>
            </w:pPr>
          </w:p>
        </w:tc>
        <w:tc>
          <w:tcPr>
            <w:tcW w:w="0" w:type="auto"/>
            <w:shd w:val="clear" w:color="auto" w:fill="7F7F7F"/>
          </w:tcPr>
          <w:p w14:paraId="7848A2B5" w14:textId="77777777" w:rsidR="00824944" w:rsidRPr="00A40660" w:rsidRDefault="00824944" w:rsidP="002008C1">
            <w:pPr>
              <w:spacing w:before="60" w:after="60"/>
              <w:rPr>
                <w:rFonts w:cs="Arial"/>
                <w:b/>
                <w:noProof/>
                <w:szCs w:val="20"/>
              </w:rPr>
            </w:pPr>
          </w:p>
        </w:tc>
        <w:tc>
          <w:tcPr>
            <w:tcW w:w="0" w:type="auto"/>
            <w:shd w:val="clear" w:color="auto" w:fill="7F7F7F"/>
          </w:tcPr>
          <w:p w14:paraId="1596E607" w14:textId="77777777" w:rsidR="00824944" w:rsidRPr="00A40660" w:rsidRDefault="00824944" w:rsidP="002008C1">
            <w:pPr>
              <w:spacing w:before="60" w:after="60"/>
              <w:rPr>
                <w:rFonts w:cs="Arial"/>
                <w:b/>
                <w:noProof/>
                <w:szCs w:val="20"/>
              </w:rPr>
            </w:pPr>
          </w:p>
        </w:tc>
        <w:tc>
          <w:tcPr>
            <w:tcW w:w="0" w:type="auto"/>
            <w:shd w:val="clear" w:color="auto" w:fill="7F7F7F"/>
          </w:tcPr>
          <w:p w14:paraId="59036026" w14:textId="77777777" w:rsidR="00824944" w:rsidRPr="00A40660" w:rsidRDefault="00824944" w:rsidP="002008C1">
            <w:pPr>
              <w:spacing w:before="60" w:after="60"/>
              <w:rPr>
                <w:rFonts w:cs="Arial"/>
                <w:b/>
                <w:noProof/>
                <w:szCs w:val="20"/>
              </w:rPr>
            </w:pPr>
          </w:p>
        </w:tc>
        <w:tc>
          <w:tcPr>
            <w:tcW w:w="0" w:type="auto"/>
            <w:shd w:val="clear" w:color="auto" w:fill="FFFFFF"/>
          </w:tcPr>
          <w:p w14:paraId="718C8830" w14:textId="77777777" w:rsidR="00824944" w:rsidRPr="00A40660" w:rsidRDefault="00824944" w:rsidP="002008C1">
            <w:pPr>
              <w:spacing w:before="60" w:after="60"/>
              <w:rPr>
                <w:rFonts w:cs="Arial"/>
                <w:b/>
                <w:noProof/>
                <w:szCs w:val="20"/>
              </w:rPr>
            </w:pPr>
          </w:p>
        </w:tc>
        <w:tc>
          <w:tcPr>
            <w:tcW w:w="0" w:type="auto"/>
            <w:shd w:val="clear" w:color="auto" w:fill="FFFFFF"/>
          </w:tcPr>
          <w:p w14:paraId="37519957" w14:textId="4F5BD539"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50747AD7" w14:textId="77777777" w:rsidR="00824944" w:rsidRPr="00A40660" w:rsidRDefault="00824944" w:rsidP="002008C1">
            <w:pPr>
              <w:spacing w:before="60" w:after="60"/>
              <w:rPr>
                <w:rFonts w:cs="Arial"/>
                <w:b/>
                <w:noProof/>
                <w:szCs w:val="20"/>
              </w:rPr>
            </w:pPr>
          </w:p>
        </w:tc>
        <w:tc>
          <w:tcPr>
            <w:tcW w:w="0" w:type="auto"/>
            <w:shd w:val="clear" w:color="auto" w:fill="FFFFFF"/>
          </w:tcPr>
          <w:p w14:paraId="1F997AF3" w14:textId="77777777" w:rsidR="00824944" w:rsidRPr="00A40660" w:rsidRDefault="00824944" w:rsidP="002008C1">
            <w:pPr>
              <w:spacing w:before="60" w:after="60"/>
              <w:rPr>
                <w:rFonts w:cs="Arial"/>
                <w:b/>
                <w:noProof/>
                <w:szCs w:val="20"/>
              </w:rPr>
            </w:pPr>
          </w:p>
        </w:tc>
        <w:tc>
          <w:tcPr>
            <w:tcW w:w="0" w:type="auto"/>
            <w:shd w:val="clear" w:color="auto" w:fill="FFFFFF"/>
          </w:tcPr>
          <w:p w14:paraId="5E0E84E2" w14:textId="77777777" w:rsidR="00824944" w:rsidRPr="00A40660" w:rsidRDefault="00824944" w:rsidP="002008C1">
            <w:pPr>
              <w:spacing w:before="60" w:after="60"/>
              <w:rPr>
                <w:rFonts w:cs="Arial"/>
                <w:b/>
                <w:noProof/>
                <w:szCs w:val="20"/>
              </w:rPr>
            </w:pPr>
          </w:p>
        </w:tc>
        <w:tc>
          <w:tcPr>
            <w:tcW w:w="0" w:type="auto"/>
            <w:shd w:val="clear" w:color="auto" w:fill="FFFFFF"/>
          </w:tcPr>
          <w:p w14:paraId="6E0CAC50" w14:textId="77777777" w:rsidR="00824944" w:rsidRPr="00A40660" w:rsidRDefault="00824944" w:rsidP="002008C1">
            <w:pPr>
              <w:spacing w:before="60" w:after="60"/>
              <w:rPr>
                <w:rFonts w:cs="Arial"/>
                <w:b/>
                <w:noProof/>
                <w:szCs w:val="20"/>
              </w:rPr>
            </w:pPr>
          </w:p>
        </w:tc>
      </w:tr>
      <w:tr w:rsidR="00824944" w:rsidRPr="00A40660" w14:paraId="2C8E93F4" w14:textId="77777777" w:rsidTr="00824944">
        <w:tc>
          <w:tcPr>
            <w:tcW w:w="0" w:type="auto"/>
            <w:vMerge/>
            <w:shd w:val="clear" w:color="auto" w:fill="FFFFFF"/>
          </w:tcPr>
          <w:p w14:paraId="3DE78BA0" w14:textId="77777777" w:rsidR="00824944" w:rsidRPr="00A40660" w:rsidRDefault="00824944" w:rsidP="002008C1">
            <w:pPr>
              <w:spacing w:before="60" w:after="60"/>
              <w:rPr>
                <w:rFonts w:cs="Arial"/>
                <w:b/>
                <w:i/>
                <w:noProof/>
                <w:szCs w:val="20"/>
              </w:rPr>
            </w:pPr>
          </w:p>
        </w:tc>
        <w:tc>
          <w:tcPr>
            <w:tcW w:w="0" w:type="auto"/>
            <w:shd w:val="clear" w:color="auto" w:fill="FFFFFF"/>
          </w:tcPr>
          <w:p w14:paraId="76E45043" w14:textId="77777777" w:rsidR="00824944" w:rsidRPr="00A40660" w:rsidRDefault="00824944" w:rsidP="002008C1">
            <w:pPr>
              <w:spacing w:before="60" w:after="60"/>
              <w:rPr>
                <w:rFonts w:cs="Arial"/>
                <w:noProof/>
                <w:szCs w:val="20"/>
              </w:rPr>
            </w:pPr>
            <w:r w:rsidRPr="00A40660">
              <w:rPr>
                <w:rFonts w:cs="Arial"/>
                <w:noProof/>
                <w:szCs w:val="20"/>
              </w:rPr>
              <w:t>Manj razvite regije</w:t>
            </w:r>
          </w:p>
        </w:tc>
        <w:tc>
          <w:tcPr>
            <w:tcW w:w="0" w:type="auto"/>
            <w:shd w:val="clear" w:color="auto" w:fill="FFFFFF"/>
          </w:tcPr>
          <w:p w14:paraId="2FE8240F" w14:textId="77777777" w:rsidR="00824944" w:rsidRPr="00A40660" w:rsidRDefault="00824944" w:rsidP="002008C1">
            <w:pPr>
              <w:spacing w:before="60" w:after="60"/>
              <w:rPr>
                <w:rFonts w:cs="Arial"/>
                <w:b/>
                <w:noProof/>
                <w:szCs w:val="20"/>
              </w:rPr>
            </w:pPr>
          </w:p>
        </w:tc>
        <w:tc>
          <w:tcPr>
            <w:tcW w:w="950" w:type="dxa"/>
            <w:shd w:val="clear" w:color="auto" w:fill="FFFFFF"/>
          </w:tcPr>
          <w:p w14:paraId="77BC27E4" w14:textId="77777777" w:rsidR="00824944" w:rsidRPr="00A40660" w:rsidRDefault="00824944" w:rsidP="002008C1">
            <w:pPr>
              <w:spacing w:before="60" w:after="60"/>
              <w:rPr>
                <w:rFonts w:cs="Arial"/>
                <w:b/>
                <w:noProof/>
                <w:szCs w:val="20"/>
              </w:rPr>
            </w:pPr>
          </w:p>
        </w:tc>
        <w:tc>
          <w:tcPr>
            <w:tcW w:w="806" w:type="dxa"/>
            <w:shd w:val="clear" w:color="auto" w:fill="FFFFFF"/>
          </w:tcPr>
          <w:p w14:paraId="08534ADF" w14:textId="77777777" w:rsidR="00824944" w:rsidRPr="00A40660" w:rsidRDefault="00824944" w:rsidP="002008C1">
            <w:pPr>
              <w:spacing w:before="60" w:after="60"/>
              <w:rPr>
                <w:rFonts w:cs="Arial"/>
                <w:b/>
                <w:noProof/>
                <w:szCs w:val="20"/>
              </w:rPr>
            </w:pPr>
          </w:p>
        </w:tc>
        <w:tc>
          <w:tcPr>
            <w:tcW w:w="0" w:type="auto"/>
            <w:shd w:val="clear" w:color="auto" w:fill="FFFFFF"/>
          </w:tcPr>
          <w:p w14:paraId="7E6BF5FE" w14:textId="77777777" w:rsidR="00824944" w:rsidRPr="00A40660" w:rsidRDefault="00824944" w:rsidP="002008C1">
            <w:pPr>
              <w:spacing w:before="60" w:after="60"/>
              <w:rPr>
                <w:rFonts w:cs="Arial"/>
                <w:b/>
                <w:noProof/>
                <w:szCs w:val="20"/>
              </w:rPr>
            </w:pPr>
          </w:p>
        </w:tc>
        <w:tc>
          <w:tcPr>
            <w:tcW w:w="0" w:type="auto"/>
            <w:shd w:val="clear" w:color="auto" w:fill="7F7F7F"/>
          </w:tcPr>
          <w:p w14:paraId="0EC91F31" w14:textId="77777777" w:rsidR="00824944" w:rsidRPr="00A40660" w:rsidRDefault="00824944" w:rsidP="002008C1">
            <w:pPr>
              <w:spacing w:before="60" w:after="60"/>
              <w:rPr>
                <w:rFonts w:cs="Arial"/>
                <w:b/>
                <w:noProof/>
                <w:szCs w:val="20"/>
              </w:rPr>
            </w:pPr>
          </w:p>
        </w:tc>
        <w:tc>
          <w:tcPr>
            <w:tcW w:w="0" w:type="auto"/>
            <w:shd w:val="clear" w:color="auto" w:fill="7F7F7F"/>
          </w:tcPr>
          <w:p w14:paraId="54BE4F79" w14:textId="77777777" w:rsidR="00824944" w:rsidRPr="00A40660" w:rsidRDefault="00824944" w:rsidP="002008C1">
            <w:pPr>
              <w:spacing w:before="60" w:after="60"/>
              <w:rPr>
                <w:rFonts w:cs="Arial"/>
                <w:b/>
                <w:noProof/>
                <w:szCs w:val="20"/>
              </w:rPr>
            </w:pPr>
          </w:p>
        </w:tc>
        <w:tc>
          <w:tcPr>
            <w:tcW w:w="0" w:type="auto"/>
            <w:shd w:val="clear" w:color="auto" w:fill="7F7F7F"/>
          </w:tcPr>
          <w:p w14:paraId="23FBC966" w14:textId="77777777" w:rsidR="00824944" w:rsidRPr="00A40660" w:rsidRDefault="00824944" w:rsidP="002008C1">
            <w:pPr>
              <w:spacing w:before="60" w:after="60"/>
              <w:rPr>
                <w:rFonts w:cs="Arial"/>
                <w:b/>
                <w:noProof/>
                <w:szCs w:val="20"/>
              </w:rPr>
            </w:pPr>
          </w:p>
        </w:tc>
        <w:tc>
          <w:tcPr>
            <w:tcW w:w="0" w:type="auto"/>
            <w:shd w:val="clear" w:color="auto" w:fill="7F7F7F"/>
          </w:tcPr>
          <w:p w14:paraId="0D6A0BE0" w14:textId="77777777" w:rsidR="00824944" w:rsidRPr="00A40660" w:rsidRDefault="00824944" w:rsidP="002008C1">
            <w:pPr>
              <w:spacing w:before="60" w:after="60"/>
              <w:rPr>
                <w:rFonts w:cs="Arial"/>
                <w:b/>
                <w:noProof/>
                <w:szCs w:val="20"/>
              </w:rPr>
            </w:pPr>
          </w:p>
        </w:tc>
        <w:tc>
          <w:tcPr>
            <w:tcW w:w="0" w:type="auto"/>
            <w:shd w:val="clear" w:color="auto" w:fill="FFFFFF"/>
          </w:tcPr>
          <w:p w14:paraId="38563E3B" w14:textId="77777777" w:rsidR="00824944" w:rsidRPr="00A40660" w:rsidRDefault="00824944" w:rsidP="002008C1">
            <w:pPr>
              <w:spacing w:before="60" w:after="60"/>
              <w:rPr>
                <w:rFonts w:cs="Arial"/>
                <w:b/>
                <w:noProof/>
                <w:szCs w:val="20"/>
              </w:rPr>
            </w:pPr>
          </w:p>
        </w:tc>
        <w:tc>
          <w:tcPr>
            <w:tcW w:w="0" w:type="auto"/>
            <w:shd w:val="clear" w:color="auto" w:fill="FFFFFF"/>
          </w:tcPr>
          <w:p w14:paraId="5F9E3D91" w14:textId="7AF178D1"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54ACBF3D" w14:textId="77777777" w:rsidR="00824944" w:rsidRPr="00A40660" w:rsidRDefault="00824944" w:rsidP="002008C1">
            <w:pPr>
              <w:spacing w:before="60" w:after="60"/>
              <w:rPr>
                <w:rFonts w:cs="Arial"/>
                <w:b/>
                <w:noProof/>
                <w:szCs w:val="20"/>
              </w:rPr>
            </w:pPr>
          </w:p>
        </w:tc>
        <w:tc>
          <w:tcPr>
            <w:tcW w:w="0" w:type="auto"/>
            <w:shd w:val="clear" w:color="auto" w:fill="FFFFFF"/>
          </w:tcPr>
          <w:p w14:paraId="02315FA8" w14:textId="77777777" w:rsidR="00824944" w:rsidRPr="00A40660" w:rsidRDefault="00824944" w:rsidP="002008C1">
            <w:pPr>
              <w:spacing w:before="60" w:after="60"/>
              <w:rPr>
                <w:rFonts w:cs="Arial"/>
                <w:b/>
                <w:noProof/>
                <w:szCs w:val="20"/>
              </w:rPr>
            </w:pPr>
          </w:p>
        </w:tc>
        <w:tc>
          <w:tcPr>
            <w:tcW w:w="0" w:type="auto"/>
            <w:shd w:val="clear" w:color="auto" w:fill="FFFFFF"/>
          </w:tcPr>
          <w:p w14:paraId="3B2F5100" w14:textId="77777777" w:rsidR="00824944" w:rsidRPr="00A40660" w:rsidRDefault="00824944" w:rsidP="002008C1">
            <w:pPr>
              <w:spacing w:before="60" w:after="60"/>
              <w:rPr>
                <w:rFonts w:cs="Arial"/>
                <w:b/>
                <w:noProof/>
                <w:szCs w:val="20"/>
              </w:rPr>
            </w:pPr>
          </w:p>
        </w:tc>
        <w:tc>
          <w:tcPr>
            <w:tcW w:w="0" w:type="auto"/>
            <w:shd w:val="clear" w:color="auto" w:fill="FFFFFF"/>
          </w:tcPr>
          <w:p w14:paraId="214343D9" w14:textId="77777777" w:rsidR="00824944" w:rsidRPr="00A40660" w:rsidRDefault="00824944" w:rsidP="002008C1">
            <w:pPr>
              <w:spacing w:before="60" w:after="60"/>
              <w:rPr>
                <w:rFonts w:cs="Arial"/>
                <w:b/>
                <w:noProof/>
                <w:szCs w:val="20"/>
              </w:rPr>
            </w:pPr>
          </w:p>
        </w:tc>
      </w:tr>
      <w:tr w:rsidR="00824944" w:rsidRPr="00F700CD" w14:paraId="2218FB6B" w14:textId="77777777" w:rsidTr="00824944">
        <w:tc>
          <w:tcPr>
            <w:tcW w:w="0" w:type="auto"/>
            <w:vMerge/>
            <w:shd w:val="clear" w:color="auto" w:fill="FFFFFF"/>
          </w:tcPr>
          <w:p w14:paraId="74CED35A" w14:textId="77777777" w:rsidR="00824944" w:rsidRPr="00A40660" w:rsidRDefault="00824944" w:rsidP="002008C1">
            <w:pPr>
              <w:spacing w:before="60" w:after="60"/>
              <w:rPr>
                <w:rFonts w:cs="Arial"/>
                <w:b/>
                <w:i/>
                <w:noProof/>
                <w:szCs w:val="20"/>
              </w:rPr>
            </w:pPr>
          </w:p>
        </w:tc>
        <w:tc>
          <w:tcPr>
            <w:tcW w:w="0" w:type="auto"/>
            <w:shd w:val="clear" w:color="auto" w:fill="FFFFFF"/>
          </w:tcPr>
          <w:p w14:paraId="3D8F0A1F" w14:textId="77777777" w:rsidR="00824944" w:rsidRPr="00A40660" w:rsidRDefault="00824944" w:rsidP="002008C1">
            <w:pPr>
              <w:spacing w:before="60" w:after="60"/>
              <w:rPr>
                <w:rFonts w:cs="Arial"/>
                <w:noProof/>
                <w:szCs w:val="20"/>
                <w:lang w:val="de-DE"/>
              </w:rPr>
            </w:pPr>
            <w:r w:rsidRPr="00A40660">
              <w:rPr>
                <w:rFonts w:cs="Arial"/>
                <w:noProof/>
                <w:szCs w:val="20"/>
              </w:rPr>
              <w:t>Najbolj oddaljene in severne redko poseljene regije</w:t>
            </w:r>
          </w:p>
        </w:tc>
        <w:tc>
          <w:tcPr>
            <w:tcW w:w="0" w:type="auto"/>
            <w:shd w:val="clear" w:color="auto" w:fill="FFFFFF"/>
          </w:tcPr>
          <w:p w14:paraId="33842CCA" w14:textId="77777777" w:rsidR="00824944" w:rsidRPr="00A40660" w:rsidRDefault="00824944" w:rsidP="002008C1">
            <w:pPr>
              <w:spacing w:before="60" w:after="60"/>
              <w:rPr>
                <w:rFonts w:cs="Arial"/>
                <w:b/>
                <w:noProof/>
                <w:szCs w:val="20"/>
                <w:lang w:val="de-DE"/>
              </w:rPr>
            </w:pPr>
          </w:p>
        </w:tc>
        <w:tc>
          <w:tcPr>
            <w:tcW w:w="950" w:type="dxa"/>
            <w:shd w:val="clear" w:color="auto" w:fill="FFFFFF"/>
          </w:tcPr>
          <w:p w14:paraId="70B71FF1" w14:textId="77777777" w:rsidR="00824944" w:rsidRPr="00A40660" w:rsidRDefault="00824944" w:rsidP="002008C1">
            <w:pPr>
              <w:spacing w:before="60" w:after="60"/>
              <w:rPr>
                <w:rFonts w:cs="Arial"/>
                <w:b/>
                <w:noProof/>
                <w:szCs w:val="20"/>
                <w:lang w:val="de-DE"/>
              </w:rPr>
            </w:pPr>
          </w:p>
        </w:tc>
        <w:tc>
          <w:tcPr>
            <w:tcW w:w="806" w:type="dxa"/>
            <w:shd w:val="clear" w:color="auto" w:fill="FFFFFF"/>
          </w:tcPr>
          <w:p w14:paraId="3C51433B"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148D10D1" w14:textId="77777777" w:rsidR="00824944" w:rsidRPr="00A40660" w:rsidRDefault="00824944" w:rsidP="002008C1">
            <w:pPr>
              <w:spacing w:before="60" w:after="60"/>
              <w:rPr>
                <w:rFonts w:cs="Arial"/>
                <w:b/>
                <w:noProof/>
                <w:szCs w:val="20"/>
                <w:lang w:val="de-DE"/>
              </w:rPr>
            </w:pPr>
          </w:p>
        </w:tc>
        <w:tc>
          <w:tcPr>
            <w:tcW w:w="0" w:type="auto"/>
            <w:shd w:val="clear" w:color="auto" w:fill="7F7F7F"/>
          </w:tcPr>
          <w:p w14:paraId="02CAE85D" w14:textId="77777777" w:rsidR="00824944" w:rsidRPr="00A40660" w:rsidRDefault="00824944" w:rsidP="002008C1">
            <w:pPr>
              <w:spacing w:before="60" w:after="60"/>
              <w:rPr>
                <w:rFonts w:cs="Arial"/>
                <w:b/>
                <w:noProof/>
                <w:szCs w:val="20"/>
                <w:lang w:val="de-DE"/>
              </w:rPr>
            </w:pPr>
          </w:p>
        </w:tc>
        <w:tc>
          <w:tcPr>
            <w:tcW w:w="0" w:type="auto"/>
            <w:shd w:val="clear" w:color="auto" w:fill="7F7F7F"/>
          </w:tcPr>
          <w:p w14:paraId="3D40E15F" w14:textId="77777777" w:rsidR="00824944" w:rsidRPr="00A40660" w:rsidRDefault="00824944" w:rsidP="002008C1">
            <w:pPr>
              <w:spacing w:before="60" w:after="60"/>
              <w:rPr>
                <w:rFonts w:cs="Arial"/>
                <w:b/>
                <w:noProof/>
                <w:szCs w:val="20"/>
                <w:lang w:val="de-DE"/>
              </w:rPr>
            </w:pPr>
          </w:p>
        </w:tc>
        <w:tc>
          <w:tcPr>
            <w:tcW w:w="0" w:type="auto"/>
            <w:shd w:val="clear" w:color="auto" w:fill="7F7F7F"/>
          </w:tcPr>
          <w:p w14:paraId="7D12CC15" w14:textId="77777777" w:rsidR="00824944" w:rsidRPr="00A40660" w:rsidRDefault="00824944" w:rsidP="002008C1">
            <w:pPr>
              <w:spacing w:before="60" w:after="60"/>
              <w:rPr>
                <w:rFonts w:cs="Arial"/>
                <w:b/>
                <w:noProof/>
                <w:szCs w:val="20"/>
                <w:lang w:val="de-DE"/>
              </w:rPr>
            </w:pPr>
          </w:p>
        </w:tc>
        <w:tc>
          <w:tcPr>
            <w:tcW w:w="0" w:type="auto"/>
            <w:shd w:val="clear" w:color="auto" w:fill="7F7F7F"/>
          </w:tcPr>
          <w:p w14:paraId="552C38EA" w14:textId="77777777" w:rsidR="00824944" w:rsidRPr="00A40660" w:rsidRDefault="00824944" w:rsidP="002008C1">
            <w:pPr>
              <w:spacing w:before="60" w:after="60"/>
              <w:rPr>
                <w:rFonts w:cs="Arial"/>
                <w:b/>
                <w:noProof/>
                <w:szCs w:val="20"/>
                <w:lang w:val="de-DE"/>
              </w:rPr>
            </w:pPr>
          </w:p>
        </w:tc>
        <w:tc>
          <w:tcPr>
            <w:tcW w:w="0" w:type="auto"/>
            <w:tcBorders>
              <w:bottom w:val="single" w:sz="4" w:space="0" w:color="auto"/>
            </w:tcBorders>
            <w:shd w:val="clear" w:color="auto" w:fill="FFFFFF"/>
          </w:tcPr>
          <w:p w14:paraId="1C904971"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665E451F" w14:textId="4459EB53" w:rsidR="00824944" w:rsidRPr="00A40660" w:rsidRDefault="00824944" w:rsidP="002008C1">
            <w:pPr>
              <w:spacing w:before="60" w:after="60"/>
              <w:rPr>
                <w:rFonts w:cs="Arial"/>
                <w:b/>
                <w:noProof/>
                <w:szCs w:val="20"/>
                <w:lang w:val="de-DE"/>
              </w:rPr>
            </w:pPr>
            <w:r>
              <w:rPr>
                <w:rFonts w:cs="Arial"/>
                <w:noProof/>
                <w:szCs w:val="20"/>
              </w:rPr>
              <w:t>0,00</w:t>
            </w:r>
          </w:p>
        </w:tc>
        <w:tc>
          <w:tcPr>
            <w:tcW w:w="0" w:type="auto"/>
            <w:shd w:val="clear" w:color="auto" w:fill="FFFFFF"/>
          </w:tcPr>
          <w:p w14:paraId="498EA4A1"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004EA3B0"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63EA3954" w14:textId="77777777" w:rsidR="00824944" w:rsidRPr="00A40660" w:rsidRDefault="00824944" w:rsidP="002008C1">
            <w:pPr>
              <w:spacing w:before="60" w:after="60"/>
              <w:rPr>
                <w:rFonts w:cs="Arial"/>
                <w:b/>
                <w:noProof/>
                <w:szCs w:val="20"/>
                <w:lang w:val="de-DE"/>
              </w:rPr>
            </w:pPr>
          </w:p>
        </w:tc>
        <w:tc>
          <w:tcPr>
            <w:tcW w:w="0" w:type="auto"/>
            <w:shd w:val="clear" w:color="auto" w:fill="FFFFFF"/>
          </w:tcPr>
          <w:p w14:paraId="2BA633AB" w14:textId="77777777" w:rsidR="00824944" w:rsidRPr="00A40660" w:rsidRDefault="00824944" w:rsidP="002008C1">
            <w:pPr>
              <w:spacing w:before="60" w:after="60"/>
              <w:rPr>
                <w:rFonts w:cs="Arial"/>
                <w:b/>
                <w:noProof/>
                <w:szCs w:val="20"/>
                <w:lang w:val="de-DE"/>
              </w:rPr>
            </w:pPr>
          </w:p>
        </w:tc>
      </w:tr>
      <w:tr w:rsidR="00824944" w:rsidRPr="00A40660" w14:paraId="2120888E" w14:textId="77777777" w:rsidTr="00824944">
        <w:trPr>
          <w:trHeight w:val="372"/>
        </w:trPr>
        <w:tc>
          <w:tcPr>
            <w:tcW w:w="0" w:type="auto"/>
            <w:shd w:val="clear" w:color="auto" w:fill="FFFFFF"/>
          </w:tcPr>
          <w:p w14:paraId="3371F89C" w14:textId="77777777" w:rsidR="00824944" w:rsidRPr="00A40660" w:rsidRDefault="00824944" w:rsidP="002008C1">
            <w:pPr>
              <w:spacing w:before="60" w:after="60"/>
              <w:rPr>
                <w:rFonts w:cs="Arial"/>
                <w:b/>
                <w:i/>
                <w:noProof/>
                <w:szCs w:val="20"/>
              </w:rPr>
            </w:pPr>
            <w:r w:rsidRPr="00A40660">
              <w:rPr>
                <w:rFonts w:cs="Arial"/>
                <w:b/>
                <w:i/>
                <w:noProof/>
                <w:szCs w:val="20"/>
              </w:rPr>
              <w:t>CF</w:t>
            </w:r>
          </w:p>
        </w:tc>
        <w:tc>
          <w:tcPr>
            <w:tcW w:w="0" w:type="auto"/>
            <w:shd w:val="clear" w:color="auto" w:fill="FFFFFF"/>
          </w:tcPr>
          <w:p w14:paraId="365B501D" w14:textId="77777777" w:rsidR="00824944" w:rsidRPr="00A40660" w:rsidRDefault="00824944" w:rsidP="002008C1">
            <w:pPr>
              <w:spacing w:before="60" w:after="60"/>
              <w:rPr>
                <w:rFonts w:cs="Arial"/>
                <w:b/>
                <w:noProof/>
                <w:szCs w:val="20"/>
              </w:rPr>
            </w:pPr>
          </w:p>
        </w:tc>
        <w:tc>
          <w:tcPr>
            <w:tcW w:w="0" w:type="auto"/>
            <w:shd w:val="clear" w:color="auto" w:fill="FFFFFF"/>
          </w:tcPr>
          <w:p w14:paraId="681D4166" w14:textId="77777777" w:rsidR="00824944" w:rsidRPr="00A40660" w:rsidRDefault="00824944" w:rsidP="002008C1">
            <w:pPr>
              <w:spacing w:before="60" w:after="60"/>
              <w:rPr>
                <w:rFonts w:cs="Arial"/>
                <w:b/>
                <w:noProof/>
                <w:szCs w:val="20"/>
              </w:rPr>
            </w:pPr>
          </w:p>
        </w:tc>
        <w:tc>
          <w:tcPr>
            <w:tcW w:w="950" w:type="dxa"/>
            <w:shd w:val="clear" w:color="auto" w:fill="FFFFFF"/>
          </w:tcPr>
          <w:p w14:paraId="4562D03A" w14:textId="77777777" w:rsidR="00824944" w:rsidRPr="00A40660" w:rsidRDefault="00824944" w:rsidP="002008C1">
            <w:pPr>
              <w:spacing w:before="60" w:after="60"/>
              <w:rPr>
                <w:rFonts w:cs="Arial"/>
                <w:b/>
                <w:noProof/>
                <w:szCs w:val="20"/>
              </w:rPr>
            </w:pPr>
          </w:p>
        </w:tc>
        <w:tc>
          <w:tcPr>
            <w:tcW w:w="806" w:type="dxa"/>
            <w:shd w:val="clear" w:color="auto" w:fill="FFFFFF"/>
          </w:tcPr>
          <w:p w14:paraId="7ADB29AB" w14:textId="77777777" w:rsidR="00824944" w:rsidRPr="00A40660" w:rsidRDefault="00824944" w:rsidP="002008C1">
            <w:pPr>
              <w:spacing w:before="60" w:after="60"/>
              <w:rPr>
                <w:rFonts w:cs="Arial"/>
                <w:b/>
                <w:noProof/>
                <w:szCs w:val="20"/>
              </w:rPr>
            </w:pPr>
          </w:p>
        </w:tc>
        <w:tc>
          <w:tcPr>
            <w:tcW w:w="0" w:type="auto"/>
            <w:shd w:val="clear" w:color="auto" w:fill="FFFFFF"/>
          </w:tcPr>
          <w:p w14:paraId="44DA74D7" w14:textId="77777777" w:rsidR="00824944" w:rsidRPr="00A40660" w:rsidRDefault="00824944" w:rsidP="002008C1">
            <w:pPr>
              <w:spacing w:before="60" w:after="60"/>
              <w:rPr>
                <w:rFonts w:cs="Arial"/>
                <w:b/>
                <w:noProof/>
                <w:szCs w:val="20"/>
              </w:rPr>
            </w:pPr>
          </w:p>
        </w:tc>
        <w:tc>
          <w:tcPr>
            <w:tcW w:w="0" w:type="auto"/>
            <w:shd w:val="clear" w:color="auto" w:fill="FFFFFF"/>
          </w:tcPr>
          <w:p w14:paraId="0BC12F5B" w14:textId="77777777" w:rsidR="00824944" w:rsidRPr="00A40660" w:rsidRDefault="00824944" w:rsidP="002008C1">
            <w:pPr>
              <w:spacing w:before="60" w:after="60"/>
              <w:rPr>
                <w:rFonts w:cs="Arial"/>
                <w:b/>
                <w:noProof/>
                <w:szCs w:val="20"/>
              </w:rPr>
            </w:pPr>
          </w:p>
        </w:tc>
        <w:tc>
          <w:tcPr>
            <w:tcW w:w="0" w:type="auto"/>
            <w:shd w:val="clear" w:color="auto" w:fill="FFFFFF"/>
          </w:tcPr>
          <w:p w14:paraId="0D4261F8" w14:textId="77777777" w:rsidR="00824944" w:rsidRPr="00A40660" w:rsidRDefault="00824944" w:rsidP="002008C1">
            <w:pPr>
              <w:spacing w:before="60" w:after="60"/>
              <w:rPr>
                <w:rFonts w:cs="Arial"/>
                <w:b/>
                <w:noProof/>
                <w:szCs w:val="20"/>
              </w:rPr>
            </w:pPr>
          </w:p>
        </w:tc>
        <w:tc>
          <w:tcPr>
            <w:tcW w:w="0" w:type="auto"/>
            <w:shd w:val="clear" w:color="auto" w:fill="FFFFFF"/>
          </w:tcPr>
          <w:p w14:paraId="46B52B81" w14:textId="77777777" w:rsidR="00824944" w:rsidRPr="00A40660" w:rsidRDefault="00824944" w:rsidP="002008C1">
            <w:pPr>
              <w:spacing w:before="60" w:after="60"/>
              <w:rPr>
                <w:rFonts w:cs="Arial"/>
                <w:b/>
                <w:noProof/>
                <w:szCs w:val="20"/>
              </w:rPr>
            </w:pPr>
          </w:p>
        </w:tc>
        <w:tc>
          <w:tcPr>
            <w:tcW w:w="0" w:type="auto"/>
            <w:shd w:val="clear" w:color="auto" w:fill="FFFFFF"/>
          </w:tcPr>
          <w:p w14:paraId="2F52C77C" w14:textId="77777777" w:rsidR="00824944" w:rsidRPr="00A40660" w:rsidRDefault="00824944" w:rsidP="002008C1">
            <w:pPr>
              <w:spacing w:before="60" w:after="60"/>
              <w:rPr>
                <w:rFonts w:cs="Arial"/>
                <w:b/>
                <w:noProof/>
                <w:szCs w:val="20"/>
              </w:rPr>
            </w:pPr>
          </w:p>
        </w:tc>
        <w:tc>
          <w:tcPr>
            <w:tcW w:w="0" w:type="auto"/>
            <w:shd w:val="clear" w:color="auto" w:fill="7F7F7F"/>
          </w:tcPr>
          <w:p w14:paraId="15BBAECD" w14:textId="77777777" w:rsidR="00824944" w:rsidRPr="00A40660" w:rsidRDefault="00824944" w:rsidP="002008C1">
            <w:pPr>
              <w:spacing w:before="60" w:after="60"/>
              <w:rPr>
                <w:rFonts w:cs="Arial"/>
                <w:b/>
                <w:noProof/>
                <w:szCs w:val="20"/>
              </w:rPr>
            </w:pPr>
          </w:p>
        </w:tc>
        <w:tc>
          <w:tcPr>
            <w:tcW w:w="0" w:type="auto"/>
            <w:tcBorders>
              <w:bottom w:val="single" w:sz="4" w:space="0" w:color="auto"/>
            </w:tcBorders>
            <w:shd w:val="clear" w:color="auto" w:fill="FFFFFF"/>
          </w:tcPr>
          <w:p w14:paraId="5C2D9E47" w14:textId="708D5B3A"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5D1DDF49" w14:textId="77777777" w:rsidR="00824944" w:rsidRPr="00A40660" w:rsidRDefault="00824944" w:rsidP="002008C1">
            <w:pPr>
              <w:spacing w:before="60" w:after="60"/>
              <w:rPr>
                <w:rFonts w:cs="Arial"/>
                <w:b/>
                <w:noProof/>
                <w:szCs w:val="20"/>
              </w:rPr>
            </w:pPr>
          </w:p>
        </w:tc>
        <w:tc>
          <w:tcPr>
            <w:tcW w:w="0" w:type="auto"/>
            <w:shd w:val="clear" w:color="auto" w:fill="FFFFFF"/>
          </w:tcPr>
          <w:p w14:paraId="5E0BD706" w14:textId="77777777" w:rsidR="00824944" w:rsidRPr="00A40660" w:rsidRDefault="00824944" w:rsidP="002008C1">
            <w:pPr>
              <w:spacing w:before="60" w:after="60"/>
              <w:rPr>
                <w:rFonts w:cs="Arial"/>
                <w:b/>
                <w:noProof/>
                <w:szCs w:val="20"/>
              </w:rPr>
            </w:pPr>
          </w:p>
        </w:tc>
        <w:tc>
          <w:tcPr>
            <w:tcW w:w="0" w:type="auto"/>
            <w:shd w:val="clear" w:color="auto" w:fill="FFFFFF"/>
          </w:tcPr>
          <w:p w14:paraId="0744E36A" w14:textId="77777777" w:rsidR="00824944" w:rsidRPr="00A40660" w:rsidRDefault="00824944" w:rsidP="002008C1">
            <w:pPr>
              <w:spacing w:before="60" w:after="60"/>
              <w:rPr>
                <w:rFonts w:cs="Arial"/>
                <w:b/>
                <w:noProof/>
                <w:szCs w:val="20"/>
              </w:rPr>
            </w:pPr>
          </w:p>
        </w:tc>
        <w:tc>
          <w:tcPr>
            <w:tcW w:w="0" w:type="auto"/>
            <w:shd w:val="clear" w:color="auto" w:fill="FFFFFF"/>
          </w:tcPr>
          <w:p w14:paraId="78D51200" w14:textId="77777777" w:rsidR="00824944" w:rsidRPr="00A40660" w:rsidRDefault="00824944" w:rsidP="002008C1">
            <w:pPr>
              <w:spacing w:before="60" w:after="60"/>
              <w:rPr>
                <w:rFonts w:cs="Arial"/>
                <w:b/>
                <w:noProof/>
                <w:szCs w:val="20"/>
              </w:rPr>
            </w:pPr>
          </w:p>
        </w:tc>
      </w:tr>
      <w:tr w:rsidR="00824944" w:rsidRPr="00A40660" w14:paraId="43818184" w14:textId="77777777" w:rsidTr="00824944">
        <w:tc>
          <w:tcPr>
            <w:tcW w:w="0" w:type="auto"/>
            <w:shd w:val="clear" w:color="auto" w:fill="FFFFFF"/>
          </w:tcPr>
          <w:p w14:paraId="7823817B" w14:textId="363C19B7" w:rsidR="00824944" w:rsidRPr="00A40660" w:rsidRDefault="00824944" w:rsidP="002008C1">
            <w:pPr>
              <w:spacing w:before="60" w:after="60"/>
              <w:rPr>
                <w:rFonts w:cs="Arial"/>
                <w:b/>
                <w:i/>
                <w:noProof/>
                <w:szCs w:val="20"/>
              </w:rPr>
            </w:pPr>
            <w:r w:rsidRPr="00A40660">
              <w:rPr>
                <w:rFonts w:cs="Arial"/>
                <w:b/>
                <w:i/>
                <w:noProof/>
                <w:szCs w:val="20"/>
              </w:rPr>
              <w:t>E</w:t>
            </w:r>
            <w:r w:rsidR="00103B1F">
              <w:rPr>
                <w:rFonts w:cs="Arial"/>
                <w:b/>
                <w:i/>
                <w:noProof/>
                <w:szCs w:val="20"/>
              </w:rPr>
              <w:t>SPRA</w:t>
            </w:r>
          </w:p>
        </w:tc>
        <w:tc>
          <w:tcPr>
            <w:tcW w:w="0" w:type="auto"/>
            <w:shd w:val="clear" w:color="auto" w:fill="FFFFFF"/>
          </w:tcPr>
          <w:p w14:paraId="052B39FB" w14:textId="678DA5AC"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FFFFFF"/>
          </w:tcPr>
          <w:p w14:paraId="665C140B" w14:textId="0BE2CD93" w:rsidR="00824944" w:rsidRPr="0084213A" w:rsidRDefault="0084213A" w:rsidP="002008C1">
            <w:pPr>
              <w:spacing w:before="60" w:after="60"/>
              <w:rPr>
                <w:rFonts w:cs="Arial"/>
                <w:noProof/>
                <w:szCs w:val="20"/>
              </w:rPr>
            </w:pPr>
            <w:r w:rsidRPr="0084213A">
              <w:rPr>
                <w:rFonts w:cs="Arial"/>
                <w:noProof/>
                <w:szCs w:val="20"/>
              </w:rPr>
              <w:t>0,00</w:t>
            </w:r>
          </w:p>
        </w:tc>
        <w:tc>
          <w:tcPr>
            <w:tcW w:w="950" w:type="dxa"/>
            <w:shd w:val="clear" w:color="auto" w:fill="FFFFFF"/>
          </w:tcPr>
          <w:p w14:paraId="7579DD3C" w14:textId="5D5E74E9" w:rsidR="00824944" w:rsidRPr="0084213A" w:rsidRDefault="0084213A" w:rsidP="002008C1">
            <w:pPr>
              <w:spacing w:before="60" w:after="60"/>
              <w:rPr>
                <w:rFonts w:cs="Arial"/>
                <w:noProof/>
                <w:szCs w:val="20"/>
              </w:rPr>
            </w:pPr>
            <w:r w:rsidRPr="0084213A">
              <w:rPr>
                <w:rFonts w:cs="Arial"/>
                <w:noProof/>
                <w:szCs w:val="20"/>
              </w:rPr>
              <w:t>0,00</w:t>
            </w:r>
          </w:p>
        </w:tc>
        <w:tc>
          <w:tcPr>
            <w:tcW w:w="806" w:type="dxa"/>
            <w:shd w:val="clear" w:color="auto" w:fill="FFFFFF"/>
          </w:tcPr>
          <w:p w14:paraId="5F292E92" w14:textId="795E3933"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FFFFFF"/>
          </w:tcPr>
          <w:p w14:paraId="49EC86E8" w14:textId="3EF90F3C"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FFFFFF"/>
          </w:tcPr>
          <w:p w14:paraId="12005364" w14:textId="7A90FBA3"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FFFFFF"/>
          </w:tcPr>
          <w:p w14:paraId="318BE664" w14:textId="364DDC73"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FFFFFF"/>
          </w:tcPr>
          <w:p w14:paraId="5F12539B" w14:textId="55A636A8"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FFFFFF"/>
          </w:tcPr>
          <w:p w14:paraId="5D1E53DF" w14:textId="7FB180D1" w:rsidR="00824944" w:rsidRPr="0084213A" w:rsidRDefault="0084213A" w:rsidP="0084213A">
            <w:pPr>
              <w:spacing w:before="60" w:after="60"/>
              <w:rPr>
                <w:rFonts w:cs="Arial"/>
                <w:noProof/>
                <w:szCs w:val="20"/>
              </w:rPr>
            </w:pPr>
            <w:r w:rsidRPr="0084213A">
              <w:rPr>
                <w:rFonts w:cs="Arial"/>
                <w:noProof/>
                <w:szCs w:val="20"/>
              </w:rPr>
              <w:t>0,00</w:t>
            </w:r>
          </w:p>
        </w:tc>
        <w:tc>
          <w:tcPr>
            <w:tcW w:w="0" w:type="auto"/>
            <w:shd w:val="clear" w:color="auto" w:fill="FFFFFF"/>
          </w:tcPr>
          <w:p w14:paraId="6F8487CC" w14:textId="16E60542" w:rsidR="00824944" w:rsidRPr="0084213A" w:rsidRDefault="0084213A" w:rsidP="002008C1">
            <w:pPr>
              <w:spacing w:before="60" w:after="60"/>
              <w:rPr>
                <w:rFonts w:cs="Arial"/>
                <w:noProof/>
                <w:szCs w:val="20"/>
              </w:rPr>
            </w:pPr>
            <w:r w:rsidRPr="0084213A">
              <w:rPr>
                <w:rFonts w:cs="Arial"/>
                <w:noProof/>
                <w:szCs w:val="20"/>
              </w:rPr>
              <w:t>0,00</w:t>
            </w:r>
          </w:p>
        </w:tc>
        <w:tc>
          <w:tcPr>
            <w:tcW w:w="0" w:type="auto"/>
            <w:shd w:val="clear" w:color="auto" w:fill="7F7F7F"/>
          </w:tcPr>
          <w:p w14:paraId="4A5A8BA1" w14:textId="77777777" w:rsidR="00824944" w:rsidRPr="00A40660" w:rsidRDefault="00824944" w:rsidP="002008C1">
            <w:pPr>
              <w:spacing w:before="60" w:after="60"/>
              <w:rPr>
                <w:rFonts w:cs="Arial"/>
                <w:b/>
                <w:noProof/>
                <w:szCs w:val="20"/>
              </w:rPr>
            </w:pPr>
          </w:p>
        </w:tc>
        <w:tc>
          <w:tcPr>
            <w:tcW w:w="0" w:type="auto"/>
            <w:tcBorders>
              <w:bottom w:val="single" w:sz="4" w:space="0" w:color="auto"/>
            </w:tcBorders>
            <w:shd w:val="clear" w:color="auto" w:fill="FFFFFF"/>
          </w:tcPr>
          <w:p w14:paraId="0EAB7655" w14:textId="77777777" w:rsidR="00824944" w:rsidRPr="00A40660" w:rsidRDefault="00824944" w:rsidP="002008C1">
            <w:pPr>
              <w:spacing w:before="60" w:after="60"/>
              <w:rPr>
                <w:rFonts w:cs="Arial"/>
                <w:b/>
                <w:noProof/>
                <w:szCs w:val="20"/>
              </w:rPr>
            </w:pPr>
          </w:p>
        </w:tc>
        <w:tc>
          <w:tcPr>
            <w:tcW w:w="0" w:type="auto"/>
            <w:shd w:val="clear" w:color="auto" w:fill="FFFFFF"/>
          </w:tcPr>
          <w:p w14:paraId="62E7625C" w14:textId="77777777" w:rsidR="00824944" w:rsidRPr="00A40660" w:rsidRDefault="00824944" w:rsidP="002008C1">
            <w:pPr>
              <w:spacing w:before="60" w:after="60"/>
              <w:rPr>
                <w:rFonts w:cs="Arial"/>
                <w:b/>
                <w:noProof/>
                <w:szCs w:val="20"/>
              </w:rPr>
            </w:pPr>
          </w:p>
        </w:tc>
        <w:tc>
          <w:tcPr>
            <w:tcW w:w="0" w:type="auto"/>
            <w:shd w:val="clear" w:color="auto" w:fill="FFFFFF"/>
          </w:tcPr>
          <w:p w14:paraId="61B54833" w14:textId="77777777" w:rsidR="00824944" w:rsidRPr="00A40660" w:rsidRDefault="00824944" w:rsidP="002008C1">
            <w:pPr>
              <w:spacing w:before="60" w:after="60"/>
              <w:rPr>
                <w:rFonts w:cs="Arial"/>
                <w:b/>
                <w:noProof/>
                <w:szCs w:val="20"/>
              </w:rPr>
            </w:pPr>
          </w:p>
        </w:tc>
        <w:tc>
          <w:tcPr>
            <w:tcW w:w="0" w:type="auto"/>
            <w:shd w:val="clear" w:color="auto" w:fill="FFFFFF"/>
          </w:tcPr>
          <w:p w14:paraId="029FB222" w14:textId="77777777" w:rsidR="00824944" w:rsidRPr="00A40660" w:rsidRDefault="00824944" w:rsidP="002008C1">
            <w:pPr>
              <w:spacing w:before="60" w:after="60"/>
              <w:rPr>
                <w:rFonts w:cs="Arial"/>
                <w:b/>
                <w:noProof/>
                <w:szCs w:val="20"/>
              </w:rPr>
            </w:pPr>
          </w:p>
        </w:tc>
      </w:tr>
      <w:tr w:rsidR="00824944" w:rsidRPr="00A40660" w14:paraId="3B960652" w14:textId="77777777" w:rsidTr="00824944">
        <w:tc>
          <w:tcPr>
            <w:tcW w:w="0" w:type="auto"/>
            <w:shd w:val="clear" w:color="auto" w:fill="FFFFFF"/>
          </w:tcPr>
          <w:p w14:paraId="5A528384" w14:textId="77777777" w:rsidR="00824944" w:rsidRPr="00A40660" w:rsidRDefault="00824944" w:rsidP="002008C1">
            <w:pPr>
              <w:spacing w:before="60" w:after="60"/>
              <w:rPr>
                <w:rFonts w:cs="Arial"/>
                <w:b/>
                <w:noProof/>
                <w:szCs w:val="20"/>
              </w:rPr>
            </w:pPr>
            <w:r w:rsidRPr="00A40660">
              <w:rPr>
                <w:rFonts w:cs="Arial"/>
                <w:b/>
                <w:noProof/>
                <w:szCs w:val="20"/>
              </w:rPr>
              <w:t>Skupaj</w:t>
            </w:r>
          </w:p>
        </w:tc>
        <w:tc>
          <w:tcPr>
            <w:tcW w:w="0" w:type="auto"/>
            <w:shd w:val="clear" w:color="auto" w:fill="FFFFFF"/>
          </w:tcPr>
          <w:p w14:paraId="2A8C3246" w14:textId="77777777" w:rsidR="00824944" w:rsidRPr="00A40660" w:rsidRDefault="00824944" w:rsidP="002008C1">
            <w:pPr>
              <w:spacing w:before="60" w:after="60"/>
              <w:rPr>
                <w:rFonts w:cs="Arial"/>
                <w:b/>
                <w:noProof/>
                <w:szCs w:val="20"/>
              </w:rPr>
            </w:pPr>
          </w:p>
        </w:tc>
        <w:tc>
          <w:tcPr>
            <w:tcW w:w="0" w:type="auto"/>
            <w:shd w:val="clear" w:color="auto" w:fill="FFFFFF"/>
          </w:tcPr>
          <w:p w14:paraId="5F7180AB" w14:textId="77777777" w:rsidR="00824944" w:rsidRPr="00A40660" w:rsidRDefault="00824944" w:rsidP="002008C1">
            <w:pPr>
              <w:spacing w:before="60" w:after="60"/>
              <w:rPr>
                <w:rFonts w:cs="Arial"/>
                <w:b/>
                <w:noProof/>
                <w:szCs w:val="20"/>
              </w:rPr>
            </w:pPr>
          </w:p>
        </w:tc>
        <w:tc>
          <w:tcPr>
            <w:tcW w:w="950" w:type="dxa"/>
            <w:shd w:val="clear" w:color="auto" w:fill="FFFFFF"/>
          </w:tcPr>
          <w:p w14:paraId="206206C6" w14:textId="77777777" w:rsidR="00824944" w:rsidRPr="00A40660" w:rsidRDefault="00824944" w:rsidP="002008C1">
            <w:pPr>
              <w:spacing w:before="60" w:after="60"/>
              <w:rPr>
                <w:rFonts w:cs="Arial"/>
                <w:b/>
                <w:noProof/>
                <w:szCs w:val="20"/>
              </w:rPr>
            </w:pPr>
          </w:p>
        </w:tc>
        <w:tc>
          <w:tcPr>
            <w:tcW w:w="806" w:type="dxa"/>
            <w:shd w:val="clear" w:color="auto" w:fill="FFFFFF"/>
          </w:tcPr>
          <w:p w14:paraId="6BAAADEC" w14:textId="77777777" w:rsidR="00824944" w:rsidRPr="00A40660" w:rsidRDefault="00824944" w:rsidP="002008C1">
            <w:pPr>
              <w:spacing w:before="60" w:after="60"/>
              <w:rPr>
                <w:rFonts w:cs="Arial"/>
                <w:b/>
                <w:noProof/>
                <w:szCs w:val="20"/>
              </w:rPr>
            </w:pPr>
          </w:p>
        </w:tc>
        <w:tc>
          <w:tcPr>
            <w:tcW w:w="0" w:type="auto"/>
            <w:shd w:val="clear" w:color="auto" w:fill="FFFFFF"/>
          </w:tcPr>
          <w:p w14:paraId="0DDF2854" w14:textId="77777777" w:rsidR="00824944" w:rsidRPr="00A40660" w:rsidRDefault="00824944" w:rsidP="002008C1">
            <w:pPr>
              <w:spacing w:before="60" w:after="60"/>
              <w:rPr>
                <w:rFonts w:cs="Arial"/>
                <w:b/>
                <w:noProof/>
                <w:szCs w:val="20"/>
              </w:rPr>
            </w:pPr>
          </w:p>
        </w:tc>
        <w:tc>
          <w:tcPr>
            <w:tcW w:w="0" w:type="auto"/>
            <w:shd w:val="clear" w:color="auto" w:fill="FFFFFF"/>
          </w:tcPr>
          <w:p w14:paraId="451AE014" w14:textId="77777777" w:rsidR="00824944" w:rsidRPr="00A40660" w:rsidRDefault="00824944" w:rsidP="002008C1">
            <w:pPr>
              <w:spacing w:before="60" w:after="60"/>
              <w:rPr>
                <w:rFonts w:cs="Arial"/>
                <w:b/>
                <w:noProof/>
                <w:szCs w:val="20"/>
              </w:rPr>
            </w:pPr>
          </w:p>
        </w:tc>
        <w:tc>
          <w:tcPr>
            <w:tcW w:w="0" w:type="auto"/>
            <w:shd w:val="clear" w:color="auto" w:fill="FFFFFF"/>
          </w:tcPr>
          <w:p w14:paraId="331336A2" w14:textId="77777777" w:rsidR="00824944" w:rsidRPr="00A40660" w:rsidRDefault="00824944" w:rsidP="002008C1">
            <w:pPr>
              <w:spacing w:before="60" w:after="60"/>
              <w:rPr>
                <w:rFonts w:cs="Arial"/>
                <w:b/>
                <w:noProof/>
                <w:szCs w:val="20"/>
              </w:rPr>
            </w:pPr>
          </w:p>
        </w:tc>
        <w:tc>
          <w:tcPr>
            <w:tcW w:w="0" w:type="auto"/>
            <w:shd w:val="clear" w:color="auto" w:fill="FFFFFF"/>
          </w:tcPr>
          <w:p w14:paraId="0323B6C1" w14:textId="77777777" w:rsidR="00824944" w:rsidRPr="00A40660" w:rsidRDefault="00824944" w:rsidP="002008C1">
            <w:pPr>
              <w:spacing w:before="60" w:after="60"/>
              <w:rPr>
                <w:rFonts w:cs="Arial"/>
                <w:b/>
                <w:noProof/>
                <w:szCs w:val="20"/>
              </w:rPr>
            </w:pPr>
          </w:p>
        </w:tc>
        <w:tc>
          <w:tcPr>
            <w:tcW w:w="0" w:type="auto"/>
            <w:shd w:val="clear" w:color="auto" w:fill="FFFFFF"/>
          </w:tcPr>
          <w:p w14:paraId="0C26ABAF" w14:textId="77777777" w:rsidR="00824944" w:rsidRPr="00A40660" w:rsidRDefault="00824944" w:rsidP="002008C1">
            <w:pPr>
              <w:spacing w:before="60" w:after="60"/>
              <w:rPr>
                <w:rFonts w:cs="Arial"/>
                <w:b/>
                <w:noProof/>
                <w:szCs w:val="20"/>
              </w:rPr>
            </w:pPr>
          </w:p>
        </w:tc>
        <w:tc>
          <w:tcPr>
            <w:tcW w:w="0" w:type="auto"/>
            <w:shd w:val="clear" w:color="auto" w:fill="FFFFFF"/>
          </w:tcPr>
          <w:p w14:paraId="42951A70" w14:textId="77777777" w:rsidR="00824944" w:rsidRPr="00A40660" w:rsidRDefault="00824944" w:rsidP="002008C1">
            <w:pPr>
              <w:spacing w:before="60" w:after="60"/>
              <w:rPr>
                <w:rFonts w:cs="Arial"/>
                <w:b/>
                <w:noProof/>
                <w:szCs w:val="20"/>
              </w:rPr>
            </w:pPr>
          </w:p>
        </w:tc>
        <w:tc>
          <w:tcPr>
            <w:tcW w:w="0" w:type="auto"/>
            <w:shd w:val="clear" w:color="auto" w:fill="FFFFFF"/>
          </w:tcPr>
          <w:p w14:paraId="6D241E8E" w14:textId="1E4348ED" w:rsidR="00824944" w:rsidRPr="00A40660" w:rsidRDefault="00824944" w:rsidP="002008C1">
            <w:pPr>
              <w:spacing w:before="60" w:after="60"/>
              <w:rPr>
                <w:rFonts w:cs="Arial"/>
                <w:b/>
                <w:noProof/>
                <w:szCs w:val="20"/>
              </w:rPr>
            </w:pPr>
            <w:r>
              <w:rPr>
                <w:rFonts w:cs="Arial"/>
                <w:noProof/>
                <w:szCs w:val="20"/>
              </w:rPr>
              <w:t>0,00</w:t>
            </w:r>
          </w:p>
        </w:tc>
        <w:tc>
          <w:tcPr>
            <w:tcW w:w="0" w:type="auto"/>
            <w:shd w:val="clear" w:color="auto" w:fill="FFFFFF"/>
          </w:tcPr>
          <w:p w14:paraId="1DB52360" w14:textId="77777777" w:rsidR="00824944" w:rsidRPr="00A40660" w:rsidRDefault="00824944" w:rsidP="002008C1">
            <w:pPr>
              <w:spacing w:before="60" w:after="60"/>
              <w:rPr>
                <w:rFonts w:cs="Arial"/>
                <w:b/>
                <w:noProof/>
                <w:szCs w:val="20"/>
              </w:rPr>
            </w:pPr>
          </w:p>
        </w:tc>
        <w:tc>
          <w:tcPr>
            <w:tcW w:w="0" w:type="auto"/>
            <w:shd w:val="clear" w:color="auto" w:fill="FFFFFF"/>
          </w:tcPr>
          <w:p w14:paraId="491AE208" w14:textId="77777777" w:rsidR="00824944" w:rsidRPr="00A40660" w:rsidRDefault="00824944" w:rsidP="002008C1">
            <w:pPr>
              <w:spacing w:before="60" w:after="60"/>
              <w:rPr>
                <w:rFonts w:cs="Arial"/>
                <w:b/>
                <w:noProof/>
                <w:szCs w:val="20"/>
              </w:rPr>
            </w:pPr>
          </w:p>
        </w:tc>
        <w:tc>
          <w:tcPr>
            <w:tcW w:w="0" w:type="auto"/>
            <w:shd w:val="clear" w:color="auto" w:fill="FFFFFF"/>
          </w:tcPr>
          <w:p w14:paraId="275E23AD" w14:textId="77777777" w:rsidR="00824944" w:rsidRPr="00A40660" w:rsidRDefault="00824944" w:rsidP="002008C1">
            <w:pPr>
              <w:spacing w:before="60" w:after="60"/>
              <w:rPr>
                <w:rFonts w:cs="Arial"/>
                <w:b/>
                <w:noProof/>
                <w:szCs w:val="20"/>
              </w:rPr>
            </w:pPr>
          </w:p>
        </w:tc>
        <w:tc>
          <w:tcPr>
            <w:tcW w:w="0" w:type="auto"/>
            <w:shd w:val="clear" w:color="auto" w:fill="FFFFFF"/>
          </w:tcPr>
          <w:p w14:paraId="618B645C" w14:textId="77777777" w:rsidR="00824944" w:rsidRPr="00A40660" w:rsidRDefault="00824944" w:rsidP="002008C1">
            <w:pPr>
              <w:spacing w:before="60" w:after="60"/>
              <w:rPr>
                <w:rFonts w:cs="Arial"/>
                <w:b/>
                <w:noProof/>
                <w:szCs w:val="20"/>
              </w:rPr>
            </w:pPr>
          </w:p>
        </w:tc>
      </w:tr>
    </w:tbl>
    <w:p w14:paraId="057D5D05" w14:textId="77777777" w:rsidR="00151AB9" w:rsidRPr="00A40660" w:rsidRDefault="00151AB9" w:rsidP="00151AB9">
      <w:pPr>
        <w:rPr>
          <w:rFonts w:cs="Arial"/>
          <w:b/>
          <w:bCs/>
          <w:szCs w:val="20"/>
        </w:rPr>
      </w:pPr>
    </w:p>
    <w:p w14:paraId="35664B81" w14:textId="77777777" w:rsidR="00151AB9" w:rsidRPr="00A40660" w:rsidRDefault="00151AB9" w:rsidP="00151AB9">
      <w:pPr>
        <w:rPr>
          <w:rFonts w:cs="Arial"/>
          <w:szCs w:val="20"/>
        </w:rPr>
      </w:pPr>
      <w:r w:rsidRPr="00A40660">
        <w:rPr>
          <w:rFonts w:cs="Arial"/>
          <w:szCs w:val="20"/>
        </w:rPr>
        <w:t>* Kumulativni zneski za vse prerazporeditve v programskem obdobju.</w:t>
      </w:r>
    </w:p>
    <w:p w14:paraId="306B60AB" w14:textId="77777777" w:rsidR="009D4BB4" w:rsidRPr="00A40660" w:rsidRDefault="009D4BB4" w:rsidP="00151AB9">
      <w:pPr>
        <w:rPr>
          <w:rFonts w:cs="Arial"/>
          <w:szCs w:val="20"/>
        </w:rPr>
      </w:pPr>
    </w:p>
    <w:p w14:paraId="22683A91" w14:textId="77777777" w:rsidR="005C667A" w:rsidRDefault="005C667A">
      <w:pPr>
        <w:spacing w:after="200" w:line="276" w:lineRule="auto"/>
        <w:rPr>
          <w:rFonts w:cs="Arial"/>
          <w:szCs w:val="20"/>
        </w:rPr>
      </w:pPr>
      <w:r>
        <w:rPr>
          <w:rFonts w:cs="Arial"/>
          <w:szCs w:val="20"/>
        </w:rPr>
        <w:br w:type="page"/>
      </w:r>
    </w:p>
    <w:p w14:paraId="139B9A3B" w14:textId="3AB3419F" w:rsidR="009D4BB4" w:rsidRPr="00C857A1" w:rsidRDefault="009D4BB4" w:rsidP="00C857A1">
      <w:pPr>
        <w:pStyle w:val="Naslov2"/>
      </w:pPr>
      <w:bookmarkStart w:id="25" w:name="_Toc106099910"/>
      <w:r w:rsidRPr="00746108">
        <w:lastRenderedPageBreak/>
        <w:t>3.</w:t>
      </w:r>
      <w:r w:rsidR="00710326" w:rsidRPr="00746108">
        <w:t>2</w:t>
      </w:r>
      <w:r w:rsidRPr="00D76FBE">
        <w:t xml:space="preserve"> Finančna sredstva po letih</w:t>
      </w:r>
      <w:bookmarkEnd w:id="25"/>
    </w:p>
    <w:p w14:paraId="53787CD5" w14:textId="6263EB2A" w:rsidR="009D4BB4" w:rsidRPr="00C857A1" w:rsidRDefault="009D4BB4" w:rsidP="009D4BB4">
      <w:pPr>
        <w:rPr>
          <w:rFonts w:cs="Arial"/>
          <w:i/>
          <w:szCs w:val="20"/>
        </w:rPr>
      </w:pPr>
      <w:r w:rsidRPr="00C857A1">
        <w:rPr>
          <w:rFonts w:cs="Arial"/>
          <w:i/>
          <w:szCs w:val="20"/>
        </w:rPr>
        <w:t xml:space="preserve">Sklic: člen </w:t>
      </w:r>
      <w:r w:rsidR="00E50054">
        <w:rPr>
          <w:rFonts w:cs="Arial"/>
          <w:i/>
          <w:szCs w:val="20"/>
        </w:rPr>
        <w:t>22</w:t>
      </w:r>
      <w:r w:rsidRPr="00C857A1">
        <w:rPr>
          <w:rFonts w:cs="Arial"/>
          <w:i/>
          <w:szCs w:val="20"/>
        </w:rPr>
        <w:t>(3)(</w:t>
      </w:r>
      <w:r w:rsidR="00E50054">
        <w:rPr>
          <w:rFonts w:cs="Arial"/>
          <w:i/>
          <w:szCs w:val="20"/>
        </w:rPr>
        <w:t>g</w:t>
      </w:r>
      <w:r w:rsidRPr="00C857A1">
        <w:rPr>
          <w:rFonts w:cs="Arial"/>
          <w:i/>
          <w:szCs w:val="20"/>
        </w:rPr>
        <w:t>)(i)</w:t>
      </w:r>
    </w:p>
    <w:p w14:paraId="5059E872" w14:textId="77777777" w:rsidR="009D4BB4" w:rsidRPr="00A40660" w:rsidRDefault="009D4BB4" w:rsidP="009D4BB4">
      <w:pPr>
        <w:rPr>
          <w:rFonts w:cs="Arial"/>
          <w:szCs w:val="20"/>
        </w:rPr>
      </w:pPr>
    </w:p>
    <w:p w14:paraId="24373AED" w14:textId="77777777" w:rsidR="009D4BB4" w:rsidRPr="00C857A1" w:rsidRDefault="009D4BB4" w:rsidP="009D4BB4">
      <w:pPr>
        <w:rPr>
          <w:rFonts w:cs="Arial"/>
          <w:b/>
          <w:szCs w:val="20"/>
        </w:rPr>
      </w:pPr>
      <w:r w:rsidRPr="00C857A1">
        <w:rPr>
          <w:rFonts w:cs="Arial"/>
          <w:b/>
          <w:szCs w:val="20"/>
        </w:rPr>
        <w:t>Tabela 10: Finančna sredstva po letih</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622"/>
        <w:gridCol w:w="1985"/>
        <w:gridCol w:w="1984"/>
        <w:gridCol w:w="2126"/>
        <w:gridCol w:w="2268"/>
        <w:gridCol w:w="1843"/>
        <w:gridCol w:w="1701"/>
      </w:tblGrid>
      <w:tr w:rsidR="004244BE" w:rsidRPr="00A40660" w14:paraId="7D470AA4" w14:textId="77777777" w:rsidTr="00714475">
        <w:tc>
          <w:tcPr>
            <w:tcW w:w="783" w:type="dxa"/>
            <w:shd w:val="clear" w:color="auto" w:fill="auto"/>
          </w:tcPr>
          <w:p w14:paraId="75DC63F2" w14:textId="77777777" w:rsidR="00BB3F35" w:rsidRPr="00A40660" w:rsidRDefault="00BB3F35" w:rsidP="002008C1">
            <w:pPr>
              <w:rPr>
                <w:rFonts w:cs="Arial"/>
                <w:b/>
                <w:noProof/>
                <w:szCs w:val="20"/>
              </w:rPr>
            </w:pPr>
            <w:r w:rsidRPr="00A40660">
              <w:rPr>
                <w:rFonts w:cs="Arial"/>
                <w:b/>
                <w:noProof/>
                <w:szCs w:val="20"/>
              </w:rPr>
              <w:t>SKLAD</w:t>
            </w:r>
          </w:p>
        </w:tc>
        <w:tc>
          <w:tcPr>
            <w:tcW w:w="1622" w:type="dxa"/>
            <w:shd w:val="clear" w:color="auto" w:fill="auto"/>
          </w:tcPr>
          <w:p w14:paraId="669A71F4" w14:textId="77777777" w:rsidR="00BB3F35" w:rsidRPr="00A40660" w:rsidRDefault="00BB3F35" w:rsidP="002008C1">
            <w:pPr>
              <w:rPr>
                <w:rFonts w:cs="Arial"/>
                <w:b/>
                <w:noProof/>
                <w:szCs w:val="20"/>
              </w:rPr>
            </w:pPr>
            <w:r w:rsidRPr="00A40660">
              <w:rPr>
                <w:rFonts w:cs="Arial"/>
                <w:b/>
                <w:noProof/>
                <w:szCs w:val="20"/>
              </w:rPr>
              <w:t>2022</w:t>
            </w:r>
          </w:p>
        </w:tc>
        <w:tc>
          <w:tcPr>
            <w:tcW w:w="1985" w:type="dxa"/>
            <w:shd w:val="clear" w:color="auto" w:fill="auto"/>
          </w:tcPr>
          <w:p w14:paraId="4E128A96" w14:textId="77777777" w:rsidR="00BB3F35" w:rsidRPr="00A40660" w:rsidRDefault="00BB3F35" w:rsidP="002008C1">
            <w:pPr>
              <w:rPr>
                <w:rFonts w:cs="Arial"/>
                <w:b/>
                <w:noProof/>
                <w:szCs w:val="20"/>
              </w:rPr>
            </w:pPr>
            <w:r w:rsidRPr="00A40660">
              <w:rPr>
                <w:rFonts w:cs="Arial"/>
                <w:b/>
                <w:noProof/>
                <w:szCs w:val="20"/>
              </w:rPr>
              <w:t>2023</w:t>
            </w:r>
          </w:p>
        </w:tc>
        <w:tc>
          <w:tcPr>
            <w:tcW w:w="1984" w:type="dxa"/>
            <w:shd w:val="clear" w:color="auto" w:fill="auto"/>
          </w:tcPr>
          <w:p w14:paraId="385B7A61" w14:textId="77777777" w:rsidR="00BB3F35" w:rsidRPr="00A40660" w:rsidRDefault="00BB3F35" w:rsidP="002008C1">
            <w:pPr>
              <w:rPr>
                <w:rFonts w:cs="Arial"/>
                <w:b/>
                <w:noProof/>
                <w:szCs w:val="20"/>
              </w:rPr>
            </w:pPr>
            <w:r w:rsidRPr="00A40660">
              <w:rPr>
                <w:rFonts w:cs="Arial"/>
                <w:b/>
                <w:noProof/>
                <w:szCs w:val="20"/>
              </w:rPr>
              <w:t>2024</w:t>
            </w:r>
          </w:p>
        </w:tc>
        <w:tc>
          <w:tcPr>
            <w:tcW w:w="2126" w:type="dxa"/>
            <w:shd w:val="clear" w:color="auto" w:fill="auto"/>
          </w:tcPr>
          <w:p w14:paraId="2872A592" w14:textId="77777777" w:rsidR="00BB3F35" w:rsidRPr="00A40660" w:rsidRDefault="00BB3F35" w:rsidP="002008C1">
            <w:pPr>
              <w:rPr>
                <w:rFonts w:cs="Arial"/>
                <w:b/>
                <w:noProof/>
                <w:szCs w:val="20"/>
              </w:rPr>
            </w:pPr>
            <w:r w:rsidRPr="00A40660">
              <w:rPr>
                <w:rFonts w:cs="Arial"/>
                <w:b/>
                <w:noProof/>
                <w:szCs w:val="20"/>
              </w:rPr>
              <w:t>2025</w:t>
            </w:r>
          </w:p>
        </w:tc>
        <w:tc>
          <w:tcPr>
            <w:tcW w:w="2268" w:type="dxa"/>
            <w:shd w:val="clear" w:color="auto" w:fill="auto"/>
          </w:tcPr>
          <w:p w14:paraId="51468CB5" w14:textId="77777777" w:rsidR="00BB3F35" w:rsidRPr="00A40660" w:rsidRDefault="00BB3F35" w:rsidP="002008C1">
            <w:pPr>
              <w:rPr>
                <w:rFonts w:cs="Arial"/>
                <w:b/>
                <w:noProof/>
                <w:szCs w:val="20"/>
              </w:rPr>
            </w:pPr>
            <w:r w:rsidRPr="00A40660">
              <w:rPr>
                <w:rFonts w:cs="Arial"/>
                <w:b/>
                <w:noProof/>
                <w:szCs w:val="20"/>
              </w:rPr>
              <w:t>2026</w:t>
            </w:r>
          </w:p>
        </w:tc>
        <w:tc>
          <w:tcPr>
            <w:tcW w:w="1843" w:type="dxa"/>
            <w:shd w:val="clear" w:color="auto" w:fill="auto"/>
          </w:tcPr>
          <w:p w14:paraId="1A90DE36" w14:textId="77777777" w:rsidR="00BB3F35" w:rsidRPr="00A40660" w:rsidRDefault="00BB3F35" w:rsidP="002008C1">
            <w:pPr>
              <w:rPr>
                <w:rFonts w:cs="Arial"/>
                <w:b/>
                <w:noProof/>
                <w:szCs w:val="20"/>
              </w:rPr>
            </w:pPr>
            <w:r w:rsidRPr="00A40660">
              <w:rPr>
                <w:rFonts w:cs="Arial"/>
                <w:b/>
                <w:noProof/>
                <w:szCs w:val="20"/>
              </w:rPr>
              <w:t>2027</w:t>
            </w:r>
          </w:p>
        </w:tc>
        <w:tc>
          <w:tcPr>
            <w:tcW w:w="1701" w:type="dxa"/>
            <w:shd w:val="clear" w:color="auto" w:fill="auto"/>
          </w:tcPr>
          <w:p w14:paraId="42A98B05" w14:textId="77777777" w:rsidR="00BB3F35" w:rsidRPr="00A40660" w:rsidRDefault="00BB3F35" w:rsidP="002008C1">
            <w:pPr>
              <w:rPr>
                <w:rFonts w:cs="Arial"/>
                <w:b/>
                <w:noProof/>
                <w:szCs w:val="20"/>
              </w:rPr>
            </w:pPr>
            <w:r w:rsidRPr="00A40660">
              <w:rPr>
                <w:rFonts w:cs="Arial"/>
                <w:b/>
                <w:noProof/>
                <w:szCs w:val="20"/>
              </w:rPr>
              <w:t>Skupaj</w:t>
            </w:r>
          </w:p>
        </w:tc>
      </w:tr>
      <w:tr w:rsidR="004244BE" w:rsidRPr="00A40660" w14:paraId="495B952C" w14:textId="77777777" w:rsidTr="00714475">
        <w:tc>
          <w:tcPr>
            <w:tcW w:w="783" w:type="dxa"/>
            <w:shd w:val="clear" w:color="auto" w:fill="auto"/>
          </w:tcPr>
          <w:p w14:paraId="29702EE4" w14:textId="77777777" w:rsidR="00BB3F35" w:rsidRPr="00A40660" w:rsidRDefault="00BB3F35" w:rsidP="002008C1">
            <w:pPr>
              <w:rPr>
                <w:rFonts w:cs="Arial"/>
                <w:noProof/>
                <w:szCs w:val="20"/>
              </w:rPr>
            </w:pPr>
            <w:r w:rsidRPr="00A40660">
              <w:rPr>
                <w:rFonts w:cs="Arial"/>
                <w:noProof/>
                <w:szCs w:val="20"/>
              </w:rPr>
              <w:t>ESPRA</w:t>
            </w:r>
          </w:p>
        </w:tc>
        <w:tc>
          <w:tcPr>
            <w:tcW w:w="1622" w:type="dxa"/>
            <w:shd w:val="clear" w:color="auto" w:fill="auto"/>
            <w:vAlign w:val="center"/>
          </w:tcPr>
          <w:p w14:paraId="1D9040D6" w14:textId="2E418C0A" w:rsidR="00BB3F35" w:rsidRPr="00A40660" w:rsidRDefault="00BB3F35" w:rsidP="002008C1">
            <w:pPr>
              <w:rPr>
                <w:rFonts w:cs="Arial"/>
                <w:noProof/>
                <w:szCs w:val="20"/>
              </w:rPr>
            </w:pPr>
            <w:r>
              <w:rPr>
                <w:rFonts w:cs="Arial"/>
                <w:color w:val="000000"/>
                <w:szCs w:val="20"/>
              </w:rPr>
              <w:t>4.641.371,00</w:t>
            </w:r>
          </w:p>
        </w:tc>
        <w:tc>
          <w:tcPr>
            <w:tcW w:w="1985" w:type="dxa"/>
            <w:shd w:val="clear" w:color="auto" w:fill="auto"/>
            <w:vAlign w:val="center"/>
          </w:tcPr>
          <w:p w14:paraId="42141FBE" w14:textId="23A6370C" w:rsidR="00BB3F35" w:rsidRPr="00A40660" w:rsidRDefault="00BB3F35" w:rsidP="002008C1">
            <w:pPr>
              <w:rPr>
                <w:rFonts w:cs="Arial"/>
                <w:noProof/>
                <w:szCs w:val="20"/>
              </w:rPr>
            </w:pPr>
            <w:r>
              <w:rPr>
                <w:rFonts w:cs="Arial"/>
                <w:color w:val="000000"/>
                <w:szCs w:val="20"/>
              </w:rPr>
              <w:t>4.486.965,00</w:t>
            </w:r>
          </w:p>
        </w:tc>
        <w:tc>
          <w:tcPr>
            <w:tcW w:w="1984" w:type="dxa"/>
            <w:shd w:val="clear" w:color="auto" w:fill="auto"/>
            <w:vAlign w:val="center"/>
          </w:tcPr>
          <w:p w14:paraId="1912993D" w14:textId="3A9A91EA" w:rsidR="00BB3F35" w:rsidRPr="00A40660" w:rsidRDefault="004244BE" w:rsidP="002008C1">
            <w:pPr>
              <w:rPr>
                <w:rFonts w:cs="Arial"/>
                <w:noProof/>
                <w:szCs w:val="20"/>
              </w:rPr>
            </w:pPr>
            <w:r>
              <w:rPr>
                <w:rFonts w:cs="Arial"/>
                <w:color w:val="000000"/>
                <w:szCs w:val="20"/>
              </w:rPr>
              <w:t>4.327.517,00</w:t>
            </w:r>
          </w:p>
        </w:tc>
        <w:tc>
          <w:tcPr>
            <w:tcW w:w="2126" w:type="dxa"/>
            <w:shd w:val="clear" w:color="auto" w:fill="auto"/>
            <w:vAlign w:val="center"/>
          </w:tcPr>
          <w:p w14:paraId="798D6B22" w14:textId="56DC8D95" w:rsidR="00BB3F35" w:rsidRPr="00A40660" w:rsidRDefault="004244BE" w:rsidP="002008C1">
            <w:pPr>
              <w:rPr>
                <w:rFonts w:cs="Arial"/>
                <w:noProof/>
                <w:szCs w:val="20"/>
              </w:rPr>
            </w:pPr>
            <w:r>
              <w:rPr>
                <w:rFonts w:cs="Arial"/>
                <w:color w:val="000000"/>
                <w:szCs w:val="20"/>
              </w:rPr>
              <w:t>3.920.698,00</w:t>
            </w:r>
          </w:p>
        </w:tc>
        <w:tc>
          <w:tcPr>
            <w:tcW w:w="2268" w:type="dxa"/>
            <w:shd w:val="clear" w:color="auto" w:fill="auto"/>
            <w:vAlign w:val="center"/>
          </w:tcPr>
          <w:p w14:paraId="4153FD79" w14:textId="66306338" w:rsidR="00BB3F35" w:rsidRPr="00A40660" w:rsidRDefault="004244BE" w:rsidP="002008C1">
            <w:pPr>
              <w:rPr>
                <w:rFonts w:cs="Arial"/>
                <w:noProof/>
                <w:szCs w:val="20"/>
              </w:rPr>
            </w:pPr>
            <w:r>
              <w:rPr>
                <w:rFonts w:cs="Arial"/>
                <w:color w:val="000000"/>
                <w:szCs w:val="20"/>
              </w:rPr>
              <w:t>3.250.985,00</w:t>
            </w:r>
          </w:p>
        </w:tc>
        <w:tc>
          <w:tcPr>
            <w:tcW w:w="1843" w:type="dxa"/>
            <w:shd w:val="clear" w:color="auto" w:fill="auto"/>
            <w:vAlign w:val="center"/>
          </w:tcPr>
          <w:p w14:paraId="4E2FEA31" w14:textId="695B503B" w:rsidR="00BB3F35" w:rsidRPr="00A40660" w:rsidRDefault="004244BE" w:rsidP="002008C1">
            <w:pPr>
              <w:rPr>
                <w:rFonts w:cs="Arial"/>
                <w:noProof/>
                <w:szCs w:val="20"/>
              </w:rPr>
            </w:pPr>
            <w:r>
              <w:rPr>
                <w:rFonts w:cs="Arial"/>
                <w:color w:val="000000"/>
                <w:szCs w:val="20"/>
              </w:rPr>
              <w:t>3.302.105,00</w:t>
            </w:r>
          </w:p>
        </w:tc>
        <w:tc>
          <w:tcPr>
            <w:tcW w:w="1701" w:type="dxa"/>
            <w:shd w:val="clear" w:color="auto" w:fill="auto"/>
            <w:vAlign w:val="center"/>
          </w:tcPr>
          <w:p w14:paraId="1F382E79" w14:textId="0D03370E" w:rsidR="00BB3F35" w:rsidRPr="00A40660" w:rsidRDefault="00BB3F35" w:rsidP="002008C1">
            <w:pPr>
              <w:rPr>
                <w:rFonts w:cs="Arial"/>
                <w:noProof/>
                <w:szCs w:val="20"/>
              </w:rPr>
            </w:pPr>
            <w:r>
              <w:rPr>
                <w:rFonts w:cs="Arial"/>
                <w:b/>
                <w:bCs/>
                <w:color w:val="000000"/>
                <w:szCs w:val="20"/>
              </w:rPr>
              <w:t>23.929.641,00</w:t>
            </w:r>
          </w:p>
        </w:tc>
      </w:tr>
      <w:tr w:rsidR="004244BE" w:rsidRPr="00A40660" w14:paraId="63850B29" w14:textId="77777777" w:rsidTr="00714475">
        <w:tc>
          <w:tcPr>
            <w:tcW w:w="783" w:type="dxa"/>
            <w:shd w:val="clear" w:color="auto" w:fill="auto"/>
          </w:tcPr>
          <w:p w14:paraId="5976A22F" w14:textId="77777777" w:rsidR="00BB3F35" w:rsidRPr="00A40660" w:rsidRDefault="00BB3F35" w:rsidP="002008C1">
            <w:pPr>
              <w:rPr>
                <w:rFonts w:cs="Arial"/>
                <w:noProof/>
                <w:szCs w:val="20"/>
              </w:rPr>
            </w:pPr>
            <w:r w:rsidRPr="00A40660">
              <w:rPr>
                <w:rFonts w:cs="Arial"/>
                <w:noProof/>
                <w:szCs w:val="20"/>
              </w:rPr>
              <w:t>Skupaj</w:t>
            </w:r>
          </w:p>
        </w:tc>
        <w:tc>
          <w:tcPr>
            <w:tcW w:w="1622" w:type="dxa"/>
            <w:shd w:val="clear" w:color="auto" w:fill="auto"/>
            <w:vAlign w:val="center"/>
          </w:tcPr>
          <w:p w14:paraId="17236721" w14:textId="2E51CFD2" w:rsidR="00BB3F35" w:rsidRPr="00A40660" w:rsidRDefault="00746108" w:rsidP="002008C1">
            <w:pPr>
              <w:rPr>
                <w:rFonts w:cs="Arial"/>
                <w:noProof/>
                <w:szCs w:val="20"/>
              </w:rPr>
            </w:pPr>
            <w:r>
              <w:rPr>
                <w:rFonts w:cs="Arial"/>
                <w:color w:val="000000"/>
                <w:szCs w:val="20"/>
              </w:rPr>
              <w:t>6.630.530,00</w:t>
            </w:r>
          </w:p>
        </w:tc>
        <w:tc>
          <w:tcPr>
            <w:tcW w:w="1985" w:type="dxa"/>
            <w:shd w:val="clear" w:color="auto" w:fill="auto"/>
            <w:vAlign w:val="center"/>
          </w:tcPr>
          <w:p w14:paraId="44382B4A" w14:textId="139E7745" w:rsidR="00BB3F35" w:rsidRPr="00A40660" w:rsidRDefault="00746108" w:rsidP="002008C1">
            <w:pPr>
              <w:rPr>
                <w:rFonts w:cs="Arial"/>
                <w:noProof/>
                <w:szCs w:val="20"/>
              </w:rPr>
            </w:pPr>
            <w:r>
              <w:rPr>
                <w:rFonts w:cs="Arial"/>
                <w:color w:val="000000"/>
                <w:szCs w:val="20"/>
              </w:rPr>
              <w:t>6.409.950,00</w:t>
            </w:r>
          </w:p>
        </w:tc>
        <w:tc>
          <w:tcPr>
            <w:tcW w:w="1984" w:type="dxa"/>
            <w:shd w:val="clear" w:color="auto" w:fill="auto"/>
            <w:vAlign w:val="center"/>
          </w:tcPr>
          <w:p w14:paraId="39E1889B" w14:textId="41524C96" w:rsidR="00BB3F35" w:rsidRPr="00A40660" w:rsidRDefault="00746108" w:rsidP="002008C1">
            <w:pPr>
              <w:rPr>
                <w:rFonts w:cs="Arial"/>
                <w:noProof/>
                <w:szCs w:val="20"/>
              </w:rPr>
            </w:pPr>
            <w:r>
              <w:rPr>
                <w:rFonts w:cs="Arial"/>
                <w:color w:val="000000"/>
                <w:szCs w:val="20"/>
              </w:rPr>
              <w:t>6.182.167,00</w:t>
            </w:r>
          </w:p>
        </w:tc>
        <w:tc>
          <w:tcPr>
            <w:tcW w:w="2126" w:type="dxa"/>
            <w:shd w:val="clear" w:color="auto" w:fill="auto"/>
            <w:vAlign w:val="center"/>
          </w:tcPr>
          <w:p w14:paraId="1C426A2B" w14:textId="0D50EB04" w:rsidR="00BB3F35" w:rsidRPr="00A40660" w:rsidRDefault="00746108" w:rsidP="002008C1">
            <w:pPr>
              <w:rPr>
                <w:rFonts w:cs="Arial"/>
                <w:noProof/>
                <w:szCs w:val="20"/>
              </w:rPr>
            </w:pPr>
            <w:r>
              <w:rPr>
                <w:rFonts w:cs="Arial"/>
                <w:color w:val="000000"/>
                <w:szCs w:val="20"/>
              </w:rPr>
              <w:t>5.600.998,00</w:t>
            </w:r>
          </w:p>
        </w:tc>
        <w:tc>
          <w:tcPr>
            <w:tcW w:w="2268" w:type="dxa"/>
            <w:shd w:val="clear" w:color="auto" w:fill="auto"/>
            <w:vAlign w:val="center"/>
          </w:tcPr>
          <w:p w14:paraId="3AEFAE84" w14:textId="7454A7BB" w:rsidR="00BB3F35" w:rsidRPr="00A40660" w:rsidRDefault="00746108" w:rsidP="00D76FBE">
            <w:pPr>
              <w:rPr>
                <w:rFonts w:cs="Arial"/>
                <w:noProof/>
                <w:szCs w:val="20"/>
              </w:rPr>
            </w:pPr>
            <w:r>
              <w:rPr>
                <w:rFonts w:cs="Arial"/>
                <w:color w:val="000000"/>
                <w:szCs w:val="20"/>
              </w:rPr>
              <w:t>4.644.26</w:t>
            </w:r>
            <w:r w:rsidR="00D76FBE">
              <w:rPr>
                <w:rFonts w:cs="Arial"/>
                <w:color w:val="000000"/>
                <w:szCs w:val="20"/>
              </w:rPr>
              <w:t>4</w:t>
            </w:r>
            <w:r>
              <w:rPr>
                <w:rFonts w:cs="Arial"/>
                <w:color w:val="000000"/>
                <w:szCs w:val="20"/>
              </w:rPr>
              <w:t>,00</w:t>
            </w:r>
          </w:p>
        </w:tc>
        <w:tc>
          <w:tcPr>
            <w:tcW w:w="1843" w:type="dxa"/>
            <w:shd w:val="clear" w:color="auto" w:fill="auto"/>
            <w:vAlign w:val="center"/>
          </w:tcPr>
          <w:p w14:paraId="1806CEF4" w14:textId="6EB3A25F" w:rsidR="00BB3F35" w:rsidRPr="00714475" w:rsidRDefault="00D76FBE" w:rsidP="002008C1">
            <w:pPr>
              <w:rPr>
                <w:rFonts w:cs="Arial"/>
                <w:color w:val="000000"/>
                <w:szCs w:val="20"/>
              </w:rPr>
            </w:pPr>
            <w:r>
              <w:rPr>
                <w:rFonts w:cs="Arial"/>
                <w:color w:val="000000"/>
                <w:szCs w:val="20"/>
              </w:rPr>
              <w:t>4.717.293</w:t>
            </w:r>
            <w:r w:rsidR="00746108">
              <w:rPr>
                <w:rFonts w:cs="Arial"/>
                <w:color w:val="000000"/>
                <w:szCs w:val="20"/>
              </w:rPr>
              <w:t>,00</w:t>
            </w:r>
          </w:p>
        </w:tc>
        <w:tc>
          <w:tcPr>
            <w:tcW w:w="1701" w:type="dxa"/>
            <w:shd w:val="clear" w:color="auto" w:fill="auto"/>
            <w:vAlign w:val="center"/>
          </w:tcPr>
          <w:p w14:paraId="583E27AD" w14:textId="66A4BBB5" w:rsidR="00BB3F35" w:rsidRPr="00A40660" w:rsidRDefault="00746108" w:rsidP="002008C1">
            <w:pPr>
              <w:rPr>
                <w:rFonts w:cs="Arial"/>
                <w:noProof/>
                <w:szCs w:val="20"/>
              </w:rPr>
            </w:pPr>
            <w:r>
              <w:rPr>
                <w:rFonts w:cs="Arial"/>
                <w:b/>
                <w:bCs/>
                <w:color w:val="000000"/>
                <w:szCs w:val="20"/>
              </w:rPr>
              <w:t>34.185.202,00</w:t>
            </w:r>
          </w:p>
        </w:tc>
      </w:tr>
    </w:tbl>
    <w:p w14:paraId="5779E2E3" w14:textId="77777777" w:rsidR="00C857A1" w:rsidRDefault="00C857A1">
      <w:pPr>
        <w:spacing w:after="200" w:line="276" w:lineRule="auto"/>
        <w:rPr>
          <w:rFonts w:asciiTheme="majorHAnsi" w:eastAsiaTheme="majorEastAsia" w:hAnsiTheme="majorHAnsi" w:cstheme="majorBidi"/>
          <w:b/>
          <w:bCs/>
          <w:color w:val="4F81BD" w:themeColor="accent1"/>
          <w:sz w:val="26"/>
          <w:szCs w:val="26"/>
        </w:rPr>
      </w:pPr>
      <w:r>
        <w:br w:type="page"/>
      </w:r>
    </w:p>
    <w:p w14:paraId="7A01F8FA" w14:textId="460E290D" w:rsidR="009D4BB4" w:rsidRPr="00A40660" w:rsidRDefault="009D4BB4" w:rsidP="00C857A1">
      <w:pPr>
        <w:pStyle w:val="Naslov2"/>
      </w:pPr>
      <w:bookmarkStart w:id="26" w:name="_Toc106099911"/>
      <w:r w:rsidRPr="00A40660">
        <w:lastRenderedPageBreak/>
        <w:t>3.</w:t>
      </w:r>
      <w:r w:rsidR="00710326">
        <w:t>3</w:t>
      </w:r>
      <w:r w:rsidRPr="00A40660">
        <w:t xml:space="preserve"> Skupna finančna sredstva po skladih in nacionalno sofinanciranje</w:t>
      </w:r>
      <w:bookmarkEnd w:id="26"/>
    </w:p>
    <w:p w14:paraId="38B98FD9" w14:textId="10EAE247" w:rsidR="009D4BB4" w:rsidRPr="00A40660" w:rsidRDefault="009D4BB4" w:rsidP="009D4BB4">
      <w:pPr>
        <w:rPr>
          <w:rFonts w:cs="Arial"/>
          <w:i/>
          <w:iCs/>
          <w:szCs w:val="20"/>
          <w:lang w:val="de-DE"/>
        </w:rPr>
      </w:pPr>
      <w:r w:rsidRPr="00A40660">
        <w:rPr>
          <w:rFonts w:cs="Arial"/>
          <w:i/>
          <w:iCs/>
          <w:szCs w:val="20"/>
          <w:lang w:val="de-DE"/>
        </w:rPr>
        <w:t xml:space="preserve">Sklic: člen </w:t>
      </w:r>
      <w:r w:rsidR="00710326">
        <w:rPr>
          <w:rFonts w:cs="Arial"/>
          <w:i/>
          <w:iCs/>
          <w:szCs w:val="20"/>
          <w:lang w:val="de-DE"/>
        </w:rPr>
        <w:t>22</w:t>
      </w:r>
      <w:r w:rsidRPr="00A40660">
        <w:rPr>
          <w:rFonts w:cs="Arial"/>
          <w:i/>
          <w:iCs/>
          <w:szCs w:val="20"/>
          <w:lang w:val="de-DE"/>
        </w:rPr>
        <w:t>(3)(</w:t>
      </w:r>
      <w:r w:rsidR="00710326">
        <w:rPr>
          <w:rFonts w:cs="Arial"/>
          <w:i/>
          <w:iCs/>
          <w:szCs w:val="20"/>
          <w:lang w:val="de-DE"/>
        </w:rPr>
        <w:t>g</w:t>
      </w:r>
      <w:r w:rsidRPr="00A40660">
        <w:rPr>
          <w:rFonts w:cs="Arial"/>
          <w:i/>
          <w:iCs/>
          <w:szCs w:val="20"/>
          <w:lang w:val="de-DE"/>
        </w:rPr>
        <w:t>)(i), člen 17(6)</w:t>
      </w:r>
    </w:p>
    <w:p w14:paraId="41D04994" w14:textId="1DF78AAC" w:rsidR="009D4BB4" w:rsidRPr="00A40660" w:rsidRDefault="009D4BB4" w:rsidP="009D4BB4">
      <w:pPr>
        <w:spacing w:before="240" w:after="240" w:line="240" w:lineRule="auto"/>
        <w:rPr>
          <w:rFonts w:cs="Arial"/>
          <w:bCs/>
          <w:i/>
          <w:noProof/>
          <w:szCs w:val="20"/>
          <w:lang w:val="de-DE"/>
        </w:rPr>
      </w:pPr>
      <w:r w:rsidRPr="00A40660">
        <w:rPr>
          <w:rFonts w:cs="Arial"/>
          <w:bCs/>
          <w:i/>
          <w:noProof/>
          <w:szCs w:val="20"/>
          <w:lang w:val="de-DE"/>
        </w:rPr>
        <w:t>ESPRA program, ki vključuje tehnično pomoč v skladu s členom 3</w:t>
      </w:r>
      <w:r w:rsidR="00710326">
        <w:rPr>
          <w:rFonts w:cs="Arial"/>
          <w:bCs/>
          <w:i/>
          <w:noProof/>
          <w:szCs w:val="20"/>
          <w:lang w:val="de-DE"/>
        </w:rPr>
        <w:t>6</w:t>
      </w:r>
      <w:r w:rsidRPr="00A40660">
        <w:rPr>
          <w:rFonts w:cs="Arial"/>
          <w:bCs/>
          <w:i/>
          <w:noProof/>
          <w:szCs w:val="20"/>
          <w:lang w:val="de-DE"/>
        </w:rPr>
        <w:t xml:space="preserve">(4)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413"/>
        <w:gridCol w:w="1889"/>
        <w:gridCol w:w="2360"/>
        <w:gridCol w:w="1682"/>
        <w:gridCol w:w="1441"/>
        <w:gridCol w:w="2376"/>
      </w:tblGrid>
      <w:tr w:rsidR="009D4BB4" w:rsidRPr="00A40660" w14:paraId="144FFCBB" w14:textId="77777777" w:rsidTr="002008C1">
        <w:tc>
          <w:tcPr>
            <w:tcW w:w="5000" w:type="pct"/>
            <w:gridSpan w:val="7"/>
            <w:shd w:val="clear" w:color="auto" w:fill="auto"/>
          </w:tcPr>
          <w:p w14:paraId="6EA3931F" w14:textId="77777777" w:rsidR="009D4BB4" w:rsidRPr="00A40660" w:rsidRDefault="009D4BB4" w:rsidP="002008C1">
            <w:pPr>
              <w:rPr>
                <w:rFonts w:cs="Arial"/>
                <w:noProof/>
                <w:szCs w:val="20"/>
              </w:rPr>
            </w:pPr>
            <w:r w:rsidRPr="00A40660">
              <w:rPr>
                <w:rFonts w:cs="Arial"/>
                <w:b/>
                <w:noProof/>
                <w:szCs w:val="20"/>
              </w:rPr>
              <w:t>Preglednica 11 A</w:t>
            </w:r>
          </w:p>
        </w:tc>
      </w:tr>
      <w:tr w:rsidR="009D4BB4" w:rsidRPr="00A40660" w14:paraId="33538D06" w14:textId="77777777" w:rsidTr="00824944">
        <w:tc>
          <w:tcPr>
            <w:tcW w:w="655" w:type="pct"/>
            <w:tcBorders>
              <w:top w:val="single" w:sz="4" w:space="0" w:color="auto"/>
              <w:left w:val="single" w:sz="4" w:space="0" w:color="auto"/>
              <w:bottom w:val="single" w:sz="4" w:space="0" w:color="auto"/>
              <w:right w:val="single" w:sz="4" w:space="0" w:color="auto"/>
            </w:tcBorders>
            <w:shd w:val="clear" w:color="auto" w:fill="auto"/>
          </w:tcPr>
          <w:p w14:paraId="5B9F5E22" w14:textId="77777777" w:rsidR="009D4BB4" w:rsidRPr="00A40660" w:rsidRDefault="002A217E" w:rsidP="002A217E">
            <w:pPr>
              <w:jc w:val="center"/>
              <w:rPr>
                <w:rFonts w:cs="Arial"/>
                <w:b/>
                <w:noProof/>
                <w:szCs w:val="20"/>
              </w:rPr>
            </w:pPr>
            <w:r w:rsidRPr="00A40660">
              <w:rPr>
                <w:rFonts w:cs="Arial"/>
                <w:b/>
                <w:noProof/>
                <w:szCs w:val="20"/>
              </w:rPr>
              <w:t>Prednostna naloga</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0BEB3424" w14:textId="77777777" w:rsidR="009D4BB4" w:rsidRPr="00A40660" w:rsidRDefault="002A217E" w:rsidP="002008C1">
            <w:pPr>
              <w:jc w:val="center"/>
              <w:rPr>
                <w:rFonts w:cs="Arial"/>
                <w:b/>
                <w:noProof/>
                <w:szCs w:val="20"/>
              </w:rPr>
            </w:pPr>
            <w:r w:rsidRPr="00A40660">
              <w:rPr>
                <w:rFonts w:cs="Arial"/>
                <w:b/>
                <w:noProof/>
                <w:szCs w:val="20"/>
              </w:rPr>
              <w:t>Vrsta področja podpore ali posebni cilj (nomenklatura, določena v uredbi o ESPR)</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14:paraId="593C113C" w14:textId="77777777" w:rsidR="002A217E" w:rsidRPr="00AC29EA" w:rsidRDefault="002A217E" w:rsidP="002A217E">
            <w:pPr>
              <w:jc w:val="center"/>
              <w:rPr>
                <w:rFonts w:cs="Arial"/>
                <w:b/>
                <w:noProof/>
                <w:szCs w:val="20"/>
                <w:lang w:val="it-IT"/>
              </w:rPr>
            </w:pPr>
            <w:r w:rsidRPr="00AC29EA">
              <w:rPr>
                <w:rFonts w:cs="Arial"/>
                <w:b/>
                <w:noProof/>
                <w:szCs w:val="20"/>
                <w:lang w:val="it-IT"/>
              </w:rPr>
              <w:t>Osnova za izračun</w:t>
            </w:r>
          </w:p>
          <w:p w14:paraId="706E0190" w14:textId="77777777" w:rsidR="009D4BB4" w:rsidRPr="00AC29EA" w:rsidRDefault="002A217E" w:rsidP="002A217E">
            <w:pPr>
              <w:jc w:val="center"/>
              <w:rPr>
                <w:rFonts w:cs="Arial"/>
                <w:b/>
                <w:noProof/>
                <w:szCs w:val="20"/>
                <w:lang w:val="it-IT"/>
              </w:rPr>
            </w:pPr>
            <w:r w:rsidRPr="00AC29EA">
              <w:rPr>
                <w:rFonts w:cs="Arial"/>
                <w:b/>
                <w:noProof/>
                <w:szCs w:val="20"/>
                <w:lang w:val="it-IT"/>
              </w:rPr>
              <w:t>podpore EU</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473ED830" w14:textId="77777777" w:rsidR="009D4BB4" w:rsidRPr="00A40660" w:rsidRDefault="009D4BB4" w:rsidP="002A217E">
            <w:pPr>
              <w:jc w:val="center"/>
              <w:rPr>
                <w:rFonts w:cs="Arial"/>
                <w:b/>
                <w:noProof/>
                <w:szCs w:val="20"/>
              </w:rPr>
            </w:pPr>
            <w:r w:rsidRPr="00A40660">
              <w:rPr>
                <w:rFonts w:cs="Arial"/>
                <w:b/>
                <w:noProof/>
                <w:szCs w:val="20"/>
              </w:rPr>
              <w:t xml:space="preserve">EU </w:t>
            </w:r>
            <w:r w:rsidR="002A217E" w:rsidRPr="00A40660">
              <w:rPr>
                <w:rFonts w:cs="Arial"/>
                <w:b/>
                <w:noProof/>
                <w:szCs w:val="20"/>
              </w:rPr>
              <w:t>prispevek</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50F89269" w14:textId="77777777" w:rsidR="009D4BB4" w:rsidRPr="00A40660" w:rsidRDefault="002A217E" w:rsidP="002008C1">
            <w:pPr>
              <w:jc w:val="center"/>
              <w:rPr>
                <w:rFonts w:cs="Arial"/>
                <w:b/>
                <w:noProof/>
                <w:szCs w:val="20"/>
              </w:rPr>
            </w:pPr>
            <w:r w:rsidRPr="00A40660">
              <w:rPr>
                <w:rFonts w:cs="Arial"/>
                <w:b/>
                <w:noProof/>
                <w:szCs w:val="20"/>
              </w:rPr>
              <w:t>Nacionalni prispevek</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6B15B257" w14:textId="77777777" w:rsidR="009D4BB4" w:rsidRPr="00A40660" w:rsidRDefault="002A217E" w:rsidP="002008C1">
            <w:pPr>
              <w:jc w:val="center"/>
              <w:rPr>
                <w:rFonts w:cs="Arial"/>
                <w:b/>
                <w:noProof/>
                <w:szCs w:val="20"/>
              </w:rPr>
            </w:pPr>
            <w:r w:rsidRPr="00A40660">
              <w:rPr>
                <w:rFonts w:cs="Arial"/>
                <w:b/>
                <w:noProof/>
                <w:szCs w:val="20"/>
              </w:rPr>
              <w:t>Skupaj</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3A679889" w14:textId="77777777" w:rsidR="009D4BB4" w:rsidRPr="00A40660" w:rsidRDefault="002A217E" w:rsidP="002008C1">
            <w:pPr>
              <w:jc w:val="center"/>
              <w:rPr>
                <w:rFonts w:cs="Arial"/>
                <w:b/>
                <w:noProof/>
                <w:szCs w:val="20"/>
              </w:rPr>
            </w:pPr>
            <w:r w:rsidRPr="00A40660">
              <w:rPr>
                <w:rFonts w:cs="Arial"/>
                <w:b/>
                <w:noProof/>
                <w:szCs w:val="20"/>
              </w:rPr>
              <w:t>Stopnja sofinanciranja</w:t>
            </w:r>
          </w:p>
        </w:tc>
      </w:tr>
      <w:tr w:rsidR="00824944" w:rsidRPr="00A40660" w14:paraId="6A0C056D" w14:textId="77777777" w:rsidTr="00824944">
        <w:trPr>
          <w:trHeight w:val="294"/>
        </w:trPr>
        <w:tc>
          <w:tcPr>
            <w:tcW w:w="655" w:type="pct"/>
            <w:vMerge w:val="restart"/>
            <w:tcBorders>
              <w:top w:val="single" w:sz="4" w:space="0" w:color="auto"/>
              <w:left w:val="single" w:sz="4" w:space="0" w:color="auto"/>
              <w:right w:val="single" w:sz="4" w:space="0" w:color="auto"/>
            </w:tcBorders>
            <w:shd w:val="clear" w:color="auto" w:fill="auto"/>
          </w:tcPr>
          <w:p w14:paraId="2755DD13" w14:textId="77777777" w:rsidR="00824944" w:rsidRPr="00A40660" w:rsidRDefault="00824944" w:rsidP="002008C1">
            <w:pPr>
              <w:jc w:val="center"/>
              <w:rPr>
                <w:rFonts w:cs="Arial"/>
                <w:noProof/>
                <w:szCs w:val="20"/>
                <w:lang w:val="fr-BE"/>
              </w:rPr>
            </w:pPr>
            <w:r w:rsidRPr="00A40660">
              <w:rPr>
                <w:rFonts w:cs="Arial"/>
                <w:b/>
                <w:noProof/>
                <w:szCs w:val="20"/>
              </w:rPr>
              <w:t>Prednostna naloga</w:t>
            </w:r>
            <w:r w:rsidRPr="00A40660">
              <w:rPr>
                <w:rFonts w:cs="Arial"/>
                <w:noProof/>
                <w:szCs w:val="20"/>
                <w:lang w:val="fr-BE"/>
              </w:rPr>
              <w:t xml:space="preserve"> 1</w:t>
            </w:r>
          </w:p>
        </w:tc>
        <w:tc>
          <w:tcPr>
            <w:tcW w:w="862" w:type="pct"/>
            <w:tcBorders>
              <w:top w:val="single" w:sz="4" w:space="0" w:color="auto"/>
              <w:left w:val="single" w:sz="4" w:space="0" w:color="auto"/>
              <w:right w:val="single" w:sz="4" w:space="0" w:color="auto"/>
            </w:tcBorders>
            <w:shd w:val="clear" w:color="auto" w:fill="auto"/>
          </w:tcPr>
          <w:p w14:paraId="240ED6BB" w14:textId="029A96EA" w:rsidR="00824944" w:rsidRPr="00A40660" w:rsidRDefault="00824944" w:rsidP="002008C1">
            <w:pPr>
              <w:jc w:val="center"/>
              <w:rPr>
                <w:rFonts w:cs="Arial"/>
                <w:noProof/>
                <w:szCs w:val="20"/>
              </w:rPr>
            </w:pPr>
            <w:r w:rsidRPr="00A40660">
              <w:rPr>
                <w:rFonts w:cs="Arial"/>
                <w:noProof/>
                <w:szCs w:val="20"/>
              </w:rPr>
              <w:t>1.1</w:t>
            </w:r>
            <w:r w:rsidR="003A2990">
              <w:rPr>
                <w:rFonts w:cs="Arial"/>
                <w:noProof/>
                <w:szCs w:val="20"/>
              </w:rPr>
              <w:t>.1</w:t>
            </w:r>
          </w:p>
        </w:tc>
        <w:tc>
          <w:tcPr>
            <w:tcW w:w="675" w:type="pct"/>
            <w:tcBorders>
              <w:top w:val="single" w:sz="4" w:space="0" w:color="auto"/>
              <w:left w:val="single" w:sz="4" w:space="0" w:color="auto"/>
              <w:right w:val="single" w:sz="4" w:space="0" w:color="auto"/>
            </w:tcBorders>
            <w:shd w:val="clear" w:color="auto" w:fill="auto"/>
          </w:tcPr>
          <w:p w14:paraId="68507995"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top w:val="single" w:sz="4" w:space="0" w:color="auto"/>
              <w:left w:val="single" w:sz="4" w:space="0" w:color="auto"/>
              <w:right w:val="single" w:sz="4" w:space="0" w:color="auto"/>
            </w:tcBorders>
            <w:shd w:val="clear" w:color="auto" w:fill="auto"/>
          </w:tcPr>
          <w:p w14:paraId="72552510" w14:textId="5C0E626E" w:rsidR="00824944" w:rsidRPr="00A40660" w:rsidRDefault="00824944" w:rsidP="00824944">
            <w:pPr>
              <w:jc w:val="center"/>
              <w:rPr>
                <w:rFonts w:cs="Arial"/>
                <w:noProof/>
                <w:szCs w:val="20"/>
              </w:rPr>
            </w:pPr>
            <w:r>
              <w:rPr>
                <w:rFonts w:cs="Arial"/>
                <w:noProof/>
                <w:szCs w:val="20"/>
              </w:rPr>
              <w:t>0,00</w:t>
            </w:r>
          </w:p>
        </w:tc>
        <w:tc>
          <w:tcPr>
            <w:tcW w:w="601" w:type="pct"/>
            <w:tcBorders>
              <w:top w:val="single" w:sz="4" w:space="0" w:color="auto"/>
              <w:left w:val="single" w:sz="4" w:space="0" w:color="auto"/>
              <w:right w:val="single" w:sz="4" w:space="0" w:color="auto"/>
            </w:tcBorders>
            <w:shd w:val="clear" w:color="auto" w:fill="auto"/>
          </w:tcPr>
          <w:p w14:paraId="477BD225" w14:textId="13E7D5BD" w:rsidR="00824944" w:rsidRPr="00A40660" w:rsidRDefault="00824944" w:rsidP="00824944">
            <w:pPr>
              <w:jc w:val="center"/>
              <w:rPr>
                <w:rFonts w:cs="Arial"/>
                <w:noProof/>
                <w:szCs w:val="20"/>
              </w:rPr>
            </w:pPr>
            <w:r w:rsidRPr="00C37DDC">
              <w:rPr>
                <w:rFonts w:cs="Arial"/>
                <w:noProof/>
                <w:szCs w:val="20"/>
              </w:rPr>
              <w:t>0,00</w:t>
            </w:r>
          </w:p>
        </w:tc>
        <w:tc>
          <w:tcPr>
            <w:tcW w:w="515" w:type="pct"/>
            <w:tcBorders>
              <w:top w:val="single" w:sz="4" w:space="0" w:color="auto"/>
              <w:left w:val="single" w:sz="4" w:space="0" w:color="auto"/>
              <w:right w:val="single" w:sz="4" w:space="0" w:color="auto"/>
            </w:tcBorders>
            <w:shd w:val="clear" w:color="auto" w:fill="auto"/>
          </w:tcPr>
          <w:p w14:paraId="7439AEAE" w14:textId="3FFF681C" w:rsidR="00824944" w:rsidRPr="00A40660" w:rsidRDefault="00824944" w:rsidP="00824944">
            <w:pPr>
              <w:jc w:val="center"/>
              <w:rPr>
                <w:rFonts w:cs="Arial"/>
                <w:noProof/>
                <w:szCs w:val="20"/>
              </w:rPr>
            </w:pPr>
            <w:r w:rsidRPr="00C37DDC">
              <w:rPr>
                <w:rFonts w:cs="Arial"/>
                <w:noProof/>
                <w:szCs w:val="20"/>
              </w:rPr>
              <w:t>0,00</w:t>
            </w:r>
          </w:p>
        </w:tc>
        <w:tc>
          <w:tcPr>
            <w:tcW w:w="849" w:type="pct"/>
            <w:tcBorders>
              <w:top w:val="single" w:sz="4" w:space="0" w:color="auto"/>
              <w:left w:val="single" w:sz="4" w:space="0" w:color="auto"/>
              <w:right w:val="single" w:sz="4" w:space="0" w:color="auto"/>
            </w:tcBorders>
            <w:shd w:val="clear" w:color="auto" w:fill="auto"/>
          </w:tcPr>
          <w:p w14:paraId="63EF2FDC" w14:textId="4449D9B5" w:rsidR="00824944" w:rsidRPr="00A40660" w:rsidRDefault="00824944" w:rsidP="00824944">
            <w:pPr>
              <w:jc w:val="center"/>
              <w:rPr>
                <w:rFonts w:cs="Arial"/>
                <w:noProof/>
                <w:szCs w:val="20"/>
              </w:rPr>
            </w:pPr>
            <w:r w:rsidRPr="00C37DDC">
              <w:rPr>
                <w:rFonts w:cs="Arial"/>
                <w:noProof/>
                <w:szCs w:val="20"/>
              </w:rPr>
              <w:t>0,00</w:t>
            </w:r>
          </w:p>
        </w:tc>
      </w:tr>
      <w:tr w:rsidR="00824944" w:rsidRPr="00A40660" w14:paraId="7C351618" w14:textId="77777777" w:rsidTr="00824944">
        <w:trPr>
          <w:trHeight w:val="284"/>
        </w:trPr>
        <w:tc>
          <w:tcPr>
            <w:tcW w:w="655" w:type="pct"/>
            <w:vMerge/>
            <w:tcBorders>
              <w:left w:val="single" w:sz="4" w:space="0" w:color="auto"/>
              <w:right w:val="single" w:sz="4" w:space="0" w:color="auto"/>
            </w:tcBorders>
            <w:shd w:val="clear" w:color="auto" w:fill="auto"/>
          </w:tcPr>
          <w:p w14:paraId="6A392620" w14:textId="77777777" w:rsidR="00824944" w:rsidRPr="00A40660" w:rsidRDefault="00824944" w:rsidP="002008C1">
            <w:pPr>
              <w:jc w:val="center"/>
              <w:rPr>
                <w:rFonts w:cs="Arial"/>
                <w:noProof/>
                <w:szCs w:val="20"/>
                <w:lang w:val="fr-BE"/>
              </w:rPr>
            </w:pPr>
          </w:p>
        </w:tc>
        <w:tc>
          <w:tcPr>
            <w:tcW w:w="862" w:type="pct"/>
            <w:tcBorders>
              <w:top w:val="single" w:sz="4" w:space="0" w:color="auto"/>
              <w:left w:val="single" w:sz="4" w:space="0" w:color="auto"/>
              <w:right w:val="single" w:sz="4" w:space="0" w:color="auto"/>
            </w:tcBorders>
            <w:shd w:val="clear" w:color="auto" w:fill="auto"/>
          </w:tcPr>
          <w:p w14:paraId="2D78794F" w14:textId="77777777" w:rsidR="00824944" w:rsidRPr="00A40660" w:rsidRDefault="00824944" w:rsidP="002008C1">
            <w:pPr>
              <w:jc w:val="center"/>
              <w:rPr>
                <w:rFonts w:cs="Arial"/>
                <w:noProof/>
                <w:szCs w:val="20"/>
              </w:rPr>
            </w:pPr>
            <w:r w:rsidRPr="00A40660">
              <w:rPr>
                <w:rFonts w:cs="Arial"/>
                <w:noProof/>
                <w:szCs w:val="20"/>
              </w:rPr>
              <w:t>1.2</w:t>
            </w:r>
          </w:p>
        </w:tc>
        <w:tc>
          <w:tcPr>
            <w:tcW w:w="675" w:type="pct"/>
            <w:tcBorders>
              <w:left w:val="single" w:sz="4" w:space="0" w:color="auto"/>
              <w:right w:val="single" w:sz="4" w:space="0" w:color="auto"/>
            </w:tcBorders>
            <w:shd w:val="clear" w:color="auto" w:fill="auto"/>
          </w:tcPr>
          <w:p w14:paraId="01D2A3D2"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left w:val="single" w:sz="4" w:space="0" w:color="auto"/>
              <w:right w:val="single" w:sz="4" w:space="0" w:color="auto"/>
            </w:tcBorders>
            <w:shd w:val="clear" w:color="auto" w:fill="auto"/>
          </w:tcPr>
          <w:p w14:paraId="08E353C8" w14:textId="7007B8A8" w:rsidR="00824944" w:rsidRPr="00A40660" w:rsidRDefault="00824944" w:rsidP="00824944">
            <w:pPr>
              <w:jc w:val="center"/>
              <w:rPr>
                <w:rFonts w:cs="Arial"/>
                <w:noProof/>
                <w:szCs w:val="20"/>
              </w:rPr>
            </w:pPr>
            <w:r w:rsidRPr="0039255D">
              <w:rPr>
                <w:rFonts w:cs="Arial"/>
                <w:noProof/>
                <w:szCs w:val="20"/>
              </w:rPr>
              <w:t>0,00</w:t>
            </w:r>
          </w:p>
        </w:tc>
        <w:tc>
          <w:tcPr>
            <w:tcW w:w="601" w:type="pct"/>
            <w:tcBorders>
              <w:left w:val="single" w:sz="4" w:space="0" w:color="auto"/>
              <w:right w:val="single" w:sz="4" w:space="0" w:color="auto"/>
            </w:tcBorders>
            <w:shd w:val="clear" w:color="auto" w:fill="auto"/>
          </w:tcPr>
          <w:p w14:paraId="1411E4BF" w14:textId="7049FEA7" w:rsidR="00824944" w:rsidRPr="00A40660" w:rsidRDefault="00824944" w:rsidP="00824944">
            <w:pPr>
              <w:jc w:val="center"/>
              <w:rPr>
                <w:rFonts w:cs="Arial"/>
                <w:noProof/>
                <w:szCs w:val="20"/>
              </w:rPr>
            </w:pPr>
            <w:r w:rsidRPr="0039255D">
              <w:rPr>
                <w:rFonts w:cs="Arial"/>
                <w:noProof/>
                <w:szCs w:val="20"/>
              </w:rPr>
              <w:t>0,00</w:t>
            </w:r>
          </w:p>
        </w:tc>
        <w:tc>
          <w:tcPr>
            <w:tcW w:w="515" w:type="pct"/>
            <w:tcBorders>
              <w:left w:val="single" w:sz="4" w:space="0" w:color="auto"/>
              <w:right w:val="single" w:sz="4" w:space="0" w:color="auto"/>
            </w:tcBorders>
            <w:shd w:val="clear" w:color="auto" w:fill="auto"/>
          </w:tcPr>
          <w:p w14:paraId="0D8129A1" w14:textId="39D4700B" w:rsidR="00824944" w:rsidRPr="00A40660" w:rsidRDefault="00824944" w:rsidP="00824944">
            <w:pPr>
              <w:jc w:val="center"/>
              <w:rPr>
                <w:rFonts w:cs="Arial"/>
                <w:noProof/>
                <w:szCs w:val="20"/>
              </w:rPr>
            </w:pPr>
            <w:r w:rsidRPr="0039255D">
              <w:rPr>
                <w:rFonts w:cs="Arial"/>
                <w:noProof/>
                <w:szCs w:val="20"/>
              </w:rPr>
              <w:t>0,00</w:t>
            </w:r>
          </w:p>
        </w:tc>
        <w:tc>
          <w:tcPr>
            <w:tcW w:w="849" w:type="pct"/>
            <w:tcBorders>
              <w:left w:val="single" w:sz="4" w:space="0" w:color="auto"/>
              <w:right w:val="single" w:sz="4" w:space="0" w:color="auto"/>
            </w:tcBorders>
            <w:shd w:val="clear" w:color="auto" w:fill="auto"/>
          </w:tcPr>
          <w:p w14:paraId="2F26BD33" w14:textId="2CD138A9"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478F9E6C" w14:textId="77777777" w:rsidTr="00824944">
        <w:trPr>
          <w:trHeight w:val="260"/>
        </w:trPr>
        <w:tc>
          <w:tcPr>
            <w:tcW w:w="655" w:type="pct"/>
            <w:vMerge/>
            <w:tcBorders>
              <w:left w:val="single" w:sz="4" w:space="0" w:color="auto"/>
              <w:right w:val="single" w:sz="4" w:space="0" w:color="auto"/>
            </w:tcBorders>
            <w:shd w:val="clear" w:color="auto" w:fill="auto"/>
          </w:tcPr>
          <w:p w14:paraId="1B9D80A2" w14:textId="77777777" w:rsidR="00824944" w:rsidRPr="00A40660" w:rsidRDefault="00824944" w:rsidP="002008C1">
            <w:pPr>
              <w:jc w:val="center"/>
              <w:rPr>
                <w:rFonts w:cs="Arial"/>
                <w:noProof/>
                <w:szCs w:val="20"/>
                <w:lang w:val="fr-BE"/>
              </w:rPr>
            </w:pPr>
          </w:p>
        </w:tc>
        <w:tc>
          <w:tcPr>
            <w:tcW w:w="862" w:type="pct"/>
            <w:tcBorders>
              <w:top w:val="single" w:sz="4" w:space="0" w:color="auto"/>
              <w:left w:val="single" w:sz="4" w:space="0" w:color="auto"/>
              <w:right w:val="single" w:sz="4" w:space="0" w:color="auto"/>
            </w:tcBorders>
            <w:shd w:val="clear" w:color="auto" w:fill="auto"/>
          </w:tcPr>
          <w:p w14:paraId="045C83EC" w14:textId="77777777" w:rsidR="00824944" w:rsidRPr="00A40660" w:rsidRDefault="00824944" w:rsidP="002008C1">
            <w:pPr>
              <w:jc w:val="center"/>
              <w:rPr>
                <w:rFonts w:cs="Arial"/>
                <w:noProof/>
                <w:szCs w:val="20"/>
              </w:rPr>
            </w:pPr>
            <w:r w:rsidRPr="00A40660">
              <w:rPr>
                <w:rFonts w:cs="Arial"/>
                <w:noProof/>
                <w:szCs w:val="20"/>
              </w:rPr>
              <w:t>1.3</w:t>
            </w:r>
          </w:p>
        </w:tc>
        <w:tc>
          <w:tcPr>
            <w:tcW w:w="675" w:type="pct"/>
            <w:tcBorders>
              <w:left w:val="single" w:sz="4" w:space="0" w:color="auto"/>
              <w:right w:val="single" w:sz="4" w:space="0" w:color="auto"/>
            </w:tcBorders>
            <w:shd w:val="clear" w:color="auto" w:fill="auto"/>
          </w:tcPr>
          <w:p w14:paraId="6C3DA9A2"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left w:val="single" w:sz="4" w:space="0" w:color="auto"/>
              <w:right w:val="single" w:sz="4" w:space="0" w:color="auto"/>
            </w:tcBorders>
            <w:shd w:val="clear" w:color="auto" w:fill="auto"/>
          </w:tcPr>
          <w:p w14:paraId="14A18ED6" w14:textId="7343E71C" w:rsidR="00824944" w:rsidRPr="00A40660" w:rsidRDefault="00824944" w:rsidP="00824944">
            <w:pPr>
              <w:jc w:val="center"/>
              <w:rPr>
                <w:rFonts w:cs="Arial"/>
                <w:noProof/>
                <w:szCs w:val="20"/>
              </w:rPr>
            </w:pPr>
            <w:r w:rsidRPr="0039255D">
              <w:rPr>
                <w:rFonts w:cs="Arial"/>
                <w:noProof/>
                <w:szCs w:val="20"/>
              </w:rPr>
              <w:t>0,00</w:t>
            </w:r>
          </w:p>
        </w:tc>
        <w:tc>
          <w:tcPr>
            <w:tcW w:w="601" w:type="pct"/>
            <w:tcBorders>
              <w:left w:val="single" w:sz="4" w:space="0" w:color="auto"/>
              <w:right w:val="single" w:sz="4" w:space="0" w:color="auto"/>
            </w:tcBorders>
            <w:shd w:val="clear" w:color="auto" w:fill="auto"/>
          </w:tcPr>
          <w:p w14:paraId="14F15946" w14:textId="61BB321F" w:rsidR="00824944" w:rsidRPr="00A40660" w:rsidRDefault="00824944" w:rsidP="00824944">
            <w:pPr>
              <w:jc w:val="center"/>
              <w:rPr>
                <w:rFonts w:cs="Arial"/>
                <w:noProof/>
                <w:szCs w:val="20"/>
              </w:rPr>
            </w:pPr>
            <w:r w:rsidRPr="0039255D">
              <w:rPr>
                <w:rFonts w:cs="Arial"/>
                <w:noProof/>
                <w:szCs w:val="20"/>
              </w:rPr>
              <w:t>0,00</w:t>
            </w:r>
          </w:p>
        </w:tc>
        <w:tc>
          <w:tcPr>
            <w:tcW w:w="515" w:type="pct"/>
            <w:tcBorders>
              <w:left w:val="single" w:sz="4" w:space="0" w:color="auto"/>
              <w:right w:val="single" w:sz="4" w:space="0" w:color="auto"/>
            </w:tcBorders>
            <w:shd w:val="clear" w:color="auto" w:fill="auto"/>
          </w:tcPr>
          <w:p w14:paraId="09FA8862" w14:textId="25DB377B" w:rsidR="00824944" w:rsidRPr="00A40660" w:rsidRDefault="00824944" w:rsidP="00824944">
            <w:pPr>
              <w:jc w:val="center"/>
              <w:rPr>
                <w:rFonts w:cs="Arial"/>
                <w:noProof/>
                <w:szCs w:val="20"/>
              </w:rPr>
            </w:pPr>
            <w:r w:rsidRPr="0039255D">
              <w:rPr>
                <w:rFonts w:cs="Arial"/>
                <w:noProof/>
                <w:szCs w:val="20"/>
              </w:rPr>
              <w:t>0,00</w:t>
            </w:r>
          </w:p>
        </w:tc>
        <w:tc>
          <w:tcPr>
            <w:tcW w:w="849" w:type="pct"/>
            <w:tcBorders>
              <w:left w:val="single" w:sz="4" w:space="0" w:color="auto"/>
              <w:right w:val="single" w:sz="4" w:space="0" w:color="auto"/>
            </w:tcBorders>
            <w:shd w:val="clear" w:color="auto" w:fill="auto"/>
          </w:tcPr>
          <w:p w14:paraId="6B4EC2AF" w14:textId="7177823C"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4FC9C7EE" w14:textId="77777777" w:rsidTr="00824944">
        <w:trPr>
          <w:trHeight w:val="277"/>
        </w:trPr>
        <w:tc>
          <w:tcPr>
            <w:tcW w:w="655" w:type="pct"/>
            <w:vMerge/>
            <w:tcBorders>
              <w:left w:val="single" w:sz="4" w:space="0" w:color="auto"/>
              <w:right w:val="single" w:sz="4" w:space="0" w:color="auto"/>
            </w:tcBorders>
            <w:shd w:val="clear" w:color="auto" w:fill="auto"/>
          </w:tcPr>
          <w:p w14:paraId="6BBD6FF8" w14:textId="77777777" w:rsidR="00824944" w:rsidRPr="00A40660" w:rsidRDefault="00824944" w:rsidP="002008C1">
            <w:pPr>
              <w:jc w:val="center"/>
              <w:rPr>
                <w:rFonts w:cs="Arial"/>
                <w:noProof/>
                <w:szCs w:val="20"/>
                <w:lang w:val="fr-BE"/>
              </w:rPr>
            </w:pPr>
          </w:p>
        </w:tc>
        <w:tc>
          <w:tcPr>
            <w:tcW w:w="862" w:type="pct"/>
            <w:tcBorders>
              <w:top w:val="single" w:sz="4" w:space="0" w:color="auto"/>
              <w:left w:val="single" w:sz="4" w:space="0" w:color="auto"/>
              <w:right w:val="single" w:sz="4" w:space="0" w:color="auto"/>
            </w:tcBorders>
            <w:shd w:val="clear" w:color="auto" w:fill="auto"/>
          </w:tcPr>
          <w:p w14:paraId="5D7D7C05" w14:textId="77777777" w:rsidR="00824944" w:rsidRPr="00A40660" w:rsidRDefault="00824944" w:rsidP="002008C1">
            <w:pPr>
              <w:jc w:val="center"/>
              <w:rPr>
                <w:rFonts w:cs="Arial"/>
                <w:noProof/>
                <w:szCs w:val="20"/>
              </w:rPr>
            </w:pPr>
            <w:r w:rsidRPr="00A40660">
              <w:rPr>
                <w:rFonts w:cs="Arial"/>
                <w:noProof/>
                <w:szCs w:val="20"/>
              </w:rPr>
              <w:t>1.4</w:t>
            </w:r>
          </w:p>
        </w:tc>
        <w:tc>
          <w:tcPr>
            <w:tcW w:w="675" w:type="pct"/>
            <w:tcBorders>
              <w:left w:val="single" w:sz="4" w:space="0" w:color="auto"/>
              <w:right w:val="single" w:sz="4" w:space="0" w:color="auto"/>
            </w:tcBorders>
            <w:shd w:val="clear" w:color="auto" w:fill="auto"/>
          </w:tcPr>
          <w:p w14:paraId="320BC0A1"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left w:val="single" w:sz="4" w:space="0" w:color="auto"/>
              <w:right w:val="single" w:sz="4" w:space="0" w:color="auto"/>
            </w:tcBorders>
            <w:shd w:val="clear" w:color="auto" w:fill="auto"/>
          </w:tcPr>
          <w:p w14:paraId="07E9C126" w14:textId="0F061489" w:rsidR="00824944" w:rsidRPr="00A40660" w:rsidRDefault="00824944" w:rsidP="00824944">
            <w:pPr>
              <w:jc w:val="center"/>
              <w:rPr>
                <w:rFonts w:cs="Arial"/>
                <w:noProof/>
                <w:szCs w:val="20"/>
              </w:rPr>
            </w:pPr>
            <w:r w:rsidRPr="0039255D">
              <w:rPr>
                <w:rFonts w:cs="Arial"/>
                <w:noProof/>
                <w:szCs w:val="20"/>
              </w:rPr>
              <w:t>0,00</w:t>
            </w:r>
          </w:p>
        </w:tc>
        <w:tc>
          <w:tcPr>
            <w:tcW w:w="601" w:type="pct"/>
            <w:tcBorders>
              <w:left w:val="single" w:sz="4" w:space="0" w:color="auto"/>
              <w:right w:val="single" w:sz="4" w:space="0" w:color="auto"/>
            </w:tcBorders>
            <w:shd w:val="clear" w:color="auto" w:fill="auto"/>
          </w:tcPr>
          <w:p w14:paraId="2DA38E6C" w14:textId="657EA6DA" w:rsidR="00824944" w:rsidRPr="00A40660" w:rsidRDefault="00824944" w:rsidP="00824944">
            <w:pPr>
              <w:jc w:val="center"/>
              <w:rPr>
                <w:rFonts w:cs="Arial"/>
                <w:noProof/>
                <w:szCs w:val="20"/>
              </w:rPr>
            </w:pPr>
            <w:r w:rsidRPr="0039255D">
              <w:rPr>
                <w:rFonts w:cs="Arial"/>
                <w:noProof/>
                <w:szCs w:val="20"/>
              </w:rPr>
              <w:t>0,00</w:t>
            </w:r>
          </w:p>
        </w:tc>
        <w:tc>
          <w:tcPr>
            <w:tcW w:w="515" w:type="pct"/>
            <w:tcBorders>
              <w:left w:val="single" w:sz="4" w:space="0" w:color="auto"/>
              <w:right w:val="single" w:sz="4" w:space="0" w:color="auto"/>
            </w:tcBorders>
            <w:shd w:val="clear" w:color="auto" w:fill="auto"/>
          </w:tcPr>
          <w:p w14:paraId="769B80E0" w14:textId="65EC2939" w:rsidR="00824944" w:rsidRPr="00A40660" w:rsidRDefault="00824944" w:rsidP="00824944">
            <w:pPr>
              <w:jc w:val="center"/>
              <w:rPr>
                <w:rFonts w:cs="Arial"/>
                <w:noProof/>
                <w:szCs w:val="20"/>
              </w:rPr>
            </w:pPr>
            <w:r w:rsidRPr="0039255D">
              <w:rPr>
                <w:rFonts w:cs="Arial"/>
                <w:noProof/>
                <w:szCs w:val="20"/>
              </w:rPr>
              <w:t>0,00</w:t>
            </w:r>
          </w:p>
        </w:tc>
        <w:tc>
          <w:tcPr>
            <w:tcW w:w="849" w:type="pct"/>
            <w:tcBorders>
              <w:left w:val="single" w:sz="4" w:space="0" w:color="auto"/>
              <w:right w:val="single" w:sz="4" w:space="0" w:color="auto"/>
            </w:tcBorders>
            <w:shd w:val="clear" w:color="auto" w:fill="auto"/>
          </w:tcPr>
          <w:p w14:paraId="46AC01B1" w14:textId="10CC25A5"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2892AB28" w14:textId="77777777" w:rsidTr="00824944">
        <w:trPr>
          <w:trHeight w:val="277"/>
        </w:trPr>
        <w:tc>
          <w:tcPr>
            <w:tcW w:w="655" w:type="pct"/>
            <w:vMerge/>
            <w:tcBorders>
              <w:left w:val="single" w:sz="4" w:space="0" w:color="auto"/>
              <w:right w:val="single" w:sz="4" w:space="0" w:color="auto"/>
            </w:tcBorders>
            <w:shd w:val="clear" w:color="auto" w:fill="auto"/>
          </w:tcPr>
          <w:p w14:paraId="0B07CD21" w14:textId="77777777" w:rsidR="00824944" w:rsidRPr="00A40660" w:rsidRDefault="00824944" w:rsidP="002008C1">
            <w:pPr>
              <w:jc w:val="center"/>
              <w:rPr>
                <w:rFonts w:cs="Arial"/>
                <w:noProof/>
                <w:szCs w:val="20"/>
                <w:lang w:val="fr-BE"/>
              </w:rPr>
            </w:pPr>
          </w:p>
        </w:tc>
        <w:tc>
          <w:tcPr>
            <w:tcW w:w="862" w:type="pct"/>
            <w:tcBorders>
              <w:top w:val="single" w:sz="4" w:space="0" w:color="auto"/>
              <w:left w:val="single" w:sz="4" w:space="0" w:color="auto"/>
              <w:right w:val="single" w:sz="4" w:space="0" w:color="auto"/>
            </w:tcBorders>
            <w:shd w:val="clear" w:color="auto" w:fill="auto"/>
          </w:tcPr>
          <w:p w14:paraId="45553265" w14:textId="77777777" w:rsidR="00824944" w:rsidRPr="00A40660" w:rsidRDefault="00824944" w:rsidP="002008C1">
            <w:pPr>
              <w:jc w:val="center"/>
              <w:rPr>
                <w:rFonts w:cs="Arial"/>
                <w:noProof/>
                <w:szCs w:val="20"/>
              </w:rPr>
            </w:pPr>
            <w:r w:rsidRPr="00A40660">
              <w:rPr>
                <w:rFonts w:cs="Arial"/>
                <w:noProof/>
                <w:szCs w:val="20"/>
              </w:rPr>
              <w:t>1.5</w:t>
            </w:r>
          </w:p>
        </w:tc>
        <w:tc>
          <w:tcPr>
            <w:tcW w:w="675" w:type="pct"/>
            <w:tcBorders>
              <w:left w:val="single" w:sz="4" w:space="0" w:color="auto"/>
              <w:right w:val="single" w:sz="4" w:space="0" w:color="auto"/>
            </w:tcBorders>
            <w:shd w:val="clear" w:color="auto" w:fill="auto"/>
          </w:tcPr>
          <w:p w14:paraId="707B2A80"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left w:val="single" w:sz="4" w:space="0" w:color="auto"/>
              <w:right w:val="single" w:sz="4" w:space="0" w:color="auto"/>
            </w:tcBorders>
            <w:shd w:val="clear" w:color="auto" w:fill="auto"/>
          </w:tcPr>
          <w:p w14:paraId="401A5A39" w14:textId="774E8CE1" w:rsidR="00824944" w:rsidRPr="00A40660" w:rsidRDefault="00824944" w:rsidP="00824944">
            <w:pPr>
              <w:jc w:val="center"/>
              <w:rPr>
                <w:rFonts w:cs="Arial"/>
                <w:noProof/>
                <w:szCs w:val="20"/>
              </w:rPr>
            </w:pPr>
            <w:r w:rsidRPr="0039255D">
              <w:rPr>
                <w:rFonts w:cs="Arial"/>
                <w:noProof/>
                <w:szCs w:val="20"/>
              </w:rPr>
              <w:t>0,00</w:t>
            </w:r>
          </w:p>
        </w:tc>
        <w:tc>
          <w:tcPr>
            <w:tcW w:w="601" w:type="pct"/>
            <w:tcBorders>
              <w:left w:val="single" w:sz="4" w:space="0" w:color="auto"/>
              <w:right w:val="single" w:sz="4" w:space="0" w:color="auto"/>
            </w:tcBorders>
            <w:shd w:val="clear" w:color="auto" w:fill="auto"/>
          </w:tcPr>
          <w:p w14:paraId="4E0421EF" w14:textId="46D3DFFF" w:rsidR="00824944" w:rsidRPr="00A40660" w:rsidRDefault="00824944" w:rsidP="00824944">
            <w:pPr>
              <w:jc w:val="center"/>
              <w:rPr>
                <w:rFonts w:cs="Arial"/>
                <w:noProof/>
                <w:szCs w:val="20"/>
              </w:rPr>
            </w:pPr>
            <w:r w:rsidRPr="0039255D">
              <w:rPr>
                <w:rFonts w:cs="Arial"/>
                <w:noProof/>
                <w:szCs w:val="20"/>
              </w:rPr>
              <w:t>0,00</w:t>
            </w:r>
          </w:p>
        </w:tc>
        <w:tc>
          <w:tcPr>
            <w:tcW w:w="515" w:type="pct"/>
            <w:tcBorders>
              <w:left w:val="single" w:sz="4" w:space="0" w:color="auto"/>
              <w:right w:val="single" w:sz="4" w:space="0" w:color="auto"/>
            </w:tcBorders>
            <w:shd w:val="clear" w:color="auto" w:fill="auto"/>
          </w:tcPr>
          <w:p w14:paraId="0F96B6E1" w14:textId="2FF64ABF" w:rsidR="00824944" w:rsidRPr="00A40660" w:rsidRDefault="00824944" w:rsidP="00824944">
            <w:pPr>
              <w:jc w:val="center"/>
              <w:rPr>
                <w:rFonts w:cs="Arial"/>
                <w:noProof/>
                <w:szCs w:val="20"/>
              </w:rPr>
            </w:pPr>
            <w:r w:rsidRPr="0039255D">
              <w:rPr>
                <w:rFonts w:cs="Arial"/>
                <w:noProof/>
                <w:szCs w:val="20"/>
              </w:rPr>
              <w:t>0,00</w:t>
            </w:r>
          </w:p>
        </w:tc>
        <w:tc>
          <w:tcPr>
            <w:tcW w:w="849" w:type="pct"/>
            <w:tcBorders>
              <w:left w:val="single" w:sz="4" w:space="0" w:color="auto"/>
              <w:right w:val="single" w:sz="4" w:space="0" w:color="auto"/>
            </w:tcBorders>
            <w:shd w:val="clear" w:color="auto" w:fill="auto"/>
          </w:tcPr>
          <w:p w14:paraId="23F27C2E" w14:textId="02CCE95C"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75292974" w14:textId="77777777" w:rsidTr="00824944">
        <w:trPr>
          <w:trHeight w:val="290"/>
        </w:trPr>
        <w:tc>
          <w:tcPr>
            <w:tcW w:w="655" w:type="pct"/>
            <w:vMerge w:val="restart"/>
            <w:tcBorders>
              <w:top w:val="single" w:sz="4" w:space="0" w:color="auto"/>
              <w:left w:val="single" w:sz="4" w:space="0" w:color="auto"/>
              <w:right w:val="single" w:sz="4" w:space="0" w:color="auto"/>
            </w:tcBorders>
            <w:shd w:val="clear" w:color="auto" w:fill="auto"/>
          </w:tcPr>
          <w:p w14:paraId="1DBCEB16" w14:textId="77777777" w:rsidR="00824944" w:rsidRPr="00A40660" w:rsidRDefault="00824944" w:rsidP="002008C1">
            <w:pPr>
              <w:jc w:val="center"/>
              <w:rPr>
                <w:rFonts w:cs="Arial"/>
                <w:noProof/>
                <w:szCs w:val="20"/>
              </w:rPr>
            </w:pPr>
            <w:r w:rsidRPr="00A40660">
              <w:rPr>
                <w:rFonts w:cs="Arial"/>
                <w:b/>
                <w:noProof/>
                <w:szCs w:val="20"/>
              </w:rPr>
              <w:t>Prednostna naloga</w:t>
            </w:r>
            <w:r w:rsidRPr="00A40660">
              <w:rPr>
                <w:rFonts w:cs="Arial"/>
                <w:noProof/>
                <w:szCs w:val="20"/>
              </w:rPr>
              <w:t xml:space="preserve"> 2</w:t>
            </w:r>
          </w:p>
        </w:tc>
        <w:tc>
          <w:tcPr>
            <w:tcW w:w="862" w:type="pct"/>
            <w:tcBorders>
              <w:top w:val="single" w:sz="4" w:space="0" w:color="auto"/>
              <w:left w:val="single" w:sz="4" w:space="0" w:color="auto"/>
              <w:right w:val="single" w:sz="4" w:space="0" w:color="auto"/>
            </w:tcBorders>
            <w:shd w:val="clear" w:color="auto" w:fill="auto"/>
          </w:tcPr>
          <w:p w14:paraId="73935E64" w14:textId="77777777" w:rsidR="00824944" w:rsidRPr="00A40660" w:rsidRDefault="00824944" w:rsidP="002008C1">
            <w:pPr>
              <w:jc w:val="center"/>
              <w:rPr>
                <w:rFonts w:cs="Arial"/>
                <w:noProof/>
                <w:szCs w:val="20"/>
              </w:rPr>
            </w:pPr>
            <w:r w:rsidRPr="00A40660">
              <w:rPr>
                <w:rFonts w:cs="Arial"/>
                <w:noProof/>
                <w:szCs w:val="20"/>
              </w:rPr>
              <w:t>2.1</w:t>
            </w:r>
          </w:p>
        </w:tc>
        <w:tc>
          <w:tcPr>
            <w:tcW w:w="675" w:type="pct"/>
            <w:tcBorders>
              <w:top w:val="single" w:sz="4" w:space="0" w:color="auto"/>
              <w:left w:val="single" w:sz="4" w:space="0" w:color="auto"/>
              <w:right w:val="single" w:sz="4" w:space="0" w:color="auto"/>
            </w:tcBorders>
            <w:shd w:val="clear" w:color="auto" w:fill="auto"/>
          </w:tcPr>
          <w:p w14:paraId="77991364"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top w:val="single" w:sz="4" w:space="0" w:color="auto"/>
              <w:left w:val="single" w:sz="4" w:space="0" w:color="auto"/>
              <w:right w:val="single" w:sz="4" w:space="0" w:color="auto"/>
            </w:tcBorders>
            <w:shd w:val="clear" w:color="auto" w:fill="auto"/>
          </w:tcPr>
          <w:p w14:paraId="4689E747" w14:textId="1B7F8E06" w:rsidR="00824944" w:rsidRPr="00A40660" w:rsidRDefault="00824944" w:rsidP="00824944">
            <w:pPr>
              <w:jc w:val="center"/>
              <w:rPr>
                <w:rFonts w:cs="Arial"/>
                <w:noProof/>
                <w:szCs w:val="20"/>
              </w:rPr>
            </w:pPr>
            <w:r w:rsidRPr="0039255D">
              <w:rPr>
                <w:rFonts w:cs="Arial"/>
                <w:noProof/>
                <w:szCs w:val="20"/>
              </w:rPr>
              <w:t>0,00</w:t>
            </w:r>
          </w:p>
        </w:tc>
        <w:tc>
          <w:tcPr>
            <w:tcW w:w="601" w:type="pct"/>
            <w:tcBorders>
              <w:top w:val="single" w:sz="4" w:space="0" w:color="auto"/>
              <w:left w:val="single" w:sz="4" w:space="0" w:color="auto"/>
              <w:right w:val="single" w:sz="4" w:space="0" w:color="auto"/>
            </w:tcBorders>
            <w:shd w:val="clear" w:color="auto" w:fill="auto"/>
          </w:tcPr>
          <w:p w14:paraId="337A63B0" w14:textId="49451B91" w:rsidR="00824944" w:rsidRPr="00A40660" w:rsidRDefault="00824944" w:rsidP="00824944">
            <w:pPr>
              <w:jc w:val="center"/>
              <w:rPr>
                <w:rFonts w:cs="Arial"/>
                <w:noProof/>
                <w:szCs w:val="20"/>
              </w:rPr>
            </w:pPr>
            <w:r w:rsidRPr="0039255D">
              <w:rPr>
                <w:rFonts w:cs="Arial"/>
                <w:noProof/>
                <w:szCs w:val="20"/>
              </w:rPr>
              <w:t>0,00</w:t>
            </w:r>
          </w:p>
        </w:tc>
        <w:tc>
          <w:tcPr>
            <w:tcW w:w="515" w:type="pct"/>
            <w:tcBorders>
              <w:top w:val="single" w:sz="4" w:space="0" w:color="auto"/>
              <w:left w:val="single" w:sz="4" w:space="0" w:color="auto"/>
              <w:right w:val="single" w:sz="4" w:space="0" w:color="auto"/>
            </w:tcBorders>
            <w:shd w:val="clear" w:color="auto" w:fill="auto"/>
          </w:tcPr>
          <w:p w14:paraId="794F290E" w14:textId="169E4F77" w:rsidR="00824944" w:rsidRPr="00A40660" w:rsidRDefault="00824944" w:rsidP="00824944">
            <w:pPr>
              <w:jc w:val="center"/>
              <w:rPr>
                <w:rFonts w:cs="Arial"/>
                <w:noProof/>
                <w:szCs w:val="20"/>
              </w:rPr>
            </w:pPr>
            <w:r w:rsidRPr="0039255D">
              <w:rPr>
                <w:rFonts w:cs="Arial"/>
                <w:noProof/>
                <w:szCs w:val="20"/>
              </w:rPr>
              <w:t>0,00</w:t>
            </w:r>
          </w:p>
        </w:tc>
        <w:tc>
          <w:tcPr>
            <w:tcW w:w="849" w:type="pct"/>
            <w:tcBorders>
              <w:top w:val="single" w:sz="4" w:space="0" w:color="auto"/>
              <w:left w:val="single" w:sz="4" w:space="0" w:color="auto"/>
              <w:right w:val="single" w:sz="4" w:space="0" w:color="auto"/>
            </w:tcBorders>
            <w:shd w:val="clear" w:color="auto" w:fill="auto"/>
          </w:tcPr>
          <w:p w14:paraId="6CE70148" w14:textId="0A212DAA"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6D80063B" w14:textId="77777777" w:rsidTr="00824944">
        <w:trPr>
          <w:trHeight w:val="290"/>
        </w:trPr>
        <w:tc>
          <w:tcPr>
            <w:tcW w:w="655" w:type="pct"/>
            <w:vMerge/>
            <w:tcBorders>
              <w:left w:val="single" w:sz="4" w:space="0" w:color="auto"/>
              <w:right w:val="single" w:sz="4" w:space="0" w:color="auto"/>
            </w:tcBorders>
            <w:shd w:val="clear" w:color="auto" w:fill="auto"/>
          </w:tcPr>
          <w:p w14:paraId="2EF44418" w14:textId="77777777" w:rsidR="00824944" w:rsidRPr="00A40660" w:rsidRDefault="00824944" w:rsidP="002008C1">
            <w:pPr>
              <w:jc w:val="center"/>
              <w:rPr>
                <w:rFonts w:cs="Arial"/>
                <w:b/>
                <w:noProof/>
                <w:szCs w:val="20"/>
              </w:rPr>
            </w:pPr>
          </w:p>
        </w:tc>
        <w:tc>
          <w:tcPr>
            <w:tcW w:w="862" w:type="pct"/>
            <w:tcBorders>
              <w:top w:val="single" w:sz="4" w:space="0" w:color="auto"/>
              <w:left w:val="single" w:sz="4" w:space="0" w:color="auto"/>
              <w:right w:val="single" w:sz="4" w:space="0" w:color="auto"/>
            </w:tcBorders>
            <w:shd w:val="clear" w:color="auto" w:fill="auto"/>
          </w:tcPr>
          <w:p w14:paraId="6BE51253" w14:textId="360DC1A1" w:rsidR="00824944" w:rsidRPr="00A40660" w:rsidRDefault="00824944" w:rsidP="002008C1">
            <w:pPr>
              <w:jc w:val="center"/>
              <w:rPr>
                <w:rFonts w:cs="Arial"/>
                <w:noProof/>
                <w:szCs w:val="20"/>
              </w:rPr>
            </w:pPr>
            <w:r>
              <w:rPr>
                <w:rFonts w:cs="Arial"/>
                <w:noProof/>
                <w:szCs w:val="20"/>
              </w:rPr>
              <w:t>2.2</w:t>
            </w:r>
          </w:p>
        </w:tc>
        <w:tc>
          <w:tcPr>
            <w:tcW w:w="675" w:type="pct"/>
            <w:tcBorders>
              <w:top w:val="single" w:sz="4" w:space="0" w:color="auto"/>
              <w:left w:val="single" w:sz="4" w:space="0" w:color="auto"/>
              <w:right w:val="single" w:sz="4" w:space="0" w:color="auto"/>
            </w:tcBorders>
            <w:shd w:val="clear" w:color="auto" w:fill="auto"/>
          </w:tcPr>
          <w:p w14:paraId="4DFCF08A" w14:textId="27CFE17A" w:rsidR="00824944" w:rsidRPr="00A40660" w:rsidRDefault="00824944" w:rsidP="002008C1">
            <w:pPr>
              <w:jc w:val="center"/>
              <w:rPr>
                <w:rFonts w:cs="Arial"/>
                <w:noProof/>
                <w:szCs w:val="20"/>
              </w:rPr>
            </w:pPr>
            <w:r>
              <w:rPr>
                <w:rFonts w:cs="Arial"/>
                <w:noProof/>
                <w:szCs w:val="20"/>
              </w:rPr>
              <w:t>javni</w:t>
            </w:r>
          </w:p>
        </w:tc>
        <w:tc>
          <w:tcPr>
            <w:tcW w:w="843" w:type="pct"/>
            <w:tcBorders>
              <w:top w:val="single" w:sz="4" w:space="0" w:color="auto"/>
              <w:left w:val="single" w:sz="4" w:space="0" w:color="auto"/>
              <w:right w:val="single" w:sz="4" w:space="0" w:color="auto"/>
            </w:tcBorders>
            <w:shd w:val="clear" w:color="auto" w:fill="auto"/>
          </w:tcPr>
          <w:p w14:paraId="7BA4B7AB" w14:textId="07784071" w:rsidR="00824944" w:rsidRPr="00A40660" w:rsidRDefault="00824944" w:rsidP="00824944">
            <w:pPr>
              <w:jc w:val="center"/>
              <w:rPr>
                <w:rFonts w:cs="Arial"/>
                <w:noProof/>
                <w:szCs w:val="20"/>
              </w:rPr>
            </w:pPr>
            <w:r w:rsidRPr="0039255D">
              <w:rPr>
                <w:rFonts w:cs="Arial"/>
                <w:noProof/>
                <w:szCs w:val="20"/>
              </w:rPr>
              <w:t>0,00</w:t>
            </w:r>
          </w:p>
        </w:tc>
        <w:tc>
          <w:tcPr>
            <w:tcW w:w="601" w:type="pct"/>
            <w:tcBorders>
              <w:top w:val="single" w:sz="4" w:space="0" w:color="auto"/>
              <w:left w:val="single" w:sz="4" w:space="0" w:color="auto"/>
              <w:right w:val="single" w:sz="4" w:space="0" w:color="auto"/>
            </w:tcBorders>
            <w:shd w:val="clear" w:color="auto" w:fill="auto"/>
          </w:tcPr>
          <w:p w14:paraId="79271DA5" w14:textId="7B3F7306" w:rsidR="00824944" w:rsidRPr="00A40660" w:rsidRDefault="00824944" w:rsidP="00824944">
            <w:pPr>
              <w:jc w:val="center"/>
              <w:rPr>
                <w:rFonts w:cs="Arial"/>
                <w:noProof/>
                <w:szCs w:val="20"/>
              </w:rPr>
            </w:pPr>
            <w:r w:rsidRPr="0039255D">
              <w:rPr>
                <w:rFonts w:cs="Arial"/>
                <w:noProof/>
                <w:szCs w:val="20"/>
              </w:rPr>
              <w:t>0,00</w:t>
            </w:r>
          </w:p>
        </w:tc>
        <w:tc>
          <w:tcPr>
            <w:tcW w:w="515" w:type="pct"/>
            <w:tcBorders>
              <w:top w:val="single" w:sz="4" w:space="0" w:color="auto"/>
              <w:left w:val="single" w:sz="4" w:space="0" w:color="auto"/>
              <w:right w:val="single" w:sz="4" w:space="0" w:color="auto"/>
            </w:tcBorders>
            <w:shd w:val="clear" w:color="auto" w:fill="auto"/>
          </w:tcPr>
          <w:p w14:paraId="6CA92CF6" w14:textId="525B460C" w:rsidR="00824944" w:rsidRDefault="00824944" w:rsidP="00824944">
            <w:pPr>
              <w:jc w:val="center"/>
              <w:rPr>
                <w:rFonts w:cs="Arial"/>
                <w:noProof/>
                <w:szCs w:val="20"/>
              </w:rPr>
            </w:pPr>
            <w:r w:rsidRPr="0039255D">
              <w:rPr>
                <w:rFonts w:cs="Arial"/>
                <w:noProof/>
                <w:szCs w:val="20"/>
              </w:rPr>
              <w:t>0,00</w:t>
            </w:r>
          </w:p>
        </w:tc>
        <w:tc>
          <w:tcPr>
            <w:tcW w:w="849" w:type="pct"/>
            <w:tcBorders>
              <w:top w:val="single" w:sz="4" w:space="0" w:color="auto"/>
              <w:left w:val="single" w:sz="4" w:space="0" w:color="auto"/>
              <w:right w:val="single" w:sz="4" w:space="0" w:color="auto"/>
            </w:tcBorders>
            <w:shd w:val="clear" w:color="auto" w:fill="auto"/>
          </w:tcPr>
          <w:p w14:paraId="312EDA78" w14:textId="35E191ED"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26AD6371" w14:textId="77777777" w:rsidTr="00824944">
        <w:trPr>
          <w:trHeight w:val="293"/>
        </w:trPr>
        <w:tc>
          <w:tcPr>
            <w:tcW w:w="655" w:type="pct"/>
            <w:tcBorders>
              <w:top w:val="single" w:sz="4" w:space="0" w:color="auto"/>
              <w:left w:val="single" w:sz="4" w:space="0" w:color="auto"/>
              <w:bottom w:val="single" w:sz="4" w:space="0" w:color="auto"/>
              <w:right w:val="single" w:sz="4" w:space="0" w:color="auto"/>
            </w:tcBorders>
            <w:shd w:val="clear" w:color="auto" w:fill="auto"/>
          </w:tcPr>
          <w:p w14:paraId="4728428C" w14:textId="77777777" w:rsidR="00824944" w:rsidRPr="00A40660" w:rsidRDefault="00824944" w:rsidP="002A217E">
            <w:pPr>
              <w:jc w:val="center"/>
              <w:rPr>
                <w:rFonts w:cs="Arial"/>
                <w:noProof/>
                <w:szCs w:val="20"/>
              </w:rPr>
            </w:pPr>
            <w:r w:rsidRPr="00A40660">
              <w:rPr>
                <w:rFonts w:cs="Arial"/>
                <w:b/>
                <w:noProof/>
                <w:szCs w:val="20"/>
              </w:rPr>
              <w:t>Prednostna naloga</w:t>
            </w:r>
            <w:r w:rsidRPr="00A40660">
              <w:rPr>
                <w:rFonts w:cs="Arial"/>
                <w:noProof/>
                <w:szCs w:val="20"/>
              </w:rPr>
              <w:t xml:space="preserve"> 3</w:t>
            </w:r>
          </w:p>
        </w:tc>
        <w:tc>
          <w:tcPr>
            <w:tcW w:w="862" w:type="pct"/>
            <w:tcBorders>
              <w:top w:val="single" w:sz="4" w:space="0" w:color="auto"/>
              <w:left w:val="single" w:sz="4" w:space="0" w:color="auto"/>
              <w:right w:val="single" w:sz="4" w:space="0" w:color="auto"/>
            </w:tcBorders>
            <w:shd w:val="clear" w:color="auto" w:fill="auto"/>
          </w:tcPr>
          <w:p w14:paraId="6E8DD4FD" w14:textId="77777777" w:rsidR="00824944" w:rsidRPr="00A40660" w:rsidRDefault="00824944" w:rsidP="002008C1">
            <w:pPr>
              <w:jc w:val="center"/>
              <w:rPr>
                <w:rFonts w:cs="Arial"/>
                <w:noProof/>
                <w:szCs w:val="20"/>
              </w:rPr>
            </w:pPr>
            <w:r w:rsidRPr="00A40660">
              <w:rPr>
                <w:rFonts w:cs="Arial"/>
                <w:noProof/>
                <w:szCs w:val="20"/>
              </w:rPr>
              <w:t>3.1</w:t>
            </w:r>
          </w:p>
        </w:tc>
        <w:tc>
          <w:tcPr>
            <w:tcW w:w="675" w:type="pct"/>
            <w:tcBorders>
              <w:top w:val="single" w:sz="4" w:space="0" w:color="auto"/>
              <w:left w:val="single" w:sz="4" w:space="0" w:color="auto"/>
              <w:right w:val="single" w:sz="4" w:space="0" w:color="auto"/>
            </w:tcBorders>
            <w:shd w:val="clear" w:color="auto" w:fill="auto"/>
          </w:tcPr>
          <w:p w14:paraId="5230EFD6"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top w:val="single" w:sz="4" w:space="0" w:color="auto"/>
              <w:left w:val="single" w:sz="4" w:space="0" w:color="auto"/>
              <w:right w:val="single" w:sz="4" w:space="0" w:color="auto"/>
            </w:tcBorders>
            <w:shd w:val="clear" w:color="auto" w:fill="auto"/>
          </w:tcPr>
          <w:p w14:paraId="3A6DBD62" w14:textId="2B4CF4BC" w:rsidR="00824944" w:rsidRPr="00A40660" w:rsidRDefault="00824944" w:rsidP="00824944">
            <w:pPr>
              <w:jc w:val="center"/>
              <w:rPr>
                <w:rFonts w:cs="Arial"/>
                <w:noProof/>
                <w:szCs w:val="20"/>
              </w:rPr>
            </w:pPr>
            <w:r w:rsidRPr="0039255D">
              <w:rPr>
                <w:rFonts w:cs="Arial"/>
                <w:noProof/>
                <w:szCs w:val="20"/>
              </w:rPr>
              <w:t>0,00</w:t>
            </w:r>
          </w:p>
        </w:tc>
        <w:tc>
          <w:tcPr>
            <w:tcW w:w="601" w:type="pct"/>
            <w:tcBorders>
              <w:top w:val="single" w:sz="4" w:space="0" w:color="auto"/>
              <w:left w:val="single" w:sz="4" w:space="0" w:color="auto"/>
              <w:right w:val="single" w:sz="4" w:space="0" w:color="auto"/>
            </w:tcBorders>
            <w:shd w:val="clear" w:color="auto" w:fill="auto"/>
          </w:tcPr>
          <w:p w14:paraId="1F072DDF" w14:textId="4C2C95DB" w:rsidR="00824944" w:rsidRPr="00A40660" w:rsidRDefault="00824944" w:rsidP="00824944">
            <w:pPr>
              <w:jc w:val="center"/>
              <w:rPr>
                <w:rFonts w:cs="Arial"/>
                <w:noProof/>
                <w:szCs w:val="20"/>
              </w:rPr>
            </w:pPr>
            <w:r w:rsidRPr="0039255D">
              <w:rPr>
                <w:rFonts w:cs="Arial"/>
                <w:noProof/>
                <w:szCs w:val="20"/>
              </w:rPr>
              <w:t>0,00</w:t>
            </w:r>
          </w:p>
        </w:tc>
        <w:tc>
          <w:tcPr>
            <w:tcW w:w="515" w:type="pct"/>
            <w:tcBorders>
              <w:top w:val="single" w:sz="4" w:space="0" w:color="auto"/>
              <w:left w:val="single" w:sz="4" w:space="0" w:color="auto"/>
              <w:right w:val="single" w:sz="4" w:space="0" w:color="auto"/>
            </w:tcBorders>
            <w:shd w:val="clear" w:color="auto" w:fill="auto"/>
          </w:tcPr>
          <w:p w14:paraId="7177929C" w14:textId="129B0E95" w:rsidR="00824944" w:rsidRPr="00A40660" w:rsidRDefault="00824944" w:rsidP="00824944">
            <w:pPr>
              <w:jc w:val="center"/>
              <w:rPr>
                <w:rFonts w:cs="Arial"/>
                <w:noProof/>
                <w:szCs w:val="20"/>
              </w:rPr>
            </w:pPr>
            <w:r w:rsidRPr="0039255D">
              <w:rPr>
                <w:rFonts w:cs="Arial"/>
                <w:noProof/>
                <w:szCs w:val="20"/>
              </w:rPr>
              <w:t>0,00</w:t>
            </w:r>
          </w:p>
        </w:tc>
        <w:tc>
          <w:tcPr>
            <w:tcW w:w="849" w:type="pct"/>
            <w:tcBorders>
              <w:top w:val="single" w:sz="4" w:space="0" w:color="auto"/>
              <w:left w:val="single" w:sz="4" w:space="0" w:color="auto"/>
              <w:right w:val="single" w:sz="4" w:space="0" w:color="auto"/>
            </w:tcBorders>
            <w:shd w:val="clear" w:color="auto" w:fill="auto"/>
          </w:tcPr>
          <w:p w14:paraId="13405945" w14:textId="29A8004A"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0C34E047" w14:textId="77777777" w:rsidTr="00824944">
        <w:trPr>
          <w:trHeight w:val="270"/>
        </w:trPr>
        <w:tc>
          <w:tcPr>
            <w:tcW w:w="655" w:type="pct"/>
            <w:tcBorders>
              <w:top w:val="single" w:sz="4" w:space="0" w:color="auto"/>
              <w:left w:val="single" w:sz="4" w:space="0" w:color="auto"/>
              <w:right w:val="single" w:sz="4" w:space="0" w:color="auto"/>
            </w:tcBorders>
            <w:shd w:val="clear" w:color="auto" w:fill="auto"/>
          </w:tcPr>
          <w:p w14:paraId="64CCA271" w14:textId="77777777" w:rsidR="00824944" w:rsidRPr="00A40660" w:rsidRDefault="00824944" w:rsidP="002008C1">
            <w:pPr>
              <w:jc w:val="center"/>
              <w:rPr>
                <w:rFonts w:cs="Arial"/>
                <w:noProof/>
                <w:szCs w:val="20"/>
              </w:rPr>
            </w:pPr>
            <w:r w:rsidRPr="00A40660">
              <w:rPr>
                <w:rFonts w:cs="Arial"/>
                <w:b/>
                <w:noProof/>
                <w:szCs w:val="20"/>
              </w:rPr>
              <w:t>Prednostna naloga</w:t>
            </w:r>
            <w:r w:rsidRPr="00A40660">
              <w:rPr>
                <w:rFonts w:cs="Arial"/>
                <w:noProof/>
                <w:szCs w:val="20"/>
              </w:rPr>
              <w:t xml:space="preserve">  4</w:t>
            </w:r>
          </w:p>
        </w:tc>
        <w:tc>
          <w:tcPr>
            <w:tcW w:w="862" w:type="pct"/>
            <w:tcBorders>
              <w:top w:val="single" w:sz="4" w:space="0" w:color="auto"/>
              <w:left w:val="single" w:sz="4" w:space="0" w:color="auto"/>
              <w:right w:val="single" w:sz="4" w:space="0" w:color="auto"/>
            </w:tcBorders>
            <w:shd w:val="clear" w:color="auto" w:fill="auto"/>
          </w:tcPr>
          <w:p w14:paraId="1980B254" w14:textId="77777777" w:rsidR="00824944" w:rsidRPr="00A40660" w:rsidRDefault="00824944" w:rsidP="002008C1">
            <w:pPr>
              <w:jc w:val="center"/>
              <w:rPr>
                <w:rFonts w:cs="Arial"/>
                <w:noProof/>
                <w:szCs w:val="20"/>
              </w:rPr>
            </w:pPr>
            <w:r w:rsidRPr="00A40660">
              <w:rPr>
                <w:rFonts w:cs="Arial"/>
                <w:noProof/>
                <w:szCs w:val="20"/>
              </w:rPr>
              <w:t>4.1</w:t>
            </w:r>
          </w:p>
        </w:tc>
        <w:tc>
          <w:tcPr>
            <w:tcW w:w="675" w:type="pct"/>
            <w:tcBorders>
              <w:top w:val="single" w:sz="4" w:space="0" w:color="auto"/>
              <w:left w:val="single" w:sz="4" w:space="0" w:color="auto"/>
              <w:right w:val="single" w:sz="4" w:space="0" w:color="auto"/>
            </w:tcBorders>
            <w:shd w:val="clear" w:color="auto" w:fill="auto"/>
          </w:tcPr>
          <w:p w14:paraId="7945FBDB"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top w:val="single" w:sz="4" w:space="0" w:color="auto"/>
              <w:left w:val="single" w:sz="4" w:space="0" w:color="auto"/>
              <w:right w:val="single" w:sz="4" w:space="0" w:color="auto"/>
            </w:tcBorders>
            <w:shd w:val="clear" w:color="auto" w:fill="auto"/>
          </w:tcPr>
          <w:p w14:paraId="0CDBFB5F" w14:textId="4255A74A" w:rsidR="00824944" w:rsidRPr="00A40660" w:rsidRDefault="00824944" w:rsidP="00824944">
            <w:pPr>
              <w:jc w:val="center"/>
              <w:rPr>
                <w:rFonts w:cs="Arial"/>
                <w:noProof/>
                <w:szCs w:val="20"/>
              </w:rPr>
            </w:pPr>
            <w:r w:rsidRPr="0039255D">
              <w:rPr>
                <w:rFonts w:cs="Arial"/>
                <w:noProof/>
                <w:szCs w:val="20"/>
              </w:rPr>
              <w:t>0,00</w:t>
            </w:r>
          </w:p>
        </w:tc>
        <w:tc>
          <w:tcPr>
            <w:tcW w:w="601" w:type="pct"/>
            <w:tcBorders>
              <w:top w:val="single" w:sz="4" w:space="0" w:color="auto"/>
              <w:left w:val="single" w:sz="4" w:space="0" w:color="auto"/>
              <w:right w:val="single" w:sz="4" w:space="0" w:color="auto"/>
            </w:tcBorders>
            <w:shd w:val="clear" w:color="auto" w:fill="auto"/>
          </w:tcPr>
          <w:p w14:paraId="6E4713E5" w14:textId="657DC2F4" w:rsidR="00824944" w:rsidRPr="00A40660" w:rsidRDefault="00824944" w:rsidP="00824944">
            <w:pPr>
              <w:jc w:val="center"/>
              <w:rPr>
                <w:rFonts w:cs="Arial"/>
                <w:noProof/>
                <w:szCs w:val="20"/>
              </w:rPr>
            </w:pPr>
            <w:r w:rsidRPr="0039255D">
              <w:rPr>
                <w:rFonts w:cs="Arial"/>
                <w:noProof/>
                <w:szCs w:val="20"/>
              </w:rPr>
              <w:t>0,00</w:t>
            </w:r>
          </w:p>
        </w:tc>
        <w:tc>
          <w:tcPr>
            <w:tcW w:w="515" w:type="pct"/>
            <w:tcBorders>
              <w:top w:val="single" w:sz="4" w:space="0" w:color="auto"/>
              <w:left w:val="single" w:sz="4" w:space="0" w:color="auto"/>
              <w:right w:val="single" w:sz="4" w:space="0" w:color="auto"/>
            </w:tcBorders>
            <w:shd w:val="clear" w:color="auto" w:fill="auto"/>
          </w:tcPr>
          <w:p w14:paraId="37D334B9" w14:textId="618B23E6" w:rsidR="00824944" w:rsidRPr="00A40660" w:rsidRDefault="00824944" w:rsidP="00824944">
            <w:pPr>
              <w:jc w:val="center"/>
              <w:rPr>
                <w:rFonts w:cs="Arial"/>
                <w:noProof/>
                <w:szCs w:val="20"/>
              </w:rPr>
            </w:pPr>
            <w:r w:rsidRPr="0039255D">
              <w:rPr>
                <w:rFonts w:cs="Arial"/>
                <w:noProof/>
                <w:szCs w:val="20"/>
              </w:rPr>
              <w:t>0,00</w:t>
            </w:r>
          </w:p>
        </w:tc>
        <w:tc>
          <w:tcPr>
            <w:tcW w:w="849" w:type="pct"/>
            <w:tcBorders>
              <w:top w:val="single" w:sz="4" w:space="0" w:color="auto"/>
              <w:left w:val="single" w:sz="4" w:space="0" w:color="auto"/>
              <w:right w:val="single" w:sz="4" w:space="0" w:color="auto"/>
            </w:tcBorders>
            <w:shd w:val="clear" w:color="auto" w:fill="auto"/>
          </w:tcPr>
          <w:p w14:paraId="3C9A72DA" w14:textId="2D1FE137"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36A8DAEA" w14:textId="77777777" w:rsidTr="00824944">
        <w:tc>
          <w:tcPr>
            <w:tcW w:w="655" w:type="pct"/>
            <w:tcBorders>
              <w:top w:val="single" w:sz="4" w:space="0" w:color="auto"/>
              <w:left w:val="single" w:sz="4" w:space="0" w:color="auto"/>
              <w:bottom w:val="single" w:sz="4" w:space="0" w:color="auto"/>
              <w:right w:val="single" w:sz="4" w:space="0" w:color="auto"/>
            </w:tcBorders>
            <w:shd w:val="clear" w:color="auto" w:fill="auto"/>
          </w:tcPr>
          <w:p w14:paraId="638CB76B" w14:textId="3C8FA9E6" w:rsidR="00824944" w:rsidRPr="00A40660" w:rsidRDefault="00824944" w:rsidP="002A217E">
            <w:pPr>
              <w:jc w:val="center"/>
              <w:rPr>
                <w:rFonts w:cs="Arial"/>
                <w:noProof/>
                <w:szCs w:val="20"/>
              </w:rPr>
            </w:pPr>
            <w:r w:rsidRPr="00A40660">
              <w:rPr>
                <w:rFonts w:cs="Arial"/>
                <w:noProof/>
                <w:szCs w:val="20"/>
              </w:rPr>
              <w:t>TP (Člen 3</w:t>
            </w:r>
            <w:r w:rsidR="00912F4D">
              <w:rPr>
                <w:rFonts w:cs="Arial"/>
                <w:noProof/>
                <w:szCs w:val="20"/>
              </w:rPr>
              <w:t>6</w:t>
            </w:r>
            <w:r w:rsidRPr="00A40660">
              <w:rPr>
                <w:rFonts w:cs="Arial"/>
                <w:noProof/>
                <w:szCs w:val="20"/>
              </w:rPr>
              <w:t>(4))</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2865637B" w14:textId="77777777" w:rsidR="00824944" w:rsidRPr="00A40660" w:rsidRDefault="00824944" w:rsidP="002008C1">
            <w:pPr>
              <w:jc w:val="center"/>
              <w:rPr>
                <w:rFonts w:cs="Arial"/>
                <w:noProof/>
                <w:szCs w:val="20"/>
              </w:rPr>
            </w:pPr>
            <w:r w:rsidRPr="00A40660">
              <w:rPr>
                <w:rFonts w:cs="Arial"/>
                <w:noProof/>
                <w:szCs w:val="20"/>
              </w:rPr>
              <w:t>5.1</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4A636D4"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792585B" w14:textId="6AFF974C" w:rsidR="00824944" w:rsidRPr="00A40660" w:rsidRDefault="00824944" w:rsidP="00824944">
            <w:pPr>
              <w:jc w:val="center"/>
              <w:rPr>
                <w:rFonts w:cs="Arial"/>
                <w:noProof/>
                <w:szCs w:val="20"/>
              </w:rPr>
            </w:pPr>
            <w:r w:rsidRPr="0039255D">
              <w:rPr>
                <w:rFonts w:cs="Arial"/>
                <w:noProof/>
                <w:szCs w:val="20"/>
              </w:rPr>
              <w:t>0,00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4545FC5" w14:textId="24AD0706" w:rsidR="00824944" w:rsidRPr="00A40660" w:rsidRDefault="00824944" w:rsidP="00824944">
            <w:pPr>
              <w:jc w:val="center"/>
              <w:rPr>
                <w:rFonts w:cs="Arial"/>
                <w:noProof/>
                <w:szCs w:val="20"/>
              </w:rPr>
            </w:pPr>
            <w:r w:rsidRPr="0039255D">
              <w:rPr>
                <w:rFonts w:cs="Arial"/>
                <w:noProof/>
                <w:szCs w:val="20"/>
              </w:rPr>
              <w:t>0,00</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3EAD1B3" w14:textId="31ED0A1E" w:rsidR="00824944" w:rsidRPr="00A40660" w:rsidRDefault="00824944" w:rsidP="00824944">
            <w:pPr>
              <w:jc w:val="center"/>
              <w:rPr>
                <w:rFonts w:cs="Arial"/>
                <w:noProof/>
                <w:szCs w:val="20"/>
              </w:rPr>
            </w:pPr>
            <w:r w:rsidRPr="0039255D">
              <w:rPr>
                <w:rFonts w:cs="Arial"/>
                <w:noProof/>
                <w:szCs w:val="20"/>
              </w:rPr>
              <w:t>0,00</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627B7E4A" w14:textId="3B0FB5A6" w:rsidR="00824944" w:rsidRPr="00A40660" w:rsidRDefault="00824944" w:rsidP="00824944">
            <w:pPr>
              <w:jc w:val="center"/>
              <w:rPr>
                <w:rFonts w:cs="Arial"/>
                <w:noProof/>
                <w:szCs w:val="20"/>
              </w:rPr>
            </w:pPr>
            <w:r w:rsidRPr="0039255D">
              <w:rPr>
                <w:rFonts w:cs="Arial"/>
                <w:noProof/>
                <w:szCs w:val="20"/>
              </w:rPr>
              <w:t>0,00</w:t>
            </w:r>
          </w:p>
        </w:tc>
      </w:tr>
      <w:tr w:rsidR="00824944" w:rsidRPr="00A40660" w14:paraId="0CE85720" w14:textId="77777777" w:rsidTr="00824944">
        <w:tc>
          <w:tcPr>
            <w:tcW w:w="655" w:type="pct"/>
            <w:tcBorders>
              <w:top w:val="single" w:sz="4" w:space="0" w:color="auto"/>
              <w:left w:val="single" w:sz="4" w:space="0" w:color="auto"/>
              <w:bottom w:val="single" w:sz="4" w:space="0" w:color="auto"/>
              <w:right w:val="single" w:sz="4" w:space="0" w:color="auto"/>
            </w:tcBorders>
            <w:shd w:val="clear" w:color="auto" w:fill="auto"/>
          </w:tcPr>
          <w:p w14:paraId="06E30A6B" w14:textId="6E75A5FB" w:rsidR="00824944" w:rsidRPr="00A40660" w:rsidRDefault="00824944" w:rsidP="002A217E">
            <w:pPr>
              <w:jc w:val="center"/>
              <w:rPr>
                <w:rFonts w:cs="Arial"/>
                <w:noProof/>
                <w:szCs w:val="20"/>
              </w:rPr>
            </w:pPr>
            <w:r w:rsidRPr="00A40660">
              <w:rPr>
                <w:rFonts w:cs="Arial"/>
                <w:noProof/>
                <w:szCs w:val="20"/>
              </w:rPr>
              <w:t>TP (Člen 3</w:t>
            </w:r>
            <w:r w:rsidR="00912F4D">
              <w:rPr>
                <w:rFonts w:cs="Arial"/>
                <w:noProof/>
                <w:szCs w:val="20"/>
              </w:rPr>
              <w:t>7</w:t>
            </w:r>
            <w:r w:rsidRPr="00A40660">
              <w:rPr>
                <w:rFonts w:cs="Arial"/>
                <w:noProof/>
                <w:szCs w:val="20"/>
              </w:rPr>
              <w:t>)</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F136251" w14:textId="77777777" w:rsidR="00824944" w:rsidRPr="00A40660" w:rsidRDefault="00824944" w:rsidP="002008C1">
            <w:pPr>
              <w:jc w:val="center"/>
              <w:rPr>
                <w:rFonts w:cs="Arial"/>
                <w:noProof/>
                <w:szCs w:val="20"/>
              </w:rPr>
            </w:pPr>
            <w:r w:rsidRPr="00A40660">
              <w:rPr>
                <w:rFonts w:cs="Arial"/>
                <w:noProof/>
                <w:szCs w:val="20"/>
              </w:rPr>
              <w:t>5.2</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35AFA727" w14:textId="77777777" w:rsidR="00824944" w:rsidRPr="00A40660" w:rsidRDefault="00824944" w:rsidP="002008C1">
            <w:pPr>
              <w:jc w:val="center"/>
              <w:rPr>
                <w:rFonts w:cs="Arial"/>
                <w:noProof/>
                <w:szCs w:val="20"/>
              </w:rPr>
            </w:pPr>
            <w:r w:rsidRPr="00A40660">
              <w:rPr>
                <w:rFonts w:cs="Arial"/>
                <w:noProof/>
                <w:szCs w:val="20"/>
              </w:rPr>
              <w:t>javni</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EAC41F6" w14:textId="6A5C4182" w:rsidR="00824944" w:rsidRPr="00A40660" w:rsidRDefault="00824944" w:rsidP="00824944">
            <w:pPr>
              <w:jc w:val="center"/>
              <w:rPr>
                <w:rFonts w:cs="Arial"/>
                <w:noProof/>
                <w:szCs w:val="20"/>
              </w:rPr>
            </w:pPr>
            <w:r w:rsidRPr="0039255D">
              <w:rPr>
                <w:rFonts w:cs="Arial"/>
                <w:noProof/>
                <w:szCs w:val="20"/>
              </w:rPr>
              <w:t>0,00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16B3616" w14:textId="1CF338BD" w:rsidR="00824944" w:rsidRPr="00A40660" w:rsidRDefault="00824944" w:rsidP="00824944">
            <w:pPr>
              <w:jc w:val="center"/>
              <w:rPr>
                <w:rFonts w:cs="Arial"/>
                <w:noProof/>
                <w:szCs w:val="20"/>
              </w:rPr>
            </w:pPr>
            <w:r w:rsidRPr="0039255D">
              <w:rPr>
                <w:rFonts w:cs="Arial"/>
                <w:noProof/>
                <w:szCs w:val="20"/>
              </w:rPr>
              <w:t>0,00</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2906BAEB" w14:textId="6DA9F963" w:rsidR="00824944" w:rsidRPr="00A40660" w:rsidRDefault="00824944" w:rsidP="00824944">
            <w:pPr>
              <w:jc w:val="center"/>
              <w:rPr>
                <w:rFonts w:cs="Arial"/>
                <w:noProof/>
                <w:szCs w:val="20"/>
              </w:rPr>
            </w:pPr>
            <w:r w:rsidRPr="0039255D">
              <w:rPr>
                <w:rFonts w:cs="Arial"/>
                <w:noProof/>
                <w:szCs w:val="20"/>
              </w:rPr>
              <w:t>0,00</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23D8372" w14:textId="64B883C2" w:rsidR="00824944" w:rsidRPr="00A40660" w:rsidRDefault="00824944" w:rsidP="00824944">
            <w:pPr>
              <w:jc w:val="center"/>
              <w:rPr>
                <w:rFonts w:cs="Arial"/>
                <w:noProof/>
                <w:szCs w:val="20"/>
              </w:rPr>
            </w:pPr>
            <w:r w:rsidRPr="0039255D">
              <w:rPr>
                <w:rFonts w:cs="Arial"/>
                <w:noProof/>
                <w:szCs w:val="20"/>
              </w:rPr>
              <w:t>0,00</w:t>
            </w:r>
          </w:p>
        </w:tc>
      </w:tr>
    </w:tbl>
    <w:p w14:paraId="48632EA2" w14:textId="77777777" w:rsidR="00705CFB" w:rsidRDefault="00705CFB" w:rsidP="009D4BB4">
      <w:pPr>
        <w:spacing w:before="240" w:after="240" w:line="240" w:lineRule="auto"/>
        <w:rPr>
          <w:rFonts w:cs="Arial"/>
          <w:bCs/>
          <w:i/>
          <w:noProof/>
          <w:szCs w:val="20"/>
        </w:rPr>
      </w:pPr>
    </w:p>
    <w:p w14:paraId="2000DCAE" w14:textId="77777777" w:rsidR="00705CFB" w:rsidRDefault="00705CFB" w:rsidP="009D4BB4">
      <w:pPr>
        <w:spacing w:before="240" w:after="240" w:line="240" w:lineRule="auto"/>
        <w:rPr>
          <w:rFonts w:cs="Arial"/>
          <w:bCs/>
          <w:i/>
          <w:noProof/>
          <w:szCs w:val="20"/>
        </w:rPr>
      </w:pPr>
    </w:p>
    <w:p w14:paraId="5C1EAF9D" w14:textId="77777777" w:rsidR="00705CFB" w:rsidRDefault="00705CFB" w:rsidP="009D4BB4">
      <w:pPr>
        <w:spacing w:before="240" w:after="240" w:line="240" w:lineRule="auto"/>
        <w:rPr>
          <w:rFonts w:cs="Arial"/>
          <w:bCs/>
          <w:i/>
          <w:noProof/>
          <w:szCs w:val="20"/>
        </w:rPr>
      </w:pPr>
    </w:p>
    <w:p w14:paraId="204400EA" w14:textId="326D8EB0" w:rsidR="009D4BB4" w:rsidRPr="00A40660" w:rsidRDefault="009D4BB4" w:rsidP="009D4BB4">
      <w:pPr>
        <w:spacing w:before="240" w:after="240" w:line="240" w:lineRule="auto"/>
        <w:rPr>
          <w:rFonts w:cs="Arial"/>
          <w:bCs/>
          <w:i/>
          <w:noProof/>
          <w:szCs w:val="20"/>
        </w:rPr>
      </w:pPr>
      <w:r w:rsidRPr="00A40660">
        <w:rPr>
          <w:rFonts w:cs="Arial"/>
          <w:bCs/>
          <w:i/>
          <w:noProof/>
          <w:szCs w:val="20"/>
        </w:rPr>
        <w:lastRenderedPageBreak/>
        <w:t>ESPRA program, ki vključuje tehnično pomoč v skladu s členom 3</w:t>
      </w:r>
      <w:r w:rsidR="00D641EE">
        <w:rPr>
          <w:rFonts w:cs="Arial"/>
          <w:bCs/>
          <w:i/>
          <w:noProof/>
          <w:szCs w:val="20"/>
        </w:rPr>
        <w:t>6</w:t>
      </w:r>
      <w:r w:rsidRPr="00A40660">
        <w:rPr>
          <w:rFonts w:cs="Arial"/>
          <w:bCs/>
          <w:i/>
          <w:noProof/>
          <w:szCs w:val="2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57"/>
        <w:gridCol w:w="1650"/>
        <w:gridCol w:w="1016"/>
        <w:gridCol w:w="2312"/>
        <w:gridCol w:w="2315"/>
        <w:gridCol w:w="2315"/>
        <w:gridCol w:w="1498"/>
        <w:gridCol w:w="1572"/>
      </w:tblGrid>
      <w:tr w:rsidR="002A217E" w:rsidRPr="00A40660" w14:paraId="4D868255" w14:textId="77777777" w:rsidTr="00F27CE1">
        <w:tc>
          <w:tcPr>
            <w:tcW w:w="398" w:type="pct"/>
          </w:tcPr>
          <w:p w14:paraId="6BE3D38B" w14:textId="77777777" w:rsidR="009D4BB4" w:rsidRPr="00A40660" w:rsidRDefault="009D4BB4" w:rsidP="002008C1">
            <w:pPr>
              <w:rPr>
                <w:rFonts w:cs="Arial"/>
                <w:b/>
                <w:noProof/>
                <w:szCs w:val="20"/>
              </w:rPr>
            </w:pPr>
          </w:p>
        </w:tc>
        <w:tc>
          <w:tcPr>
            <w:tcW w:w="4602" w:type="pct"/>
            <w:gridSpan w:val="8"/>
            <w:shd w:val="clear" w:color="auto" w:fill="auto"/>
          </w:tcPr>
          <w:p w14:paraId="1E3760BA" w14:textId="77777777" w:rsidR="009D4BB4" w:rsidRPr="00A40660" w:rsidRDefault="002A217E" w:rsidP="002A217E">
            <w:pPr>
              <w:rPr>
                <w:rFonts w:cs="Arial"/>
                <w:b/>
                <w:noProof/>
                <w:szCs w:val="20"/>
              </w:rPr>
            </w:pPr>
            <w:r w:rsidRPr="00A40660">
              <w:rPr>
                <w:rFonts w:cs="Arial"/>
                <w:b/>
                <w:noProof/>
                <w:szCs w:val="20"/>
              </w:rPr>
              <w:t>Preglednica</w:t>
            </w:r>
            <w:r w:rsidR="009D4BB4" w:rsidRPr="00A40660">
              <w:rPr>
                <w:rFonts w:cs="Arial"/>
                <w:b/>
                <w:noProof/>
                <w:szCs w:val="20"/>
              </w:rPr>
              <w:t xml:space="preserve"> 11 A</w:t>
            </w:r>
          </w:p>
        </w:tc>
      </w:tr>
      <w:tr w:rsidR="002A217E" w:rsidRPr="00A40660" w14:paraId="56BE9298" w14:textId="77777777" w:rsidTr="00F27CE1">
        <w:tc>
          <w:tcPr>
            <w:tcW w:w="452" w:type="pct"/>
            <w:gridSpan w:val="2"/>
            <w:vMerge w:val="restart"/>
            <w:tcBorders>
              <w:top w:val="single" w:sz="4" w:space="0" w:color="auto"/>
              <w:left w:val="single" w:sz="4" w:space="0" w:color="auto"/>
              <w:right w:val="single" w:sz="4" w:space="0" w:color="auto"/>
            </w:tcBorders>
            <w:shd w:val="clear" w:color="auto" w:fill="auto"/>
          </w:tcPr>
          <w:p w14:paraId="3C42CAA6" w14:textId="77777777" w:rsidR="009D4BB4" w:rsidRPr="00A40660" w:rsidRDefault="009D4BB4" w:rsidP="002A217E">
            <w:pPr>
              <w:jc w:val="center"/>
              <w:rPr>
                <w:rFonts w:cs="Arial"/>
                <w:b/>
                <w:noProof/>
                <w:szCs w:val="20"/>
              </w:rPr>
            </w:pPr>
            <w:r w:rsidRPr="00A40660">
              <w:rPr>
                <w:rFonts w:cs="Arial"/>
                <w:b/>
                <w:noProof/>
                <w:szCs w:val="20"/>
              </w:rPr>
              <w:t>P</w:t>
            </w:r>
            <w:r w:rsidR="002A217E" w:rsidRPr="00A40660">
              <w:rPr>
                <w:rFonts w:cs="Arial"/>
                <w:b/>
                <w:noProof/>
                <w:szCs w:val="20"/>
              </w:rPr>
              <w:t xml:space="preserve">rednostna naloga </w:t>
            </w:r>
          </w:p>
        </w:tc>
        <w:tc>
          <w:tcPr>
            <w:tcW w:w="561" w:type="pct"/>
            <w:vMerge w:val="restart"/>
            <w:tcBorders>
              <w:top w:val="single" w:sz="4" w:space="0" w:color="auto"/>
              <w:left w:val="single" w:sz="4" w:space="0" w:color="auto"/>
              <w:right w:val="single" w:sz="4" w:space="0" w:color="auto"/>
            </w:tcBorders>
            <w:shd w:val="clear" w:color="auto" w:fill="auto"/>
          </w:tcPr>
          <w:p w14:paraId="69651EFD" w14:textId="77777777" w:rsidR="009D4BB4" w:rsidRPr="00A40660" w:rsidRDefault="002A217E" w:rsidP="002008C1">
            <w:pPr>
              <w:jc w:val="center"/>
              <w:rPr>
                <w:rFonts w:cs="Arial"/>
                <w:b/>
                <w:noProof/>
                <w:szCs w:val="20"/>
              </w:rPr>
            </w:pPr>
            <w:r w:rsidRPr="00A40660">
              <w:rPr>
                <w:rFonts w:cs="Arial"/>
                <w:b/>
                <w:noProof/>
                <w:szCs w:val="20"/>
              </w:rPr>
              <w:t>Vrsta področja podpore ali posebni cilj (nomenklatura, določena v uredbi o ESPR)</w:t>
            </w:r>
          </w:p>
        </w:tc>
        <w:tc>
          <w:tcPr>
            <w:tcW w:w="347" w:type="pct"/>
            <w:vMerge w:val="restart"/>
            <w:tcBorders>
              <w:top w:val="single" w:sz="4" w:space="0" w:color="auto"/>
              <w:left w:val="single" w:sz="4" w:space="0" w:color="auto"/>
              <w:right w:val="single" w:sz="4" w:space="0" w:color="auto"/>
            </w:tcBorders>
            <w:shd w:val="clear" w:color="auto" w:fill="auto"/>
            <w:hideMark/>
          </w:tcPr>
          <w:p w14:paraId="6762C432" w14:textId="77777777" w:rsidR="002A217E" w:rsidRPr="00AC29EA" w:rsidRDefault="002A217E" w:rsidP="002A217E">
            <w:pPr>
              <w:jc w:val="center"/>
              <w:rPr>
                <w:rFonts w:cs="Arial"/>
                <w:b/>
                <w:noProof/>
                <w:szCs w:val="20"/>
                <w:lang w:val="it-IT"/>
              </w:rPr>
            </w:pPr>
            <w:r w:rsidRPr="00AC29EA">
              <w:rPr>
                <w:rFonts w:cs="Arial"/>
                <w:b/>
                <w:noProof/>
                <w:szCs w:val="20"/>
                <w:lang w:val="it-IT"/>
              </w:rPr>
              <w:t>Osnova za izračun</w:t>
            </w:r>
          </w:p>
          <w:p w14:paraId="530DAEC5" w14:textId="77777777" w:rsidR="009D4BB4" w:rsidRPr="00AC29EA" w:rsidRDefault="002A217E" w:rsidP="002A217E">
            <w:pPr>
              <w:jc w:val="center"/>
              <w:rPr>
                <w:rFonts w:cs="Arial"/>
                <w:noProof/>
                <w:szCs w:val="20"/>
                <w:lang w:val="it-IT"/>
              </w:rPr>
            </w:pPr>
            <w:r w:rsidRPr="00AC29EA">
              <w:rPr>
                <w:rFonts w:cs="Arial"/>
                <w:b/>
                <w:noProof/>
                <w:szCs w:val="20"/>
                <w:lang w:val="it-IT"/>
              </w:rPr>
              <w:t>podpore EU</w:t>
            </w:r>
          </w:p>
        </w:tc>
        <w:tc>
          <w:tcPr>
            <w:tcW w:w="173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EF69807" w14:textId="77777777" w:rsidR="009D4BB4" w:rsidRPr="00A40660" w:rsidRDefault="002A217E" w:rsidP="002008C1">
            <w:pPr>
              <w:jc w:val="center"/>
              <w:rPr>
                <w:rFonts w:cs="Arial"/>
                <w:b/>
                <w:noProof/>
                <w:szCs w:val="20"/>
              </w:rPr>
            </w:pPr>
            <w:r w:rsidRPr="00A40660">
              <w:rPr>
                <w:rFonts w:cs="Arial"/>
                <w:b/>
                <w:noProof/>
                <w:szCs w:val="20"/>
              </w:rPr>
              <w:t>EU prispevek</w:t>
            </w:r>
          </w:p>
        </w:tc>
        <w:tc>
          <w:tcPr>
            <w:tcW w:w="866" w:type="pct"/>
            <w:vMerge w:val="restart"/>
            <w:tcBorders>
              <w:top w:val="single" w:sz="4" w:space="0" w:color="auto"/>
              <w:left w:val="single" w:sz="4" w:space="0" w:color="auto"/>
              <w:right w:val="single" w:sz="4" w:space="0" w:color="auto"/>
            </w:tcBorders>
            <w:shd w:val="clear" w:color="auto" w:fill="auto"/>
            <w:hideMark/>
          </w:tcPr>
          <w:p w14:paraId="653323ED" w14:textId="77777777" w:rsidR="009D4BB4" w:rsidRPr="00A40660" w:rsidRDefault="002A217E" w:rsidP="002008C1">
            <w:pPr>
              <w:jc w:val="center"/>
              <w:rPr>
                <w:rFonts w:cs="Arial"/>
                <w:b/>
                <w:noProof/>
                <w:szCs w:val="20"/>
              </w:rPr>
            </w:pPr>
            <w:r w:rsidRPr="00A40660">
              <w:rPr>
                <w:rFonts w:cs="Arial"/>
                <w:b/>
                <w:noProof/>
                <w:szCs w:val="20"/>
              </w:rPr>
              <w:t>Nacionalni javni</w:t>
            </w:r>
          </w:p>
        </w:tc>
        <w:tc>
          <w:tcPr>
            <w:tcW w:w="509" w:type="pct"/>
            <w:vMerge w:val="restart"/>
            <w:tcBorders>
              <w:top w:val="single" w:sz="4" w:space="0" w:color="auto"/>
              <w:left w:val="single" w:sz="4" w:space="0" w:color="auto"/>
              <w:right w:val="single" w:sz="4" w:space="0" w:color="auto"/>
            </w:tcBorders>
            <w:shd w:val="clear" w:color="auto" w:fill="auto"/>
            <w:hideMark/>
          </w:tcPr>
          <w:p w14:paraId="75F61DB3" w14:textId="77777777" w:rsidR="009D4BB4" w:rsidRPr="00A40660" w:rsidRDefault="002A217E" w:rsidP="002008C1">
            <w:pPr>
              <w:jc w:val="center"/>
              <w:rPr>
                <w:rFonts w:cs="Arial"/>
                <w:b/>
                <w:noProof/>
                <w:szCs w:val="20"/>
              </w:rPr>
            </w:pPr>
            <w:r w:rsidRPr="00A40660">
              <w:rPr>
                <w:rFonts w:cs="Arial"/>
                <w:b/>
                <w:noProof/>
                <w:szCs w:val="20"/>
              </w:rPr>
              <w:t>Skupaj</w:t>
            </w:r>
          </w:p>
        </w:tc>
        <w:tc>
          <w:tcPr>
            <w:tcW w:w="534" w:type="pct"/>
            <w:vMerge w:val="restart"/>
            <w:tcBorders>
              <w:top w:val="single" w:sz="4" w:space="0" w:color="auto"/>
              <w:left w:val="single" w:sz="4" w:space="0" w:color="auto"/>
              <w:right w:val="single" w:sz="4" w:space="0" w:color="auto"/>
            </w:tcBorders>
            <w:shd w:val="clear" w:color="auto" w:fill="auto"/>
            <w:hideMark/>
          </w:tcPr>
          <w:p w14:paraId="7DDE5DBA" w14:textId="77777777" w:rsidR="009D4BB4" w:rsidRPr="00A40660" w:rsidRDefault="002A217E" w:rsidP="002008C1">
            <w:pPr>
              <w:jc w:val="center"/>
              <w:rPr>
                <w:rFonts w:cs="Arial"/>
                <w:b/>
                <w:noProof/>
                <w:szCs w:val="20"/>
              </w:rPr>
            </w:pPr>
            <w:r w:rsidRPr="00A40660">
              <w:rPr>
                <w:rFonts w:cs="Arial"/>
                <w:b/>
                <w:noProof/>
                <w:szCs w:val="20"/>
              </w:rPr>
              <w:t>Stopnja sofinanciranja</w:t>
            </w:r>
          </w:p>
        </w:tc>
      </w:tr>
      <w:tr w:rsidR="002A217E" w:rsidRPr="00F700CD" w14:paraId="19B0C095" w14:textId="77777777" w:rsidTr="00F27CE1">
        <w:trPr>
          <w:trHeight w:val="294"/>
        </w:trPr>
        <w:tc>
          <w:tcPr>
            <w:tcW w:w="452" w:type="pct"/>
            <w:gridSpan w:val="2"/>
            <w:vMerge/>
            <w:tcBorders>
              <w:left w:val="single" w:sz="4" w:space="0" w:color="auto"/>
              <w:right w:val="single" w:sz="4" w:space="0" w:color="auto"/>
            </w:tcBorders>
            <w:shd w:val="clear" w:color="auto" w:fill="auto"/>
          </w:tcPr>
          <w:p w14:paraId="680AABF4" w14:textId="77777777" w:rsidR="009D4BB4" w:rsidRPr="00A40660" w:rsidRDefault="009D4BB4" w:rsidP="002008C1">
            <w:pPr>
              <w:jc w:val="center"/>
              <w:rPr>
                <w:rFonts w:cs="Arial"/>
                <w:bCs/>
                <w:noProof/>
                <w:szCs w:val="20"/>
                <w:lang w:val="fr-BE"/>
              </w:rPr>
            </w:pPr>
          </w:p>
        </w:tc>
        <w:tc>
          <w:tcPr>
            <w:tcW w:w="561" w:type="pct"/>
            <w:vMerge/>
            <w:tcBorders>
              <w:left w:val="single" w:sz="4" w:space="0" w:color="auto"/>
              <w:right w:val="single" w:sz="4" w:space="0" w:color="auto"/>
            </w:tcBorders>
            <w:shd w:val="clear" w:color="auto" w:fill="auto"/>
          </w:tcPr>
          <w:p w14:paraId="7C73AE91" w14:textId="77777777" w:rsidR="009D4BB4" w:rsidRPr="00A40660" w:rsidRDefault="009D4BB4" w:rsidP="002008C1">
            <w:pPr>
              <w:jc w:val="center"/>
              <w:rPr>
                <w:rFonts w:cs="Arial"/>
                <w:bCs/>
                <w:noProof/>
                <w:szCs w:val="20"/>
              </w:rPr>
            </w:pPr>
          </w:p>
        </w:tc>
        <w:tc>
          <w:tcPr>
            <w:tcW w:w="347" w:type="pct"/>
            <w:vMerge/>
            <w:tcBorders>
              <w:left w:val="single" w:sz="4" w:space="0" w:color="auto"/>
              <w:right w:val="single" w:sz="4" w:space="0" w:color="auto"/>
            </w:tcBorders>
            <w:shd w:val="clear" w:color="auto" w:fill="auto"/>
          </w:tcPr>
          <w:p w14:paraId="7CFCE556" w14:textId="77777777" w:rsidR="009D4BB4" w:rsidRPr="00A40660" w:rsidRDefault="009D4BB4" w:rsidP="002008C1">
            <w:pPr>
              <w:jc w:val="center"/>
              <w:rPr>
                <w:rFonts w:cs="Arial"/>
                <w:bCs/>
                <w:noProof/>
                <w:szCs w:val="20"/>
              </w:rPr>
            </w:pPr>
          </w:p>
        </w:tc>
        <w:tc>
          <w:tcPr>
            <w:tcW w:w="865" w:type="pct"/>
            <w:tcBorders>
              <w:top w:val="single" w:sz="4" w:space="0" w:color="auto"/>
              <w:left w:val="single" w:sz="4" w:space="0" w:color="auto"/>
              <w:right w:val="single" w:sz="4" w:space="0" w:color="auto"/>
            </w:tcBorders>
            <w:shd w:val="clear" w:color="auto" w:fill="auto"/>
          </w:tcPr>
          <w:p w14:paraId="0CF70D68" w14:textId="77777777" w:rsidR="009D4BB4" w:rsidRPr="00AC6084" w:rsidRDefault="009D4BB4" w:rsidP="002A217E">
            <w:pPr>
              <w:jc w:val="center"/>
              <w:rPr>
                <w:rFonts w:cs="Arial"/>
                <w:b/>
                <w:noProof/>
                <w:szCs w:val="20"/>
                <w:lang w:val="fr-FR"/>
              </w:rPr>
            </w:pPr>
            <w:r w:rsidRPr="00AC6084">
              <w:rPr>
                <w:rFonts w:cs="Arial"/>
                <w:b/>
                <w:noProof/>
                <w:szCs w:val="20"/>
                <w:lang w:val="fr-FR"/>
              </w:rPr>
              <w:t xml:space="preserve">EU </w:t>
            </w:r>
            <w:r w:rsidR="002A217E" w:rsidRPr="00AC6084">
              <w:rPr>
                <w:rFonts w:cs="Arial"/>
                <w:b/>
                <w:noProof/>
                <w:szCs w:val="20"/>
                <w:lang w:val="fr-FR"/>
              </w:rPr>
              <w:t xml:space="preserve">prispevek brez pavšala TP </w:t>
            </w:r>
          </w:p>
        </w:tc>
        <w:tc>
          <w:tcPr>
            <w:tcW w:w="865" w:type="pct"/>
            <w:tcBorders>
              <w:top w:val="single" w:sz="4" w:space="0" w:color="auto"/>
              <w:left w:val="single" w:sz="4" w:space="0" w:color="auto"/>
              <w:right w:val="single" w:sz="4" w:space="0" w:color="auto"/>
            </w:tcBorders>
          </w:tcPr>
          <w:p w14:paraId="7CC9F750" w14:textId="77777777" w:rsidR="009D4BB4" w:rsidRPr="00AC6084" w:rsidRDefault="009D4BB4" w:rsidP="002A217E">
            <w:pPr>
              <w:jc w:val="center"/>
              <w:rPr>
                <w:rFonts w:cs="Arial"/>
                <w:b/>
                <w:noProof/>
                <w:szCs w:val="20"/>
                <w:lang w:val="fr-FR"/>
              </w:rPr>
            </w:pPr>
            <w:r w:rsidRPr="00AC6084">
              <w:rPr>
                <w:rFonts w:cs="Arial"/>
                <w:b/>
                <w:noProof/>
                <w:szCs w:val="20"/>
                <w:lang w:val="fr-FR"/>
              </w:rPr>
              <w:t xml:space="preserve">EU </w:t>
            </w:r>
            <w:r w:rsidR="002A217E" w:rsidRPr="00AC6084">
              <w:rPr>
                <w:rFonts w:cs="Arial"/>
                <w:b/>
                <w:noProof/>
                <w:szCs w:val="20"/>
                <w:lang w:val="fr-FR"/>
              </w:rPr>
              <w:t xml:space="preserve"> prispevek s pavšalom TP </w:t>
            </w:r>
          </w:p>
        </w:tc>
        <w:tc>
          <w:tcPr>
            <w:tcW w:w="866" w:type="pct"/>
            <w:vMerge/>
            <w:tcBorders>
              <w:left w:val="single" w:sz="4" w:space="0" w:color="auto"/>
              <w:right w:val="single" w:sz="4" w:space="0" w:color="auto"/>
            </w:tcBorders>
            <w:shd w:val="clear" w:color="auto" w:fill="auto"/>
          </w:tcPr>
          <w:p w14:paraId="6B21C287" w14:textId="77777777" w:rsidR="009D4BB4" w:rsidRPr="00AC6084" w:rsidRDefault="009D4BB4" w:rsidP="002008C1">
            <w:pPr>
              <w:jc w:val="center"/>
              <w:rPr>
                <w:rFonts w:cs="Arial"/>
                <w:bCs/>
                <w:noProof/>
                <w:szCs w:val="20"/>
                <w:lang w:val="fr-FR"/>
              </w:rPr>
            </w:pPr>
          </w:p>
        </w:tc>
        <w:tc>
          <w:tcPr>
            <w:tcW w:w="509" w:type="pct"/>
            <w:vMerge/>
            <w:tcBorders>
              <w:left w:val="single" w:sz="4" w:space="0" w:color="auto"/>
              <w:right w:val="single" w:sz="4" w:space="0" w:color="auto"/>
            </w:tcBorders>
            <w:shd w:val="clear" w:color="auto" w:fill="auto"/>
          </w:tcPr>
          <w:p w14:paraId="0930A8A9" w14:textId="77777777" w:rsidR="009D4BB4" w:rsidRPr="00AC6084" w:rsidRDefault="009D4BB4" w:rsidP="002008C1">
            <w:pPr>
              <w:jc w:val="center"/>
              <w:rPr>
                <w:rFonts w:cs="Arial"/>
                <w:bCs/>
                <w:noProof/>
                <w:szCs w:val="20"/>
                <w:lang w:val="fr-FR"/>
              </w:rPr>
            </w:pPr>
          </w:p>
        </w:tc>
        <w:tc>
          <w:tcPr>
            <w:tcW w:w="534" w:type="pct"/>
            <w:vMerge/>
            <w:tcBorders>
              <w:left w:val="single" w:sz="4" w:space="0" w:color="auto"/>
              <w:right w:val="single" w:sz="4" w:space="0" w:color="auto"/>
            </w:tcBorders>
            <w:shd w:val="clear" w:color="auto" w:fill="auto"/>
          </w:tcPr>
          <w:p w14:paraId="2AC3195D" w14:textId="77777777" w:rsidR="009D4BB4" w:rsidRPr="00AC6084" w:rsidRDefault="009D4BB4" w:rsidP="002008C1">
            <w:pPr>
              <w:jc w:val="center"/>
              <w:rPr>
                <w:rFonts w:cs="Arial"/>
                <w:bCs/>
                <w:noProof/>
                <w:szCs w:val="20"/>
                <w:lang w:val="fr-FR"/>
              </w:rPr>
            </w:pPr>
          </w:p>
        </w:tc>
      </w:tr>
      <w:tr w:rsidR="00F27CE1" w:rsidRPr="00A40660" w14:paraId="3B3EBE29" w14:textId="77777777" w:rsidTr="00714475">
        <w:trPr>
          <w:trHeight w:val="294"/>
        </w:trPr>
        <w:tc>
          <w:tcPr>
            <w:tcW w:w="452" w:type="pct"/>
            <w:gridSpan w:val="2"/>
            <w:vMerge w:val="restart"/>
            <w:tcBorders>
              <w:top w:val="single" w:sz="4" w:space="0" w:color="auto"/>
              <w:left w:val="single" w:sz="4" w:space="0" w:color="auto"/>
              <w:right w:val="single" w:sz="4" w:space="0" w:color="auto"/>
            </w:tcBorders>
            <w:shd w:val="clear" w:color="auto" w:fill="auto"/>
          </w:tcPr>
          <w:p w14:paraId="2CD8C5A8" w14:textId="77777777" w:rsidR="00F27CE1" w:rsidRPr="00A40660" w:rsidRDefault="00F27CE1" w:rsidP="00F27CE1">
            <w:pPr>
              <w:jc w:val="center"/>
              <w:rPr>
                <w:rFonts w:cs="Arial"/>
                <w:bCs/>
                <w:noProof/>
                <w:szCs w:val="20"/>
                <w:lang w:val="fr-BE"/>
              </w:rPr>
            </w:pPr>
            <w:r w:rsidRPr="00A40660">
              <w:rPr>
                <w:rFonts w:cs="Arial"/>
                <w:b/>
                <w:noProof/>
                <w:szCs w:val="20"/>
              </w:rPr>
              <w:t>Prednostna naloga</w:t>
            </w:r>
            <w:r w:rsidRPr="00A40660">
              <w:rPr>
                <w:rFonts w:cs="Arial"/>
                <w:bCs/>
                <w:noProof/>
                <w:szCs w:val="20"/>
                <w:lang w:val="fr-BE"/>
              </w:rPr>
              <w:t xml:space="preserve"> 1</w:t>
            </w:r>
          </w:p>
        </w:tc>
        <w:tc>
          <w:tcPr>
            <w:tcW w:w="561" w:type="pct"/>
            <w:tcBorders>
              <w:top w:val="single" w:sz="4" w:space="0" w:color="auto"/>
              <w:left w:val="single" w:sz="4" w:space="0" w:color="auto"/>
              <w:right w:val="single" w:sz="4" w:space="0" w:color="auto"/>
            </w:tcBorders>
            <w:shd w:val="clear" w:color="auto" w:fill="auto"/>
          </w:tcPr>
          <w:p w14:paraId="13239A59" w14:textId="4A2297CF" w:rsidR="00F27CE1" w:rsidRPr="00A40660" w:rsidRDefault="00F27CE1" w:rsidP="00F27CE1">
            <w:pPr>
              <w:jc w:val="center"/>
              <w:rPr>
                <w:rFonts w:cs="Arial"/>
                <w:bCs/>
                <w:noProof/>
                <w:szCs w:val="20"/>
              </w:rPr>
            </w:pPr>
            <w:r w:rsidRPr="00A40660">
              <w:rPr>
                <w:rFonts w:cs="Arial"/>
                <w:bCs/>
                <w:noProof/>
                <w:szCs w:val="20"/>
              </w:rPr>
              <w:t>1.1</w:t>
            </w:r>
            <w:r>
              <w:rPr>
                <w:rFonts w:cs="Arial"/>
                <w:bCs/>
                <w:noProof/>
                <w:szCs w:val="20"/>
              </w:rPr>
              <w:t>.1</w:t>
            </w:r>
          </w:p>
        </w:tc>
        <w:tc>
          <w:tcPr>
            <w:tcW w:w="347" w:type="pct"/>
            <w:tcBorders>
              <w:top w:val="single" w:sz="4" w:space="0" w:color="auto"/>
              <w:left w:val="single" w:sz="4" w:space="0" w:color="auto"/>
              <w:right w:val="single" w:sz="4" w:space="0" w:color="auto"/>
            </w:tcBorders>
            <w:shd w:val="clear" w:color="auto" w:fill="auto"/>
          </w:tcPr>
          <w:p w14:paraId="57E4F36A"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055B145C" w14:textId="58C20511" w:rsidR="00F27CE1" w:rsidRPr="00A40660" w:rsidRDefault="00F27CE1" w:rsidP="00F27CE1">
            <w:pPr>
              <w:jc w:val="center"/>
              <w:rPr>
                <w:rFonts w:cs="Arial"/>
                <w:bCs/>
                <w:noProof/>
                <w:szCs w:val="20"/>
              </w:rPr>
            </w:pPr>
            <w:r>
              <w:rPr>
                <w:rFonts w:ascii="Calibri" w:hAnsi="Calibri" w:cs="Calibri"/>
                <w:color w:val="000000"/>
                <w:sz w:val="22"/>
                <w:szCs w:val="22"/>
              </w:rPr>
              <w:t>1.067.500,00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1228C1A6" w14:textId="26492FC0" w:rsidR="00F27CE1" w:rsidRPr="00A40660" w:rsidRDefault="00F27CE1" w:rsidP="00F27CE1">
            <w:pPr>
              <w:jc w:val="center"/>
              <w:rPr>
                <w:rFonts w:cs="Arial"/>
                <w:bCs/>
                <w:noProof/>
                <w:szCs w:val="20"/>
              </w:rPr>
            </w:pPr>
            <w:r>
              <w:rPr>
                <w:rFonts w:ascii="Calibri" w:hAnsi="Calibri" w:cs="Calibri"/>
                <w:color w:val="000000"/>
                <w:sz w:val="22"/>
                <w:szCs w:val="22"/>
              </w:rPr>
              <w:t>1.131.550,00</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14:paraId="4099C7EF" w14:textId="60B992AB" w:rsidR="00F27CE1" w:rsidRPr="00A40660" w:rsidRDefault="00F27CE1" w:rsidP="00F27CE1">
            <w:pPr>
              <w:jc w:val="center"/>
              <w:rPr>
                <w:rFonts w:cs="Arial"/>
                <w:bCs/>
                <w:noProof/>
                <w:szCs w:val="20"/>
              </w:rPr>
            </w:pPr>
            <w:r>
              <w:rPr>
                <w:rFonts w:ascii="Calibri" w:hAnsi="Calibri" w:cs="Calibri"/>
                <w:color w:val="000000"/>
                <w:sz w:val="22"/>
                <w:szCs w:val="22"/>
              </w:rPr>
              <w:t>484.950,00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6697F25D" w14:textId="4A3C939F" w:rsidR="00F27CE1" w:rsidRPr="00A40660" w:rsidRDefault="00F27CE1" w:rsidP="00F27CE1">
            <w:pPr>
              <w:jc w:val="center"/>
              <w:rPr>
                <w:rFonts w:cs="Arial"/>
                <w:bCs/>
                <w:noProof/>
                <w:szCs w:val="20"/>
              </w:rPr>
            </w:pPr>
            <w:r>
              <w:rPr>
                <w:rFonts w:ascii="Calibri" w:hAnsi="Calibri" w:cs="Calibri"/>
                <w:color w:val="000000"/>
                <w:sz w:val="22"/>
                <w:szCs w:val="22"/>
              </w:rPr>
              <w:t>1.616.500,00</w:t>
            </w:r>
          </w:p>
        </w:tc>
        <w:tc>
          <w:tcPr>
            <w:tcW w:w="534" w:type="pct"/>
            <w:tcBorders>
              <w:top w:val="single" w:sz="4" w:space="0" w:color="auto"/>
              <w:left w:val="single" w:sz="4" w:space="0" w:color="auto"/>
              <w:right w:val="single" w:sz="4" w:space="0" w:color="auto"/>
            </w:tcBorders>
            <w:shd w:val="clear" w:color="auto" w:fill="auto"/>
            <w:vAlign w:val="center"/>
          </w:tcPr>
          <w:p w14:paraId="6E39D21E" w14:textId="32449E91" w:rsidR="00F27CE1" w:rsidRPr="00A40660" w:rsidRDefault="00F27CE1" w:rsidP="00F27CE1">
            <w:pPr>
              <w:jc w:val="center"/>
              <w:rPr>
                <w:rFonts w:cs="Arial"/>
                <w:bCs/>
                <w:noProof/>
                <w:szCs w:val="20"/>
              </w:rPr>
            </w:pPr>
            <w:r>
              <w:rPr>
                <w:rFonts w:cs="Arial"/>
                <w:bCs/>
                <w:noProof/>
                <w:szCs w:val="20"/>
              </w:rPr>
              <w:t>70:30</w:t>
            </w:r>
          </w:p>
        </w:tc>
      </w:tr>
      <w:tr w:rsidR="00F27CE1" w:rsidRPr="00A40660" w14:paraId="27D840D2" w14:textId="77777777" w:rsidTr="00714475">
        <w:trPr>
          <w:trHeight w:val="260"/>
        </w:trPr>
        <w:tc>
          <w:tcPr>
            <w:tcW w:w="452" w:type="pct"/>
            <w:gridSpan w:val="2"/>
            <w:vMerge/>
            <w:tcBorders>
              <w:left w:val="single" w:sz="4" w:space="0" w:color="auto"/>
              <w:right w:val="single" w:sz="4" w:space="0" w:color="auto"/>
            </w:tcBorders>
            <w:shd w:val="clear" w:color="auto" w:fill="auto"/>
          </w:tcPr>
          <w:p w14:paraId="457C0115" w14:textId="77777777" w:rsidR="00F27CE1" w:rsidRPr="00A40660" w:rsidRDefault="00F27CE1" w:rsidP="00F27CE1">
            <w:pPr>
              <w:jc w:val="center"/>
              <w:rPr>
                <w:rFonts w:cs="Arial"/>
                <w:bCs/>
                <w:noProof/>
                <w:szCs w:val="20"/>
                <w:lang w:val="fr-BE"/>
              </w:rPr>
            </w:pPr>
          </w:p>
        </w:tc>
        <w:tc>
          <w:tcPr>
            <w:tcW w:w="561" w:type="pct"/>
            <w:tcBorders>
              <w:top w:val="single" w:sz="4" w:space="0" w:color="auto"/>
              <w:left w:val="single" w:sz="4" w:space="0" w:color="auto"/>
              <w:right w:val="single" w:sz="4" w:space="0" w:color="auto"/>
            </w:tcBorders>
            <w:shd w:val="clear" w:color="auto" w:fill="auto"/>
          </w:tcPr>
          <w:p w14:paraId="414251E7" w14:textId="13936903" w:rsidR="00F27CE1" w:rsidRPr="00A40660" w:rsidRDefault="00F27CE1" w:rsidP="00F27CE1">
            <w:pPr>
              <w:jc w:val="center"/>
              <w:rPr>
                <w:rFonts w:cs="Arial"/>
                <w:bCs/>
                <w:noProof/>
                <w:szCs w:val="20"/>
              </w:rPr>
            </w:pPr>
            <w:r>
              <w:rPr>
                <w:rFonts w:cs="Arial"/>
                <w:bCs/>
                <w:noProof/>
                <w:szCs w:val="20"/>
              </w:rPr>
              <w:t>1.2</w:t>
            </w:r>
          </w:p>
        </w:tc>
        <w:tc>
          <w:tcPr>
            <w:tcW w:w="347" w:type="pct"/>
            <w:tcBorders>
              <w:left w:val="single" w:sz="4" w:space="0" w:color="auto"/>
              <w:right w:val="single" w:sz="4" w:space="0" w:color="auto"/>
            </w:tcBorders>
            <w:shd w:val="clear" w:color="auto" w:fill="auto"/>
          </w:tcPr>
          <w:p w14:paraId="284CEB81" w14:textId="6503772A" w:rsidR="00F27CE1" w:rsidRPr="00A40660" w:rsidRDefault="00F27CE1" w:rsidP="00F27CE1">
            <w:pPr>
              <w:jc w:val="center"/>
              <w:rPr>
                <w:rFonts w:cs="Arial"/>
                <w:noProof/>
                <w:szCs w:val="20"/>
              </w:rPr>
            </w:pPr>
            <w:r>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29F36C83" w14:textId="10F80B03" w:rsidR="00F27CE1" w:rsidRPr="004A5C45" w:rsidDel="00603EA7" w:rsidRDefault="00F27CE1" w:rsidP="00F27CE1">
            <w:pPr>
              <w:jc w:val="center"/>
              <w:rPr>
                <w:rFonts w:cs="Arial"/>
                <w:bCs/>
                <w:noProof/>
                <w:szCs w:val="20"/>
              </w:rPr>
            </w:pPr>
            <w:r>
              <w:rPr>
                <w:rFonts w:ascii="Calibri" w:hAnsi="Calibri" w:cs="Calibri"/>
                <w:color w:val="000000"/>
                <w:sz w:val="22"/>
                <w:szCs w:val="22"/>
              </w:rPr>
              <w:t>52.500,00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7A969D5A" w14:textId="16CB3A2C" w:rsidR="00F27CE1" w:rsidRPr="004A5C45" w:rsidDel="00603EA7" w:rsidRDefault="00F27CE1" w:rsidP="00F27CE1">
            <w:pPr>
              <w:jc w:val="center"/>
              <w:rPr>
                <w:rFonts w:cs="Arial"/>
                <w:bCs/>
                <w:noProof/>
                <w:szCs w:val="20"/>
              </w:rPr>
            </w:pPr>
            <w:r>
              <w:rPr>
                <w:rFonts w:ascii="Calibri" w:hAnsi="Calibri" w:cs="Calibri"/>
                <w:color w:val="000000"/>
                <w:sz w:val="22"/>
                <w:szCs w:val="22"/>
              </w:rPr>
              <w:t>55.650,00</w:t>
            </w:r>
          </w:p>
        </w:tc>
        <w:tc>
          <w:tcPr>
            <w:tcW w:w="866" w:type="pct"/>
            <w:tcBorders>
              <w:top w:val="nil"/>
              <w:left w:val="single" w:sz="4" w:space="0" w:color="auto"/>
              <w:bottom w:val="single" w:sz="4" w:space="0" w:color="auto"/>
              <w:right w:val="single" w:sz="4" w:space="0" w:color="auto"/>
            </w:tcBorders>
            <w:shd w:val="clear" w:color="auto" w:fill="auto"/>
            <w:vAlign w:val="bottom"/>
          </w:tcPr>
          <w:p w14:paraId="7F1F75A2" w14:textId="0D8379C9" w:rsidR="00F27CE1" w:rsidRPr="00A21209" w:rsidDel="00603EA7" w:rsidRDefault="00F27CE1" w:rsidP="00F27CE1">
            <w:pPr>
              <w:jc w:val="center"/>
              <w:rPr>
                <w:rFonts w:cs="Arial"/>
                <w:bCs/>
                <w:noProof/>
                <w:szCs w:val="20"/>
              </w:rPr>
            </w:pPr>
            <w:r>
              <w:rPr>
                <w:rFonts w:ascii="Calibri" w:hAnsi="Calibri" w:cs="Calibri"/>
                <w:color w:val="000000"/>
                <w:sz w:val="22"/>
                <w:szCs w:val="22"/>
              </w:rPr>
              <w:t>23.850,00</w:t>
            </w:r>
          </w:p>
        </w:tc>
        <w:tc>
          <w:tcPr>
            <w:tcW w:w="509" w:type="pct"/>
            <w:tcBorders>
              <w:top w:val="nil"/>
              <w:left w:val="single" w:sz="4" w:space="0" w:color="auto"/>
              <w:bottom w:val="single" w:sz="4" w:space="0" w:color="auto"/>
              <w:right w:val="single" w:sz="4" w:space="0" w:color="auto"/>
            </w:tcBorders>
            <w:shd w:val="clear" w:color="auto" w:fill="auto"/>
            <w:vAlign w:val="bottom"/>
          </w:tcPr>
          <w:p w14:paraId="74F0D670" w14:textId="07E3D8A8" w:rsidR="00F27CE1" w:rsidRPr="00A21209" w:rsidDel="00603EA7" w:rsidRDefault="00F27CE1" w:rsidP="00F27CE1">
            <w:pPr>
              <w:jc w:val="center"/>
              <w:rPr>
                <w:rFonts w:cs="Arial"/>
                <w:bCs/>
                <w:noProof/>
                <w:szCs w:val="20"/>
              </w:rPr>
            </w:pPr>
            <w:r>
              <w:rPr>
                <w:rFonts w:ascii="Calibri" w:hAnsi="Calibri" w:cs="Calibri"/>
                <w:color w:val="000000"/>
                <w:sz w:val="22"/>
                <w:szCs w:val="22"/>
              </w:rPr>
              <w:t>79.500,00</w:t>
            </w:r>
          </w:p>
        </w:tc>
        <w:tc>
          <w:tcPr>
            <w:tcW w:w="534" w:type="pct"/>
            <w:tcBorders>
              <w:left w:val="single" w:sz="4" w:space="0" w:color="auto"/>
              <w:right w:val="single" w:sz="4" w:space="0" w:color="auto"/>
            </w:tcBorders>
            <w:shd w:val="clear" w:color="auto" w:fill="auto"/>
            <w:vAlign w:val="center"/>
          </w:tcPr>
          <w:p w14:paraId="565F7A00" w14:textId="7F8D5C09" w:rsidR="00F27CE1" w:rsidRPr="00A22ABE" w:rsidRDefault="00F27CE1" w:rsidP="00F27CE1">
            <w:pPr>
              <w:jc w:val="center"/>
            </w:pPr>
            <w:r>
              <w:t>70:30</w:t>
            </w:r>
          </w:p>
        </w:tc>
      </w:tr>
      <w:tr w:rsidR="00F27CE1" w:rsidRPr="00A40660" w14:paraId="3B2A88A7" w14:textId="77777777" w:rsidTr="00714475">
        <w:trPr>
          <w:trHeight w:val="260"/>
        </w:trPr>
        <w:tc>
          <w:tcPr>
            <w:tcW w:w="452" w:type="pct"/>
            <w:gridSpan w:val="2"/>
            <w:vMerge/>
            <w:tcBorders>
              <w:left w:val="single" w:sz="4" w:space="0" w:color="auto"/>
              <w:right w:val="single" w:sz="4" w:space="0" w:color="auto"/>
            </w:tcBorders>
            <w:shd w:val="clear" w:color="auto" w:fill="auto"/>
          </w:tcPr>
          <w:p w14:paraId="08503DD3" w14:textId="77777777" w:rsidR="00F27CE1" w:rsidRPr="00A40660" w:rsidRDefault="00F27CE1" w:rsidP="00F27CE1">
            <w:pPr>
              <w:jc w:val="center"/>
              <w:rPr>
                <w:rFonts w:cs="Arial"/>
                <w:bCs/>
                <w:noProof/>
                <w:szCs w:val="20"/>
                <w:lang w:val="fr-BE"/>
              </w:rPr>
            </w:pPr>
          </w:p>
        </w:tc>
        <w:tc>
          <w:tcPr>
            <w:tcW w:w="561" w:type="pct"/>
            <w:tcBorders>
              <w:top w:val="single" w:sz="4" w:space="0" w:color="auto"/>
              <w:left w:val="single" w:sz="4" w:space="0" w:color="auto"/>
              <w:right w:val="single" w:sz="4" w:space="0" w:color="auto"/>
            </w:tcBorders>
            <w:shd w:val="clear" w:color="auto" w:fill="auto"/>
          </w:tcPr>
          <w:p w14:paraId="09607E94" w14:textId="09D09884" w:rsidR="00F27CE1" w:rsidRPr="00A40660" w:rsidRDefault="00F27CE1" w:rsidP="00F27CE1">
            <w:pPr>
              <w:jc w:val="center"/>
              <w:rPr>
                <w:rFonts w:cs="Arial"/>
                <w:bCs/>
                <w:noProof/>
                <w:szCs w:val="20"/>
              </w:rPr>
            </w:pPr>
            <w:r w:rsidRPr="00A40660">
              <w:rPr>
                <w:rFonts w:cs="Arial"/>
                <w:bCs/>
                <w:noProof/>
                <w:szCs w:val="20"/>
              </w:rPr>
              <w:t>1.3</w:t>
            </w:r>
          </w:p>
        </w:tc>
        <w:tc>
          <w:tcPr>
            <w:tcW w:w="347" w:type="pct"/>
            <w:tcBorders>
              <w:left w:val="single" w:sz="4" w:space="0" w:color="auto"/>
              <w:right w:val="single" w:sz="4" w:space="0" w:color="auto"/>
            </w:tcBorders>
            <w:shd w:val="clear" w:color="auto" w:fill="auto"/>
          </w:tcPr>
          <w:p w14:paraId="55E4ACB6"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40C29DC1" w14:textId="4AFB6731" w:rsidR="00F27CE1" w:rsidRPr="00A40660" w:rsidRDefault="00F27CE1" w:rsidP="00F27CE1">
            <w:pPr>
              <w:jc w:val="center"/>
              <w:rPr>
                <w:rFonts w:cs="Arial"/>
                <w:bCs/>
                <w:noProof/>
                <w:szCs w:val="20"/>
              </w:rPr>
            </w:pPr>
            <w:r>
              <w:rPr>
                <w:rFonts w:ascii="Calibri" w:hAnsi="Calibri" w:cs="Calibri"/>
                <w:color w:val="000000"/>
                <w:sz w:val="22"/>
                <w:szCs w:val="22"/>
              </w:rPr>
              <w:t>350.000,00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052AD493" w14:textId="29B2AB8D" w:rsidR="00F27CE1" w:rsidRPr="00A40660" w:rsidRDefault="00F27CE1" w:rsidP="00F27CE1">
            <w:pPr>
              <w:jc w:val="center"/>
              <w:rPr>
                <w:rFonts w:cs="Arial"/>
                <w:bCs/>
                <w:noProof/>
                <w:szCs w:val="20"/>
              </w:rPr>
            </w:pPr>
            <w:r>
              <w:rPr>
                <w:rFonts w:ascii="Calibri" w:hAnsi="Calibri" w:cs="Calibri"/>
                <w:color w:val="000000"/>
                <w:sz w:val="22"/>
                <w:szCs w:val="22"/>
              </w:rPr>
              <w:t>371.000,00</w:t>
            </w:r>
          </w:p>
        </w:tc>
        <w:tc>
          <w:tcPr>
            <w:tcW w:w="866" w:type="pct"/>
            <w:tcBorders>
              <w:top w:val="nil"/>
              <w:left w:val="single" w:sz="4" w:space="0" w:color="auto"/>
              <w:bottom w:val="single" w:sz="4" w:space="0" w:color="auto"/>
              <w:right w:val="single" w:sz="4" w:space="0" w:color="auto"/>
            </w:tcBorders>
            <w:shd w:val="clear" w:color="auto" w:fill="auto"/>
            <w:vAlign w:val="bottom"/>
          </w:tcPr>
          <w:p w14:paraId="5729CE9D" w14:textId="466C1784" w:rsidR="00F27CE1" w:rsidRPr="00A40660" w:rsidRDefault="00F27CE1" w:rsidP="00F27CE1">
            <w:pPr>
              <w:tabs>
                <w:tab w:val="left" w:pos="463"/>
                <w:tab w:val="center" w:pos="970"/>
              </w:tabs>
              <w:jc w:val="center"/>
              <w:rPr>
                <w:rFonts w:cs="Arial"/>
                <w:bCs/>
                <w:noProof/>
                <w:szCs w:val="20"/>
              </w:rPr>
            </w:pPr>
            <w:r>
              <w:rPr>
                <w:rFonts w:ascii="Calibri" w:hAnsi="Calibri" w:cs="Calibri"/>
                <w:color w:val="000000"/>
                <w:sz w:val="22"/>
                <w:szCs w:val="22"/>
              </w:rPr>
              <w:t>159.000,00</w:t>
            </w:r>
          </w:p>
        </w:tc>
        <w:tc>
          <w:tcPr>
            <w:tcW w:w="509" w:type="pct"/>
            <w:tcBorders>
              <w:top w:val="nil"/>
              <w:left w:val="single" w:sz="4" w:space="0" w:color="auto"/>
              <w:bottom w:val="single" w:sz="4" w:space="0" w:color="auto"/>
              <w:right w:val="single" w:sz="4" w:space="0" w:color="auto"/>
            </w:tcBorders>
            <w:shd w:val="clear" w:color="auto" w:fill="auto"/>
            <w:vAlign w:val="bottom"/>
          </w:tcPr>
          <w:p w14:paraId="79E83440" w14:textId="3BCEEDE2" w:rsidR="00F27CE1" w:rsidRPr="00A40660" w:rsidRDefault="00F27CE1" w:rsidP="00F27CE1">
            <w:pPr>
              <w:jc w:val="center"/>
              <w:rPr>
                <w:rFonts w:cs="Arial"/>
                <w:bCs/>
                <w:noProof/>
                <w:szCs w:val="20"/>
              </w:rPr>
            </w:pPr>
            <w:r>
              <w:rPr>
                <w:rFonts w:ascii="Calibri" w:hAnsi="Calibri" w:cs="Calibri"/>
                <w:color w:val="000000"/>
                <w:sz w:val="22"/>
                <w:szCs w:val="22"/>
              </w:rPr>
              <w:t>530.000,00</w:t>
            </w:r>
          </w:p>
        </w:tc>
        <w:tc>
          <w:tcPr>
            <w:tcW w:w="534" w:type="pct"/>
            <w:tcBorders>
              <w:left w:val="single" w:sz="4" w:space="0" w:color="auto"/>
              <w:right w:val="single" w:sz="4" w:space="0" w:color="auto"/>
            </w:tcBorders>
            <w:shd w:val="clear" w:color="auto" w:fill="auto"/>
            <w:vAlign w:val="center"/>
          </w:tcPr>
          <w:p w14:paraId="5C296592" w14:textId="06F3329D" w:rsidR="00F27CE1" w:rsidRPr="00A40660" w:rsidRDefault="00F27CE1" w:rsidP="00F27CE1">
            <w:pPr>
              <w:jc w:val="center"/>
              <w:rPr>
                <w:rFonts w:cs="Arial"/>
                <w:bCs/>
                <w:noProof/>
                <w:szCs w:val="20"/>
              </w:rPr>
            </w:pPr>
            <w:r w:rsidRPr="00A22ABE">
              <w:t>70:30</w:t>
            </w:r>
          </w:p>
        </w:tc>
      </w:tr>
      <w:tr w:rsidR="00F27CE1" w:rsidRPr="00A40660" w14:paraId="3698F081" w14:textId="77777777" w:rsidTr="00714475">
        <w:trPr>
          <w:trHeight w:val="277"/>
        </w:trPr>
        <w:tc>
          <w:tcPr>
            <w:tcW w:w="452" w:type="pct"/>
            <w:gridSpan w:val="2"/>
            <w:vMerge/>
            <w:tcBorders>
              <w:left w:val="single" w:sz="4" w:space="0" w:color="auto"/>
              <w:right w:val="single" w:sz="4" w:space="0" w:color="auto"/>
            </w:tcBorders>
            <w:shd w:val="clear" w:color="auto" w:fill="auto"/>
          </w:tcPr>
          <w:p w14:paraId="69C936BF" w14:textId="77777777" w:rsidR="00F27CE1" w:rsidRPr="00A40660" w:rsidRDefault="00F27CE1" w:rsidP="00F27CE1">
            <w:pPr>
              <w:jc w:val="center"/>
              <w:rPr>
                <w:rFonts w:cs="Arial"/>
                <w:bCs/>
                <w:noProof/>
                <w:szCs w:val="20"/>
                <w:lang w:val="fr-BE"/>
              </w:rPr>
            </w:pPr>
          </w:p>
        </w:tc>
        <w:tc>
          <w:tcPr>
            <w:tcW w:w="561" w:type="pct"/>
            <w:tcBorders>
              <w:top w:val="single" w:sz="4" w:space="0" w:color="auto"/>
              <w:left w:val="single" w:sz="4" w:space="0" w:color="auto"/>
              <w:right w:val="single" w:sz="4" w:space="0" w:color="auto"/>
            </w:tcBorders>
            <w:shd w:val="clear" w:color="auto" w:fill="auto"/>
          </w:tcPr>
          <w:p w14:paraId="6746338C" w14:textId="77777777" w:rsidR="00F27CE1" w:rsidRPr="00A40660" w:rsidRDefault="00F27CE1" w:rsidP="00F27CE1">
            <w:pPr>
              <w:jc w:val="center"/>
              <w:rPr>
                <w:rFonts w:cs="Arial"/>
                <w:bCs/>
                <w:noProof/>
                <w:szCs w:val="20"/>
              </w:rPr>
            </w:pPr>
            <w:r w:rsidRPr="00A40660">
              <w:rPr>
                <w:rFonts w:cs="Arial"/>
                <w:bCs/>
                <w:noProof/>
                <w:szCs w:val="20"/>
              </w:rPr>
              <w:t>1.4</w:t>
            </w:r>
          </w:p>
        </w:tc>
        <w:tc>
          <w:tcPr>
            <w:tcW w:w="347" w:type="pct"/>
            <w:tcBorders>
              <w:left w:val="single" w:sz="4" w:space="0" w:color="auto"/>
              <w:right w:val="single" w:sz="4" w:space="0" w:color="auto"/>
            </w:tcBorders>
            <w:shd w:val="clear" w:color="auto" w:fill="auto"/>
          </w:tcPr>
          <w:p w14:paraId="0B346CDC"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7540F615" w14:textId="0C88C328" w:rsidR="00F27CE1" w:rsidRPr="00A40660" w:rsidRDefault="00F27CE1" w:rsidP="00F27CE1">
            <w:pPr>
              <w:jc w:val="center"/>
              <w:rPr>
                <w:rFonts w:cs="Arial"/>
                <w:bCs/>
                <w:noProof/>
                <w:szCs w:val="20"/>
              </w:rPr>
            </w:pPr>
            <w:r>
              <w:rPr>
                <w:rFonts w:ascii="Calibri" w:hAnsi="Calibri" w:cs="Calibri"/>
                <w:color w:val="000000"/>
                <w:sz w:val="22"/>
                <w:szCs w:val="22"/>
              </w:rPr>
              <w:t>3.089.800,00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582D6C61" w14:textId="75B39704" w:rsidR="00F27CE1" w:rsidRPr="00A40660" w:rsidRDefault="00F27CE1" w:rsidP="00F27CE1">
            <w:pPr>
              <w:jc w:val="center"/>
              <w:rPr>
                <w:rFonts w:cs="Arial"/>
                <w:bCs/>
                <w:noProof/>
                <w:szCs w:val="20"/>
              </w:rPr>
            </w:pPr>
            <w:r>
              <w:rPr>
                <w:rFonts w:ascii="Calibri" w:hAnsi="Calibri" w:cs="Calibri"/>
                <w:color w:val="000000"/>
                <w:sz w:val="22"/>
                <w:szCs w:val="22"/>
              </w:rPr>
              <w:t>3.275.188,00</w:t>
            </w:r>
          </w:p>
        </w:tc>
        <w:tc>
          <w:tcPr>
            <w:tcW w:w="866" w:type="pct"/>
            <w:tcBorders>
              <w:top w:val="nil"/>
              <w:left w:val="single" w:sz="4" w:space="0" w:color="auto"/>
              <w:bottom w:val="single" w:sz="4" w:space="0" w:color="auto"/>
              <w:right w:val="single" w:sz="4" w:space="0" w:color="auto"/>
            </w:tcBorders>
            <w:shd w:val="clear" w:color="auto" w:fill="auto"/>
            <w:vAlign w:val="bottom"/>
          </w:tcPr>
          <w:p w14:paraId="61A39CAE" w14:textId="05B56B38" w:rsidR="00F27CE1" w:rsidRPr="00A40660" w:rsidRDefault="00F27CE1" w:rsidP="00F27CE1">
            <w:pPr>
              <w:jc w:val="center"/>
              <w:rPr>
                <w:rFonts w:cs="Arial"/>
                <w:bCs/>
                <w:noProof/>
                <w:szCs w:val="20"/>
              </w:rPr>
            </w:pPr>
            <w:r>
              <w:rPr>
                <w:rFonts w:ascii="Calibri" w:hAnsi="Calibri" w:cs="Calibri"/>
                <w:color w:val="000000"/>
                <w:sz w:val="22"/>
                <w:szCs w:val="22"/>
              </w:rPr>
              <w:t>1.403.652,00</w:t>
            </w:r>
          </w:p>
        </w:tc>
        <w:tc>
          <w:tcPr>
            <w:tcW w:w="509" w:type="pct"/>
            <w:tcBorders>
              <w:top w:val="nil"/>
              <w:left w:val="single" w:sz="4" w:space="0" w:color="auto"/>
              <w:bottom w:val="single" w:sz="4" w:space="0" w:color="auto"/>
              <w:right w:val="single" w:sz="4" w:space="0" w:color="auto"/>
            </w:tcBorders>
            <w:shd w:val="clear" w:color="auto" w:fill="auto"/>
            <w:vAlign w:val="bottom"/>
          </w:tcPr>
          <w:p w14:paraId="5CBE9813" w14:textId="1BDEF313" w:rsidR="00F27CE1" w:rsidRPr="00A40660" w:rsidRDefault="00F27CE1" w:rsidP="00F27CE1">
            <w:pPr>
              <w:jc w:val="center"/>
              <w:rPr>
                <w:rFonts w:cs="Arial"/>
                <w:bCs/>
                <w:noProof/>
                <w:szCs w:val="20"/>
              </w:rPr>
            </w:pPr>
            <w:r>
              <w:rPr>
                <w:rFonts w:ascii="Calibri" w:hAnsi="Calibri" w:cs="Calibri"/>
                <w:color w:val="000000"/>
                <w:sz w:val="22"/>
                <w:szCs w:val="22"/>
              </w:rPr>
              <w:t>4.678.840,00</w:t>
            </w:r>
          </w:p>
        </w:tc>
        <w:tc>
          <w:tcPr>
            <w:tcW w:w="534" w:type="pct"/>
            <w:tcBorders>
              <w:left w:val="single" w:sz="4" w:space="0" w:color="auto"/>
              <w:right w:val="single" w:sz="4" w:space="0" w:color="auto"/>
            </w:tcBorders>
            <w:shd w:val="clear" w:color="auto" w:fill="auto"/>
            <w:vAlign w:val="center"/>
          </w:tcPr>
          <w:p w14:paraId="16DCFB14" w14:textId="3AE96B41" w:rsidR="00F27CE1" w:rsidRPr="00A40660" w:rsidRDefault="00F27CE1" w:rsidP="00F27CE1">
            <w:pPr>
              <w:jc w:val="center"/>
              <w:rPr>
                <w:rFonts w:cs="Arial"/>
                <w:bCs/>
                <w:noProof/>
                <w:szCs w:val="20"/>
              </w:rPr>
            </w:pPr>
            <w:r w:rsidRPr="00A22ABE">
              <w:t>70:30</w:t>
            </w:r>
          </w:p>
        </w:tc>
      </w:tr>
      <w:tr w:rsidR="00F27CE1" w:rsidRPr="00A40660" w14:paraId="049BB81C" w14:textId="77777777" w:rsidTr="00714475">
        <w:trPr>
          <w:trHeight w:val="277"/>
        </w:trPr>
        <w:tc>
          <w:tcPr>
            <w:tcW w:w="452" w:type="pct"/>
            <w:gridSpan w:val="2"/>
            <w:vMerge/>
            <w:tcBorders>
              <w:left w:val="single" w:sz="4" w:space="0" w:color="auto"/>
              <w:right w:val="single" w:sz="4" w:space="0" w:color="auto"/>
            </w:tcBorders>
            <w:shd w:val="clear" w:color="auto" w:fill="auto"/>
          </w:tcPr>
          <w:p w14:paraId="244F4E38" w14:textId="77777777" w:rsidR="00F27CE1" w:rsidRPr="00A40660" w:rsidRDefault="00F27CE1" w:rsidP="00F27CE1">
            <w:pPr>
              <w:jc w:val="center"/>
              <w:rPr>
                <w:rFonts w:cs="Arial"/>
                <w:bCs/>
                <w:noProof/>
                <w:szCs w:val="20"/>
                <w:lang w:val="fr-BE"/>
              </w:rPr>
            </w:pPr>
          </w:p>
        </w:tc>
        <w:tc>
          <w:tcPr>
            <w:tcW w:w="561" w:type="pct"/>
            <w:tcBorders>
              <w:top w:val="single" w:sz="4" w:space="0" w:color="auto"/>
              <w:left w:val="single" w:sz="4" w:space="0" w:color="auto"/>
              <w:right w:val="single" w:sz="4" w:space="0" w:color="auto"/>
            </w:tcBorders>
            <w:shd w:val="clear" w:color="auto" w:fill="auto"/>
          </w:tcPr>
          <w:p w14:paraId="11788D84" w14:textId="6C7C547B" w:rsidR="00F27CE1" w:rsidRPr="00A40660" w:rsidRDefault="00F27CE1" w:rsidP="00F27CE1">
            <w:pPr>
              <w:jc w:val="center"/>
              <w:rPr>
                <w:rFonts w:cs="Arial"/>
                <w:bCs/>
                <w:noProof/>
                <w:szCs w:val="20"/>
              </w:rPr>
            </w:pPr>
            <w:r>
              <w:rPr>
                <w:rFonts w:cs="Arial"/>
                <w:bCs/>
                <w:noProof/>
                <w:szCs w:val="20"/>
              </w:rPr>
              <w:t>1.6</w:t>
            </w:r>
          </w:p>
        </w:tc>
        <w:tc>
          <w:tcPr>
            <w:tcW w:w="347" w:type="pct"/>
            <w:tcBorders>
              <w:left w:val="single" w:sz="4" w:space="0" w:color="auto"/>
              <w:right w:val="single" w:sz="4" w:space="0" w:color="auto"/>
            </w:tcBorders>
            <w:shd w:val="clear" w:color="auto" w:fill="auto"/>
          </w:tcPr>
          <w:p w14:paraId="58D9CC41"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367DC882" w14:textId="531FEE6D" w:rsidR="00F27CE1" w:rsidRPr="00A40660" w:rsidRDefault="00F27CE1" w:rsidP="00F27CE1">
            <w:pPr>
              <w:jc w:val="center"/>
              <w:rPr>
                <w:rFonts w:cs="Arial"/>
                <w:bCs/>
                <w:noProof/>
                <w:szCs w:val="20"/>
              </w:rPr>
            </w:pPr>
            <w:r>
              <w:rPr>
                <w:rFonts w:ascii="Calibri" w:hAnsi="Calibri" w:cs="Calibri"/>
                <w:color w:val="000000"/>
                <w:sz w:val="22"/>
                <w:szCs w:val="22"/>
              </w:rPr>
              <w:t>895.300,00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1281F67A" w14:textId="0B0AB33A" w:rsidR="00F27CE1" w:rsidRPr="00A40660" w:rsidRDefault="00F27CE1" w:rsidP="00F27CE1">
            <w:pPr>
              <w:jc w:val="center"/>
              <w:rPr>
                <w:rFonts w:cs="Arial"/>
                <w:bCs/>
                <w:noProof/>
                <w:szCs w:val="20"/>
              </w:rPr>
            </w:pPr>
            <w:r>
              <w:rPr>
                <w:rFonts w:ascii="Calibri" w:hAnsi="Calibri" w:cs="Calibri"/>
                <w:color w:val="000000"/>
                <w:sz w:val="22"/>
                <w:szCs w:val="22"/>
              </w:rPr>
              <w:t>949.018,00</w:t>
            </w:r>
          </w:p>
        </w:tc>
        <w:tc>
          <w:tcPr>
            <w:tcW w:w="866" w:type="pct"/>
            <w:tcBorders>
              <w:top w:val="nil"/>
              <w:left w:val="single" w:sz="4" w:space="0" w:color="auto"/>
              <w:bottom w:val="single" w:sz="4" w:space="0" w:color="auto"/>
              <w:right w:val="single" w:sz="4" w:space="0" w:color="auto"/>
            </w:tcBorders>
            <w:shd w:val="clear" w:color="auto" w:fill="auto"/>
            <w:vAlign w:val="bottom"/>
          </w:tcPr>
          <w:p w14:paraId="1ED9523B" w14:textId="348A7390" w:rsidR="00F27CE1" w:rsidRPr="00A40660" w:rsidRDefault="00F27CE1" w:rsidP="00F27CE1">
            <w:pPr>
              <w:jc w:val="center"/>
              <w:rPr>
                <w:rFonts w:cs="Arial"/>
                <w:bCs/>
                <w:noProof/>
                <w:szCs w:val="20"/>
              </w:rPr>
            </w:pPr>
            <w:r>
              <w:rPr>
                <w:rFonts w:ascii="Calibri" w:hAnsi="Calibri" w:cs="Calibri"/>
                <w:color w:val="000000"/>
                <w:sz w:val="22"/>
                <w:szCs w:val="22"/>
              </w:rPr>
              <w:t>406.722,00</w:t>
            </w:r>
          </w:p>
        </w:tc>
        <w:tc>
          <w:tcPr>
            <w:tcW w:w="509" w:type="pct"/>
            <w:tcBorders>
              <w:top w:val="nil"/>
              <w:left w:val="single" w:sz="4" w:space="0" w:color="auto"/>
              <w:bottom w:val="single" w:sz="4" w:space="0" w:color="auto"/>
              <w:right w:val="single" w:sz="4" w:space="0" w:color="auto"/>
            </w:tcBorders>
            <w:shd w:val="clear" w:color="auto" w:fill="auto"/>
            <w:vAlign w:val="bottom"/>
          </w:tcPr>
          <w:p w14:paraId="123465D9" w14:textId="3E803DB2" w:rsidR="00F27CE1" w:rsidRPr="00A40660" w:rsidRDefault="00F27CE1" w:rsidP="00F27CE1">
            <w:pPr>
              <w:jc w:val="center"/>
              <w:rPr>
                <w:rFonts w:cs="Arial"/>
                <w:bCs/>
                <w:noProof/>
                <w:szCs w:val="20"/>
              </w:rPr>
            </w:pPr>
            <w:r>
              <w:rPr>
                <w:rFonts w:ascii="Calibri" w:hAnsi="Calibri" w:cs="Calibri"/>
                <w:color w:val="000000"/>
                <w:sz w:val="22"/>
                <w:szCs w:val="22"/>
              </w:rPr>
              <w:t>1.355.740,00</w:t>
            </w:r>
          </w:p>
        </w:tc>
        <w:tc>
          <w:tcPr>
            <w:tcW w:w="534" w:type="pct"/>
            <w:tcBorders>
              <w:left w:val="single" w:sz="4" w:space="0" w:color="auto"/>
              <w:right w:val="single" w:sz="4" w:space="0" w:color="auto"/>
            </w:tcBorders>
            <w:shd w:val="clear" w:color="auto" w:fill="auto"/>
            <w:vAlign w:val="center"/>
          </w:tcPr>
          <w:p w14:paraId="7F33E316" w14:textId="27C47BA0" w:rsidR="00F27CE1" w:rsidRPr="00A40660" w:rsidRDefault="00F27CE1" w:rsidP="00F27CE1">
            <w:pPr>
              <w:jc w:val="center"/>
              <w:rPr>
                <w:rFonts w:cs="Arial"/>
                <w:bCs/>
                <w:noProof/>
                <w:szCs w:val="20"/>
              </w:rPr>
            </w:pPr>
            <w:r w:rsidRPr="00A22ABE">
              <w:t>70:30</w:t>
            </w:r>
          </w:p>
        </w:tc>
      </w:tr>
      <w:tr w:rsidR="00F27CE1" w:rsidRPr="00A40660" w14:paraId="354F53CE" w14:textId="77777777" w:rsidTr="00714475">
        <w:trPr>
          <w:trHeight w:val="290"/>
        </w:trPr>
        <w:tc>
          <w:tcPr>
            <w:tcW w:w="452" w:type="pct"/>
            <w:gridSpan w:val="2"/>
            <w:vMerge w:val="restart"/>
            <w:tcBorders>
              <w:top w:val="single" w:sz="4" w:space="0" w:color="auto"/>
              <w:left w:val="single" w:sz="4" w:space="0" w:color="auto"/>
              <w:right w:val="single" w:sz="4" w:space="0" w:color="auto"/>
            </w:tcBorders>
            <w:shd w:val="clear" w:color="auto" w:fill="auto"/>
          </w:tcPr>
          <w:p w14:paraId="64F2BA0D" w14:textId="77777777" w:rsidR="00F27CE1" w:rsidRPr="00A40660" w:rsidRDefault="00F27CE1" w:rsidP="00F27CE1">
            <w:pPr>
              <w:jc w:val="center"/>
              <w:rPr>
                <w:rFonts w:cs="Arial"/>
                <w:bCs/>
                <w:noProof/>
                <w:szCs w:val="20"/>
              </w:rPr>
            </w:pPr>
            <w:r w:rsidRPr="00A40660">
              <w:rPr>
                <w:rFonts w:cs="Arial"/>
                <w:b/>
                <w:noProof/>
                <w:szCs w:val="20"/>
              </w:rPr>
              <w:t>Prednostna naloga</w:t>
            </w:r>
            <w:r w:rsidRPr="00A40660">
              <w:rPr>
                <w:rFonts w:cs="Arial"/>
                <w:bCs/>
                <w:noProof/>
                <w:szCs w:val="20"/>
              </w:rPr>
              <w:t xml:space="preserve"> 2</w:t>
            </w:r>
          </w:p>
        </w:tc>
        <w:tc>
          <w:tcPr>
            <w:tcW w:w="561" w:type="pct"/>
            <w:tcBorders>
              <w:top w:val="single" w:sz="4" w:space="0" w:color="auto"/>
              <w:left w:val="single" w:sz="4" w:space="0" w:color="auto"/>
              <w:right w:val="single" w:sz="4" w:space="0" w:color="auto"/>
            </w:tcBorders>
            <w:shd w:val="clear" w:color="auto" w:fill="auto"/>
          </w:tcPr>
          <w:p w14:paraId="4ED8612F" w14:textId="77777777" w:rsidR="00F27CE1" w:rsidRPr="00A40660" w:rsidRDefault="00F27CE1" w:rsidP="00F27CE1">
            <w:pPr>
              <w:jc w:val="center"/>
              <w:rPr>
                <w:rFonts w:cs="Arial"/>
                <w:bCs/>
                <w:noProof/>
                <w:szCs w:val="20"/>
              </w:rPr>
            </w:pPr>
            <w:r w:rsidRPr="00A40660">
              <w:rPr>
                <w:rFonts w:cs="Arial"/>
                <w:bCs/>
                <w:noProof/>
                <w:szCs w:val="20"/>
              </w:rPr>
              <w:t>2.1</w:t>
            </w:r>
          </w:p>
        </w:tc>
        <w:tc>
          <w:tcPr>
            <w:tcW w:w="347" w:type="pct"/>
            <w:tcBorders>
              <w:top w:val="single" w:sz="4" w:space="0" w:color="auto"/>
              <w:left w:val="single" w:sz="4" w:space="0" w:color="auto"/>
              <w:right w:val="single" w:sz="4" w:space="0" w:color="auto"/>
            </w:tcBorders>
            <w:shd w:val="clear" w:color="auto" w:fill="auto"/>
          </w:tcPr>
          <w:p w14:paraId="5E152775"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6C97961B" w14:textId="58CB9C18" w:rsidR="00F27CE1" w:rsidRPr="00A40660" w:rsidRDefault="00F27CE1" w:rsidP="00F27CE1">
            <w:pPr>
              <w:jc w:val="center"/>
              <w:rPr>
                <w:rFonts w:cs="Arial"/>
                <w:bCs/>
                <w:noProof/>
                <w:szCs w:val="20"/>
              </w:rPr>
            </w:pPr>
            <w:r>
              <w:rPr>
                <w:rFonts w:ascii="Calibri" w:hAnsi="Calibri" w:cs="Calibri"/>
                <w:color w:val="000000"/>
                <w:sz w:val="22"/>
                <w:szCs w:val="22"/>
              </w:rPr>
              <w:t>3.041.500,00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0E668B83" w14:textId="16303B09" w:rsidR="00F27CE1" w:rsidRPr="00A40660" w:rsidRDefault="00F27CE1" w:rsidP="00F27CE1">
            <w:pPr>
              <w:jc w:val="center"/>
              <w:rPr>
                <w:rFonts w:cs="Arial"/>
                <w:bCs/>
                <w:noProof/>
                <w:szCs w:val="20"/>
              </w:rPr>
            </w:pPr>
            <w:r>
              <w:rPr>
                <w:rFonts w:ascii="Calibri" w:hAnsi="Calibri" w:cs="Calibri"/>
                <w:color w:val="000000"/>
                <w:sz w:val="22"/>
                <w:szCs w:val="22"/>
              </w:rPr>
              <w:t>3.223.990,00</w:t>
            </w:r>
          </w:p>
        </w:tc>
        <w:tc>
          <w:tcPr>
            <w:tcW w:w="866" w:type="pct"/>
            <w:tcBorders>
              <w:top w:val="nil"/>
              <w:left w:val="single" w:sz="4" w:space="0" w:color="auto"/>
              <w:bottom w:val="single" w:sz="4" w:space="0" w:color="auto"/>
              <w:right w:val="single" w:sz="4" w:space="0" w:color="auto"/>
            </w:tcBorders>
            <w:shd w:val="clear" w:color="auto" w:fill="auto"/>
            <w:vAlign w:val="bottom"/>
          </w:tcPr>
          <w:p w14:paraId="0F02E441" w14:textId="5355747A" w:rsidR="00F27CE1" w:rsidRPr="00A40660" w:rsidRDefault="00F27CE1" w:rsidP="00F27CE1">
            <w:pPr>
              <w:jc w:val="center"/>
              <w:rPr>
                <w:rFonts w:cs="Arial"/>
                <w:bCs/>
                <w:noProof/>
                <w:szCs w:val="20"/>
              </w:rPr>
            </w:pPr>
            <w:r>
              <w:rPr>
                <w:rFonts w:ascii="Calibri" w:hAnsi="Calibri" w:cs="Calibri"/>
                <w:color w:val="000000"/>
                <w:sz w:val="22"/>
                <w:szCs w:val="22"/>
              </w:rPr>
              <w:t>1.381.710,00</w:t>
            </w:r>
          </w:p>
        </w:tc>
        <w:tc>
          <w:tcPr>
            <w:tcW w:w="509" w:type="pct"/>
            <w:tcBorders>
              <w:top w:val="nil"/>
              <w:left w:val="single" w:sz="4" w:space="0" w:color="auto"/>
              <w:bottom w:val="single" w:sz="4" w:space="0" w:color="auto"/>
              <w:right w:val="single" w:sz="4" w:space="0" w:color="auto"/>
            </w:tcBorders>
            <w:shd w:val="clear" w:color="auto" w:fill="auto"/>
            <w:vAlign w:val="bottom"/>
          </w:tcPr>
          <w:p w14:paraId="7CFB45E9" w14:textId="10624C9B" w:rsidR="00F27CE1" w:rsidRPr="00A40660" w:rsidRDefault="00F27CE1" w:rsidP="00F27CE1">
            <w:pPr>
              <w:jc w:val="center"/>
              <w:rPr>
                <w:rFonts w:cs="Arial"/>
                <w:bCs/>
                <w:noProof/>
                <w:szCs w:val="20"/>
              </w:rPr>
            </w:pPr>
            <w:r>
              <w:rPr>
                <w:rFonts w:ascii="Calibri" w:hAnsi="Calibri" w:cs="Calibri"/>
                <w:color w:val="000000"/>
                <w:sz w:val="22"/>
                <w:szCs w:val="22"/>
              </w:rPr>
              <w:t>4.605.700,00</w:t>
            </w:r>
          </w:p>
        </w:tc>
        <w:tc>
          <w:tcPr>
            <w:tcW w:w="534" w:type="pct"/>
            <w:tcBorders>
              <w:top w:val="single" w:sz="4" w:space="0" w:color="auto"/>
              <w:left w:val="single" w:sz="4" w:space="0" w:color="auto"/>
              <w:right w:val="single" w:sz="4" w:space="0" w:color="auto"/>
            </w:tcBorders>
            <w:shd w:val="clear" w:color="auto" w:fill="auto"/>
            <w:vAlign w:val="center"/>
          </w:tcPr>
          <w:p w14:paraId="4EB5F39B" w14:textId="37C768E4" w:rsidR="00F27CE1" w:rsidRPr="00A40660" w:rsidRDefault="00F27CE1" w:rsidP="00F27CE1">
            <w:pPr>
              <w:jc w:val="center"/>
              <w:rPr>
                <w:rFonts w:cs="Arial"/>
                <w:bCs/>
                <w:noProof/>
                <w:szCs w:val="20"/>
              </w:rPr>
            </w:pPr>
            <w:r w:rsidRPr="00A22ABE">
              <w:t>70:30</w:t>
            </w:r>
          </w:p>
        </w:tc>
      </w:tr>
      <w:tr w:rsidR="00F27CE1" w:rsidRPr="00A40660" w14:paraId="0E484D48" w14:textId="77777777" w:rsidTr="00714475">
        <w:trPr>
          <w:trHeight w:val="290"/>
        </w:trPr>
        <w:tc>
          <w:tcPr>
            <w:tcW w:w="452" w:type="pct"/>
            <w:gridSpan w:val="2"/>
            <w:vMerge/>
            <w:tcBorders>
              <w:left w:val="single" w:sz="4" w:space="0" w:color="auto"/>
              <w:right w:val="single" w:sz="4" w:space="0" w:color="auto"/>
            </w:tcBorders>
            <w:shd w:val="clear" w:color="auto" w:fill="auto"/>
          </w:tcPr>
          <w:p w14:paraId="61E52F28" w14:textId="77777777" w:rsidR="00F27CE1" w:rsidRPr="00A40660" w:rsidRDefault="00F27CE1" w:rsidP="00F27CE1">
            <w:pPr>
              <w:jc w:val="center"/>
              <w:rPr>
                <w:rFonts w:cs="Arial"/>
                <w:b/>
                <w:noProof/>
                <w:szCs w:val="20"/>
              </w:rPr>
            </w:pPr>
          </w:p>
        </w:tc>
        <w:tc>
          <w:tcPr>
            <w:tcW w:w="561" w:type="pct"/>
            <w:tcBorders>
              <w:top w:val="single" w:sz="4" w:space="0" w:color="auto"/>
              <w:left w:val="single" w:sz="4" w:space="0" w:color="auto"/>
              <w:right w:val="single" w:sz="4" w:space="0" w:color="auto"/>
            </w:tcBorders>
            <w:shd w:val="clear" w:color="auto" w:fill="auto"/>
          </w:tcPr>
          <w:p w14:paraId="304EFAF5" w14:textId="6F2FAAE3" w:rsidR="00F27CE1" w:rsidRPr="00A40660" w:rsidRDefault="00F27CE1" w:rsidP="00F27CE1">
            <w:pPr>
              <w:jc w:val="center"/>
              <w:rPr>
                <w:rFonts w:cs="Arial"/>
                <w:bCs/>
                <w:noProof/>
                <w:szCs w:val="20"/>
              </w:rPr>
            </w:pPr>
            <w:r w:rsidRPr="0001712A">
              <w:rPr>
                <w:rFonts w:cs="Arial"/>
                <w:bCs/>
                <w:noProof/>
                <w:szCs w:val="20"/>
              </w:rPr>
              <w:t>2.2</w:t>
            </w:r>
          </w:p>
        </w:tc>
        <w:tc>
          <w:tcPr>
            <w:tcW w:w="347" w:type="pct"/>
            <w:tcBorders>
              <w:top w:val="single" w:sz="4" w:space="0" w:color="auto"/>
              <w:left w:val="single" w:sz="4" w:space="0" w:color="auto"/>
              <w:right w:val="single" w:sz="4" w:space="0" w:color="auto"/>
            </w:tcBorders>
            <w:shd w:val="clear" w:color="auto" w:fill="auto"/>
          </w:tcPr>
          <w:p w14:paraId="60FE5248" w14:textId="77777777" w:rsidR="00F27CE1" w:rsidRPr="00A40660" w:rsidRDefault="00F27CE1" w:rsidP="00F27CE1">
            <w:pPr>
              <w:jc w:val="center"/>
              <w:rPr>
                <w:rFonts w:cs="Arial"/>
                <w:noProof/>
                <w:szCs w:val="20"/>
              </w:rPr>
            </w:pPr>
          </w:p>
        </w:tc>
        <w:tc>
          <w:tcPr>
            <w:tcW w:w="865" w:type="pct"/>
            <w:tcBorders>
              <w:top w:val="nil"/>
              <w:left w:val="single" w:sz="8" w:space="0" w:color="auto"/>
              <w:bottom w:val="single" w:sz="4" w:space="0" w:color="auto"/>
              <w:right w:val="single" w:sz="4" w:space="0" w:color="auto"/>
            </w:tcBorders>
            <w:shd w:val="clear" w:color="auto" w:fill="auto"/>
            <w:vAlign w:val="bottom"/>
          </w:tcPr>
          <w:p w14:paraId="17A786B9" w14:textId="26219972" w:rsidR="00F27CE1" w:rsidRPr="00A40660" w:rsidRDefault="00F27CE1" w:rsidP="00F27CE1">
            <w:pPr>
              <w:jc w:val="center"/>
              <w:rPr>
                <w:rFonts w:cs="Arial"/>
                <w:bCs/>
                <w:noProof/>
                <w:szCs w:val="20"/>
              </w:rPr>
            </w:pPr>
            <w:r>
              <w:rPr>
                <w:rFonts w:ascii="Calibri" w:hAnsi="Calibri" w:cs="Calibri"/>
                <w:color w:val="000000"/>
                <w:sz w:val="22"/>
                <w:szCs w:val="22"/>
              </w:rPr>
              <w:t>4.241.434,00</w:t>
            </w:r>
          </w:p>
        </w:tc>
        <w:tc>
          <w:tcPr>
            <w:tcW w:w="865" w:type="pct"/>
            <w:tcBorders>
              <w:top w:val="nil"/>
              <w:left w:val="single" w:sz="4" w:space="0" w:color="auto"/>
              <w:bottom w:val="single" w:sz="4" w:space="0" w:color="auto"/>
              <w:right w:val="single" w:sz="4" w:space="0" w:color="auto"/>
            </w:tcBorders>
            <w:shd w:val="clear" w:color="auto" w:fill="auto"/>
            <w:vAlign w:val="bottom"/>
          </w:tcPr>
          <w:p w14:paraId="10E836A2" w14:textId="72087AA9" w:rsidR="00F27CE1" w:rsidRPr="00A40660" w:rsidRDefault="00F27CE1" w:rsidP="00F27CE1">
            <w:pPr>
              <w:jc w:val="center"/>
              <w:rPr>
                <w:rFonts w:cs="Arial"/>
                <w:bCs/>
                <w:noProof/>
                <w:szCs w:val="20"/>
              </w:rPr>
            </w:pPr>
            <w:r>
              <w:rPr>
                <w:rFonts w:ascii="Calibri" w:hAnsi="Calibri" w:cs="Calibri"/>
                <w:color w:val="000000"/>
                <w:sz w:val="22"/>
                <w:szCs w:val="22"/>
              </w:rPr>
              <w:t>4.495.919,00</w:t>
            </w:r>
          </w:p>
        </w:tc>
        <w:tc>
          <w:tcPr>
            <w:tcW w:w="866" w:type="pct"/>
            <w:tcBorders>
              <w:top w:val="nil"/>
              <w:left w:val="single" w:sz="4" w:space="0" w:color="auto"/>
              <w:bottom w:val="single" w:sz="4" w:space="0" w:color="auto"/>
              <w:right w:val="single" w:sz="4" w:space="0" w:color="auto"/>
            </w:tcBorders>
            <w:shd w:val="clear" w:color="auto" w:fill="auto"/>
            <w:vAlign w:val="bottom"/>
          </w:tcPr>
          <w:p w14:paraId="3784AD02" w14:textId="4A5693D7" w:rsidR="00F27CE1" w:rsidRPr="00A40660" w:rsidRDefault="00F27CE1" w:rsidP="00F27CE1">
            <w:pPr>
              <w:jc w:val="center"/>
              <w:rPr>
                <w:rFonts w:cs="Arial"/>
                <w:bCs/>
                <w:noProof/>
                <w:szCs w:val="20"/>
              </w:rPr>
            </w:pPr>
            <w:r>
              <w:rPr>
                <w:rFonts w:ascii="Calibri" w:hAnsi="Calibri" w:cs="Calibri"/>
                <w:color w:val="000000"/>
                <w:sz w:val="22"/>
                <w:szCs w:val="22"/>
              </w:rPr>
              <w:t>1.926.823,00</w:t>
            </w:r>
          </w:p>
        </w:tc>
        <w:tc>
          <w:tcPr>
            <w:tcW w:w="509" w:type="pct"/>
            <w:tcBorders>
              <w:top w:val="nil"/>
              <w:left w:val="single" w:sz="4" w:space="0" w:color="auto"/>
              <w:bottom w:val="single" w:sz="4" w:space="0" w:color="auto"/>
              <w:right w:val="single" w:sz="4" w:space="0" w:color="auto"/>
            </w:tcBorders>
            <w:shd w:val="clear" w:color="auto" w:fill="auto"/>
            <w:vAlign w:val="bottom"/>
          </w:tcPr>
          <w:p w14:paraId="77EDFC7E" w14:textId="76726F0D" w:rsidR="00F27CE1" w:rsidRPr="00A40660" w:rsidRDefault="00F27CE1" w:rsidP="00F27CE1">
            <w:pPr>
              <w:jc w:val="center"/>
              <w:rPr>
                <w:rFonts w:cs="Arial"/>
                <w:bCs/>
                <w:noProof/>
                <w:szCs w:val="20"/>
              </w:rPr>
            </w:pPr>
            <w:r>
              <w:rPr>
                <w:rFonts w:ascii="Calibri" w:hAnsi="Calibri" w:cs="Calibri"/>
                <w:color w:val="000000"/>
                <w:sz w:val="22"/>
                <w:szCs w:val="22"/>
              </w:rPr>
              <w:t>6.422.742,00</w:t>
            </w:r>
          </w:p>
        </w:tc>
        <w:tc>
          <w:tcPr>
            <w:tcW w:w="534" w:type="pct"/>
            <w:tcBorders>
              <w:top w:val="single" w:sz="4" w:space="0" w:color="auto"/>
              <w:left w:val="single" w:sz="4" w:space="0" w:color="auto"/>
              <w:right w:val="single" w:sz="4" w:space="0" w:color="auto"/>
            </w:tcBorders>
            <w:shd w:val="clear" w:color="auto" w:fill="auto"/>
            <w:vAlign w:val="center"/>
          </w:tcPr>
          <w:p w14:paraId="7FFC54A5" w14:textId="780FBC68" w:rsidR="00F27CE1" w:rsidRPr="00A40660" w:rsidRDefault="00F27CE1" w:rsidP="00F27CE1">
            <w:pPr>
              <w:jc w:val="center"/>
              <w:rPr>
                <w:rFonts w:cs="Arial"/>
                <w:bCs/>
                <w:noProof/>
                <w:szCs w:val="20"/>
              </w:rPr>
            </w:pPr>
            <w:r w:rsidRPr="00A22ABE">
              <w:t>70:30</w:t>
            </w:r>
          </w:p>
        </w:tc>
      </w:tr>
      <w:tr w:rsidR="00F27CE1" w:rsidRPr="00A40660" w14:paraId="56FA1FA4" w14:textId="77777777" w:rsidTr="00714475">
        <w:trPr>
          <w:trHeight w:val="293"/>
        </w:trPr>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14:paraId="3F4EDF27" w14:textId="77777777" w:rsidR="00F27CE1" w:rsidRPr="00A40660" w:rsidRDefault="00F27CE1" w:rsidP="00F27CE1">
            <w:pPr>
              <w:jc w:val="center"/>
              <w:rPr>
                <w:rFonts w:cs="Arial"/>
                <w:bCs/>
                <w:noProof/>
                <w:szCs w:val="20"/>
              </w:rPr>
            </w:pPr>
            <w:r w:rsidRPr="00A40660">
              <w:rPr>
                <w:rFonts w:cs="Arial"/>
                <w:b/>
                <w:noProof/>
                <w:szCs w:val="20"/>
              </w:rPr>
              <w:t>Prednostna naloga</w:t>
            </w:r>
            <w:r w:rsidRPr="00A40660">
              <w:rPr>
                <w:rFonts w:cs="Arial"/>
                <w:bCs/>
                <w:noProof/>
                <w:szCs w:val="20"/>
              </w:rPr>
              <w:t xml:space="preserve"> 3</w:t>
            </w:r>
          </w:p>
        </w:tc>
        <w:tc>
          <w:tcPr>
            <w:tcW w:w="561" w:type="pct"/>
            <w:tcBorders>
              <w:top w:val="single" w:sz="4" w:space="0" w:color="auto"/>
              <w:left w:val="single" w:sz="4" w:space="0" w:color="auto"/>
              <w:right w:val="single" w:sz="4" w:space="0" w:color="auto"/>
            </w:tcBorders>
            <w:shd w:val="clear" w:color="auto" w:fill="auto"/>
          </w:tcPr>
          <w:p w14:paraId="4FD3A26D" w14:textId="77777777" w:rsidR="00F27CE1" w:rsidRPr="00A40660" w:rsidRDefault="00F27CE1" w:rsidP="00F27CE1">
            <w:pPr>
              <w:jc w:val="center"/>
              <w:rPr>
                <w:rFonts w:cs="Arial"/>
                <w:bCs/>
                <w:noProof/>
                <w:szCs w:val="20"/>
              </w:rPr>
            </w:pPr>
            <w:r w:rsidRPr="00A40660">
              <w:rPr>
                <w:rFonts w:cs="Arial"/>
                <w:bCs/>
                <w:noProof/>
                <w:szCs w:val="20"/>
              </w:rPr>
              <w:t>3.1</w:t>
            </w:r>
          </w:p>
        </w:tc>
        <w:tc>
          <w:tcPr>
            <w:tcW w:w="347" w:type="pct"/>
            <w:tcBorders>
              <w:top w:val="single" w:sz="4" w:space="0" w:color="auto"/>
              <w:left w:val="single" w:sz="4" w:space="0" w:color="auto"/>
              <w:right w:val="single" w:sz="4" w:space="0" w:color="auto"/>
            </w:tcBorders>
            <w:shd w:val="clear" w:color="auto" w:fill="auto"/>
          </w:tcPr>
          <w:p w14:paraId="050AFF7A"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11F79090" w14:textId="1F1B3EA9" w:rsidR="00F27CE1" w:rsidRPr="00A40660" w:rsidRDefault="00F27CE1" w:rsidP="00F27CE1">
            <w:pPr>
              <w:jc w:val="center"/>
              <w:rPr>
                <w:rFonts w:cs="Arial"/>
                <w:bCs/>
                <w:noProof/>
                <w:szCs w:val="20"/>
              </w:rPr>
            </w:pPr>
            <w:r>
              <w:rPr>
                <w:rFonts w:ascii="Calibri" w:hAnsi="Calibri" w:cs="Calibri"/>
                <w:color w:val="000000"/>
                <w:sz w:val="22"/>
                <w:szCs w:val="22"/>
              </w:rPr>
              <w:t>8.897.000,00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6171A25A" w14:textId="733F9376" w:rsidR="00F27CE1" w:rsidRPr="00A40660" w:rsidRDefault="00F27CE1" w:rsidP="00F27CE1">
            <w:pPr>
              <w:jc w:val="center"/>
              <w:rPr>
                <w:rFonts w:cs="Arial"/>
                <w:bCs/>
                <w:noProof/>
                <w:szCs w:val="20"/>
              </w:rPr>
            </w:pPr>
            <w:r>
              <w:rPr>
                <w:rFonts w:ascii="Calibri" w:hAnsi="Calibri" w:cs="Calibri"/>
                <w:color w:val="000000"/>
                <w:sz w:val="22"/>
                <w:szCs w:val="22"/>
              </w:rPr>
              <w:t>9.430.820,00</w:t>
            </w:r>
          </w:p>
        </w:tc>
        <w:tc>
          <w:tcPr>
            <w:tcW w:w="866" w:type="pct"/>
            <w:tcBorders>
              <w:top w:val="nil"/>
              <w:left w:val="single" w:sz="4" w:space="0" w:color="auto"/>
              <w:bottom w:val="single" w:sz="4" w:space="0" w:color="auto"/>
              <w:right w:val="single" w:sz="4" w:space="0" w:color="auto"/>
            </w:tcBorders>
            <w:shd w:val="clear" w:color="auto" w:fill="auto"/>
            <w:vAlign w:val="bottom"/>
          </w:tcPr>
          <w:p w14:paraId="5F6E3FD1" w14:textId="69090D4D" w:rsidR="00F27CE1" w:rsidRPr="00A40660" w:rsidRDefault="00F27CE1" w:rsidP="00F27CE1">
            <w:pPr>
              <w:jc w:val="center"/>
              <w:rPr>
                <w:rFonts w:cs="Arial"/>
                <w:bCs/>
                <w:noProof/>
                <w:szCs w:val="20"/>
              </w:rPr>
            </w:pPr>
            <w:r>
              <w:rPr>
                <w:rFonts w:ascii="Calibri" w:hAnsi="Calibri" w:cs="Calibri"/>
                <w:color w:val="000000"/>
                <w:sz w:val="22"/>
                <w:szCs w:val="22"/>
              </w:rPr>
              <w:t>4.041.780,00</w:t>
            </w:r>
          </w:p>
        </w:tc>
        <w:tc>
          <w:tcPr>
            <w:tcW w:w="509" w:type="pct"/>
            <w:tcBorders>
              <w:top w:val="nil"/>
              <w:left w:val="single" w:sz="4" w:space="0" w:color="auto"/>
              <w:bottom w:val="single" w:sz="4" w:space="0" w:color="auto"/>
              <w:right w:val="single" w:sz="4" w:space="0" w:color="auto"/>
            </w:tcBorders>
            <w:shd w:val="clear" w:color="auto" w:fill="auto"/>
            <w:vAlign w:val="bottom"/>
          </w:tcPr>
          <w:p w14:paraId="23932F10" w14:textId="1B50317F" w:rsidR="00F27CE1" w:rsidRPr="00A40660" w:rsidRDefault="00F27CE1" w:rsidP="00F27CE1">
            <w:pPr>
              <w:jc w:val="center"/>
              <w:rPr>
                <w:rFonts w:cs="Arial"/>
                <w:bCs/>
                <w:noProof/>
                <w:szCs w:val="20"/>
              </w:rPr>
            </w:pPr>
            <w:r>
              <w:rPr>
                <w:rFonts w:ascii="Calibri" w:hAnsi="Calibri" w:cs="Calibri"/>
                <w:color w:val="000000"/>
                <w:sz w:val="22"/>
                <w:szCs w:val="22"/>
              </w:rPr>
              <w:t>13.472.600,00</w:t>
            </w:r>
          </w:p>
        </w:tc>
        <w:tc>
          <w:tcPr>
            <w:tcW w:w="534" w:type="pct"/>
            <w:tcBorders>
              <w:top w:val="single" w:sz="4" w:space="0" w:color="auto"/>
              <w:left w:val="single" w:sz="4" w:space="0" w:color="auto"/>
              <w:right w:val="single" w:sz="4" w:space="0" w:color="auto"/>
            </w:tcBorders>
            <w:shd w:val="clear" w:color="auto" w:fill="auto"/>
            <w:vAlign w:val="center"/>
          </w:tcPr>
          <w:p w14:paraId="60812F22" w14:textId="0EBBC9DC" w:rsidR="00F27CE1" w:rsidRPr="00A40660" w:rsidRDefault="00F27CE1" w:rsidP="00F27CE1">
            <w:pPr>
              <w:jc w:val="center"/>
              <w:rPr>
                <w:rFonts w:cs="Arial"/>
                <w:bCs/>
                <w:noProof/>
                <w:szCs w:val="20"/>
              </w:rPr>
            </w:pPr>
            <w:r w:rsidRPr="00A22ABE">
              <w:t>70:30</w:t>
            </w:r>
          </w:p>
        </w:tc>
      </w:tr>
      <w:tr w:rsidR="00F27CE1" w:rsidRPr="00A40660" w14:paraId="1237E96D" w14:textId="77777777" w:rsidTr="00714475">
        <w:trPr>
          <w:trHeight w:val="270"/>
        </w:trPr>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14:paraId="549CACD2" w14:textId="77777777" w:rsidR="00F27CE1" w:rsidRPr="00A40660" w:rsidRDefault="00F27CE1" w:rsidP="00F27CE1">
            <w:pPr>
              <w:jc w:val="center"/>
              <w:rPr>
                <w:rFonts w:cs="Arial"/>
                <w:bCs/>
                <w:noProof/>
                <w:szCs w:val="20"/>
              </w:rPr>
            </w:pPr>
            <w:r w:rsidRPr="00A40660">
              <w:rPr>
                <w:rFonts w:cs="Arial"/>
                <w:b/>
                <w:noProof/>
                <w:szCs w:val="20"/>
              </w:rPr>
              <w:t>Prednostna naloga</w:t>
            </w:r>
            <w:r w:rsidRPr="00A40660">
              <w:rPr>
                <w:rFonts w:cs="Arial"/>
                <w:bCs/>
                <w:noProof/>
                <w:szCs w:val="20"/>
              </w:rPr>
              <w:t xml:space="preserve"> 4</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199ED0C1" w14:textId="77777777" w:rsidR="00F27CE1" w:rsidRPr="00A40660" w:rsidRDefault="00F27CE1" w:rsidP="00F27CE1">
            <w:pPr>
              <w:jc w:val="center"/>
              <w:rPr>
                <w:rFonts w:cs="Arial"/>
                <w:bCs/>
                <w:noProof/>
                <w:szCs w:val="20"/>
              </w:rPr>
            </w:pPr>
            <w:r w:rsidRPr="00A40660">
              <w:rPr>
                <w:rFonts w:cs="Arial"/>
                <w:bCs/>
                <w:noProof/>
                <w:szCs w:val="20"/>
              </w:rPr>
              <w:t>4.1</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CBB3521" w14:textId="77777777" w:rsidR="00F27CE1" w:rsidRPr="00A40660" w:rsidRDefault="00F27CE1" w:rsidP="00F27CE1">
            <w:pPr>
              <w:jc w:val="center"/>
              <w:rPr>
                <w:rFonts w:cs="Arial"/>
                <w:noProof/>
                <w:szCs w:val="20"/>
              </w:rPr>
            </w:pPr>
            <w:r w:rsidRPr="00A40660">
              <w:rPr>
                <w:rFonts w:cs="Arial"/>
                <w:noProof/>
                <w:szCs w:val="20"/>
              </w:rPr>
              <w:t>javni</w:t>
            </w:r>
          </w:p>
        </w:tc>
        <w:tc>
          <w:tcPr>
            <w:tcW w:w="865" w:type="pct"/>
            <w:tcBorders>
              <w:top w:val="nil"/>
              <w:left w:val="single" w:sz="8" w:space="0" w:color="auto"/>
              <w:bottom w:val="single" w:sz="4" w:space="0" w:color="auto"/>
              <w:right w:val="single" w:sz="4" w:space="0" w:color="auto"/>
            </w:tcBorders>
            <w:shd w:val="clear" w:color="auto" w:fill="auto"/>
            <w:vAlign w:val="bottom"/>
          </w:tcPr>
          <w:p w14:paraId="34F23BF5" w14:textId="6E87858A" w:rsidR="00F27CE1" w:rsidRPr="00824944" w:rsidRDefault="00F27CE1" w:rsidP="00F27CE1">
            <w:pPr>
              <w:jc w:val="center"/>
              <w:rPr>
                <w:rFonts w:ascii="Calibri" w:hAnsi="Calibri" w:cs="Calibri"/>
                <w:color w:val="000000"/>
                <w:sz w:val="22"/>
                <w:szCs w:val="22"/>
              </w:rPr>
            </w:pPr>
            <w:r>
              <w:rPr>
                <w:rFonts w:ascii="Calibri" w:hAnsi="Calibri" w:cs="Calibri"/>
                <w:color w:val="000000"/>
                <w:sz w:val="22"/>
                <w:szCs w:val="22"/>
              </w:rPr>
              <w:t>940.100,00</w:t>
            </w:r>
          </w:p>
        </w:tc>
        <w:tc>
          <w:tcPr>
            <w:tcW w:w="865" w:type="pct"/>
            <w:tcBorders>
              <w:top w:val="nil"/>
              <w:left w:val="single" w:sz="4" w:space="0" w:color="auto"/>
              <w:bottom w:val="single" w:sz="4" w:space="0" w:color="auto"/>
              <w:right w:val="single" w:sz="4" w:space="0" w:color="auto"/>
            </w:tcBorders>
            <w:shd w:val="clear" w:color="auto" w:fill="auto"/>
            <w:vAlign w:val="bottom"/>
          </w:tcPr>
          <w:p w14:paraId="4BF30157" w14:textId="601AE602" w:rsidR="00F27CE1" w:rsidRPr="00824944" w:rsidRDefault="00F27CE1" w:rsidP="00F27CE1">
            <w:pPr>
              <w:jc w:val="center"/>
              <w:rPr>
                <w:rFonts w:ascii="Calibri" w:hAnsi="Calibri" w:cs="Calibri"/>
                <w:color w:val="000000"/>
                <w:sz w:val="22"/>
                <w:szCs w:val="22"/>
              </w:rPr>
            </w:pPr>
            <w:r>
              <w:rPr>
                <w:rFonts w:ascii="Calibri" w:hAnsi="Calibri" w:cs="Calibri"/>
                <w:color w:val="000000"/>
                <w:sz w:val="22"/>
                <w:szCs w:val="22"/>
              </w:rPr>
              <w:t>996.506,00</w:t>
            </w:r>
          </w:p>
        </w:tc>
        <w:tc>
          <w:tcPr>
            <w:tcW w:w="866" w:type="pct"/>
            <w:tcBorders>
              <w:top w:val="nil"/>
              <w:left w:val="single" w:sz="4" w:space="0" w:color="auto"/>
              <w:bottom w:val="single" w:sz="4" w:space="0" w:color="auto"/>
              <w:right w:val="single" w:sz="4" w:space="0" w:color="auto"/>
            </w:tcBorders>
            <w:shd w:val="clear" w:color="auto" w:fill="auto"/>
            <w:vAlign w:val="bottom"/>
          </w:tcPr>
          <w:p w14:paraId="4487508E" w14:textId="02F6C3B5" w:rsidR="00F27CE1" w:rsidRPr="00A40660" w:rsidRDefault="00F27CE1" w:rsidP="00F27CE1">
            <w:pPr>
              <w:jc w:val="center"/>
              <w:rPr>
                <w:rFonts w:cs="Arial"/>
                <w:bCs/>
                <w:noProof/>
                <w:szCs w:val="20"/>
              </w:rPr>
            </w:pPr>
            <w:r>
              <w:rPr>
                <w:rFonts w:ascii="Calibri" w:hAnsi="Calibri" w:cs="Calibri"/>
                <w:color w:val="000000"/>
                <w:sz w:val="22"/>
                <w:szCs w:val="22"/>
              </w:rPr>
              <w:t>427.074,00</w:t>
            </w:r>
          </w:p>
        </w:tc>
        <w:tc>
          <w:tcPr>
            <w:tcW w:w="509" w:type="pct"/>
            <w:tcBorders>
              <w:top w:val="nil"/>
              <w:left w:val="single" w:sz="4" w:space="0" w:color="auto"/>
              <w:bottom w:val="single" w:sz="4" w:space="0" w:color="auto"/>
              <w:right w:val="single" w:sz="4" w:space="0" w:color="auto"/>
            </w:tcBorders>
            <w:shd w:val="clear" w:color="auto" w:fill="auto"/>
            <w:vAlign w:val="bottom"/>
          </w:tcPr>
          <w:p w14:paraId="162A2B49" w14:textId="4FBE9639" w:rsidR="00F27CE1" w:rsidRPr="00A40660" w:rsidRDefault="00F27CE1" w:rsidP="00F27CE1">
            <w:pPr>
              <w:jc w:val="center"/>
              <w:rPr>
                <w:rFonts w:cs="Arial"/>
                <w:bCs/>
                <w:noProof/>
                <w:szCs w:val="20"/>
              </w:rPr>
            </w:pPr>
            <w:r>
              <w:rPr>
                <w:rFonts w:ascii="Calibri" w:hAnsi="Calibri" w:cs="Calibri"/>
                <w:color w:val="000000"/>
                <w:sz w:val="22"/>
                <w:szCs w:val="22"/>
              </w:rPr>
              <w:t>1.423.580,00</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ACB3EDF" w14:textId="553BBBF0" w:rsidR="00F27CE1" w:rsidRPr="00A40660" w:rsidRDefault="00F27CE1" w:rsidP="00F27CE1">
            <w:pPr>
              <w:jc w:val="center"/>
              <w:rPr>
                <w:rFonts w:cs="Arial"/>
                <w:bCs/>
                <w:noProof/>
                <w:szCs w:val="20"/>
              </w:rPr>
            </w:pPr>
            <w:r w:rsidRPr="00A22ABE">
              <w:t>70:30</w:t>
            </w:r>
          </w:p>
        </w:tc>
      </w:tr>
      <w:tr w:rsidR="00824944" w:rsidRPr="00A40660" w14:paraId="575698E3" w14:textId="77777777" w:rsidTr="00F27CE1">
        <w:trPr>
          <w:trHeight w:val="270"/>
        </w:trPr>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14:paraId="0602AA2E" w14:textId="51531104" w:rsidR="00824944" w:rsidRPr="00A40660" w:rsidRDefault="00824944" w:rsidP="00F57BD3">
            <w:pPr>
              <w:jc w:val="center"/>
              <w:rPr>
                <w:rFonts w:cs="Arial"/>
                <w:bCs/>
                <w:noProof/>
                <w:szCs w:val="20"/>
                <w:lang w:val="fr-BE"/>
              </w:rPr>
            </w:pPr>
            <w:r w:rsidRPr="00A40660">
              <w:rPr>
                <w:rFonts w:cs="Arial"/>
                <w:bCs/>
                <w:noProof/>
                <w:szCs w:val="20"/>
              </w:rPr>
              <w:t>TP (Člen 3</w:t>
            </w:r>
            <w:r w:rsidR="00CA1E04">
              <w:rPr>
                <w:rFonts w:cs="Arial"/>
                <w:bCs/>
                <w:noProof/>
                <w:szCs w:val="20"/>
              </w:rPr>
              <w:t>7</w:t>
            </w:r>
            <w:r w:rsidRPr="00A40660">
              <w:rPr>
                <w:rFonts w:cs="Arial"/>
                <w:bCs/>
                <w:noProof/>
                <w:szCs w:val="20"/>
              </w:rPr>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F47674D" w14:textId="77777777" w:rsidR="00824944" w:rsidRPr="00A40660" w:rsidRDefault="00824944" w:rsidP="00F57BD3">
            <w:pPr>
              <w:jc w:val="center"/>
              <w:rPr>
                <w:rFonts w:cs="Arial"/>
                <w:bCs/>
                <w:noProof/>
                <w:szCs w:val="20"/>
              </w:rPr>
            </w:pPr>
            <w:r w:rsidRPr="00A40660">
              <w:rPr>
                <w:rFonts w:cs="Arial"/>
                <w:bCs/>
                <w:noProof/>
                <w:szCs w:val="20"/>
              </w:rPr>
              <w:t>5.1</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152BE7A" w14:textId="77777777" w:rsidR="00824944" w:rsidRPr="00A40660" w:rsidRDefault="00824944" w:rsidP="00F57BD3">
            <w:pPr>
              <w:jc w:val="center"/>
              <w:rPr>
                <w:rFonts w:cs="Arial"/>
                <w:noProof/>
                <w:szCs w:val="20"/>
              </w:rPr>
            </w:pPr>
            <w:r w:rsidRPr="00A40660">
              <w:rPr>
                <w:rFonts w:cs="Arial"/>
                <w:noProof/>
                <w:szCs w:val="20"/>
              </w:rPr>
              <w:t>javni</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E622F6E" w14:textId="7AC0992C" w:rsidR="00824944" w:rsidRPr="00A40660" w:rsidRDefault="00277F03" w:rsidP="00824944">
            <w:pPr>
              <w:jc w:val="center"/>
              <w:rPr>
                <w:rFonts w:cs="Arial"/>
                <w:bCs/>
                <w:noProof/>
                <w:szCs w:val="20"/>
              </w:rPr>
            </w:pPr>
            <w:r>
              <w:rPr>
                <w:rFonts w:cs="Arial"/>
                <w:noProof/>
                <w:szCs w:val="20"/>
              </w:rPr>
              <w:t>0,00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7C25205" w14:textId="49C11B34" w:rsidR="00824944" w:rsidRPr="00A40660" w:rsidRDefault="00CA1E04" w:rsidP="00824944">
            <w:pPr>
              <w:jc w:val="center"/>
              <w:rPr>
                <w:rFonts w:cs="Arial"/>
                <w:bCs/>
                <w:noProof/>
                <w:szCs w:val="20"/>
              </w:rPr>
            </w:pPr>
            <w:r>
              <w:rPr>
                <w:rFonts w:cs="Arial"/>
                <w:noProof/>
                <w:szCs w:val="20"/>
              </w:rPr>
              <w:t>0,00</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54D17975" w14:textId="103D7B3A" w:rsidR="00824944" w:rsidRPr="00A40660" w:rsidRDefault="00CA1E04" w:rsidP="00824944">
            <w:pPr>
              <w:jc w:val="center"/>
              <w:rPr>
                <w:rFonts w:cs="Arial"/>
                <w:bCs/>
                <w:noProof/>
                <w:szCs w:val="20"/>
              </w:rPr>
            </w:pPr>
            <w:r>
              <w:rPr>
                <w:rFonts w:cs="Arial"/>
                <w:noProof/>
                <w:szCs w:val="20"/>
              </w:rPr>
              <w:t>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32D7013" w14:textId="21AD11AD" w:rsidR="00824944" w:rsidRPr="00A40660" w:rsidRDefault="00CA1E04" w:rsidP="00824944">
            <w:pPr>
              <w:jc w:val="center"/>
              <w:rPr>
                <w:rFonts w:cs="Arial"/>
                <w:bCs/>
                <w:noProof/>
                <w:szCs w:val="20"/>
              </w:rPr>
            </w:pPr>
            <w:r>
              <w:rPr>
                <w:rFonts w:cs="Arial"/>
                <w:noProof/>
                <w:szCs w:val="20"/>
              </w:rPr>
              <w:t>0,00</w:t>
            </w:r>
          </w:p>
        </w:tc>
        <w:tc>
          <w:tcPr>
            <w:tcW w:w="534" w:type="pct"/>
            <w:tcBorders>
              <w:top w:val="single" w:sz="4" w:space="0" w:color="auto"/>
              <w:left w:val="single" w:sz="4" w:space="0" w:color="auto"/>
              <w:right w:val="single" w:sz="4" w:space="0" w:color="auto"/>
            </w:tcBorders>
            <w:shd w:val="clear" w:color="auto" w:fill="auto"/>
            <w:vAlign w:val="center"/>
          </w:tcPr>
          <w:p w14:paraId="013131F8" w14:textId="09458CC3" w:rsidR="00824944" w:rsidRPr="00A40660" w:rsidRDefault="00277F03" w:rsidP="00824944">
            <w:pPr>
              <w:jc w:val="center"/>
              <w:rPr>
                <w:rFonts w:cs="Arial"/>
                <w:bCs/>
                <w:noProof/>
                <w:szCs w:val="20"/>
              </w:rPr>
            </w:pPr>
            <w:r>
              <w:rPr>
                <w:rFonts w:cs="Arial"/>
                <w:bCs/>
                <w:noProof/>
                <w:szCs w:val="20"/>
              </w:rPr>
              <w:t>0:0</w:t>
            </w:r>
          </w:p>
        </w:tc>
      </w:tr>
    </w:tbl>
    <w:p w14:paraId="30342A3B" w14:textId="77777777" w:rsidR="009D4BB4" w:rsidRPr="00A40660" w:rsidRDefault="009D4BB4" w:rsidP="009D4BB4">
      <w:pPr>
        <w:rPr>
          <w:rFonts w:cs="Arial"/>
          <w:bCs/>
          <w:szCs w:val="20"/>
        </w:rPr>
      </w:pPr>
      <w:r w:rsidRPr="00A40660">
        <w:rPr>
          <w:rFonts w:cs="Arial"/>
          <w:bCs/>
          <w:iCs/>
          <w:noProof/>
          <w:szCs w:val="20"/>
        </w:rPr>
        <w:t xml:space="preserve">*** </w:t>
      </w:r>
      <w:r w:rsidR="002A217E" w:rsidRPr="00A40660">
        <w:rPr>
          <w:rFonts w:cs="Arial"/>
          <w:bCs/>
          <w:iCs/>
          <w:noProof/>
          <w:szCs w:val="20"/>
        </w:rPr>
        <w:t>Glede na procente iz člena 30(5),  SSO</w:t>
      </w:r>
    </w:p>
    <w:p w14:paraId="59F0F039" w14:textId="77777777" w:rsidR="00AA410F" w:rsidRDefault="00AA410F">
      <w:pPr>
        <w:spacing w:after="200" w:line="276" w:lineRule="auto"/>
        <w:rPr>
          <w:rFonts w:cs="Arial"/>
          <w:b/>
          <w:bCs/>
          <w:szCs w:val="20"/>
        </w:rPr>
        <w:sectPr w:rsidR="00AA410F" w:rsidSect="006626B9">
          <w:pgSz w:w="16840" w:h="11900" w:orient="landscape" w:code="9"/>
          <w:pgMar w:top="1701" w:right="1701" w:bottom="1701" w:left="1134" w:header="964" w:footer="794" w:gutter="0"/>
          <w:cols w:space="708"/>
          <w:docGrid w:linePitch="272"/>
        </w:sectPr>
      </w:pPr>
    </w:p>
    <w:p w14:paraId="0B3CAEED" w14:textId="77777777" w:rsidR="00A47A2C" w:rsidRPr="00A40660" w:rsidRDefault="00A47A2C">
      <w:pPr>
        <w:spacing w:after="200" w:line="276" w:lineRule="auto"/>
        <w:rPr>
          <w:rFonts w:eastAsiaTheme="minorHAnsi" w:cs="Arial"/>
          <w:b/>
          <w:bCs/>
          <w:color w:val="000000"/>
          <w:szCs w:val="20"/>
        </w:rPr>
      </w:pPr>
    </w:p>
    <w:p w14:paraId="320F6302" w14:textId="77777777" w:rsidR="002A217E" w:rsidRPr="002458C0" w:rsidRDefault="002A217E" w:rsidP="002458C0">
      <w:pPr>
        <w:pStyle w:val="Naslov1"/>
      </w:pPr>
      <w:bookmarkStart w:id="27" w:name="_Toc106099912"/>
      <w:r w:rsidRPr="002458C0">
        <w:t>4. Omogočitveni pogoji</w:t>
      </w:r>
      <w:bookmarkEnd w:id="27"/>
      <w:r w:rsidRPr="002458C0">
        <w:t xml:space="preserve"> </w:t>
      </w:r>
    </w:p>
    <w:p w14:paraId="13562450" w14:textId="1ABAEA88" w:rsidR="009D4BB4" w:rsidRPr="00A40660" w:rsidRDefault="002A217E" w:rsidP="002A217E">
      <w:pPr>
        <w:rPr>
          <w:rFonts w:cs="Arial"/>
          <w:i/>
          <w:iCs/>
          <w:szCs w:val="20"/>
        </w:rPr>
      </w:pPr>
      <w:r w:rsidRPr="00A40660">
        <w:rPr>
          <w:rFonts w:cs="Arial"/>
          <w:i/>
          <w:iCs/>
          <w:szCs w:val="20"/>
        </w:rPr>
        <w:t xml:space="preserve">Sklic: člen </w:t>
      </w:r>
      <w:r w:rsidR="00F54005">
        <w:rPr>
          <w:rFonts w:cs="Arial"/>
          <w:i/>
          <w:iCs/>
          <w:szCs w:val="20"/>
        </w:rPr>
        <w:t>22</w:t>
      </w:r>
      <w:r w:rsidRPr="00A40660">
        <w:rPr>
          <w:rFonts w:cs="Arial"/>
          <w:i/>
          <w:iCs/>
          <w:szCs w:val="20"/>
        </w:rPr>
        <w:t>(3)(</w:t>
      </w:r>
      <w:r w:rsidR="00F54005">
        <w:rPr>
          <w:rFonts w:cs="Arial"/>
          <w:i/>
          <w:iCs/>
          <w:szCs w:val="20"/>
        </w:rPr>
        <w:t>i</w:t>
      </w:r>
      <w:r w:rsidRPr="00A40660">
        <w:rPr>
          <w:rFonts w:cs="Arial"/>
          <w:i/>
          <w:iCs/>
          <w:szCs w:val="20"/>
        </w:rPr>
        <w:t>)</w:t>
      </w:r>
    </w:p>
    <w:tbl>
      <w:tblPr>
        <w:tblpPr w:leftFromText="141" w:rightFromText="141" w:vertAnchor="text" w:horzAnchor="margin" w:tblpY="672"/>
        <w:tblW w:w="14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117"/>
        <w:gridCol w:w="1573"/>
        <w:gridCol w:w="1610"/>
        <w:gridCol w:w="1135"/>
        <w:gridCol w:w="5466"/>
        <w:gridCol w:w="1777"/>
      </w:tblGrid>
      <w:tr w:rsidR="00AA410F" w:rsidRPr="00A40660" w14:paraId="41360AE2" w14:textId="77777777" w:rsidTr="00DA012F">
        <w:tc>
          <w:tcPr>
            <w:tcW w:w="14221" w:type="dxa"/>
            <w:gridSpan w:val="7"/>
            <w:shd w:val="clear" w:color="auto" w:fill="auto"/>
          </w:tcPr>
          <w:p w14:paraId="6ABBC9B5" w14:textId="77777777" w:rsidR="00AA410F" w:rsidRPr="00A40660" w:rsidRDefault="00AA410F" w:rsidP="00AA410F">
            <w:pPr>
              <w:rPr>
                <w:rFonts w:cs="Arial"/>
                <w:b/>
                <w:iCs/>
                <w:noProof/>
                <w:szCs w:val="20"/>
              </w:rPr>
            </w:pPr>
            <w:r w:rsidRPr="00A40660">
              <w:rPr>
                <w:rFonts w:cs="Arial"/>
                <w:b/>
                <w:iCs/>
                <w:noProof/>
                <w:szCs w:val="20"/>
              </w:rPr>
              <w:t>Preglednica 12: Omogočitveni pogoji</w:t>
            </w:r>
          </w:p>
        </w:tc>
      </w:tr>
      <w:tr w:rsidR="004D1C85" w:rsidRPr="00A40660" w14:paraId="4B980430" w14:textId="77777777" w:rsidTr="00DA012F">
        <w:tc>
          <w:tcPr>
            <w:tcW w:w="1543" w:type="dxa"/>
            <w:shd w:val="clear" w:color="auto" w:fill="auto"/>
          </w:tcPr>
          <w:p w14:paraId="514C49AE" w14:textId="77777777" w:rsidR="00AA410F" w:rsidRPr="00A40660" w:rsidRDefault="00AA410F" w:rsidP="00AA410F">
            <w:pPr>
              <w:rPr>
                <w:rFonts w:cs="Arial"/>
                <w:b/>
                <w:iCs/>
                <w:noProof/>
                <w:szCs w:val="20"/>
              </w:rPr>
            </w:pPr>
            <w:r w:rsidRPr="00A40660">
              <w:rPr>
                <w:rFonts w:cs="Arial"/>
                <w:b/>
                <w:iCs/>
                <w:noProof/>
                <w:szCs w:val="20"/>
              </w:rPr>
              <w:t>Omogočitveni pogoji</w:t>
            </w:r>
          </w:p>
        </w:tc>
        <w:tc>
          <w:tcPr>
            <w:tcW w:w="1117" w:type="dxa"/>
            <w:shd w:val="clear" w:color="auto" w:fill="auto"/>
          </w:tcPr>
          <w:p w14:paraId="76B38049" w14:textId="77777777" w:rsidR="00AA410F" w:rsidRPr="00A40660" w:rsidRDefault="00AA410F" w:rsidP="00AA410F">
            <w:pPr>
              <w:rPr>
                <w:rFonts w:cs="Arial"/>
                <w:b/>
                <w:iCs/>
                <w:noProof/>
                <w:szCs w:val="20"/>
              </w:rPr>
            </w:pPr>
            <w:r w:rsidRPr="00A40660">
              <w:rPr>
                <w:rFonts w:cs="Arial"/>
                <w:b/>
                <w:iCs/>
                <w:noProof/>
                <w:szCs w:val="20"/>
              </w:rPr>
              <w:t>Sklad</w:t>
            </w:r>
          </w:p>
        </w:tc>
        <w:tc>
          <w:tcPr>
            <w:tcW w:w="1573" w:type="dxa"/>
            <w:shd w:val="clear" w:color="auto" w:fill="auto"/>
          </w:tcPr>
          <w:p w14:paraId="5F4D55D2" w14:textId="77777777" w:rsidR="00AA410F" w:rsidRPr="00A40660" w:rsidRDefault="00AA410F" w:rsidP="00AA410F">
            <w:pPr>
              <w:rPr>
                <w:rFonts w:cs="Arial"/>
                <w:b/>
                <w:iCs/>
                <w:noProof/>
                <w:szCs w:val="20"/>
              </w:rPr>
            </w:pPr>
            <w:r w:rsidRPr="00A40660">
              <w:rPr>
                <w:rFonts w:cs="Arial"/>
                <w:b/>
                <w:iCs/>
                <w:noProof/>
                <w:szCs w:val="20"/>
              </w:rPr>
              <w:t>Izpolnitev omogočitvenega pogoja</w:t>
            </w:r>
          </w:p>
        </w:tc>
        <w:tc>
          <w:tcPr>
            <w:tcW w:w="1610" w:type="dxa"/>
            <w:shd w:val="clear" w:color="auto" w:fill="auto"/>
          </w:tcPr>
          <w:p w14:paraId="34E2494F" w14:textId="77777777" w:rsidR="00AA410F" w:rsidRPr="00A40660" w:rsidRDefault="00AA410F" w:rsidP="00AA410F">
            <w:pPr>
              <w:rPr>
                <w:rFonts w:cs="Arial"/>
                <w:b/>
                <w:iCs/>
                <w:noProof/>
                <w:szCs w:val="20"/>
              </w:rPr>
            </w:pPr>
            <w:r w:rsidRPr="00A40660">
              <w:rPr>
                <w:rFonts w:cs="Arial"/>
                <w:b/>
                <w:iCs/>
                <w:noProof/>
                <w:szCs w:val="20"/>
              </w:rPr>
              <w:t>Merila</w:t>
            </w:r>
          </w:p>
        </w:tc>
        <w:tc>
          <w:tcPr>
            <w:tcW w:w="1135" w:type="dxa"/>
            <w:shd w:val="clear" w:color="auto" w:fill="auto"/>
          </w:tcPr>
          <w:p w14:paraId="68232461" w14:textId="77777777" w:rsidR="00AA410F" w:rsidRPr="00A40660" w:rsidRDefault="00AA410F" w:rsidP="00AA410F">
            <w:pPr>
              <w:rPr>
                <w:rFonts w:cs="Arial"/>
                <w:b/>
                <w:iCs/>
                <w:noProof/>
                <w:szCs w:val="20"/>
              </w:rPr>
            </w:pPr>
            <w:r w:rsidRPr="00A40660">
              <w:rPr>
                <w:rFonts w:cs="Arial"/>
                <w:b/>
                <w:iCs/>
                <w:noProof/>
                <w:szCs w:val="20"/>
              </w:rPr>
              <w:t>Izpolnitev meril</w:t>
            </w:r>
          </w:p>
        </w:tc>
        <w:tc>
          <w:tcPr>
            <w:tcW w:w="5466" w:type="dxa"/>
            <w:shd w:val="clear" w:color="auto" w:fill="auto"/>
          </w:tcPr>
          <w:p w14:paraId="27377E6C" w14:textId="77777777" w:rsidR="00AA410F" w:rsidRDefault="00AA410F" w:rsidP="00AA410F">
            <w:pPr>
              <w:rPr>
                <w:rFonts w:cs="Arial"/>
                <w:b/>
                <w:iCs/>
                <w:noProof/>
                <w:szCs w:val="20"/>
              </w:rPr>
            </w:pPr>
            <w:r w:rsidRPr="00A40660">
              <w:rPr>
                <w:rFonts w:cs="Arial"/>
                <w:b/>
                <w:iCs/>
                <w:noProof/>
                <w:szCs w:val="20"/>
              </w:rPr>
              <w:t>Sklic na ustrezne dokumente</w:t>
            </w:r>
          </w:p>
          <w:p w14:paraId="16F9BF44" w14:textId="77777777" w:rsidR="003C4C56" w:rsidRPr="00A40660" w:rsidRDefault="003C4C56" w:rsidP="003C4C56">
            <w:pPr>
              <w:autoSpaceDE w:val="0"/>
              <w:autoSpaceDN w:val="0"/>
              <w:adjustRightInd w:val="0"/>
              <w:ind w:left="15"/>
              <w:rPr>
                <w:rFonts w:cs="Arial"/>
                <w:b/>
                <w:iCs/>
                <w:noProof/>
                <w:szCs w:val="20"/>
              </w:rPr>
            </w:pPr>
            <w:r w:rsidRPr="003C4C56">
              <w:rPr>
                <w:rFonts w:cs="Arial"/>
                <w:b/>
                <w:iCs/>
                <w:noProof/>
                <w:szCs w:val="20"/>
              </w:rPr>
              <w:t>[500]</w:t>
            </w:r>
          </w:p>
        </w:tc>
        <w:tc>
          <w:tcPr>
            <w:tcW w:w="1777" w:type="dxa"/>
            <w:shd w:val="clear" w:color="auto" w:fill="auto"/>
          </w:tcPr>
          <w:p w14:paraId="062B58DE" w14:textId="77777777" w:rsidR="00AA410F" w:rsidRDefault="00AA410F" w:rsidP="00AA410F">
            <w:pPr>
              <w:rPr>
                <w:rFonts w:cs="Arial"/>
                <w:b/>
                <w:iCs/>
                <w:noProof/>
                <w:szCs w:val="20"/>
              </w:rPr>
            </w:pPr>
            <w:r w:rsidRPr="00A40660">
              <w:rPr>
                <w:rFonts w:cs="Arial"/>
                <w:b/>
                <w:iCs/>
                <w:noProof/>
                <w:szCs w:val="20"/>
              </w:rPr>
              <w:t>Utemeljitev</w:t>
            </w:r>
          </w:p>
          <w:p w14:paraId="47FCE2DD" w14:textId="77777777" w:rsidR="003C4C56" w:rsidRPr="00A40660" w:rsidRDefault="003C4C56" w:rsidP="00AA410F">
            <w:pPr>
              <w:rPr>
                <w:rFonts w:cs="Arial"/>
                <w:b/>
                <w:iCs/>
                <w:noProof/>
                <w:szCs w:val="20"/>
              </w:rPr>
            </w:pPr>
            <w:r w:rsidRPr="003C4C56">
              <w:rPr>
                <w:rFonts w:cs="Arial"/>
                <w:b/>
                <w:iCs/>
                <w:noProof/>
                <w:szCs w:val="20"/>
              </w:rPr>
              <w:t>[1 000]</w:t>
            </w:r>
          </w:p>
        </w:tc>
      </w:tr>
      <w:tr w:rsidR="00DA012F" w:rsidRPr="00A40660" w14:paraId="5730D60B" w14:textId="77777777" w:rsidTr="00DA012F">
        <w:tc>
          <w:tcPr>
            <w:tcW w:w="1543" w:type="dxa"/>
            <w:vMerge w:val="restart"/>
            <w:shd w:val="clear" w:color="auto" w:fill="auto"/>
          </w:tcPr>
          <w:p w14:paraId="21E57F5B" w14:textId="77777777" w:rsidR="00DA012F" w:rsidRPr="001807C9" w:rsidRDefault="00DA012F" w:rsidP="00DA012F">
            <w:pPr>
              <w:jc w:val="both"/>
              <w:rPr>
                <w:rFonts w:cs="Arial"/>
                <w:b/>
                <w:iCs/>
                <w:noProof/>
                <w:szCs w:val="20"/>
              </w:rPr>
            </w:pPr>
            <w:r w:rsidRPr="001807C9">
              <w:rPr>
                <w:rFonts w:cs="Arial"/>
                <w:b/>
                <w:iCs/>
                <w:noProof/>
                <w:szCs w:val="20"/>
              </w:rPr>
              <w:t>Učinkoviti mehanizmi spremljanja trga javnih naročil</w:t>
            </w:r>
          </w:p>
        </w:tc>
        <w:tc>
          <w:tcPr>
            <w:tcW w:w="1117" w:type="dxa"/>
            <w:shd w:val="clear" w:color="auto" w:fill="auto"/>
          </w:tcPr>
          <w:p w14:paraId="7C537855" w14:textId="77777777" w:rsidR="00DA012F" w:rsidRPr="00A40660" w:rsidRDefault="00DA012F" w:rsidP="00DA012F">
            <w:pPr>
              <w:rPr>
                <w:rFonts w:cs="Arial"/>
                <w:iCs/>
                <w:noProof/>
                <w:szCs w:val="20"/>
              </w:rPr>
            </w:pPr>
            <w:r>
              <w:rPr>
                <w:rFonts w:cs="Arial"/>
                <w:iCs/>
                <w:noProof/>
                <w:szCs w:val="20"/>
              </w:rPr>
              <w:t>ESPRA</w:t>
            </w:r>
          </w:p>
        </w:tc>
        <w:tc>
          <w:tcPr>
            <w:tcW w:w="1573" w:type="dxa"/>
            <w:shd w:val="clear" w:color="auto" w:fill="auto"/>
          </w:tcPr>
          <w:p w14:paraId="293C5083" w14:textId="77777777" w:rsidR="00DA012F" w:rsidRPr="00A40660" w:rsidRDefault="00DA012F" w:rsidP="00DA012F">
            <w:pPr>
              <w:rPr>
                <w:rFonts w:cs="Arial"/>
                <w:iCs/>
                <w:noProof/>
                <w:szCs w:val="20"/>
              </w:rPr>
            </w:pPr>
            <w:r>
              <w:rPr>
                <w:rFonts w:cs="Arial"/>
                <w:iCs/>
                <w:noProof/>
                <w:szCs w:val="20"/>
              </w:rPr>
              <w:t>Da</w:t>
            </w:r>
          </w:p>
        </w:tc>
        <w:tc>
          <w:tcPr>
            <w:tcW w:w="1610" w:type="dxa"/>
            <w:shd w:val="clear" w:color="auto" w:fill="auto"/>
          </w:tcPr>
          <w:p w14:paraId="09E98058" w14:textId="77777777" w:rsidR="00DA012F" w:rsidRPr="00AA410F" w:rsidRDefault="00DA012F" w:rsidP="00DA012F">
            <w:pPr>
              <w:jc w:val="both"/>
              <w:rPr>
                <w:rFonts w:cs="Arial"/>
                <w:iCs/>
                <w:noProof/>
                <w:szCs w:val="20"/>
              </w:rPr>
            </w:pPr>
            <w:r>
              <w:rPr>
                <w:rFonts w:cs="Arial"/>
                <w:iCs/>
                <w:noProof/>
                <w:szCs w:val="20"/>
              </w:rPr>
              <w:t>U</w:t>
            </w:r>
            <w:r w:rsidRPr="00AA410F">
              <w:rPr>
                <w:rFonts w:cs="Arial"/>
                <w:iCs/>
                <w:noProof/>
                <w:szCs w:val="20"/>
              </w:rPr>
              <w:t xml:space="preserve">reditev, ki zagotavlja zbiranje učinkovitih, zanesljivih in izčrpnih podatkov in kazalnikov v okviru enega samega informacijskega sistema ali mreže interoperabilnih sistemov, z namenom izvajanja načela „samo enkrat“ in olajševanje </w:t>
            </w:r>
            <w:r w:rsidRPr="00AA410F">
              <w:rPr>
                <w:rFonts w:cs="Arial"/>
                <w:iCs/>
                <w:noProof/>
                <w:szCs w:val="20"/>
              </w:rPr>
              <w:lastRenderedPageBreak/>
              <w:t>obveznosti poročanja na podlagi člena 83(3) Direktive 2014/24/EU, v skladu z zahtevami za elektronsko javno naročanje ter v skladu s členom 84 Direktive 2014/24/EU. Podatki in kazalniki zajemajo vsaj naslednje elemente:</w:t>
            </w:r>
          </w:p>
          <w:p w14:paraId="5DED5FC6" w14:textId="77777777" w:rsidR="00DA012F" w:rsidRPr="00AA410F" w:rsidRDefault="00DA012F" w:rsidP="00DA012F">
            <w:pPr>
              <w:jc w:val="both"/>
              <w:rPr>
                <w:rFonts w:cs="Arial"/>
                <w:iCs/>
                <w:noProof/>
                <w:szCs w:val="20"/>
              </w:rPr>
            </w:pPr>
            <w:r w:rsidRPr="00AA410F">
              <w:rPr>
                <w:rFonts w:cs="Arial"/>
                <w:iCs/>
                <w:noProof/>
                <w:szCs w:val="20"/>
              </w:rPr>
              <w:t xml:space="preserve">a. kakovost in intenzivnost konkurence: imena izbranih in začetnih ponudnikov, število začetnih ponudnikov, število izbranih ponudnikov, pogodbeno ceno – glede na </w:t>
            </w:r>
            <w:r w:rsidRPr="00AA410F">
              <w:rPr>
                <w:rFonts w:cs="Arial"/>
                <w:iCs/>
                <w:noProof/>
                <w:szCs w:val="20"/>
              </w:rPr>
              <w:lastRenderedPageBreak/>
              <w:t>začetno proračunsko dodelitev in, če je to mogoče, s pomočjo registrov naročil, končno ceno po zaključku;</w:t>
            </w:r>
          </w:p>
          <w:p w14:paraId="7680046B" w14:textId="77777777" w:rsidR="00DA012F" w:rsidRPr="00AA410F" w:rsidRDefault="00DA012F" w:rsidP="00DA012F">
            <w:pPr>
              <w:jc w:val="both"/>
              <w:rPr>
                <w:rFonts w:cs="Arial"/>
                <w:iCs/>
                <w:noProof/>
                <w:szCs w:val="20"/>
              </w:rPr>
            </w:pPr>
            <w:r w:rsidRPr="00AA410F">
              <w:rPr>
                <w:rFonts w:cs="Arial"/>
                <w:iCs/>
                <w:noProof/>
                <w:szCs w:val="20"/>
              </w:rPr>
              <w:t>b. udeležbo MSP kot neposrednih ponudnikov;</w:t>
            </w:r>
          </w:p>
          <w:p w14:paraId="283686BE" w14:textId="77777777" w:rsidR="00DA012F" w:rsidRPr="00AA410F" w:rsidRDefault="00DA012F" w:rsidP="00DA012F">
            <w:pPr>
              <w:jc w:val="both"/>
              <w:rPr>
                <w:rFonts w:cs="Arial"/>
                <w:iCs/>
                <w:noProof/>
                <w:szCs w:val="20"/>
              </w:rPr>
            </w:pPr>
            <w:r w:rsidRPr="00AA410F">
              <w:rPr>
                <w:rFonts w:cs="Arial"/>
                <w:iCs/>
                <w:noProof/>
                <w:szCs w:val="20"/>
              </w:rPr>
              <w:t>c. vložene pritožbe zoper odločitve javnih organov naročnikov, ki vključujejo vsaj njihovo število, potreben čas za odločitev na prvi stopnji in število odločitev, napotenih na drugo stopnjo;</w:t>
            </w:r>
          </w:p>
          <w:p w14:paraId="4EDBE2E4" w14:textId="77777777" w:rsidR="00DA012F" w:rsidRPr="00AA410F" w:rsidRDefault="00DA012F" w:rsidP="00DA012F">
            <w:pPr>
              <w:jc w:val="both"/>
              <w:rPr>
                <w:rFonts w:cs="Arial"/>
                <w:iCs/>
                <w:noProof/>
                <w:szCs w:val="20"/>
              </w:rPr>
            </w:pPr>
            <w:r w:rsidRPr="00AA410F">
              <w:rPr>
                <w:rFonts w:cs="Arial"/>
                <w:iCs/>
                <w:noProof/>
                <w:szCs w:val="20"/>
              </w:rPr>
              <w:t xml:space="preserve">d. seznam vseh pogodb, ki so bile dodeljene v skladu s pravili </w:t>
            </w:r>
            <w:r w:rsidRPr="00AA410F">
              <w:rPr>
                <w:rFonts w:cs="Arial"/>
                <w:iCs/>
                <w:noProof/>
                <w:szCs w:val="20"/>
              </w:rPr>
              <w:lastRenderedPageBreak/>
              <w:t>glede izvzetja iz pravil o</w:t>
            </w:r>
          </w:p>
        </w:tc>
        <w:tc>
          <w:tcPr>
            <w:tcW w:w="1135" w:type="dxa"/>
            <w:shd w:val="clear" w:color="auto" w:fill="auto"/>
          </w:tcPr>
          <w:p w14:paraId="649C23AF" w14:textId="77777777" w:rsidR="00DA012F" w:rsidRPr="00A40660" w:rsidRDefault="00DA012F" w:rsidP="00DA012F">
            <w:pPr>
              <w:rPr>
                <w:rFonts w:cs="Arial"/>
                <w:iCs/>
                <w:noProof/>
                <w:szCs w:val="20"/>
              </w:rPr>
            </w:pPr>
            <w:r>
              <w:rPr>
                <w:rFonts w:cs="Arial"/>
                <w:iCs/>
                <w:noProof/>
                <w:szCs w:val="20"/>
              </w:rPr>
              <w:lastRenderedPageBreak/>
              <w:t>DA</w:t>
            </w:r>
          </w:p>
        </w:tc>
        <w:tc>
          <w:tcPr>
            <w:tcW w:w="5466" w:type="dxa"/>
            <w:shd w:val="clear" w:color="auto" w:fill="auto"/>
          </w:tcPr>
          <w:p w14:paraId="5511EF21" w14:textId="77777777" w:rsidR="00DA012F" w:rsidRDefault="00DA012F" w:rsidP="00DA012F">
            <w:pPr>
              <w:jc w:val="both"/>
              <w:rPr>
                <w:rFonts w:cs="Arial"/>
                <w:iCs/>
                <w:noProof/>
                <w:szCs w:val="20"/>
              </w:rPr>
            </w:pPr>
            <w:r w:rsidRPr="00395090">
              <w:rPr>
                <w:rFonts w:cs="Arial"/>
                <w:iCs/>
                <w:noProof/>
                <w:szCs w:val="20"/>
              </w:rPr>
              <w:t>Zakona o javnem naročanju (Uradni list RS št. 91/15 in 14/18; v nadaljevanju ZJN-3)</w:t>
            </w:r>
            <w:r>
              <w:rPr>
                <w:rFonts w:cs="Arial"/>
                <w:iCs/>
                <w:noProof/>
                <w:szCs w:val="20"/>
              </w:rPr>
              <w:t>:</w:t>
            </w:r>
          </w:p>
          <w:p w14:paraId="2C0F96D0" w14:textId="77777777" w:rsidR="00DA012F" w:rsidRDefault="00FE45E9" w:rsidP="00DA012F">
            <w:pPr>
              <w:jc w:val="both"/>
              <w:rPr>
                <w:rFonts w:cs="Arial"/>
                <w:iCs/>
                <w:noProof/>
                <w:szCs w:val="20"/>
              </w:rPr>
            </w:pPr>
            <w:hyperlink r:id="rId11" w:history="1">
              <w:r w:rsidR="00DA012F" w:rsidRPr="004A1CE1">
                <w:rPr>
                  <w:rStyle w:val="Hiperpovezava"/>
                  <w:rFonts w:cs="Arial"/>
                  <w:iCs/>
                  <w:noProof/>
                  <w:szCs w:val="20"/>
                </w:rPr>
                <w:t>http://www.pisrs.si/Pis.web/pregledPredpisa?id=ZAKO7086</w:t>
              </w:r>
            </w:hyperlink>
          </w:p>
          <w:p w14:paraId="6D196A86" w14:textId="77777777" w:rsidR="00DA012F" w:rsidRDefault="00DA012F" w:rsidP="00DA012F">
            <w:pPr>
              <w:jc w:val="both"/>
              <w:rPr>
                <w:rFonts w:cs="Arial"/>
                <w:iCs/>
                <w:noProof/>
                <w:szCs w:val="20"/>
              </w:rPr>
            </w:pPr>
          </w:p>
          <w:p w14:paraId="03188308" w14:textId="77777777" w:rsidR="00DA012F" w:rsidRPr="00395090" w:rsidRDefault="00DA012F" w:rsidP="00DA012F">
            <w:pPr>
              <w:jc w:val="both"/>
              <w:rPr>
                <w:rFonts w:cs="Arial"/>
                <w:iCs/>
                <w:noProof/>
                <w:szCs w:val="20"/>
              </w:rPr>
            </w:pPr>
          </w:p>
          <w:p w14:paraId="5E677031" w14:textId="77777777" w:rsidR="00DA012F" w:rsidRDefault="00DA012F" w:rsidP="00DA012F">
            <w:pPr>
              <w:jc w:val="both"/>
              <w:rPr>
                <w:rFonts w:cs="Arial"/>
                <w:iCs/>
                <w:noProof/>
                <w:szCs w:val="20"/>
              </w:rPr>
            </w:pPr>
            <w:r w:rsidRPr="00395090">
              <w:rPr>
                <w:rFonts w:cs="Arial"/>
                <w:iCs/>
                <w:noProof/>
                <w:szCs w:val="20"/>
              </w:rPr>
              <w:t xml:space="preserve"> </w:t>
            </w:r>
            <w:r>
              <w:rPr>
                <w:rFonts w:cs="Arial"/>
                <w:iCs/>
                <w:noProof/>
                <w:szCs w:val="20"/>
              </w:rPr>
              <w:t>Zakon</w:t>
            </w:r>
            <w:r w:rsidRPr="00395090">
              <w:rPr>
                <w:rFonts w:cs="Arial"/>
                <w:iCs/>
                <w:noProof/>
                <w:szCs w:val="20"/>
              </w:rPr>
              <w:t xml:space="preserve"> o pravnem varstvu v postopkih javnega naročanja (Uradni list RS št. 43/2011, 60/2011-ZTP-D, 63/2013, 90/2014-ZDU-1I, 95/2014-ZIPRS1415-C, 96/2015-ZIPRS1617, 80/2016-ZIPRS1718, 60/2017;)</w:t>
            </w:r>
            <w:r>
              <w:rPr>
                <w:rFonts w:cs="Arial"/>
                <w:iCs/>
                <w:noProof/>
                <w:szCs w:val="20"/>
              </w:rPr>
              <w:t>:</w:t>
            </w:r>
          </w:p>
          <w:p w14:paraId="4148010A" w14:textId="77777777" w:rsidR="00DA012F" w:rsidRDefault="00FE45E9" w:rsidP="00DA012F">
            <w:pPr>
              <w:jc w:val="both"/>
              <w:rPr>
                <w:rFonts w:cs="Arial"/>
                <w:iCs/>
                <w:noProof/>
                <w:szCs w:val="20"/>
              </w:rPr>
            </w:pPr>
            <w:hyperlink r:id="rId12" w:history="1">
              <w:r w:rsidR="00DA012F" w:rsidRPr="004A1CE1">
                <w:rPr>
                  <w:rStyle w:val="Hiperpovezava"/>
                  <w:rFonts w:cs="Arial"/>
                  <w:iCs/>
                  <w:noProof/>
                  <w:szCs w:val="20"/>
                </w:rPr>
                <w:t>http://www.pisrs.si/Pis.web/pregledPredpisa?id=ZAKO5975</w:t>
              </w:r>
            </w:hyperlink>
          </w:p>
          <w:p w14:paraId="025CA312" w14:textId="77777777" w:rsidR="00DA012F" w:rsidRPr="00395090" w:rsidRDefault="00DA012F" w:rsidP="00DA012F">
            <w:pPr>
              <w:jc w:val="both"/>
              <w:rPr>
                <w:rFonts w:cs="Arial"/>
                <w:iCs/>
                <w:noProof/>
                <w:szCs w:val="20"/>
              </w:rPr>
            </w:pPr>
          </w:p>
        </w:tc>
        <w:tc>
          <w:tcPr>
            <w:tcW w:w="1777" w:type="dxa"/>
            <w:shd w:val="clear" w:color="auto" w:fill="auto"/>
          </w:tcPr>
          <w:p w14:paraId="456C39E1" w14:textId="77777777" w:rsidR="00DA012F" w:rsidRPr="008E6BB7" w:rsidRDefault="00DA012F" w:rsidP="00DA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cs="Arial"/>
                <w:szCs w:val="20"/>
              </w:rPr>
            </w:pPr>
            <w:r w:rsidRPr="008E6BB7">
              <w:rPr>
                <w:rFonts w:cs="Arial"/>
                <w:szCs w:val="20"/>
              </w:rPr>
              <w:t>Omogočitveni pogoj je izpolnjen.</w:t>
            </w:r>
          </w:p>
          <w:p w14:paraId="63F55975" w14:textId="77777777" w:rsidR="00DA012F" w:rsidRPr="008E6BB7" w:rsidRDefault="00DA012F" w:rsidP="00DA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cs="Arial"/>
                <w:szCs w:val="20"/>
              </w:rPr>
            </w:pPr>
            <w:r w:rsidRPr="008E6BB7">
              <w:rPr>
                <w:rFonts w:cs="Arial"/>
                <w:szCs w:val="20"/>
              </w:rPr>
              <w:t xml:space="preserve">V skladu s 114. členom ZJN-3 ministrstvo, pristojno za javna naročila, zagotavlja spremljanje uporabe pravil o javnih naročilih. Ministrstvo o rezultatih tega spremljanja poroča Evropski komisiji vsaka tri leta. Poročilo </w:t>
            </w:r>
            <w:r w:rsidRPr="008E6BB7">
              <w:rPr>
                <w:rFonts w:cs="Arial"/>
                <w:szCs w:val="20"/>
              </w:rPr>
              <w:lastRenderedPageBreak/>
              <w:t>vključuje informacije o najpogostejših razlogih za zlorabo ali pravne dvoumnosti, vključno z morebitnimi strukturnimi ali ponavljajočimi se težavami pri uporabi pravil, stopnjo udeležbe MSP pri javnih naročilih ter preprečevanjem, odkrivanjem in ustreznim poročanjem o goljufijah, korupciji in konfliktih interesov in podobne resne nepravilnosti pri javnih naročilih. Poročilo je javno objavljeno.</w:t>
            </w:r>
          </w:p>
          <w:p w14:paraId="5675CCD9" w14:textId="77777777" w:rsidR="00DA012F" w:rsidRPr="008E6BB7" w:rsidRDefault="00DA012F" w:rsidP="00DA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cs="Arial"/>
                <w:szCs w:val="20"/>
              </w:rPr>
            </w:pPr>
            <w:r w:rsidRPr="008E6BB7">
              <w:rPr>
                <w:rFonts w:cs="Arial"/>
                <w:szCs w:val="20"/>
              </w:rPr>
              <w:t>V skladu s 106. - 108. členom ZJN-</w:t>
            </w:r>
            <w:r w:rsidRPr="008E6BB7">
              <w:rPr>
                <w:rFonts w:cs="Arial"/>
                <w:szCs w:val="20"/>
              </w:rPr>
              <w:lastRenderedPageBreak/>
              <w:t>3 ministrstvo, pristojno za javna naročila, pripravi statistično poročilo o oddanih javnih naročilih v Republiki Sloveniji z uporabo podatkov o oddanih naročilih v preteklem letu.</w:t>
            </w:r>
          </w:p>
          <w:p w14:paraId="68065D29" w14:textId="16156AB1" w:rsidR="00DA012F" w:rsidRPr="00DA012F" w:rsidRDefault="00DA012F" w:rsidP="00DA012F">
            <w:pPr>
              <w:jc w:val="both"/>
              <w:rPr>
                <w:rFonts w:cs="Arial"/>
                <w:iCs/>
                <w:noProof/>
                <w:szCs w:val="20"/>
              </w:rPr>
            </w:pPr>
            <w:r w:rsidRPr="008E6BB7">
              <w:rPr>
                <w:rFonts w:cs="Arial"/>
                <w:szCs w:val="20"/>
              </w:rPr>
              <w:t xml:space="preserve">Vsi zahtevani podatki so del obvestil o oddaji javnega naročila, ki jih naročniki objavijo na portalu javnih naročil, ki predstavlja dostop do informacij o javnih naročilih na enem mestu in zagotavlja objavo vseh ustreznih podatkov v zvezi s postopkom </w:t>
            </w:r>
            <w:r w:rsidRPr="008E6BB7">
              <w:rPr>
                <w:rFonts w:cs="Arial"/>
                <w:szCs w:val="20"/>
              </w:rPr>
              <w:lastRenderedPageBreak/>
              <w:t>oddaje javnega naročila.</w:t>
            </w:r>
          </w:p>
        </w:tc>
      </w:tr>
      <w:tr w:rsidR="00DA012F" w:rsidRPr="00F700CD" w14:paraId="47C2E954" w14:textId="77777777" w:rsidTr="00DA012F">
        <w:tc>
          <w:tcPr>
            <w:tcW w:w="1543" w:type="dxa"/>
            <w:vMerge/>
            <w:shd w:val="clear" w:color="auto" w:fill="auto"/>
          </w:tcPr>
          <w:p w14:paraId="07905045" w14:textId="77777777" w:rsidR="00DA012F" w:rsidRPr="00690C53" w:rsidRDefault="00DA012F" w:rsidP="00DA012F">
            <w:pPr>
              <w:jc w:val="both"/>
              <w:rPr>
                <w:rFonts w:cs="Arial"/>
                <w:iCs/>
                <w:noProof/>
                <w:szCs w:val="20"/>
              </w:rPr>
            </w:pPr>
          </w:p>
        </w:tc>
        <w:tc>
          <w:tcPr>
            <w:tcW w:w="1117" w:type="dxa"/>
            <w:vMerge w:val="restart"/>
            <w:shd w:val="clear" w:color="auto" w:fill="auto"/>
          </w:tcPr>
          <w:p w14:paraId="46642C9A" w14:textId="77777777" w:rsidR="00DA012F" w:rsidRDefault="00DA012F" w:rsidP="00DA012F">
            <w:pPr>
              <w:jc w:val="both"/>
              <w:rPr>
                <w:rFonts w:cs="Arial"/>
                <w:iCs/>
                <w:noProof/>
                <w:szCs w:val="20"/>
              </w:rPr>
            </w:pPr>
          </w:p>
        </w:tc>
        <w:tc>
          <w:tcPr>
            <w:tcW w:w="1573" w:type="dxa"/>
            <w:vMerge w:val="restart"/>
            <w:shd w:val="clear" w:color="auto" w:fill="auto"/>
          </w:tcPr>
          <w:p w14:paraId="0C0FD901" w14:textId="77777777" w:rsidR="00DA012F" w:rsidRPr="00A40660" w:rsidRDefault="00DA012F" w:rsidP="00DA012F">
            <w:pPr>
              <w:rPr>
                <w:rFonts w:cs="Arial"/>
                <w:iCs/>
                <w:noProof/>
                <w:szCs w:val="20"/>
              </w:rPr>
            </w:pPr>
          </w:p>
        </w:tc>
        <w:tc>
          <w:tcPr>
            <w:tcW w:w="1610" w:type="dxa"/>
            <w:shd w:val="clear" w:color="auto" w:fill="auto"/>
          </w:tcPr>
          <w:p w14:paraId="5704B2A9" w14:textId="77777777" w:rsidR="00DA012F" w:rsidRPr="00AA410F" w:rsidRDefault="00DA012F" w:rsidP="00DA012F">
            <w:pPr>
              <w:jc w:val="both"/>
              <w:rPr>
                <w:rFonts w:cs="Arial"/>
                <w:iCs/>
                <w:noProof/>
                <w:szCs w:val="20"/>
              </w:rPr>
            </w:pPr>
            <w:r w:rsidRPr="00AA410F">
              <w:rPr>
                <w:rFonts w:cs="Arial"/>
                <w:iCs/>
                <w:noProof/>
                <w:szCs w:val="20"/>
              </w:rPr>
              <w:t>Ureditev za zagotovitev zadostnih zmogljivosti za spremljanje in analizo podatkov s strani pristojnih nacionalnih organov.</w:t>
            </w:r>
          </w:p>
        </w:tc>
        <w:tc>
          <w:tcPr>
            <w:tcW w:w="1135" w:type="dxa"/>
            <w:shd w:val="clear" w:color="auto" w:fill="auto"/>
          </w:tcPr>
          <w:p w14:paraId="6A46D92E" w14:textId="77777777" w:rsidR="00DA012F" w:rsidRPr="00AA410F" w:rsidRDefault="00DA012F" w:rsidP="00DA012F">
            <w:pPr>
              <w:rPr>
                <w:rFonts w:cs="Arial"/>
                <w:iCs/>
                <w:noProof/>
                <w:szCs w:val="20"/>
              </w:rPr>
            </w:pPr>
            <w:r>
              <w:rPr>
                <w:rFonts w:cs="Arial"/>
                <w:iCs/>
                <w:noProof/>
                <w:szCs w:val="20"/>
              </w:rPr>
              <w:t>DA</w:t>
            </w:r>
          </w:p>
        </w:tc>
        <w:tc>
          <w:tcPr>
            <w:tcW w:w="5466" w:type="dxa"/>
            <w:shd w:val="clear" w:color="auto" w:fill="auto"/>
          </w:tcPr>
          <w:p w14:paraId="3B06A71B" w14:textId="77777777" w:rsidR="00DA012F" w:rsidRDefault="00DA012F" w:rsidP="00DA012F">
            <w:pPr>
              <w:autoSpaceDE w:val="0"/>
              <w:autoSpaceDN w:val="0"/>
              <w:adjustRightInd w:val="0"/>
              <w:ind w:left="15"/>
              <w:rPr>
                <w:rFonts w:cs="Arial"/>
                <w:szCs w:val="20"/>
              </w:rPr>
            </w:pPr>
            <w:r>
              <w:rPr>
                <w:rFonts w:cs="Arial"/>
                <w:szCs w:val="20"/>
              </w:rPr>
              <w:t>Zakon</w:t>
            </w:r>
            <w:r w:rsidRPr="00395090">
              <w:rPr>
                <w:rFonts w:cs="Arial"/>
                <w:szCs w:val="20"/>
              </w:rPr>
              <w:t xml:space="preserve"> o javnem naročanju (Uradni list RS št. 91/15 in 14/18; v nadaljevanju ZJN-3)</w:t>
            </w:r>
            <w:r>
              <w:rPr>
                <w:rFonts w:cs="Arial"/>
                <w:szCs w:val="20"/>
              </w:rPr>
              <w:t>:</w:t>
            </w:r>
          </w:p>
          <w:p w14:paraId="09459825" w14:textId="77777777" w:rsidR="00DA012F" w:rsidRDefault="00FE45E9" w:rsidP="00DA012F">
            <w:pPr>
              <w:autoSpaceDE w:val="0"/>
              <w:autoSpaceDN w:val="0"/>
              <w:adjustRightInd w:val="0"/>
              <w:ind w:left="15"/>
              <w:rPr>
                <w:rFonts w:cs="Arial"/>
                <w:szCs w:val="20"/>
              </w:rPr>
            </w:pPr>
            <w:hyperlink r:id="rId13" w:history="1">
              <w:r w:rsidR="00DA012F" w:rsidRPr="004A1CE1">
                <w:rPr>
                  <w:rStyle w:val="Hiperpovezava"/>
                  <w:rFonts w:cs="Arial"/>
                  <w:szCs w:val="20"/>
                </w:rPr>
                <w:t>http://www.pisrs.si/Pis.web/pregledPredpisa?id=ZAKO7086</w:t>
              </w:r>
            </w:hyperlink>
          </w:p>
          <w:p w14:paraId="4DEA750B" w14:textId="77777777" w:rsidR="00DA012F" w:rsidRDefault="00DA012F" w:rsidP="00DA012F">
            <w:pPr>
              <w:autoSpaceDE w:val="0"/>
              <w:autoSpaceDN w:val="0"/>
              <w:adjustRightInd w:val="0"/>
              <w:ind w:left="15"/>
              <w:rPr>
                <w:rFonts w:cs="Arial"/>
                <w:szCs w:val="20"/>
              </w:rPr>
            </w:pPr>
          </w:p>
          <w:p w14:paraId="36990A47" w14:textId="77777777" w:rsidR="00DA012F" w:rsidRPr="00395090" w:rsidRDefault="00DA012F" w:rsidP="00DA012F">
            <w:pPr>
              <w:autoSpaceDE w:val="0"/>
              <w:autoSpaceDN w:val="0"/>
              <w:adjustRightInd w:val="0"/>
              <w:ind w:left="15"/>
              <w:rPr>
                <w:rFonts w:cs="Arial"/>
                <w:szCs w:val="20"/>
              </w:rPr>
            </w:pPr>
          </w:p>
          <w:p w14:paraId="282C131F" w14:textId="77777777" w:rsidR="00DA012F" w:rsidRPr="00395090" w:rsidRDefault="00DA012F" w:rsidP="00DA012F">
            <w:pPr>
              <w:autoSpaceDE w:val="0"/>
              <w:autoSpaceDN w:val="0"/>
              <w:adjustRightInd w:val="0"/>
              <w:ind w:left="15"/>
              <w:rPr>
                <w:rFonts w:cs="Arial"/>
                <w:color w:val="000000"/>
                <w:szCs w:val="20"/>
              </w:rPr>
            </w:pPr>
          </w:p>
        </w:tc>
        <w:tc>
          <w:tcPr>
            <w:tcW w:w="1777" w:type="dxa"/>
            <w:shd w:val="clear" w:color="auto" w:fill="auto"/>
          </w:tcPr>
          <w:p w14:paraId="3DE6511F" w14:textId="77777777" w:rsidR="00DA012F" w:rsidRPr="00DA012F" w:rsidRDefault="00DA012F" w:rsidP="00DA012F">
            <w:pPr>
              <w:autoSpaceDE w:val="0"/>
              <w:autoSpaceDN w:val="0"/>
              <w:adjustRightInd w:val="0"/>
              <w:spacing w:after="240"/>
              <w:ind w:left="15"/>
              <w:jc w:val="both"/>
              <w:rPr>
                <w:rFonts w:cs="Arial"/>
                <w:color w:val="000000"/>
                <w:szCs w:val="20"/>
              </w:rPr>
            </w:pPr>
            <w:r w:rsidRPr="00DA012F">
              <w:rPr>
                <w:rFonts w:cs="Arial"/>
                <w:color w:val="000000"/>
                <w:szCs w:val="20"/>
              </w:rPr>
              <w:t xml:space="preserve">Izvedba merila se zagotavlja  preko strokovnih komisij za izvedbo postopka in strokovni  pregled ponudb. </w:t>
            </w:r>
          </w:p>
        </w:tc>
      </w:tr>
      <w:tr w:rsidR="00DA012F" w:rsidRPr="00F700CD" w14:paraId="6CB6F245" w14:textId="77777777" w:rsidTr="00DA012F">
        <w:tc>
          <w:tcPr>
            <w:tcW w:w="1543" w:type="dxa"/>
            <w:vMerge/>
            <w:shd w:val="clear" w:color="auto" w:fill="auto"/>
          </w:tcPr>
          <w:p w14:paraId="1B7E17E8" w14:textId="77777777" w:rsidR="00DA012F" w:rsidRPr="00690C53" w:rsidRDefault="00DA012F" w:rsidP="00DA012F">
            <w:pPr>
              <w:jc w:val="both"/>
              <w:rPr>
                <w:rFonts w:cs="Arial"/>
                <w:iCs/>
                <w:noProof/>
                <w:szCs w:val="20"/>
              </w:rPr>
            </w:pPr>
          </w:p>
        </w:tc>
        <w:tc>
          <w:tcPr>
            <w:tcW w:w="1117" w:type="dxa"/>
            <w:vMerge/>
            <w:shd w:val="clear" w:color="auto" w:fill="auto"/>
          </w:tcPr>
          <w:p w14:paraId="4F67D155" w14:textId="77777777" w:rsidR="00DA012F" w:rsidRPr="00AA410F" w:rsidRDefault="00DA012F" w:rsidP="00DA012F">
            <w:pPr>
              <w:jc w:val="both"/>
              <w:rPr>
                <w:rFonts w:cs="Arial"/>
                <w:iCs/>
                <w:noProof/>
                <w:szCs w:val="20"/>
              </w:rPr>
            </w:pPr>
          </w:p>
        </w:tc>
        <w:tc>
          <w:tcPr>
            <w:tcW w:w="1573" w:type="dxa"/>
            <w:vMerge/>
            <w:shd w:val="clear" w:color="auto" w:fill="auto"/>
          </w:tcPr>
          <w:p w14:paraId="5CD6909B" w14:textId="77777777" w:rsidR="00DA012F" w:rsidRPr="00AA410F" w:rsidRDefault="00DA012F" w:rsidP="00DA012F">
            <w:pPr>
              <w:rPr>
                <w:rFonts w:cs="Arial"/>
                <w:iCs/>
                <w:noProof/>
                <w:szCs w:val="20"/>
              </w:rPr>
            </w:pPr>
          </w:p>
        </w:tc>
        <w:tc>
          <w:tcPr>
            <w:tcW w:w="1610" w:type="dxa"/>
            <w:shd w:val="clear" w:color="auto" w:fill="auto"/>
          </w:tcPr>
          <w:p w14:paraId="2E766546" w14:textId="77777777" w:rsidR="00DA012F" w:rsidRPr="00AA410F" w:rsidRDefault="00DA012F" w:rsidP="00DA012F">
            <w:pPr>
              <w:jc w:val="both"/>
              <w:rPr>
                <w:rFonts w:cs="Arial"/>
                <w:iCs/>
                <w:noProof/>
                <w:szCs w:val="20"/>
              </w:rPr>
            </w:pPr>
            <w:r w:rsidRPr="00AA410F">
              <w:rPr>
                <w:rFonts w:cs="Arial"/>
                <w:iCs/>
                <w:noProof/>
                <w:szCs w:val="20"/>
              </w:rPr>
              <w:t>Ureditev za dajanje podatkov in kazalnikov ter rezultatov analize na voljo javnosti prek uporabniku prijaznih odprtih podatkov.</w:t>
            </w:r>
          </w:p>
        </w:tc>
        <w:tc>
          <w:tcPr>
            <w:tcW w:w="1135" w:type="dxa"/>
            <w:shd w:val="clear" w:color="auto" w:fill="auto"/>
          </w:tcPr>
          <w:p w14:paraId="0F17F58A" w14:textId="77777777" w:rsidR="00DA012F" w:rsidRPr="00AA410F" w:rsidRDefault="00DA012F" w:rsidP="00DA012F">
            <w:pPr>
              <w:rPr>
                <w:rFonts w:cs="Arial"/>
                <w:iCs/>
                <w:noProof/>
                <w:szCs w:val="20"/>
              </w:rPr>
            </w:pPr>
            <w:r>
              <w:rPr>
                <w:rFonts w:cs="Arial"/>
                <w:iCs/>
                <w:noProof/>
                <w:szCs w:val="20"/>
              </w:rPr>
              <w:t>DA</w:t>
            </w:r>
          </w:p>
        </w:tc>
        <w:tc>
          <w:tcPr>
            <w:tcW w:w="5466" w:type="dxa"/>
            <w:shd w:val="clear" w:color="auto" w:fill="auto"/>
          </w:tcPr>
          <w:p w14:paraId="25337112" w14:textId="77777777" w:rsidR="00DA012F" w:rsidRDefault="00DA012F" w:rsidP="00DA012F">
            <w:pPr>
              <w:autoSpaceDE w:val="0"/>
              <w:autoSpaceDN w:val="0"/>
              <w:adjustRightInd w:val="0"/>
              <w:ind w:left="15"/>
              <w:rPr>
                <w:rFonts w:cs="Arial"/>
                <w:szCs w:val="20"/>
              </w:rPr>
            </w:pPr>
            <w:r w:rsidRPr="00395090">
              <w:rPr>
                <w:rFonts w:cs="Arial"/>
                <w:szCs w:val="20"/>
              </w:rPr>
              <w:t xml:space="preserve">Zakon o dostopu do informacij javnega značaja (Uradni list RS, št. </w:t>
            </w:r>
            <w:hyperlink r:id="rId14" w:tgtFrame="_blank" w:tooltip="Zakon o dostopu do informacij javnega značaja (uradno prečiščeno besedilo)" w:history="1">
              <w:r w:rsidRPr="00395090">
                <w:rPr>
                  <w:rFonts w:cs="Arial"/>
                  <w:szCs w:val="20"/>
                </w:rPr>
                <w:t>51/06</w:t>
              </w:r>
            </w:hyperlink>
            <w:r w:rsidRPr="00395090">
              <w:rPr>
                <w:rFonts w:cs="Arial"/>
                <w:szCs w:val="20"/>
              </w:rPr>
              <w:t xml:space="preserve"> – uradno prečiščeno besedilo, </w:t>
            </w:r>
            <w:hyperlink r:id="rId15" w:tgtFrame="_blank" w:tooltip="Zakon o davčnem postopku" w:history="1">
              <w:r w:rsidRPr="00395090">
                <w:rPr>
                  <w:rFonts w:cs="Arial"/>
                  <w:szCs w:val="20"/>
                </w:rPr>
                <w:t>117/06</w:t>
              </w:r>
            </w:hyperlink>
            <w:r w:rsidRPr="00395090">
              <w:rPr>
                <w:rFonts w:cs="Arial"/>
                <w:szCs w:val="20"/>
              </w:rPr>
              <w:t xml:space="preserve"> – ZDavP-2, </w:t>
            </w:r>
            <w:hyperlink r:id="rId16" w:tgtFrame="_blank" w:tooltip="Zakon o spremembah in dopolnitvah Zakona o dostopu do informacij javnega značaja" w:history="1">
              <w:r w:rsidRPr="00395090">
                <w:rPr>
                  <w:rFonts w:cs="Arial"/>
                  <w:szCs w:val="20"/>
                </w:rPr>
                <w:t>23/14</w:t>
              </w:r>
            </w:hyperlink>
            <w:r w:rsidRPr="00395090">
              <w:rPr>
                <w:rFonts w:cs="Arial"/>
                <w:szCs w:val="20"/>
              </w:rPr>
              <w:t xml:space="preserve">, </w:t>
            </w:r>
            <w:hyperlink r:id="rId17" w:tgtFrame="_blank" w:tooltip="Zakon o spremembah in dopolnitvah Zakona o dostopu do informacij javnega značaja" w:history="1">
              <w:r w:rsidRPr="00395090">
                <w:rPr>
                  <w:rFonts w:cs="Arial"/>
                  <w:szCs w:val="20"/>
                </w:rPr>
                <w:t>50/14</w:t>
              </w:r>
            </w:hyperlink>
            <w:r w:rsidRPr="00395090">
              <w:rPr>
                <w:rFonts w:cs="Arial"/>
                <w:szCs w:val="20"/>
              </w:rPr>
              <w:t xml:space="preserve">, </w:t>
            </w:r>
            <w:hyperlink r:id="rId1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395090">
                <w:rPr>
                  <w:rFonts w:cs="Arial"/>
                  <w:szCs w:val="20"/>
                </w:rPr>
                <w:t>19/15</w:t>
              </w:r>
            </w:hyperlink>
            <w:r w:rsidRPr="00395090">
              <w:rPr>
                <w:rFonts w:cs="Arial"/>
                <w:szCs w:val="20"/>
              </w:rPr>
              <w:t xml:space="preserve"> – odl. US, </w:t>
            </w:r>
            <w:hyperlink r:id="rId19" w:tgtFrame="_blank" w:tooltip="Zakon o spremembah in dopolnitvah Zakona o dostopu do informacij javnega značaja" w:history="1">
              <w:r w:rsidRPr="00395090">
                <w:rPr>
                  <w:rFonts w:cs="Arial"/>
                  <w:szCs w:val="20"/>
                </w:rPr>
                <w:t>102/15</w:t>
              </w:r>
            </w:hyperlink>
            <w:r w:rsidRPr="00395090">
              <w:rPr>
                <w:rFonts w:cs="Arial"/>
                <w:szCs w:val="20"/>
              </w:rPr>
              <w:t xml:space="preserve"> in </w:t>
            </w:r>
            <w:hyperlink r:id="rId20" w:tgtFrame="_blank" w:tooltip="Zakon o dopolnitvi Zakona o dostopu do informacij javnega značaja" w:history="1">
              <w:r w:rsidRPr="00395090">
                <w:rPr>
                  <w:rFonts w:cs="Arial"/>
                  <w:szCs w:val="20"/>
                </w:rPr>
                <w:t>7/18</w:t>
              </w:r>
            </w:hyperlink>
            <w:r w:rsidRPr="00395090">
              <w:rPr>
                <w:rFonts w:cs="Arial"/>
                <w:szCs w:val="20"/>
              </w:rPr>
              <w:t>)</w:t>
            </w:r>
            <w:r>
              <w:rPr>
                <w:rFonts w:cs="Arial"/>
                <w:szCs w:val="20"/>
              </w:rPr>
              <w:t>:</w:t>
            </w:r>
          </w:p>
          <w:p w14:paraId="41859362" w14:textId="77777777" w:rsidR="00DA012F" w:rsidRDefault="00FE45E9" w:rsidP="00DA012F">
            <w:pPr>
              <w:autoSpaceDE w:val="0"/>
              <w:autoSpaceDN w:val="0"/>
              <w:adjustRightInd w:val="0"/>
              <w:ind w:left="15"/>
              <w:rPr>
                <w:rFonts w:cs="Arial"/>
                <w:szCs w:val="20"/>
              </w:rPr>
            </w:pPr>
            <w:hyperlink r:id="rId21" w:history="1">
              <w:r w:rsidR="00DA012F" w:rsidRPr="004A1CE1">
                <w:rPr>
                  <w:rStyle w:val="Hiperpovezava"/>
                  <w:rFonts w:cs="Arial"/>
                  <w:szCs w:val="20"/>
                </w:rPr>
                <w:t>http://pisrs.si/Pis.web/pregledPredpisa?id=ZAKO3336</w:t>
              </w:r>
            </w:hyperlink>
          </w:p>
          <w:p w14:paraId="3C73FA42" w14:textId="77777777" w:rsidR="00DA012F" w:rsidRPr="00A36350" w:rsidRDefault="00DA012F" w:rsidP="00DA012F">
            <w:pPr>
              <w:autoSpaceDE w:val="0"/>
              <w:autoSpaceDN w:val="0"/>
              <w:adjustRightInd w:val="0"/>
              <w:ind w:left="15"/>
              <w:rPr>
                <w:rFonts w:cs="Arial"/>
                <w:color w:val="000000"/>
                <w:szCs w:val="20"/>
              </w:rPr>
            </w:pPr>
          </w:p>
        </w:tc>
        <w:tc>
          <w:tcPr>
            <w:tcW w:w="1777" w:type="dxa"/>
            <w:shd w:val="clear" w:color="auto" w:fill="auto"/>
          </w:tcPr>
          <w:p w14:paraId="48547FC8" w14:textId="77777777" w:rsidR="00DA012F" w:rsidRPr="00395090" w:rsidRDefault="00DA012F" w:rsidP="00DA012F">
            <w:pPr>
              <w:autoSpaceDE w:val="0"/>
              <w:autoSpaceDN w:val="0"/>
              <w:adjustRightInd w:val="0"/>
              <w:spacing w:after="240"/>
              <w:ind w:left="15"/>
              <w:jc w:val="both"/>
              <w:rPr>
                <w:rFonts w:cs="Arial"/>
                <w:color w:val="000000"/>
                <w:szCs w:val="20"/>
              </w:rPr>
            </w:pPr>
            <w:r w:rsidRPr="00395090">
              <w:rPr>
                <w:rFonts w:cs="Arial"/>
                <w:color w:val="000000"/>
                <w:szCs w:val="20"/>
              </w:rPr>
              <w:t xml:space="preserve">Merilo se </w:t>
            </w:r>
            <w:r>
              <w:rPr>
                <w:rFonts w:cs="Arial"/>
                <w:color w:val="000000"/>
                <w:szCs w:val="20"/>
              </w:rPr>
              <w:t xml:space="preserve">izvaja na podlagi  zaprosila za </w:t>
            </w:r>
            <w:r w:rsidRPr="00395090">
              <w:rPr>
                <w:rFonts w:cs="Arial"/>
                <w:color w:val="000000"/>
                <w:szCs w:val="20"/>
              </w:rPr>
              <w:t>pridobitev želenih informacij na navedeni pravni podlagi.</w:t>
            </w:r>
          </w:p>
        </w:tc>
      </w:tr>
      <w:tr w:rsidR="00DA012F" w:rsidRPr="00F700CD" w14:paraId="2005996F" w14:textId="77777777" w:rsidTr="00DA012F">
        <w:tc>
          <w:tcPr>
            <w:tcW w:w="1543" w:type="dxa"/>
            <w:vMerge/>
            <w:shd w:val="clear" w:color="auto" w:fill="auto"/>
          </w:tcPr>
          <w:p w14:paraId="4179405F" w14:textId="77777777" w:rsidR="00DA012F" w:rsidRPr="00690C53" w:rsidRDefault="00DA012F" w:rsidP="00DA012F">
            <w:pPr>
              <w:jc w:val="both"/>
              <w:rPr>
                <w:rFonts w:cs="Arial"/>
                <w:iCs/>
                <w:noProof/>
                <w:szCs w:val="20"/>
              </w:rPr>
            </w:pPr>
          </w:p>
        </w:tc>
        <w:tc>
          <w:tcPr>
            <w:tcW w:w="1117" w:type="dxa"/>
            <w:vMerge/>
            <w:shd w:val="clear" w:color="auto" w:fill="auto"/>
          </w:tcPr>
          <w:p w14:paraId="63A7475D" w14:textId="77777777" w:rsidR="00DA012F" w:rsidRPr="00AA410F" w:rsidRDefault="00DA012F" w:rsidP="00DA012F">
            <w:pPr>
              <w:jc w:val="both"/>
              <w:rPr>
                <w:rFonts w:cs="Arial"/>
                <w:iCs/>
                <w:noProof/>
                <w:szCs w:val="20"/>
              </w:rPr>
            </w:pPr>
          </w:p>
        </w:tc>
        <w:tc>
          <w:tcPr>
            <w:tcW w:w="1573" w:type="dxa"/>
            <w:vMerge/>
            <w:shd w:val="clear" w:color="auto" w:fill="auto"/>
          </w:tcPr>
          <w:p w14:paraId="2369A63C" w14:textId="77777777" w:rsidR="00DA012F" w:rsidRPr="00AA410F" w:rsidRDefault="00DA012F" w:rsidP="00DA012F">
            <w:pPr>
              <w:rPr>
                <w:rFonts w:cs="Arial"/>
                <w:iCs/>
                <w:noProof/>
                <w:szCs w:val="20"/>
              </w:rPr>
            </w:pPr>
          </w:p>
        </w:tc>
        <w:tc>
          <w:tcPr>
            <w:tcW w:w="1610" w:type="dxa"/>
            <w:shd w:val="clear" w:color="auto" w:fill="auto"/>
          </w:tcPr>
          <w:p w14:paraId="271B1168" w14:textId="77777777" w:rsidR="00DA012F" w:rsidRPr="00AA410F" w:rsidRDefault="00DA012F" w:rsidP="00DA012F">
            <w:pPr>
              <w:jc w:val="both"/>
              <w:rPr>
                <w:rFonts w:cs="Arial"/>
                <w:iCs/>
                <w:noProof/>
                <w:szCs w:val="20"/>
              </w:rPr>
            </w:pPr>
            <w:r w:rsidRPr="00AA410F">
              <w:rPr>
                <w:rFonts w:cs="Arial"/>
                <w:iCs/>
                <w:noProof/>
                <w:szCs w:val="20"/>
              </w:rPr>
              <w:t xml:space="preserve">Ureditev za zagotovitev, da se vse informacije, ki kažejo na domnevne primere manipulacije, </w:t>
            </w:r>
            <w:r w:rsidRPr="00AA410F">
              <w:rPr>
                <w:rFonts w:cs="Arial"/>
                <w:iCs/>
                <w:noProof/>
                <w:szCs w:val="20"/>
              </w:rPr>
              <w:lastRenderedPageBreak/>
              <w:t>sistematično posredujejo pristojnim nacionalnim organom.</w:t>
            </w:r>
          </w:p>
        </w:tc>
        <w:tc>
          <w:tcPr>
            <w:tcW w:w="1135" w:type="dxa"/>
            <w:shd w:val="clear" w:color="auto" w:fill="auto"/>
          </w:tcPr>
          <w:p w14:paraId="547792CE" w14:textId="77777777" w:rsidR="00DA012F" w:rsidRPr="00AA410F" w:rsidRDefault="00DA012F" w:rsidP="00DA012F">
            <w:pPr>
              <w:rPr>
                <w:rFonts w:cs="Arial"/>
                <w:iCs/>
                <w:noProof/>
                <w:szCs w:val="20"/>
              </w:rPr>
            </w:pPr>
            <w:r>
              <w:rPr>
                <w:rFonts w:cs="Arial"/>
                <w:iCs/>
                <w:noProof/>
                <w:szCs w:val="20"/>
              </w:rPr>
              <w:lastRenderedPageBreak/>
              <w:t>DA</w:t>
            </w:r>
          </w:p>
        </w:tc>
        <w:tc>
          <w:tcPr>
            <w:tcW w:w="5466" w:type="dxa"/>
            <w:shd w:val="clear" w:color="auto" w:fill="auto"/>
          </w:tcPr>
          <w:p w14:paraId="0A47C261" w14:textId="77777777" w:rsidR="00DA012F" w:rsidRDefault="00DA012F" w:rsidP="00DA012F">
            <w:pPr>
              <w:autoSpaceDE w:val="0"/>
              <w:autoSpaceDN w:val="0"/>
              <w:adjustRightInd w:val="0"/>
              <w:ind w:left="15"/>
              <w:rPr>
                <w:rFonts w:cs="Arial"/>
                <w:color w:val="000000"/>
                <w:szCs w:val="20"/>
              </w:rPr>
            </w:pPr>
            <w:r>
              <w:rPr>
                <w:rFonts w:cs="Arial"/>
                <w:color w:val="000000"/>
                <w:szCs w:val="20"/>
              </w:rPr>
              <w:t>Zakon</w:t>
            </w:r>
            <w:r w:rsidRPr="00395090">
              <w:rPr>
                <w:rFonts w:cs="Arial"/>
                <w:color w:val="000000"/>
                <w:szCs w:val="20"/>
              </w:rPr>
              <w:t xml:space="preserve"> o integriteti in preprečevanju korupcije (Uradni list RS, št. 69/2011-UPB2)</w:t>
            </w:r>
            <w:r>
              <w:rPr>
                <w:rFonts w:cs="Arial"/>
                <w:color w:val="000000"/>
                <w:szCs w:val="20"/>
              </w:rPr>
              <w:t>:</w:t>
            </w:r>
          </w:p>
          <w:p w14:paraId="7DF8B909" w14:textId="77777777" w:rsidR="00DA012F" w:rsidRDefault="00FE45E9" w:rsidP="00DA012F">
            <w:pPr>
              <w:autoSpaceDE w:val="0"/>
              <w:autoSpaceDN w:val="0"/>
              <w:adjustRightInd w:val="0"/>
              <w:ind w:left="15"/>
              <w:rPr>
                <w:rFonts w:cs="Arial"/>
                <w:color w:val="000000"/>
                <w:szCs w:val="20"/>
              </w:rPr>
            </w:pPr>
            <w:hyperlink r:id="rId22" w:history="1">
              <w:r w:rsidR="00DA012F" w:rsidRPr="004A1CE1">
                <w:rPr>
                  <w:rStyle w:val="Hiperpovezava"/>
                  <w:rFonts w:cs="Arial"/>
                  <w:szCs w:val="20"/>
                </w:rPr>
                <w:t>http://pisrs.si/Pis.web/pregledPredpisa?id=ZAKO5523</w:t>
              </w:r>
            </w:hyperlink>
          </w:p>
          <w:p w14:paraId="49DF7825" w14:textId="77777777" w:rsidR="00DA012F" w:rsidRPr="00395090" w:rsidRDefault="00DA012F" w:rsidP="00DA012F">
            <w:pPr>
              <w:autoSpaceDE w:val="0"/>
              <w:autoSpaceDN w:val="0"/>
              <w:adjustRightInd w:val="0"/>
              <w:ind w:left="15"/>
              <w:rPr>
                <w:rFonts w:cs="Arial"/>
                <w:color w:val="000000"/>
                <w:szCs w:val="20"/>
              </w:rPr>
            </w:pPr>
          </w:p>
        </w:tc>
        <w:tc>
          <w:tcPr>
            <w:tcW w:w="1777" w:type="dxa"/>
            <w:shd w:val="clear" w:color="auto" w:fill="auto"/>
          </w:tcPr>
          <w:p w14:paraId="1D10F03F" w14:textId="77777777" w:rsidR="00DA012F" w:rsidRPr="00395090" w:rsidRDefault="00DA012F" w:rsidP="00DA012F">
            <w:pPr>
              <w:keepNext/>
              <w:keepLines/>
              <w:autoSpaceDE w:val="0"/>
              <w:autoSpaceDN w:val="0"/>
              <w:adjustRightInd w:val="0"/>
              <w:ind w:left="15"/>
              <w:jc w:val="both"/>
              <w:rPr>
                <w:rFonts w:cs="Arial"/>
                <w:color w:val="000000"/>
                <w:szCs w:val="20"/>
              </w:rPr>
            </w:pPr>
            <w:r w:rsidRPr="00395090">
              <w:rPr>
                <w:rFonts w:cs="Arial"/>
                <w:color w:val="000000"/>
                <w:szCs w:val="20"/>
              </w:rPr>
              <w:t>Merilo se izvaja na način da se kršitve prijavijo</w:t>
            </w:r>
          </w:p>
          <w:p w14:paraId="2DDD5B55" w14:textId="77777777" w:rsidR="00DA012F" w:rsidRPr="00395090" w:rsidRDefault="00DA012F" w:rsidP="00DA012F">
            <w:pPr>
              <w:keepNext/>
              <w:keepLines/>
              <w:autoSpaceDE w:val="0"/>
              <w:autoSpaceDN w:val="0"/>
              <w:adjustRightInd w:val="0"/>
              <w:ind w:left="15"/>
              <w:jc w:val="both"/>
              <w:rPr>
                <w:rFonts w:cs="Arial"/>
                <w:color w:val="000000"/>
                <w:szCs w:val="20"/>
              </w:rPr>
            </w:pPr>
            <w:r w:rsidRPr="00395090">
              <w:rPr>
                <w:rFonts w:cs="Arial"/>
                <w:color w:val="000000"/>
                <w:szCs w:val="20"/>
              </w:rPr>
              <w:t xml:space="preserve">Komisiji za preprečevanje korupcije. </w:t>
            </w:r>
          </w:p>
        </w:tc>
      </w:tr>
      <w:tr w:rsidR="00DA012F" w:rsidRPr="00F700CD" w14:paraId="74032934" w14:textId="77777777" w:rsidTr="00DA012F">
        <w:tc>
          <w:tcPr>
            <w:tcW w:w="1543" w:type="dxa"/>
            <w:vMerge w:val="restart"/>
            <w:shd w:val="clear" w:color="auto" w:fill="auto"/>
          </w:tcPr>
          <w:p w14:paraId="11DBEABA" w14:textId="77777777" w:rsidR="00DA012F" w:rsidRPr="001807C9" w:rsidRDefault="00DA012F" w:rsidP="00DA012F">
            <w:pPr>
              <w:jc w:val="both"/>
              <w:rPr>
                <w:rFonts w:cs="Arial"/>
                <w:b/>
                <w:iCs/>
                <w:noProof/>
                <w:szCs w:val="20"/>
              </w:rPr>
            </w:pPr>
            <w:r w:rsidRPr="001807C9">
              <w:rPr>
                <w:rFonts w:cs="Arial"/>
                <w:b/>
                <w:iCs/>
                <w:noProof/>
                <w:szCs w:val="20"/>
              </w:rPr>
              <w:t>Orodja in zmogljivosti za učinkovito uporabo pravil o državni pomoči</w:t>
            </w:r>
          </w:p>
        </w:tc>
        <w:tc>
          <w:tcPr>
            <w:tcW w:w="1117" w:type="dxa"/>
            <w:vMerge w:val="restart"/>
            <w:shd w:val="clear" w:color="auto" w:fill="auto"/>
          </w:tcPr>
          <w:p w14:paraId="3CC8AC46" w14:textId="77777777" w:rsidR="00DA012F" w:rsidRPr="00A40660" w:rsidRDefault="00DA012F" w:rsidP="00DA012F">
            <w:pPr>
              <w:jc w:val="both"/>
              <w:rPr>
                <w:rFonts w:cs="Arial"/>
                <w:iCs/>
                <w:noProof/>
                <w:szCs w:val="20"/>
              </w:rPr>
            </w:pPr>
            <w:r>
              <w:rPr>
                <w:rFonts w:cs="Arial"/>
                <w:iCs/>
                <w:noProof/>
                <w:szCs w:val="20"/>
              </w:rPr>
              <w:t>ESPRA</w:t>
            </w:r>
          </w:p>
        </w:tc>
        <w:tc>
          <w:tcPr>
            <w:tcW w:w="1573" w:type="dxa"/>
            <w:vMerge w:val="restart"/>
            <w:shd w:val="clear" w:color="auto" w:fill="auto"/>
          </w:tcPr>
          <w:p w14:paraId="7985D6F0" w14:textId="77777777" w:rsidR="00DA012F" w:rsidRPr="00A40660" w:rsidRDefault="00DA012F" w:rsidP="00DA012F">
            <w:pPr>
              <w:rPr>
                <w:rFonts w:cs="Arial"/>
                <w:iCs/>
                <w:noProof/>
                <w:szCs w:val="20"/>
              </w:rPr>
            </w:pPr>
            <w:r>
              <w:rPr>
                <w:rFonts w:cs="Arial"/>
                <w:iCs/>
                <w:noProof/>
                <w:szCs w:val="20"/>
              </w:rPr>
              <w:t>DA</w:t>
            </w:r>
          </w:p>
        </w:tc>
        <w:tc>
          <w:tcPr>
            <w:tcW w:w="1610" w:type="dxa"/>
            <w:shd w:val="clear" w:color="auto" w:fill="auto"/>
          </w:tcPr>
          <w:p w14:paraId="1E93A967" w14:textId="4EAAB5A2" w:rsidR="00DA012F" w:rsidRPr="00AA410F" w:rsidRDefault="00DA012F" w:rsidP="00DA012F">
            <w:pPr>
              <w:jc w:val="both"/>
              <w:rPr>
                <w:rFonts w:cs="Arial"/>
                <w:iCs/>
                <w:noProof/>
                <w:szCs w:val="20"/>
              </w:rPr>
            </w:pPr>
            <w:r>
              <w:rPr>
                <w:rFonts w:cs="Arial"/>
                <w:iCs/>
                <w:noProof/>
                <w:szCs w:val="20"/>
              </w:rPr>
              <w:t xml:space="preserve">Preprost in celovit </w:t>
            </w:r>
            <w:r w:rsidRPr="00AA410F">
              <w:rPr>
                <w:rFonts w:cs="Arial"/>
                <w:iCs/>
                <w:noProof/>
                <w:szCs w:val="20"/>
              </w:rPr>
              <w:t>dostop do nenehno posodabljanih informacij o podjetjih v težavah in podjetjih z obveznostjo izterjave.</w:t>
            </w:r>
          </w:p>
        </w:tc>
        <w:tc>
          <w:tcPr>
            <w:tcW w:w="1135" w:type="dxa"/>
            <w:shd w:val="clear" w:color="auto" w:fill="auto"/>
          </w:tcPr>
          <w:p w14:paraId="21D6A3C5" w14:textId="77777777" w:rsidR="00DA012F" w:rsidRPr="00A40660" w:rsidRDefault="00DA012F" w:rsidP="00DA012F">
            <w:pPr>
              <w:rPr>
                <w:rFonts w:cs="Arial"/>
                <w:iCs/>
                <w:noProof/>
                <w:szCs w:val="20"/>
              </w:rPr>
            </w:pPr>
            <w:r w:rsidRPr="00A40660">
              <w:rPr>
                <w:rFonts w:cs="Arial"/>
                <w:iCs/>
                <w:noProof/>
                <w:szCs w:val="20"/>
              </w:rPr>
              <w:t>D/N</w:t>
            </w:r>
          </w:p>
        </w:tc>
        <w:tc>
          <w:tcPr>
            <w:tcW w:w="5466" w:type="dxa"/>
            <w:shd w:val="clear" w:color="auto" w:fill="auto"/>
          </w:tcPr>
          <w:p w14:paraId="42557DC1" w14:textId="77777777" w:rsidR="00DA012F" w:rsidRDefault="00FE45E9" w:rsidP="00DA012F">
            <w:hyperlink r:id="rId23" w:history="1">
              <w:r w:rsidR="00DA012F">
                <w:rPr>
                  <w:rStyle w:val="Hiperpovezava"/>
                </w:rPr>
                <w:t>https://www.ajpes.si/fipo/</w:t>
              </w:r>
            </w:hyperlink>
          </w:p>
          <w:p w14:paraId="64C63000" w14:textId="77777777" w:rsidR="00DA012F" w:rsidRDefault="00DA012F" w:rsidP="00DA012F"/>
          <w:p w14:paraId="222C5681" w14:textId="77777777" w:rsidR="00DA012F" w:rsidRPr="00A40660" w:rsidRDefault="00FE45E9" w:rsidP="00DA012F">
            <w:pPr>
              <w:rPr>
                <w:rFonts w:cs="Arial"/>
                <w:iCs/>
                <w:noProof/>
                <w:szCs w:val="20"/>
              </w:rPr>
            </w:pPr>
            <w:hyperlink r:id="rId24" w:history="1">
              <w:r w:rsidR="00DA012F">
                <w:rPr>
                  <w:rStyle w:val="Hiperpovezava"/>
                </w:rPr>
                <w:t>https://www.ajpes.si/jolp/</w:t>
              </w:r>
            </w:hyperlink>
          </w:p>
        </w:tc>
        <w:tc>
          <w:tcPr>
            <w:tcW w:w="1777" w:type="dxa"/>
            <w:shd w:val="clear" w:color="auto" w:fill="auto"/>
          </w:tcPr>
          <w:p w14:paraId="19FF58ED" w14:textId="63C5A2C2" w:rsidR="00DA012F" w:rsidRPr="008E6BB7" w:rsidRDefault="00DA012F" w:rsidP="008E6B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color w:val="000000"/>
                <w:sz w:val="16"/>
                <w:szCs w:val="16"/>
              </w:rPr>
            </w:pPr>
            <w:r w:rsidRPr="008E6BB7">
              <w:rPr>
                <w:rFonts w:cs="Arial"/>
                <w:color w:val="000000"/>
                <w:szCs w:val="20"/>
              </w:rPr>
              <w:t xml:space="preserve"> Agencija Republike Slovenije za javnopravne evidence in storitve (AJPES) je odgovorna za registracije poslovnih subjektov ter zbiranja, objavljanja in posredovanja podatkov in informacij za zagotavljanje preglednega nacionalnega in evropskega poslovnega okolja. Pridobiva in vodi podatke o poslovnih subjektih in njihovem </w:t>
            </w:r>
            <w:r w:rsidRPr="008E6BB7">
              <w:rPr>
                <w:rFonts w:cs="Arial"/>
                <w:color w:val="000000"/>
                <w:szCs w:val="20"/>
              </w:rPr>
              <w:lastRenderedPageBreak/>
              <w:t xml:space="preserve">poslovanju. S pomočjo aplikacij finančni pomočnik Fi=Po in Jolp-javna objava letnih poročil (bilanca stanja, Izkaz uspeha in pojasnila k bilancam v obliki pisnega poročila) na enem mestu združuje vse o poslovanju slovenskih poslovnih subjektov. Omogoča pregled najpomembnejših podatkov o teh subjektih, hkrati pa ponuja možnost izvoza seznamov in podatkov za pripravo lastnih pregledov in analiz. S tem </w:t>
            </w:r>
            <w:r w:rsidRPr="008E6BB7">
              <w:rPr>
                <w:rFonts w:cs="Arial"/>
                <w:color w:val="000000"/>
                <w:szCs w:val="20"/>
              </w:rPr>
              <w:lastRenderedPageBreak/>
              <w:t>zagotavlja organom pridobitev informacij o poslovanju poslovnih subjektov na enem mestu vključujoč informacije o podjetjih v težavah in podjetjih z obveznostjo izterjave.</w:t>
            </w:r>
          </w:p>
        </w:tc>
      </w:tr>
      <w:tr w:rsidR="00DA012F" w:rsidRPr="00F700CD" w14:paraId="1AB893F0" w14:textId="77777777" w:rsidTr="00DA012F">
        <w:tc>
          <w:tcPr>
            <w:tcW w:w="1543" w:type="dxa"/>
            <w:vMerge/>
            <w:shd w:val="clear" w:color="auto" w:fill="auto"/>
          </w:tcPr>
          <w:p w14:paraId="38509711" w14:textId="77777777" w:rsidR="00DA012F" w:rsidRPr="00AA410F" w:rsidRDefault="00DA012F" w:rsidP="00DA012F">
            <w:pPr>
              <w:rPr>
                <w:rFonts w:cs="Arial"/>
                <w:iCs/>
                <w:noProof/>
                <w:szCs w:val="20"/>
              </w:rPr>
            </w:pPr>
          </w:p>
        </w:tc>
        <w:tc>
          <w:tcPr>
            <w:tcW w:w="1117" w:type="dxa"/>
            <w:vMerge/>
            <w:shd w:val="clear" w:color="auto" w:fill="auto"/>
          </w:tcPr>
          <w:p w14:paraId="06C045AA" w14:textId="77777777" w:rsidR="00DA012F" w:rsidRPr="004D1C85" w:rsidRDefault="00DA012F" w:rsidP="00DA012F">
            <w:pPr>
              <w:rPr>
                <w:rFonts w:cs="Arial"/>
                <w:iCs/>
                <w:noProof/>
                <w:szCs w:val="20"/>
              </w:rPr>
            </w:pPr>
          </w:p>
        </w:tc>
        <w:tc>
          <w:tcPr>
            <w:tcW w:w="1573" w:type="dxa"/>
            <w:vMerge/>
            <w:shd w:val="clear" w:color="auto" w:fill="auto"/>
          </w:tcPr>
          <w:p w14:paraId="193D401C" w14:textId="77777777" w:rsidR="00DA012F" w:rsidRPr="004D1C85" w:rsidRDefault="00DA012F" w:rsidP="00DA012F">
            <w:pPr>
              <w:rPr>
                <w:rFonts w:cs="Arial"/>
                <w:iCs/>
                <w:noProof/>
                <w:szCs w:val="20"/>
              </w:rPr>
            </w:pPr>
          </w:p>
        </w:tc>
        <w:tc>
          <w:tcPr>
            <w:tcW w:w="1610" w:type="dxa"/>
            <w:shd w:val="clear" w:color="auto" w:fill="auto"/>
          </w:tcPr>
          <w:p w14:paraId="5DD1323C" w14:textId="77777777" w:rsidR="00DA012F" w:rsidRPr="00AA410F" w:rsidRDefault="00DA012F" w:rsidP="00DA012F">
            <w:pPr>
              <w:jc w:val="both"/>
              <w:rPr>
                <w:rFonts w:cs="Arial"/>
                <w:iCs/>
                <w:noProof/>
                <w:szCs w:val="20"/>
              </w:rPr>
            </w:pPr>
            <w:r w:rsidRPr="00AA410F">
              <w:rPr>
                <w:rFonts w:cs="Arial"/>
                <w:iCs/>
                <w:noProof/>
                <w:szCs w:val="20"/>
              </w:rPr>
              <w:t xml:space="preserve">Dostop do strokovnega svetovanja in usmerjanja na področju državnih pomoči, ki jo zagotavlja lokalni ali nacionalni strokovni center v okviru usklajevanja nacionalnih organov, </w:t>
            </w:r>
            <w:r w:rsidRPr="00AA410F">
              <w:rPr>
                <w:rFonts w:cs="Arial"/>
                <w:iCs/>
                <w:noProof/>
                <w:szCs w:val="20"/>
              </w:rPr>
              <w:lastRenderedPageBreak/>
              <w:t>pristojnih za državno pomoč, z delovnimi dogovori za zagotovitev, da se strokovnjaki dejansko posvetujejo z zainteresiranimi stranmi.</w:t>
            </w:r>
          </w:p>
        </w:tc>
        <w:tc>
          <w:tcPr>
            <w:tcW w:w="1135" w:type="dxa"/>
            <w:shd w:val="clear" w:color="auto" w:fill="auto"/>
          </w:tcPr>
          <w:p w14:paraId="3D810D40" w14:textId="77777777" w:rsidR="00DA012F" w:rsidRPr="00AA410F" w:rsidRDefault="00DA012F" w:rsidP="00DA012F">
            <w:pPr>
              <w:rPr>
                <w:rFonts w:cs="Arial"/>
                <w:iCs/>
                <w:noProof/>
                <w:szCs w:val="20"/>
              </w:rPr>
            </w:pPr>
            <w:r>
              <w:rPr>
                <w:rFonts w:cs="Arial"/>
                <w:iCs/>
                <w:noProof/>
                <w:szCs w:val="20"/>
              </w:rPr>
              <w:lastRenderedPageBreak/>
              <w:t>DA</w:t>
            </w:r>
          </w:p>
        </w:tc>
        <w:tc>
          <w:tcPr>
            <w:tcW w:w="5466" w:type="dxa"/>
            <w:shd w:val="clear" w:color="auto" w:fill="auto"/>
          </w:tcPr>
          <w:p w14:paraId="1AE627D8" w14:textId="77777777" w:rsidR="00DA012F" w:rsidRDefault="00DA012F" w:rsidP="00DA012F">
            <w:pPr>
              <w:rPr>
                <w:rFonts w:cs="Arial"/>
                <w:iCs/>
                <w:noProof/>
                <w:szCs w:val="20"/>
              </w:rPr>
            </w:pPr>
            <w:r w:rsidRPr="00641C80">
              <w:rPr>
                <w:rFonts w:cs="Arial"/>
                <w:iCs/>
                <w:noProof/>
                <w:szCs w:val="20"/>
              </w:rPr>
              <w:t>Zakon o morskem ribištvu (Uradni list R</w:t>
            </w:r>
            <w:r>
              <w:rPr>
                <w:rFonts w:cs="Arial"/>
                <w:iCs/>
                <w:noProof/>
                <w:szCs w:val="20"/>
              </w:rPr>
              <w:t>S, št. 115/06, 76/15 in 69/17),:</w:t>
            </w:r>
          </w:p>
          <w:p w14:paraId="0A9349E9" w14:textId="77777777" w:rsidR="00DA012F" w:rsidRPr="00641C80" w:rsidRDefault="00FE45E9" w:rsidP="00DA012F">
            <w:pPr>
              <w:rPr>
                <w:rFonts w:cs="Arial"/>
                <w:iCs/>
                <w:noProof/>
                <w:szCs w:val="20"/>
              </w:rPr>
            </w:pPr>
            <w:hyperlink r:id="rId25" w:history="1">
              <w:r w:rsidR="00DA012F" w:rsidRPr="003B79ED">
                <w:rPr>
                  <w:rStyle w:val="Hiperpovezava"/>
                  <w:rFonts w:cs="Arial"/>
                  <w:iCs/>
                  <w:noProof/>
                  <w:szCs w:val="20"/>
                </w:rPr>
                <w:t>http://www.pisrs.si/Pis.web/pregledPredpisa?id=ZAKO4367</w:t>
              </w:r>
            </w:hyperlink>
            <w:r w:rsidR="00DA012F">
              <w:rPr>
                <w:rFonts w:cs="Arial"/>
                <w:iCs/>
                <w:noProof/>
                <w:szCs w:val="20"/>
              </w:rPr>
              <w:t xml:space="preserve"> </w:t>
            </w:r>
            <w:r w:rsidR="00DA012F" w:rsidRPr="00641C80">
              <w:rPr>
                <w:rFonts w:cs="Arial"/>
                <w:iCs/>
                <w:noProof/>
                <w:szCs w:val="20"/>
              </w:rPr>
              <w:t>(zlasti 35. člen)</w:t>
            </w:r>
          </w:p>
          <w:p w14:paraId="4F872B36" w14:textId="77777777" w:rsidR="00DA012F" w:rsidRPr="00641C80" w:rsidRDefault="00DA012F" w:rsidP="00DA012F">
            <w:pPr>
              <w:rPr>
                <w:rFonts w:cs="Arial"/>
                <w:iCs/>
                <w:noProof/>
                <w:szCs w:val="20"/>
              </w:rPr>
            </w:pPr>
          </w:p>
          <w:p w14:paraId="0F919FF8" w14:textId="77777777" w:rsidR="00DA012F" w:rsidRDefault="00DA012F" w:rsidP="00DA012F">
            <w:pPr>
              <w:rPr>
                <w:rFonts w:cs="Arial"/>
                <w:iCs/>
                <w:noProof/>
                <w:szCs w:val="20"/>
              </w:rPr>
            </w:pPr>
            <w:r w:rsidRPr="00641C80">
              <w:rPr>
                <w:rFonts w:cs="Arial"/>
                <w:iCs/>
                <w:noProof/>
                <w:szCs w:val="20"/>
              </w:rPr>
              <w:t>Zakon o spremljanju državnih pomo</w:t>
            </w:r>
            <w:r>
              <w:rPr>
                <w:rFonts w:cs="Arial"/>
                <w:iCs/>
                <w:noProof/>
                <w:szCs w:val="20"/>
              </w:rPr>
              <w:t>či (Uradni list RS, št. 37/04):</w:t>
            </w:r>
          </w:p>
          <w:p w14:paraId="60B2AF67" w14:textId="77777777" w:rsidR="00DA012F" w:rsidRDefault="00FE45E9" w:rsidP="00DA012F">
            <w:pPr>
              <w:rPr>
                <w:rFonts w:cs="Arial"/>
                <w:iCs/>
                <w:noProof/>
                <w:szCs w:val="20"/>
              </w:rPr>
            </w:pPr>
            <w:hyperlink r:id="rId26" w:history="1">
              <w:r w:rsidR="00DA012F" w:rsidRPr="003B79ED">
                <w:rPr>
                  <w:rStyle w:val="Hiperpovezava"/>
                  <w:rFonts w:cs="Arial"/>
                  <w:iCs/>
                  <w:noProof/>
                  <w:szCs w:val="20"/>
                </w:rPr>
                <w:t>http://www.pisrs.si/Pis.web/pregledPredpisa?id=ZAKO3849</w:t>
              </w:r>
            </w:hyperlink>
            <w:r w:rsidR="00DA012F" w:rsidRPr="00641C80">
              <w:rPr>
                <w:rFonts w:cs="Arial"/>
                <w:iCs/>
                <w:noProof/>
                <w:szCs w:val="20"/>
              </w:rPr>
              <w:t xml:space="preserve"> </w:t>
            </w:r>
          </w:p>
          <w:p w14:paraId="41FFF91B" w14:textId="77777777" w:rsidR="00DA012F" w:rsidRDefault="00DA012F" w:rsidP="00DA012F">
            <w:pPr>
              <w:rPr>
                <w:rFonts w:cs="Arial"/>
                <w:iCs/>
                <w:noProof/>
                <w:szCs w:val="20"/>
              </w:rPr>
            </w:pPr>
            <w:r w:rsidRPr="00641C80">
              <w:rPr>
                <w:rFonts w:cs="Arial"/>
                <w:iCs/>
                <w:noProof/>
                <w:szCs w:val="20"/>
              </w:rPr>
              <w:t>Uredba o posredovanju vsebine in poročanju podatkov o državnih pomočeh s področja kmetijstva in ribiš</w:t>
            </w:r>
            <w:r>
              <w:rPr>
                <w:rFonts w:cs="Arial"/>
                <w:iCs/>
                <w:noProof/>
                <w:szCs w:val="20"/>
              </w:rPr>
              <w:t>tva (Uradni list RS, št. 74/04):</w:t>
            </w:r>
            <w:r w:rsidRPr="00641C80">
              <w:rPr>
                <w:rFonts w:cs="Arial"/>
                <w:iCs/>
                <w:noProof/>
                <w:szCs w:val="20"/>
              </w:rPr>
              <w:t xml:space="preserve"> </w:t>
            </w:r>
          </w:p>
          <w:p w14:paraId="14044FDC" w14:textId="77777777" w:rsidR="00DA012F" w:rsidRDefault="00FE45E9" w:rsidP="00DA012F">
            <w:pPr>
              <w:rPr>
                <w:rFonts w:cs="Arial"/>
                <w:iCs/>
                <w:noProof/>
                <w:szCs w:val="20"/>
              </w:rPr>
            </w:pPr>
            <w:hyperlink r:id="rId27" w:history="1">
              <w:r w:rsidR="00DA012F" w:rsidRPr="003B79ED">
                <w:rPr>
                  <w:rStyle w:val="Hiperpovezava"/>
                  <w:rFonts w:cs="Arial"/>
                  <w:iCs/>
                  <w:noProof/>
                  <w:szCs w:val="20"/>
                </w:rPr>
                <w:t>http://www.pisrs.si/Pis.web/pregledPredpisa?id=URED3411</w:t>
              </w:r>
            </w:hyperlink>
          </w:p>
          <w:p w14:paraId="0478769A" w14:textId="77777777" w:rsidR="00DA012F" w:rsidRPr="00641C80" w:rsidRDefault="00DA012F" w:rsidP="00DA012F">
            <w:pPr>
              <w:rPr>
                <w:rFonts w:cs="Arial"/>
                <w:iCs/>
                <w:noProof/>
                <w:szCs w:val="20"/>
              </w:rPr>
            </w:pPr>
          </w:p>
          <w:p w14:paraId="1C6AB6F5" w14:textId="77777777" w:rsidR="00DA012F" w:rsidRDefault="00DA012F" w:rsidP="00DA012F">
            <w:pPr>
              <w:rPr>
                <w:rFonts w:cs="Arial"/>
                <w:iCs/>
                <w:noProof/>
                <w:szCs w:val="20"/>
              </w:rPr>
            </w:pPr>
            <w:r w:rsidRPr="00641C80">
              <w:rPr>
                <w:rFonts w:cs="Arial"/>
                <w:iCs/>
                <w:noProof/>
                <w:szCs w:val="20"/>
              </w:rPr>
              <w:lastRenderedPageBreak/>
              <w:t>Pravilnik o načinu posredovanja podatkov in poročanju o državnih pomočeh s področja kmetijstva in ribištv</w:t>
            </w:r>
            <w:r>
              <w:rPr>
                <w:rFonts w:cs="Arial"/>
                <w:iCs/>
                <w:noProof/>
                <w:szCs w:val="20"/>
              </w:rPr>
              <w:t>a (Uradni list RS, št. 106/04):</w:t>
            </w:r>
          </w:p>
          <w:p w14:paraId="44F993A5" w14:textId="77777777" w:rsidR="00DA012F" w:rsidRDefault="00FE45E9" w:rsidP="00DA012F">
            <w:pPr>
              <w:rPr>
                <w:rFonts w:cs="Arial"/>
                <w:iCs/>
                <w:noProof/>
                <w:szCs w:val="20"/>
              </w:rPr>
            </w:pPr>
            <w:hyperlink r:id="rId28" w:history="1">
              <w:r w:rsidR="00DA012F" w:rsidRPr="003B79ED">
                <w:rPr>
                  <w:rStyle w:val="Hiperpovezava"/>
                  <w:rFonts w:cs="Arial"/>
                  <w:iCs/>
                  <w:noProof/>
                  <w:szCs w:val="20"/>
                </w:rPr>
                <w:t>http://www.pisrs.si/Pis.web/pregledPredpisa?id=PRAV6034</w:t>
              </w:r>
            </w:hyperlink>
          </w:p>
          <w:p w14:paraId="35A1F516" w14:textId="77777777" w:rsidR="00DA012F" w:rsidRPr="00AA410F" w:rsidRDefault="00DA012F" w:rsidP="00DA012F">
            <w:pPr>
              <w:rPr>
                <w:rFonts w:cs="Arial"/>
                <w:iCs/>
                <w:noProof/>
                <w:szCs w:val="20"/>
              </w:rPr>
            </w:pPr>
          </w:p>
        </w:tc>
        <w:tc>
          <w:tcPr>
            <w:tcW w:w="1777" w:type="dxa"/>
            <w:shd w:val="clear" w:color="auto" w:fill="auto"/>
          </w:tcPr>
          <w:p w14:paraId="47DE054C" w14:textId="05F01F18" w:rsidR="00DA012F" w:rsidRPr="002851C7" w:rsidRDefault="00DA012F" w:rsidP="008E6BB7">
            <w:pPr>
              <w:jc w:val="both"/>
              <w:rPr>
                <w:rFonts w:cs="Arial"/>
                <w:iCs/>
                <w:noProof/>
                <w:szCs w:val="20"/>
              </w:rPr>
            </w:pPr>
          </w:p>
          <w:p w14:paraId="0673921A" w14:textId="726AB75F" w:rsidR="002851C7" w:rsidRPr="00AA410F" w:rsidRDefault="002851C7" w:rsidP="008E6BB7">
            <w:pPr>
              <w:jc w:val="both"/>
              <w:rPr>
                <w:rFonts w:cs="Arial"/>
                <w:iCs/>
                <w:noProof/>
                <w:szCs w:val="20"/>
              </w:rPr>
            </w:pPr>
            <w:r w:rsidRPr="008E6BB7">
              <w:rPr>
                <w:rFonts w:cs="Arial"/>
                <w:color w:val="000000"/>
                <w:szCs w:val="20"/>
              </w:rPr>
              <w:t xml:space="preserve">Sheme državnih pomoči v sektorju ribištva in akvakulture oceni in izda zavezujoče mnenje o skladnosti z določbami FIBER Ministrstvo za kmetijstvo, gozdarstvo in prehrano, ki je v skladu s 35. </w:t>
            </w:r>
            <w:r w:rsidRPr="008E6BB7">
              <w:rPr>
                <w:rFonts w:cs="Arial"/>
                <w:color w:val="000000"/>
                <w:szCs w:val="20"/>
              </w:rPr>
              <w:lastRenderedPageBreak/>
              <w:t xml:space="preserve">členom Zakona o morskem ribištvu pristojni organ za spremljanje ukrepov državne pomoči in pomoči de minimis v ribištvu in akvakulturi. Podzakonski predpisi (uredba Vlade in pravilnik) urejajo postopke, način in roke v zvezi s priglasitvijo in poročanjem o ukrepih državne pomoči in pomoči de minimis. V okviru teh postopkov ter pri oblikovanju in izvajanju zakonodaje imajo pripravljavci in izvajalci ukrepov pomoči v sektorju ribištva in akvakulture na voljo dostop do </w:t>
            </w:r>
            <w:r w:rsidRPr="008E6BB7">
              <w:rPr>
                <w:rFonts w:cs="Arial"/>
                <w:color w:val="000000"/>
                <w:szCs w:val="20"/>
              </w:rPr>
              <w:lastRenderedPageBreak/>
              <w:t>informacij, pojasnil in nasvetov glede pravil o državni pomoči, ki jih nudijo zaposleni v notranji organizacijski enoti ministrstva, pristojni za državno pomoč. Agencija RS za kmetijske trge in razvoj podeželja, ki podjetjem dodeljuje sredstva državnih pomoči, s pomočjo podatkov, pridobljenih s strani AJPES, presodi, ali je podjetje v težavah oziroma presoja glede njegove povezljivosti</w:t>
            </w:r>
          </w:p>
        </w:tc>
      </w:tr>
      <w:tr w:rsidR="00DA012F" w:rsidRPr="00F700CD" w14:paraId="21EA26FE" w14:textId="77777777" w:rsidTr="00DA012F">
        <w:tc>
          <w:tcPr>
            <w:tcW w:w="1543" w:type="dxa"/>
            <w:vMerge w:val="restart"/>
            <w:shd w:val="clear" w:color="auto" w:fill="auto"/>
          </w:tcPr>
          <w:p w14:paraId="36102346" w14:textId="77777777" w:rsidR="00DA012F" w:rsidRPr="001807C9" w:rsidRDefault="00DA012F" w:rsidP="00DA012F">
            <w:pPr>
              <w:jc w:val="both"/>
              <w:rPr>
                <w:rFonts w:cs="Arial"/>
                <w:b/>
                <w:iCs/>
                <w:noProof/>
                <w:szCs w:val="20"/>
              </w:rPr>
            </w:pPr>
            <w:r w:rsidRPr="001807C9">
              <w:rPr>
                <w:rFonts w:cs="Arial"/>
                <w:b/>
                <w:iCs/>
                <w:noProof/>
                <w:szCs w:val="20"/>
              </w:rPr>
              <w:lastRenderedPageBreak/>
              <w:t xml:space="preserve">Dejanska uporaba in izvajanje </w:t>
            </w:r>
            <w:r w:rsidRPr="001807C9">
              <w:rPr>
                <w:rFonts w:cs="Arial"/>
                <w:b/>
                <w:iCs/>
                <w:noProof/>
                <w:szCs w:val="20"/>
              </w:rPr>
              <w:lastRenderedPageBreak/>
              <w:t>Listine EU o temeljnih pravicah</w:t>
            </w:r>
          </w:p>
        </w:tc>
        <w:tc>
          <w:tcPr>
            <w:tcW w:w="1117" w:type="dxa"/>
            <w:vMerge w:val="restart"/>
            <w:shd w:val="clear" w:color="auto" w:fill="auto"/>
          </w:tcPr>
          <w:p w14:paraId="2425FA0A" w14:textId="77777777" w:rsidR="00DA012F" w:rsidRPr="00A40660" w:rsidRDefault="00DA012F" w:rsidP="00DA012F">
            <w:pPr>
              <w:rPr>
                <w:rFonts w:cs="Arial"/>
                <w:iCs/>
                <w:noProof/>
                <w:szCs w:val="20"/>
              </w:rPr>
            </w:pPr>
            <w:r>
              <w:rPr>
                <w:rFonts w:cs="Arial"/>
                <w:iCs/>
                <w:noProof/>
                <w:szCs w:val="20"/>
              </w:rPr>
              <w:lastRenderedPageBreak/>
              <w:t>ESPRA</w:t>
            </w:r>
          </w:p>
        </w:tc>
        <w:tc>
          <w:tcPr>
            <w:tcW w:w="1573" w:type="dxa"/>
            <w:vMerge w:val="restart"/>
            <w:shd w:val="clear" w:color="auto" w:fill="auto"/>
          </w:tcPr>
          <w:p w14:paraId="5FF621A8" w14:textId="77777777" w:rsidR="00DA012F" w:rsidRPr="00A40660" w:rsidRDefault="00DA012F" w:rsidP="00DA012F">
            <w:pPr>
              <w:rPr>
                <w:rFonts w:cs="Arial"/>
                <w:iCs/>
                <w:noProof/>
                <w:szCs w:val="20"/>
              </w:rPr>
            </w:pPr>
            <w:r>
              <w:rPr>
                <w:rFonts w:cs="Arial"/>
                <w:iCs/>
                <w:noProof/>
                <w:szCs w:val="20"/>
              </w:rPr>
              <w:t>DA</w:t>
            </w:r>
          </w:p>
        </w:tc>
        <w:tc>
          <w:tcPr>
            <w:tcW w:w="1610" w:type="dxa"/>
            <w:shd w:val="clear" w:color="auto" w:fill="auto"/>
          </w:tcPr>
          <w:p w14:paraId="00760393" w14:textId="77777777" w:rsidR="00DA012F" w:rsidRPr="00AA410F" w:rsidRDefault="00DA012F" w:rsidP="00DA012F">
            <w:pPr>
              <w:jc w:val="both"/>
              <w:rPr>
                <w:rFonts w:cs="Arial"/>
                <w:iCs/>
                <w:noProof/>
                <w:szCs w:val="20"/>
              </w:rPr>
            </w:pPr>
            <w:r w:rsidRPr="00AA410F">
              <w:rPr>
                <w:rFonts w:cs="Arial"/>
                <w:iCs/>
                <w:noProof/>
                <w:szCs w:val="20"/>
              </w:rPr>
              <w:t xml:space="preserve">Ureditve, ki zagotavljajo preverjanje </w:t>
            </w:r>
            <w:r w:rsidRPr="00AA410F">
              <w:rPr>
                <w:rFonts w:cs="Arial"/>
                <w:iCs/>
                <w:noProof/>
                <w:szCs w:val="20"/>
              </w:rPr>
              <w:lastRenderedPageBreak/>
              <w:t>skladnosti operacij, ki prejemajo podporo skladov, z Listino o temeljnih pravicah.</w:t>
            </w:r>
          </w:p>
        </w:tc>
        <w:tc>
          <w:tcPr>
            <w:tcW w:w="1135" w:type="dxa"/>
            <w:shd w:val="clear" w:color="auto" w:fill="auto"/>
          </w:tcPr>
          <w:p w14:paraId="4A73D433" w14:textId="77777777" w:rsidR="00DA012F" w:rsidRPr="001F2F27" w:rsidRDefault="00DA012F" w:rsidP="00DA012F">
            <w:pPr>
              <w:rPr>
                <w:rFonts w:cs="Arial"/>
                <w:iCs/>
                <w:noProof/>
                <w:szCs w:val="20"/>
              </w:rPr>
            </w:pPr>
            <w:r>
              <w:rPr>
                <w:rFonts w:cs="Arial"/>
                <w:iCs/>
                <w:noProof/>
                <w:szCs w:val="20"/>
              </w:rPr>
              <w:lastRenderedPageBreak/>
              <w:t>DA</w:t>
            </w:r>
          </w:p>
        </w:tc>
        <w:tc>
          <w:tcPr>
            <w:tcW w:w="5466" w:type="dxa"/>
            <w:shd w:val="clear" w:color="auto" w:fill="auto"/>
          </w:tcPr>
          <w:p w14:paraId="58A09267" w14:textId="77777777" w:rsidR="00DA012F" w:rsidRDefault="00FE45E9" w:rsidP="00DA012F">
            <w:pPr>
              <w:rPr>
                <w:rFonts w:cs="Arial"/>
                <w:iCs/>
                <w:noProof/>
                <w:szCs w:val="20"/>
              </w:rPr>
            </w:pPr>
            <w:hyperlink r:id="rId29" w:history="1">
              <w:r w:rsidR="00DA012F" w:rsidRPr="00C83433">
                <w:rPr>
                  <w:rStyle w:val="Hiperpovezava"/>
                  <w:rFonts w:cs="Arial"/>
                  <w:iCs/>
                  <w:noProof/>
                  <w:szCs w:val="20"/>
                </w:rPr>
                <w:t>Zakon o splošnem upravnem postopku (Uradni list RS, št. 24/06 – uradno prečiščeno besedilo, 105/06 – ZUS-1, 126/07, 65/08, 8/10 in 82/13)</w:t>
              </w:r>
            </w:hyperlink>
          </w:p>
          <w:p w14:paraId="231D519C" w14:textId="77777777" w:rsidR="00DA012F" w:rsidRDefault="00DA012F" w:rsidP="00DA012F">
            <w:pPr>
              <w:rPr>
                <w:rFonts w:cs="Arial"/>
                <w:iCs/>
                <w:noProof/>
                <w:szCs w:val="20"/>
              </w:rPr>
            </w:pPr>
          </w:p>
          <w:p w14:paraId="36D09F7F" w14:textId="77777777" w:rsidR="00DA012F" w:rsidRDefault="00FE45E9" w:rsidP="00DA012F">
            <w:pPr>
              <w:rPr>
                <w:rFonts w:cs="Arial"/>
                <w:iCs/>
                <w:noProof/>
                <w:szCs w:val="20"/>
              </w:rPr>
            </w:pPr>
            <w:hyperlink r:id="rId30" w:history="1">
              <w:r w:rsidR="00DA012F" w:rsidRPr="00D40A8C">
                <w:rPr>
                  <w:rStyle w:val="Hiperpovezava"/>
                  <w:rFonts w:cs="Arial"/>
                  <w:iCs/>
                  <w:noProof/>
                  <w:szCs w:val="20"/>
                </w:rPr>
                <w:t>Zakon o javnem naročanju (Uradni list RS, št. 91/15 in 14/18)</w:t>
              </w:r>
            </w:hyperlink>
          </w:p>
          <w:p w14:paraId="7C838C19" w14:textId="77777777" w:rsidR="00DA012F" w:rsidRDefault="00DA012F" w:rsidP="00DA012F">
            <w:pPr>
              <w:rPr>
                <w:rFonts w:cs="Arial"/>
                <w:iCs/>
                <w:noProof/>
                <w:szCs w:val="20"/>
              </w:rPr>
            </w:pPr>
          </w:p>
          <w:p w14:paraId="5DA2876D" w14:textId="77777777" w:rsidR="00DA012F" w:rsidRPr="00AA410F" w:rsidRDefault="00FE45E9" w:rsidP="00DA012F">
            <w:pPr>
              <w:rPr>
                <w:rFonts w:cs="Arial"/>
                <w:iCs/>
                <w:noProof/>
                <w:szCs w:val="20"/>
              </w:rPr>
            </w:pPr>
            <w:hyperlink r:id="rId31" w:history="1">
              <w:r w:rsidR="00DA012F" w:rsidRPr="00612450">
                <w:rPr>
                  <w:rStyle w:val="Hiperpovezava"/>
                  <w:rFonts w:cs="Arial"/>
                  <w:iCs/>
                  <w:noProof/>
                  <w:szCs w:val="20"/>
                </w:rPr>
                <w:t>Zakon o varstvu osebnih podatkov (Uradni list RS, št. 94/07 – uradno prečiščeno besedilo)</w:t>
              </w:r>
            </w:hyperlink>
          </w:p>
        </w:tc>
        <w:tc>
          <w:tcPr>
            <w:tcW w:w="1777" w:type="dxa"/>
            <w:shd w:val="clear" w:color="auto" w:fill="auto"/>
          </w:tcPr>
          <w:p w14:paraId="3F32539D" w14:textId="39C4C7F3" w:rsidR="00DA012F" w:rsidRPr="002851C7" w:rsidRDefault="00DA012F" w:rsidP="00DA012F">
            <w:pPr>
              <w:jc w:val="both"/>
              <w:rPr>
                <w:rFonts w:cs="Arial"/>
                <w:szCs w:val="20"/>
              </w:rPr>
            </w:pPr>
            <w:r w:rsidRPr="002851C7">
              <w:rPr>
                <w:rFonts w:cs="Arial"/>
                <w:szCs w:val="20"/>
              </w:rPr>
              <w:lastRenderedPageBreak/>
              <w:t xml:space="preserve">Skladnost operacij se bo zagotavljala pri </w:t>
            </w:r>
            <w:r w:rsidRPr="002851C7">
              <w:rPr>
                <w:rFonts w:cs="Arial"/>
                <w:szCs w:val="20"/>
              </w:rPr>
              <w:lastRenderedPageBreak/>
              <w:t xml:space="preserve">pripravi pogojev in meril nacionalne pravne podlage za izvajanje ukrepov, in bodo preverjani v okviru pregleda vlog: </w:t>
            </w:r>
          </w:p>
          <w:p w14:paraId="08BE80E9" w14:textId="58148CB3" w:rsidR="00DA012F" w:rsidRPr="002851C7" w:rsidRDefault="00DA012F" w:rsidP="00DA012F">
            <w:pPr>
              <w:jc w:val="both"/>
              <w:rPr>
                <w:rFonts w:cs="Arial"/>
                <w:szCs w:val="20"/>
              </w:rPr>
            </w:pPr>
            <w:r w:rsidRPr="002851C7">
              <w:rPr>
                <w:rFonts w:cs="Arial"/>
                <w:szCs w:val="20"/>
              </w:rPr>
              <w:t xml:space="preserve">pravica do uporabe pravnih sredstev in dostopa do dokumentov je urejena v okviru Zakona o splošnem upravnem postopku in Zakona o javnih naročilih; </w:t>
            </w:r>
          </w:p>
          <w:p w14:paraId="0F641A14" w14:textId="67E5842E" w:rsidR="00DA012F" w:rsidRPr="002851C7" w:rsidRDefault="00DA012F" w:rsidP="00DA012F">
            <w:pPr>
              <w:jc w:val="both"/>
              <w:rPr>
                <w:rFonts w:cs="Arial"/>
                <w:szCs w:val="20"/>
              </w:rPr>
            </w:pPr>
            <w:r w:rsidRPr="002851C7">
              <w:rPr>
                <w:rFonts w:cs="Arial"/>
                <w:szCs w:val="20"/>
              </w:rPr>
              <w:t>varstvo osebnih podatkov je zagotovljeno z Zakonom o varstvu osebnih podatkov;</w:t>
            </w:r>
          </w:p>
          <w:p w14:paraId="0E4923EC" w14:textId="3862895D" w:rsidR="00DA012F" w:rsidRPr="002851C7" w:rsidRDefault="00DA012F" w:rsidP="00DA012F">
            <w:pPr>
              <w:jc w:val="both"/>
              <w:rPr>
                <w:rFonts w:cs="Arial"/>
                <w:szCs w:val="20"/>
              </w:rPr>
            </w:pPr>
          </w:p>
          <w:p w14:paraId="26F3C01F" w14:textId="7C723864" w:rsidR="00DA012F" w:rsidRPr="002851C7" w:rsidRDefault="00DA012F" w:rsidP="00DA012F">
            <w:pPr>
              <w:jc w:val="both"/>
              <w:rPr>
                <w:rFonts w:cs="Arial"/>
                <w:szCs w:val="20"/>
              </w:rPr>
            </w:pPr>
            <w:r w:rsidRPr="002851C7">
              <w:rPr>
                <w:rFonts w:cs="Arial"/>
                <w:szCs w:val="20"/>
              </w:rPr>
              <w:t xml:space="preserve">zagotovljen bo dostop do vseh ukrepov ne glede </w:t>
            </w:r>
            <w:r w:rsidRPr="002851C7">
              <w:rPr>
                <w:rFonts w:cs="Arial"/>
                <w:szCs w:val="20"/>
              </w:rPr>
              <w:lastRenderedPageBreak/>
              <w:t xml:space="preserve">na spol, etnično pripadnost, vero ali kakršno koli drugo osebno prepričanje ali okoliščino; </w:t>
            </w:r>
          </w:p>
          <w:p w14:paraId="701E1F41" w14:textId="44EA45FF" w:rsidR="00DA012F" w:rsidRPr="002851C7" w:rsidRDefault="00DA012F" w:rsidP="00DA012F">
            <w:pPr>
              <w:jc w:val="both"/>
              <w:rPr>
                <w:rFonts w:cs="Arial"/>
                <w:szCs w:val="20"/>
              </w:rPr>
            </w:pPr>
          </w:p>
          <w:p w14:paraId="4EA1F115" w14:textId="3E0F2459" w:rsidR="00DA012F" w:rsidRPr="002851C7" w:rsidRDefault="00DA012F" w:rsidP="00DA012F">
            <w:pPr>
              <w:jc w:val="both"/>
              <w:rPr>
                <w:rFonts w:cs="Arial"/>
                <w:szCs w:val="20"/>
              </w:rPr>
            </w:pPr>
            <w:r w:rsidRPr="002851C7">
              <w:rPr>
                <w:rFonts w:cs="Arial"/>
                <w:szCs w:val="20"/>
              </w:rPr>
              <w:t>pošteni delovni pogoji bodo preverjani v okviru preverjanja vlagateljev glede plačila obveznosti do države, vključujoče socialne prispevke;</w:t>
            </w:r>
          </w:p>
          <w:p w14:paraId="35AA7ED5" w14:textId="65F23A6E" w:rsidR="00DA012F" w:rsidRPr="002851C7" w:rsidRDefault="00DA012F" w:rsidP="00DA012F">
            <w:pPr>
              <w:jc w:val="both"/>
              <w:rPr>
                <w:rFonts w:cs="Arial"/>
                <w:szCs w:val="20"/>
              </w:rPr>
            </w:pPr>
          </w:p>
          <w:p w14:paraId="68D080CD" w14:textId="2A4DC11E" w:rsidR="00DA012F" w:rsidRPr="002851C7" w:rsidRDefault="00DA012F" w:rsidP="00DA012F">
            <w:pPr>
              <w:jc w:val="both"/>
              <w:rPr>
                <w:rFonts w:cs="Arial"/>
                <w:szCs w:val="20"/>
              </w:rPr>
            </w:pPr>
            <w:r w:rsidRPr="002851C7">
              <w:rPr>
                <w:rFonts w:cs="Arial"/>
                <w:szCs w:val="20"/>
              </w:rPr>
              <w:t xml:space="preserve">spodbujanje varovanja okolja se bo zagotovilo z ustreznimi merili za izbor vlog na razpisih, in sicer z boljšo oceno tistih operacij, ki bodo imeli manjši vpliv na okolje, da bi tako dosegli </w:t>
            </w:r>
            <w:r w:rsidRPr="002851C7">
              <w:rPr>
                <w:rFonts w:cs="Arial"/>
                <w:szCs w:val="20"/>
              </w:rPr>
              <w:lastRenderedPageBreak/>
              <w:t>dodaten učinek trajnostnega razvoja.</w:t>
            </w:r>
          </w:p>
        </w:tc>
      </w:tr>
      <w:tr w:rsidR="00DA012F" w:rsidRPr="00F700CD" w14:paraId="24F7A2D8" w14:textId="77777777" w:rsidTr="00DA012F">
        <w:tc>
          <w:tcPr>
            <w:tcW w:w="1543" w:type="dxa"/>
            <w:vMerge/>
            <w:shd w:val="clear" w:color="auto" w:fill="auto"/>
          </w:tcPr>
          <w:p w14:paraId="2EE6B50B" w14:textId="77777777" w:rsidR="00DA012F" w:rsidRPr="001F2F27" w:rsidRDefault="00DA012F" w:rsidP="00DA012F">
            <w:pPr>
              <w:rPr>
                <w:rFonts w:cs="Arial"/>
                <w:iCs/>
                <w:noProof/>
                <w:szCs w:val="20"/>
              </w:rPr>
            </w:pPr>
          </w:p>
        </w:tc>
        <w:tc>
          <w:tcPr>
            <w:tcW w:w="1117" w:type="dxa"/>
            <w:vMerge/>
            <w:shd w:val="clear" w:color="auto" w:fill="auto"/>
          </w:tcPr>
          <w:p w14:paraId="63BC2782" w14:textId="77777777" w:rsidR="00DA012F" w:rsidRPr="001F2F27" w:rsidRDefault="00DA012F" w:rsidP="00DA012F">
            <w:pPr>
              <w:rPr>
                <w:rFonts w:cs="Arial"/>
                <w:iCs/>
                <w:noProof/>
                <w:szCs w:val="20"/>
              </w:rPr>
            </w:pPr>
          </w:p>
        </w:tc>
        <w:tc>
          <w:tcPr>
            <w:tcW w:w="1573" w:type="dxa"/>
            <w:vMerge/>
            <w:shd w:val="clear" w:color="auto" w:fill="auto"/>
          </w:tcPr>
          <w:p w14:paraId="44448F20" w14:textId="77777777" w:rsidR="00DA012F" w:rsidRPr="001F2F27" w:rsidRDefault="00DA012F" w:rsidP="00DA012F">
            <w:pPr>
              <w:rPr>
                <w:rFonts w:cs="Arial"/>
                <w:iCs/>
                <w:noProof/>
                <w:szCs w:val="20"/>
              </w:rPr>
            </w:pPr>
          </w:p>
        </w:tc>
        <w:tc>
          <w:tcPr>
            <w:tcW w:w="1610" w:type="dxa"/>
            <w:shd w:val="clear" w:color="auto" w:fill="auto"/>
          </w:tcPr>
          <w:p w14:paraId="1533A3DB" w14:textId="77777777" w:rsidR="00DA012F" w:rsidRPr="00AA410F" w:rsidRDefault="00DA012F" w:rsidP="00DA012F">
            <w:pPr>
              <w:jc w:val="both"/>
              <w:rPr>
                <w:rFonts w:cs="Arial"/>
                <w:iCs/>
                <w:noProof/>
                <w:szCs w:val="20"/>
              </w:rPr>
            </w:pPr>
            <w:r w:rsidRPr="00AA410F">
              <w:rPr>
                <w:rFonts w:cs="Arial"/>
                <w:iCs/>
                <w:noProof/>
                <w:szCs w:val="20"/>
              </w:rPr>
              <w:t>Ureditve poročanja odboru za spremljanje glede skladnosti operacij, ki jih podpirajo skladi, z Listino.</w:t>
            </w:r>
          </w:p>
        </w:tc>
        <w:tc>
          <w:tcPr>
            <w:tcW w:w="1135" w:type="dxa"/>
            <w:shd w:val="clear" w:color="auto" w:fill="auto"/>
          </w:tcPr>
          <w:p w14:paraId="7921CB3E" w14:textId="77777777" w:rsidR="00DA012F" w:rsidRPr="001F2F27" w:rsidRDefault="00DA012F" w:rsidP="00DA012F">
            <w:pPr>
              <w:rPr>
                <w:rFonts w:cs="Arial"/>
                <w:iCs/>
                <w:noProof/>
                <w:szCs w:val="20"/>
              </w:rPr>
            </w:pPr>
            <w:r>
              <w:rPr>
                <w:rFonts w:cs="Arial"/>
                <w:iCs/>
                <w:noProof/>
                <w:szCs w:val="20"/>
              </w:rPr>
              <w:t>DA</w:t>
            </w:r>
          </w:p>
        </w:tc>
        <w:tc>
          <w:tcPr>
            <w:tcW w:w="5466" w:type="dxa"/>
            <w:shd w:val="clear" w:color="auto" w:fill="auto"/>
          </w:tcPr>
          <w:p w14:paraId="207EFCB1" w14:textId="77777777" w:rsidR="00DA012F" w:rsidRPr="00AA410F" w:rsidRDefault="00DA012F" w:rsidP="00DA012F">
            <w:pPr>
              <w:rPr>
                <w:rFonts w:cs="Arial"/>
                <w:iCs/>
                <w:noProof/>
                <w:szCs w:val="20"/>
              </w:rPr>
            </w:pPr>
          </w:p>
        </w:tc>
        <w:tc>
          <w:tcPr>
            <w:tcW w:w="1777" w:type="dxa"/>
            <w:shd w:val="clear" w:color="auto" w:fill="auto"/>
          </w:tcPr>
          <w:p w14:paraId="42B0CCD2" w14:textId="77777777" w:rsidR="00DA012F" w:rsidRDefault="00DA012F" w:rsidP="00DA012F">
            <w:pPr>
              <w:jc w:val="both"/>
              <w:rPr>
                <w:rFonts w:cs="Arial"/>
                <w:iCs/>
                <w:noProof/>
                <w:szCs w:val="20"/>
              </w:rPr>
            </w:pPr>
            <w:r>
              <w:rPr>
                <w:rFonts w:cs="Arial"/>
                <w:iCs/>
                <w:noProof/>
                <w:szCs w:val="20"/>
              </w:rPr>
              <w:t xml:space="preserve">V Poslovnik o delovanju Odbora za spremljanje OP ESPRA 2021-2027 bo  vnesena obvezna točka poročanja na sejah glede  skladnosti operacij z Listino o temeljnih pravicah. </w:t>
            </w:r>
          </w:p>
          <w:p w14:paraId="13AE68D0" w14:textId="77777777" w:rsidR="00DA012F" w:rsidRPr="009C0A0F" w:rsidRDefault="00DA012F" w:rsidP="00DA012F">
            <w:pPr>
              <w:jc w:val="both"/>
            </w:pPr>
            <w:r w:rsidRPr="00CC605D">
              <w:t>Pri spremljanju kazalnikov se bodo podatki in kazalniki, kadar je to mogoče, spremljali tudi glede na različne osebne okoliščine</w:t>
            </w:r>
            <w:r>
              <w:t>.</w:t>
            </w:r>
          </w:p>
        </w:tc>
      </w:tr>
      <w:tr w:rsidR="00DA012F" w:rsidRPr="00F700CD" w14:paraId="1A2F4D3E" w14:textId="77777777" w:rsidTr="00DA012F">
        <w:tc>
          <w:tcPr>
            <w:tcW w:w="1543" w:type="dxa"/>
            <w:vMerge w:val="restart"/>
            <w:shd w:val="clear" w:color="auto" w:fill="auto"/>
          </w:tcPr>
          <w:p w14:paraId="4B2F038C" w14:textId="77777777" w:rsidR="00DA012F" w:rsidRPr="001807C9" w:rsidRDefault="00DA012F" w:rsidP="00DA012F">
            <w:pPr>
              <w:jc w:val="both"/>
              <w:rPr>
                <w:rFonts w:cs="Arial"/>
                <w:b/>
                <w:iCs/>
                <w:noProof/>
                <w:szCs w:val="20"/>
              </w:rPr>
            </w:pPr>
            <w:r w:rsidRPr="001807C9">
              <w:rPr>
                <w:rFonts w:cs="Arial"/>
                <w:b/>
                <w:iCs/>
                <w:noProof/>
                <w:szCs w:val="20"/>
              </w:rPr>
              <w:t xml:space="preserve">Izvajanje in uporaba Konvencije Združenih narodov o pravicah </w:t>
            </w:r>
            <w:r w:rsidRPr="001807C9">
              <w:rPr>
                <w:rFonts w:cs="Arial"/>
                <w:b/>
                <w:iCs/>
                <w:noProof/>
                <w:szCs w:val="20"/>
              </w:rPr>
              <w:lastRenderedPageBreak/>
              <w:t>invalidov v sk</w:t>
            </w:r>
            <w:r>
              <w:rPr>
                <w:rFonts w:cs="Arial"/>
                <w:b/>
                <w:iCs/>
                <w:noProof/>
                <w:szCs w:val="20"/>
              </w:rPr>
              <w:t>ladu s Sklepom Sveta 2010/48/ES</w:t>
            </w:r>
          </w:p>
        </w:tc>
        <w:tc>
          <w:tcPr>
            <w:tcW w:w="1117" w:type="dxa"/>
            <w:vMerge w:val="restart"/>
            <w:shd w:val="clear" w:color="auto" w:fill="auto"/>
          </w:tcPr>
          <w:p w14:paraId="65A7EBD9" w14:textId="77777777" w:rsidR="00DA012F" w:rsidRPr="00A40660" w:rsidRDefault="00DA012F" w:rsidP="00DA012F">
            <w:pPr>
              <w:rPr>
                <w:rFonts w:cs="Arial"/>
                <w:iCs/>
                <w:noProof/>
                <w:szCs w:val="20"/>
              </w:rPr>
            </w:pPr>
            <w:r>
              <w:rPr>
                <w:rFonts w:cs="Arial"/>
                <w:iCs/>
                <w:noProof/>
                <w:szCs w:val="20"/>
              </w:rPr>
              <w:lastRenderedPageBreak/>
              <w:t>ESPRA</w:t>
            </w:r>
          </w:p>
        </w:tc>
        <w:tc>
          <w:tcPr>
            <w:tcW w:w="1573" w:type="dxa"/>
            <w:vMerge w:val="restart"/>
            <w:shd w:val="clear" w:color="auto" w:fill="auto"/>
          </w:tcPr>
          <w:p w14:paraId="760FC370" w14:textId="77777777" w:rsidR="00DA012F" w:rsidRPr="00A40660" w:rsidRDefault="00DA012F" w:rsidP="00DA012F">
            <w:pPr>
              <w:rPr>
                <w:rFonts w:cs="Arial"/>
                <w:iCs/>
                <w:noProof/>
                <w:szCs w:val="20"/>
              </w:rPr>
            </w:pPr>
            <w:r>
              <w:rPr>
                <w:rFonts w:cs="Arial"/>
                <w:iCs/>
                <w:noProof/>
                <w:szCs w:val="20"/>
              </w:rPr>
              <w:t>DA</w:t>
            </w:r>
          </w:p>
        </w:tc>
        <w:tc>
          <w:tcPr>
            <w:tcW w:w="1610" w:type="dxa"/>
            <w:shd w:val="clear" w:color="auto" w:fill="auto"/>
          </w:tcPr>
          <w:p w14:paraId="55C99732" w14:textId="77777777" w:rsidR="00DA012F" w:rsidRPr="00AA410F" w:rsidRDefault="00DA012F" w:rsidP="00DA012F">
            <w:pPr>
              <w:jc w:val="both"/>
              <w:rPr>
                <w:rFonts w:cs="Arial"/>
                <w:iCs/>
                <w:noProof/>
                <w:szCs w:val="20"/>
              </w:rPr>
            </w:pPr>
            <w:r>
              <w:rPr>
                <w:rFonts w:cs="Arial"/>
                <w:iCs/>
                <w:noProof/>
                <w:szCs w:val="20"/>
              </w:rPr>
              <w:t>Cilji</w:t>
            </w:r>
            <w:r w:rsidRPr="00AA410F">
              <w:rPr>
                <w:rFonts w:cs="Arial"/>
                <w:iCs/>
                <w:noProof/>
                <w:szCs w:val="20"/>
              </w:rPr>
              <w:t xml:space="preserve"> z merljivimi vrednostmi, zbiranje podatkov in mehanizem spremljanja.</w:t>
            </w:r>
          </w:p>
        </w:tc>
        <w:tc>
          <w:tcPr>
            <w:tcW w:w="1135" w:type="dxa"/>
            <w:shd w:val="clear" w:color="auto" w:fill="auto"/>
          </w:tcPr>
          <w:p w14:paraId="31BA4E94" w14:textId="77777777" w:rsidR="00DA012F" w:rsidRPr="00AA410F" w:rsidRDefault="00DA012F" w:rsidP="00DA012F">
            <w:pPr>
              <w:rPr>
                <w:rFonts w:cs="Arial"/>
                <w:iCs/>
                <w:noProof/>
                <w:szCs w:val="20"/>
              </w:rPr>
            </w:pPr>
            <w:r>
              <w:rPr>
                <w:rFonts w:cs="Arial"/>
                <w:iCs/>
                <w:noProof/>
                <w:szCs w:val="20"/>
              </w:rPr>
              <w:t>DA</w:t>
            </w:r>
          </w:p>
        </w:tc>
        <w:tc>
          <w:tcPr>
            <w:tcW w:w="5466" w:type="dxa"/>
            <w:shd w:val="clear" w:color="auto" w:fill="auto"/>
          </w:tcPr>
          <w:p w14:paraId="53654F71" w14:textId="77777777" w:rsidR="00DA012F" w:rsidRPr="00AA410F" w:rsidRDefault="00DA012F" w:rsidP="00DA012F">
            <w:pPr>
              <w:jc w:val="both"/>
              <w:rPr>
                <w:rFonts w:cs="Arial"/>
                <w:iCs/>
                <w:noProof/>
                <w:szCs w:val="20"/>
              </w:rPr>
            </w:pPr>
          </w:p>
        </w:tc>
        <w:tc>
          <w:tcPr>
            <w:tcW w:w="1777" w:type="dxa"/>
            <w:shd w:val="clear" w:color="auto" w:fill="auto"/>
          </w:tcPr>
          <w:p w14:paraId="70A58D6C" w14:textId="77777777" w:rsidR="00DA012F" w:rsidRPr="00AA410F" w:rsidRDefault="00DA012F" w:rsidP="00DA012F">
            <w:pPr>
              <w:jc w:val="both"/>
              <w:rPr>
                <w:rFonts w:cs="Arial"/>
                <w:iCs/>
                <w:noProof/>
                <w:szCs w:val="20"/>
              </w:rPr>
            </w:pPr>
            <w:r>
              <w:rPr>
                <w:rFonts w:cs="Arial"/>
                <w:color w:val="000000"/>
                <w:sz w:val="18"/>
                <w:szCs w:val="18"/>
                <w:shd w:val="clear" w:color="auto" w:fill="FFFFFF"/>
              </w:rPr>
              <w:t xml:space="preserve">Glede na specifičnost ribiškega sektorja in sektorja akvakulture  se posebni cilji z </w:t>
            </w:r>
            <w:r>
              <w:rPr>
                <w:rFonts w:cs="Arial"/>
                <w:color w:val="000000"/>
                <w:sz w:val="18"/>
                <w:szCs w:val="18"/>
                <w:shd w:val="clear" w:color="auto" w:fill="FFFFFF"/>
              </w:rPr>
              <w:lastRenderedPageBreak/>
              <w:t>vrednosti ne bodo določali. Vsekakor pa se bo v letna poročila</w:t>
            </w:r>
            <w:r w:rsidRPr="001562C7">
              <w:rPr>
                <w:rFonts w:cs="Arial"/>
                <w:color w:val="000000"/>
                <w:sz w:val="18"/>
                <w:szCs w:val="18"/>
                <w:shd w:val="clear" w:color="auto" w:fill="FFFFFF"/>
              </w:rPr>
              <w:t xml:space="preserve"> o izvedenih </w:t>
            </w:r>
            <w:r>
              <w:rPr>
                <w:rFonts w:cs="Arial"/>
                <w:color w:val="000000"/>
                <w:sz w:val="18"/>
                <w:szCs w:val="18"/>
                <w:shd w:val="clear" w:color="auto" w:fill="FFFFFF"/>
              </w:rPr>
              <w:t>ukrepih smiselno</w:t>
            </w:r>
            <w:r w:rsidRPr="001562C7">
              <w:rPr>
                <w:rFonts w:cs="Arial"/>
                <w:color w:val="000000"/>
                <w:sz w:val="18"/>
                <w:szCs w:val="18"/>
                <w:shd w:val="clear" w:color="auto" w:fill="FFFFFF"/>
              </w:rPr>
              <w:t xml:space="preserve"> </w:t>
            </w:r>
            <w:r>
              <w:rPr>
                <w:rFonts w:cs="Arial"/>
                <w:color w:val="000000"/>
                <w:sz w:val="18"/>
                <w:szCs w:val="18"/>
                <w:shd w:val="clear" w:color="auto" w:fill="FFFFFF"/>
              </w:rPr>
              <w:t>vključili tudi  ti podatki , ki se bodo zbirali v okviru mehanizma poročanja o operacijah.</w:t>
            </w:r>
          </w:p>
        </w:tc>
      </w:tr>
      <w:tr w:rsidR="00DA012F" w:rsidRPr="00F700CD" w14:paraId="4C528C9B" w14:textId="77777777" w:rsidTr="00DA012F">
        <w:tc>
          <w:tcPr>
            <w:tcW w:w="1543" w:type="dxa"/>
            <w:vMerge/>
            <w:shd w:val="clear" w:color="auto" w:fill="auto"/>
          </w:tcPr>
          <w:p w14:paraId="23B2F14F" w14:textId="77777777" w:rsidR="00DA012F" w:rsidRPr="00AA410F" w:rsidRDefault="00DA012F" w:rsidP="00DA012F">
            <w:pPr>
              <w:rPr>
                <w:rFonts w:cs="Arial"/>
                <w:iCs/>
                <w:noProof/>
                <w:szCs w:val="20"/>
              </w:rPr>
            </w:pPr>
          </w:p>
        </w:tc>
        <w:tc>
          <w:tcPr>
            <w:tcW w:w="1117" w:type="dxa"/>
            <w:vMerge/>
            <w:shd w:val="clear" w:color="auto" w:fill="auto"/>
          </w:tcPr>
          <w:p w14:paraId="22E01681" w14:textId="77777777" w:rsidR="00DA012F" w:rsidRPr="002867AD" w:rsidRDefault="00DA012F" w:rsidP="00DA012F">
            <w:pPr>
              <w:rPr>
                <w:rFonts w:cs="Arial"/>
                <w:iCs/>
                <w:noProof/>
                <w:szCs w:val="20"/>
              </w:rPr>
            </w:pPr>
          </w:p>
        </w:tc>
        <w:tc>
          <w:tcPr>
            <w:tcW w:w="1573" w:type="dxa"/>
            <w:vMerge/>
            <w:shd w:val="clear" w:color="auto" w:fill="auto"/>
          </w:tcPr>
          <w:p w14:paraId="09CC0C30" w14:textId="77777777" w:rsidR="00DA012F" w:rsidRPr="002867AD" w:rsidRDefault="00DA012F" w:rsidP="00DA012F">
            <w:pPr>
              <w:rPr>
                <w:rFonts w:cs="Arial"/>
                <w:iCs/>
                <w:noProof/>
                <w:szCs w:val="20"/>
              </w:rPr>
            </w:pPr>
          </w:p>
        </w:tc>
        <w:tc>
          <w:tcPr>
            <w:tcW w:w="1610" w:type="dxa"/>
            <w:shd w:val="clear" w:color="auto" w:fill="auto"/>
          </w:tcPr>
          <w:p w14:paraId="73FC3F30" w14:textId="77777777" w:rsidR="00DA012F" w:rsidRDefault="00DA012F" w:rsidP="00DA012F">
            <w:pPr>
              <w:jc w:val="both"/>
              <w:rPr>
                <w:rFonts w:cs="Arial"/>
                <w:iCs/>
                <w:noProof/>
                <w:szCs w:val="20"/>
              </w:rPr>
            </w:pPr>
            <w:r w:rsidRPr="00AA410F">
              <w:rPr>
                <w:rFonts w:cs="Arial"/>
                <w:iCs/>
                <w:noProof/>
                <w:szCs w:val="20"/>
              </w:rPr>
              <w:t>Ureditev za zagotovitev, da se politika, zakonodaja in standardi dostopnosti ustrezno upoštevajo pri pripravi in izvajanju programov.</w:t>
            </w:r>
          </w:p>
        </w:tc>
        <w:tc>
          <w:tcPr>
            <w:tcW w:w="1135" w:type="dxa"/>
            <w:shd w:val="clear" w:color="auto" w:fill="auto"/>
          </w:tcPr>
          <w:p w14:paraId="2F1105A8" w14:textId="77777777" w:rsidR="00DA012F" w:rsidRPr="00AA410F" w:rsidRDefault="00DA012F" w:rsidP="00DA012F">
            <w:pPr>
              <w:rPr>
                <w:rFonts w:cs="Arial"/>
                <w:iCs/>
                <w:noProof/>
                <w:szCs w:val="20"/>
              </w:rPr>
            </w:pPr>
            <w:r>
              <w:rPr>
                <w:rFonts w:cs="Arial"/>
                <w:iCs/>
                <w:noProof/>
                <w:szCs w:val="20"/>
              </w:rPr>
              <w:t>DA</w:t>
            </w:r>
          </w:p>
        </w:tc>
        <w:tc>
          <w:tcPr>
            <w:tcW w:w="5466" w:type="dxa"/>
            <w:shd w:val="clear" w:color="auto" w:fill="auto"/>
          </w:tcPr>
          <w:p w14:paraId="3B12C331" w14:textId="77777777" w:rsidR="00DA012F" w:rsidRDefault="00FE45E9" w:rsidP="00DA012F">
            <w:hyperlink r:id="rId32" w:history="1">
              <w:r w:rsidR="00DA012F" w:rsidRPr="001562C7">
                <w:rPr>
                  <w:rStyle w:val="Hiperpovezava"/>
                </w:rPr>
                <w:t>Za k o n o ratifikaciji konvencije o pravicah invalidov in izbirnega protokola h konvenciji o pravicah invalidov (MKPI)</w:t>
              </w:r>
            </w:hyperlink>
          </w:p>
          <w:p w14:paraId="59D6FB60" w14:textId="77777777" w:rsidR="00DA012F" w:rsidRDefault="00DA012F" w:rsidP="00DA012F"/>
          <w:p w14:paraId="27768424" w14:textId="77777777" w:rsidR="00DA012F" w:rsidRDefault="00FE45E9" w:rsidP="00DA012F">
            <w:hyperlink r:id="rId33" w:history="1">
              <w:r w:rsidR="00DA012F" w:rsidRPr="00333C66">
                <w:rPr>
                  <w:rStyle w:val="Hiperpovezava"/>
                </w:rPr>
                <w:t>Zakonodaja</w:t>
              </w:r>
            </w:hyperlink>
          </w:p>
          <w:p w14:paraId="08B832FF" w14:textId="77777777" w:rsidR="00DA012F" w:rsidRDefault="00DA012F" w:rsidP="00DA012F"/>
          <w:p w14:paraId="1D8912EB" w14:textId="77777777" w:rsidR="00DA012F" w:rsidRPr="001562C7" w:rsidRDefault="00DA012F" w:rsidP="00DA012F"/>
        </w:tc>
        <w:tc>
          <w:tcPr>
            <w:tcW w:w="1777" w:type="dxa"/>
            <w:shd w:val="clear" w:color="auto" w:fill="auto"/>
          </w:tcPr>
          <w:p w14:paraId="2EA77047" w14:textId="77777777" w:rsidR="00DA012F" w:rsidRDefault="00DA012F" w:rsidP="00DA012F">
            <w:pPr>
              <w:jc w:val="both"/>
              <w:rPr>
                <w:rFonts w:cs="Arial"/>
                <w:color w:val="000000"/>
                <w:sz w:val="18"/>
                <w:szCs w:val="18"/>
                <w:shd w:val="clear" w:color="auto" w:fill="FFFFFF"/>
              </w:rPr>
            </w:pPr>
            <w:r>
              <w:rPr>
                <w:rFonts w:cs="Arial"/>
                <w:color w:val="000000"/>
                <w:sz w:val="18"/>
                <w:szCs w:val="18"/>
                <w:shd w:val="clear" w:color="auto" w:fill="FFFFFF"/>
              </w:rPr>
              <w:t>Ministrstvo</w:t>
            </w:r>
            <w:r w:rsidRPr="0092186E">
              <w:rPr>
                <w:rFonts w:cs="Arial"/>
                <w:color w:val="000000"/>
                <w:sz w:val="18"/>
                <w:szCs w:val="18"/>
                <w:shd w:val="clear" w:color="auto" w:fill="FFFFFF"/>
              </w:rPr>
              <w:t xml:space="preserve"> za delo, družino, socialne zad</w:t>
            </w:r>
            <w:r>
              <w:rPr>
                <w:rFonts w:cs="Arial"/>
                <w:color w:val="000000"/>
                <w:sz w:val="18"/>
                <w:szCs w:val="18"/>
                <w:shd w:val="clear" w:color="auto" w:fill="FFFFFF"/>
              </w:rPr>
              <w:t>eve in enake možnosti opravlja</w:t>
            </w:r>
            <w:r w:rsidRPr="0092186E">
              <w:rPr>
                <w:rFonts w:cs="Arial"/>
                <w:color w:val="000000"/>
                <w:sz w:val="18"/>
                <w:szCs w:val="18"/>
                <w:shd w:val="clear" w:color="auto" w:fill="FFFFFF"/>
              </w:rPr>
              <w:t xml:space="preserve"> naloge iz pristojnosti, ki se nanašajo na </w:t>
            </w:r>
            <w:r w:rsidRPr="0092186E">
              <w:t xml:space="preserve"> </w:t>
            </w:r>
            <w:r w:rsidRPr="0092186E">
              <w:rPr>
                <w:rFonts w:cs="Arial"/>
                <w:color w:val="000000"/>
                <w:sz w:val="18"/>
                <w:szCs w:val="18"/>
                <w:shd w:val="clear" w:color="auto" w:fill="FFFFFF"/>
              </w:rPr>
              <w:t xml:space="preserve">varstvo in pravice </w:t>
            </w:r>
            <w:r>
              <w:rPr>
                <w:rFonts w:cs="Arial"/>
                <w:color w:val="000000"/>
                <w:sz w:val="18"/>
                <w:szCs w:val="18"/>
                <w:shd w:val="clear" w:color="auto" w:fill="FFFFFF"/>
              </w:rPr>
              <w:t xml:space="preserve">invalidov. Leta </w:t>
            </w:r>
            <w:r w:rsidRPr="0092186E">
              <w:rPr>
                <w:rFonts w:cs="Arial"/>
                <w:color w:val="000000"/>
                <w:sz w:val="18"/>
                <w:szCs w:val="18"/>
                <w:shd w:val="clear" w:color="auto" w:fill="FFFFFF"/>
              </w:rPr>
              <w:t xml:space="preserve"> 2008</w:t>
            </w:r>
            <w:r>
              <w:rPr>
                <w:rFonts w:cs="Arial"/>
                <w:color w:val="000000"/>
                <w:sz w:val="18"/>
                <w:szCs w:val="18"/>
                <w:shd w:val="clear" w:color="auto" w:fill="FFFFFF"/>
              </w:rPr>
              <w:t xml:space="preserve"> je</w:t>
            </w:r>
            <w:r w:rsidRPr="0092186E">
              <w:rPr>
                <w:rFonts w:cs="Arial"/>
                <w:color w:val="000000"/>
                <w:sz w:val="18"/>
                <w:szCs w:val="18"/>
                <w:shd w:val="clear" w:color="auto" w:fill="FFFFFF"/>
              </w:rPr>
              <w:t xml:space="preserve"> za </w:t>
            </w:r>
            <w:r>
              <w:rPr>
                <w:rFonts w:cs="Arial"/>
                <w:color w:val="000000"/>
                <w:sz w:val="18"/>
                <w:szCs w:val="18"/>
                <w:shd w:val="clear" w:color="auto" w:fill="FFFFFF"/>
              </w:rPr>
              <w:t xml:space="preserve">RS  </w:t>
            </w:r>
            <w:r w:rsidRPr="0092186E">
              <w:rPr>
                <w:rFonts w:cs="Arial"/>
                <w:color w:val="000000"/>
                <w:sz w:val="18"/>
                <w:szCs w:val="18"/>
                <w:shd w:val="clear" w:color="auto" w:fill="FFFFFF"/>
              </w:rPr>
              <w:t xml:space="preserve">začela veljati </w:t>
            </w:r>
            <w:r>
              <w:rPr>
                <w:rFonts w:cs="Arial"/>
                <w:color w:val="000000"/>
                <w:sz w:val="18"/>
                <w:szCs w:val="18"/>
                <w:shd w:val="clear" w:color="auto" w:fill="FFFFFF"/>
              </w:rPr>
              <w:t xml:space="preserve">predmetna </w:t>
            </w:r>
            <w:r w:rsidRPr="0092186E">
              <w:rPr>
                <w:rFonts w:cs="Arial"/>
                <w:color w:val="000000"/>
                <w:sz w:val="18"/>
                <w:szCs w:val="18"/>
                <w:shd w:val="clear" w:color="auto" w:fill="FFFFFF"/>
              </w:rPr>
              <w:t>Konvencija</w:t>
            </w:r>
            <w:r>
              <w:rPr>
                <w:rFonts w:cs="Arial"/>
                <w:color w:val="000000"/>
                <w:sz w:val="18"/>
                <w:szCs w:val="18"/>
                <w:shd w:val="clear" w:color="auto" w:fill="FFFFFF"/>
              </w:rPr>
              <w:t>.</w:t>
            </w:r>
            <w:r w:rsidRPr="0092186E">
              <w:rPr>
                <w:rFonts w:cs="Arial"/>
                <w:color w:val="000000"/>
                <w:sz w:val="18"/>
                <w:szCs w:val="18"/>
                <w:shd w:val="clear" w:color="auto" w:fill="FFFFFF"/>
              </w:rPr>
              <w:t xml:space="preserve"> </w:t>
            </w:r>
          </w:p>
          <w:p w14:paraId="688B2264" w14:textId="77777777" w:rsidR="00DA012F" w:rsidRDefault="00DA012F" w:rsidP="00DA012F">
            <w:pPr>
              <w:jc w:val="both"/>
              <w:rPr>
                <w:rFonts w:cs="Arial"/>
                <w:color w:val="000000"/>
                <w:sz w:val="18"/>
                <w:szCs w:val="18"/>
                <w:shd w:val="clear" w:color="auto" w:fill="FFFFFF"/>
              </w:rPr>
            </w:pPr>
          </w:p>
          <w:p w14:paraId="3CB344EC" w14:textId="77777777" w:rsidR="00DA012F" w:rsidRDefault="00DA012F" w:rsidP="00DA012F">
            <w:pPr>
              <w:jc w:val="both"/>
              <w:rPr>
                <w:rFonts w:cs="Arial"/>
                <w:color w:val="000000"/>
                <w:sz w:val="18"/>
                <w:szCs w:val="18"/>
                <w:shd w:val="clear" w:color="auto" w:fill="FFFFFF"/>
              </w:rPr>
            </w:pPr>
            <w:r>
              <w:rPr>
                <w:rFonts w:cs="Arial"/>
                <w:color w:val="000000"/>
                <w:sz w:val="18"/>
                <w:szCs w:val="18"/>
                <w:shd w:val="clear" w:color="auto" w:fill="FFFFFF"/>
              </w:rPr>
              <w:t xml:space="preserve">Pri pripravi programa  je bilo resorno pristojno ministrstvo vključeno v okviru medresorskega </w:t>
            </w:r>
            <w:r>
              <w:rPr>
                <w:rFonts w:cs="Arial"/>
                <w:color w:val="000000"/>
                <w:sz w:val="18"/>
                <w:szCs w:val="18"/>
                <w:shd w:val="clear" w:color="auto" w:fill="FFFFFF"/>
              </w:rPr>
              <w:lastRenderedPageBreak/>
              <w:t>usklajevanja. Nadalje  bo vključeno pri izvajanju programa kot član Odbora za spremljanje.</w:t>
            </w:r>
          </w:p>
          <w:p w14:paraId="4467EF78" w14:textId="77777777" w:rsidR="00DA012F" w:rsidRDefault="00DA012F" w:rsidP="00DA012F">
            <w:pPr>
              <w:jc w:val="both"/>
              <w:rPr>
                <w:rFonts w:cs="Arial"/>
                <w:color w:val="000000"/>
                <w:sz w:val="18"/>
                <w:szCs w:val="18"/>
                <w:shd w:val="clear" w:color="auto" w:fill="FFFFFF"/>
              </w:rPr>
            </w:pPr>
          </w:p>
          <w:p w14:paraId="625AB159" w14:textId="77777777" w:rsidR="00DA012F" w:rsidRPr="00B13D00" w:rsidRDefault="00DA012F" w:rsidP="00DA012F">
            <w:pPr>
              <w:jc w:val="both"/>
              <w:rPr>
                <w:rFonts w:cs="Arial"/>
                <w:color w:val="000000"/>
                <w:sz w:val="18"/>
                <w:szCs w:val="18"/>
                <w:shd w:val="clear" w:color="auto" w:fill="FFFFFF"/>
              </w:rPr>
            </w:pPr>
            <w:r w:rsidRPr="001562C7">
              <w:rPr>
                <w:rFonts w:cs="Arial"/>
                <w:color w:val="000000"/>
                <w:sz w:val="18"/>
                <w:szCs w:val="18"/>
                <w:shd w:val="clear" w:color="auto" w:fill="FFFFFF"/>
              </w:rPr>
              <w:t xml:space="preserve">Možnosti za boljše vključevanje </w:t>
            </w:r>
            <w:r>
              <w:rPr>
                <w:rFonts w:cs="Arial"/>
                <w:color w:val="000000"/>
                <w:sz w:val="18"/>
                <w:szCs w:val="18"/>
                <w:shd w:val="clear" w:color="auto" w:fill="FFFFFF"/>
              </w:rPr>
              <w:t xml:space="preserve">so v okviru spodbujanja vlagateljev z merili za izbor operacij, in sicer dodatnimi točkami pri izboru </w:t>
            </w:r>
            <w:r w:rsidRPr="001562C7">
              <w:rPr>
                <w:rFonts w:cs="Arial"/>
                <w:color w:val="000000"/>
                <w:sz w:val="18"/>
                <w:szCs w:val="18"/>
                <w:shd w:val="clear" w:color="auto" w:fill="FFFFFF"/>
              </w:rPr>
              <w:t>po posame</w:t>
            </w:r>
            <w:r>
              <w:rPr>
                <w:rFonts w:cs="Arial"/>
                <w:color w:val="000000"/>
                <w:sz w:val="18"/>
                <w:szCs w:val="18"/>
                <w:shd w:val="clear" w:color="auto" w:fill="FFFFFF"/>
              </w:rPr>
              <w:t>znih prednostnih nalogah</w:t>
            </w:r>
            <w:r w:rsidRPr="001562C7">
              <w:rPr>
                <w:rFonts w:cs="Arial"/>
                <w:color w:val="000000"/>
                <w:sz w:val="18"/>
                <w:szCs w:val="18"/>
                <w:shd w:val="clear" w:color="auto" w:fill="FFFFFF"/>
              </w:rPr>
              <w:t xml:space="preserve">. </w:t>
            </w:r>
            <w:r>
              <w:rPr>
                <w:rFonts w:cs="Arial"/>
                <w:color w:val="000000"/>
                <w:sz w:val="18"/>
                <w:szCs w:val="18"/>
                <w:shd w:val="clear" w:color="auto" w:fill="FFFFFF"/>
              </w:rPr>
              <w:t>Tu se bo osredotočilo  še posebej na zagotavljanje</w:t>
            </w:r>
            <w:r w:rsidRPr="002867AD">
              <w:t xml:space="preserve"> </w:t>
            </w:r>
            <w:r w:rsidRPr="002867AD">
              <w:rPr>
                <w:rFonts w:cs="Arial"/>
                <w:color w:val="000000"/>
                <w:sz w:val="18"/>
                <w:szCs w:val="18"/>
                <w:shd w:val="clear" w:color="auto" w:fill="FFFFFF"/>
              </w:rPr>
              <w:t>dost</w:t>
            </w:r>
            <w:r>
              <w:rPr>
                <w:rFonts w:cs="Arial"/>
                <w:color w:val="000000"/>
                <w:sz w:val="18"/>
                <w:szCs w:val="18"/>
                <w:shd w:val="clear" w:color="auto" w:fill="FFFFFF"/>
              </w:rPr>
              <w:t xml:space="preserve">opnosti do fizičnega okolja (npr. urejen dostop za invalide do ribarnice, ribiških delavnic, itd.), vključevanje invalidov na trg delovne sile ter posredno s spodbujanjem </w:t>
            </w:r>
            <w:r>
              <w:rPr>
                <w:rFonts w:cs="Arial"/>
                <w:color w:val="000000"/>
                <w:sz w:val="18"/>
                <w:szCs w:val="18"/>
                <w:shd w:val="clear" w:color="auto" w:fill="FFFFFF"/>
              </w:rPr>
              <w:lastRenderedPageBreak/>
              <w:t xml:space="preserve">uživanja rib in ribjih izdelkov v okviru komunikacijskih dejavnosti. Pri  pripravi nacionalne izvedbene uredbe in javnih razpisov  </w:t>
            </w:r>
            <w:r w:rsidRPr="00E84710">
              <w:t xml:space="preserve">se </w:t>
            </w:r>
            <w:r w:rsidRPr="00E84710">
              <w:rPr>
                <w:rFonts w:cs="Arial"/>
                <w:color w:val="000000"/>
                <w:sz w:val="18"/>
                <w:szCs w:val="18"/>
                <w:shd w:val="clear" w:color="auto" w:fill="FFFFFF"/>
              </w:rPr>
              <w:t>bo upoštevala vsa</w:t>
            </w:r>
            <w:r w:rsidRPr="00E84710">
              <w:t xml:space="preserve"> </w:t>
            </w:r>
            <w:r>
              <w:rPr>
                <w:rFonts w:cs="Arial"/>
                <w:color w:val="000000"/>
                <w:sz w:val="18"/>
                <w:szCs w:val="18"/>
                <w:shd w:val="clear" w:color="auto" w:fill="FFFFFF"/>
              </w:rPr>
              <w:t>zakonodaja in standardi. Prav tako velja načelo dostopnosti sredstev za vse ranljive skupine.</w:t>
            </w:r>
          </w:p>
        </w:tc>
      </w:tr>
    </w:tbl>
    <w:p w14:paraId="15E8F805" w14:textId="77777777" w:rsidR="00AA410F" w:rsidRDefault="00AA410F">
      <w:pPr>
        <w:spacing w:after="200" w:line="276" w:lineRule="auto"/>
        <w:rPr>
          <w:rFonts w:cs="Arial"/>
          <w:b/>
          <w:bCs/>
          <w:szCs w:val="20"/>
        </w:rPr>
        <w:sectPr w:rsidR="00AA410F" w:rsidSect="00705CFB">
          <w:pgSz w:w="16840" w:h="11900" w:orient="landscape" w:code="9"/>
          <w:pgMar w:top="1701" w:right="1701" w:bottom="1701" w:left="1134" w:header="964" w:footer="794" w:gutter="0"/>
          <w:cols w:space="708"/>
          <w:docGrid w:linePitch="272"/>
        </w:sectPr>
      </w:pPr>
    </w:p>
    <w:p w14:paraId="257F85E6" w14:textId="77777777" w:rsidR="00E64DD1" w:rsidRPr="00AA410F" w:rsidRDefault="00E64DD1" w:rsidP="002458C0">
      <w:pPr>
        <w:pStyle w:val="Naslov1"/>
      </w:pPr>
      <w:bookmarkStart w:id="28" w:name="_Toc106099913"/>
      <w:r w:rsidRPr="00AA410F">
        <w:lastRenderedPageBreak/>
        <w:t>5. Organi, pristojni za program</w:t>
      </w:r>
      <w:bookmarkEnd w:id="28"/>
      <w:r w:rsidRPr="00AA410F">
        <w:t xml:space="preserve"> </w:t>
      </w:r>
    </w:p>
    <w:p w14:paraId="2840973B" w14:textId="30456905" w:rsidR="00E64DD1" w:rsidRPr="00A40660" w:rsidRDefault="00E64DD1" w:rsidP="00E64DD1">
      <w:pPr>
        <w:rPr>
          <w:rFonts w:cs="Arial"/>
          <w:i/>
          <w:iCs/>
          <w:szCs w:val="20"/>
        </w:rPr>
      </w:pPr>
      <w:r w:rsidRPr="00A40660">
        <w:rPr>
          <w:rFonts w:cs="Arial"/>
          <w:i/>
          <w:iCs/>
          <w:szCs w:val="20"/>
        </w:rPr>
        <w:t xml:space="preserve">Sklic: člen </w:t>
      </w:r>
      <w:r w:rsidR="00000967">
        <w:rPr>
          <w:rFonts w:cs="Arial"/>
          <w:i/>
          <w:iCs/>
          <w:szCs w:val="20"/>
        </w:rPr>
        <w:t>22</w:t>
      </w:r>
      <w:r w:rsidRPr="00A40660">
        <w:rPr>
          <w:rFonts w:cs="Arial"/>
          <w:i/>
          <w:iCs/>
          <w:szCs w:val="20"/>
        </w:rPr>
        <w:t>(3)(</w:t>
      </w:r>
      <w:r w:rsidR="00000967">
        <w:rPr>
          <w:rFonts w:cs="Arial"/>
          <w:i/>
          <w:iCs/>
          <w:szCs w:val="20"/>
        </w:rPr>
        <w:t>k</w:t>
      </w:r>
      <w:r w:rsidRPr="00A40660">
        <w:rPr>
          <w:rFonts w:cs="Arial"/>
          <w:i/>
          <w:iCs/>
          <w:szCs w:val="20"/>
        </w:rPr>
        <w:t xml:space="preserve">); člen </w:t>
      </w:r>
      <w:r w:rsidR="00000967">
        <w:rPr>
          <w:rFonts w:cs="Arial"/>
          <w:i/>
          <w:iCs/>
          <w:szCs w:val="20"/>
        </w:rPr>
        <w:t>71</w:t>
      </w:r>
      <w:r w:rsidRPr="00A40660">
        <w:rPr>
          <w:rFonts w:cs="Arial"/>
          <w:i/>
          <w:iCs/>
          <w:szCs w:val="20"/>
        </w:rPr>
        <w:t xml:space="preserve">, člen </w:t>
      </w:r>
      <w:r w:rsidR="00000967">
        <w:rPr>
          <w:rFonts w:cs="Arial"/>
          <w:i/>
          <w:iCs/>
          <w:szCs w:val="20"/>
        </w:rPr>
        <w:t>84</w:t>
      </w:r>
      <w:r w:rsidRPr="00A40660">
        <w:rPr>
          <w:rFonts w:cs="Arial"/>
          <w:i/>
          <w:iCs/>
          <w:szCs w:val="20"/>
        </w:rPr>
        <w:t xml:space="preserve"> uredbe o skupnih določbah</w:t>
      </w:r>
    </w:p>
    <w:p w14:paraId="50F681A2" w14:textId="77777777" w:rsidR="00E64DD1" w:rsidRPr="00A40660" w:rsidRDefault="00E64DD1" w:rsidP="00E64DD1">
      <w:pPr>
        <w:rPr>
          <w:rFonts w:cs="Arial"/>
          <w:i/>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119"/>
        <w:gridCol w:w="1846"/>
        <w:gridCol w:w="2285"/>
      </w:tblGrid>
      <w:tr w:rsidR="00E64DD1" w:rsidRPr="00AA410F" w14:paraId="4823A15C" w14:textId="77777777" w:rsidTr="002008C1">
        <w:tc>
          <w:tcPr>
            <w:tcW w:w="9288" w:type="dxa"/>
            <w:gridSpan w:val="4"/>
            <w:shd w:val="clear" w:color="auto" w:fill="auto"/>
          </w:tcPr>
          <w:p w14:paraId="1BD7FD78" w14:textId="77777777" w:rsidR="00E64DD1" w:rsidRPr="00AA410F" w:rsidRDefault="00E64DD1" w:rsidP="00E64DD1">
            <w:pPr>
              <w:rPr>
                <w:rFonts w:cs="Arial"/>
                <w:b/>
                <w:noProof/>
                <w:szCs w:val="20"/>
              </w:rPr>
            </w:pPr>
            <w:r w:rsidRPr="00AA410F">
              <w:rPr>
                <w:rFonts w:cs="Arial"/>
                <w:b/>
                <w:noProof/>
                <w:szCs w:val="20"/>
              </w:rPr>
              <w:t>Preglednica 13: Organi, pristojni za program</w:t>
            </w:r>
          </w:p>
        </w:tc>
      </w:tr>
      <w:tr w:rsidR="00A52499" w:rsidRPr="00A40660" w14:paraId="1A429529" w14:textId="77777777" w:rsidTr="002008C1">
        <w:tc>
          <w:tcPr>
            <w:tcW w:w="2452" w:type="dxa"/>
            <w:shd w:val="clear" w:color="auto" w:fill="auto"/>
          </w:tcPr>
          <w:p w14:paraId="19F22C2D" w14:textId="77777777" w:rsidR="00E64DD1" w:rsidRPr="00A40660" w:rsidRDefault="00E64DD1" w:rsidP="002008C1">
            <w:pPr>
              <w:rPr>
                <w:rFonts w:cs="Arial"/>
                <w:b/>
                <w:noProof/>
                <w:szCs w:val="20"/>
              </w:rPr>
            </w:pPr>
            <w:r w:rsidRPr="00AA410F">
              <w:rPr>
                <w:rFonts w:cs="Arial"/>
                <w:b/>
                <w:noProof/>
                <w:szCs w:val="20"/>
              </w:rPr>
              <w:t>Organi, pristojn</w:t>
            </w:r>
            <w:r w:rsidRPr="00A40660">
              <w:rPr>
                <w:rFonts w:cs="Arial"/>
                <w:b/>
                <w:noProof/>
                <w:szCs w:val="20"/>
              </w:rPr>
              <w:t>i za program</w:t>
            </w:r>
          </w:p>
        </w:tc>
        <w:tc>
          <w:tcPr>
            <w:tcW w:w="2403" w:type="dxa"/>
            <w:shd w:val="clear" w:color="auto" w:fill="auto"/>
          </w:tcPr>
          <w:p w14:paraId="7A958772" w14:textId="77777777" w:rsidR="00E64DD1" w:rsidRPr="00A40660" w:rsidRDefault="00E64DD1" w:rsidP="002008C1">
            <w:pPr>
              <w:rPr>
                <w:rFonts w:cs="Arial"/>
                <w:b/>
                <w:noProof/>
                <w:szCs w:val="20"/>
              </w:rPr>
            </w:pPr>
            <w:r w:rsidRPr="00A40660">
              <w:rPr>
                <w:rFonts w:cs="Arial"/>
                <w:b/>
                <w:noProof/>
                <w:szCs w:val="20"/>
              </w:rPr>
              <w:t xml:space="preserve">Naziv institucije </w:t>
            </w:r>
            <w:r w:rsidRPr="00A40660">
              <w:rPr>
                <w:rFonts w:cs="Arial"/>
                <w:noProof/>
                <w:szCs w:val="20"/>
              </w:rPr>
              <w:t>[500]</w:t>
            </w:r>
          </w:p>
        </w:tc>
        <w:tc>
          <w:tcPr>
            <w:tcW w:w="2057" w:type="dxa"/>
            <w:shd w:val="clear" w:color="auto" w:fill="auto"/>
          </w:tcPr>
          <w:p w14:paraId="557A1D18" w14:textId="77777777" w:rsidR="00E64DD1" w:rsidRPr="00A40660" w:rsidRDefault="00E64DD1" w:rsidP="002008C1">
            <w:pPr>
              <w:rPr>
                <w:rFonts w:cs="Arial"/>
                <w:b/>
                <w:noProof/>
                <w:szCs w:val="20"/>
              </w:rPr>
            </w:pPr>
            <w:r w:rsidRPr="00A40660">
              <w:rPr>
                <w:rFonts w:cs="Arial"/>
                <w:b/>
                <w:noProof/>
                <w:szCs w:val="20"/>
              </w:rPr>
              <w:t xml:space="preserve">Ime kontaktne osebe </w:t>
            </w:r>
            <w:r w:rsidRPr="00A40660">
              <w:rPr>
                <w:rFonts w:cs="Arial"/>
                <w:noProof/>
                <w:szCs w:val="20"/>
              </w:rPr>
              <w:t>[200]</w:t>
            </w:r>
          </w:p>
          <w:p w14:paraId="48BB0526" w14:textId="77777777" w:rsidR="00E64DD1" w:rsidRPr="00A40660" w:rsidRDefault="00E64DD1" w:rsidP="002008C1">
            <w:pPr>
              <w:rPr>
                <w:rFonts w:cs="Arial"/>
                <w:b/>
                <w:noProof/>
                <w:szCs w:val="20"/>
              </w:rPr>
            </w:pPr>
          </w:p>
        </w:tc>
        <w:tc>
          <w:tcPr>
            <w:tcW w:w="2376" w:type="dxa"/>
            <w:shd w:val="clear" w:color="auto" w:fill="auto"/>
          </w:tcPr>
          <w:p w14:paraId="49C15E11" w14:textId="77777777" w:rsidR="00E64DD1" w:rsidRPr="00A40660" w:rsidRDefault="00E64DD1" w:rsidP="002008C1">
            <w:pPr>
              <w:rPr>
                <w:rFonts w:cs="Arial"/>
                <w:b/>
                <w:noProof/>
                <w:szCs w:val="20"/>
              </w:rPr>
            </w:pPr>
            <w:r w:rsidRPr="00A40660">
              <w:rPr>
                <w:rFonts w:cs="Arial"/>
                <w:b/>
                <w:noProof/>
                <w:szCs w:val="20"/>
              </w:rPr>
              <w:t xml:space="preserve">Elektronski naslov </w:t>
            </w:r>
            <w:r w:rsidRPr="00A40660">
              <w:rPr>
                <w:rFonts w:cs="Arial"/>
                <w:noProof/>
                <w:szCs w:val="20"/>
              </w:rPr>
              <w:t>[200]</w:t>
            </w:r>
          </w:p>
        </w:tc>
      </w:tr>
      <w:tr w:rsidR="00A52499" w:rsidRPr="00A52499" w14:paraId="3B3E674C" w14:textId="77777777" w:rsidTr="002008C1">
        <w:tc>
          <w:tcPr>
            <w:tcW w:w="2452" w:type="dxa"/>
            <w:shd w:val="clear" w:color="auto" w:fill="auto"/>
          </w:tcPr>
          <w:p w14:paraId="0760F75A" w14:textId="77777777" w:rsidR="00E64DD1" w:rsidRPr="00A40660" w:rsidRDefault="00E64DD1" w:rsidP="002008C1">
            <w:pPr>
              <w:rPr>
                <w:rFonts w:cs="Arial"/>
                <w:noProof/>
                <w:szCs w:val="20"/>
              </w:rPr>
            </w:pPr>
            <w:r w:rsidRPr="00A40660">
              <w:rPr>
                <w:rFonts w:cs="Arial"/>
                <w:noProof/>
                <w:szCs w:val="20"/>
              </w:rPr>
              <w:t>Organ upravljanja</w:t>
            </w:r>
          </w:p>
        </w:tc>
        <w:tc>
          <w:tcPr>
            <w:tcW w:w="2403" w:type="dxa"/>
            <w:shd w:val="clear" w:color="auto" w:fill="auto"/>
          </w:tcPr>
          <w:p w14:paraId="2DFDE6AD" w14:textId="77777777" w:rsidR="00E64DD1" w:rsidRPr="00A52499" w:rsidRDefault="00A52499" w:rsidP="002008C1">
            <w:pPr>
              <w:rPr>
                <w:rFonts w:cs="Arial"/>
                <w:noProof/>
                <w:szCs w:val="20"/>
                <w:lang w:val="de-DE"/>
              </w:rPr>
            </w:pPr>
            <w:r w:rsidRPr="00A52499">
              <w:rPr>
                <w:rFonts w:cs="Arial"/>
                <w:noProof/>
                <w:szCs w:val="20"/>
                <w:lang w:val="de-DE"/>
              </w:rPr>
              <w:t>Ministrstvo za kmetijstvo, gozdarstvo in prehrano</w:t>
            </w:r>
          </w:p>
        </w:tc>
        <w:tc>
          <w:tcPr>
            <w:tcW w:w="2057" w:type="dxa"/>
            <w:shd w:val="clear" w:color="auto" w:fill="auto"/>
          </w:tcPr>
          <w:p w14:paraId="0087506C" w14:textId="790AEBA3" w:rsidR="00E64DD1" w:rsidRPr="00A52499" w:rsidRDefault="00E32C81" w:rsidP="002008C1">
            <w:pPr>
              <w:rPr>
                <w:rFonts w:cs="Arial"/>
                <w:noProof/>
                <w:szCs w:val="20"/>
                <w:lang w:val="de-DE"/>
              </w:rPr>
            </w:pPr>
            <w:r>
              <w:rPr>
                <w:rFonts w:cs="Arial"/>
                <w:noProof/>
                <w:szCs w:val="20"/>
                <w:lang w:val="de-DE"/>
              </w:rPr>
              <w:t>Ana Le Marechal Kolar</w:t>
            </w:r>
          </w:p>
        </w:tc>
        <w:tc>
          <w:tcPr>
            <w:tcW w:w="2376" w:type="dxa"/>
            <w:shd w:val="clear" w:color="auto" w:fill="auto"/>
          </w:tcPr>
          <w:p w14:paraId="49860057" w14:textId="4178B0D6" w:rsidR="00E64DD1" w:rsidRDefault="00D869FD" w:rsidP="002008C1">
            <w:pPr>
              <w:rPr>
                <w:rFonts w:cs="Arial"/>
                <w:noProof/>
                <w:szCs w:val="20"/>
                <w:lang w:val="de-DE"/>
              </w:rPr>
            </w:pPr>
            <w:hyperlink r:id="rId34" w:history="1">
              <w:r w:rsidRPr="00357178">
                <w:rPr>
                  <w:rStyle w:val="Hiperpovezava"/>
                  <w:rFonts w:cs="Arial"/>
                  <w:noProof/>
                  <w:szCs w:val="20"/>
                  <w:lang w:val="de-DE"/>
                </w:rPr>
                <w:t>espra.mkgp@gov.si</w:t>
              </w:r>
            </w:hyperlink>
          </w:p>
          <w:p w14:paraId="6224DCFB" w14:textId="514119C2" w:rsidR="00D869FD" w:rsidRPr="00A52499" w:rsidRDefault="00D869FD" w:rsidP="002008C1">
            <w:pPr>
              <w:rPr>
                <w:rFonts w:cs="Arial"/>
                <w:noProof/>
                <w:szCs w:val="20"/>
                <w:lang w:val="de-DE"/>
              </w:rPr>
            </w:pPr>
          </w:p>
        </w:tc>
      </w:tr>
      <w:tr w:rsidR="00A52499" w:rsidRPr="00A40660" w14:paraId="6FD5666C" w14:textId="77777777" w:rsidTr="002008C1">
        <w:tc>
          <w:tcPr>
            <w:tcW w:w="2452" w:type="dxa"/>
            <w:shd w:val="clear" w:color="auto" w:fill="auto"/>
          </w:tcPr>
          <w:p w14:paraId="640D92F1" w14:textId="77777777" w:rsidR="00E64DD1" w:rsidRPr="00A40660" w:rsidRDefault="00E64DD1" w:rsidP="002008C1">
            <w:pPr>
              <w:rPr>
                <w:rFonts w:cs="Arial"/>
                <w:noProof/>
                <w:szCs w:val="20"/>
              </w:rPr>
            </w:pPr>
            <w:r w:rsidRPr="00A40660">
              <w:rPr>
                <w:rFonts w:cs="Arial"/>
                <w:noProof/>
                <w:szCs w:val="20"/>
              </w:rPr>
              <w:t>Revizijski organ</w:t>
            </w:r>
          </w:p>
        </w:tc>
        <w:tc>
          <w:tcPr>
            <w:tcW w:w="2403" w:type="dxa"/>
            <w:shd w:val="clear" w:color="auto" w:fill="auto"/>
          </w:tcPr>
          <w:p w14:paraId="77CB1A90" w14:textId="77777777" w:rsidR="00E64DD1" w:rsidRPr="00A40660" w:rsidRDefault="0073282A" w:rsidP="002008C1">
            <w:pPr>
              <w:rPr>
                <w:rFonts w:cs="Arial"/>
                <w:noProof/>
                <w:szCs w:val="20"/>
              </w:rPr>
            </w:pPr>
            <w:r>
              <w:rPr>
                <w:rFonts w:cs="Arial"/>
                <w:noProof/>
                <w:szCs w:val="20"/>
              </w:rPr>
              <w:t xml:space="preserve">Urad za nadzor proračuna RS </w:t>
            </w:r>
          </w:p>
        </w:tc>
        <w:tc>
          <w:tcPr>
            <w:tcW w:w="2057" w:type="dxa"/>
            <w:shd w:val="clear" w:color="auto" w:fill="auto"/>
          </w:tcPr>
          <w:p w14:paraId="45C6FF8C" w14:textId="5D95EDA3" w:rsidR="00E64DD1" w:rsidRPr="00A40660" w:rsidRDefault="00D869FD" w:rsidP="002008C1">
            <w:pPr>
              <w:rPr>
                <w:rFonts w:cs="Arial"/>
                <w:noProof/>
                <w:szCs w:val="20"/>
              </w:rPr>
            </w:pPr>
            <w:r>
              <w:rPr>
                <w:rFonts w:cs="Arial"/>
                <w:noProof/>
                <w:szCs w:val="20"/>
              </w:rPr>
              <w:t>mag Gregor Greif</w:t>
            </w:r>
          </w:p>
        </w:tc>
        <w:tc>
          <w:tcPr>
            <w:tcW w:w="2376" w:type="dxa"/>
            <w:shd w:val="clear" w:color="auto" w:fill="auto"/>
          </w:tcPr>
          <w:p w14:paraId="7E4673CC" w14:textId="5B97EA50" w:rsidR="00D869FD" w:rsidRPr="00A40660" w:rsidRDefault="00D869FD" w:rsidP="002008C1">
            <w:pPr>
              <w:rPr>
                <w:rFonts w:cs="Arial"/>
                <w:noProof/>
                <w:szCs w:val="20"/>
              </w:rPr>
            </w:pPr>
            <w:hyperlink r:id="rId35" w:history="1">
              <w:r w:rsidRPr="00357178">
                <w:rPr>
                  <w:rStyle w:val="Hiperpovezava"/>
                  <w:rFonts w:cs="Arial"/>
                  <w:noProof/>
                  <w:szCs w:val="20"/>
                </w:rPr>
                <w:t>mf.unp@gov.si</w:t>
              </w:r>
            </w:hyperlink>
          </w:p>
        </w:tc>
      </w:tr>
      <w:tr w:rsidR="00A52499" w:rsidRPr="0073282A" w14:paraId="264C1FA3" w14:textId="77777777" w:rsidTr="002008C1">
        <w:tc>
          <w:tcPr>
            <w:tcW w:w="2452" w:type="dxa"/>
            <w:shd w:val="clear" w:color="auto" w:fill="auto"/>
          </w:tcPr>
          <w:p w14:paraId="68C72D40" w14:textId="77777777" w:rsidR="00E64DD1" w:rsidRPr="00AE1B67" w:rsidRDefault="00E64DD1" w:rsidP="002008C1">
            <w:pPr>
              <w:rPr>
                <w:rFonts w:cs="Arial"/>
                <w:noProof/>
                <w:szCs w:val="20"/>
                <w:lang w:val="de-DE"/>
              </w:rPr>
            </w:pPr>
            <w:r w:rsidRPr="00AE1B67">
              <w:rPr>
                <w:rFonts w:cs="Arial"/>
                <w:noProof/>
                <w:szCs w:val="20"/>
                <w:lang w:val="de-DE"/>
              </w:rPr>
              <w:t>Organ, ki prejme plačila Komisije</w:t>
            </w:r>
          </w:p>
        </w:tc>
        <w:tc>
          <w:tcPr>
            <w:tcW w:w="2403" w:type="dxa"/>
            <w:shd w:val="clear" w:color="auto" w:fill="auto"/>
          </w:tcPr>
          <w:p w14:paraId="3C1FDF5F" w14:textId="77777777" w:rsidR="00E64DD1" w:rsidRPr="000040A2" w:rsidRDefault="000040A2" w:rsidP="002008C1">
            <w:pPr>
              <w:rPr>
                <w:rFonts w:cs="Arial"/>
                <w:noProof/>
                <w:szCs w:val="20"/>
                <w:lang w:val="de-DE"/>
              </w:rPr>
            </w:pPr>
            <w:r w:rsidRPr="000040A2">
              <w:rPr>
                <w:rFonts w:cs="Arial"/>
                <w:noProof/>
                <w:szCs w:val="20"/>
                <w:lang w:val="de-DE"/>
              </w:rPr>
              <w:t>Ministrstvo za kmetijstvo, gozdarstvo in prehrano</w:t>
            </w:r>
          </w:p>
        </w:tc>
        <w:tc>
          <w:tcPr>
            <w:tcW w:w="2057" w:type="dxa"/>
            <w:shd w:val="clear" w:color="auto" w:fill="auto"/>
          </w:tcPr>
          <w:p w14:paraId="2DC9014D" w14:textId="77777777" w:rsidR="00E64DD1" w:rsidRPr="000040A2" w:rsidRDefault="000040A2" w:rsidP="002008C1">
            <w:pPr>
              <w:rPr>
                <w:rFonts w:cs="Arial"/>
                <w:noProof/>
                <w:szCs w:val="20"/>
                <w:lang w:val="de-DE"/>
              </w:rPr>
            </w:pPr>
            <w:r>
              <w:rPr>
                <w:rFonts w:cs="Arial"/>
                <w:noProof/>
                <w:szCs w:val="20"/>
                <w:lang w:val="de-DE"/>
              </w:rPr>
              <w:t>Urška Jančar</w:t>
            </w:r>
          </w:p>
        </w:tc>
        <w:tc>
          <w:tcPr>
            <w:tcW w:w="2376" w:type="dxa"/>
            <w:shd w:val="clear" w:color="auto" w:fill="auto"/>
          </w:tcPr>
          <w:p w14:paraId="5FB56130" w14:textId="42C37E22" w:rsidR="00E64DD1" w:rsidRDefault="00D869FD" w:rsidP="002008C1">
            <w:pPr>
              <w:rPr>
                <w:rFonts w:cs="Arial"/>
                <w:noProof/>
                <w:szCs w:val="20"/>
              </w:rPr>
            </w:pPr>
            <w:hyperlink r:id="rId36" w:history="1">
              <w:r w:rsidRPr="00357178">
                <w:rPr>
                  <w:rStyle w:val="Hiperpovezava"/>
                  <w:rFonts w:cs="Arial"/>
                  <w:noProof/>
                  <w:szCs w:val="20"/>
                </w:rPr>
                <w:t>gp.mkgp@gov.si</w:t>
              </w:r>
            </w:hyperlink>
          </w:p>
          <w:p w14:paraId="1343ACE2" w14:textId="57C5F0D8" w:rsidR="00D869FD" w:rsidRPr="0073282A" w:rsidRDefault="00D869FD" w:rsidP="002008C1">
            <w:pPr>
              <w:rPr>
                <w:rFonts w:cs="Arial"/>
                <w:noProof/>
                <w:szCs w:val="20"/>
              </w:rPr>
            </w:pPr>
          </w:p>
        </w:tc>
      </w:tr>
      <w:tr w:rsidR="00A52499" w:rsidRPr="0073282A" w14:paraId="229A3379" w14:textId="77777777" w:rsidTr="002008C1">
        <w:tc>
          <w:tcPr>
            <w:tcW w:w="2452" w:type="dxa"/>
            <w:shd w:val="clear" w:color="auto" w:fill="auto"/>
          </w:tcPr>
          <w:p w14:paraId="51667945" w14:textId="71DAA6D3" w:rsidR="00E64DD1" w:rsidRPr="0073282A" w:rsidRDefault="00043989" w:rsidP="00043989">
            <w:pPr>
              <w:rPr>
                <w:rFonts w:cs="Arial"/>
                <w:b/>
                <w:bCs/>
                <w:noProof/>
                <w:szCs w:val="20"/>
                <w:u w:val="single"/>
              </w:rPr>
            </w:pPr>
            <w:r w:rsidRPr="0073282A">
              <w:rPr>
                <w:rFonts w:cs="Arial"/>
                <w:noProof/>
                <w:szCs w:val="20"/>
              </w:rPr>
              <w:t xml:space="preserve">Kjer zahtevano, organ, ki </w:t>
            </w:r>
            <w:r w:rsidR="00EE4AA2">
              <w:rPr>
                <w:rFonts w:cs="Arial"/>
                <w:noProof/>
                <w:szCs w:val="20"/>
              </w:rPr>
              <w:t xml:space="preserve">prejme </w:t>
            </w:r>
            <w:r w:rsidRPr="0073282A">
              <w:rPr>
                <w:rFonts w:cs="Arial"/>
                <w:noProof/>
                <w:szCs w:val="20"/>
              </w:rPr>
              <w:t>plačila Komisije za TP v skladu s členom 3</w:t>
            </w:r>
            <w:r w:rsidR="00D8100C">
              <w:rPr>
                <w:rFonts w:cs="Arial"/>
                <w:noProof/>
                <w:szCs w:val="20"/>
              </w:rPr>
              <w:t>6</w:t>
            </w:r>
            <w:r w:rsidRPr="0073282A">
              <w:rPr>
                <w:rFonts w:cs="Arial"/>
                <w:noProof/>
                <w:szCs w:val="20"/>
              </w:rPr>
              <w:t xml:space="preserve">(5) </w:t>
            </w:r>
          </w:p>
        </w:tc>
        <w:tc>
          <w:tcPr>
            <w:tcW w:w="2403" w:type="dxa"/>
            <w:shd w:val="clear" w:color="auto" w:fill="auto"/>
          </w:tcPr>
          <w:p w14:paraId="634729BA" w14:textId="68AEEB84" w:rsidR="00E64DD1" w:rsidRPr="0073282A" w:rsidRDefault="00EE4AA2" w:rsidP="002008C1">
            <w:pPr>
              <w:rPr>
                <w:rFonts w:cs="Arial"/>
                <w:noProof/>
                <w:szCs w:val="20"/>
              </w:rPr>
            </w:pPr>
            <w:r w:rsidRPr="00EE4AA2">
              <w:rPr>
                <w:rFonts w:cs="Arial"/>
                <w:noProof/>
                <w:szCs w:val="20"/>
              </w:rPr>
              <w:t>Ministrstvo za kmetijstvo, gozdarstvo in prehrano</w:t>
            </w:r>
          </w:p>
        </w:tc>
        <w:tc>
          <w:tcPr>
            <w:tcW w:w="2057" w:type="dxa"/>
            <w:shd w:val="clear" w:color="auto" w:fill="auto"/>
          </w:tcPr>
          <w:p w14:paraId="3C18A05C" w14:textId="021A7149" w:rsidR="00E64DD1" w:rsidRPr="0073282A" w:rsidRDefault="00EE4AA2" w:rsidP="002008C1">
            <w:pPr>
              <w:rPr>
                <w:rFonts w:cs="Arial"/>
                <w:noProof/>
                <w:szCs w:val="20"/>
              </w:rPr>
            </w:pPr>
            <w:r w:rsidRPr="00EE4AA2">
              <w:rPr>
                <w:rFonts w:cs="Arial"/>
                <w:noProof/>
                <w:szCs w:val="20"/>
              </w:rPr>
              <w:t>Urška Jančar</w:t>
            </w:r>
          </w:p>
        </w:tc>
        <w:tc>
          <w:tcPr>
            <w:tcW w:w="2376" w:type="dxa"/>
            <w:shd w:val="clear" w:color="auto" w:fill="auto"/>
          </w:tcPr>
          <w:p w14:paraId="77D34174" w14:textId="30F945BA" w:rsidR="00E64DD1" w:rsidRDefault="00D869FD" w:rsidP="002008C1">
            <w:pPr>
              <w:rPr>
                <w:rFonts w:cs="Arial"/>
                <w:noProof/>
                <w:szCs w:val="20"/>
              </w:rPr>
            </w:pPr>
            <w:hyperlink r:id="rId37" w:history="1">
              <w:r w:rsidRPr="00357178">
                <w:rPr>
                  <w:rStyle w:val="Hiperpovezava"/>
                  <w:rFonts w:cs="Arial"/>
                  <w:noProof/>
                  <w:szCs w:val="20"/>
                </w:rPr>
                <w:t>gp.mkgp@gov.si</w:t>
              </w:r>
            </w:hyperlink>
          </w:p>
          <w:p w14:paraId="17CCB075" w14:textId="61A0FB3D" w:rsidR="00D869FD" w:rsidRPr="0073282A" w:rsidRDefault="00D869FD" w:rsidP="002008C1">
            <w:pPr>
              <w:rPr>
                <w:rFonts w:cs="Arial"/>
                <w:noProof/>
                <w:szCs w:val="20"/>
              </w:rPr>
            </w:pPr>
          </w:p>
        </w:tc>
      </w:tr>
      <w:tr w:rsidR="00A52499" w:rsidRPr="00AC6084" w14:paraId="05EF2306" w14:textId="77777777" w:rsidTr="002008C1">
        <w:tc>
          <w:tcPr>
            <w:tcW w:w="2452" w:type="dxa"/>
            <w:shd w:val="clear" w:color="auto" w:fill="auto"/>
          </w:tcPr>
          <w:p w14:paraId="10B580ED" w14:textId="77777777" w:rsidR="00E64DD1" w:rsidRPr="00AE1B67" w:rsidRDefault="00043989" w:rsidP="00043989">
            <w:pPr>
              <w:rPr>
                <w:rFonts w:cs="Arial"/>
                <w:noProof/>
                <w:szCs w:val="20"/>
              </w:rPr>
            </w:pPr>
            <w:r w:rsidRPr="0073282A">
              <w:rPr>
                <w:rFonts w:cs="Arial"/>
                <w:noProof/>
                <w:szCs w:val="20"/>
              </w:rPr>
              <w:t>Računo</w:t>
            </w:r>
            <w:r w:rsidRPr="00AE1B67">
              <w:rPr>
                <w:rFonts w:cs="Arial"/>
                <w:noProof/>
                <w:szCs w:val="20"/>
              </w:rPr>
              <w:t xml:space="preserve">vodska funkcija v primeru, da to opravlja drug organ kot je organ upravljanja </w:t>
            </w:r>
          </w:p>
        </w:tc>
        <w:tc>
          <w:tcPr>
            <w:tcW w:w="2403" w:type="dxa"/>
            <w:shd w:val="clear" w:color="auto" w:fill="auto"/>
          </w:tcPr>
          <w:p w14:paraId="1E1FC104" w14:textId="77777777" w:rsidR="00E64DD1" w:rsidRPr="00AC29EA" w:rsidRDefault="0073282A" w:rsidP="002008C1">
            <w:pPr>
              <w:rPr>
                <w:rFonts w:cs="Arial"/>
                <w:noProof/>
                <w:szCs w:val="20"/>
              </w:rPr>
            </w:pPr>
            <w:r w:rsidRPr="00AC29EA">
              <w:rPr>
                <w:rFonts w:cs="Arial"/>
                <w:noProof/>
                <w:szCs w:val="20"/>
              </w:rPr>
              <w:t>Agencija RS za kmetijske trge in razvoj podeželja</w:t>
            </w:r>
          </w:p>
        </w:tc>
        <w:tc>
          <w:tcPr>
            <w:tcW w:w="2057" w:type="dxa"/>
            <w:shd w:val="clear" w:color="auto" w:fill="auto"/>
          </w:tcPr>
          <w:p w14:paraId="433C83C7" w14:textId="7F6078E8" w:rsidR="00E64DD1" w:rsidRPr="00F018CA" w:rsidRDefault="00D869FD" w:rsidP="00D869FD">
            <w:pPr>
              <w:rPr>
                <w:rFonts w:cs="Arial"/>
                <w:noProof/>
                <w:szCs w:val="20"/>
                <w:lang w:val="de-DE"/>
              </w:rPr>
            </w:pPr>
            <w:r>
              <w:rPr>
                <w:rFonts w:cs="Arial"/>
                <w:noProof/>
                <w:szCs w:val="20"/>
                <w:lang w:val="de-DE"/>
              </w:rPr>
              <w:t>m</w:t>
            </w:r>
            <w:r w:rsidR="0073282A">
              <w:rPr>
                <w:rFonts w:cs="Arial"/>
                <w:noProof/>
                <w:szCs w:val="20"/>
                <w:lang w:val="de-DE"/>
              </w:rPr>
              <w:t xml:space="preserve">ag. </w:t>
            </w:r>
            <w:r w:rsidR="007069E6">
              <w:rPr>
                <w:rFonts w:cs="Arial"/>
                <w:noProof/>
                <w:szCs w:val="20"/>
                <w:lang w:val="de-DE"/>
              </w:rPr>
              <w:t xml:space="preserve">Ervin Kosi </w:t>
            </w:r>
          </w:p>
        </w:tc>
        <w:tc>
          <w:tcPr>
            <w:tcW w:w="2376" w:type="dxa"/>
            <w:shd w:val="clear" w:color="auto" w:fill="auto"/>
          </w:tcPr>
          <w:p w14:paraId="213A1176" w14:textId="063B625C" w:rsidR="00E64DD1" w:rsidRDefault="00D869FD" w:rsidP="002008C1">
            <w:pPr>
              <w:rPr>
                <w:rFonts w:cs="Arial"/>
                <w:noProof/>
                <w:szCs w:val="20"/>
                <w:lang w:val="de-DE"/>
              </w:rPr>
            </w:pPr>
            <w:hyperlink r:id="rId38" w:history="1">
              <w:r w:rsidRPr="00357178">
                <w:rPr>
                  <w:rStyle w:val="Hiperpovezava"/>
                  <w:rFonts w:cs="Arial"/>
                  <w:noProof/>
                  <w:szCs w:val="20"/>
                  <w:lang w:val="de-DE"/>
                </w:rPr>
                <w:t>aktrp@gov.si</w:t>
              </w:r>
            </w:hyperlink>
          </w:p>
          <w:p w14:paraId="03985485" w14:textId="7E9B2727" w:rsidR="00D869FD" w:rsidRPr="00F018CA" w:rsidRDefault="00D869FD" w:rsidP="002008C1">
            <w:pPr>
              <w:rPr>
                <w:rFonts w:cs="Arial"/>
                <w:noProof/>
                <w:szCs w:val="20"/>
                <w:lang w:val="de-DE"/>
              </w:rPr>
            </w:pPr>
          </w:p>
        </w:tc>
      </w:tr>
    </w:tbl>
    <w:p w14:paraId="421F5334" w14:textId="77777777" w:rsidR="00E64DD1" w:rsidRPr="00F018CA" w:rsidRDefault="00E64DD1" w:rsidP="00E64DD1">
      <w:pPr>
        <w:rPr>
          <w:rFonts w:cs="Arial"/>
          <w:b/>
          <w:szCs w:val="20"/>
          <w:lang w:val="de-DE"/>
        </w:rPr>
      </w:pPr>
    </w:p>
    <w:p w14:paraId="46C7CA4E" w14:textId="43D6E662" w:rsidR="00E64DD1" w:rsidRPr="00F018CA" w:rsidRDefault="00D8100C" w:rsidP="00E64DD1">
      <w:pPr>
        <w:rPr>
          <w:rFonts w:cs="Arial"/>
          <w:bCs/>
          <w:i/>
          <w:noProof/>
          <w:szCs w:val="20"/>
          <w:lang w:val="de-DE"/>
        </w:rPr>
      </w:pPr>
      <w:r>
        <w:rPr>
          <w:rFonts w:cs="Arial"/>
          <w:bCs/>
          <w:i/>
          <w:noProof/>
          <w:szCs w:val="20"/>
          <w:lang w:val="de-DE"/>
        </w:rPr>
        <w:t>Sklic</w:t>
      </w:r>
      <w:r w:rsidR="00043989" w:rsidRPr="00F018CA">
        <w:rPr>
          <w:rFonts w:cs="Arial"/>
          <w:bCs/>
          <w:i/>
          <w:noProof/>
          <w:szCs w:val="20"/>
          <w:lang w:val="de-DE"/>
        </w:rPr>
        <w:t xml:space="preserve">: </w:t>
      </w:r>
      <w:r>
        <w:rPr>
          <w:rFonts w:cs="Arial"/>
          <w:bCs/>
          <w:i/>
          <w:noProof/>
          <w:szCs w:val="20"/>
          <w:lang w:val="de-DE"/>
        </w:rPr>
        <w:t>Člen 22</w:t>
      </w:r>
      <w:r w:rsidR="00E64DD1" w:rsidRPr="00F018CA">
        <w:rPr>
          <w:rFonts w:cs="Arial"/>
          <w:bCs/>
          <w:i/>
          <w:noProof/>
          <w:szCs w:val="20"/>
          <w:lang w:val="de-DE"/>
        </w:rPr>
        <w:t>(3)</w:t>
      </w:r>
      <w:r w:rsidR="00043989" w:rsidRPr="00F018CA">
        <w:rPr>
          <w:rFonts w:cs="Arial"/>
          <w:bCs/>
          <w:i/>
          <w:noProof/>
          <w:szCs w:val="20"/>
          <w:lang w:val="de-DE"/>
        </w:rPr>
        <w:t xml:space="preserve"> </w:t>
      </w:r>
      <w:r>
        <w:rPr>
          <w:rFonts w:cs="Arial"/>
          <w:bCs/>
          <w:i/>
          <w:noProof/>
          <w:szCs w:val="20"/>
          <w:lang w:val="de-DE"/>
        </w:rPr>
        <w:t>CPR</w:t>
      </w:r>
    </w:p>
    <w:p w14:paraId="79A8F90F" w14:textId="77777777" w:rsidR="00043989" w:rsidRPr="00F018CA" w:rsidRDefault="00043989" w:rsidP="00E64DD1">
      <w:pPr>
        <w:rPr>
          <w:rFonts w:cs="Arial"/>
          <w:bCs/>
          <w:i/>
          <w:iCs/>
          <w:noProof/>
          <w:szCs w:val="20"/>
          <w:lang w:val="de-DE"/>
        </w:rPr>
      </w:pPr>
    </w:p>
    <w:p w14:paraId="6267B5C6" w14:textId="3EE33B47" w:rsidR="00E64DD1" w:rsidRDefault="00272556" w:rsidP="00E64DD1">
      <w:pPr>
        <w:rPr>
          <w:rFonts w:cs="Arial"/>
          <w:b/>
          <w:noProof/>
          <w:szCs w:val="20"/>
          <w:lang w:val="de-DE"/>
        </w:rPr>
      </w:pPr>
      <w:r>
        <w:rPr>
          <w:rFonts w:cs="Arial"/>
          <w:b/>
          <w:noProof/>
          <w:szCs w:val="20"/>
          <w:lang w:val="de-DE"/>
        </w:rPr>
        <w:t>R</w:t>
      </w:r>
      <w:r w:rsidR="00043989" w:rsidRPr="00F018CA">
        <w:rPr>
          <w:rFonts w:cs="Arial"/>
          <w:b/>
          <w:noProof/>
          <w:szCs w:val="20"/>
          <w:lang w:val="de-DE"/>
        </w:rPr>
        <w:t>azdelitev povrnjenih zneskov za tehnično po</w:t>
      </w:r>
      <w:r w:rsidR="001A6A04" w:rsidRPr="00F018CA">
        <w:rPr>
          <w:rFonts w:cs="Arial"/>
          <w:b/>
          <w:noProof/>
          <w:szCs w:val="20"/>
          <w:lang w:val="de-DE"/>
        </w:rPr>
        <w:t>moč v skladu s členom 3</w:t>
      </w:r>
      <w:r w:rsidR="00D8100C">
        <w:rPr>
          <w:rFonts w:cs="Arial"/>
          <w:b/>
          <w:noProof/>
          <w:szCs w:val="20"/>
          <w:lang w:val="de-DE"/>
        </w:rPr>
        <w:t>6</w:t>
      </w:r>
      <w:r w:rsidR="001A6A04" w:rsidRPr="00F018CA">
        <w:rPr>
          <w:rFonts w:cs="Arial"/>
          <w:b/>
          <w:noProof/>
          <w:szCs w:val="20"/>
          <w:lang w:val="de-DE"/>
        </w:rPr>
        <w:t xml:space="preserve"> (5) </w:t>
      </w:r>
      <w:r w:rsidR="00D8100C">
        <w:rPr>
          <w:rFonts w:cs="Arial"/>
          <w:b/>
          <w:noProof/>
          <w:szCs w:val="20"/>
          <w:lang w:val="de-DE"/>
        </w:rPr>
        <w:t>CPR, če je za prejemanje plačil Komisije opredeljenih več teles.</w:t>
      </w:r>
    </w:p>
    <w:p w14:paraId="2C549D44" w14:textId="77777777" w:rsidR="00D8100C" w:rsidRPr="00F018CA" w:rsidRDefault="00D8100C" w:rsidP="00E64DD1">
      <w:pPr>
        <w:rPr>
          <w:rFonts w:cs="Arial"/>
          <w:b/>
          <w:noProof/>
          <w:szCs w:val="20"/>
          <w:lang w:val="de-DE"/>
        </w:rPr>
      </w:pPr>
    </w:p>
    <w:tbl>
      <w:tblPr>
        <w:tblStyle w:val="Tabelamrea"/>
        <w:tblW w:w="0" w:type="auto"/>
        <w:tblLook w:val="04A0" w:firstRow="1" w:lastRow="0" w:firstColumn="1" w:lastColumn="0" w:noHBand="0" w:noVBand="1"/>
      </w:tblPr>
      <w:tblGrid>
        <w:gridCol w:w="7687"/>
        <w:gridCol w:w="801"/>
      </w:tblGrid>
      <w:tr w:rsidR="00E64DD1" w:rsidRPr="00F700CD" w14:paraId="0F00C1B0" w14:textId="77777777" w:rsidTr="002008C1">
        <w:tc>
          <w:tcPr>
            <w:tcW w:w="8472" w:type="dxa"/>
          </w:tcPr>
          <w:p w14:paraId="3FB55A8D" w14:textId="175C12B7" w:rsidR="00E64DD1" w:rsidRPr="00F018CA" w:rsidRDefault="001A6A04" w:rsidP="002008C1">
            <w:pPr>
              <w:rPr>
                <w:rFonts w:cs="Arial"/>
                <w:b/>
                <w:noProof/>
                <w:szCs w:val="20"/>
                <w:lang w:val="de-DE"/>
              </w:rPr>
            </w:pPr>
            <w:r w:rsidRPr="00F018CA">
              <w:rPr>
                <w:rFonts w:cs="Arial"/>
                <w:b/>
                <w:noProof/>
                <w:szCs w:val="20"/>
                <w:lang w:val="de-DE"/>
              </w:rPr>
              <w:t>Delež odstotkov iz člena 3</w:t>
            </w:r>
            <w:r w:rsidR="00D8100C">
              <w:rPr>
                <w:rFonts w:cs="Arial"/>
                <w:b/>
                <w:noProof/>
                <w:szCs w:val="20"/>
                <w:lang w:val="de-DE"/>
              </w:rPr>
              <w:t>6</w:t>
            </w:r>
            <w:r w:rsidRPr="00F018CA">
              <w:rPr>
                <w:rFonts w:cs="Arial"/>
                <w:b/>
                <w:noProof/>
                <w:szCs w:val="20"/>
                <w:lang w:val="de-DE"/>
              </w:rPr>
              <w:t xml:space="preserve"> (5) (b),</w:t>
            </w:r>
            <w:r w:rsidR="00980F5F">
              <w:rPr>
                <w:rFonts w:cs="Arial"/>
                <w:b/>
                <w:noProof/>
                <w:szCs w:val="20"/>
                <w:lang w:val="de-DE"/>
              </w:rPr>
              <w:t xml:space="preserve"> uredbe o skupnih določbah,</w:t>
            </w:r>
            <w:r w:rsidRPr="00F018CA">
              <w:rPr>
                <w:rFonts w:cs="Arial"/>
                <w:b/>
                <w:noProof/>
                <w:szCs w:val="20"/>
                <w:lang w:val="de-DE"/>
              </w:rPr>
              <w:t xml:space="preserve"> ki bi bil povrnjen organu, ki prejme plačila od Komisije v primeru tehnične pomoči v skladu s členom 3</w:t>
            </w:r>
            <w:r w:rsidR="00980F5F">
              <w:rPr>
                <w:rFonts w:cs="Arial"/>
                <w:b/>
                <w:noProof/>
                <w:szCs w:val="20"/>
                <w:lang w:val="de-DE"/>
              </w:rPr>
              <w:t>6</w:t>
            </w:r>
            <w:r w:rsidRPr="00F018CA">
              <w:rPr>
                <w:rFonts w:cs="Arial"/>
                <w:b/>
                <w:noProof/>
                <w:szCs w:val="20"/>
                <w:lang w:val="de-DE"/>
              </w:rPr>
              <w:t>(5)</w:t>
            </w:r>
            <w:r w:rsidR="00980F5F">
              <w:rPr>
                <w:rFonts w:cs="Arial"/>
                <w:b/>
                <w:noProof/>
                <w:szCs w:val="20"/>
                <w:lang w:val="de-DE"/>
              </w:rPr>
              <w:t xml:space="preserve"> uredbe o skupnih določbah</w:t>
            </w:r>
            <w:r w:rsidRPr="00F018CA">
              <w:rPr>
                <w:rFonts w:cs="Arial"/>
                <w:b/>
                <w:noProof/>
                <w:szCs w:val="20"/>
                <w:lang w:val="de-DE"/>
              </w:rPr>
              <w:t xml:space="preserve"> (v odstotnih točkah) </w:t>
            </w:r>
          </w:p>
        </w:tc>
        <w:tc>
          <w:tcPr>
            <w:tcW w:w="850" w:type="dxa"/>
          </w:tcPr>
          <w:p w14:paraId="2B5FA319" w14:textId="74449D09" w:rsidR="00E64DD1" w:rsidRPr="00F018CA" w:rsidRDefault="00F4551A" w:rsidP="002008C1">
            <w:pPr>
              <w:rPr>
                <w:rFonts w:cs="Arial"/>
                <w:noProof/>
                <w:szCs w:val="20"/>
                <w:lang w:val="de-DE"/>
              </w:rPr>
            </w:pPr>
            <w:r>
              <w:rPr>
                <w:rFonts w:cs="Arial"/>
                <w:noProof/>
                <w:szCs w:val="20"/>
                <w:lang w:val="de-DE"/>
              </w:rPr>
              <w:t>6 %</w:t>
            </w:r>
          </w:p>
        </w:tc>
      </w:tr>
    </w:tbl>
    <w:p w14:paraId="2B133AFB" w14:textId="77777777" w:rsidR="00E64DD1" w:rsidRPr="00F018CA" w:rsidRDefault="00E64DD1" w:rsidP="00E64DD1">
      <w:pPr>
        <w:rPr>
          <w:rFonts w:cs="Arial"/>
          <w:b/>
          <w:szCs w:val="20"/>
          <w:lang w:val="de-DE"/>
        </w:rPr>
      </w:pPr>
    </w:p>
    <w:p w14:paraId="1BCA71F2" w14:textId="77777777" w:rsidR="001A6A04" w:rsidRPr="00F018CA" w:rsidRDefault="001A6A04" w:rsidP="00E64DD1">
      <w:pPr>
        <w:rPr>
          <w:rFonts w:cs="Arial"/>
          <w:b/>
          <w:szCs w:val="20"/>
          <w:lang w:val="de-DE"/>
        </w:rPr>
      </w:pPr>
    </w:p>
    <w:p w14:paraId="408224AF" w14:textId="77777777" w:rsidR="001A6A04" w:rsidRPr="00A40660" w:rsidRDefault="001A6A04">
      <w:pPr>
        <w:spacing w:after="200" w:line="276" w:lineRule="auto"/>
        <w:rPr>
          <w:rFonts w:cs="Arial"/>
          <w:b/>
          <w:szCs w:val="20"/>
          <w:lang w:val="de-DE"/>
        </w:rPr>
      </w:pPr>
      <w:r w:rsidRPr="00A40660">
        <w:rPr>
          <w:rFonts w:cs="Arial"/>
          <w:b/>
          <w:szCs w:val="20"/>
          <w:lang w:val="de-DE"/>
        </w:rPr>
        <w:br w:type="page"/>
      </w:r>
    </w:p>
    <w:p w14:paraId="5BC62A42" w14:textId="77777777" w:rsidR="001A6A04" w:rsidRPr="002458C0" w:rsidRDefault="001A6A04" w:rsidP="002458C0">
      <w:pPr>
        <w:pStyle w:val="Naslov1"/>
      </w:pPr>
      <w:bookmarkStart w:id="29" w:name="_Toc106099914"/>
      <w:r w:rsidRPr="002458C0">
        <w:lastRenderedPageBreak/>
        <w:t>6. Partnerstvo</w:t>
      </w:r>
      <w:bookmarkEnd w:id="29"/>
    </w:p>
    <w:p w14:paraId="5C501A44" w14:textId="2EBBCD9B" w:rsidR="001A6A04" w:rsidRPr="00A40660" w:rsidRDefault="001A6A04" w:rsidP="001A6A04">
      <w:pPr>
        <w:rPr>
          <w:rFonts w:cs="Arial"/>
          <w:i/>
          <w:iCs/>
          <w:szCs w:val="20"/>
        </w:rPr>
      </w:pPr>
      <w:r w:rsidRPr="00A40660">
        <w:rPr>
          <w:rFonts w:cs="Arial"/>
          <w:i/>
          <w:iCs/>
          <w:szCs w:val="20"/>
        </w:rPr>
        <w:t xml:space="preserve">Sklic: člen </w:t>
      </w:r>
      <w:r w:rsidR="00DE508D">
        <w:rPr>
          <w:rFonts w:cs="Arial"/>
          <w:i/>
          <w:iCs/>
          <w:szCs w:val="20"/>
        </w:rPr>
        <w:t>22</w:t>
      </w:r>
      <w:r w:rsidRPr="00A40660">
        <w:rPr>
          <w:rFonts w:cs="Arial"/>
          <w:i/>
          <w:iCs/>
          <w:szCs w:val="20"/>
        </w:rPr>
        <w:t>(3)(</w:t>
      </w:r>
      <w:r w:rsidR="00DE508D">
        <w:rPr>
          <w:rFonts w:cs="Arial"/>
          <w:i/>
          <w:iCs/>
          <w:szCs w:val="20"/>
        </w:rPr>
        <w:t>h</w:t>
      </w:r>
      <w:r w:rsidRPr="00A40660">
        <w:rPr>
          <w:rFonts w:cs="Arial"/>
          <w:i/>
          <w:iCs/>
          <w:szCs w:val="20"/>
        </w:rPr>
        <w:t>)</w:t>
      </w:r>
    </w:p>
    <w:p w14:paraId="080C78F3" w14:textId="77777777" w:rsidR="001A6A04" w:rsidRPr="00A40660" w:rsidRDefault="001A6A04" w:rsidP="001A6A04">
      <w:pPr>
        <w:pBdr>
          <w:top w:val="single" w:sz="4" w:space="1" w:color="auto"/>
          <w:left w:val="single" w:sz="4" w:space="4" w:color="auto"/>
          <w:bottom w:val="single" w:sz="4" w:space="1" w:color="auto"/>
          <w:right w:val="single" w:sz="4" w:space="4" w:color="auto"/>
        </w:pBdr>
        <w:rPr>
          <w:rFonts w:cs="Arial"/>
          <w:b/>
          <w:szCs w:val="20"/>
          <w:lang w:val="de-DE"/>
        </w:rPr>
      </w:pPr>
    </w:p>
    <w:p w14:paraId="6188B860" w14:textId="77777777" w:rsidR="001A6A04" w:rsidRDefault="001A6A04" w:rsidP="001A6A04">
      <w:pPr>
        <w:pBdr>
          <w:top w:val="single" w:sz="4" w:space="1" w:color="auto"/>
          <w:left w:val="single" w:sz="4" w:space="4" w:color="auto"/>
          <w:bottom w:val="single" w:sz="4" w:space="1" w:color="auto"/>
          <w:right w:val="single" w:sz="4" w:space="4" w:color="auto"/>
        </w:pBdr>
        <w:rPr>
          <w:rFonts w:cs="Arial"/>
          <w:bCs/>
          <w:i/>
          <w:noProof/>
          <w:szCs w:val="20"/>
          <w:lang w:val="de-DE"/>
        </w:rPr>
      </w:pPr>
      <w:r w:rsidRPr="00F018CA">
        <w:rPr>
          <w:rFonts w:cs="Arial"/>
          <w:bCs/>
          <w:i/>
          <w:noProof/>
          <w:szCs w:val="20"/>
          <w:lang w:val="de-DE"/>
        </w:rPr>
        <w:t>Besedilno polje [10 000]</w:t>
      </w:r>
    </w:p>
    <w:p w14:paraId="55161A42" w14:textId="77777777" w:rsidR="007708A3" w:rsidRDefault="007708A3" w:rsidP="001E3C11">
      <w:pPr>
        <w:pBdr>
          <w:top w:val="single" w:sz="4" w:space="1" w:color="auto"/>
          <w:left w:val="single" w:sz="4" w:space="4" w:color="auto"/>
          <w:bottom w:val="single" w:sz="4" w:space="1" w:color="auto"/>
          <w:right w:val="single" w:sz="4" w:space="4" w:color="auto"/>
        </w:pBdr>
        <w:jc w:val="both"/>
        <w:rPr>
          <w:rFonts w:cs="Arial"/>
          <w:bCs/>
          <w:i/>
          <w:noProof/>
          <w:szCs w:val="20"/>
          <w:lang w:val="de-DE"/>
        </w:rPr>
      </w:pPr>
    </w:p>
    <w:p w14:paraId="4BFA3895" w14:textId="7A2E099D" w:rsidR="001E3C11" w:rsidRDefault="00021242" w:rsidP="001E3C11">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 xml:space="preserve">OP ESPRA 2021-2027 </w:t>
      </w:r>
      <w:r w:rsidRPr="00021242">
        <w:rPr>
          <w:rFonts w:cs="Arial"/>
          <w:bCs/>
          <w:noProof/>
          <w:szCs w:val="20"/>
        </w:rPr>
        <w:t>je rezultat sodelovanja med Ministrstvom za kmet</w:t>
      </w:r>
      <w:r w:rsidR="005510BE">
        <w:rPr>
          <w:rFonts w:cs="Arial"/>
          <w:bCs/>
          <w:noProof/>
          <w:szCs w:val="20"/>
        </w:rPr>
        <w:t>ijstvo, gozdarstvo in prehrano</w:t>
      </w:r>
      <w:r w:rsidR="00BB7834">
        <w:rPr>
          <w:rFonts w:cs="Arial"/>
          <w:bCs/>
          <w:noProof/>
          <w:szCs w:val="20"/>
        </w:rPr>
        <w:t>, ko</w:t>
      </w:r>
      <w:r w:rsidR="007708A3">
        <w:rPr>
          <w:rFonts w:cs="Arial"/>
          <w:bCs/>
          <w:noProof/>
          <w:szCs w:val="20"/>
        </w:rPr>
        <w:t>t O</w:t>
      </w:r>
      <w:r w:rsidR="00BB7834">
        <w:rPr>
          <w:rFonts w:cs="Arial"/>
          <w:bCs/>
          <w:noProof/>
          <w:szCs w:val="20"/>
        </w:rPr>
        <w:t>rganom upravljanja,</w:t>
      </w:r>
      <w:r w:rsidR="005510BE">
        <w:rPr>
          <w:rFonts w:cs="Arial"/>
          <w:bCs/>
          <w:noProof/>
          <w:szCs w:val="20"/>
        </w:rPr>
        <w:t xml:space="preserve"> </w:t>
      </w:r>
      <w:r w:rsidR="00E80AEE">
        <w:rPr>
          <w:rFonts w:cs="Arial"/>
          <w:bCs/>
          <w:noProof/>
          <w:szCs w:val="20"/>
        </w:rPr>
        <w:t>ekonomskimi in</w:t>
      </w:r>
      <w:r w:rsidRPr="00021242">
        <w:rPr>
          <w:rFonts w:cs="Arial"/>
          <w:bCs/>
          <w:noProof/>
          <w:szCs w:val="20"/>
        </w:rPr>
        <w:t xml:space="preserve"> socialnimi partnerji </w:t>
      </w:r>
      <w:r w:rsidR="00473D64">
        <w:rPr>
          <w:rFonts w:cs="Arial"/>
          <w:bCs/>
          <w:noProof/>
          <w:szCs w:val="20"/>
        </w:rPr>
        <w:t>ter</w:t>
      </w:r>
      <w:r w:rsidRPr="00021242">
        <w:rPr>
          <w:rFonts w:cs="Arial"/>
          <w:bCs/>
          <w:noProof/>
          <w:szCs w:val="20"/>
        </w:rPr>
        <w:t xml:space="preserve"> dr</w:t>
      </w:r>
      <w:r w:rsidR="00BB7834">
        <w:rPr>
          <w:rFonts w:cs="Arial"/>
          <w:bCs/>
          <w:noProof/>
          <w:szCs w:val="20"/>
        </w:rPr>
        <w:t xml:space="preserve">ugimi zainteresiranimi stranmi. </w:t>
      </w:r>
      <w:r w:rsidRPr="00021242">
        <w:rPr>
          <w:rFonts w:cs="Arial"/>
          <w:bCs/>
          <w:noProof/>
          <w:szCs w:val="20"/>
        </w:rPr>
        <w:t>V RS se te oblike partnerstva uporabljajo pri pripravi vseh razvojnih programov</w:t>
      </w:r>
      <w:r w:rsidR="00473D64">
        <w:rPr>
          <w:rFonts w:cs="Arial"/>
          <w:bCs/>
          <w:noProof/>
          <w:szCs w:val="20"/>
        </w:rPr>
        <w:t>.</w:t>
      </w:r>
      <w:r w:rsidR="00E80AEE">
        <w:rPr>
          <w:rFonts w:cs="Arial"/>
          <w:bCs/>
          <w:noProof/>
          <w:szCs w:val="20"/>
        </w:rPr>
        <w:t xml:space="preserve"> Partnerji za program OP ESPRA 2021 – 2027 so pomembni z vidika načrtovane uporabe sklada, ki prispevajo v program.</w:t>
      </w:r>
      <w:r w:rsidRPr="00021242">
        <w:rPr>
          <w:rFonts w:cs="Arial"/>
          <w:bCs/>
          <w:noProof/>
          <w:szCs w:val="20"/>
        </w:rPr>
        <w:t xml:space="preserve"> </w:t>
      </w:r>
      <w:r w:rsidR="00AC6084" w:rsidRPr="001E3C11">
        <w:rPr>
          <w:rFonts w:cs="Arial"/>
          <w:bCs/>
          <w:noProof/>
          <w:szCs w:val="20"/>
        </w:rPr>
        <w:t>Pri načrtovanju vsebin OP ESPRA 2021-2027 je</w:t>
      </w:r>
      <w:r w:rsidR="005510BE">
        <w:rPr>
          <w:rFonts w:cs="Arial"/>
          <w:bCs/>
          <w:noProof/>
          <w:szCs w:val="20"/>
        </w:rPr>
        <w:t xml:space="preserve"> tako</w:t>
      </w:r>
      <w:r w:rsidR="00AC6084" w:rsidRPr="001E3C11">
        <w:rPr>
          <w:rFonts w:cs="Arial"/>
          <w:bCs/>
          <w:noProof/>
          <w:szCs w:val="20"/>
        </w:rPr>
        <w:t xml:space="preserve"> Organ upravljanja vključil deležnike na državni in lokalni ravni v vse stopnje priprave programa</w:t>
      </w:r>
      <w:r w:rsidR="00473D64">
        <w:rPr>
          <w:rFonts w:cs="Arial"/>
          <w:bCs/>
          <w:noProof/>
          <w:szCs w:val="20"/>
        </w:rPr>
        <w:t>, ki ga sestavljajo priprava, izvajanje, spremljanje in vrednotenje,</w:t>
      </w:r>
      <w:r w:rsidR="00AC6084" w:rsidRPr="001E3C11">
        <w:rPr>
          <w:rFonts w:cs="Arial"/>
          <w:bCs/>
          <w:noProof/>
          <w:szCs w:val="20"/>
        </w:rPr>
        <w:t xml:space="preserve"> v skladu </w:t>
      </w:r>
      <w:r w:rsidR="00340E75">
        <w:rPr>
          <w:rFonts w:cs="Arial"/>
          <w:bCs/>
          <w:noProof/>
          <w:szCs w:val="20"/>
        </w:rPr>
        <w:t>z E</w:t>
      </w:r>
      <w:r w:rsidR="003215AE">
        <w:rPr>
          <w:rFonts w:cs="Arial"/>
          <w:bCs/>
          <w:noProof/>
          <w:szCs w:val="20"/>
        </w:rPr>
        <w:t>vropskim kodeksom</w:t>
      </w:r>
      <w:r w:rsidR="00340E75">
        <w:rPr>
          <w:rFonts w:cs="Arial"/>
          <w:bCs/>
          <w:noProof/>
          <w:szCs w:val="20"/>
        </w:rPr>
        <w:t xml:space="preserve"> dobre prakse za partnerstvo.</w:t>
      </w:r>
    </w:p>
    <w:p w14:paraId="215775CC" w14:textId="77777777" w:rsidR="00E80AEE" w:rsidRDefault="00E80AEE" w:rsidP="001E3C11">
      <w:pPr>
        <w:pBdr>
          <w:top w:val="single" w:sz="4" w:space="1" w:color="auto"/>
          <w:left w:val="single" w:sz="4" w:space="4" w:color="auto"/>
          <w:bottom w:val="single" w:sz="4" w:space="1" w:color="auto"/>
          <w:right w:val="single" w:sz="4" w:space="4" w:color="auto"/>
        </w:pBdr>
        <w:jc w:val="both"/>
        <w:rPr>
          <w:rFonts w:cs="Arial"/>
          <w:bCs/>
          <w:noProof/>
          <w:szCs w:val="20"/>
        </w:rPr>
      </w:pPr>
    </w:p>
    <w:p w14:paraId="59598777" w14:textId="77777777" w:rsidR="001E3C11" w:rsidRDefault="001E3C11" w:rsidP="001E3C11">
      <w:pPr>
        <w:pBdr>
          <w:top w:val="single" w:sz="4" w:space="1" w:color="auto"/>
          <w:left w:val="single" w:sz="4" w:space="4" w:color="auto"/>
          <w:bottom w:val="single" w:sz="4" w:space="1" w:color="auto"/>
          <w:right w:val="single" w:sz="4" w:space="4" w:color="auto"/>
        </w:pBdr>
        <w:jc w:val="both"/>
        <w:rPr>
          <w:rFonts w:cs="Arial"/>
          <w:bCs/>
          <w:noProof/>
          <w:szCs w:val="20"/>
        </w:rPr>
      </w:pPr>
    </w:p>
    <w:p w14:paraId="5AAECA2E" w14:textId="7AC70FAD" w:rsidR="00AC6084" w:rsidRPr="001E3C11" w:rsidRDefault="00AC6084" w:rsidP="001E3C11">
      <w:pPr>
        <w:pBdr>
          <w:top w:val="single" w:sz="4" w:space="1" w:color="auto"/>
          <w:left w:val="single" w:sz="4" w:space="4" w:color="auto"/>
          <w:bottom w:val="single" w:sz="4" w:space="1" w:color="auto"/>
          <w:right w:val="single" w:sz="4" w:space="4" w:color="auto"/>
        </w:pBdr>
        <w:jc w:val="both"/>
        <w:rPr>
          <w:rFonts w:cs="Arial"/>
          <w:bCs/>
          <w:noProof/>
          <w:szCs w:val="20"/>
        </w:rPr>
      </w:pPr>
      <w:r w:rsidRPr="001E3C11">
        <w:rPr>
          <w:rFonts w:cs="Arial"/>
          <w:bCs/>
          <w:noProof/>
          <w:szCs w:val="20"/>
        </w:rPr>
        <w:t xml:space="preserve">S sklepom ministra so bile vzpostavljene 4 delovne skupine </w:t>
      </w:r>
      <w:r w:rsidR="00B75A74" w:rsidRPr="00B75A74">
        <w:rPr>
          <w:rFonts w:cs="Arial"/>
          <w:bCs/>
          <w:noProof/>
          <w:szCs w:val="20"/>
        </w:rPr>
        <w:t xml:space="preserve">za pripravo Nacionalnega strateškega načrta za razvoj akvakulture v RS za obdobje 2021-2027 in operativnega programa, </w:t>
      </w:r>
      <w:r w:rsidRPr="001E3C11">
        <w:rPr>
          <w:rFonts w:cs="Arial"/>
          <w:bCs/>
          <w:noProof/>
          <w:szCs w:val="20"/>
        </w:rPr>
        <w:t xml:space="preserve">glede na </w:t>
      </w:r>
      <w:r w:rsidR="001E3C11">
        <w:rPr>
          <w:rFonts w:cs="Arial"/>
          <w:bCs/>
          <w:noProof/>
          <w:szCs w:val="20"/>
        </w:rPr>
        <w:t xml:space="preserve">posamezna </w:t>
      </w:r>
      <w:r w:rsidRPr="001E3C11">
        <w:rPr>
          <w:rFonts w:cs="Arial"/>
          <w:bCs/>
          <w:noProof/>
          <w:szCs w:val="20"/>
        </w:rPr>
        <w:t>tematska področja:</w:t>
      </w:r>
    </w:p>
    <w:p w14:paraId="7E8F1A67" w14:textId="77777777" w:rsidR="00AC6084" w:rsidRPr="001E3C11" w:rsidRDefault="00AC6084" w:rsidP="001E3C11">
      <w:pPr>
        <w:pBdr>
          <w:top w:val="single" w:sz="4" w:space="1" w:color="auto"/>
          <w:left w:val="single" w:sz="4" w:space="4" w:color="auto"/>
          <w:bottom w:val="single" w:sz="4" w:space="1" w:color="auto"/>
          <w:right w:val="single" w:sz="4" w:space="4" w:color="auto"/>
        </w:pBdr>
        <w:jc w:val="both"/>
        <w:rPr>
          <w:rFonts w:cs="Arial"/>
          <w:bCs/>
          <w:noProof/>
          <w:szCs w:val="20"/>
        </w:rPr>
      </w:pPr>
      <w:r w:rsidRPr="001E3C11">
        <w:rPr>
          <w:rFonts w:cs="Arial"/>
          <w:bCs/>
          <w:noProof/>
          <w:szCs w:val="20"/>
        </w:rPr>
        <w:t>- za morske gospodarske ribiče</w:t>
      </w:r>
      <w:r w:rsidR="00E124C1" w:rsidRPr="001E3C11">
        <w:rPr>
          <w:rFonts w:cs="Arial"/>
          <w:bCs/>
          <w:noProof/>
          <w:szCs w:val="20"/>
        </w:rPr>
        <w:t>: vključeni so bili morski gospodarski ribiči različnih ribolovnih tehnik</w:t>
      </w:r>
      <w:r w:rsidR="00021242">
        <w:rPr>
          <w:rFonts w:cs="Arial"/>
          <w:bCs/>
          <w:noProof/>
          <w:szCs w:val="20"/>
        </w:rPr>
        <w:t xml:space="preserve"> (</w:t>
      </w:r>
      <w:r w:rsidR="00021242" w:rsidRPr="00021242">
        <w:rPr>
          <w:rFonts w:cs="Arial"/>
        </w:rPr>
        <w:t>stoječe mreže, plavarice, koče</w:t>
      </w:r>
      <w:r w:rsidR="00021242">
        <w:rPr>
          <w:rFonts w:cs="Arial"/>
        </w:rPr>
        <w:t>)</w:t>
      </w:r>
      <w:r w:rsidR="00E124C1" w:rsidRPr="001E3C11">
        <w:rPr>
          <w:rFonts w:cs="Arial"/>
          <w:bCs/>
          <w:noProof/>
          <w:szCs w:val="20"/>
        </w:rPr>
        <w:t xml:space="preserve"> in Zavod za ribištvo Slovenije</w:t>
      </w:r>
      <w:r w:rsidR="00BB7834">
        <w:rPr>
          <w:rFonts w:cs="Arial"/>
          <w:bCs/>
          <w:noProof/>
          <w:szCs w:val="20"/>
        </w:rPr>
        <w:t>;</w:t>
      </w:r>
    </w:p>
    <w:p w14:paraId="52F4DD80" w14:textId="77777777" w:rsidR="00AC6084" w:rsidRPr="001E3C11" w:rsidRDefault="00AC6084" w:rsidP="001E3C11">
      <w:pPr>
        <w:pBdr>
          <w:top w:val="single" w:sz="4" w:space="1" w:color="auto"/>
          <w:left w:val="single" w:sz="4" w:space="4" w:color="auto"/>
          <w:bottom w:val="single" w:sz="4" w:space="1" w:color="auto"/>
          <w:right w:val="single" w:sz="4" w:space="4" w:color="auto"/>
        </w:pBdr>
        <w:jc w:val="both"/>
        <w:rPr>
          <w:rFonts w:cs="Arial"/>
          <w:bCs/>
          <w:noProof/>
          <w:szCs w:val="20"/>
        </w:rPr>
      </w:pPr>
      <w:r w:rsidRPr="001E3C11">
        <w:rPr>
          <w:rFonts w:cs="Arial"/>
          <w:bCs/>
          <w:noProof/>
          <w:szCs w:val="20"/>
        </w:rPr>
        <w:t>- za akvakulturo in predelavo</w:t>
      </w:r>
      <w:r w:rsidR="007708A3">
        <w:rPr>
          <w:rFonts w:cs="Arial"/>
          <w:bCs/>
          <w:noProof/>
          <w:szCs w:val="20"/>
        </w:rPr>
        <w:t xml:space="preserve"> v ribištvu</w:t>
      </w:r>
      <w:r w:rsidR="00E124C1" w:rsidRPr="001E3C11">
        <w:rPr>
          <w:rFonts w:cs="Arial"/>
          <w:bCs/>
          <w:noProof/>
          <w:szCs w:val="20"/>
        </w:rPr>
        <w:t>:</w:t>
      </w:r>
      <w:r w:rsidRPr="001E3C11">
        <w:rPr>
          <w:rFonts w:cs="Arial"/>
          <w:bCs/>
          <w:noProof/>
          <w:szCs w:val="20"/>
        </w:rPr>
        <w:t xml:space="preserve"> </w:t>
      </w:r>
      <w:r w:rsidR="001E3C11">
        <w:rPr>
          <w:rFonts w:cs="Arial"/>
          <w:bCs/>
          <w:noProof/>
          <w:szCs w:val="20"/>
        </w:rPr>
        <w:t xml:space="preserve">vključeni so bili </w:t>
      </w:r>
      <w:r w:rsidR="00E124C1" w:rsidRPr="001E3C11">
        <w:t>predstavniki podjetij v sektorju akvakulture</w:t>
      </w:r>
      <w:r w:rsidR="00021242">
        <w:t xml:space="preserve"> (</w:t>
      </w:r>
      <w:r w:rsidR="00021242" w:rsidRPr="00021242">
        <w:rPr>
          <w:rFonts w:cs="Arial"/>
        </w:rPr>
        <w:t>hladnovodna, toplovodna, marikultura</w:t>
      </w:r>
      <w:r w:rsidR="00021242">
        <w:rPr>
          <w:rFonts w:cs="Arial"/>
        </w:rPr>
        <w:t>)</w:t>
      </w:r>
      <w:r w:rsidR="00E124C1" w:rsidRPr="001E3C11">
        <w:t xml:space="preserve"> in predelave,</w:t>
      </w:r>
      <w:r w:rsidR="00BB7834">
        <w:t xml:space="preserve"> </w:t>
      </w:r>
      <w:r w:rsidR="00BB7834" w:rsidRPr="001E3C11">
        <w:t>Društv</w:t>
      </w:r>
      <w:r w:rsidR="00BB7834">
        <w:t>o</w:t>
      </w:r>
      <w:r w:rsidR="00BB7834" w:rsidRPr="001E3C11">
        <w:t xml:space="preserve"> rejcev vodnih živali</w:t>
      </w:r>
      <w:r w:rsidR="00BB7834">
        <w:t>, pristojni organi za izdajanje dovoljenj v akvakulturi (</w:t>
      </w:r>
      <w:r w:rsidR="00E124C1" w:rsidRPr="001E3C11">
        <w:t>Ministrstv</w:t>
      </w:r>
      <w:r w:rsidR="00BB7834">
        <w:t>o</w:t>
      </w:r>
      <w:r w:rsidR="00E124C1" w:rsidRPr="001E3C11">
        <w:t xml:space="preserve"> za okolje in prostor, </w:t>
      </w:r>
      <w:r w:rsidR="00BB7834">
        <w:t>Agencija</w:t>
      </w:r>
      <w:r w:rsidR="00E124C1" w:rsidRPr="001E3C11">
        <w:t xml:space="preserve"> </w:t>
      </w:r>
      <w:r w:rsidR="00BB7834">
        <w:t xml:space="preserve">RS </w:t>
      </w:r>
      <w:r w:rsidR="00E124C1" w:rsidRPr="001E3C11">
        <w:t>za okolje,</w:t>
      </w:r>
      <w:r w:rsidR="00BB7834">
        <w:t xml:space="preserve"> Direkcija RS za vode</w:t>
      </w:r>
      <w:r w:rsidR="00E124C1" w:rsidRPr="001E3C11">
        <w:t>, Zavod RS za varstvo n</w:t>
      </w:r>
      <w:r w:rsidR="00BB7834">
        <w:t>arave, Nacionalni</w:t>
      </w:r>
      <w:r w:rsidR="00E124C1" w:rsidRPr="001E3C11">
        <w:t xml:space="preserve"> inštitut za javno zdravje</w:t>
      </w:r>
      <w:r w:rsidR="00BB7834">
        <w:t>), Kmetijsko gozdarska zbornica</w:t>
      </w:r>
      <w:r w:rsidR="00BB7834" w:rsidRPr="001E3C11">
        <w:t xml:space="preserve"> Slovenije</w:t>
      </w:r>
      <w:r w:rsidR="00BB7834">
        <w:t>, Društvo</w:t>
      </w:r>
      <w:r w:rsidR="00E124C1" w:rsidRPr="001E3C11">
        <w:t xml:space="preserve"> za preučevanje ptic in v</w:t>
      </w:r>
      <w:r w:rsidR="00BB7834">
        <w:t xml:space="preserve">arstvo narave ter </w:t>
      </w:r>
      <w:r w:rsidR="00E124C1" w:rsidRPr="001E3C11">
        <w:t>Zavod za ribištvo Slovenije.</w:t>
      </w:r>
    </w:p>
    <w:p w14:paraId="16E2498D" w14:textId="77777777" w:rsidR="00AC6084" w:rsidRPr="001E3C11" w:rsidRDefault="00AC6084" w:rsidP="001E3C11">
      <w:pPr>
        <w:pBdr>
          <w:top w:val="single" w:sz="4" w:space="1" w:color="auto"/>
          <w:left w:val="single" w:sz="4" w:space="4" w:color="auto"/>
          <w:bottom w:val="single" w:sz="4" w:space="1" w:color="auto"/>
          <w:right w:val="single" w:sz="4" w:space="4" w:color="auto"/>
        </w:pBdr>
        <w:jc w:val="both"/>
        <w:rPr>
          <w:rFonts w:cs="Arial"/>
          <w:bCs/>
          <w:noProof/>
          <w:szCs w:val="20"/>
        </w:rPr>
      </w:pPr>
      <w:r w:rsidRPr="001E3C11">
        <w:rPr>
          <w:rFonts w:cs="Arial"/>
          <w:bCs/>
          <w:noProof/>
          <w:szCs w:val="20"/>
        </w:rPr>
        <w:t>- za lokalni razvoj, ki ga vodi skupnost</w:t>
      </w:r>
      <w:r w:rsidR="00E124C1" w:rsidRPr="001E3C11">
        <w:rPr>
          <w:rFonts w:cs="Arial"/>
          <w:bCs/>
          <w:noProof/>
          <w:szCs w:val="20"/>
        </w:rPr>
        <w:t>:</w:t>
      </w:r>
      <w:r w:rsidR="00EB2C76">
        <w:rPr>
          <w:rFonts w:cs="Arial"/>
          <w:bCs/>
          <w:noProof/>
          <w:szCs w:val="20"/>
        </w:rPr>
        <w:t xml:space="preserve"> vključeni</w:t>
      </w:r>
      <w:r w:rsidR="001E3C11">
        <w:rPr>
          <w:rFonts w:cs="Arial"/>
          <w:bCs/>
          <w:noProof/>
          <w:szCs w:val="20"/>
        </w:rPr>
        <w:t xml:space="preserve"> so bili </w:t>
      </w:r>
      <w:r w:rsidR="00EB2C76">
        <w:rPr>
          <w:rFonts w:cs="Arial"/>
          <w:bCs/>
          <w:noProof/>
          <w:szCs w:val="20"/>
        </w:rPr>
        <w:t xml:space="preserve">predstavniki </w:t>
      </w:r>
      <w:r w:rsidR="00BB7834">
        <w:rPr>
          <w:rFonts w:cs="Arial"/>
          <w:bCs/>
          <w:noProof/>
          <w:szCs w:val="20"/>
        </w:rPr>
        <w:t xml:space="preserve">lokalnih območij </w:t>
      </w:r>
      <w:r w:rsidR="00EB2C76">
        <w:rPr>
          <w:rFonts w:cs="Arial"/>
          <w:bCs/>
          <w:noProof/>
          <w:szCs w:val="20"/>
        </w:rPr>
        <w:t>sektorja morskega gospodarskega ribolova in akvakulture ter 4 LASR, ki delujejo v programskem obdobju 2014-2020;</w:t>
      </w:r>
    </w:p>
    <w:p w14:paraId="022C55BB" w14:textId="2875190D" w:rsidR="00AC6084" w:rsidRPr="001E3C11" w:rsidRDefault="00AC6084" w:rsidP="001E3C11">
      <w:pPr>
        <w:pBdr>
          <w:top w:val="single" w:sz="4" w:space="1" w:color="auto"/>
          <w:left w:val="single" w:sz="4" w:space="4" w:color="auto"/>
          <w:bottom w:val="single" w:sz="4" w:space="1" w:color="auto"/>
          <w:right w:val="single" w:sz="4" w:space="4" w:color="auto"/>
        </w:pBdr>
        <w:jc w:val="both"/>
        <w:rPr>
          <w:rFonts w:cs="Arial"/>
          <w:bCs/>
          <w:noProof/>
          <w:szCs w:val="20"/>
        </w:rPr>
      </w:pPr>
      <w:r w:rsidRPr="001E3C11">
        <w:rPr>
          <w:rFonts w:cs="Arial"/>
          <w:bCs/>
          <w:noProof/>
          <w:szCs w:val="20"/>
        </w:rPr>
        <w:t>- za pomorske zadeve</w:t>
      </w:r>
      <w:r w:rsidR="00E124C1" w:rsidRPr="001E3C11">
        <w:rPr>
          <w:rFonts w:cs="Arial"/>
          <w:bCs/>
          <w:noProof/>
          <w:szCs w:val="20"/>
        </w:rPr>
        <w:t xml:space="preserve">: </w:t>
      </w:r>
      <w:r w:rsidR="001E3C11">
        <w:rPr>
          <w:rFonts w:cs="Arial"/>
          <w:bCs/>
          <w:noProof/>
          <w:szCs w:val="20"/>
        </w:rPr>
        <w:t>vključeni so bili predstavniki Ministrstva</w:t>
      </w:r>
      <w:r w:rsidR="00E124C1" w:rsidRPr="001E3C11">
        <w:rPr>
          <w:rFonts w:cs="Arial"/>
          <w:bCs/>
          <w:noProof/>
          <w:szCs w:val="20"/>
        </w:rPr>
        <w:t xml:space="preserve"> za okolje in prostor, </w:t>
      </w:r>
      <w:r w:rsidR="001E3C11">
        <w:rPr>
          <w:rFonts w:cs="Arial"/>
          <w:bCs/>
          <w:noProof/>
          <w:szCs w:val="20"/>
        </w:rPr>
        <w:t>Ministrstva za kulturo, Uprave</w:t>
      </w:r>
      <w:r w:rsidR="00E124C1" w:rsidRPr="001E3C11">
        <w:rPr>
          <w:rFonts w:cs="Arial"/>
          <w:bCs/>
          <w:noProof/>
          <w:szCs w:val="20"/>
        </w:rPr>
        <w:t xml:space="preserve"> RS </w:t>
      </w:r>
      <w:r w:rsidR="001E3C11">
        <w:rPr>
          <w:rFonts w:cs="Arial"/>
          <w:bCs/>
          <w:noProof/>
          <w:szCs w:val="20"/>
        </w:rPr>
        <w:t>za pomorstvo, Agencije</w:t>
      </w:r>
      <w:r w:rsidR="00E124C1" w:rsidRPr="001E3C11">
        <w:rPr>
          <w:rFonts w:cs="Arial"/>
          <w:bCs/>
          <w:noProof/>
          <w:szCs w:val="20"/>
        </w:rPr>
        <w:t xml:space="preserve"> RS za okolje, Inšpektorat</w:t>
      </w:r>
      <w:r w:rsidR="001E3C11">
        <w:rPr>
          <w:rFonts w:cs="Arial"/>
          <w:bCs/>
          <w:noProof/>
          <w:szCs w:val="20"/>
        </w:rPr>
        <w:t>a</w:t>
      </w:r>
      <w:r w:rsidR="00E124C1" w:rsidRPr="001E3C11">
        <w:rPr>
          <w:rFonts w:cs="Arial"/>
          <w:bCs/>
          <w:noProof/>
          <w:szCs w:val="20"/>
        </w:rPr>
        <w:t xml:space="preserve"> RS za kmetijstvo, gozdarstvo, lovstvo in ribištvo, Zavod</w:t>
      </w:r>
      <w:r w:rsidR="001E3C11">
        <w:rPr>
          <w:rFonts w:cs="Arial"/>
          <w:bCs/>
          <w:noProof/>
          <w:szCs w:val="20"/>
        </w:rPr>
        <w:t>a za ribištvo Slovenije</w:t>
      </w:r>
      <w:r w:rsidR="00E124C1" w:rsidRPr="001E3C11">
        <w:rPr>
          <w:rFonts w:cs="Arial"/>
          <w:bCs/>
          <w:noProof/>
          <w:szCs w:val="20"/>
        </w:rPr>
        <w:t>.</w:t>
      </w:r>
    </w:p>
    <w:p w14:paraId="79E1A08D" w14:textId="77777777" w:rsidR="001E3C11" w:rsidRDefault="001E3C11" w:rsidP="001E3C11">
      <w:pPr>
        <w:pBdr>
          <w:top w:val="single" w:sz="4" w:space="1" w:color="auto"/>
          <w:left w:val="single" w:sz="4" w:space="4" w:color="auto"/>
          <w:bottom w:val="single" w:sz="4" w:space="1" w:color="auto"/>
          <w:right w:val="single" w:sz="4" w:space="4" w:color="auto"/>
        </w:pBdr>
        <w:jc w:val="both"/>
        <w:rPr>
          <w:rFonts w:cs="Arial"/>
          <w:bCs/>
          <w:noProof/>
          <w:szCs w:val="20"/>
        </w:rPr>
      </w:pPr>
    </w:p>
    <w:p w14:paraId="5FD93536" w14:textId="590E25A0" w:rsidR="00E124C1" w:rsidRDefault="00E124C1" w:rsidP="001E3C11">
      <w:pPr>
        <w:pBdr>
          <w:top w:val="single" w:sz="4" w:space="1" w:color="auto"/>
          <w:left w:val="single" w:sz="4" w:space="4" w:color="auto"/>
          <w:bottom w:val="single" w:sz="4" w:space="1" w:color="auto"/>
          <w:right w:val="single" w:sz="4" w:space="4" w:color="auto"/>
        </w:pBdr>
        <w:jc w:val="both"/>
        <w:rPr>
          <w:rFonts w:cs="Arial"/>
          <w:bCs/>
          <w:noProof/>
          <w:szCs w:val="20"/>
        </w:rPr>
      </w:pPr>
      <w:r w:rsidRPr="001E3C11">
        <w:rPr>
          <w:rFonts w:cs="Arial"/>
          <w:bCs/>
          <w:noProof/>
          <w:szCs w:val="20"/>
        </w:rPr>
        <w:t xml:space="preserve">Naloge delovnih skupin </w:t>
      </w:r>
      <w:r w:rsidR="00B75A74">
        <w:rPr>
          <w:rFonts w:cs="Arial"/>
          <w:bCs/>
          <w:noProof/>
          <w:szCs w:val="20"/>
        </w:rPr>
        <w:t>so</w:t>
      </w:r>
      <w:r w:rsidR="00BB7834">
        <w:rPr>
          <w:rFonts w:cs="Arial"/>
          <w:bCs/>
          <w:noProof/>
          <w:szCs w:val="20"/>
        </w:rPr>
        <w:t xml:space="preserve"> oblikovanje</w:t>
      </w:r>
      <w:r w:rsidR="00613A04">
        <w:rPr>
          <w:rFonts w:cs="Arial"/>
          <w:bCs/>
          <w:noProof/>
          <w:szCs w:val="20"/>
        </w:rPr>
        <w:t xml:space="preserve"> Nacionalnega strateškega narč</w:t>
      </w:r>
      <w:r w:rsidR="001B6E1D">
        <w:rPr>
          <w:rFonts w:cs="Arial"/>
          <w:bCs/>
          <w:noProof/>
          <w:szCs w:val="20"/>
        </w:rPr>
        <w:t>r</w:t>
      </w:r>
      <w:r w:rsidR="00613A04">
        <w:rPr>
          <w:rFonts w:cs="Arial"/>
          <w:bCs/>
          <w:noProof/>
          <w:szCs w:val="20"/>
        </w:rPr>
        <w:t>ta za razvoj akvakulture v RS za obdobje 2021-20</w:t>
      </w:r>
      <w:r w:rsidR="00B75A74">
        <w:rPr>
          <w:rFonts w:cs="Arial"/>
          <w:bCs/>
          <w:noProof/>
          <w:szCs w:val="20"/>
        </w:rPr>
        <w:t>30,  priprava</w:t>
      </w:r>
      <w:r w:rsidR="00613A04">
        <w:rPr>
          <w:rFonts w:cs="Arial"/>
          <w:bCs/>
          <w:noProof/>
          <w:szCs w:val="20"/>
        </w:rPr>
        <w:t xml:space="preserve"> </w:t>
      </w:r>
      <w:r w:rsidRPr="001E3C11">
        <w:rPr>
          <w:rFonts w:cs="Arial"/>
          <w:bCs/>
          <w:noProof/>
          <w:szCs w:val="20"/>
        </w:rPr>
        <w:t xml:space="preserve">vsebin </w:t>
      </w:r>
      <w:r w:rsidR="00613A04">
        <w:rPr>
          <w:rFonts w:cs="Arial"/>
          <w:bCs/>
          <w:noProof/>
          <w:szCs w:val="20"/>
        </w:rPr>
        <w:t>part</w:t>
      </w:r>
      <w:r w:rsidR="00C67E59">
        <w:rPr>
          <w:rFonts w:cs="Arial"/>
          <w:bCs/>
          <w:noProof/>
          <w:szCs w:val="20"/>
        </w:rPr>
        <w:t>nerskega sporazuma</w:t>
      </w:r>
      <w:r w:rsidR="00B75A74">
        <w:rPr>
          <w:rFonts w:cs="Arial"/>
          <w:bCs/>
          <w:noProof/>
          <w:szCs w:val="20"/>
        </w:rPr>
        <w:t xml:space="preserve"> ter</w:t>
      </w:r>
      <w:r w:rsidR="000F012A" w:rsidRPr="001E3C11">
        <w:rPr>
          <w:rFonts w:cs="Arial"/>
          <w:bCs/>
          <w:noProof/>
          <w:szCs w:val="20"/>
        </w:rPr>
        <w:t xml:space="preserve"> OP ESPRA </w:t>
      </w:r>
      <w:r w:rsidRPr="001E3C11">
        <w:rPr>
          <w:rFonts w:cs="Arial"/>
          <w:bCs/>
          <w:noProof/>
          <w:szCs w:val="20"/>
        </w:rPr>
        <w:t>2021-2027</w:t>
      </w:r>
      <w:r w:rsidR="00613A04">
        <w:rPr>
          <w:rFonts w:cs="Arial"/>
          <w:bCs/>
          <w:noProof/>
          <w:szCs w:val="20"/>
        </w:rPr>
        <w:t xml:space="preserve"> </w:t>
      </w:r>
      <w:r w:rsidRPr="001E3C11">
        <w:rPr>
          <w:rFonts w:cs="Arial"/>
          <w:bCs/>
          <w:noProof/>
          <w:szCs w:val="20"/>
        </w:rPr>
        <w:t xml:space="preserve">za </w:t>
      </w:r>
      <w:r w:rsidR="000F012A" w:rsidRPr="001E3C11">
        <w:rPr>
          <w:rFonts w:cs="Arial"/>
          <w:bCs/>
          <w:noProof/>
          <w:szCs w:val="20"/>
        </w:rPr>
        <w:t>posamezna področja</w:t>
      </w:r>
      <w:r w:rsidR="00B75A74">
        <w:rPr>
          <w:rFonts w:cs="Arial"/>
          <w:bCs/>
          <w:noProof/>
          <w:szCs w:val="20"/>
        </w:rPr>
        <w:t xml:space="preserve">, </w:t>
      </w:r>
      <w:r w:rsidR="00B75A74" w:rsidRPr="00B75A74">
        <w:rPr>
          <w:rFonts w:cs="Arial"/>
          <w:bCs/>
          <w:noProof/>
          <w:szCs w:val="20"/>
        </w:rPr>
        <w:t xml:space="preserve">podajanje stališč in dopolnitev na zakonodajne predloge Evropske unije za večletni finančni okvir za obdobje 2021-2027, sodelovanje in pogajanja z Evropsko komisijo glede vsebin krovnih dokumentov, sodelovanje z nacionalnim izvajalcem izdelave celovite presoje vpliva na okolje (okoljsko poročilo in dodatek za varovana območja) </w:t>
      </w:r>
      <w:r w:rsidR="000F012A" w:rsidRPr="001E3C11">
        <w:rPr>
          <w:rFonts w:cs="Arial"/>
          <w:bCs/>
          <w:noProof/>
          <w:szCs w:val="20"/>
        </w:rPr>
        <w:t xml:space="preserve">ter </w:t>
      </w:r>
      <w:r w:rsidR="00C044D5">
        <w:rPr>
          <w:rFonts w:cs="Arial"/>
          <w:bCs/>
          <w:noProof/>
          <w:szCs w:val="20"/>
        </w:rPr>
        <w:t xml:space="preserve">dejavno </w:t>
      </w:r>
      <w:r w:rsidRPr="001E3C11">
        <w:rPr>
          <w:rFonts w:cs="Arial"/>
          <w:bCs/>
          <w:noProof/>
          <w:szCs w:val="20"/>
        </w:rPr>
        <w:t>sodelovanje na delavnic</w:t>
      </w:r>
      <w:r w:rsidR="000F012A" w:rsidRPr="001E3C11">
        <w:rPr>
          <w:rFonts w:cs="Arial"/>
          <w:bCs/>
          <w:noProof/>
          <w:szCs w:val="20"/>
        </w:rPr>
        <w:t>ah</w:t>
      </w:r>
      <w:r w:rsidR="00B75A74">
        <w:rPr>
          <w:rFonts w:cs="Arial"/>
          <w:bCs/>
          <w:noProof/>
          <w:szCs w:val="20"/>
        </w:rPr>
        <w:t xml:space="preserve"> in predstavitvah</w:t>
      </w:r>
      <w:r w:rsidR="00C044D5">
        <w:rPr>
          <w:rFonts w:cs="Arial"/>
          <w:bCs/>
          <w:noProof/>
          <w:szCs w:val="20"/>
        </w:rPr>
        <w:t xml:space="preserve"> s širšo skupino deležnikov</w:t>
      </w:r>
      <w:r w:rsidR="000F012A" w:rsidRPr="001E3C11">
        <w:rPr>
          <w:rFonts w:cs="Arial"/>
          <w:bCs/>
          <w:noProof/>
          <w:szCs w:val="20"/>
        </w:rPr>
        <w:t>.</w:t>
      </w:r>
    </w:p>
    <w:p w14:paraId="2ADB506E" w14:textId="77777777" w:rsidR="007C4786" w:rsidRDefault="007C4786" w:rsidP="001E3C11">
      <w:pPr>
        <w:pBdr>
          <w:top w:val="single" w:sz="4" w:space="1" w:color="auto"/>
          <w:left w:val="single" w:sz="4" w:space="4" w:color="auto"/>
          <w:bottom w:val="single" w:sz="4" w:space="1" w:color="auto"/>
          <w:right w:val="single" w:sz="4" w:space="4" w:color="auto"/>
        </w:pBdr>
        <w:jc w:val="both"/>
        <w:rPr>
          <w:rFonts w:cs="Arial"/>
          <w:bCs/>
          <w:noProof/>
          <w:szCs w:val="20"/>
        </w:rPr>
      </w:pPr>
    </w:p>
    <w:p w14:paraId="3AA95072" w14:textId="34979529" w:rsidR="0000041F" w:rsidRPr="00A92D3C" w:rsidRDefault="00B75A74" w:rsidP="0000041F">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P</w:t>
      </w:r>
      <w:r w:rsidR="00EB2C76" w:rsidRPr="00EB2C76">
        <w:rPr>
          <w:rFonts w:cs="Arial"/>
          <w:bCs/>
          <w:noProof/>
          <w:szCs w:val="20"/>
        </w:rPr>
        <w:t>roces soustvarja</w:t>
      </w:r>
      <w:r w:rsidR="00EB2C76">
        <w:rPr>
          <w:rFonts w:cs="Arial"/>
          <w:bCs/>
          <w:noProof/>
          <w:szCs w:val="20"/>
        </w:rPr>
        <w:t xml:space="preserve">nja vsebin OP ESPR 2021–2027 </w:t>
      </w:r>
      <w:r w:rsidR="0000041F">
        <w:rPr>
          <w:rFonts w:cs="Arial"/>
          <w:bCs/>
          <w:noProof/>
          <w:szCs w:val="20"/>
        </w:rPr>
        <w:t>s širšimi skupinami</w:t>
      </w:r>
      <w:r w:rsidR="00EB2C76">
        <w:rPr>
          <w:rFonts w:cs="Arial"/>
          <w:bCs/>
          <w:noProof/>
          <w:szCs w:val="20"/>
        </w:rPr>
        <w:t xml:space="preserve"> deležnikov </w:t>
      </w:r>
      <w:r w:rsidR="00A92D3C">
        <w:rPr>
          <w:rFonts w:cs="Arial"/>
          <w:bCs/>
          <w:noProof/>
          <w:szCs w:val="20"/>
        </w:rPr>
        <w:t>je potekal</w:t>
      </w:r>
      <w:r w:rsidR="007708A3">
        <w:rPr>
          <w:rFonts w:cs="Arial"/>
          <w:bCs/>
          <w:noProof/>
          <w:szCs w:val="20"/>
        </w:rPr>
        <w:t xml:space="preserve"> </w:t>
      </w:r>
      <w:r w:rsidR="00EB2C76">
        <w:rPr>
          <w:rFonts w:cs="Arial"/>
          <w:bCs/>
          <w:noProof/>
          <w:szCs w:val="20"/>
        </w:rPr>
        <w:t xml:space="preserve">v obliki celodnevnih delavnic </w:t>
      </w:r>
      <w:r w:rsidR="00A92D3C">
        <w:rPr>
          <w:rFonts w:cs="Arial"/>
          <w:bCs/>
          <w:noProof/>
          <w:szCs w:val="20"/>
        </w:rPr>
        <w:t xml:space="preserve">in </w:t>
      </w:r>
      <w:r w:rsidR="00EB2C76">
        <w:rPr>
          <w:rFonts w:cs="Arial"/>
          <w:bCs/>
          <w:noProof/>
          <w:szCs w:val="20"/>
        </w:rPr>
        <w:t>se je zasnoval skupaj z delovnimi skupinami</w:t>
      </w:r>
      <w:r w:rsidR="00EB2C76" w:rsidRPr="00EB2C76">
        <w:rPr>
          <w:rFonts w:cs="Arial"/>
          <w:bCs/>
          <w:noProof/>
          <w:szCs w:val="20"/>
        </w:rPr>
        <w:t>.</w:t>
      </w:r>
      <w:r w:rsidR="0000041F">
        <w:rPr>
          <w:rFonts w:cs="Arial"/>
          <w:bCs/>
          <w:noProof/>
          <w:szCs w:val="20"/>
        </w:rPr>
        <w:t xml:space="preserve"> Za lažjo in učinkovitejšo izvedbo delavnic je bil izbran zunanji izvajale</w:t>
      </w:r>
      <w:r w:rsidR="005D369D">
        <w:rPr>
          <w:rFonts w:cs="Arial"/>
          <w:bCs/>
          <w:noProof/>
          <w:szCs w:val="20"/>
        </w:rPr>
        <w:t>c</w:t>
      </w:r>
      <w:r w:rsidR="0000041F">
        <w:rPr>
          <w:rFonts w:cs="Arial"/>
          <w:bCs/>
          <w:noProof/>
          <w:szCs w:val="20"/>
        </w:rPr>
        <w:t>.</w:t>
      </w:r>
      <w:r w:rsidR="00C67E59">
        <w:rPr>
          <w:rFonts w:cs="Arial"/>
          <w:bCs/>
          <w:noProof/>
          <w:szCs w:val="20"/>
        </w:rPr>
        <w:t xml:space="preserve"> </w:t>
      </w:r>
      <w:r w:rsidR="005D369D">
        <w:t>Skupaj so se identificirala</w:t>
      </w:r>
      <w:r w:rsidR="00A92D3C">
        <w:t xml:space="preserve"> področja, na katerih se</w:t>
      </w:r>
      <w:r w:rsidR="005D369D" w:rsidRPr="005D369D">
        <w:t xml:space="preserve"> dele</w:t>
      </w:r>
      <w:r w:rsidR="007708A3">
        <w:t xml:space="preserve">žniki soočajo z največ izzivi, </w:t>
      </w:r>
      <w:r w:rsidRPr="00B75A74">
        <w:t>določile so se podlage za SWOT analizo, potrebe ter nabor morebitnih aktivnosti in najbolj ustrezni kazalniki rezultata na ravni posameznega cilja</w:t>
      </w:r>
      <w:r w:rsidR="007708A3">
        <w:t xml:space="preserve"> </w:t>
      </w:r>
      <w:r w:rsidR="005D369D">
        <w:t xml:space="preserve">na relevantnih področjih. </w:t>
      </w:r>
      <w:r>
        <w:t xml:space="preserve">Po </w:t>
      </w:r>
      <w:r w:rsidR="00A92D3C">
        <w:rPr>
          <w:rFonts w:cs="Arial"/>
          <w:bCs/>
          <w:noProof/>
          <w:szCs w:val="20"/>
        </w:rPr>
        <w:t>vsaki izvedeni delavnici</w:t>
      </w:r>
      <w:r w:rsidR="00EB2C76" w:rsidRPr="00EB2C76">
        <w:rPr>
          <w:rFonts w:cs="Arial"/>
          <w:bCs/>
          <w:noProof/>
          <w:szCs w:val="20"/>
        </w:rPr>
        <w:t xml:space="preserve"> </w:t>
      </w:r>
      <w:r>
        <w:rPr>
          <w:rFonts w:cs="Arial"/>
          <w:bCs/>
          <w:noProof/>
          <w:szCs w:val="20"/>
        </w:rPr>
        <w:t xml:space="preserve"> se je</w:t>
      </w:r>
      <w:r w:rsidR="00A92D3C">
        <w:rPr>
          <w:rFonts w:cs="Arial"/>
          <w:bCs/>
          <w:noProof/>
          <w:szCs w:val="20"/>
        </w:rPr>
        <w:t xml:space="preserve"> </w:t>
      </w:r>
      <w:r w:rsidR="007708A3">
        <w:rPr>
          <w:rFonts w:cs="Arial"/>
          <w:bCs/>
          <w:noProof/>
          <w:szCs w:val="20"/>
        </w:rPr>
        <w:t>o</w:t>
      </w:r>
      <w:r w:rsidR="00A92D3C">
        <w:rPr>
          <w:rFonts w:cs="Arial"/>
          <w:bCs/>
          <w:noProof/>
          <w:szCs w:val="20"/>
        </w:rPr>
        <w:t xml:space="preserve">vrednotila </w:t>
      </w:r>
      <w:r w:rsidR="00EB2C76">
        <w:rPr>
          <w:rFonts w:cs="Arial"/>
          <w:bCs/>
          <w:noProof/>
          <w:szCs w:val="20"/>
        </w:rPr>
        <w:t>uspešnost načina dela. Tako so se</w:t>
      </w:r>
      <w:r w:rsidR="00EB2C76" w:rsidRPr="00EB2C76">
        <w:rPr>
          <w:rFonts w:cs="Arial"/>
          <w:bCs/>
          <w:noProof/>
          <w:szCs w:val="20"/>
        </w:rPr>
        <w:t xml:space="preserve"> predvidene </w:t>
      </w:r>
      <w:r w:rsidR="007708A3">
        <w:rPr>
          <w:rFonts w:cs="Arial"/>
          <w:bCs/>
          <w:noProof/>
          <w:szCs w:val="20"/>
        </w:rPr>
        <w:t xml:space="preserve">dejavnosti </w:t>
      </w:r>
      <w:r w:rsidR="00EB2C76" w:rsidRPr="00EB2C76">
        <w:rPr>
          <w:rFonts w:cs="Arial"/>
          <w:bCs/>
          <w:noProof/>
          <w:szCs w:val="20"/>
        </w:rPr>
        <w:t>in način dela še naprej prilagajali potrebam in lastnostim različnih skupin deležnikov</w:t>
      </w:r>
      <w:r>
        <w:rPr>
          <w:rFonts w:cs="Arial"/>
          <w:bCs/>
          <w:noProof/>
          <w:szCs w:val="20"/>
        </w:rPr>
        <w:t>. N</w:t>
      </w:r>
      <w:r w:rsidR="00EB2C76" w:rsidRPr="00EB2C76">
        <w:rPr>
          <w:rFonts w:cs="Arial"/>
          <w:bCs/>
          <w:noProof/>
          <w:szCs w:val="20"/>
        </w:rPr>
        <w:t>a ta način</w:t>
      </w:r>
      <w:r w:rsidR="007708A3">
        <w:rPr>
          <w:rFonts w:cs="Arial"/>
          <w:bCs/>
          <w:noProof/>
          <w:szCs w:val="20"/>
        </w:rPr>
        <w:t xml:space="preserve"> se je zagotovilo</w:t>
      </w:r>
      <w:r w:rsidR="00EB2C76" w:rsidRPr="00EB2C76">
        <w:rPr>
          <w:rFonts w:cs="Arial"/>
          <w:bCs/>
          <w:noProof/>
          <w:szCs w:val="20"/>
        </w:rPr>
        <w:t xml:space="preserve"> učinkovito in </w:t>
      </w:r>
      <w:r w:rsidR="00A92D3C">
        <w:rPr>
          <w:rFonts w:cs="Arial"/>
          <w:bCs/>
          <w:noProof/>
          <w:szCs w:val="20"/>
        </w:rPr>
        <w:t xml:space="preserve">kvalitetno soustvarjanje vsebin. </w:t>
      </w:r>
      <w:r w:rsidR="0000041F" w:rsidRPr="0000041F">
        <w:t>Vsaka delavnica je bila</w:t>
      </w:r>
      <w:r w:rsidR="00A92D3C">
        <w:t xml:space="preserve"> </w:t>
      </w:r>
      <w:r w:rsidR="0000041F" w:rsidRPr="0000041F">
        <w:t>prilagojena specifikam in</w:t>
      </w:r>
      <w:r w:rsidR="0000041F">
        <w:t xml:space="preserve"> zahtevam posameznega</w:t>
      </w:r>
      <w:r w:rsidR="00A92D3C">
        <w:t xml:space="preserve"> tematskega</w:t>
      </w:r>
      <w:r w:rsidR="0000041F">
        <w:t xml:space="preserve"> </w:t>
      </w:r>
      <w:r w:rsidR="0000041F">
        <w:lastRenderedPageBreak/>
        <w:t xml:space="preserve">področja. </w:t>
      </w:r>
      <w:r w:rsidR="0000041F" w:rsidRPr="0000041F">
        <w:t>Na vsaki delavnici so bili prisotni in aktivno vključeni tudi predstavniki</w:t>
      </w:r>
      <w:r w:rsidR="0000041F">
        <w:t xml:space="preserve"> ministrstva</w:t>
      </w:r>
      <w:r w:rsidR="00A92D3C">
        <w:t>, ki pokrivajo ta področja. N</w:t>
      </w:r>
      <w:r w:rsidR="0000041F" w:rsidRPr="0000041F">
        <w:t>jihova vloga</w:t>
      </w:r>
      <w:r w:rsidR="00A92D3C">
        <w:t xml:space="preserve"> je bila</w:t>
      </w:r>
      <w:r w:rsidR="0000041F" w:rsidRPr="0000041F">
        <w:t xml:space="preserve"> ključna za podporo procesu. Med delavnicami so udeležence v skupinah motivirali za sodelovanje in odgovarjali na morebitna vsebinska vprašanja.</w:t>
      </w:r>
    </w:p>
    <w:p w14:paraId="0C800001" w14:textId="77777777" w:rsidR="00A92D3C" w:rsidRDefault="00A92D3C" w:rsidP="00021242">
      <w:pPr>
        <w:pBdr>
          <w:top w:val="single" w:sz="4" w:space="1" w:color="auto"/>
          <w:left w:val="single" w:sz="4" w:space="4" w:color="auto"/>
          <w:bottom w:val="single" w:sz="4" w:space="1" w:color="auto"/>
          <w:right w:val="single" w:sz="4" w:space="4" w:color="auto"/>
        </w:pBdr>
        <w:jc w:val="both"/>
      </w:pPr>
    </w:p>
    <w:p w14:paraId="258CF0FE" w14:textId="2948E796" w:rsidR="00C044D5" w:rsidRPr="00C044D5" w:rsidRDefault="00021242" w:rsidP="00021242">
      <w:pPr>
        <w:pBdr>
          <w:top w:val="single" w:sz="4" w:space="1" w:color="auto"/>
          <w:left w:val="single" w:sz="4" w:space="4" w:color="auto"/>
          <w:bottom w:val="single" w:sz="4" w:space="1" w:color="auto"/>
          <w:right w:val="single" w:sz="4" w:space="4" w:color="auto"/>
        </w:pBdr>
        <w:jc w:val="both"/>
      </w:pPr>
      <w:r w:rsidRPr="001E3C11">
        <w:rPr>
          <w:rFonts w:cs="Arial"/>
          <w:bCs/>
          <w:noProof/>
          <w:szCs w:val="20"/>
        </w:rPr>
        <w:t>Organ upravljanja</w:t>
      </w:r>
      <w:r>
        <w:rPr>
          <w:rFonts w:cs="Arial"/>
          <w:bCs/>
          <w:noProof/>
          <w:szCs w:val="20"/>
        </w:rPr>
        <w:t xml:space="preserve"> je </w:t>
      </w:r>
      <w:r w:rsidRPr="001E3C11">
        <w:rPr>
          <w:rFonts w:cs="Arial"/>
          <w:bCs/>
          <w:noProof/>
          <w:szCs w:val="20"/>
        </w:rPr>
        <w:t>izvedel 10 delavnic za širši krog deležnikov za vsako področje. V prvem sklopu v mesecu ok</w:t>
      </w:r>
      <w:r>
        <w:rPr>
          <w:rFonts w:cs="Arial"/>
          <w:bCs/>
          <w:noProof/>
          <w:szCs w:val="20"/>
        </w:rPr>
        <w:t>tobru</w:t>
      </w:r>
      <w:r w:rsidRPr="001E3C11">
        <w:rPr>
          <w:rFonts w:cs="Arial"/>
          <w:bCs/>
          <w:noProof/>
          <w:szCs w:val="20"/>
        </w:rPr>
        <w:t xml:space="preserve"> 20</w:t>
      </w:r>
      <w:r w:rsidR="00E16910">
        <w:rPr>
          <w:rFonts w:cs="Arial"/>
          <w:bCs/>
          <w:noProof/>
          <w:szCs w:val="20"/>
        </w:rPr>
        <w:t>19 je bilo izvedenih 5 delavnic</w:t>
      </w:r>
      <w:r w:rsidRPr="001E3C11">
        <w:rPr>
          <w:rFonts w:cs="Arial"/>
          <w:bCs/>
          <w:noProof/>
          <w:szCs w:val="20"/>
        </w:rPr>
        <w:t xml:space="preserve"> na temo priprave SWOT analize, potreb</w:t>
      </w:r>
      <w:r w:rsidR="00B75A74">
        <w:rPr>
          <w:rFonts w:cs="Arial"/>
          <w:bCs/>
          <w:noProof/>
          <w:szCs w:val="20"/>
        </w:rPr>
        <w:t>, aktivnosti</w:t>
      </w:r>
      <w:r w:rsidRPr="001E3C11">
        <w:rPr>
          <w:rFonts w:cs="Arial"/>
          <w:bCs/>
          <w:noProof/>
          <w:szCs w:val="20"/>
        </w:rPr>
        <w:t xml:space="preserve"> in nabora relevantnih kazalnikov. V drugem sklopu delavnic</w:t>
      </w:r>
      <w:r>
        <w:rPr>
          <w:rFonts w:cs="Arial"/>
          <w:bCs/>
          <w:noProof/>
          <w:szCs w:val="20"/>
        </w:rPr>
        <w:t xml:space="preserve"> (3), ki</w:t>
      </w:r>
      <w:r w:rsidRPr="001E3C11">
        <w:rPr>
          <w:rFonts w:cs="Arial"/>
          <w:bCs/>
          <w:noProof/>
          <w:szCs w:val="20"/>
        </w:rPr>
        <w:t xml:space="preserve"> so se izvedle</w:t>
      </w:r>
      <w:r>
        <w:rPr>
          <w:rFonts w:cs="Arial"/>
          <w:bCs/>
          <w:noProof/>
          <w:szCs w:val="20"/>
        </w:rPr>
        <w:t xml:space="preserve"> v mesecu januarju 2020</w:t>
      </w:r>
      <w:r w:rsidRPr="001E3C11">
        <w:rPr>
          <w:rFonts w:cs="Arial"/>
          <w:bCs/>
          <w:noProof/>
          <w:szCs w:val="20"/>
        </w:rPr>
        <w:t xml:space="preserve">, je potekala razprava glede </w:t>
      </w:r>
      <w:r>
        <w:rPr>
          <w:rFonts w:cs="Arial"/>
          <w:bCs/>
          <w:noProof/>
          <w:szCs w:val="20"/>
        </w:rPr>
        <w:t xml:space="preserve">nabora </w:t>
      </w:r>
      <w:r w:rsidRPr="001E3C11">
        <w:rPr>
          <w:rFonts w:cs="Arial"/>
          <w:bCs/>
          <w:noProof/>
          <w:szCs w:val="20"/>
        </w:rPr>
        <w:t xml:space="preserve">ukrepov ter </w:t>
      </w:r>
      <w:r w:rsidR="00B75A74">
        <w:rPr>
          <w:rFonts w:cs="Arial"/>
          <w:bCs/>
          <w:noProof/>
          <w:szCs w:val="20"/>
        </w:rPr>
        <w:t>določitve</w:t>
      </w:r>
      <w:r w:rsidR="00B75A74" w:rsidRPr="001E3C11">
        <w:rPr>
          <w:rFonts w:cs="Arial"/>
          <w:bCs/>
          <w:noProof/>
          <w:szCs w:val="20"/>
        </w:rPr>
        <w:t xml:space="preserve"> </w:t>
      </w:r>
      <w:r w:rsidRPr="001E3C11">
        <w:rPr>
          <w:rFonts w:cs="Arial"/>
          <w:bCs/>
          <w:noProof/>
          <w:szCs w:val="20"/>
        </w:rPr>
        <w:t>ciljnih vrednosti kazalnikov. Ključno je bilo, da se</w:t>
      </w:r>
      <w:r w:rsidR="00A92D3C">
        <w:rPr>
          <w:rFonts w:cs="Arial"/>
          <w:bCs/>
          <w:noProof/>
          <w:szCs w:val="20"/>
        </w:rPr>
        <w:t xml:space="preserve"> je</w:t>
      </w:r>
      <w:r w:rsidRPr="001E3C11">
        <w:rPr>
          <w:rFonts w:cs="Arial"/>
          <w:bCs/>
          <w:noProof/>
          <w:szCs w:val="20"/>
        </w:rPr>
        <w:t xml:space="preserve"> predlog ukrepov in kazalnikov soustvar</w:t>
      </w:r>
      <w:r w:rsidR="00A92D3C">
        <w:rPr>
          <w:rFonts w:cs="Arial"/>
          <w:bCs/>
          <w:noProof/>
          <w:szCs w:val="20"/>
        </w:rPr>
        <w:t xml:space="preserve">jal v okviru delavnic, </w:t>
      </w:r>
      <w:r w:rsidRPr="001E3C11">
        <w:rPr>
          <w:rFonts w:cs="Arial"/>
          <w:bCs/>
          <w:noProof/>
          <w:szCs w:val="20"/>
        </w:rPr>
        <w:t>da bi slednji odgovarjal</w:t>
      </w:r>
      <w:r w:rsidR="00E16910">
        <w:rPr>
          <w:rFonts w:cs="Arial"/>
          <w:bCs/>
          <w:noProof/>
          <w:szCs w:val="20"/>
        </w:rPr>
        <w:t>i</w:t>
      </w:r>
      <w:r w:rsidRPr="001E3C11">
        <w:rPr>
          <w:rFonts w:cs="Arial"/>
          <w:bCs/>
          <w:noProof/>
          <w:szCs w:val="20"/>
        </w:rPr>
        <w:t xml:space="preserve"> na dejanske potrebe deležnikov s posameznih področij in bi tako v prihodnjem finančnem obdobju</w:t>
      </w:r>
      <w:r>
        <w:rPr>
          <w:rFonts w:cs="Arial"/>
          <w:bCs/>
          <w:noProof/>
          <w:szCs w:val="20"/>
        </w:rPr>
        <w:t xml:space="preserve"> ukrepi in kazalniki </w:t>
      </w:r>
      <w:r w:rsidRPr="001E3C11">
        <w:rPr>
          <w:rFonts w:cs="Arial"/>
          <w:bCs/>
          <w:noProof/>
          <w:szCs w:val="20"/>
        </w:rPr>
        <w:t xml:space="preserve">ustrezali dejanskemu stanju področij v slovenskem prostoru. </w:t>
      </w:r>
      <w:r w:rsidR="00B75A74">
        <w:t>V</w:t>
      </w:r>
      <w:r w:rsidR="00C044D5">
        <w:t xml:space="preserve"> decembru 2019 </w:t>
      </w:r>
      <w:r w:rsidR="00B75A74">
        <w:t>se je  izvedla</w:t>
      </w:r>
      <w:r w:rsidR="00E16910">
        <w:t xml:space="preserve"> delavnica s FAME, na kateri se je določil</w:t>
      </w:r>
      <w:r w:rsidR="00C044D5" w:rsidRPr="0000041F">
        <w:t xml:space="preserve"> princip za zasnovo ciljnih vrednosti kazalnikov re</w:t>
      </w:r>
      <w:r w:rsidR="00C044D5">
        <w:t xml:space="preserve">zultatov za posamezna področja. Na vsaki delavnici se je </w:t>
      </w:r>
      <w:r w:rsidR="00BC2353">
        <w:t>opozorilo</w:t>
      </w:r>
      <w:r w:rsidR="00A92D3C">
        <w:t xml:space="preserve"> tudi</w:t>
      </w:r>
      <w:r w:rsidR="00C044D5" w:rsidRPr="005D369D">
        <w:t xml:space="preserve"> na n</w:t>
      </w:r>
      <w:r w:rsidR="00C044D5" w:rsidRPr="005D369D">
        <w:rPr>
          <w:color w:val="222222"/>
          <w:highlight w:val="white"/>
        </w:rPr>
        <w:t xml:space="preserve">avezave </w:t>
      </w:r>
      <w:r w:rsidR="00C044D5" w:rsidRPr="005D369D">
        <w:t>OP ESPR 2021–2027</w:t>
      </w:r>
      <w:r w:rsidR="00C044D5" w:rsidRPr="005D369D">
        <w:rPr>
          <w:color w:val="222222"/>
          <w:highlight w:val="white"/>
        </w:rPr>
        <w:t xml:space="preserve"> z Jadransko-Jo</w:t>
      </w:r>
      <w:r w:rsidR="00BC2353">
        <w:rPr>
          <w:color w:val="222222"/>
          <w:highlight w:val="white"/>
        </w:rPr>
        <w:t>nsko makroregionalno strategijo</w:t>
      </w:r>
      <w:r w:rsidR="00BC2353">
        <w:rPr>
          <w:color w:val="222222"/>
        </w:rPr>
        <w:t>.</w:t>
      </w:r>
      <w:r w:rsidR="00E16910">
        <w:rPr>
          <w:color w:val="222222"/>
        </w:rPr>
        <w:t xml:space="preserve"> Še dodatno se je i</w:t>
      </w:r>
      <w:r w:rsidR="00090AB9">
        <w:rPr>
          <w:color w:val="222222"/>
        </w:rPr>
        <w:t>zvedlo tudi izobraževanje za rejce vodnih živali glede različnih oblik povezovanja in izvajanja shem kakovosti</w:t>
      </w:r>
      <w:r w:rsidR="00B75A74">
        <w:rPr>
          <w:color w:val="222222"/>
        </w:rPr>
        <w:t xml:space="preserve"> </w:t>
      </w:r>
      <w:r w:rsidR="00B75A74" w:rsidRPr="00B75A74">
        <w:t xml:space="preserve"> </w:t>
      </w:r>
      <w:r w:rsidR="00B75A74" w:rsidRPr="00B75A74">
        <w:rPr>
          <w:color w:val="222222"/>
        </w:rPr>
        <w:t>(organizacija proizvajalcev skladno z določili Uredbe EU 1379/2013, združenja proizvajalcev, vključitev v projekte Zbornice za gospodarstvo, vključitev v sheme kakovosti, vključitev v promocijo sektorja skladn</w:t>
      </w:r>
      <w:r w:rsidR="00B75A74">
        <w:rPr>
          <w:color w:val="222222"/>
        </w:rPr>
        <w:t xml:space="preserve">o s pravili Zakona o promociji) </w:t>
      </w:r>
      <w:r w:rsidR="00B75A74" w:rsidRPr="00B75A74">
        <w:rPr>
          <w:color w:val="222222"/>
        </w:rPr>
        <w:t>in izvajanja shem kakovosti. Po delavnici je Sektor predebatiral različne rešitve. MKGP ni prejel nobene uradne pobude za organiziranje sektorja. Ne glede na to bomo z osveščanjem o koristih za sektor (odpornost) v primeru organiziranja nadaljevali in k sodelovanju povabili tudi druge zunanje strokovnjake.</w:t>
      </w:r>
    </w:p>
    <w:p w14:paraId="2B0616D1" w14:textId="77777777" w:rsidR="00021242" w:rsidRDefault="00021242" w:rsidP="001E3C11">
      <w:pPr>
        <w:pBdr>
          <w:top w:val="single" w:sz="4" w:space="1" w:color="auto"/>
          <w:left w:val="single" w:sz="4" w:space="4" w:color="auto"/>
          <w:bottom w:val="single" w:sz="4" w:space="1" w:color="auto"/>
          <w:right w:val="single" w:sz="4" w:space="4" w:color="auto"/>
        </w:pBdr>
        <w:jc w:val="both"/>
      </w:pPr>
    </w:p>
    <w:p w14:paraId="1B4C4724" w14:textId="77777777" w:rsidR="005510BE" w:rsidRDefault="005510BE" w:rsidP="0000041F">
      <w:pPr>
        <w:pBdr>
          <w:top w:val="single" w:sz="4" w:space="1" w:color="auto"/>
          <w:left w:val="single" w:sz="4" w:space="4" w:color="auto"/>
          <w:bottom w:val="single" w:sz="4" w:space="1" w:color="auto"/>
          <w:right w:val="single" w:sz="4" w:space="4" w:color="auto"/>
        </w:pBdr>
        <w:jc w:val="both"/>
      </w:pPr>
    </w:p>
    <w:p w14:paraId="5851EDF8" w14:textId="0ACF6103" w:rsidR="005510BE" w:rsidRDefault="005510BE" w:rsidP="005510BE">
      <w:pPr>
        <w:pBdr>
          <w:top w:val="single" w:sz="4" w:space="1" w:color="auto"/>
          <w:left w:val="single" w:sz="4" w:space="4" w:color="auto"/>
          <w:bottom w:val="single" w:sz="4" w:space="1" w:color="auto"/>
          <w:right w:val="single" w:sz="4" w:space="4" w:color="auto"/>
        </w:pBdr>
        <w:jc w:val="both"/>
      </w:pPr>
      <w:r w:rsidRPr="005510BE">
        <w:t xml:space="preserve">Po vsaki izvedeni delavnici </w:t>
      </w:r>
      <w:r>
        <w:t xml:space="preserve">z deležniki </w:t>
      </w:r>
      <w:r w:rsidRPr="005510BE">
        <w:t>za posamezno področje</w:t>
      </w:r>
      <w:r>
        <w:t xml:space="preserve"> se je</w:t>
      </w:r>
      <w:r w:rsidRPr="005510BE">
        <w:t xml:space="preserve"> </w:t>
      </w:r>
      <w:r>
        <w:t>opravila refleksija in ovrednotila</w:t>
      </w:r>
      <w:r w:rsidRPr="005510BE">
        <w:t xml:space="preserve"> uspešnost načina dela. </w:t>
      </w:r>
      <w:r w:rsidR="00B75A74" w:rsidRPr="00B75A74">
        <w:t xml:space="preserve">S sodelovanjem in preglednim posvetovanjem med deležniki ter z analizo obstoječih izzivov in potreb smo prispevali k učinkovitemu izvajanju politik ter upravljanju na več ravneh. </w:t>
      </w:r>
      <w:r w:rsidRPr="005510BE">
        <w:t>Spodaj povzemamo, kaj je v procesu delovalo oziroma kaj smo se skozi proces</w:t>
      </w:r>
      <w:r w:rsidR="00677A90">
        <w:t xml:space="preserve"> soustvarja z deležniki</w:t>
      </w:r>
      <w:r w:rsidRPr="005510BE">
        <w:t xml:space="preserve"> naučili</w:t>
      </w:r>
      <w:r w:rsidR="00090AB9">
        <w:t>:</w:t>
      </w:r>
    </w:p>
    <w:p w14:paraId="5A231E48" w14:textId="77777777" w:rsidR="00090AB9" w:rsidRPr="005510BE" w:rsidRDefault="00090AB9" w:rsidP="005510BE">
      <w:pPr>
        <w:pBdr>
          <w:top w:val="single" w:sz="4" w:space="1" w:color="auto"/>
          <w:left w:val="single" w:sz="4" w:space="4" w:color="auto"/>
          <w:bottom w:val="single" w:sz="4" w:space="1" w:color="auto"/>
          <w:right w:val="single" w:sz="4" w:space="4" w:color="auto"/>
        </w:pBdr>
        <w:jc w:val="both"/>
      </w:pPr>
    </w:p>
    <w:p w14:paraId="6E0A46EC" w14:textId="3AA14299" w:rsidR="00B75A74" w:rsidRPr="005510BE" w:rsidRDefault="005510BE" w:rsidP="00B75A74">
      <w:pPr>
        <w:pBdr>
          <w:top w:val="single" w:sz="4" w:space="1" w:color="auto"/>
          <w:left w:val="single" w:sz="4" w:space="4" w:color="auto"/>
          <w:bottom w:val="single" w:sz="4" w:space="1" w:color="auto"/>
          <w:right w:val="single" w:sz="4" w:space="4" w:color="auto"/>
        </w:pBdr>
        <w:jc w:val="both"/>
      </w:pPr>
      <w:r w:rsidRPr="005510BE">
        <w:t xml:space="preserve">→ Večkratna srečanja z relevantnimi deležniki: pripravljalne delavnice </w:t>
      </w:r>
      <w:r w:rsidR="007766E9">
        <w:t>s predstavniki delovnih skupin</w:t>
      </w:r>
      <w:r w:rsidRPr="005510BE">
        <w:t>, so se izkazale za odličen način za spoznavanje ter začetek vzpostavljanja zaupanja med naročnikom, izvajalcem in drugimi relevantnimi deležniki.</w:t>
      </w:r>
      <w:r w:rsidR="00B75A74">
        <w:t xml:space="preserve"> To je pomembno zlasti zaradi izboljšanja in nenehne krepitve komunikacijskih kanalov v luči zagotavljanja uspešnega in učinkovitega izvajanja OP ESPRA 2021-2027, kot je bilo ugotovljeno v sprotnem vrednotenju OP za izvajanje ESPR v RS za obdobje 2014-2020.</w:t>
      </w:r>
    </w:p>
    <w:p w14:paraId="104D8C2C" w14:textId="581DD98F"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0A072990"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4FD227EB"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r w:rsidRPr="005510BE">
        <w:t xml:space="preserve">→ Pogovori o ključnih izzivih pri delu z deležniki: z </w:t>
      </w:r>
      <w:r w:rsidR="007766E9">
        <w:t>delovnimi skupinami se je pred delavnicami preverilo, na kaj je treba</w:t>
      </w:r>
      <w:r w:rsidRPr="005510BE">
        <w:t xml:space="preserve"> biti še posebej </w:t>
      </w:r>
      <w:r w:rsidR="007766E9">
        <w:t>pozoren</w:t>
      </w:r>
      <w:r w:rsidRPr="005510BE">
        <w:t xml:space="preserve"> pri komunikaciji in </w:t>
      </w:r>
      <w:r w:rsidR="007766E9">
        <w:t>delu z uporabniki, zamislili so se negativni scenariji</w:t>
      </w:r>
      <w:r w:rsidRPr="005510BE">
        <w:t xml:space="preserve"> in se </w:t>
      </w:r>
      <w:r w:rsidR="007766E9">
        <w:t xml:space="preserve">ustrezno </w:t>
      </w:r>
      <w:r w:rsidRPr="005510BE">
        <w:t>pripravili nanje.</w:t>
      </w:r>
    </w:p>
    <w:p w14:paraId="4C523B76"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09BFF696"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r w:rsidRPr="005510BE">
        <w:t>→ Prilagojen program delavnic za posamezna področja: ker se deležniki po p</w:t>
      </w:r>
      <w:r w:rsidR="007766E9">
        <w:t>odročjih precej razlikujejo, se je program in vsebina delavnic prilagajala</w:t>
      </w:r>
      <w:r w:rsidRPr="005510BE">
        <w:t xml:space="preserve"> pričakovanjem in potrebam udeležencev, kar se je izkazalo za zelo učinkovito in je bilo tudi pozitivno sprejeto s strani deležnikov.</w:t>
      </w:r>
    </w:p>
    <w:p w14:paraId="24638E5E"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1A5976A1"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r w:rsidRPr="005510BE">
        <w:t>→ Vizualizacija in poenostavitev ključnih informacij: s pripravo plakatov in po</w:t>
      </w:r>
      <w:r w:rsidR="007766E9">
        <w:t>enostavljenih šablon za delo se je poskrbelo</w:t>
      </w:r>
      <w:r w:rsidRPr="005510BE">
        <w:t>, da so udeleženci boljše razumeli obravnavano vsebino in o njej razpravljali.</w:t>
      </w:r>
    </w:p>
    <w:p w14:paraId="7528C717"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r w:rsidRPr="005510BE">
        <w:t>→ Aktivno</w:t>
      </w:r>
      <w:r>
        <w:t xml:space="preserve"> vključevanje predstavnikov ministrstva</w:t>
      </w:r>
      <w:r w:rsidRPr="005510BE">
        <w:t>: aktivn</w:t>
      </w:r>
      <w:r>
        <w:t>o sodelovanje predstavnikov ministrstva</w:t>
      </w:r>
      <w:r w:rsidRPr="005510BE">
        <w:t xml:space="preserve"> na delavnicah se je izkazalo za koristno za njihov vpogled v obravnavane teme in spoznavanje z </w:t>
      </w:r>
      <w:r w:rsidRPr="005510BE">
        <w:lastRenderedPageBreak/>
        <w:t>deležniki, za podporo procesu in zagotavljanju fokusa skozi delavnice ter za vzpostavljanj</w:t>
      </w:r>
      <w:r>
        <w:t>e zaupanja med deležniki in ministrstvom</w:t>
      </w:r>
      <w:r w:rsidRPr="005510BE">
        <w:t>. Celodnevna prisotnost direktorja in vodje sektorja je bila prav tako pozitivno sprejeta.</w:t>
      </w:r>
    </w:p>
    <w:p w14:paraId="386ABDEF"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720547F9"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r w:rsidRPr="005510BE">
        <w:t>→ Transkripcija vseb</w:t>
      </w:r>
      <w:r w:rsidR="007B2A6D">
        <w:t>in takoj po delavnicah: poskrbljeno je bilo</w:t>
      </w:r>
      <w:r w:rsidRPr="005510BE">
        <w:t>, da je imela vsaka skupina na delavnici po enega predstavnika</w:t>
      </w:r>
      <w:r>
        <w:t xml:space="preserve"> ministrstva</w:t>
      </w:r>
      <w:r w:rsidRPr="005510BE">
        <w:t xml:space="preserve">, ki je spremljal pogovore in po koncu delavnice pripravil transkripcijo vsebin, ki jih je ustvarila posamezna skupina. </w:t>
      </w:r>
      <w:r w:rsidR="007B2A6D">
        <w:t xml:space="preserve"> </w:t>
      </w:r>
    </w:p>
    <w:p w14:paraId="4FA7069B"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55B5388E"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r w:rsidRPr="005510BE">
        <w:t>→ Aktivacija in motiviranje ključnih deležnikov: pri aktivnem vključevanju različnih deležnikov je</w:t>
      </w:r>
      <w:r w:rsidR="007B2A6D">
        <w:t xml:space="preserve"> bilo</w:t>
      </w:r>
      <w:r w:rsidRPr="005510BE">
        <w:t xml:space="preserve"> </w:t>
      </w:r>
      <w:r w:rsidR="007B2A6D">
        <w:t xml:space="preserve">treba </w:t>
      </w:r>
      <w:r w:rsidRPr="005510BE">
        <w:t xml:space="preserve">poskrbeti, da </w:t>
      </w:r>
      <w:r w:rsidR="007B2A6D">
        <w:t>so se upoštevale</w:t>
      </w:r>
      <w:r w:rsidRPr="005510BE">
        <w:t xml:space="preserve"> njihove motivacije in potrebe (npr. pri vključevanju ribičev je bilo potrebno upoštevati njihove delovne aktivnosti, ki se skozi sezono spreminjajo), ter temu primerno prilagoditi komunikacijski kanal in komunikacijsko vsebino.</w:t>
      </w:r>
    </w:p>
    <w:p w14:paraId="24478E08" w14:textId="77777777" w:rsidR="005510BE" w:rsidRPr="005510BE" w:rsidRDefault="005510BE" w:rsidP="005510BE">
      <w:pPr>
        <w:pBdr>
          <w:top w:val="single" w:sz="4" w:space="1" w:color="auto"/>
          <w:left w:val="single" w:sz="4" w:space="4" w:color="auto"/>
          <w:bottom w:val="single" w:sz="4" w:space="1" w:color="auto"/>
          <w:right w:val="single" w:sz="4" w:space="4" w:color="auto"/>
        </w:pBdr>
        <w:jc w:val="both"/>
      </w:pPr>
    </w:p>
    <w:p w14:paraId="682098B4" w14:textId="4C40C359" w:rsidR="005510BE" w:rsidRDefault="005510BE" w:rsidP="0000041F">
      <w:pPr>
        <w:pBdr>
          <w:top w:val="single" w:sz="4" w:space="1" w:color="auto"/>
          <w:left w:val="single" w:sz="4" w:space="4" w:color="auto"/>
          <w:bottom w:val="single" w:sz="4" w:space="1" w:color="auto"/>
          <w:right w:val="single" w:sz="4" w:space="4" w:color="auto"/>
        </w:pBdr>
        <w:jc w:val="both"/>
      </w:pPr>
      <w:r w:rsidRPr="005510BE">
        <w:t>→ Priložnost za medosebno spoznavanje deležnikov: iz delavnic je bilo večkrat razvidno, da se nekateri izmed deležnikov med s</w:t>
      </w:r>
      <w:r w:rsidR="00657714">
        <w:t>eboj</w:t>
      </w:r>
      <w:r w:rsidRPr="005510BE">
        <w:t xml:space="preserve"> ne poznajo. Tovrstni procesi soustvarjanja ponujajo priložnost za izmenjavo informacij in povezovanje med deležniki ter posledično krepitev sektorja in priložnosti za nove sinergije.</w:t>
      </w:r>
    </w:p>
    <w:p w14:paraId="458F1C63" w14:textId="77777777" w:rsidR="00021242" w:rsidRDefault="00021242" w:rsidP="0000041F">
      <w:pPr>
        <w:pBdr>
          <w:top w:val="single" w:sz="4" w:space="1" w:color="auto"/>
          <w:left w:val="single" w:sz="4" w:space="4" w:color="auto"/>
          <w:bottom w:val="single" w:sz="4" w:space="1" w:color="auto"/>
          <w:right w:val="single" w:sz="4" w:space="4" w:color="auto"/>
        </w:pBdr>
        <w:jc w:val="both"/>
      </w:pPr>
    </w:p>
    <w:p w14:paraId="1E40EA7E" w14:textId="6B931D59" w:rsidR="005510BE" w:rsidRDefault="007B64B9" w:rsidP="001E3C11">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 xml:space="preserve">Po zaključku vseh delavnic </w:t>
      </w:r>
      <w:r w:rsidR="00021242">
        <w:rPr>
          <w:rFonts w:cs="Arial"/>
          <w:bCs/>
          <w:noProof/>
          <w:szCs w:val="20"/>
        </w:rPr>
        <w:t>so se v sodelovanju z delovnimi skupinami izoblikovale končne vsebine OP ESPRA 2021-2027.</w:t>
      </w:r>
      <w:r w:rsidR="00AF2745">
        <w:rPr>
          <w:rFonts w:cs="Arial"/>
          <w:bCs/>
          <w:noProof/>
          <w:szCs w:val="20"/>
        </w:rPr>
        <w:t xml:space="preserve"> Uskaljena verzija bo skupaj z okoljskim poročilom predstavljena tudi </w:t>
      </w:r>
      <w:r>
        <w:rPr>
          <w:rFonts w:cs="Arial"/>
          <w:bCs/>
          <w:noProof/>
          <w:szCs w:val="20"/>
        </w:rPr>
        <w:t>na javni razgrnitvi.</w:t>
      </w:r>
      <w:r w:rsidR="00C927A5">
        <w:rPr>
          <w:rFonts w:cs="Arial"/>
          <w:bCs/>
          <w:noProof/>
          <w:szCs w:val="20"/>
        </w:rPr>
        <w:t xml:space="preserve"> </w:t>
      </w:r>
      <w:r w:rsidR="008E17B2">
        <w:rPr>
          <w:rFonts w:cs="Arial"/>
          <w:bCs/>
          <w:noProof/>
          <w:szCs w:val="20"/>
        </w:rPr>
        <w:t>Prav tako se bo izvedla javna objava in medresorsko usklajevanje, kjer bodo</w:t>
      </w:r>
      <w:r w:rsidR="009F111A">
        <w:rPr>
          <w:rFonts w:cs="Arial"/>
          <w:bCs/>
          <w:noProof/>
          <w:szCs w:val="20"/>
        </w:rPr>
        <w:t xml:space="preserve"> socialni partnerji </w:t>
      </w:r>
      <w:r w:rsidR="00051BB9">
        <w:rPr>
          <w:rFonts w:cs="Arial"/>
          <w:bCs/>
          <w:noProof/>
          <w:szCs w:val="20"/>
        </w:rPr>
        <w:t>in ostali</w:t>
      </w:r>
      <w:r w:rsidR="008E17B2">
        <w:rPr>
          <w:rFonts w:cs="Arial"/>
          <w:bCs/>
          <w:noProof/>
          <w:szCs w:val="20"/>
        </w:rPr>
        <w:t xml:space="preserve"> dele</w:t>
      </w:r>
      <w:r w:rsidR="00051BB9">
        <w:rPr>
          <w:rFonts w:cs="Arial"/>
          <w:bCs/>
          <w:noProof/>
          <w:szCs w:val="20"/>
        </w:rPr>
        <w:t>žniki ponovno vključeni, da podajo</w:t>
      </w:r>
      <w:r w:rsidR="004D4122">
        <w:rPr>
          <w:rFonts w:cs="Arial"/>
          <w:bCs/>
          <w:noProof/>
          <w:szCs w:val="20"/>
        </w:rPr>
        <w:t xml:space="preserve"> </w:t>
      </w:r>
      <w:r w:rsidR="00051BB9">
        <w:rPr>
          <w:rFonts w:cs="Arial"/>
          <w:bCs/>
          <w:noProof/>
          <w:szCs w:val="20"/>
        </w:rPr>
        <w:t>zaključne pripombe. S</w:t>
      </w:r>
      <w:r w:rsidR="008E17B2">
        <w:rPr>
          <w:rFonts w:cs="Arial"/>
          <w:bCs/>
          <w:noProof/>
          <w:szCs w:val="20"/>
        </w:rPr>
        <w:t xml:space="preserve"> pripravo programa</w:t>
      </w:r>
      <w:r w:rsidR="00051BB9">
        <w:rPr>
          <w:rFonts w:cs="Arial"/>
          <w:bCs/>
          <w:noProof/>
          <w:szCs w:val="20"/>
        </w:rPr>
        <w:t xml:space="preserve"> bo seznanjena tudi Vlad</w:t>
      </w:r>
      <w:r w:rsidR="00657714">
        <w:rPr>
          <w:rFonts w:cs="Arial"/>
          <w:bCs/>
          <w:noProof/>
          <w:szCs w:val="20"/>
        </w:rPr>
        <w:t>a</w:t>
      </w:r>
      <w:r w:rsidR="00051BB9">
        <w:rPr>
          <w:rFonts w:cs="Arial"/>
          <w:bCs/>
          <w:noProof/>
          <w:szCs w:val="20"/>
        </w:rPr>
        <w:t xml:space="preserve"> RS</w:t>
      </w:r>
      <w:r w:rsidR="008E17B2">
        <w:rPr>
          <w:rFonts w:cs="Arial"/>
          <w:bCs/>
          <w:noProof/>
          <w:szCs w:val="20"/>
        </w:rPr>
        <w:t>.</w:t>
      </w:r>
    </w:p>
    <w:p w14:paraId="3B70A629" w14:textId="77777777" w:rsidR="008E17B2" w:rsidRDefault="008E17B2" w:rsidP="001E3C11">
      <w:pPr>
        <w:pBdr>
          <w:top w:val="single" w:sz="4" w:space="1" w:color="auto"/>
          <w:left w:val="single" w:sz="4" w:space="4" w:color="auto"/>
          <w:bottom w:val="single" w:sz="4" w:space="1" w:color="auto"/>
          <w:right w:val="single" w:sz="4" w:space="4" w:color="auto"/>
        </w:pBdr>
        <w:jc w:val="both"/>
        <w:rPr>
          <w:rFonts w:cs="Arial"/>
          <w:bCs/>
          <w:noProof/>
          <w:szCs w:val="20"/>
        </w:rPr>
      </w:pPr>
    </w:p>
    <w:p w14:paraId="46FCEFB9" w14:textId="7EE418D1" w:rsidR="00657714" w:rsidRPr="00657714" w:rsidRDefault="00AF2745" w:rsidP="00657714">
      <w:pPr>
        <w:pBdr>
          <w:top w:val="single" w:sz="4" w:space="1" w:color="auto"/>
          <w:left w:val="single" w:sz="4" w:space="4" w:color="auto"/>
          <w:bottom w:val="single" w:sz="4" w:space="1" w:color="auto"/>
          <w:right w:val="single" w:sz="4" w:space="4" w:color="auto"/>
        </w:pBdr>
        <w:jc w:val="both"/>
      </w:pPr>
      <w:r>
        <w:t xml:space="preserve">Organ upravljanja bo s prakso vključevanje partnerjev </w:t>
      </w:r>
      <w:r w:rsidR="00051BB9">
        <w:t xml:space="preserve">in deležnikov </w:t>
      </w:r>
      <w:r>
        <w:t xml:space="preserve">nadaljeval tudi po potrditvi OP ESPRA 2021-2027, in sicer pri </w:t>
      </w:r>
      <w:r w:rsidRPr="00AF2745">
        <w:t>izvajanju, spremljanju in vrednotenju operativnega programa.</w:t>
      </w:r>
      <w:r>
        <w:t xml:space="preserve"> </w:t>
      </w:r>
      <w:r w:rsidR="00657714" w:rsidRPr="00657714">
        <w:t>Vsem ustreznim partnerjem, ki sodelujejo in prispevajo k oblikovanju OP ESPRA 2021-2027, bomo poslali poziv za izbor članov v odbor za spremljanje izvajanja programa. Pri sklicu in sestavi odbora za spremljanje za OP ESPRA 2021-2027 bomo zagotovili potreben nabor predstavnikov ciljnih skupin programa.</w:t>
      </w:r>
    </w:p>
    <w:p w14:paraId="7B490401" w14:textId="77777777" w:rsidR="00657714" w:rsidRDefault="00657714" w:rsidP="00C927A5">
      <w:pPr>
        <w:pBdr>
          <w:top w:val="single" w:sz="4" w:space="1" w:color="auto"/>
          <w:left w:val="single" w:sz="4" w:space="4" w:color="auto"/>
          <w:bottom w:val="single" w:sz="4" w:space="1" w:color="auto"/>
          <w:right w:val="single" w:sz="4" w:space="4" w:color="auto"/>
        </w:pBdr>
        <w:jc w:val="both"/>
      </w:pPr>
    </w:p>
    <w:p w14:paraId="567D7A7E" w14:textId="4F9A87EA" w:rsidR="00657714" w:rsidRDefault="00657714" w:rsidP="00C927A5">
      <w:pPr>
        <w:pBdr>
          <w:top w:val="single" w:sz="4" w:space="1" w:color="auto"/>
          <w:left w:val="single" w:sz="4" w:space="4" w:color="auto"/>
          <w:bottom w:val="single" w:sz="4" w:space="1" w:color="auto"/>
          <w:right w:val="single" w:sz="4" w:space="4" w:color="auto"/>
        </w:pBdr>
        <w:jc w:val="both"/>
      </w:pPr>
      <w:r w:rsidRPr="00657714">
        <w:t>V okviru priprave OP ESPRA 2021-2027 bomo v luči vzpostavljanja programskih struktur in postopkov, tako v procesu vmesnega in sprotnega vrednotenja, sproti seznanjali pristojne inštitucije in službe (Evropsko Komisijo, UNP, idr.) o podanih priporočilih, kot je bilo ugotovljeno v okviru sprotnega vrednotenja OP za izvajanje ESPR v RS za obdobje 2014-2020.</w:t>
      </w:r>
    </w:p>
    <w:p w14:paraId="392B9ABB" w14:textId="77777777" w:rsidR="00657714" w:rsidRDefault="00657714" w:rsidP="00C927A5">
      <w:pPr>
        <w:pBdr>
          <w:top w:val="single" w:sz="4" w:space="1" w:color="auto"/>
          <w:left w:val="single" w:sz="4" w:space="4" w:color="auto"/>
          <w:bottom w:val="single" w:sz="4" w:space="1" w:color="auto"/>
          <w:right w:val="single" w:sz="4" w:space="4" w:color="auto"/>
        </w:pBdr>
        <w:jc w:val="both"/>
      </w:pPr>
    </w:p>
    <w:p w14:paraId="6BA34A2F" w14:textId="27DCAE56" w:rsidR="007C4786" w:rsidRPr="00C927A5" w:rsidRDefault="00AF2745" w:rsidP="00C927A5">
      <w:pPr>
        <w:pBdr>
          <w:top w:val="single" w:sz="4" w:space="1" w:color="auto"/>
          <w:left w:val="single" w:sz="4" w:space="4" w:color="auto"/>
          <w:bottom w:val="single" w:sz="4" w:space="1" w:color="auto"/>
          <w:right w:val="single" w:sz="4" w:space="4" w:color="auto"/>
        </w:pBdr>
        <w:jc w:val="both"/>
      </w:pPr>
      <w:r>
        <w:t>Nacionalna izvedbena uredba predstavlja nacionalno pravno podlago za izvajanje ukrepov</w:t>
      </w:r>
      <w:r w:rsidR="00657714">
        <w:t xml:space="preserve"> in</w:t>
      </w:r>
      <w:r>
        <w:t xml:space="preserve"> je v skladu s pravnim redom RS</w:t>
      </w:r>
      <w:r w:rsidR="00657714">
        <w:t>, P</w:t>
      </w:r>
      <w:r>
        <w:t xml:space="preserve">red potrditvijo </w:t>
      </w:r>
      <w:r w:rsidR="00657714">
        <w:t xml:space="preserve">bo dana </w:t>
      </w:r>
      <w:r>
        <w:t>v javn</w:t>
      </w:r>
      <w:r w:rsidR="00657714">
        <w:t>o</w:t>
      </w:r>
      <w:r>
        <w:t xml:space="preserve"> in medresorsk</w:t>
      </w:r>
      <w:r w:rsidR="00657714">
        <w:t>o</w:t>
      </w:r>
      <w:r>
        <w:t xml:space="preserve"> obravnav</w:t>
      </w:r>
      <w:r w:rsidR="00657714">
        <w:t>o</w:t>
      </w:r>
      <w:r>
        <w:t xml:space="preserve">, kjer </w:t>
      </w:r>
      <w:r w:rsidR="00657714">
        <w:t>bodo</w:t>
      </w:r>
      <w:r>
        <w:t xml:space="preserve"> deležniki </w:t>
      </w:r>
      <w:r w:rsidR="00657714">
        <w:t xml:space="preserve">lahko </w:t>
      </w:r>
      <w:r>
        <w:t>poda</w:t>
      </w:r>
      <w:r w:rsidR="00657714">
        <w:t>li</w:t>
      </w:r>
      <w:r>
        <w:t xml:space="preserve"> svoje predloge in pripombe. </w:t>
      </w:r>
    </w:p>
    <w:p w14:paraId="7261DE5D" w14:textId="77777777" w:rsidR="001A6A04" w:rsidRPr="00E124C1" w:rsidRDefault="001A6A04" w:rsidP="001A6A04">
      <w:pPr>
        <w:rPr>
          <w:rFonts w:cs="Arial"/>
          <w:b/>
          <w:szCs w:val="20"/>
        </w:rPr>
      </w:pPr>
    </w:p>
    <w:p w14:paraId="2F9C8834" w14:textId="77777777" w:rsidR="001A6A04" w:rsidRPr="00E124C1" w:rsidRDefault="001A6A04">
      <w:pPr>
        <w:spacing w:after="200" w:line="276" w:lineRule="auto"/>
        <w:rPr>
          <w:rFonts w:cs="Arial"/>
          <w:b/>
          <w:szCs w:val="20"/>
        </w:rPr>
      </w:pPr>
      <w:r w:rsidRPr="00E124C1">
        <w:rPr>
          <w:rFonts w:cs="Arial"/>
          <w:b/>
          <w:szCs w:val="20"/>
        </w:rPr>
        <w:br w:type="page"/>
      </w:r>
    </w:p>
    <w:p w14:paraId="2321F474" w14:textId="77777777" w:rsidR="001A6A04" w:rsidRPr="002458C0" w:rsidRDefault="001A6A04" w:rsidP="002458C0">
      <w:pPr>
        <w:pStyle w:val="Naslov1"/>
      </w:pPr>
      <w:bookmarkStart w:id="30" w:name="_Toc106099915"/>
      <w:r w:rsidRPr="002458C0">
        <w:lastRenderedPageBreak/>
        <w:t>7. Komunikacija in prepoznavnost</w:t>
      </w:r>
      <w:bookmarkEnd w:id="30"/>
    </w:p>
    <w:p w14:paraId="68ABDD81" w14:textId="7FE29CA1" w:rsidR="001A6A04" w:rsidRDefault="001A6A04" w:rsidP="001A6A04">
      <w:pPr>
        <w:rPr>
          <w:rFonts w:cs="Arial"/>
          <w:i/>
          <w:iCs/>
          <w:szCs w:val="20"/>
        </w:rPr>
      </w:pPr>
      <w:r w:rsidRPr="00A40660">
        <w:rPr>
          <w:rFonts w:cs="Arial"/>
          <w:i/>
          <w:iCs/>
          <w:szCs w:val="20"/>
        </w:rPr>
        <w:t xml:space="preserve">Sklic: Člen </w:t>
      </w:r>
      <w:r w:rsidR="00DE508D">
        <w:rPr>
          <w:rFonts w:cs="Arial"/>
          <w:i/>
          <w:iCs/>
          <w:szCs w:val="20"/>
        </w:rPr>
        <w:t>22</w:t>
      </w:r>
      <w:r w:rsidRPr="00A40660">
        <w:rPr>
          <w:rFonts w:cs="Arial"/>
          <w:i/>
          <w:iCs/>
          <w:szCs w:val="20"/>
        </w:rPr>
        <w:t>(3)(</w:t>
      </w:r>
      <w:r w:rsidR="00DE508D">
        <w:rPr>
          <w:rFonts w:cs="Arial"/>
          <w:i/>
          <w:iCs/>
          <w:szCs w:val="20"/>
        </w:rPr>
        <w:t>j</w:t>
      </w:r>
      <w:r w:rsidRPr="00A40660">
        <w:rPr>
          <w:rFonts w:cs="Arial"/>
          <w:i/>
          <w:iCs/>
          <w:szCs w:val="20"/>
        </w:rPr>
        <w:t>) uredbe o skupnih določbah</w:t>
      </w:r>
    </w:p>
    <w:p w14:paraId="245D9620" w14:textId="77777777" w:rsidR="001A6A04" w:rsidRPr="00A40660" w:rsidRDefault="001A6A04" w:rsidP="001A6A04">
      <w:pPr>
        <w:rPr>
          <w:rFonts w:cs="Arial"/>
          <w:i/>
          <w:iCs/>
          <w:szCs w:val="20"/>
        </w:rPr>
      </w:pPr>
    </w:p>
    <w:p w14:paraId="3555118F" w14:textId="77777777" w:rsidR="001A6A04" w:rsidRDefault="001A6A04" w:rsidP="001A6A04">
      <w:pPr>
        <w:pBdr>
          <w:top w:val="single" w:sz="4" w:space="1" w:color="auto"/>
          <w:left w:val="single" w:sz="4" w:space="4" w:color="auto"/>
          <w:bottom w:val="single" w:sz="4" w:space="1" w:color="auto"/>
          <w:right w:val="single" w:sz="4" w:space="4" w:color="auto"/>
        </w:pBdr>
        <w:rPr>
          <w:rFonts w:cs="Arial"/>
          <w:bCs/>
          <w:i/>
          <w:noProof/>
          <w:szCs w:val="20"/>
        </w:rPr>
      </w:pPr>
      <w:r w:rsidRPr="00F018CA">
        <w:rPr>
          <w:rFonts w:cs="Arial"/>
          <w:bCs/>
          <w:i/>
          <w:noProof/>
          <w:szCs w:val="20"/>
        </w:rPr>
        <w:t>Besedilno polje [4 500]</w:t>
      </w:r>
    </w:p>
    <w:p w14:paraId="15188848" w14:textId="13EF9A76" w:rsidR="00920857" w:rsidRDefault="00602F1A" w:rsidP="00633494">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V okviru komunikacijskih</w:t>
      </w:r>
      <w:r w:rsidR="001E2156">
        <w:rPr>
          <w:rFonts w:cs="Arial"/>
          <w:bCs/>
          <w:noProof/>
          <w:szCs w:val="20"/>
        </w:rPr>
        <w:t xml:space="preserve"> dejavnosti OP </w:t>
      </w:r>
      <w:r w:rsidR="00200F85">
        <w:rPr>
          <w:rFonts w:cs="Arial"/>
          <w:bCs/>
          <w:noProof/>
          <w:szCs w:val="20"/>
        </w:rPr>
        <w:t xml:space="preserve">ESPRA </w:t>
      </w:r>
      <w:r w:rsidR="001E2156">
        <w:rPr>
          <w:rFonts w:cs="Arial"/>
          <w:bCs/>
          <w:noProof/>
          <w:szCs w:val="20"/>
        </w:rPr>
        <w:t xml:space="preserve">2021-2027 </w:t>
      </w:r>
      <w:r w:rsidR="00200F85">
        <w:rPr>
          <w:rFonts w:cs="Arial"/>
          <w:bCs/>
          <w:noProof/>
          <w:szCs w:val="20"/>
        </w:rPr>
        <w:t>bo</w:t>
      </w:r>
      <w:r w:rsidR="001E2156">
        <w:rPr>
          <w:rFonts w:cs="Arial"/>
          <w:bCs/>
          <w:noProof/>
          <w:szCs w:val="20"/>
        </w:rPr>
        <w:t>mo</w:t>
      </w:r>
      <w:r w:rsidR="00200F85">
        <w:rPr>
          <w:rFonts w:cs="Arial"/>
          <w:bCs/>
          <w:noProof/>
          <w:szCs w:val="20"/>
        </w:rPr>
        <w:t xml:space="preserve"> v okviru Uredbe o skupnih določbah</w:t>
      </w:r>
      <w:r w:rsidR="00AA4064">
        <w:rPr>
          <w:rFonts w:cs="Arial"/>
          <w:bCs/>
          <w:noProof/>
          <w:szCs w:val="20"/>
        </w:rPr>
        <w:t xml:space="preserve"> (CPR)</w:t>
      </w:r>
      <w:r w:rsidR="00200F85">
        <w:rPr>
          <w:rFonts w:cs="Arial"/>
          <w:bCs/>
          <w:noProof/>
          <w:szCs w:val="20"/>
        </w:rPr>
        <w:t xml:space="preserve"> zagotavljal</w:t>
      </w:r>
      <w:r w:rsidR="001E2156">
        <w:rPr>
          <w:rFonts w:cs="Arial"/>
          <w:bCs/>
          <w:noProof/>
          <w:szCs w:val="20"/>
        </w:rPr>
        <w:t>i</w:t>
      </w:r>
      <w:r w:rsidR="00200F85">
        <w:rPr>
          <w:rFonts w:cs="Arial"/>
          <w:bCs/>
          <w:noProof/>
          <w:szCs w:val="20"/>
        </w:rPr>
        <w:t>, da bodo dosežki sklada dostopni splošni javnosti, k</w:t>
      </w:r>
      <w:r w:rsidR="001E2156">
        <w:rPr>
          <w:rFonts w:cs="Arial"/>
          <w:bCs/>
          <w:noProof/>
          <w:szCs w:val="20"/>
        </w:rPr>
        <w:t>i</w:t>
      </w:r>
      <w:r w:rsidR="00200F85">
        <w:rPr>
          <w:rFonts w:cs="Arial"/>
          <w:bCs/>
          <w:noProof/>
          <w:szCs w:val="20"/>
        </w:rPr>
        <w:t xml:space="preserve"> bo obveščena tudi o ciljih kohezijske politike. Za bolj učinkovito komunikacijo z javnostjo in sinergijo med komunikacijskimi dejavnostmi, ki se izvajajo na pobudo EK</w:t>
      </w:r>
      <w:r w:rsidR="00AA4064">
        <w:rPr>
          <w:rFonts w:cs="Arial"/>
          <w:bCs/>
          <w:noProof/>
          <w:szCs w:val="20"/>
        </w:rPr>
        <w:t xml:space="preserve">, bodo dodeljena sredstva porabljena tudi za obveščanje o političnih </w:t>
      </w:r>
      <w:r>
        <w:rPr>
          <w:rFonts w:cs="Arial"/>
          <w:bCs/>
          <w:noProof/>
          <w:szCs w:val="20"/>
        </w:rPr>
        <w:t xml:space="preserve">in </w:t>
      </w:r>
      <w:r w:rsidR="00AA4064">
        <w:rPr>
          <w:rFonts w:cs="Arial"/>
          <w:bCs/>
          <w:noProof/>
          <w:szCs w:val="20"/>
        </w:rPr>
        <w:t xml:space="preserve">prednostnih nalogah Unije. </w:t>
      </w:r>
      <w:r w:rsidR="00920857">
        <w:rPr>
          <w:rFonts w:cs="Arial"/>
          <w:bCs/>
          <w:noProof/>
          <w:szCs w:val="20"/>
        </w:rPr>
        <w:t>Komunikacija, prepoznavnost in preglednost se bodo izvajali v skladu s členi 46-</w:t>
      </w:r>
      <w:r w:rsidR="00DA3607">
        <w:rPr>
          <w:rFonts w:cs="Arial"/>
          <w:bCs/>
          <w:noProof/>
          <w:szCs w:val="20"/>
        </w:rPr>
        <w:t>50</w:t>
      </w:r>
      <w:r w:rsidR="00920857">
        <w:rPr>
          <w:rFonts w:cs="Arial"/>
          <w:bCs/>
          <w:noProof/>
          <w:szCs w:val="20"/>
        </w:rPr>
        <w:t xml:space="preserve"> Uredbe o skupnih določbah ter 60. členom Uredbe o vzpostavitvi Evropskega sklada za pomorstvo, ribištvo in akvakulturo. Osredotočili se bomo na prepoznavnost programa in možnosti financiranja iz OP ESPRA 2021-2027.</w:t>
      </w:r>
      <w:r>
        <w:rPr>
          <w:rFonts w:cs="Arial"/>
          <w:bCs/>
          <w:noProof/>
          <w:szCs w:val="20"/>
        </w:rPr>
        <w:t xml:space="preserve"> Komunikacijske dejavnosti bodo morebitne nove vlagatelje spodbujale k odločitvam za pravo, učinkovito koriščenje EU sredstev.</w:t>
      </w:r>
    </w:p>
    <w:p w14:paraId="1508D305" w14:textId="77777777" w:rsidR="003F27D8" w:rsidRDefault="003F27D8" w:rsidP="00633494">
      <w:pPr>
        <w:pBdr>
          <w:top w:val="single" w:sz="4" w:space="1" w:color="auto"/>
          <w:left w:val="single" w:sz="4" w:space="4" w:color="auto"/>
          <w:bottom w:val="single" w:sz="4" w:space="1" w:color="auto"/>
          <w:right w:val="single" w:sz="4" w:space="4" w:color="auto"/>
        </w:pBdr>
        <w:jc w:val="both"/>
        <w:rPr>
          <w:rFonts w:cs="Arial"/>
          <w:bCs/>
          <w:noProof/>
          <w:szCs w:val="20"/>
        </w:rPr>
      </w:pPr>
    </w:p>
    <w:p w14:paraId="5A8F2A25" w14:textId="6A056BF1" w:rsidR="00EC23E6" w:rsidRDefault="003F27D8" w:rsidP="00EC23E6">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Uporabili bomo različne metode in ukrepe obveščanja javnosti in promocije ter pri tem upoštevali različne ciljne skupine. Ukrepi informiranja in promocije se bodo izvajali v skladu s komunikacijsko strategijo za programsko obdobje 2021-2027, ki predvsem zagotavlja</w:t>
      </w:r>
      <w:r w:rsidR="009E28CC">
        <w:rPr>
          <w:rFonts w:cs="Arial"/>
          <w:bCs/>
          <w:noProof/>
          <w:szCs w:val="20"/>
        </w:rPr>
        <w:t>, da bodo potencialni upravičenci</w:t>
      </w:r>
      <w:r>
        <w:rPr>
          <w:rFonts w:cs="Arial"/>
          <w:bCs/>
          <w:noProof/>
          <w:szCs w:val="20"/>
        </w:rPr>
        <w:t xml:space="preserve"> in splošna javnost obveščeni o možnostih podpore iz OP ESPRA 2021-2027. </w:t>
      </w:r>
      <w:r w:rsidR="00EC23E6">
        <w:rPr>
          <w:rFonts w:cs="Arial"/>
          <w:bCs/>
          <w:noProof/>
          <w:szCs w:val="20"/>
        </w:rPr>
        <w:t>Posebni cilji ukrepov obveščanja javnosti in promocije so zagotavljanje informiranja o obstoju programa ter možnostih sodelovanja v programu, pravočasnega izvajanja uspešnih projektov, strukturiranega in kakovostnega komuniciranja za potencialne in dejanske upravičence, s poudarkom na možnostih, ki jih program ponuja za njihov razvoj, kasnejših upravnih in prijavnih postopkih, merilih za izbor, itd, objavljanje uspešnih projektov in dobrih praks ter obveščanje javnosti o koristih projektov, rezultatih izbora in izvedb projektov Evropskega sklada za pomorstvo, ribištvo in akvakulturo.</w:t>
      </w:r>
    </w:p>
    <w:p w14:paraId="29ED180D" w14:textId="55A07EBC" w:rsidR="0074248A" w:rsidRDefault="0074248A" w:rsidP="00EC23E6">
      <w:pPr>
        <w:pBdr>
          <w:top w:val="single" w:sz="4" w:space="1" w:color="auto"/>
          <w:left w:val="single" w:sz="4" w:space="4" w:color="auto"/>
          <w:bottom w:val="single" w:sz="4" w:space="1" w:color="auto"/>
          <w:right w:val="single" w:sz="4" w:space="4" w:color="auto"/>
        </w:pBdr>
        <w:jc w:val="both"/>
        <w:rPr>
          <w:rFonts w:cs="Arial"/>
          <w:bCs/>
          <w:noProof/>
          <w:szCs w:val="20"/>
        </w:rPr>
      </w:pPr>
    </w:p>
    <w:p w14:paraId="092AC95E" w14:textId="231C131C" w:rsidR="0074248A" w:rsidRDefault="0074248A" w:rsidP="00EC23E6">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 xml:space="preserve">V zvezi z izvajanjem samega programa bodo promocijske dejavnosti usmerjene v naslednje skupine: potencialni ter dejanski upravičenci OP ESPRA 2021-2027, strokovna javnost, ki je vključena v ribiški sektor, </w:t>
      </w:r>
      <w:r w:rsidR="00333959">
        <w:rPr>
          <w:rFonts w:cs="Arial"/>
          <w:bCs/>
          <w:noProof/>
          <w:szCs w:val="20"/>
        </w:rPr>
        <w:t xml:space="preserve">širše cilne skupine na ravni posameznih aktivnosti, ki so navedene v OP ESPRA 2021-2027, </w:t>
      </w:r>
      <w:r>
        <w:rPr>
          <w:rFonts w:cs="Arial"/>
          <w:bCs/>
          <w:noProof/>
          <w:szCs w:val="20"/>
        </w:rPr>
        <w:t>strokovne organizacije, Odbor za spremljanje, mediji in širša javnost.</w:t>
      </w:r>
    </w:p>
    <w:p w14:paraId="30FBCE9B" w14:textId="77777777" w:rsidR="00EC23E6" w:rsidRDefault="00EC23E6" w:rsidP="00633494">
      <w:pPr>
        <w:pBdr>
          <w:top w:val="single" w:sz="4" w:space="1" w:color="auto"/>
          <w:left w:val="single" w:sz="4" w:space="4" w:color="auto"/>
          <w:bottom w:val="single" w:sz="4" w:space="1" w:color="auto"/>
          <w:right w:val="single" w:sz="4" w:space="4" w:color="auto"/>
        </w:pBdr>
        <w:jc w:val="both"/>
        <w:rPr>
          <w:rFonts w:cs="Arial"/>
          <w:bCs/>
          <w:noProof/>
          <w:szCs w:val="20"/>
        </w:rPr>
      </w:pPr>
    </w:p>
    <w:p w14:paraId="1B8F5CD0" w14:textId="61FCB056" w:rsidR="00633494" w:rsidRPr="00DB1585" w:rsidRDefault="00633494" w:rsidP="00633494">
      <w:pPr>
        <w:pBdr>
          <w:top w:val="single" w:sz="4" w:space="1" w:color="auto"/>
          <w:left w:val="single" w:sz="4" w:space="4" w:color="auto"/>
          <w:bottom w:val="single" w:sz="4" w:space="1" w:color="auto"/>
          <w:right w:val="single" w:sz="4" w:space="4" w:color="auto"/>
        </w:pBdr>
        <w:jc w:val="both"/>
        <w:rPr>
          <w:rFonts w:cs="Arial"/>
          <w:bCs/>
          <w:noProof/>
          <w:szCs w:val="20"/>
        </w:rPr>
      </w:pPr>
      <w:r w:rsidRPr="00DB1585">
        <w:rPr>
          <w:rFonts w:cs="Arial"/>
          <w:bCs/>
          <w:noProof/>
          <w:szCs w:val="20"/>
        </w:rPr>
        <w:t xml:space="preserve">. </w:t>
      </w:r>
      <w:r w:rsidR="005C3795">
        <w:rPr>
          <w:rFonts w:cs="Arial"/>
          <w:bCs/>
          <w:noProof/>
          <w:szCs w:val="20"/>
        </w:rPr>
        <w:t>Ukrepi promocije in obveščanja javnosti, namenjeni potencialnim in dejanskim upravičencem OP ESPRA 2021-2027, bodo vključevali tiskano in avdiovizualno gradivo (npr. brošure, informativni letaki, navodila za prijavitelje …)</w:t>
      </w:r>
      <w:r w:rsidR="0097722F">
        <w:rPr>
          <w:rFonts w:cs="Arial"/>
          <w:bCs/>
          <w:noProof/>
          <w:szCs w:val="20"/>
        </w:rPr>
        <w:t xml:space="preserve"> in različne publikacije</w:t>
      </w:r>
      <w:r w:rsidR="005C3795">
        <w:rPr>
          <w:rFonts w:cs="Arial"/>
          <w:bCs/>
          <w:noProof/>
          <w:szCs w:val="20"/>
        </w:rPr>
        <w:t xml:space="preserve">, aktivno udeležbo na konferencah, </w:t>
      </w:r>
      <w:r w:rsidR="0097722F">
        <w:rPr>
          <w:rFonts w:cs="Arial"/>
          <w:bCs/>
          <w:noProof/>
          <w:szCs w:val="20"/>
        </w:rPr>
        <w:t xml:space="preserve">okroglih mizah, delavnicah, tiskovnih konferencah, </w:t>
      </w:r>
      <w:r w:rsidR="005C3795">
        <w:rPr>
          <w:rFonts w:cs="Arial"/>
          <w:bCs/>
          <w:noProof/>
          <w:szCs w:val="20"/>
        </w:rPr>
        <w:t xml:space="preserve">seminarjih, razstavah in sejmih. </w:t>
      </w:r>
      <w:r w:rsidR="00E26E6F">
        <w:rPr>
          <w:rFonts w:cs="Arial"/>
          <w:bCs/>
          <w:noProof/>
          <w:szCs w:val="20"/>
        </w:rPr>
        <w:t>Zdi se</w:t>
      </w:r>
      <w:r w:rsidR="005C3795">
        <w:rPr>
          <w:rFonts w:cs="Arial"/>
          <w:bCs/>
          <w:noProof/>
          <w:szCs w:val="20"/>
        </w:rPr>
        <w:t xml:space="preserve"> tudi</w:t>
      </w:r>
      <w:r w:rsidR="00E26E6F">
        <w:rPr>
          <w:rFonts w:cs="Arial"/>
          <w:bCs/>
          <w:noProof/>
          <w:szCs w:val="20"/>
        </w:rPr>
        <w:t xml:space="preserve">, da bo treba več energije posvetiti uporabi sodobnih tehnologij, kot so </w:t>
      </w:r>
      <w:r w:rsidR="005C3795">
        <w:rPr>
          <w:rFonts w:cs="Arial"/>
          <w:bCs/>
          <w:noProof/>
          <w:szCs w:val="20"/>
        </w:rPr>
        <w:t xml:space="preserve">družbena </w:t>
      </w:r>
      <w:r w:rsidR="00E26E6F">
        <w:rPr>
          <w:rFonts w:cs="Arial"/>
          <w:bCs/>
          <w:noProof/>
          <w:szCs w:val="20"/>
        </w:rPr>
        <w:t xml:space="preserve">omrežja in </w:t>
      </w:r>
      <w:r w:rsidR="005C3795">
        <w:rPr>
          <w:rFonts w:cs="Arial"/>
          <w:bCs/>
          <w:noProof/>
          <w:szCs w:val="20"/>
        </w:rPr>
        <w:t>spletni mediji.</w:t>
      </w:r>
      <w:r w:rsidR="00333959">
        <w:rPr>
          <w:rFonts w:cs="Arial"/>
          <w:bCs/>
          <w:noProof/>
          <w:szCs w:val="20"/>
        </w:rPr>
        <w:t xml:space="preserve"> ter t. i. mreženju</w:t>
      </w:r>
      <w:r w:rsidR="0097722F">
        <w:rPr>
          <w:rFonts w:cs="Arial"/>
          <w:bCs/>
          <w:noProof/>
          <w:szCs w:val="20"/>
        </w:rPr>
        <w:t xml:space="preserve"> V primeru nadaljnjega trajanja epidemije, povezane s COVID-19, se bodo distrib</w:t>
      </w:r>
      <w:r w:rsidR="008122E7">
        <w:rPr>
          <w:rFonts w:cs="Arial"/>
          <w:bCs/>
          <w:noProof/>
          <w:szCs w:val="20"/>
        </w:rPr>
        <w:t>u</w:t>
      </w:r>
      <w:r w:rsidR="0097722F">
        <w:rPr>
          <w:rFonts w:cs="Arial"/>
          <w:bCs/>
          <w:noProof/>
          <w:szCs w:val="20"/>
        </w:rPr>
        <w:t>irale elektronske verzije publikacij</w:t>
      </w:r>
      <w:r w:rsidR="00333959">
        <w:rPr>
          <w:rFonts w:cs="Arial"/>
          <w:bCs/>
          <w:noProof/>
          <w:szCs w:val="20"/>
        </w:rPr>
        <w:t xml:space="preserve"> in t. i. newsletter</w:t>
      </w:r>
      <w:r w:rsidR="0097722F">
        <w:rPr>
          <w:rFonts w:cs="Arial"/>
          <w:bCs/>
          <w:noProof/>
          <w:szCs w:val="20"/>
        </w:rPr>
        <w:t xml:space="preserve">. Organ upravljanja bo iskal tudi druge rešitve komunikacije. </w:t>
      </w:r>
      <w:r w:rsidR="0097722F" w:rsidRPr="00DB1585">
        <w:rPr>
          <w:rFonts w:cs="Arial"/>
          <w:bCs/>
          <w:noProof/>
          <w:szCs w:val="20"/>
        </w:rPr>
        <w:t>Za večjo prepoznavnost OP ESPRA 2021–2027 bo pripravljeno tudi promocijsko gradivo.</w:t>
      </w:r>
      <w:r w:rsidR="0097722F">
        <w:rPr>
          <w:rFonts w:cs="Arial"/>
          <w:bCs/>
          <w:noProof/>
          <w:szCs w:val="20"/>
        </w:rPr>
        <w:t xml:space="preserve"> Komunikacijske aktivnosti se bodo dopolnjevale z izvajanjem splošne generične promocijske kampanje, kjer se bo posredno promoviralo tudi sklad.</w:t>
      </w:r>
      <w:r w:rsidR="00E26E6F">
        <w:rPr>
          <w:rFonts w:cs="Arial"/>
          <w:bCs/>
          <w:noProof/>
          <w:szCs w:val="20"/>
        </w:rPr>
        <w:t xml:space="preserve"> </w:t>
      </w:r>
      <w:r w:rsidRPr="00DB1585">
        <w:rPr>
          <w:rFonts w:cs="Arial"/>
          <w:bCs/>
          <w:noProof/>
          <w:szCs w:val="20"/>
        </w:rPr>
        <w:t>Glede na majhnost sektorja</w:t>
      </w:r>
      <w:r w:rsidR="00DB1585">
        <w:rPr>
          <w:rFonts w:cs="Arial"/>
          <w:bCs/>
          <w:noProof/>
          <w:szCs w:val="20"/>
        </w:rPr>
        <w:t xml:space="preserve"> se bo ciljnim skupinam zagotavljalo</w:t>
      </w:r>
      <w:r w:rsidR="00FA0D3B">
        <w:rPr>
          <w:rFonts w:cs="Arial"/>
          <w:bCs/>
          <w:noProof/>
          <w:szCs w:val="20"/>
        </w:rPr>
        <w:t xml:space="preserve"> tudi individualne</w:t>
      </w:r>
      <w:r w:rsidRPr="00DB1585">
        <w:rPr>
          <w:rFonts w:cs="Arial"/>
          <w:bCs/>
          <w:noProof/>
          <w:szCs w:val="20"/>
        </w:rPr>
        <w:t xml:space="preserve"> informacije o ukrepih</w:t>
      </w:r>
      <w:r w:rsidR="00DB1585">
        <w:rPr>
          <w:rFonts w:cs="Arial"/>
          <w:bCs/>
          <w:noProof/>
          <w:szCs w:val="20"/>
        </w:rPr>
        <w:t>, informacijah</w:t>
      </w:r>
      <w:r w:rsidRPr="00DB1585">
        <w:rPr>
          <w:rFonts w:cs="Arial"/>
          <w:bCs/>
          <w:noProof/>
          <w:szCs w:val="20"/>
        </w:rPr>
        <w:t xml:space="preserve"> o merilih za izbor projektov v okviru posameznih ukrepov in mehanizmih za v</w:t>
      </w:r>
      <w:r w:rsidR="00DB1585">
        <w:rPr>
          <w:rFonts w:cs="Arial"/>
          <w:bCs/>
          <w:noProof/>
          <w:szCs w:val="20"/>
        </w:rPr>
        <w:t>rednotenje izvedenih projektov.</w:t>
      </w:r>
      <w:r w:rsidR="00FA0D3B">
        <w:rPr>
          <w:rFonts w:cs="Arial"/>
          <w:bCs/>
          <w:noProof/>
          <w:szCs w:val="20"/>
        </w:rPr>
        <w:t xml:space="preserve"> Ob objavi javnih razpisov bo izvedena tudi predstavitev razpisa.</w:t>
      </w:r>
      <w:r w:rsidR="00E26E6F">
        <w:rPr>
          <w:rFonts w:cs="Arial"/>
          <w:bCs/>
          <w:noProof/>
          <w:szCs w:val="20"/>
        </w:rPr>
        <w:t xml:space="preserve"> Pri komunikaciji s potencialnimi vlagatelji bomo, kjer bo to potrebno, sodelovali s Službo za odnose z javnostmi in promocijo.</w:t>
      </w:r>
      <w:r w:rsidR="000D20F7">
        <w:rPr>
          <w:rFonts w:cs="Arial"/>
          <w:bCs/>
          <w:noProof/>
          <w:szCs w:val="20"/>
        </w:rPr>
        <w:t xml:space="preserve"> </w:t>
      </w:r>
      <w:r w:rsidR="00333959">
        <w:rPr>
          <w:rFonts w:cs="Arial"/>
          <w:bCs/>
          <w:noProof/>
          <w:szCs w:val="20"/>
        </w:rPr>
        <w:t xml:space="preserve">Prav tako pa bomo, kjer bo to mogoče, sodelovali z Mrežo za podeželje. </w:t>
      </w:r>
      <w:r w:rsidR="000D20F7">
        <w:rPr>
          <w:rFonts w:cs="Arial"/>
          <w:bCs/>
          <w:noProof/>
          <w:szCs w:val="20"/>
        </w:rPr>
        <w:t xml:space="preserve">Vse promocijske in komunikacijske dejavnosti se bodo </w:t>
      </w:r>
      <w:r w:rsidR="0097722F">
        <w:rPr>
          <w:rFonts w:cs="Arial"/>
          <w:bCs/>
          <w:noProof/>
          <w:szCs w:val="20"/>
        </w:rPr>
        <w:t>stalno ocenjevale.</w:t>
      </w:r>
      <w:r w:rsidR="00DA3607">
        <w:rPr>
          <w:rFonts w:cs="Arial"/>
          <w:bCs/>
          <w:noProof/>
          <w:szCs w:val="20"/>
        </w:rPr>
        <w:t xml:space="preserve"> S</w:t>
      </w:r>
      <w:r w:rsidR="00DA3607" w:rsidRPr="00DB1585">
        <w:rPr>
          <w:rFonts w:cs="Arial"/>
          <w:bCs/>
          <w:noProof/>
          <w:szCs w:val="20"/>
        </w:rPr>
        <w:t>premlja</w:t>
      </w:r>
      <w:r w:rsidR="00DA3607">
        <w:rPr>
          <w:rFonts w:cs="Arial"/>
          <w:bCs/>
          <w:noProof/>
          <w:szCs w:val="20"/>
        </w:rPr>
        <w:t>lo se bo</w:t>
      </w:r>
      <w:r w:rsidR="00DA3607" w:rsidRPr="00DB1585">
        <w:rPr>
          <w:rFonts w:cs="Arial"/>
          <w:bCs/>
          <w:noProof/>
          <w:szCs w:val="20"/>
        </w:rPr>
        <w:t xml:space="preserve"> izveden</w:t>
      </w:r>
      <w:r w:rsidR="00DA3607">
        <w:rPr>
          <w:rFonts w:cs="Arial"/>
          <w:bCs/>
          <w:noProof/>
          <w:szCs w:val="20"/>
        </w:rPr>
        <w:t>e</w:t>
      </w:r>
      <w:r w:rsidR="00DA3607" w:rsidRPr="00DB1585">
        <w:rPr>
          <w:rFonts w:cs="Arial"/>
          <w:bCs/>
          <w:noProof/>
          <w:szCs w:val="20"/>
        </w:rPr>
        <w:t xml:space="preserve"> aktivnosti v okviru kazalnika število izvedenih aktivnosti (delavnic, seminarjev, sejmov, objav v medijih, itd.)</w:t>
      </w:r>
      <w:r w:rsidR="00DA3607">
        <w:rPr>
          <w:rFonts w:cs="Arial"/>
          <w:bCs/>
          <w:noProof/>
          <w:szCs w:val="20"/>
        </w:rPr>
        <w:t>. Ta kazalnik</w:t>
      </w:r>
      <w:r w:rsidR="00DA3607" w:rsidRPr="00DB1585">
        <w:rPr>
          <w:rFonts w:cs="Arial"/>
          <w:bCs/>
          <w:noProof/>
          <w:szCs w:val="20"/>
        </w:rPr>
        <w:t xml:space="preserve"> se bo ovrednotil v okviru vrednotenj programa.</w:t>
      </w:r>
    </w:p>
    <w:p w14:paraId="62B34912" w14:textId="0DF0EB8F" w:rsidR="00D83A2F" w:rsidRPr="00DB1585" w:rsidRDefault="00D83A2F" w:rsidP="00633494">
      <w:pPr>
        <w:pBdr>
          <w:top w:val="single" w:sz="4" w:space="1" w:color="auto"/>
          <w:left w:val="single" w:sz="4" w:space="4" w:color="auto"/>
          <w:bottom w:val="single" w:sz="4" w:space="1" w:color="auto"/>
          <w:right w:val="single" w:sz="4" w:space="4" w:color="auto"/>
        </w:pBdr>
        <w:jc w:val="both"/>
        <w:rPr>
          <w:rFonts w:cs="Arial"/>
          <w:bCs/>
          <w:noProof/>
          <w:szCs w:val="20"/>
        </w:rPr>
      </w:pPr>
    </w:p>
    <w:p w14:paraId="1F620477" w14:textId="31BE4F34" w:rsidR="00633494" w:rsidRPr="00DB1585" w:rsidRDefault="009B74F3" w:rsidP="00633494">
      <w:pPr>
        <w:pBdr>
          <w:top w:val="single" w:sz="4" w:space="1" w:color="auto"/>
          <w:left w:val="single" w:sz="4" w:space="4" w:color="auto"/>
          <w:bottom w:val="single" w:sz="4" w:space="1" w:color="auto"/>
          <w:right w:val="single" w:sz="4" w:space="4" w:color="auto"/>
        </w:pBdr>
        <w:jc w:val="both"/>
        <w:rPr>
          <w:rFonts w:cs="Arial"/>
          <w:bCs/>
          <w:noProof/>
          <w:szCs w:val="20"/>
        </w:rPr>
      </w:pPr>
      <w:r>
        <w:rPr>
          <w:rFonts w:cs="Arial"/>
          <w:bCs/>
          <w:noProof/>
          <w:szCs w:val="20"/>
        </w:rPr>
        <w:t>V sodelovanju z ostalimi skladi partnerskega sporazuma se bo</w:t>
      </w:r>
      <w:r w:rsidR="0097722F">
        <w:rPr>
          <w:rFonts w:cs="Arial"/>
          <w:bCs/>
          <w:noProof/>
          <w:szCs w:val="20"/>
        </w:rPr>
        <w:t xml:space="preserve"> za zagotovitev preglednosti podpore iz skladov</w:t>
      </w:r>
      <w:r>
        <w:rPr>
          <w:rFonts w:cs="Arial"/>
          <w:bCs/>
          <w:noProof/>
          <w:szCs w:val="20"/>
        </w:rPr>
        <w:t xml:space="preserve"> pripravilo</w:t>
      </w:r>
      <w:r w:rsidR="0097722F">
        <w:rPr>
          <w:rFonts w:cs="Arial"/>
          <w:bCs/>
          <w:noProof/>
          <w:szCs w:val="20"/>
        </w:rPr>
        <w:t xml:space="preserve"> skupen</w:t>
      </w:r>
      <w:r>
        <w:rPr>
          <w:rFonts w:cs="Arial"/>
          <w:bCs/>
          <w:noProof/>
          <w:szCs w:val="20"/>
        </w:rPr>
        <w:t xml:space="preserve"> logotip in </w:t>
      </w:r>
      <w:r w:rsidR="00633494" w:rsidRPr="00DB1585">
        <w:rPr>
          <w:rFonts w:cs="Arial"/>
          <w:bCs/>
          <w:noProof/>
          <w:szCs w:val="20"/>
        </w:rPr>
        <w:t>spletn</w:t>
      </w:r>
      <w:r w:rsidR="007B3456">
        <w:rPr>
          <w:rFonts w:cs="Arial"/>
          <w:bCs/>
          <w:noProof/>
          <w:szCs w:val="20"/>
        </w:rPr>
        <w:t>o</w:t>
      </w:r>
      <w:r w:rsidR="00633494" w:rsidRPr="00DB1585">
        <w:rPr>
          <w:rFonts w:cs="Arial"/>
          <w:bCs/>
          <w:noProof/>
          <w:szCs w:val="20"/>
        </w:rPr>
        <w:t xml:space="preserve"> stran</w:t>
      </w:r>
      <w:r w:rsidR="008A18D3">
        <w:rPr>
          <w:rFonts w:cs="Arial"/>
          <w:bCs/>
          <w:noProof/>
          <w:szCs w:val="20"/>
        </w:rPr>
        <w:t>evropskasredstva.si</w:t>
      </w:r>
      <w:r w:rsidR="00633494" w:rsidRPr="00DB1585">
        <w:rPr>
          <w:rFonts w:cs="Arial"/>
          <w:bCs/>
          <w:noProof/>
          <w:szCs w:val="20"/>
        </w:rPr>
        <w:t>,</w:t>
      </w:r>
      <w:r>
        <w:rPr>
          <w:rFonts w:cs="Arial"/>
          <w:bCs/>
          <w:noProof/>
          <w:szCs w:val="20"/>
        </w:rPr>
        <w:t xml:space="preserve"> na kateri bo možno najti vse informacije glede OP ESPRA 2021-2027</w:t>
      </w:r>
      <w:r w:rsidR="0097722F">
        <w:rPr>
          <w:rFonts w:cs="Arial"/>
          <w:bCs/>
          <w:noProof/>
          <w:szCs w:val="20"/>
        </w:rPr>
        <w:t>, vključno s cilji, aktivnostmi, razpoložljivimi možnostmi financiranja in dosežkih projektov</w:t>
      </w:r>
      <w:r>
        <w:rPr>
          <w:rFonts w:cs="Arial"/>
          <w:bCs/>
          <w:noProof/>
          <w:szCs w:val="20"/>
        </w:rPr>
        <w:t xml:space="preserve">. </w:t>
      </w:r>
      <w:r w:rsidR="007602B2">
        <w:rPr>
          <w:rFonts w:cs="Arial"/>
          <w:bCs/>
          <w:noProof/>
          <w:szCs w:val="20"/>
        </w:rPr>
        <w:t>Potencialni</w:t>
      </w:r>
      <w:r w:rsidR="007602B2" w:rsidRPr="00DB1585">
        <w:rPr>
          <w:rFonts w:cs="Arial"/>
          <w:bCs/>
          <w:noProof/>
          <w:szCs w:val="20"/>
        </w:rPr>
        <w:t xml:space="preserve"> </w:t>
      </w:r>
      <w:r w:rsidR="00633494" w:rsidRPr="00DB1585">
        <w:rPr>
          <w:rFonts w:cs="Arial"/>
          <w:bCs/>
          <w:noProof/>
          <w:szCs w:val="20"/>
        </w:rPr>
        <w:t xml:space="preserve">upravičenci bodo lahko našli vse potrebne informacije o posameznih </w:t>
      </w:r>
      <w:r w:rsidR="00C04518">
        <w:rPr>
          <w:rFonts w:cs="Arial"/>
          <w:bCs/>
          <w:noProof/>
          <w:szCs w:val="20"/>
        </w:rPr>
        <w:t xml:space="preserve">aktivnostih </w:t>
      </w:r>
      <w:r w:rsidR="00295E96">
        <w:rPr>
          <w:rFonts w:cs="Arial"/>
          <w:bCs/>
          <w:noProof/>
          <w:szCs w:val="20"/>
        </w:rPr>
        <w:t>in izvajanju programa</w:t>
      </w:r>
      <w:r w:rsidR="00633494" w:rsidRPr="00DB1585">
        <w:rPr>
          <w:rFonts w:cs="Arial"/>
          <w:bCs/>
          <w:noProof/>
          <w:szCs w:val="20"/>
        </w:rPr>
        <w:t xml:space="preserve">: pogojih za pridobitev sredstev v okviru OP ESPRA 2021–2027, postopkih za pregled vlog za financiranje in zadevnih rokih, merilih za izbor dejavnosti, ki bodo sofinancirane. Na spletni strani bodo objavljeni javni razpisi z razpisno dokumentacijo in vse informacijske točke, </w:t>
      </w:r>
      <w:r w:rsidR="007069E6">
        <w:rPr>
          <w:rFonts w:cs="Arial"/>
          <w:bCs/>
          <w:noProof/>
          <w:szCs w:val="20"/>
        </w:rPr>
        <w:t xml:space="preserve">kjer </w:t>
      </w:r>
      <w:r w:rsidR="00633494" w:rsidRPr="00DB1585">
        <w:rPr>
          <w:rFonts w:cs="Arial"/>
          <w:bCs/>
          <w:noProof/>
          <w:szCs w:val="20"/>
        </w:rPr>
        <w:t>bo mogoče dobiti dodatne informacije</w:t>
      </w:r>
      <w:r w:rsidR="00295E96">
        <w:rPr>
          <w:rFonts w:cs="Arial"/>
          <w:bCs/>
          <w:noProof/>
          <w:szCs w:val="20"/>
        </w:rPr>
        <w:t xml:space="preserve"> ter seznam izvedenih operacij</w:t>
      </w:r>
      <w:r w:rsidR="00843CB5">
        <w:rPr>
          <w:rFonts w:cs="Arial"/>
          <w:bCs/>
          <w:noProof/>
          <w:szCs w:val="20"/>
        </w:rPr>
        <w:t xml:space="preserve"> in upravičencev</w:t>
      </w:r>
      <w:r w:rsidR="00633494" w:rsidRPr="00DB1585">
        <w:rPr>
          <w:rFonts w:cs="Arial"/>
          <w:bCs/>
          <w:noProof/>
          <w:szCs w:val="20"/>
        </w:rPr>
        <w:t xml:space="preserve">. </w:t>
      </w:r>
      <w:r w:rsidR="0097722F">
        <w:rPr>
          <w:rFonts w:cs="Arial"/>
          <w:bCs/>
          <w:noProof/>
          <w:szCs w:val="20"/>
        </w:rPr>
        <w:t>Spletno mesto bo</w:t>
      </w:r>
      <w:r w:rsidR="0097722F" w:rsidRPr="0097722F">
        <w:rPr>
          <w:rFonts w:cs="Arial"/>
          <w:bCs/>
          <w:noProof/>
          <w:szCs w:val="20"/>
        </w:rPr>
        <w:t xml:space="preserve"> orodje za dosego vseh zgoraj navedenih ciljnih skup</w:t>
      </w:r>
      <w:r w:rsidR="0097722F">
        <w:rPr>
          <w:rFonts w:cs="Arial"/>
          <w:bCs/>
          <w:noProof/>
          <w:szCs w:val="20"/>
        </w:rPr>
        <w:t xml:space="preserve">in. </w:t>
      </w:r>
    </w:p>
    <w:p w14:paraId="0E5212AA" w14:textId="77777777" w:rsidR="00633494" w:rsidRPr="00DB1585" w:rsidRDefault="00633494" w:rsidP="00633494">
      <w:pPr>
        <w:pBdr>
          <w:top w:val="single" w:sz="4" w:space="1" w:color="auto"/>
          <w:left w:val="single" w:sz="4" w:space="4" w:color="auto"/>
          <w:bottom w:val="single" w:sz="4" w:space="1" w:color="auto"/>
          <w:right w:val="single" w:sz="4" w:space="4" w:color="auto"/>
        </w:pBdr>
        <w:jc w:val="both"/>
        <w:rPr>
          <w:rFonts w:cs="Arial"/>
          <w:bCs/>
          <w:noProof/>
          <w:szCs w:val="20"/>
        </w:rPr>
      </w:pPr>
    </w:p>
    <w:p w14:paraId="46753BF0" w14:textId="4AC2B902" w:rsidR="00C927A5" w:rsidRPr="00DB1585" w:rsidRDefault="00633494" w:rsidP="00C927A5">
      <w:pPr>
        <w:pBdr>
          <w:top w:val="single" w:sz="4" w:space="1" w:color="auto"/>
          <w:left w:val="single" w:sz="4" w:space="4" w:color="auto"/>
          <w:bottom w:val="single" w:sz="4" w:space="1" w:color="auto"/>
          <w:right w:val="single" w:sz="4" w:space="4" w:color="auto"/>
        </w:pBdr>
        <w:jc w:val="both"/>
        <w:rPr>
          <w:rFonts w:cs="Arial"/>
          <w:bCs/>
          <w:noProof/>
          <w:szCs w:val="20"/>
        </w:rPr>
      </w:pPr>
      <w:r w:rsidRPr="00DB1585">
        <w:rPr>
          <w:rFonts w:cs="Arial"/>
          <w:bCs/>
          <w:noProof/>
          <w:szCs w:val="20"/>
        </w:rPr>
        <w:t>Z namenom zagotavljanja prepoznavnosti OP ESPRA 2021-2027 se bo Organ upravljanja vključeval v skupne dejavnosti ESI</w:t>
      </w:r>
      <w:r w:rsidR="009B74F3">
        <w:rPr>
          <w:rFonts w:cs="Arial"/>
          <w:bCs/>
          <w:noProof/>
          <w:szCs w:val="20"/>
        </w:rPr>
        <w:t xml:space="preserve"> skladov</w:t>
      </w:r>
      <w:r w:rsidRPr="00DB1585">
        <w:rPr>
          <w:rFonts w:cs="Arial"/>
          <w:bCs/>
          <w:noProof/>
          <w:szCs w:val="20"/>
        </w:rPr>
        <w:t>, skupn</w:t>
      </w:r>
      <w:r w:rsidR="009B74F3">
        <w:rPr>
          <w:rFonts w:cs="Arial"/>
          <w:bCs/>
          <w:noProof/>
          <w:szCs w:val="20"/>
        </w:rPr>
        <w:t>e</w:t>
      </w:r>
      <w:r w:rsidRPr="00DB1585">
        <w:rPr>
          <w:rFonts w:cs="Arial"/>
          <w:bCs/>
          <w:noProof/>
          <w:szCs w:val="20"/>
        </w:rPr>
        <w:t xml:space="preserve"> komunikacijsk</w:t>
      </w:r>
      <w:r w:rsidR="009B74F3">
        <w:rPr>
          <w:rFonts w:cs="Arial"/>
          <w:bCs/>
          <w:noProof/>
          <w:szCs w:val="20"/>
        </w:rPr>
        <w:t>e</w:t>
      </w:r>
      <w:r w:rsidRPr="00DB1585">
        <w:rPr>
          <w:rFonts w:cs="Arial"/>
          <w:bCs/>
          <w:noProof/>
          <w:szCs w:val="20"/>
        </w:rPr>
        <w:t xml:space="preserve"> dogodk</w:t>
      </w:r>
      <w:r w:rsidR="009B74F3">
        <w:rPr>
          <w:rFonts w:cs="Arial"/>
          <w:bCs/>
          <w:noProof/>
          <w:szCs w:val="20"/>
        </w:rPr>
        <w:t>e</w:t>
      </w:r>
      <w:r w:rsidRPr="00DB1585">
        <w:rPr>
          <w:rFonts w:cs="Arial"/>
          <w:bCs/>
          <w:noProof/>
          <w:szCs w:val="20"/>
        </w:rPr>
        <w:t xml:space="preserve"> in skupne promocijske dejavnosti ter v skupne mreže (npr. </w:t>
      </w:r>
      <w:r w:rsidR="00C61389">
        <w:rPr>
          <w:rFonts w:cs="Arial"/>
          <w:bCs/>
          <w:noProof/>
          <w:szCs w:val="20"/>
        </w:rPr>
        <w:t xml:space="preserve">slovenska </w:t>
      </w:r>
      <w:r w:rsidR="00C04518">
        <w:rPr>
          <w:rFonts w:cs="Arial"/>
          <w:bCs/>
          <w:noProof/>
          <w:szCs w:val="20"/>
        </w:rPr>
        <w:t xml:space="preserve">ter EU </w:t>
      </w:r>
      <w:r w:rsidRPr="00DB1585">
        <w:rPr>
          <w:rFonts w:cs="Arial"/>
          <w:bCs/>
          <w:noProof/>
          <w:szCs w:val="20"/>
        </w:rPr>
        <w:t xml:space="preserve">mreža </w:t>
      </w:r>
      <w:r w:rsidR="00497A4E">
        <w:rPr>
          <w:rFonts w:cs="Arial"/>
          <w:bCs/>
          <w:noProof/>
          <w:szCs w:val="20"/>
        </w:rPr>
        <w:t xml:space="preserve">za </w:t>
      </w:r>
      <w:r w:rsidRPr="00DB1585">
        <w:rPr>
          <w:rFonts w:cs="Arial"/>
          <w:bCs/>
          <w:noProof/>
          <w:szCs w:val="20"/>
        </w:rPr>
        <w:t xml:space="preserve">komuniciranje med skladi). </w:t>
      </w:r>
      <w:r w:rsidR="00C927A5" w:rsidRPr="00DB1585">
        <w:rPr>
          <w:rFonts w:cs="Arial"/>
          <w:bCs/>
          <w:noProof/>
          <w:szCs w:val="20"/>
        </w:rPr>
        <w:t xml:space="preserve">V ukrepe obveščanja javnosti bodo poleg socialnih partnerjev vključeni tudi: informacijska središča o EU in predstavništva Komisije v državah članicah ter izobraževalne in raziskovalne ustanove. </w:t>
      </w:r>
    </w:p>
    <w:p w14:paraId="1A895396" w14:textId="77777777" w:rsidR="009572A7" w:rsidRPr="00DB1585" w:rsidRDefault="009572A7" w:rsidP="00C927A5">
      <w:pPr>
        <w:pBdr>
          <w:top w:val="single" w:sz="4" w:space="1" w:color="auto"/>
          <w:left w:val="single" w:sz="4" w:space="4" w:color="auto"/>
          <w:bottom w:val="single" w:sz="4" w:space="1" w:color="auto"/>
          <w:right w:val="single" w:sz="4" w:space="4" w:color="auto"/>
        </w:pBdr>
        <w:jc w:val="both"/>
        <w:rPr>
          <w:rFonts w:cs="Arial"/>
          <w:bCs/>
          <w:noProof/>
          <w:szCs w:val="20"/>
        </w:rPr>
      </w:pPr>
    </w:p>
    <w:p w14:paraId="21585C77" w14:textId="7DCBBE68" w:rsidR="009572A7" w:rsidRDefault="009572A7" w:rsidP="00C927A5">
      <w:pPr>
        <w:pBdr>
          <w:top w:val="single" w:sz="4" w:space="1" w:color="auto"/>
          <w:left w:val="single" w:sz="4" w:space="4" w:color="auto"/>
          <w:bottom w:val="single" w:sz="4" w:space="1" w:color="auto"/>
          <w:right w:val="single" w:sz="4" w:space="4" w:color="auto"/>
        </w:pBdr>
        <w:jc w:val="both"/>
        <w:rPr>
          <w:rFonts w:cs="Arial"/>
          <w:bCs/>
          <w:noProof/>
          <w:szCs w:val="20"/>
        </w:rPr>
      </w:pPr>
      <w:r w:rsidRPr="00DB1585">
        <w:rPr>
          <w:rFonts w:cs="Arial"/>
          <w:bCs/>
          <w:noProof/>
          <w:szCs w:val="20"/>
        </w:rPr>
        <w:t>Komunikacijske aktivnosti se bodo financirale iz tehnične pomoči</w:t>
      </w:r>
      <w:r w:rsidR="007602B2">
        <w:rPr>
          <w:rFonts w:cs="Arial"/>
          <w:bCs/>
          <w:noProof/>
          <w:szCs w:val="20"/>
        </w:rPr>
        <w:t xml:space="preserve"> oziroma iz drugih virov</w:t>
      </w:r>
      <w:r w:rsidRPr="00DB1585">
        <w:rPr>
          <w:rFonts w:cs="Arial"/>
          <w:bCs/>
          <w:noProof/>
          <w:szCs w:val="20"/>
        </w:rPr>
        <w:t>.</w:t>
      </w:r>
      <w:r w:rsidR="001B2A45" w:rsidRPr="00DB1585">
        <w:rPr>
          <w:rFonts w:cs="Arial"/>
          <w:bCs/>
          <w:noProof/>
          <w:szCs w:val="20"/>
        </w:rPr>
        <w:t xml:space="preserve"> V </w:t>
      </w:r>
      <w:r w:rsidR="007602B2">
        <w:rPr>
          <w:rFonts w:cs="Arial"/>
          <w:bCs/>
          <w:noProof/>
          <w:szCs w:val="20"/>
        </w:rPr>
        <w:t xml:space="preserve">skladu z 48. členom Uredbe o skupnih določbah sta v </w:t>
      </w:r>
      <w:r w:rsidR="001B2A45" w:rsidRPr="00DB1585">
        <w:rPr>
          <w:rFonts w:cs="Arial"/>
          <w:bCs/>
          <w:noProof/>
          <w:szCs w:val="20"/>
        </w:rPr>
        <w:t xml:space="preserve">okviru </w:t>
      </w:r>
      <w:r w:rsidR="00EE4AA2">
        <w:rPr>
          <w:rFonts w:cs="Arial"/>
          <w:bCs/>
          <w:noProof/>
          <w:szCs w:val="20"/>
        </w:rPr>
        <w:t>Organa upravljanja</w:t>
      </w:r>
      <w:r w:rsidR="001B2A45" w:rsidRPr="00DB1585">
        <w:rPr>
          <w:rFonts w:cs="Arial"/>
          <w:bCs/>
          <w:noProof/>
          <w:szCs w:val="20"/>
        </w:rPr>
        <w:t xml:space="preserve"> določen</w:t>
      </w:r>
      <w:r w:rsidR="007B3456">
        <w:rPr>
          <w:rFonts w:cs="Arial"/>
          <w:bCs/>
          <w:noProof/>
          <w:szCs w:val="20"/>
        </w:rPr>
        <w:t>a</w:t>
      </w:r>
      <w:r w:rsidR="001B2A45" w:rsidRPr="00DB1585">
        <w:rPr>
          <w:rFonts w:cs="Arial"/>
          <w:bCs/>
          <w:noProof/>
          <w:szCs w:val="20"/>
        </w:rPr>
        <w:t xml:space="preserve"> uradnik za komuniciranje</w:t>
      </w:r>
      <w:r w:rsidR="007B3456">
        <w:rPr>
          <w:rFonts w:cs="Arial"/>
          <w:bCs/>
          <w:noProof/>
          <w:szCs w:val="20"/>
        </w:rPr>
        <w:t xml:space="preserve"> in njegov namestnik</w:t>
      </w:r>
      <w:r w:rsidR="001B2A45" w:rsidRPr="00DB1585">
        <w:rPr>
          <w:rFonts w:cs="Arial"/>
          <w:bCs/>
          <w:noProof/>
          <w:szCs w:val="20"/>
        </w:rPr>
        <w:t>, ki bo</w:t>
      </w:r>
      <w:r w:rsidR="007602B2">
        <w:rPr>
          <w:rFonts w:cs="Arial"/>
          <w:bCs/>
          <w:noProof/>
          <w:szCs w:val="20"/>
        </w:rPr>
        <w:t>sta delala z evropsko mrežo uradnikov za komuniciranje evropskih skladov, ki si bodo izmenjevali informacije o prepoznavnosti, preglednosti in komunikacijskih dejavnostih.</w:t>
      </w:r>
      <w:r w:rsidR="001B2A45" w:rsidRPr="00DB1585">
        <w:rPr>
          <w:rFonts w:cs="Arial"/>
          <w:bCs/>
          <w:noProof/>
          <w:szCs w:val="20"/>
        </w:rPr>
        <w:t xml:space="preserve"> </w:t>
      </w:r>
      <w:r w:rsidR="00EE4AA2">
        <w:rPr>
          <w:rFonts w:cs="Arial"/>
          <w:bCs/>
          <w:noProof/>
          <w:szCs w:val="20"/>
        </w:rPr>
        <w:t>Uradnik za komuniciranje</w:t>
      </w:r>
      <w:r w:rsidR="00DB1585" w:rsidRPr="00DB1585">
        <w:rPr>
          <w:rFonts w:cs="Arial"/>
          <w:bCs/>
          <w:noProof/>
          <w:szCs w:val="20"/>
        </w:rPr>
        <w:t xml:space="preserve"> </w:t>
      </w:r>
      <w:r w:rsidR="00DA3607">
        <w:rPr>
          <w:rFonts w:cs="Arial"/>
          <w:bCs/>
          <w:noProof/>
          <w:szCs w:val="20"/>
        </w:rPr>
        <w:t xml:space="preserve">se bo </w:t>
      </w:r>
      <w:r w:rsidR="00EE4AA2">
        <w:rPr>
          <w:rFonts w:cs="Arial"/>
          <w:bCs/>
          <w:noProof/>
          <w:szCs w:val="20"/>
        </w:rPr>
        <w:t>povezova</w:t>
      </w:r>
      <w:r w:rsidR="00DA3607">
        <w:rPr>
          <w:rFonts w:cs="Arial"/>
          <w:bCs/>
          <w:noProof/>
          <w:szCs w:val="20"/>
        </w:rPr>
        <w:t>l</w:t>
      </w:r>
      <w:r w:rsidR="00EE4AA2">
        <w:rPr>
          <w:rFonts w:cs="Arial"/>
          <w:bCs/>
          <w:noProof/>
          <w:szCs w:val="20"/>
        </w:rPr>
        <w:t xml:space="preserve"> z različnimi ciljnimi skupinami in </w:t>
      </w:r>
      <w:r w:rsidR="00DA3607">
        <w:rPr>
          <w:rFonts w:cs="Arial"/>
          <w:bCs/>
          <w:noProof/>
          <w:szCs w:val="20"/>
        </w:rPr>
        <w:t>j</w:t>
      </w:r>
      <w:r w:rsidR="00EE4AA2">
        <w:rPr>
          <w:rFonts w:cs="Arial"/>
          <w:bCs/>
          <w:noProof/>
          <w:szCs w:val="20"/>
        </w:rPr>
        <w:t xml:space="preserve">avnostmi, vezanimi na področja ESPRA. </w:t>
      </w:r>
    </w:p>
    <w:p w14:paraId="4518FE8C" w14:textId="77777777" w:rsidR="007B3456" w:rsidRDefault="007B3456" w:rsidP="00C927A5">
      <w:pPr>
        <w:pBdr>
          <w:top w:val="single" w:sz="4" w:space="1" w:color="auto"/>
          <w:left w:val="single" w:sz="4" w:space="4" w:color="auto"/>
          <w:bottom w:val="single" w:sz="4" w:space="1" w:color="auto"/>
          <w:right w:val="single" w:sz="4" w:space="4" w:color="auto"/>
        </w:pBdr>
        <w:jc w:val="both"/>
        <w:rPr>
          <w:rFonts w:cs="Arial"/>
          <w:bCs/>
          <w:noProof/>
          <w:szCs w:val="20"/>
        </w:rPr>
      </w:pPr>
    </w:p>
    <w:p w14:paraId="717FF8B8" w14:textId="77777777" w:rsidR="001A6A04" w:rsidRPr="00A40660" w:rsidRDefault="001A6A04">
      <w:pPr>
        <w:spacing w:after="200" w:line="276" w:lineRule="auto"/>
        <w:rPr>
          <w:rFonts w:eastAsiaTheme="minorHAnsi" w:cs="Arial"/>
          <w:b/>
          <w:bCs/>
          <w:color w:val="000000"/>
          <w:szCs w:val="20"/>
        </w:rPr>
      </w:pPr>
      <w:r w:rsidRPr="00F018CA">
        <w:rPr>
          <w:rFonts w:cs="Arial"/>
          <w:b/>
          <w:bCs/>
          <w:szCs w:val="20"/>
        </w:rPr>
        <w:br w:type="page"/>
      </w:r>
    </w:p>
    <w:p w14:paraId="55759611" w14:textId="77777777" w:rsidR="001A6A04" w:rsidRPr="00AC6084" w:rsidRDefault="001A6A04" w:rsidP="002458C0">
      <w:pPr>
        <w:pStyle w:val="Naslov1"/>
        <w:jc w:val="both"/>
      </w:pPr>
      <w:bookmarkStart w:id="31" w:name="_Toc106099916"/>
      <w:r w:rsidRPr="00AC6084">
        <w:lastRenderedPageBreak/>
        <w:t>8. Uporaba stroškov na enoto, pavšalnih zneskov, pavšalnih stopenj in financiranja, ki ni povezano s stroški</w:t>
      </w:r>
      <w:bookmarkEnd w:id="31"/>
      <w:r w:rsidRPr="00AC6084">
        <w:t xml:space="preserve"> </w:t>
      </w:r>
    </w:p>
    <w:p w14:paraId="1B0AE152" w14:textId="7464B281" w:rsidR="001A6A04" w:rsidRPr="00A40660" w:rsidRDefault="001A6A04" w:rsidP="001A6A04">
      <w:pPr>
        <w:pStyle w:val="Default"/>
        <w:rPr>
          <w:rFonts w:ascii="Arial" w:hAnsi="Arial" w:cs="Arial"/>
          <w:i/>
          <w:iCs/>
          <w:sz w:val="20"/>
          <w:szCs w:val="20"/>
        </w:rPr>
      </w:pPr>
      <w:r w:rsidRPr="00A40660">
        <w:rPr>
          <w:rFonts w:ascii="Arial" w:hAnsi="Arial" w:cs="Arial"/>
          <w:i/>
          <w:iCs/>
          <w:sz w:val="20"/>
          <w:szCs w:val="20"/>
        </w:rPr>
        <w:t xml:space="preserve">Sklic: člena </w:t>
      </w:r>
      <w:r w:rsidR="00C9649F">
        <w:rPr>
          <w:rFonts w:ascii="Arial" w:hAnsi="Arial" w:cs="Arial"/>
          <w:i/>
          <w:iCs/>
          <w:sz w:val="20"/>
          <w:szCs w:val="20"/>
        </w:rPr>
        <w:t>94</w:t>
      </w:r>
      <w:r w:rsidRPr="00A40660">
        <w:rPr>
          <w:rFonts w:ascii="Arial" w:hAnsi="Arial" w:cs="Arial"/>
          <w:i/>
          <w:iCs/>
          <w:sz w:val="20"/>
          <w:szCs w:val="20"/>
        </w:rPr>
        <w:t xml:space="preserve"> in </w:t>
      </w:r>
      <w:r w:rsidR="00C9649F">
        <w:rPr>
          <w:rFonts w:ascii="Arial" w:hAnsi="Arial" w:cs="Arial"/>
          <w:i/>
          <w:iCs/>
          <w:sz w:val="20"/>
          <w:szCs w:val="20"/>
        </w:rPr>
        <w:t>95</w:t>
      </w:r>
      <w:r w:rsidRPr="00A40660">
        <w:rPr>
          <w:rFonts w:ascii="Arial" w:hAnsi="Arial" w:cs="Arial"/>
          <w:i/>
          <w:iCs/>
          <w:sz w:val="20"/>
          <w:szCs w:val="20"/>
        </w:rPr>
        <w:t xml:space="preserve"> uredbe o skupnih določbah </w:t>
      </w:r>
    </w:p>
    <w:p w14:paraId="0B72C3C9" w14:textId="77777777" w:rsidR="001A6A04" w:rsidRPr="00A40660" w:rsidRDefault="001A6A04" w:rsidP="001A6A04">
      <w:pPr>
        <w:pStyle w:val="Default"/>
        <w:rPr>
          <w:rFonts w:ascii="Arial" w:hAnsi="Arial" w:cs="Arial"/>
          <w:sz w:val="20"/>
          <w:szCs w:val="20"/>
        </w:rPr>
      </w:pPr>
    </w:p>
    <w:p w14:paraId="4CCDA3F3" w14:textId="77777777" w:rsidR="001A6A04" w:rsidRPr="00A40660" w:rsidRDefault="001A6A04" w:rsidP="001A6A04">
      <w:pPr>
        <w:rPr>
          <w:rFonts w:cs="Arial"/>
          <w:b/>
          <w:bCs/>
          <w:szCs w:val="20"/>
        </w:rPr>
      </w:pPr>
      <w:r w:rsidRPr="00A40660">
        <w:rPr>
          <w:rFonts w:cs="Arial"/>
          <w:b/>
          <w:bCs/>
          <w:szCs w:val="20"/>
        </w:rPr>
        <w:t>Tabela 14: Uporaba stroškov na enoto, pavšalnih zneskov, pavšalnih stopenj in financiranja, ki ni povezano s stroški</w:t>
      </w:r>
    </w:p>
    <w:p w14:paraId="08178862" w14:textId="77777777" w:rsidR="001A6A04" w:rsidRPr="00A40660" w:rsidRDefault="001A6A04" w:rsidP="001A6A04">
      <w:pPr>
        <w:rPr>
          <w:rFonts w:cs="Arial"/>
          <w:b/>
          <w:bC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1A6A04" w:rsidRPr="00A40660" w14:paraId="05FDCC82" w14:textId="77777777" w:rsidTr="002008C1">
        <w:tc>
          <w:tcPr>
            <w:tcW w:w="5920" w:type="dxa"/>
          </w:tcPr>
          <w:p w14:paraId="09D7C8AF" w14:textId="4784C7ED" w:rsidR="001A6A04" w:rsidRPr="00A40660" w:rsidRDefault="006417BD" w:rsidP="006417BD">
            <w:pPr>
              <w:pStyle w:val="Text3"/>
              <w:spacing w:before="0" w:after="0"/>
              <w:ind w:left="0"/>
              <w:rPr>
                <w:rFonts w:ascii="Arial" w:hAnsi="Arial" w:cs="Arial"/>
                <w:b/>
                <w:noProof/>
                <w:sz w:val="20"/>
                <w:szCs w:val="20"/>
              </w:rPr>
            </w:pPr>
            <w:r w:rsidRPr="00A40660">
              <w:rPr>
                <w:rFonts w:ascii="Arial" w:hAnsi="Arial" w:cs="Arial"/>
                <w:b/>
                <w:noProof/>
                <w:sz w:val="20"/>
                <w:szCs w:val="20"/>
              </w:rPr>
              <w:t>Nameravana uporaba iz členov</w:t>
            </w:r>
            <w:r w:rsidR="001A6A04" w:rsidRPr="00A40660">
              <w:rPr>
                <w:rFonts w:ascii="Arial" w:hAnsi="Arial" w:cs="Arial"/>
                <w:b/>
                <w:noProof/>
                <w:sz w:val="20"/>
                <w:szCs w:val="20"/>
              </w:rPr>
              <w:t xml:space="preserve"> </w:t>
            </w:r>
            <w:r w:rsidR="00C9649F">
              <w:rPr>
                <w:rFonts w:ascii="Arial" w:hAnsi="Arial" w:cs="Arial"/>
                <w:b/>
                <w:noProof/>
                <w:sz w:val="20"/>
                <w:szCs w:val="20"/>
              </w:rPr>
              <w:t>94</w:t>
            </w:r>
            <w:r w:rsidR="001A6A04" w:rsidRPr="00A40660">
              <w:rPr>
                <w:rFonts w:ascii="Arial" w:hAnsi="Arial" w:cs="Arial"/>
                <w:b/>
                <w:noProof/>
                <w:sz w:val="20"/>
                <w:szCs w:val="20"/>
              </w:rPr>
              <w:t xml:space="preserve"> and </w:t>
            </w:r>
            <w:r w:rsidR="00C9649F">
              <w:rPr>
                <w:rFonts w:ascii="Arial" w:hAnsi="Arial" w:cs="Arial"/>
                <w:b/>
                <w:noProof/>
                <w:sz w:val="20"/>
                <w:szCs w:val="20"/>
              </w:rPr>
              <w:t>95</w:t>
            </w:r>
          </w:p>
        </w:tc>
        <w:tc>
          <w:tcPr>
            <w:tcW w:w="1701" w:type="dxa"/>
          </w:tcPr>
          <w:p w14:paraId="363A9414" w14:textId="77777777" w:rsidR="001A6A04" w:rsidRPr="00A40660" w:rsidRDefault="006417BD" w:rsidP="002008C1">
            <w:pPr>
              <w:pStyle w:val="Text3"/>
              <w:spacing w:before="0" w:after="0"/>
              <w:ind w:left="0"/>
              <w:rPr>
                <w:rFonts w:ascii="Arial" w:hAnsi="Arial" w:cs="Arial"/>
                <w:b/>
                <w:noProof/>
                <w:sz w:val="20"/>
                <w:szCs w:val="20"/>
              </w:rPr>
            </w:pPr>
            <w:r w:rsidRPr="00A40660">
              <w:rPr>
                <w:rFonts w:ascii="Arial" w:hAnsi="Arial" w:cs="Arial"/>
                <w:b/>
                <w:noProof/>
                <w:sz w:val="20"/>
                <w:szCs w:val="20"/>
              </w:rPr>
              <w:t>DA</w:t>
            </w:r>
          </w:p>
        </w:tc>
        <w:tc>
          <w:tcPr>
            <w:tcW w:w="1701" w:type="dxa"/>
          </w:tcPr>
          <w:p w14:paraId="004F8714" w14:textId="77777777" w:rsidR="001A6A04" w:rsidRPr="00A40660" w:rsidRDefault="006417BD" w:rsidP="002008C1">
            <w:pPr>
              <w:pStyle w:val="Text3"/>
              <w:spacing w:before="0" w:after="0"/>
              <w:ind w:left="0"/>
              <w:rPr>
                <w:rFonts w:ascii="Arial" w:hAnsi="Arial" w:cs="Arial"/>
                <w:b/>
                <w:noProof/>
                <w:sz w:val="20"/>
                <w:szCs w:val="20"/>
              </w:rPr>
            </w:pPr>
            <w:r w:rsidRPr="00A40660">
              <w:rPr>
                <w:rFonts w:ascii="Arial" w:hAnsi="Arial" w:cs="Arial"/>
                <w:b/>
                <w:noProof/>
                <w:sz w:val="20"/>
                <w:szCs w:val="20"/>
              </w:rPr>
              <w:t>NE</w:t>
            </w:r>
          </w:p>
        </w:tc>
      </w:tr>
      <w:tr w:rsidR="001A6A04" w:rsidRPr="00A40660" w14:paraId="0B94C994" w14:textId="77777777" w:rsidTr="002008C1">
        <w:tc>
          <w:tcPr>
            <w:tcW w:w="5920" w:type="dxa"/>
          </w:tcPr>
          <w:p w14:paraId="749B3A37" w14:textId="77777777" w:rsidR="006417BD" w:rsidRPr="000C55B1" w:rsidRDefault="006417BD" w:rsidP="002008C1">
            <w:pPr>
              <w:pStyle w:val="Text3"/>
              <w:spacing w:before="0" w:after="0"/>
              <w:ind w:left="0"/>
              <w:rPr>
                <w:rFonts w:ascii="Arial" w:eastAsia="Times New Roman" w:hAnsi="Arial" w:cs="Arial"/>
                <w:b/>
                <w:noProof/>
                <w:sz w:val="20"/>
                <w:szCs w:val="20"/>
                <w:lang w:val="sl-SI"/>
              </w:rPr>
            </w:pPr>
          </w:p>
          <w:p w14:paraId="021557E4" w14:textId="4BF69CDF" w:rsidR="001A6A04" w:rsidRPr="000C55B1" w:rsidRDefault="006417BD" w:rsidP="002008C1">
            <w:pPr>
              <w:pStyle w:val="Text3"/>
              <w:spacing w:before="0" w:after="0"/>
              <w:ind w:left="0"/>
              <w:rPr>
                <w:rFonts w:ascii="Arial" w:eastAsia="Times New Roman" w:hAnsi="Arial" w:cs="Arial"/>
                <w:b/>
                <w:noProof/>
                <w:sz w:val="20"/>
                <w:szCs w:val="20"/>
                <w:lang w:val="sl-SI"/>
              </w:rPr>
            </w:pPr>
            <w:r w:rsidRPr="000C55B1">
              <w:rPr>
                <w:rFonts w:ascii="Arial" w:eastAsia="Times New Roman" w:hAnsi="Arial" w:cs="Arial"/>
                <w:b/>
                <w:noProof/>
                <w:sz w:val="20"/>
                <w:szCs w:val="20"/>
                <w:lang w:val="sl-SI"/>
              </w:rPr>
              <w:t xml:space="preserve">Iz potrjenega programa se bo uporabilo povračilo upravičenih izdatkov na podlagi stroškov na enoto, pavšalnih zneskov in pavšalnih stopenj po prednostnih nalogah v skladu s členom </w:t>
            </w:r>
            <w:r w:rsidR="000B0DC9">
              <w:rPr>
                <w:rFonts w:ascii="Arial" w:eastAsia="Times New Roman" w:hAnsi="Arial" w:cs="Arial"/>
                <w:b/>
                <w:noProof/>
                <w:sz w:val="20"/>
                <w:szCs w:val="20"/>
                <w:lang w:val="sl-SI"/>
              </w:rPr>
              <w:t>94</w:t>
            </w:r>
            <w:r w:rsidRPr="000C55B1">
              <w:rPr>
                <w:rFonts w:ascii="Arial" w:eastAsia="Times New Roman" w:hAnsi="Arial" w:cs="Arial"/>
                <w:b/>
                <w:noProof/>
                <w:sz w:val="20"/>
                <w:szCs w:val="20"/>
                <w:lang w:val="sl-SI"/>
              </w:rPr>
              <w:t xml:space="preserve"> CPR (če da, izpolnite dodatek 1).</w:t>
            </w:r>
          </w:p>
        </w:tc>
        <w:tc>
          <w:tcPr>
            <w:tcW w:w="1701" w:type="dxa"/>
          </w:tcPr>
          <w:p w14:paraId="07D97590" w14:textId="3A454BE0" w:rsidR="001A6A04" w:rsidRPr="004B5F68" w:rsidRDefault="001A6A04" w:rsidP="002008C1">
            <w:pPr>
              <w:pStyle w:val="Text3"/>
              <w:spacing w:before="0" w:after="0"/>
              <w:ind w:left="0"/>
              <w:rPr>
                <w:rFonts w:ascii="Arial" w:hAnsi="Arial" w:cs="Arial"/>
                <w:b/>
                <w:noProof/>
                <w:sz w:val="20"/>
                <w:szCs w:val="20"/>
                <w:lang w:val="sl-SI"/>
              </w:rPr>
            </w:pPr>
          </w:p>
        </w:tc>
        <w:tc>
          <w:tcPr>
            <w:tcW w:w="1701" w:type="dxa"/>
          </w:tcPr>
          <w:p w14:paraId="3C7FBD7A" w14:textId="6383B79D" w:rsidR="001A6A04" w:rsidRPr="00A40660" w:rsidRDefault="00BE07A4" w:rsidP="002008C1">
            <w:pPr>
              <w:pStyle w:val="Text3"/>
              <w:spacing w:before="0" w:after="0"/>
              <w:ind w:left="0"/>
              <w:rPr>
                <w:rFonts w:ascii="Arial" w:hAnsi="Arial" w:cs="Arial"/>
                <w:b/>
                <w:noProof/>
                <w:sz w:val="20"/>
                <w:szCs w:val="20"/>
              </w:rPr>
            </w:pPr>
            <w:r>
              <w:rPr>
                <w:rFonts w:ascii="Arial" w:hAnsi="Arial" w:cs="Arial"/>
                <w:b/>
                <w:noProof/>
                <w:sz w:val="20"/>
                <w:szCs w:val="20"/>
              </w:rPr>
              <w:t>X</w:t>
            </w:r>
          </w:p>
        </w:tc>
      </w:tr>
      <w:tr w:rsidR="001A6A04" w:rsidRPr="00A40660" w14:paraId="66E9466C" w14:textId="77777777" w:rsidTr="002008C1">
        <w:tc>
          <w:tcPr>
            <w:tcW w:w="5920" w:type="dxa"/>
          </w:tcPr>
          <w:p w14:paraId="6605FC45" w14:textId="4EED05AE" w:rsidR="001A6A04" w:rsidRPr="00A40660" w:rsidRDefault="006417BD" w:rsidP="002008C1">
            <w:pPr>
              <w:spacing w:before="240" w:after="240"/>
              <w:rPr>
                <w:rFonts w:cs="Arial"/>
                <w:b/>
                <w:noProof/>
                <w:szCs w:val="20"/>
              </w:rPr>
            </w:pPr>
            <w:r w:rsidRPr="00A40660">
              <w:rPr>
                <w:rFonts w:cs="Arial"/>
                <w:b/>
                <w:noProof/>
                <w:szCs w:val="20"/>
              </w:rPr>
              <w:t xml:space="preserve">Iz potrjenega programa bo uporaba financiranja, ki ni povezano s stroški, v skladu s členom </w:t>
            </w:r>
            <w:r w:rsidR="000B0DC9">
              <w:rPr>
                <w:rFonts w:cs="Arial"/>
                <w:b/>
                <w:noProof/>
                <w:szCs w:val="20"/>
              </w:rPr>
              <w:t>95</w:t>
            </w:r>
            <w:r w:rsidRPr="00A40660">
              <w:rPr>
                <w:rFonts w:cs="Arial"/>
                <w:b/>
                <w:noProof/>
                <w:szCs w:val="20"/>
              </w:rPr>
              <w:t xml:space="preserve"> uredbe o skupnih določbah (če da, izpolnite Dodatek 2).</w:t>
            </w:r>
          </w:p>
        </w:tc>
        <w:tc>
          <w:tcPr>
            <w:tcW w:w="1701" w:type="dxa"/>
          </w:tcPr>
          <w:p w14:paraId="0EABC42D" w14:textId="39ED1065" w:rsidR="001A6A04" w:rsidRPr="004B5F68" w:rsidRDefault="001A6A04" w:rsidP="002008C1">
            <w:pPr>
              <w:pStyle w:val="Text3"/>
              <w:spacing w:before="0" w:after="0"/>
              <w:ind w:left="0"/>
              <w:rPr>
                <w:rFonts w:ascii="Arial" w:hAnsi="Arial" w:cs="Arial"/>
                <w:b/>
                <w:noProof/>
                <w:sz w:val="20"/>
                <w:szCs w:val="20"/>
                <w:lang w:val="sl-SI"/>
              </w:rPr>
            </w:pPr>
          </w:p>
        </w:tc>
        <w:tc>
          <w:tcPr>
            <w:tcW w:w="1701" w:type="dxa"/>
          </w:tcPr>
          <w:p w14:paraId="6E91B568" w14:textId="508D65FF" w:rsidR="001A6A04" w:rsidRPr="00A40660" w:rsidRDefault="00BE07A4" w:rsidP="002008C1">
            <w:pPr>
              <w:pStyle w:val="Text3"/>
              <w:spacing w:before="0" w:after="0"/>
              <w:ind w:left="0"/>
              <w:rPr>
                <w:rFonts w:ascii="Arial" w:hAnsi="Arial" w:cs="Arial"/>
                <w:b/>
                <w:noProof/>
                <w:sz w:val="20"/>
                <w:szCs w:val="20"/>
              </w:rPr>
            </w:pPr>
            <w:r>
              <w:rPr>
                <w:rFonts w:ascii="Arial" w:hAnsi="Arial" w:cs="Arial"/>
                <w:b/>
                <w:noProof/>
                <w:sz w:val="20"/>
                <w:szCs w:val="20"/>
              </w:rPr>
              <w:t>X</w:t>
            </w:r>
          </w:p>
        </w:tc>
      </w:tr>
    </w:tbl>
    <w:p w14:paraId="1E3F8FF4" w14:textId="77777777" w:rsidR="001A6A04" w:rsidRPr="00A40660" w:rsidRDefault="001A6A04" w:rsidP="001A6A04">
      <w:pPr>
        <w:rPr>
          <w:rFonts w:cs="Arial"/>
          <w:bCs/>
          <w:i/>
          <w:noProof/>
          <w:szCs w:val="20"/>
        </w:rPr>
      </w:pPr>
    </w:p>
    <w:p w14:paraId="07823AA4" w14:textId="77777777" w:rsidR="006417BD" w:rsidRPr="00A40660" w:rsidRDefault="006417BD" w:rsidP="001A6A04">
      <w:pPr>
        <w:rPr>
          <w:rFonts w:cs="Arial"/>
          <w:bCs/>
          <w:i/>
          <w:noProof/>
          <w:szCs w:val="20"/>
        </w:rPr>
      </w:pPr>
    </w:p>
    <w:p w14:paraId="2A10657E" w14:textId="77777777" w:rsidR="006417BD" w:rsidRPr="00F018CA" w:rsidRDefault="006417BD" w:rsidP="001A6A04">
      <w:pPr>
        <w:rPr>
          <w:rFonts w:cs="Arial"/>
          <w:b/>
          <w:bCs/>
          <w:szCs w:val="20"/>
        </w:rPr>
      </w:pPr>
      <w:r w:rsidRPr="00F018CA">
        <w:rPr>
          <w:rFonts w:cs="Arial"/>
          <w:b/>
          <w:bCs/>
          <w:szCs w:val="20"/>
        </w:rPr>
        <w:t>DODATKI</w:t>
      </w:r>
    </w:p>
    <w:p w14:paraId="52126A4A" w14:textId="75FFC8E9" w:rsidR="0044771E" w:rsidRPr="00F018CA" w:rsidRDefault="0044771E" w:rsidP="005C667A">
      <w:pPr>
        <w:jc w:val="both"/>
        <w:rPr>
          <w:rFonts w:cs="Arial"/>
          <w:b/>
          <w:i/>
          <w:noProof/>
          <w:szCs w:val="20"/>
        </w:rPr>
      </w:pPr>
      <w:r w:rsidRPr="00F018CA">
        <w:rPr>
          <w:rFonts w:cs="Arial"/>
          <w:b/>
          <w:i/>
          <w:noProof/>
          <w:szCs w:val="20"/>
        </w:rPr>
        <w:t xml:space="preserve">Dodatek 1: Povračilo upravičenih odhodkov na podlagi stroškov na enoto, pavšalnih zneskov in pavšalnih stopenj (člen </w:t>
      </w:r>
      <w:r w:rsidR="000B0DC9">
        <w:rPr>
          <w:rFonts w:cs="Arial"/>
          <w:b/>
          <w:i/>
          <w:noProof/>
          <w:szCs w:val="20"/>
        </w:rPr>
        <w:t>94</w:t>
      </w:r>
      <w:r w:rsidRPr="00F018CA">
        <w:rPr>
          <w:rFonts w:cs="Arial"/>
          <w:b/>
          <w:i/>
          <w:noProof/>
          <w:szCs w:val="20"/>
        </w:rPr>
        <w:t xml:space="preserve"> uredbe o skupnih določbah)</w:t>
      </w:r>
    </w:p>
    <w:p w14:paraId="278478B8" w14:textId="70CB97A4" w:rsidR="0044771E" w:rsidRPr="00F018CA" w:rsidRDefault="0044771E" w:rsidP="005C667A">
      <w:pPr>
        <w:jc w:val="both"/>
        <w:rPr>
          <w:rFonts w:cs="Arial"/>
          <w:b/>
          <w:i/>
          <w:noProof/>
          <w:szCs w:val="20"/>
        </w:rPr>
      </w:pPr>
      <w:r w:rsidRPr="00F018CA">
        <w:rPr>
          <w:rFonts w:cs="Arial"/>
          <w:b/>
          <w:i/>
          <w:noProof/>
          <w:szCs w:val="20"/>
        </w:rPr>
        <w:t xml:space="preserve">Dodatek 2: Financiranje, ki ni povezano s stroški (člen </w:t>
      </w:r>
      <w:r w:rsidR="000B0DC9">
        <w:rPr>
          <w:rFonts w:cs="Arial"/>
          <w:b/>
          <w:i/>
          <w:noProof/>
          <w:szCs w:val="20"/>
        </w:rPr>
        <w:t>95</w:t>
      </w:r>
      <w:r w:rsidRPr="00F018CA">
        <w:rPr>
          <w:rFonts w:cs="Arial"/>
          <w:b/>
          <w:i/>
          <w:noProof/>
          <w:szCs w:val="20"/>
        </w:rPr>
        <w:t xml:space="preserve"> uredbe o skupnih določbah)</w:t>
      </w:r>
    </w:p>
    <w:p w14:paraId="2017EA89" w14:textId="4D85584D" w:rsidR="006417BD" w:rsidRPr="00F018CA" w:rsidRDefault="005C667A" w:rsidP="005C667A">
      <w:pPr>
        <w:jc w:val="both"/>
        <w:rPr>
          <w:rFonts w:cs="Arial"/>
          <w:b/>
          <w:i/>
          <w:noProof/>
          <w:szCs w:val="20"/>
        </w:rPr>
      </w:pPr>
      <w:r>
        <w:rPr>
          <w:rFonts w:cs="Arial"/>
          <w:b/>
          <w:i/>
          <w:noProof/>
          <w:szCs w:val="20"/>
        </w:rPr>
        <w:t xml:space="preserve">Dodatek 2a: </w:t>
      </w:r>
      <w:r w:rsidR="006417BD" w:rsidRPr="00F018CA">
        <w:rPr>
          <w:rFonts w:cs="Arial"/>
          <w:b/>
          <w:i/>
          <w:noProof/>
          <w:szCs w:val="20"/>
        </w:rPr>
        <w:t xml:space="preserve">Seznam načrtovanih operacij strateškega pomena člen </w:t>
      </w:r>
      <w:r w:rsidR="00781F22">
        <w:rPr>
          <w:rFonts w:cs="Arial"/>
          <w:b/>
          <w:i/>
          <w:noProof/>
          <w:szCs w:val="20"/>
        </w:rPr>
        <w:t>22</w:t>
      </w:r>
      <w:r w:rsidR="006417BD" w:rsidRPr="00F018CA">
        <w:rPr>
          <w:rFonts w:cs="Arial"/>
          <w:b/>
          <w:i/>
          <w:noProof/>
          <w:szCs w:val="20"/>
        </w:rPr>
        <w:t>(3)</w:t>
      </w:r>
      <w:r>
        <w:rPr>
          <w:rFonts w:cs="Arial"/>
          <w:b/>
          <w:i/>
          <w:noProof/>
          <w:szCs w:val="20"/>
        </w:rPr>
        <w:t xml:space="preserve"> </w:t>
      </w:r>
      <w:r w:rsidRPr="005C667A">
        <w:rPr>
          <w:rFonts w:cs="Arial"/>
          <w:b/>
          <w:i/>
          <w:noProof/>
          <w:szCs w:val="20"/>
        </w:rPr>
        <w:t>uredbe o skupnih določbah</w:t>
      </w:r>
    </w:p>
    <w:p w14:paraId="508D4C61" w14:textId="77777777" w:rsidR="005E683D" w:rsidRPr="005E683D" w:rsidRDefault="00A47A2C" w:rsidP="005E683D">
      <w:pPr>
        <w:spacing w:after="200" w:line="276" w:lineRule="auto"/>
        <w:rPr>
          <w:rFonts w:cs="Arial"/>
          <w:b/>
          <w:noProof/>
          <w:szCs w:val="20"/>
        </w:rPr>
        <w:sectPr w:rsidR="005E683D" w:rsidRPr="005E683D" w:rsidSect="00636EC2">
          <w:pgSz w:w="11900" w:h="16840" w:code="9"/>
          <w:pgMar w:top="1701" w:right="1701" w:bottom="1134" w:left="1701" w:header="964" w:footer="794" w:gutter="0"/>
          <w:cols w:space="708"/>
          <w:docGrid w:linePitch="272"/>
        </w:sectPr>
      </w:pPr>
      <w:r w:rsidRPr="00F018CA">
        <w:rPr>
          <w:rFonts w:cs="Arial"/>
          <w:b/>
          <w:noProof/>
          <w:szCs w:val="20"/>
        </w:rPr>
        <w:br w:type="page"/>
      </w:r>
    </w:p>
    <w:p w14:paraId="57B8116F" w14:textId="77777777" w:rsidR="006432FD" w:rsidRPr="00AC6084" w:rsidRDefault="006432FD" w:rsidP="002458C0">
      <w:pPr>
        <w:pStyle w:val="Naslov1"/>
        <w:jc w:val="both"/>
      </w:pPr>
      <w:bookmarkStart w:id="32" w:name="_Toc106099917"/>
      <w:r w:rsidRPr="00AC6084">
        <w:lastRenderedPageBreak/>
        <w:t>Dodatek 1: Povračilo upravičenih odhodkov s strani Komisije državam članicam na podlagi stroškov na enoto, pavšalnih zneskov in pavšalnih stopenj</w:t>
      </w:r>
      <w:bookmarkEnd w:id="32"/>
      <w:r w:rsidRPr="00AC6084">
        <w:t xml:space="preserve"> </w:t>
      </w:r>
    </w:p>
    <w:p w14:paraId="4B81B441" w14:textId="77777777" w:rsidR="006432FD" w:rsidRPr="00A40660" w:rsidRDefault="006432FD" w:rsidP="006432FD">
      <w:pPr>
        <w:autoSpaceDE w:val="0"/>
        <w:autoSpaceDN w:val="0"/>
        <w:adjustRightInd w:val="0"/>
        <w:spacing w:line="240" w:lineRule="auto"/>
        <w:rPr>
          <w:rFonts w:eastAsiaTheme="minorHAnsi" w:cs="Arial"/>
          <w:color w:val="000000"/>
          <w:szCs w:val="20"/>
        </w:rPr>
      </w:pPr>
    </w:p>
    <w:p w14:paraId="49ECEECA" w14:textId="0F996734" w:rsidR="006432FD" w:rsidRPr="00A40660" w:rsidRDefault="006432FD" w:rsidP="006432FD">
      <w:pPr>
        <w:autoSpaceDE w:val="0"/>
        <w:autoSpaceDN w:val="0"/>
        <w:adjustRightInd w:val="0"/>
        <w:spacing w:line="240" w:lineRule="auto"/>
        <w:rPr>
          <w:rFonts w:eastAsiaTheme="minorHAnsi" w:cs="Arial"/>
          <w:b/>
          <w:bCs/>
          <w:color w:val="000000"/>
          <w:szCs w:val="20"/>
        </w:rPr>
      </w:pPr>
      <w:r w:rsidRPr="00A40660">
        <w:rPr>
          <w:rFonts w:eastAsiaTheme="minorHAnsi" w:cs="Arial"/>
          <w:b/>
          <w:bCs/>
          <w:color w:val="000000"/>
          <w:szCs w:val="20"/>
        </w:rPr>
        <w:t xml:space="preserve">Predloga za predložitev podatkov v obravnavo Komisiji (Člen </w:t>
      </w:r>
      <w:r w:rsidR="006B5AF4">
        <w:rPr>
          <w:rFonts w:eastAsiaTheme="minorHAnsi" w:cs="Arial"/>
          <w:b/>
          <w:bCs/>
          <w:color w:val="000000"/>
          <w:szCs w:val="20"/>
        </w:rPr>
        <w:t>94</w:t>
      </w:r>
      <w:r w:rsidRPr="00A40660">
        <w:rPr>
          <w:rFonts w:eastAsiaTheme="minorHAnsi" w:cs="Arial"/>
          <w:b/>
          <w:bCs/>
          <w:color w:val="000000"/>
          <w:szCs w:val="20"/>
        </w:rPr>
        <w:t>)</w:t>
      </w:r>
      <w:r w:rsidR="00E87C1E">
        <w:rPr>
          <w:rFonts w:eastAsiaTheme="minorHAnsi" w:cs="Arial"/>
          <w:b/>
          <w:bCs/>
          <w:color w:val="000000"/>
          <w:szCs w:val="20"/>
        </w:rPr>
        <w:t xml:space="preserve"> uredbe o skupnih določbah</w:t>
      </w:r>
    </w:p>
    <w:p w14:paraId="219198AC" w14:textId="77777777" w:rsidR="006432FD" w:rsidRPr="00A40660" w:rsidRDefault="006432FD" w:rsidP="006432FD">
      <w:pPr>
        <w:autoSpaceDE w:val="0"/>
        <w:autoSpaceDN w:val="0"/>
        <w:adjustRightInd w:val="0"/>
        <w:spacing w:line="240" w:lineRule="auto"/>
        <w:rPr>
          <w:rFonts w:eastAsiaTheme="minorHAnsi" w:cs="Arial"/>
          <w:b/>
          <w:bCs/>
          <w:color w:val="000000"/>
          <w:szCs w:val="20"/>
        </w:rPr>
      </w:pPr>
    </w:p>
    <w:p w14:paraId="699AB76D" w14:textId="77777777" w:rsidR="006432FD" w:rsidRPr="00A40660" w:rsidRDefault="006432FD" w:rsidP="006432FD">
      <w:pPr>
        <w:autoSpaceDE w:val="0"/>
        <w:autoSpaceDN w:val="0"/>
        <w:adjustRightInd w:val="0"/>
        <w:spacing w:line="240" w:lineRule="auto"/>
        <w:rPr>
          <w:rFonts w:eastAsiaTheme="minorHAnsi"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91"/>
      </w:tblGrid>
      <w:tr w:rsidR="006432FD" w:rsidRPr="00A40660" w14:paraId="67BFC45B" w14:textId="77777777" w:rsidTr="002008C1">
        <w:trPr>
          <w:trHeight w:val="109"/>
        </w:trPr>
        <w:tc>
          <w:tcPr>
            <w:tcW w:w="2691" w:type="dxa"/>
          </w:tcPr>
          <w:p w14:paraId="6F7BD298" w14:textId="77777777" w:rsidR="006432FD" w:rsidRPr="00A40660" w:rsidRDefault="006432FD" w:rsidP="006432FD">
            <w:pPr>
              <w:autoSpaceDE w:val="0"/>
              <w:autoSpaceDN w:val="0"/>
              <w:adjustRightInd w:val="0"/>
              <w:spacing w:line="240" w:lineRule="auto"/>
              <w:rPr>
                <w:rFonts w:eastAsiaTheme="minorHAnsi" w:cs="Arial"/>
                <w:color w:val="000000"/>
                <w:szCs w:val="20"/>
              </w:rPr>
            </w:pPr>
            <w:r w:rsidRPr="00A40660">
              <w:rPr>
                <w:rFonts w:eastAsiaTheme="minorHAnsi" w:cs="Arial"/>
                <w:color w:val="000000"/>
                <w:szCs w:val="20"/>
              </w:rPr>
              <w:t xml:space="preserve">Datum predložitve predloga </w:t>
            </w:r>
          </w:p>
        </w:tc>
        <w:tc>
          <w:tcPr>
            <w:tcW w:w="2691" w:type="dxa"/>
          </w:tcPr>
          <w:p w14:paraId="7C4B170A" w14:textId="77777777" w:rsidR="006432FD" w:rsidRPr="00A40660" w:rsidRDefault="006432FD" w:rsidP="006432FD">
            <w:pPr>
              <w:autoSpaceDE w:val="0"/>
              <w:autoSpaceDN w:val="0"/>
              <w:adjustRightInd w:val="0"/>
              <w:spacing w:line="240" w:lineRule="auto"/>
              <w:rPr>
                <w:rFonts w:eastAsiaTheme="minorHAnsi" w:cs="Arial"/>
                <w:color w:val="000000"/>
                <w:szCs w:val="20"/>
              </w:rPr>
            </w:pPr>
          </w:p>
        </w:tc>
      </w:tr>
      <w:tr w:rsidR="006432FD" w:rsidRPr="00A40660" w14:paraId="371E1ED7" w14:textId="77777777" w:rsidTr="002008C1">
        <w:trPr>
          <w:trHeight w:val="109"/>
        </w:trPr>
        <w:tc>
          <w:tcPr>
            <w:tcW w:w="2691" w:type="dxa"/>
          </w:tcPr>
          <w:p w14:paraId="42DCBC49" w14:textId="77777777" w:rsidR="006432FD" w:rsidRPr="00A40660" w:rsidRDefault="006432FD" w:rsidP="006432FD">
            <w:pPr>
              <w:autoSpaceDE w:val="0"/>
              <w:autoSpaceDN w:val="0"/>
              <w:adjustRightInd w:val="0"/>
              <w:spacing w:line="240" w:lineRule="auto"/>
              <w:rPr>
                <w:rFonts w:eastAsiaTheme="minorHAnsi" w:cs="Arial"/>
                <w:color w:val="000000"/>
                <w:szCs w:val="20"/>
              </w:rPr>
            </w:pPr>
            <w:r w:rsidRPr="00A40660">
              <w:rPr>
                <w:rFonts w:eastAsiaTheme="minorHAnsi" w:cs="Arial"/>
                <w:color w:val="000000"/>
                <w:szCs w:val="20"/>
              </w:rPr>
              <w:t xml:space="preserve">Trenutna različica </w:t>
            </w:r>
          </w:p>
        </w:tc>
        <w:tc>
          <w:tcPr>
            <w:tcW w:w="2691" w:type="dxa"/>
          </w:tcPr>
          <w:p w14:paraId="29302592" w14:textId="77777777" w:rsidR="006432FD" w:rsidRPr="00A40660" w:rsidRDefault="006432FD" w:rsidP="006432FD">
            <w:pPr>
              <w:autoSpaceDE w:val="0"/>
              <w:autoSpaceDN w:val="0"/>
              <w:adjustRightInd w:val="0"/>
              <w:spacing w:line="240" w:lineRule="auto"/>
              <w:rPr>
                <w:rFonts w:eastAsiaTheme="minorHAnsi" w:cs="Arial"/>
                <w:color w:val="000000"/>
                <w:szCs w:val="20"/>
              </w:rPr>
            </w:pPr>
          </w:p>
        </w:tc>
      </w:tr>
    </w:tbl>
    <w:p w14:paraId="1991FEEA" w14:textId="77777777" w:rsidR="006432FD" w:rsidRPr="00A40660" w:rsidRDefault="006432FD" w:rsidP="001A6A04">
      <w:pPr>
        <w:rPr>
          <w:rFonts w:cs="Arial"/>
          <w:bCs/>
          <w:i/>
          <w:noProof/>
          <w:szCs w:val="20"/>
        </w:rPr>
      </w:pPr>
    </w:p>
    <w:p w14:paraId="10ED2490" w14:textId="77777777" w:rsidR="006432FD" w:rsidRPr="00A40660" w:rsidRDefault="006432FD" w:rsidP="006432FD">
      <w:pPr>
        <w:pStyle w:val="Default"/>
        <w:rPr>
          <w:rFonts w:ascii="Arial" w:hAnsi="Arial" w:cs="Arial"/>
          <w:sz w:val="20"/>
          <w:szCs w:val="20"/>
        </w:rPr>
      </w:pPr>
    </w:p>
    <w:p w14:paraId="74A05BB6" w14:textId="77777777" w:rsidR="006432FD" w:rsidRPr="00A40660" w:rsidRDefault="006432FD" w:rsidP="006432FD">
      <w:pPr>
        <w:rPr>
          <w:rFonts w:cs="Arial"/>
          <w:b/>
          <w:bCs/>
          <w:szCs w:val="20"/>
        </w:rPr>
      </w:pPr>
      <w:r w:rsidRPr="00A40660">
        <w:rPr>
          <w:rFonts w:cs="Arial"/>
          <w:b/>
          <w:bCs/>
          <w:szCs w:val="20"/>
        </w:rPr>
        <w:t>A. Povzetek glavnih elementov</w:t>
      </w:r>
    </w:p>
    <w:tbl>
      <w:tblPr>
        <w:tblStyle w:val="Tabelamrea"/>
        <w:tblW w:w="0" w:type="auto"/>
        <w:tblLook w:val="04A0" w:firstRow="1" w:lastRow="0" w:firstColumn="1" w:lastColumn="0" w:noHBand="0" w:noVBand="1"/>
      </w:tblPr>
      <w:tblGrid>
        <w:gridCol w:w="1361"/>
        <w:gridCol w:w="750"/>
        <w:gridCol w:w="1309"/>
        <w:gridCol w:w="2517"/>
        <w:gridCol w:w="721"/>
        <w:gridCol w:w="666"/>
        <w:gridCol w:w="761"/>
        <w:gridCol w:w="703"/>
        <w:gridCol w:w="1095"/>
        <w:gridCol w:w="2382"/>
        <w:gridCol w:w="1730"/>
      </w:tblGrid>
      <w:tr w:rsidR="00684810" w:rsidRPr="00F700CD" w14:paraId="74C3C5E9" w14:textId="77777777" w:rsidTr="005E535D">
        <w:tc>
          <w:tcPr>
            <w:tcW w:w="0" w:type="auto"/>
          </w:tcPr>
          <w:p w14:paraId="46EB462F" w14:textId="77777777" w:rsidR="00684810" w:rsidRPr="009E0343" w:rsidRDefault="00684810" w:rsidP="006432FD">
            <w:pPr>
              <w:rPr>
                <w:rFonts w:cs="Arial"/>
                <w:b/>
                <w:bCs/>
                <w:szCs w:val="20"/>
                <w:lang w:val="sl-SI"/>
              </w:rPr>
            </w:pPr>
            <w:r w:rsidRPr="009E0343">
              <w:rPr>
                <w:rFonts w:cs="Arial"/>
                <w:b/>
                <w:bCs/>
                <w:szCs w:val="20"/>
                <w:lang w:val="sl-SI"/>
              </w:rPr>
              <w:t>Prednostna naloga</w:t>
            </w:r>
          </w:p>
        </w:tc>
        <w:tc>
          <w:tcPr>
            <w:tcW w:w="0" w:type="auto"/>
          </w:tcPr>
          <w:p w14:paraId="4AF056A9" w14:textId="77777777" w:rsidR="00684810" w:rsidRPr="009E0343" w:rsidRDefault="00684810" w:rsidP="006432FD">
            <w:pPr>
              <w:rPr>
                <w:rFonts w:cs="Arial"/>
                <w:b/>
                <w:bCs/>
                <w:szCs w:val="20"/>
                <w:lang w:val="sl-SI"/>
              </w:rPr>
            </w:pPr>
            <w:r w:rsidRPr="009E0343">
              <w:rPr>
                <w:rFonts w:cs="Arial"/>
                <w:b/>
                <w:bCs/>
                <w:szCs w:val="20"/>
                <w:lang w:val="sl-SI"/>
              </w:rPr>
              <w:t>Sklad</w:t>
            </w:r>
          </w:p>
        </w:tc>
        <w:tc>
          <w:tcPr>
            <w:tcW w:w="0" w:type="auto"/>
          </w:tcPr>
          <w:p w14:paraId="01396638" w14:textId="77777777" w:rsidR="00684810" w:rsidRPr="009E0343" w:rsidRDefault="00684810" w:rsidP="00684810">
            <w:pPr>
              <w:rPr>
                <w:rFonts w:cs="Arial"/>
                <w:b/>
                <w:bCs/>
                <w:szCs w:val="20"/>
                <w:lang w:val="sl-SI"/>
              </w:rPr>
            </w:pPr>
            <w:r w:rsidRPr="009E0343">
              <w:rPr>
                <w:rFonts w:cs="Arial"/>
                <w:b/>
                <w:bCs/>
                <w:szCs w:val="20"/>
                <w:lang w:val="sl-SI"/>
              </w:rPr>
              <w:t xml:space="preserve">Specifični cilj ali področje podpore </w:t>
            </w:r>
          </w:p>
        </w:tc>
        <w:tc>
          <w:tcPr>
            <w:tcW w:w="0" w:type="auto"/>
          </w:tcPr>
          <w:p w14:paraId="12131723" w14:textId="77777777" w:rsidR="00684810" w:rsidRPr="009E0343" w:rsidRDefault="00684810" w:rsidP="006432FD">
            <w:pPr>
              <w:rPr>
                <w:rFonts w:cs="Arial"/>
                <w:b/>
                <w:bCs/>
                <w:szCs w:val="20"/>
                <w:lang w:val="sl-SI"/>
              </w:rPr>
            </w:pPr>
            <w:r w:rsidRPr="009E0343">
              <w:rPr>
                <w:rFonts w:cs="Arial"/>
                <w:b/>
                <w:bCs/>
                <w:szCs w:val="20"/>
                <w:lang w:val="sl-SI"/>
              </w:rPr>
              <w:t>Ocenjeni delež skupnih finančnih dodelitev v okviru prednostne naloge, za katera bodo veljale poenostavljene možnosti obračunavanja stroškov, v % (ocena)</w:t>
            </w:r>
          </w:p>
        </w:tc>
        <w:tc>
          <w:tcPr>
            <w:tcW w:w="0" w:type="auto"/>
            <w:gridSpan w:val="2"/>
          </w:tcPr>
          <w:p w14:paraId="016B5450" w14:textId="77777777" w:rsidR="00684810" w:rsidRPr="009E0343" w:rsidRDefault="00684810" w:rsidP="006432FD">
            <w:pPr>
              <w:rPr>
                <w:rFonts w:cs="Arial"/>
                <w:b/>
                <w:bCs/>
                <w:szCs w:val="20"/>
                <w:lang w:val="sl-SI"/>
              </w:rPr>
            </w:pPr>
            <w:r w:rsidRPr="009E0343">
              <w:rPr>
                <w:rFonts w:cs="Arial"/>
                <w:b/>
                <w:bCs/>
                <w:szCs w:val="20"/>
                <w:lang w:val="sl-SI"/>
              </w:rPr>
              <w:t>Vrste operacij</w:t>
            </w:r>
          </w:p>
        </w:tc>
        <w:tc>
          <w:tcPr>
            <w:tcW w:w="0" w:type="auto"/>
            <w:gridSpan w:val="2"/>
          </w:tcPr>
          <w:p w14:paraId="0D8E41B1" w14:textId="77777777" w:rsidR="00684810" w:rsidRPr="009E0343" w:rsidRDefault="00684810" w:rsidP="006432FD">
            <w:pPr>
              <w:rPr>
                <w:rFonts w:cs="Arial"/>
                <w:b/>
                <w:bCs/>
                <w:szCs w:val="20"/>
                <w:lang w:val="sl-SI"/>
              </w:rPr>
            </w:pPr>
            <w:r w:rsidRPr="009E0343">
              <w:rPr>
                <w:rFonts w:cs="Arial"/>
                <w:b/>
                <w:bCs/>
                <w:szCs w:val="20"/>
                <w:lang w:val="sl-SI"/>
              </w:rPr>
              <w:t>Ustrezna imena kazalnikov</w:t>
            </w:r>
          </w:p>
        </w:tc>
        <w:tc>
          <w:tcPr>
            <w:tcW w:w="0" w:type="auto"/>
          </w:tcPr>
          <w:p w14:paraId="257ADD1C" w14:textId="77777777" w:rsidR="00684810" w:rsidRPr="009E0343" w:rsidRDefault="00684810" w:rsidP="006432FD">
            <w:pPr>
              <w:rPr>
                <w:rFonts w:cs="Arial"/>
                <w:b/>
                <w:bCs/>
                <w:szCs w:val="20"/>
                <w:lang w:val="sl-SI"/>
              </w:rPr>
            </w:pPr>
            <w:r w:rsidRPr="009E0343">
              <w:rPr>
                <w:rFonts w:cs="Arial"/>
                <w:b/>
                <w:bCs/>
                <w:szCs w:val="20"/>
                <w:lang w:val="sl-SI"/>
              </w:rPr>
              <w:t>Merska enota za kazalnik</w:t>
            </w:r>
          </w:p>
        </w:tc>
        <w:tc>
          <w:tcPr>
            <w:tcW w:w="0" w:type="auto"/>
          </w:tcPr>
          <w:p w14:paraId="75815289" w14:textId="77777777" w:rsidR="00684810" w:rsidRPr="009E0343" w:rsidRDefault="00684810" w:rsidP="006432FD">
            <w:pPr>
              <w:rPr>
                <w:rFonts w:cs="Arial"/>
                <w:b/>
                <w:bCs/>
                <w:szCs w:val="20"/>
                <w:lang w:val="sl-SI"/>
              </w:rPr>
            </w:pPr>
            <w:r w:rsidRPr="009E0343">
              <w:rPr>
                <w:rFonts w:cs="Arial"/>
                <w:b/>
                <w:bCs/>
                <w:szCs w:val="20"/>
                <w:lang w:val="sl-SI"/>
              </w:rPr>
              <w:t>Vrsta poenostavljenih možnosti obračunavanja (standardna lestvica stroškov na enoto, pavšalni zneski in pavšalne stopnje)</w:t>
            </w:r>
          </w:p>
        </w:tc>
        <w:tc>
          <w:tcPr>
            <w:tcW w:w="0" w:type="auto"/>
          </w:tcPr>
          <w:p w14:paraId="7D484A07" w14:textId="77777777" w:rsidR="00684810" w:rsidRPr="009E0343" w:rsidRDefault="00684810" w:rsidP="00684810">
            <w:pPr>
              <w:rPr>
                <w:rFonts w:cs="Arial"/>
                <w:b/>
                <w:bCs/>
                <w:szCs w:val="20"/>
                <w:lang w:val="sl-SI"/>
              </w:rPr>
            </w:pPr>
            <w:r w:rsidRPr="009E0343">
              <w:rPr>
                <w:rFonts w:cs="Arial"/>
                <w:b/>
                <w:bCs/>
                <w:szCs w:val="20"/>
                <w:lang w:val="sl-SI"/>
              </w:rPr>
              <w:t>Ustrezne standardne lestvice stroškov na enoto, pavšalni zneski in pavšalne stopnje</w:t>
            </w:r>
          </w:p>
          <w:p w14:paraId="594CDCE9" w14:textId="77777777" w:rsidR="00684810" w:rsidRPr="009E0343" w:rsidRDefault="00684810" w:rsidP="00684810">
            <w:pPr>
              <w:rPr>
                <w:rFonts w:cs="Arial"/>
                <w:b/>
                <w:bCs/>
                <w:szCs w:val="20"/>
                <w:lang w:val="sl-SI"/>
              </w:rPr>
            </w:pPr>
            <w:r w:rsidRPr="009E0343">
              <w:rPr>
                <w:rFonts w:cs="Arial"/>
                <w:b/>
                <w:bCs/>
                <w:szCs w:val="20"/>
                <w:lang w:val="sl-SI"/>
              </w:rPr>
              <w:t>(v nacionalni valuti)</w:t>
            </w:r>
          </w:p>
        </w:tc>
      </w:tr>
      <w:tr w:rsidR="00684810" w:rsidRPr="00A40660" w14:paraId="27564FCF" w14:textId="77777777" w:rsidTr="005E535D">
        <w:tc>
          <w:tcPr>
            <w:tcW w:w="0" w:type="auto"/>
          </w:tcPr>
          <w:p w14:paraId="158C71BC" w14:textId="58051291" w:rsidR="00684810" w:rsidRPr="009E0343" w:rsidRDefault="00684810" w:rsidP="009C578C">
            <w:pPr>
              <w:jc w:val="center"/>
              <w:rPr>
                <w:rFonts w:cs="Arial"/>
                <w:szCs w:val="20"/>
                <w:lang w:val="sl-SI"/>
              </w:rPr>
            </w:pPr>
          </w:p>
        </w:tc>
        <w:tc>
          <w:tcPr>
            <w:tcW w:w="0" w:type="auto"/>
          </w:tcPr>
          <w:p w14:paraId="47F3F6F6" w14:textId="55A6257B" w:rsidR="00684810" w:rsidRPr="009E0343" w:rsidRDefault="00684810" w:rsidP="006432FD">
            <w:pPr>
              <w:rPr>
                <w:rFonts w:cs="Arial"/>
                <w:szCs w:val="20"/>
                <w:lang w:val="sl-SI"/>
              </w:rPr>
            </w:pPr>
          </w:p>
        </w:tc>
        <w:tc>
          <w:tcPr>
            <w:tcW w:w="0" w:type="auto"/>
          </w:tcPr>
          <w:p w14:paraId="75562803" w14:textId="1B190F59" w:rsidR="00684810" w:rsidRPr="009E0343" w:rsidRDefault="00684810" w:rsidP="006432FD">
            <w:pPr>
              <w:rPr>
                <w:rFonts w:cs="Arial"/>
                <w:szCs w:val="20"/>
                <w:lang w:val="sl-SI"/>
              </w:rPr>
            </w:pPr>
          </w:p>
        </w:tc>
        <w:tc>
          <w:tcPr>
            <w:tcW w:w="0" w:type="auto"/>
          </w:tcPr>
          <w:p w14:paraId="0549E378" w14:textId="148B304A" w:rsidR="00684810" w:rsidRPr="009E0343" w:rsidRDefault="00684810" w:rsidP="006432FD">
            <w:pPr>
              <w:rPr>
                <w:rFonts w:cs="Arial"/>
                <w:szCs w:val="20"/>
                <w:lang w:val="sl-SI"/>
              </w:rPr>
            </w:pPr>
          </w:p>
        </w:tc>
        <w:tc>
          <w:tcPr>
            <w:tcW w:w="0" w:type="auto"/>
          </w:tcPr>
          <w:p w14:paraId="7EA8271D" w14:textId="77777777" w:rsidR="00684810" w:rsidRPr="009E0343" w:rsidRDefault="00684810" w:rsidP="006432FD">
            <w:pPr>
              <w:rPr>
                <w:rFonts w:cs="Arial"/>
                <w:b/>
                <w:bCs/>
                <w:szCs w:val="20"/>
                <w:lang w:val="sl-SI"/>
              </w:rPr>
            </w:pPr>
            <w:r w:rsidRPr="009E0343">
              <w:rPr>
                <w:rFonts w:cs="Arial"/>
                <w:b/>
                <w:bCs/>
                <w:szCs w:val="20"/>
                <w:lang w:val="sl-SI"/>
              </w:rPr>
              <w:t>Koda</w:t>
            </w:r>
          </w:p>
        </w:tc>
        <w:tc>
          <w:tcPr>
            <w:tcW w:w="0" w:type="auto"/>
          </w:tcPr>
          <w:p w14:paraId="13F19067" w14:textId="77777777" w:rsidR="00684810" w:rsidRPr="009E0343" w:rsidRDefault="00684810" w:rsidP="006432FD">
            <w:pPr>
              <w:rPr>
                <w:rFonts w:cs="Arial"/>
                <w:b/>
                <w:bCs/>
                <w:szCs w:val="20"/>
                <w:lang w:val="sl-SI"/>
              </w:rPr>
            </w:pPr>
            <w:r w:rsidRPr="009E0343">
              <w:rPr>
                <w:rFonts w:cs="Arial"/>
                <w:b/>
                <w:bCs/>
                <w:szCs w:val="20"/>
                <w:lang w:val="sl-SI"/>
              </w:rPr>
              <w:t>Opis</w:t>
            </w:r>
          </w:p>
        </w:tc>
        <w:tc>
          <w:tcPr>
            <w:tcW w:w="0" w:type="auto"/>
          </w:tcPr>
          <w:p w14:paraId="353D857A" w14:textId="77777777" w:rsidR="00684810" w:rsidRPr="009E0343" w:rsidRDefault="00684810" w:rsidP="00A91054">
            <w:pPr>
              <w:rPr>
                <w:rFonts w:cs="Arial"/>
                <w:b/>
                <w:bCs/>
                <w:szCs w:val="20"/>
                <w:lang w:val="sl-SI"/>
              </w:rPr>
            </w:pPr>
            <w:r w:rsidRPr="009E0343">
              <w:rPr>
                <w:rFonts w:cs="Arial"/>
                <w:b/>
                <w:bCs/>
                <w:szCs w:val="20"/>
                <w:lang w:val="sl-SI"/>
              </w:rPr>
              <w:t>Koda</w:t>
            </w:r>
          </w:p>
        </w:tc>
        <w:tc>
          <w:tcPr>
            <w:tcW w:w="0" w:type="auto"/>
          </w:tcPr>
          <w:p w14:paraId="14366CCB" w14:textId="77777777" w:rsidR="00684810" w:rsidRPr="009E0343" w:rsidRDefault="00684810" w:rsidP="00A91054">
            <w:pPr>
              <w:rPr>
                <w:rFonts w:cs="Arial"/>
                <w:b/>
                <w:bCs/>
                <w:szCs w:val="20"/>
                <w:lang w:val="sl-SI"/>
              </w:rPr>
            </w:pPr>
            <w:r w:rsidRPr="009E0343">
              <w:rPr>
                <w:rFonts w:cs="Arial"/>
                <w:b/>
                <w:bCs/>
                <w:szCs w:val="20"/>
                <w:lang w:val="sl-SI"/>
              </w:rPr>
              <w:t>Opis</w:t>
            </w:r>
          </w:p>
        </w:tc>
        <w:tc>
          <w:tcPr>
            <w:tcW w:w="0" w:type="auto"/>
          </w:tcPr>
          <w:p w14:paraId="06F86890" w14:textId="77777777" w:rsidR="00684810" w:rsidRPr="009E0343" w:rsidRDefault="00684810" w:rsidP="006432FD">
            <w:pPr>
              <w:rPr>
                <w:rFonts w:cs="Arial"/>
                <w:b/>
                <w:bCs/>
                <w:szCs w:val="20"/>
                <w:lang w:val="sl-SI"/>
              </w:rPr>
            </w:pPr>
          </w:p>
        </w:tc>
        <w:tc>
          <w:tcPr>
            <w:tcW w:w="0" w:type="auto"/>
          </w:tcPr>
          <w:p w14:paraId="02D0145D" w14:textId="77777777" w:rsidR="00684810" w:rsidRPr="009E0343" w:rsidRDefault="00684810" w:rsidP="006432FD">
            <w:pPr>
              <w:rPr>
                <w:rFonts w:cs="Arial"/>
                <w:b/>
                <w:bCs/>
                <w:szCs w:val="20"/>
                <w:lang w:val="sl-SI"/>
              </w:rPr>
            </w:pPr>
          </w:p>
        </w:tc>
        <w:tc>
          <w:tcPr>
            <w:tcW w:w="0" w:type="auto"/>
          </w:tcPr>
          <w:p w14:paraId="03A9E22B" w14:textId="77777777" w:rsidR="00684810" w:rsidRPr="009E0343" w:rsidRDefault="00684810" w:rsidP="006432FD">
            <w:pPr>
              <w:rPr>
                <w:rFonts w:cs="Arial"/>
                <w:b/>
                <w:bCs/>
                <w:szCs w:val="20"/>
                <w:lang w:val="sl-SI"/>
              </w:rPr>
            </w:pPr>
          </w:p>
        </w:tc>
      </w:tr>
      <w:tr w:rsidR="00684810" w:rsidRPr="00A40660" w14:paraId="2AA596B8" w14:textId="77777777" w:rsidTr="005E535D">
        <w:tc>
          <w:tcPr>
            <w:tcW w:w="0" w:type="auto"/>
          </w:tcPr>
          <w:p w14:paraId="35408DE9" w14:textId="77777777" w:rsidR="00684810" w:rsidRPr="009C578C" w:rsidRDefault="00684810" w:rsidP="006432FD">
            <w:pPr>
              <w:rPr>
                <w:rFonts w:cs="Arial"/>
                <w:szCs w:val="20"/>
              </w:rPr>
            </w:pPr>
          </w:p>
        </w:tc>
        <w:tc>
          <w:tcPr>
            <w:tcW w:w="0" w:type="auto"/>
          </w:tcPr>
          <w:p w14:paraId="0890E672" w14:textId="77777777" w:rsidR="00684810" w:rsidRPr="00A40660" w:rsidRDefault="00684810" w:rsidP="006432FD">
            <w:pPr>
              <w:rPr>
                <w:rFonts w:cs="Arial"/>
                <w:b/>
                <w:bCs/>
                <w:szCs w:val="20"/>
              </w:rPr>
            </w:pPr>
          </w:p>
        </w:tc>
        <w:tc>
          <w:tcPr>
            <w:tcW w:w="0" w:type="auto"/>
          </w:tcPr>
          <w:p w14:paraId="39E5677D" w14:textId="77777777" w:rsidR="00684810" w:rsidRPr="00A40660" w:rsidRDefault="00684810" w:rsidP="006432FD">
            <w:pPr>
              <w:rPr>
                <w:rFonts w:cs="Arial"/>
                <w:b/>
                <w:bCs/>
                <w:szCs w:val="20"/>
              </w:rPr>
            </w:pPr>
          </w:p>
        </w:tc>
        <w:tc>
          <w:tcPr>
            <w:tcW w:w="0" w:type="auto"/>
          </w:tcPr>
          <w:p w14:paraId="30BFEDDB" w14:textId="77777777" w:rsidR="00684810" w:rsidRPr="00A40660" w:rsidRDefault="00684810" w:rsidP="006432FD">
            <w:pPr>
              <w:rPr>
                <w:rFonts w:cs="Arial"/>
                <w:b/>
                <w:bCs/>
                <w:szCs w:val="20"/>
              </w:rPr>
            </w:pPr>
          </w:p>
        </w:tc>
        <w:tc>
          <w:tcPr>
            <w:tcW w:w="0" w:type="auto"/>
          </w:tcPr>
          <w:p w14:paraId="4E14B8A2" w14:textId="77777777" w:rsidR="00684810" w:rsidRPr="00A40660" w:rsidRDefault="00684810" w:rsidP="006432FD">
            <w:pPr>
              <w:rPr>
                <w:rFonts w:cs="Arial"/>
                <w:b/>
                <w:bCs/>
                <w:szCs w:val="20"/>
              </w:rPr>
            </w:pPr>
          </w:p>
        </w:tc>
        <w:tc>
          <w:tcPr>
            <w:tcW w:w="0" w:type="auto"/>
          </w:tcPr>
          <w:p w14:paraId="0BFC0309" w14:textId="77777777" w:rsidR="00684810" w:rsidRPr="00A40660" w:rsidRDefault="00684810" w:rsidP="006432FD">
            <w:pPr>
              <w:rPr>
                <w:rFonts w:cs="Arial"/>
                <w:b/>
                <w:bCs/>
                <w:szCs w:val="20"/>
              </w:rPr>
            </w:pPr>
          </w:p>
        </w:tc>
        <w:tc>
          <w:tcPr>
            <w:tcW w:w="0" w:type="auto"/>
          </w:tcPr>
          <w:p w14:paraId="5E0D1E20" w14:textId="77777777" w:rsidR="00684810" w:rsidRPr="00A40660" w:rsidRDefault="00684810" w:rsidP="006432FD">
            <w:pPr>
              <w:rPr>
                <w:rFonts w:cs="Arial"/>
                <w:b/>
                <w:bCs/>
                <w:szCs w:val="20"/>
              </w:rPr>
            </w:pPr>
          </w:p>
        </w:tc>
        <w:tc>
          <w:tcPr>
            <w:tcW w:w="0" w:type="auto"/>
          </w:tcPr>
          <w:p w14:paraId="384991C2" w14:textId="77777777" w:rsidR="00684810" w:rsidRPr="00A40660" w:rsidRDefault="00684810" w:rsidP="006432FD">
            <w:pPr>
              <w:rPr>
                <w:rFonts w:cs="Arial"/>
                <w:b/>
                <w:bCs/>
                <w:szCs w:val="20"/>
              </w:rPr>
            </w:pPr>
          </w:p>
        </w:tc>
        <w:tc>
          <w:tcPr>
            <w:tcW w:w="0" w:type="auto"/>
          </w:tcPr>
          <w:p w14:paraId="79699B09" w14:textId="77777777" w:rsidR="00684810" w:rsidRPr="00A40660" w:rsidRDefault="00684810" w:rsidP="006432FD">
            <w:pPr>
              <w:rPr>
                <w:rFonts w:cs="Arial"/>
                <w:b/>
                <w:bCs/>
                <w:szCs w:val="20"/>
              </w:rPr>
            </w:pPr>
          </w:p>
        </w:tc>
        <w:tc>
          <w:tcPr>
            <w:tcW w:w="0" w:type="auto"/>
          </w:tcPr>
          <w:p w14:paraId="636DA71F" w14:textId="77777777" w:rsidR="00684810" w:rsidRPr="00A40660" w:rsidRDefault="00684810" w:rsidP="006432FD">
            <w:pPr>
              <w:rPr>
                <w:rFonts w:cs="Arial"/>
                <w:b/>
                <w:bCs/>
                <w:szCs w:val="20"/>
              </w:rPr>
            </w:pPr>
          </w:p>
        </w:tc>
        <w:tc>
          <w:tcPr>
            <w:tcW w:w="0" w:type="auto"/>
          </w:tcPr>
          <w:p w14:paraId="00B13E09" w14:textId="77777777" w:rsidR="00684810" w:rsidRPr="00A40660" w:rsidRDefault="00684810" w:rsidP="006432FD">
            <w:pPr>
              <w:rPr>
                <w:rFonts w:cs="Arial"/>
                <w:b/>
                <w:bCs/>
                <w:szCs w:val="20"/>
              </w:rPr>
            </w:pPr>
          </w:p>
        </w:tc>
      </w:tr>
      <w:tr w:rsidR="00684810" w:rsidRPr="00A40660" w14:paraId="1F47113C" w14:textId="77777777" w:rsidTr="005E535D">
        <w:tc>
          <w:tcPr>
            <w:tcW w:w="0" w:type="auto"/>
          </w:tcPr>
          <w:p w14:paraId="2D93D435" w14:textId="77777777" w:rsidR="00684810" w:rsidRPr="00A40660" w:rsidRDefault="00684810" w:rsidP="006432FD">
            <w:pPr>
              <w:rPr>
                <w:rFonts w:cs="Arial"/>
                <w:b/>
                <w:bCs/>
                <w:szCs w:val="20"/>
              </w:rPr>
            </w:pPr>
          </w:p>
        </w:tc>
        <w:tc>
          <w:tcPr>
            <w:tcW w:w="0" w:type="auto"/>
          </w:tcPr>
          <w:p w14:paraId="1B40BF8C" w14:textId="77777777" w:rsidR="00684810" w:rsidRPr="00A40660" w:rsidRDefault="00684810" w:rsidP="006432FD">
            <w:pPr>
              <w:rPr>
                <w:rFonts w:cs="Arial"/>
                <w:b/>
                <w:bCs/>
                <w:szCs w:val="20"/>
              </w:rPr>
            </w:pPr>
          </w:p>
        </w:tc>
        <w:tc>
          <w:tcPr>
            <w:tcW w:w="0" w:type="auto"/>
          </w:tcPr>
          <w:p w14:paraId="1E01283A" w14:textId="77777777" w:rsidR="00684810" w:rsidRPr="00A40660" w:rsidRDefault="00684810" w:rsidP="006432FD">
            <w:pPr>
              <w:rPr>
                <w:rFonts w:cs="Arial"/>
                <w:b/>
                <w:bCs/>
                <w:szCs w:val="20"/>
              </w:rPr>
            </w:pPr>
          </w:p>
        </w:tc>
        <w:tc>
          <w:tcPr>
            <w:tcW w:w="0" w:type="auto"/>
          </w:tcPr>
          <w:p w14:paraId="2D710A68" w14:textId="77777777" w:rsidR="00684810" w:rsidRPr="00A40660" w:rsidRDefault="00684810" w:rsidP="006432FD">
            <w:pPr>
              <w:rPr>
                <w:rFonts w:cs="Arial"/>
                <w:b/>
                <w:bCs/>
                <w:szCs w:val="20"/>
              </w:rPr>
            </w:pPr>
          </w:p>
        </w:tc>
        <w:tc>
          <w:tcPr>
            <w:tcW w:w="0" w:type="auto"/>
          </w:tcPr>
          <w:p w14:paraId="64A904FE" w14:textId="77777777" w:rsidR="00684810" w:rsidRPr="00A40660" w:rsidRDefault="00684810" w:rsidP="006432FD">
            <w:pPr>
              <w:rPr>
                <w:rFonts w:cs="Arial"/>
                <w:b/>
                <w:bCs/>
                <w:szCs w:val="20"/>
              </w:rPr>
            </w:pPr>
          </w:p>
        </w:tc>
        <w:tc>
          <w:tcPr>
            <w:tcW w:w="0" w:type="auto"/>
          </w:tcPr>
          <w:p w14:paraId="4331783A" w14:textId="77777777" w:rsidR="00684810" w:rsidRPr="00A40660" w:rsidRDefault="00684810" w:rsidP="006432FD">
            <w:pPr>
              <w:rPr>
                <w:rFonts w:cs="Arial"/>
                <w:b/>
                <w:bCs/>
                <w:szCs w:val="20"/>
              </w:rPr>
            </w:pPr>
          </w:p>
        </w:tc>
        <w:tc>
          <w:tcPr>
            <w:tcW w:w="0" w:type="auto"/>
          </w:tcPr>
          <w:p w14:paraId="5BDE1319" w14:textId="77777777" w:rsidR="00684810" w:rsidRPr="00A40660" w:rsidRDefault="00684810" w:rsidP="006432FD">
            <w:pPr>
              <w:rPr>
                <w:rFonts w:cs="Arial"/>
                <w:b/>
                <w:bCs/>
                <w:szCs w:val="20"/>
              </w:rPr>
            </w:pPr>
          </w:p>
        </w:tc>
        <w:tc>
          <w:tcPr>
            <w:tcW w:w="0" w:type="auto"/>
          </w:tcPr>
          <w:p w14:paraId="718F919A" w14:textId="77777777" w:rsidR="00684810" w:rsidRPr="00A40660" w:rsidRDefault="00684810" w:rsidP="006432FD">
            <w:pPr>
              <w:rPr>
                <w:rFonts w:cs="Arial"/>
                <w:b/>
                <w:bCs/>
                <w:szCs w:val="20"/>
              </w:rPr>
            </w:pPr>
          </w:p>
        </w:tc>
        <w:tc>
          <w:tcPr>
            <w:tcW w:w="0" w:type="auto"/>
          </w:tcPr>
          <w:p w14:paraId="2BD1B3E3" w14:textId="77777777" w:rsidR="00684810" w:rsidRPr="00A40660" w:rsidRDefault="00684810" w:rsidP="006432FD">
            <w:pPr>
              <w:rPr>
                <w:rFonts w:cs="Arial"/>
                <w:b/>
                <w:bCs/>
                <w:szCs w:val="20"/>
              </w:rPr>
            </w:pPr>
          </w:p>
        </w:tc>
        <w:tc>
          <w:tcPr>
            <w:tcW w:w="0" w:type="auto"/>
          </w:tcPr>
          <w:p w14:paraId="26EED785" w14:textId="77777777" w:rsidR="00684810" w:rsidRPr="00A40660" w:rsidRDefault="00684810" w:rsidP="006432FD">
            <w:pPr>
              <w:rPr>
                <w:rFonts w:cs="Arial"/>
                <w:b/>
                <w:bCs/>
                <w:szCs w:val="20"/>
              </w:rPr>
            </w:pPr>
          </w:p>
        </w:tc>
        <w:tc>
          <w:tcPr>
            <w:tcW w:w="0" w:type="auto"/>
          </w:tcPr>
          <w:p w14:paraId="33CECACE" w14:textId="77777777" w:rsidR="00684810" w:rsidRPr="00A40660" w:rsidRDefault="00684810" w:rsidP="006432FD">
            <w:pPr>
              <w:rPr>
                <w:rFonts w:cs="Arial"/>
                <w:b/>
                <w:bCs/>
                <w:szCs w:val="20"/>
              </w:rPr>
            </w:pPr>
          </w:p>
        </w:tc>
      </w:tr>
      <w:tr w:rsidR="00684810" w:rsidRPr="00A40660" w14:paraId="608C21A6" w14:textId="77777777" w:rsidTr="005E535D">
        <w:tc>
          <w:tcPr>
            <w:tcW w:w="0" w:type="auto"/>
          </w:tcPr>
          <w:p w14:paraId="046D00D2" w14:textId="77777777" w:rsidR="00684810" w:rsidRPr="00A40660" w:rsidRDefault="00684810" w:rsidP="006432FD">
            <w:pPr>
              <w:rPr>
                <w:rFonts w:cs="Arial"/>
                <w:b/>
                <w:bCs/>
                <w:szCs w:val="20"/>
              </w:rPr>
            </w:pPr>
          </w:p>
        </w:tc>
        <w:tc>
          <w:tcPr>
            <w:tcW w:w="0" w:type="auto"/>
          </w:tcPr>
          <w:p w14:paraId="64C5197B" w14:textId="77777777" w:rsidR="00684810" w:rsidRPr="00A40660" w:rsidRDefault="00684810" w:rsidP="006432FD">
            <w:pPr>
              <w:rPr>
                <w:rFonts w:cs="Arial"/>
                <w:b/>
                <w:bCs/>
                <w:szCs w:val="20"/>
              </w:rPr>
            </w:pPr>
          </w:p>
        </w:tc>
        <w:tc>
          <w:tcPr>
            <w:tcW w:w="0" w:type="auto"/>
          </w:tcPr>
          <w:p w14:paraId="786F6F6D" w14:textId="77777777" w:rsidR="00684810" w:rsidRPr="00A40660" w:rsidRDefault="00684810" w:rsidP="006432FD">
            <w:pPr>
              <w:rPr>
                <w:rFonts w:cs="Arial"/>
                <w:b/>
                <w:bCs/>
                <w:szCs w:val="20"/>
              </w:rPr>
            </w:pPr>
          </w:p>
        </w:tc>
        <w:tc>
          <w:tcPr>
            <w:tcW w:w="0" w:type="auto"/>
          </w:tcPr>
          <w:p w14:paraId="6612B071" w14:textId="77777777" w:rsidR="00684810" w:rsidRPr="00A40660" w:rsidRDefault="00684810" w:rsidP="006432FD">
            <w:pPr>
              <w:rPr>
                <w:rFonts w:cs="Arial"/>
                <w:b/>
                <w:bCs/>
                <w:szCs w:val="20"/>
              </w:rPr>
            </w:pPr>
          </w:p>
        </w:tc>
        <w:tc>
          <w:tcPr>
            <w:tcW w:w="0" w:type="auto"/>
          </w:tcPr>
          <w:p w14:paraId="7607C506" w14:textId="77777777" w:rsidR="00684810" w:rsidRPr="00A40660" w:rsidRDefault="00684810" w:rsidP="006432FD">
            <w:pPr>
              <w:rPr>
                <w:rFonts w:cs="Arial"/>
                <w:b/>
                <w:bCs/>
                <w:szCs w:val="20"/>
              </w:rPr>
            </w:pPr>
          </w:p>
        </w:tc>
        <w:tc>
          <w:tcPr>
            <w:tcW w:w="0" w:type="auto"/>
          </w:tcPr>
          <w:p w14:paraId="231E7F8D" w14:textId="77777777" w:rsidR="00684810" w:rsidRPr="00A40660" w:rsidRDefault="00684810" w:rsidP="006432FD">
            <w:pPr>
              <w:rPr>
                <w:rFonts w:cs="Arial"/>
                <w:b/>
                <w:bCs/>
                <w:szCs w:val="20"/>
              </w:rPr>
            </w:pPr>
          </w:p>
        </w:tc>
        <w:tc>
          <w:tcPr>
            <w:tcW w:w="0" w:type="auto"/>
          </w:tcPr>
          <w:p w14:paraId="64100E2D" w14:textId="77777777" w:rsidR="00684810" w:rsidRPr="00A40660" w:rsidRDefault="00684810" w:rsidP="006432FD">
            <w:pPr>
              <w:rPr>
                <w:rFonts w:cs="Arial"/>
                <w:b/>
                <w:bCs/>
                <w:szCs w:val="20"/>
              </w:rPr>
            </w:pPr>
          </w:p>
        </w:tc>
        <w:tc>
          <w:tcPr>
            <w:tcW w:w="0" w:type="auto"/>
          </w:tcPr>
          <w:p w14:paraId="56FCB8E6" w14:textId="77777777" w:rsidR="00684810" w:rsidRPr="00A40660" w:rsidRDefault="00684810" w:rsidP="006432FD">
            <w:pPr>
              <w:rPr>
                <w:rFonts w:cs="Arial"/>
                <w:b/>
                <w:bCs/>
                <w:szCs w:val="20"/>
              </w:rPr>
            </w:pPr>
          </w:p>
        </w:tc>
        <w:tc>
          <w:tcPr>
            <w:tcW w:w="0" w:type="auto"/>
          </w:tcPr>
          <w:p w14:paraId="384E469E" w14:textId="77777777" w:rsidR="00684810" w:rsidRPr="00A40660" w:rsidRDefault="00684810" w:rsidP="006432FD">
            <w:pPr>
              <w:rPr>
                <w:rFonts w:cs="Arial"/>
                <w:b/>
                <w:bCs/>
                <w:szCs w:val="20"/>
              </w:rPr>
            </w:pPr>
          </w:p>
        </w:tc>
        <w:tc>
          <w:tcPr>
            <w:tcW w:w="0" w:type="auto"/>
          </w:tcPr>
          <w:p w14:paraId="2DF7E6ED" w14:textId="77777777" w:rsidR="00684810" w:rsidRPr="00A40660" w:rsidRDefault="00684810" w:rsidP="006432FD">
            <w:pPr>
              <w:rPr>
                <w:rFonts w:cs="Arial"/>
                <w:b/>
                <w:bCs/>
                <w:szCs w:val="20"/>
              </w:rPr>
            </w:pPr>
          </w:p>
        </w:tc>
        <w:tc>
          <w:tcPr>
            <w:tcW w:w="0" w:type="auto"/>
          </w:tcPr>
          <w:p w14:paraId="1A62EF89" w14:textId="77777777" w:rsidR="00684810" w:rsidRPr="00A40660" w:rsidRDefault="00684810" w:rsidP="006432FD">
            <w:pPr>
              <w:rPr>
                <w:rFonts w:cs="Arial"/>
                <w:b/>
                <w:bCs/>
                <w:szCs w:val="20"/>
              </w:rPr>
            </w:pPr>
          </w:p>
        </w:tc>
      </w:tr>
      <w:tr w:rsidR="00684810" w:rsidRPr="00A40660" w14:paraId="56A471A7" w14:textId="77777777" w:rsidTr="005E535D">
        <w:tc>
          <w:tcPr>
            <w:tcW w:w="0" w:type="auto"/>
          </w:tcPr>
          <w:p w14:paraId="7AF3D70F" w14:textId="77777777" w:rsidR="00684810" w:rsidRPr="00A40660" w:rsidRDefault="00684810" w:rsidP="006432FD">
            <w:pPr>
              <w:rPr>
                <w:rFonts w:cs="Arial"/>
                <w:b/>
                <w:bCs/>
                <w:szCs w:val="20"/>
              </w:rPr>
            </w:pPr>
          </w:p>
        </w:tc>
        <w:tc>
          <w:tcPr>
            <w:tcW w:w="0" w:type="auto"/>
          </w:tcPr>
          <w:p w14:paraId="778E6104" w14:textId="77777777" w:rsidR="00684810" w:rsidRPr="00A40660" w:rsidRDefault="00684810" w:rsidP="006432FD">
            <w:pPr>
              <w:rPr>
                <w:rFonts w:cs="Arial"/>
                <w:b/>
                <w:bCs/>
                <w:szCs w:val="20"/>
              </w:rPr>
            </w:pPr>
          </w:p>
        </w:tc>
        <w:tc>
          <w:tcPr>
            <w:tcW w:w="0" w:type="auto"/>
          </w:tcPr>
          <w:p w14:paraId="2C2CDF59" w14:textId="77777777" w:rsidR="00684810" w:rsidRPr="00A40660" w:rsidRDefault="00684810" w:rsidP="006432FD">
            <w:pPr>
              <w:rPr>
                <w:rFonts w:cs="Arial"/>
                <w:b/>
                <w:bCs/>
                <w:szCs w:val="20"/>
              </w:rPr>
            </w:pPr>
          </w:p>
        </w:tc>
        <w:tc>
          <w:tcPr>
            <w:tcW w:w="0" w:type="auto"/>
          </w:tcPr>
          <w:p w14:paraId="50812DC7" w14:textId="77777777" w:rsidR="00684810" w:rsidRPr="00A40660" w:rsidRDefault="00684810" w:rsidP="006432FD">
            <w:pPr>
              <w:rPr>
                <w:rFonts w:cs="Arial"/>
                <w:b/>
                <w:bCs/>
                <w:szCs w:val="20"/>
              </w:rPr>
            </w:pPr>
          </w:p>
        </w:tc>
        <w:tc>
          <w:tcPr>
            <w:tcW w:w="0" w:type="auto"/>
          </w:tcPr>
          <w:p w14:paraId="06C5F9F9" w14:textId="77777777" w:rsidR="00684810" w:rsidRPr="00A40660" w:rsidRDefault="00684810" w:rsidP="006432FD">
            <w:pPr>
              <w:rPr>
                <w:rFonts w:cs="Arial"/>
                <w:b/>
                <w:bCs/>
                <w:szCs w:val="20"/>
              </w:rPr>
            </w:pPr>
          </w:p>
        </w:tc>
        <w:tc>
          <w:tcPr>
            <w:tcW w:w="0" w:type="auto"/>
          </w:tcPr>
          <w:p w14:paraId="74136E4A" w14:textId="77777777" w:rsidR="00684810" w:rsidRPr="00A40660" w:rsidRDefault="00684810" w:rsidP="006432FD">
            <w:pPr>
              <w:rPr>
                <w:rFonts w:cs="Arial"/>
                <w:b/>
                <w:bCs/>
                <w:szCs w:val="20"/>
              </w:rPr>
            </w:pPr>
          </w:p>
        </w:tc>
        <w:tc>
          <w:tcPr>
            <w:tcW w:w="0" w:type="auto"/>
          </w:tcPr>
          <w:p w14:paraId="287B0CDD" w14:textId="77777777" w:rsidR="00684810" w:rsidRPr="00A40660" w:rsidRDefault="00684810" w:rsidP="006432FD">
            <w:pPr>
              <w:rPr>
                <w:rFonts w:cs="Arial"/>
                <w:b/>
                <w:bCs/>
                <w:szCs w:val="20"/>
              </w:rPr>
            </w:pPr>
          </w:p>
        </w:tc>
        <w:tc>
          <w:tcPr>
            <w:tcW w:w="0" w:type="auto"/>
          </w:tcPr>
          <w:p w14:paraId="13A9370E" w14:textId="77777777" w:rsidR="00684810" w:rsidRPr="00A40660" w:rsidRDefault="00684810" w:rsidP="006432FD">
            <w:pPr>
              <w:rPr>
                <w:rFonts w:cs="Arial"/>
                <w:b/>
                <w:bCs/>
                <w:szCs w:val="20"/>
              </w:rPr>
            </w:pPr>
          </w:p>
        </w:tc>
        <w:tc>
          <w:tcPr>
            <w:tcW w:w="0" w:type="auto"/>
          </w:tcPr>
          <w:p w14:paraId="5DB1D379" w14:textId="77777777" w:rsidR="00684810" w:rsidRPr="00A40660" w:rsidRDefault="00684810" w:rsidP="006432FD">
            <w:pPr>
              <w:rPr>
                <w:rFonts w:cs="Arial"/>
                <w:b/>
                <w:bCs/>
                <w:szCs w:val="20"/>
              </w:rPr>
            </w:pPr>
          </w:p>
        </w:tc>
        <w:tc>
          <w:tcPr>
            <w:tcW w:w="0" w:type="auto"/>
          </w:tcPr>
          <w:p w14:paraId="0A0ABC6D" w14:textId="77777777" w:rsidR="00684810" w:rsidRPr="00A40660" w:rsidRDefault="00684810" w:rsidP="006432FD">
            <w:pPr>
              <w:rPr>
                <w:rFonts w:cs="Arial"/>
                <w:b/>
                <w:bCs/>
                <w:szCs w:val="20"/>
              </w:rPr>
            </w:pPr>
          </w:p>
        </w:tc>
        <w:tc>
          <w:tcPr>
            <w:tcW w:w="0" w:type="auto"/>
          </w:tcPr>
          <w:p w14:paraId="58EB518D" w14:textId="77777777" w:rsidR="00684810" w:rsidRPr="00A40660" w:rsidRDefault="00684810" w:rsidP="006432FD">
            <w:pPr>
              <w:rPr>
                <w:rFonts w:cs="Arial"/>
                <w:b/>
                <w:bCs/>
                <w:szCs w:val="20"/>
              </w:rPr>
            </w:pPr>
          </w:p>
        </w:tc>
      </w:tr>
      <w:tr w:rsidR="00684810" w:rsidRPr="00A40660" w14:paraId="1C5F42A5" w14:textId="77777777" w:rsidTr="005E535D">
        <w:tc>
          <w:tcPr>
            <w:tcW w:w="0" w:type="auto"/>
          </w:tcPr>
          <w:p w14:paraId="7DA8EEED" w14:textId="77777777" w:rsidR="00684810" w:rsidRPr="00A40660" w:rsidRDefault="00684810" w:rsidP="006432FD">
            <w:pPr>
              <w:rPr>
                <w:rFonts w:cs="Arial"/>
                <w:b/>
                <w:bCs/>
                <w:szCs w:val="20"/>
              </w:rPr>
            </w:pPr>
          </w:p>
        </w:tc>
        <w:tc>
          <w:tcPr>
            <w:tcW w:w="0" w:type="auto"/>
          </w:tcPr>
          <w:p w14:paraId="54E30371" w14:textId="77777777" w:rsidR="00684810" w:rsidRPr="00A40660" w:rsidRDefault="00684810" w:rsidP="006432FD">
            <w:pPr>
              <w:rPr>
                <w:rFonts w:cs="Arial"/>
                <w:b/>
                <w:bCs/>
                <w:szCs w:val="20"/>
              </w:rPr>
            </w:pPr>
          </w:p>
        </w:tc>
        <w:tc>
          <w:tcPr>
            <w:tcW w:w="0" w:type="auto"/>
          </w:tcPr>
          <w:p w14:paraId="2407DDF2" w14:textId="77777777" w:rsidR="00684810" w:rsidRPr="00A40660" w:rsidRDefault="00684810" w:rsidP="006432FD">
            <w:pPr>
              <w:rPr>
                <w:rFonts w:cs="Arial"/>
                <w:b/>
                <w:bCs/>
                <w:szCs w:val="20"/>
              </w:rPr>
            </w:pPr>
          </w:p>
        </w:tc>
        <w:tc>
          <w:tcPr>
            <w:tcW w:w="0" w:type="auto"/>
          </w:tcPr>
          <w:p w14:paraId="5CDA42DC" w14:textId="77777777" w:rsidR="00684810" w:rsidRPr="00A40660" w:rsidRDefault="00684810" w:rsidP="006432FD">
            <w:pPr>
              <w:rPr>
                <w:rFonts w:cs="Arial"/>
                <w:b/>
                <w:bCs/>
                <w:szCs w:val="20"/>
              </w:rPr>
            </w:pPr>
          </w:p>
        </w:tc>
        <w:tc>
          <w:tcPr>
            <w:tcW w:w="0" w:type="auto"/>
          </w:tcPr>
          <w:p w14:paraId="3C43E9BC" w14:textId="77777777" w:rsidR="00684810" w:rsidRPr="00A40660" w:rsidRDefault="00684810" w:rsidP="006432FD">
            <w:pPr>
              <w:rPr>
                <w:rFonts w:cs="Arial"/>
                <w:b/>
                <w:bCs/>
                <w:szCs w:val="20"/>
              </w:rPr>
            </w:pPr>
          </w:p>
        </w:tc>
        <w:tc>
          <w:tcPr>
            <w:tcW w:w="0" w:type="auto"/>
          </w:tcPr>
          <w:p w14:paraId="146A95C9" w14:textId="77777777" w:rsidR="00684810" w:rsidRPr="00A40660" w:rsidRDefault="00684810" w:rsidP="006432FD">
            <w:pPr>
              <w:rPr>
                <w:rFonts w:cs="Arial"/>
                <w:b/>
                <w:bCs/>
                <w:szCs w:val="20"/>
              </w:rPr>
            </w:pPr>
          </w:p>
        </w:tc>
        <w:tc>
          <w:tcPr>
            <w:tcW w:w="0" w:type="auto"/>
          </w:tcPr>
          <w:p w14:paraId="5800F43E" w14:textId="77777777" w:rsidR="00684810" w:rsidRPr="00A40660" w:rsidRDefault="00684810" w:rsidP="006432FD">
            <w:pPr>
              <w:rPr>
                <w:rFonts w:cs="Arial"/>
                <w:b/>
                <w:bCs/>
                <w:szCs w:val="20"/>
              </w:rPr>
            </w:pPr>
          </w:p>
        </w:tc>
        <w:tc>
          <w:tcPr>
            <w:tcW w:w="0" w:type="auto"/>
          </w:tcPr>
          <w:p w14:paraId="37A6DF84" w14:textId="77777777" w:rsidR="00684810" w:rsidRPr="00A40660" w:rsidRDefault="00684810" w:rsidP="006432FD">
            <w:pPr>
              <w:rPr>
                <w:rFonts w:cs="Arial"/>
                <w:b/>
                <w:bCs/>
                <w:szCs w:val="20"/>
              </w:rPr>
            </w:pPr>
          </w:p>
        </w:tc>
        <w:tc>
          <w:tcPr>
            <w:tcW w:w="0" w:type="auto"/>
          </w:tcPr>
          <w:p w14:paraId="17D9A180" w14:textId="77777777" w:rsidR="00684810" w:rsidRPr="00A40660" w:rsidRDefault="00684810" w:rsidP="006432FD">
            <w:pPr>
              <w:rPr>
                <w:rFonts w:cs="Arial"/>
                <w:b/>
                <w:bCs/>
                <w:szCs w:val="20"/>
              </w:rPr>
            </w:pPr>
          </w:p>
        </w:tc>
        <w:tc>
          <w:tcPr>
            <w:tcW w:w="0" w:type="auto"/>
          </w:tcPr>
          <w:p w14:paraId="1315571D" w14:textId="77777777" w:rsidR="00684810" w:rsidRPr="00A40660" w:rsidRDefault="00684810" w:rsidP="006432FD">
            <w:pPr>
              <w:rPr>
                <w:rFonts w:cs="Arial"/>
                <w:b/>
                <w:bCs/>
                <w:szCs w:val="20"/>
              </w:rPr>
            </w:pPr>
          </w:p>
        </w:tc>
        <w:tc>
          <w:tcPr>
            <w:tcW w:w="0" w:type="auto"/>
          </w:tcPr>
          <w:p w14:paraId="34BB9C13" w14:textId="77777777" w:rsidR="00684810" w:rsidRPr="00A40660" w:rsidRDefault="00684810" w:rsidP="006432FD">
            <w:pPr>
              <w:rPr>
                <w:rFonts w:cs="Arial"/>
                <w:b/>
                <w:bCs/>
                <w:szCs w:val="20"/>
              </w:rPr>
            </w:pPr>
          </w:p>
        </w:tc>
      </w:tr>
      <w:tr w:rsidR="00684810" w:rsidRPr="00A40660" w14:paraId="5AC4C634" w14:textId="77777777" w:rsidTr="005E535D">
        <w:tc>
          <w:tcPr>
            <w:tcW w:w="0" w:type="auto"/>
          </w:tcPr>
          <w:p w14:paraId="0D8C8132" w14:textId="77777777" w:rsidR="00684810" w:rsidRPr="00A40660" w:rsidRDefault="00684810" w:rsidP="006432FD">
            <w:pPr>
              <w:rPr>
                <w:rFonts w:cs="Arial"/>
                <w:b/>
                <w:bCs/>
                <w:szCs w:val="20"/>
              </w:rPr>
            </w:pPr>
          </w:p>
        </w:tc>
        <w:tc>
          <w:tcPr>
            <w:tcW w:w="0" w:type="auto"/>
          </w:tcPr>
          <w:p w14:paraId="6245190E" w14:textId="77777777" w:rsidR="00684810" w:rsidRPr="00A40660" w:rsidRDefault="00684810" w:rsidP="006432FD">
            <w:pPr>
              <w:rPr>
                <w:rFonts w:cs="Arial"/>
                <w:b/>
                <w:bCs/>
                <w:szCs w:val="20"/>
              </w:rPr>
            </w:pPr>
          </w:p>
        </w:tc>
        <w:tc>
          <w:tcPr>
            <w:tcW w:w="0" w:type="auto"/>
          </w:tcPr>
          <w:p w14:paraId="0FDF0947" w14:textId="77777777" w:rsidR="00684810" w:rsidRPr="00A40660" w:rsidRDefault="00684810" w:rsidP="006432FD">
            <w:pPr>
              <w:rPr>
                <w:rFonts w:cs="Arial"/>
                <w:b/>
                <w:bCs/>
                <w:szCs w:val="20"/>
              </w:rPr>
            </w:pPr>
          </w:p>
        </w:tc>
        <w:tc>
          <w:tcPr>
            <w:tcW w:w="0" w:type="auto"/>
          </w:tcPr>
          <w:p w14:paraId="7A739E70" w14:textId="77777777" w:rsidR="00684810" w:rsidRPr="00A40660" w:rsidRDefault="00684810" w:rsidP="006432FD">
            <w:pPr>
              <w:rPr>
                <w:rFonts w:cs="Arial"/>
                <w:b/>
                <w:bCs/>
                <w:szCs w:val="20"/>
              </w:rPr>
            </w:pPr>
          </w:p>
        </w:tc>
        <w:tc>
          <w:tcPr>
            <w:tcW w:w="0" w:type="auto"/>
          </w:tcPr>
          <w:p w14:paraId="409230FD" w14:textId="77777777" w:rsidR="00684810" w:rsidRPr="00A40660" w:rsidRDefault="00684810" w:rsidP="006432FD">
            <w:pPr>
              <w:rPr>
                <w:rFonts w:cs="Arial"/>
                <w:b/>
                <w:bCs/>
                <w:szCs w:val="20"/>
              </w:rPr>
            </w:pPr>
          </w:p>
        </w:tc>
        <w:tc>
          <w:tcPr>
            <w:tcW w:w="0" w:type="auto"/>
          </w:tcPr>
          <w:p w14:paraId="436E2EF4" w14:textId="77777777" w:rsidR="00684810" w:rsidRPr="00A40660" w:rsidRDefault="00684810" w:rsidP="006432FD">
            <w:pPr>
              <w:rPr>
                <w:rFonts w:cs="Arial"/>
                <w:b/>
                <w:bCs/>
                <w:szCs w:val="20"/>
              </w:rPr>
            </w:pPr>
          </w:p>
        </w:tc>
        <w:tc>
          <w:tcPr>
            <w:tcW w:w="0" w:type="auto"/>
          </w:tcPr>
          <w:p w14:paraId="750C26B2" w14:textId="77777777" w:rsidR="00684810" w:rsidRPr="00A40660" w:rsidRDefault="00684810" w:rsidP="006432FD">
            <w:pPr>
              <w:rPr>
                <w:rFonts w:cs="Arial"/>
                <w:b/>
                <w:bCs/>
                <w:szCs w:val="20"/>
              </w:rPr>
            </w:pPr>
          </w:p>
        </w:tc>
        <w:tc>
          <w:tcPr>
            <w:tcW w:w="0" w:type="auto"/>
          </w:tcPr>
          <w:p w14:paraId="6E35759E" w14:textId="77777777" w:rsidR="00684810" w:rsidRPr="00A40660" w:rsidRDefault="00684810" w:rsidP="006432FD">
            <w:pPr>
              <w:rPr>
                <w:rFonts w:cs="Arial"/>
                <w:b/>
                <w:bCs/>
                <w:szCs w:val="20"/>
              </w:rPr>
            </w:pPr>
          </w:p>
        </w:tc>
        <w:tc>
          <w:tcPr>
            <w:tcW w:w="0" w:type="auto"/>
          </w:tcPr>
          <w:p w14:paraId="13EE3173" w14:textId="77777777" w:rsidR="00684810" w:rsidRPr="00A40660" w:rsidRDefault="00684810" w:rsidP="006432FD">
            <w:pPr>
              <w:rPr>
                <w:rFonts w:cs="Arial"/>
                <w:b/>
                <w:bCs/>
                <w:szCs w:val="20"/>
              </w:rPr>
            </w:pPr>
          </w:p>
        </w:tc>
        <w:tc>
          <w:tcPr>
            <w:tcW w:w="0" w:type="auto"/>
          </w:tcPr>
          <w:p w14:paraId="33EBD6C7" w14:textId="77777777" w:rsidR="00684810" w:rsidRPr="00A40660" w:rsidRDefault="00684810" w:rsidP="006432FD">
            <w:pPr>
              <w:rPr>
                <w:rFonts w:cs="Arial"/>
                <w:b/>
                <w:bCs/>
                <w:szCs w:val="20"/>
              </w:rPr>
            </w:pPr>
          </w:p>
        </w:tc>
        <w:tc>
          <w:tcPr>
            <w:tcW w:w="0" w:type="auto"/>
          </w:tcPr>
          <w:p w14:paraId="799B6D80" w14:textId="77777777" w:rsidR="00684810" w:rsidRPr="00A40660" w:rsidRDefault="00684810" w:rsidP="006432FD">
            <w:pPr>
              <w:rPr>
                <w:rFonts w:cs="Arial"/>
                <w:b/>
                <w:bCs/>
                <w:szCs w:val="20"/>
              </w:rPr>
            </w:pPr>
          </w:p>
        </w:tc>
      </w:tr>
    </w:tbl>
    <w:p w14:paraId="49F498B9" w14:textId="77777777" w:rsidR="00DE3363" w:rsidRPr="00A40660" w:rsidRDefault="00DE3363" w:rsidP="006432FD">
      <w:pPr>
        <w:rPr>
          <w:rFonts w:cs="Arial"/>
          <w:b/>
          <w:bCs/>
          <w:szCs w:val="20"/>
        </w:rPr>
      </w:pPr>
    </w:p>
    <w:p w14:paraId="4793D742" w14:textId="77777777" w:rsidR="006432FD" w:rsidRPr="00A40660" w:rsidRDefault="006432FD" w:rsidP="006432FD">
      <w:pPr>
        <w:rPr>
          <w:rFonts w:cs="Arial"/>
          <w:b/>
          <w:bCs/>
          <w:szCs w:val="20"/>
        </w:rPr>
      </w:pPr>
    </w:p>
    <w:p w14:paraId="0DB5E7F4" w14:textId="77777777" w:rsidR="006432FD" w:rsidRPr="00A40660" w:rsidRDefault="006432FD" w:rsidP="006432FD">
      <w:pPr>
        <w:rPr>
          <w:rFonts w:cs="Arial"/>
          <w:b/>
          <w:bCs/>
          <w:szCs w:val="20"/>
        </w:rPr>
      </w:pPr>
      <w:r w:rsidRPr="00A40660">
        <w:rPr>
          <w:rFonts w:cs="Arial"/>
          <w:b/>
          <w:bCs/>
          <w:szCs w:val="20"/>
        </w:rPr>
        <w:lastRenderedPageBreak/>
        <w:t>B. Podrobnosti glede na vrsto operacije (izpolni se za vsako vrsto operacije)</w:t>
      </w:r>
    </w:p>
    <w:p w14:paraId="1690417A" w14:textId="77777777" w:rsidR="002008C1" w:rsidRPr="00A40660" w:rsidRDefault="002008C1" w:rsidP="006432FD">
      <w:pPr>
        <w:rPr>
          <w:rFonts w:cs="Arial"/>
          <w:b/>
          <w:bCs/>
          <w:szCs w:val="20"/>
        </w:rPr>
      </w:pPr>
    </w:p>
    <w:p w14:paraId="372CA3E3" w14:textId="73C8068D" w:rsidR="006432FD" w:rsidRPr="00A40660" w:rsidRDefault="006432FD" w:rsidP="006432FD">
      <w:pPr>
        <w:rPr>
          <w:rFonts w:cs="Arial"/>
          <w:b/>
          <w:bCs/>
          <w:szCs w:val="20"/>
        </w:rPr>
      </w:pPr>
      <w:r w:rsidRPr="00A40660">
        <w:rPr>
          <w:rFonts w:cs="Arial"/>
          <w:b/>
          <w:bCs/>
          <w:szCs w:val="20"/>
        </w:rPr>
        <w:t>Ali je organ upravljanja prejel podporo zunanjega podjetja za določitev poenostavljenih stroškov v nadaljevanju?</w:t>
      </w:r>
      <w:r w:rsidR="002008C1" w:rsidRPr="00A40660">
        <w:rPr>
          <w:rFonts w:cs="Arial"/>
          <w:b/>
          <w:bCs/>
          <w:szCs w:val="20"/>
        </w:rPr>
        <w:t xml:space="preserve"> </w:t>
      </w:r>
    </w:p>
    <w:p w14:paraId="469808A4" w14:textId="388F4092" w:rsidR="006432FD" w:rsidRPr="009C578C" w:rsidRDefault="006432FD" w:rsidP="009C578C">
      <w:pPr>
        <w:rPr>
          <w:rFonts w:cs="Arial"/>
          <w:szCs w:val="20"/>
        </w:rPr>
      </w:pPr>
      <w:r w:rsidRPr="00A40660">
        <w:rPr>
          <w:rFonts w:cs="Arial"/>
          <w:b/>
          <w:bCs/>
          <w:szCs w:val="20"/>
        </w:rPr>
        <w:t xml:space="preserve">Če je odgovor pritrdilen, navedite ime zunanjega podjetja: </w:t>
      </w:r>
    </w:p>
    <w:p w14:paraId="519058DD" w14:textId="77777777" w:rsidR="006432FD" w:rsidRPr="00A40660" w:rsidRDefault="006432FD" w:rsidP="006432FD">
      <w:pPr>
        <w:rPr>
          <w:rFonts w:cs="Arial"/>
          <w:b/>
          <w:bCs/>
          <w:szCs w:val="20"/>
        </w:rPr>
      </w:pPr>
    </w:p>
    <w:p w14:paraId="29ADF598" w14:textId="77777777" w:rsidR="006432FD" w:rsidRPr="00A40660" w:rsidRDefault="006432FD" w:rsidP="006432FD">
      <w:pPr>
        <w:rPr>
          <w:rFonts w:cs="Arial"/>
          <w:b/>
          <w:bCs/>
          <w:szCs w:val="20"/>
        </w:rPr>
      </w:pPr>
      <w:r w:rsidRPr="00A40660">
        <w:rPr>
          <w:rFonts w:cs="Arial"/>
          <w:b/>
          <w:bCs/>
          <w:szCs w:val="20"/>
        </w:rPr>
        <w:t>Vrste operacij:</w:t>
      </w:r>
    </w:p>
    <w:tbl>
      <w:tblPr>
        <w:tblStyle w:val="Tabelamrea"/>
        <w:tblW w:w="14312" w:type="dxa"/>
        <w:tblLook w:val="04A0" w:firstRow="1" w:lastRow="0" w:firstColumn="1" w:lastColumn="0" w:noHBand="0" w:noVBand="1"/>
      </w:tblPr>
      <w:tblGrid>
        <w:gridCol w:w="13773"/>
        <w:gridCol w:w="539"/>
      </w:tblGrid>
      <w:tr w:rsidR="002008C1" w:rsidRPr="00A40660" w14:paraId="654ECB06" w14:textId="77777777" w:rsidTr="009C578C">
        <w:tc>
          <w:tcPr>
            <w:tcW w:w="0" w:type="auto"/>
          </w:tcPr>
          <w:p w14:paraId="11B3A3DC" w14:textId="77777777" w:rsidR="002008C1" w:rsidRPr="009E0343" w:rsidRDefault="002008C1" w:rsidP="006432FD">
            <w:pPr>
              <w:rPr>
                <w:rFonts w:cs="Arial"/>
                <w:bCs/>
                <w:szCs w:val="20"/>
                <w:lang w:val="sl-SI"/>
              </w:rPr>
            </w:pPr>
            <w:r w:rsidRPr="009E0343">
              <w:rPr>
                <w:rFonts w:cs="Arial"/>
                <w:bCs/>
                <w:szCs w:val="20"/>
                <w:lang w:val="sl-SI"/>
              </w:rPr>
              <w:t>1.1 Opis vrste operacije</w:t>
            </w:r>
          </w:p>
        </w:tc>
        <w:tc>
          <w:tcPr>
            <w:tcW w:w="539" w:type="dxa"/>
          </w:tcPr>
          <w:p w14:paraId="33A1E805" w14:textId="77777777" w:rsidR="002008C1" w:rsidRPr="00A40660" w:rsidRDefault="002008C1" w:rsidP="006432FD">
            <w:pPr>
              <w:rPr>
                <w:rFonts w:cs="Arial"/>
                <w:bCs/>
                <w:szCs w:val="20"/>
              </w:rPr>
            </w:pPr>
          </w:p>
        </w:tc>
      </w:tr>
      <w:tr w:rsidR="002008C1" w:rsidRPr="00A40660" w14:paraId="6A7446A5" w14:textId="77777777" w:rsidTr="009C578C">
        <w:tc>
          <w:tcPr>
            <w:tcW w:w="0" w:type="auto"/>
          </w:tcPr>
          <w:p w14:paraId="1ACFA2C3" w14:textId="77777777" w:rsidR="002008C1" w:rsidRPr="009E0343" w:rsidRDefault="002008C1" w:rsidP="006432FD">
            <w:pPr>
              <w:rPr>
                <w:rFonts w:cs="Arial"/>
                <w:bCs/>
                <w:szCs w:val="20"/>
                <w:lang w:val="sl-SI"/>
              </w:rPr>
            </w:pPr>
            <w:r w:rsidRPr="009E0343">
              <w:rPr>
                <w:rFonts w:cs="Arial"/>
                <w:bCs/>
                <w:szCs w:val="20"/>
                <w:lang w:val="sl-SI"/>
              </w:rPr>
              <w:t>1.2 Zadevni prednostni/specifični cilji (cilj „delovna mesta in rast“) ali področje podpore (ESPR)</w:t>
            </w:r>
          </w:p>
        </w:tc>
        <w:tc>
          <w:tcPr>
            <w:tcW w:w="539" w:type="dxa"/>
          </w:tcPr>
          <w:p w14:paraId="2AA3D6CD" w14:textId="77777777" w:rsidR="002008C1" w:rsidRPr="000A4DE5" w:rsidRDefault="002008C1" w:rsidP="006432FD">
            <w:pPr>
              <w:rPr>
                <w:rFonts w:cs="Arial"/>
                <w:bCs/>
                <w:szCs w:val="20"/>
                <w:lang w:val="it-IT"/>
              </w:rPr>
            </w:pPr>
          </w:p>
        </w:tc>
      </w:tr>
      <w:tr w:rsidR="002008C1" w:rsidRPr="00F700CD" w14:paraId="11ACE302" w14:textId="77777777" w:rsidTr="009C578C">
        <w:tc>
          <w:tcPr>
            <w:tcW w:w="0" w:type="auto"/>
          </w:tcPr>
          <w:p w14:paraId="09C70F6C" w14:textId="77777777" w:rsidR="002008C1" w:rsidRPr="009E0343" w:rsidRDefault="002008C1" w:rsidP="006432FD">
            <w:pPr>
              <w:rPr>
                <w:rFonts w:cs="Arial"/>
                <w:bCs/>
                <w:szCs w:val="20"/>
                <w:lang w:val="sl-SI"/>
              </w:rPr>
            </w:pPr>
            <w:r w:rsidRPr="009E0343">
              <w:rPr>
                <w:rFonts w:cs="Arial"/>
                <w:bCs/>
                <w:szCs w:val="20"/>
                <w:lang w:val="sl-SI"/>
              </w:rPr>
              <w:t>1.3 Ime kazalnika (Za eno vrsto operacije je možnih več dopolnjujočih se kazalnikov (na primer en kazalnik učinka in en kazalnik rezultatov). V teh primerih je treba za vsak kazalnik izpolniti polja 1.3 do 1.11 obrazca.)</w:t>
            </w:r>
          </w:p>
        </w:tc>
        <w:tc>
          <w:tcPr>
            <w:tcW w:w="539" w:type="dxa"/>
          </w:tcPr>
          <w:p w14:paraId="34A74FCB" w14:textId="77777777" w:rsidR="002008C1" w:rsidRPr="000A4DE5" w:rsidRDefault="002008C1" w:rsidP="006432FD">
            <w:pPr>
              <w:rPr>
                <w:rFonts w:cs="Arial"/>
                <w:bCs/>
                <w:szCs w:val="20"/>
                <w:lang w:val="sl-SI"/>
              </w:rPr>
            </w:pPr>
          </w:p>
        </w:tc>
      </w:tr>
      <w:tr w:rsidR="002008C1" w:rsidRPr="00A40660" w14:paraId="068B0C23" w14:textId="77777777" w:rsidTr="009C578C">
        <w:tc>
          <w:tcPr>
            <w:tcW w:w="0" w:type="auto"/>
          </w:tcPr>
          <w:p w14:paraId="308D8969" w14:textId="77777777" w:rsidR="002008C1" w:rsidRPr="009E0343" w:rsidRDefault="002008C1" w:rsidP="006432FD">
            <w:pPr>
              <w:rPr>
                <w:rFonts w:cs="Arial"/>
                <w:bCs/>
                <w:szCs w:val="20"/>
                <w:lang w:val="sl-SI"/>
              </w:rPr>
            </w:pPr>
            <w:r w:rsidRPr="009E0343">
              <w:rPr>
                <w:rFonts w:cs="Arial"/>
                <w:bCs/>
                <w:szCs w:val="20"/>
                <w:lang w:val="sl-SI"/>
              </w:rPr>
              <w:t>1.4 Merska enota za kazalnik</w:t>
            </w:r>
          </w:p>
        </w:tc>
        <w:tc>
          <w:tcPr>
            <w:tcW w:w="539" w:type="dxa"/>
          </w:tcPr>
          <w:p w14:paraId="40DD5823" w14:textId="77777777" w:rsidR="002008C1" w:rsidRPr="00A40660" w:rsidRDefault="002008C1" w:rsidP="006432FD">
            <w:pPr>
              <w:rPr>
                <w:rFonts w:cs="Arial"/>
                <w:bCs/>
                <w:szCs w:val="20"/>
              </w:rPr>
            </w:pPr>
          </w:p>
        </w:tc>
      </w:tr>
      <w:tr w:rsidR="002008C1" w:rsidRPr="00A40660" w14:paraId="2647026A" w14:textId="77777777" w:rsidTr="009C578C">
        <w:tc>
          <w:tcPr>
            <w:tcW w:w="0" w:type="auto"/>
          </w:tcPr>
          <w:p w14:paraId="1F5D50E4" w14:textId="77777777" w:rsidR="002008C1" w:rsidRPr="009E0343" w:rsidRDefault="002008C1" w:rsidP="006432FD">
            <w:pPr>
              <w:rPr>
                <w:rFonts w:cs="Arial"/>
                <w:bCs/>
                <w:szCs w:val="20"/>
                <w:lang w:val="sl-SI"/>
              </w:rPr>
            </w:pPr>
            <w:r w:rsidRPr="009E0343">
              <w:rPr>
                <w:rFonts w:cs="Arial"/>
                <w:bCs/>
                <w:szCs w:val="20"/>
                <w:lang w:val="sl-SI"/>
              </w:rPr>
              <w:t>1.5 Standardna lestvica stroškov na enoto, pavšalni zneski ali pavšalne stopnje</w:t>
            </w:r>
          </w:p>
        </w:tc>
        <w:tc>
          <w:tcPr>
            <w:tcW w:w="539" w:type="dxa"/>
          </w:tcPr>
          <w:p w14:paraId="59F4FAD1" w14:textId="77777777" w:rsidR="002008C1" w:rsidRPr="000A4DE5" w:rsidRDefault="002008C1" w:rsidP="006432FD">
            <w:pPr>
              <w:rPr>
                <w:rFonts w:cs="Arial"/>
                <w:bCs/>
                <w:szCs w:val="20"/>
                <w:lang w:val="it-IT"/>
              </w:rPr>
            </w:pPr>
          </w:p>
        </w:tc>
      </w:tr>
      <w:tr w:rsidR="002008C1" w:rsidRPr="00A40660" w14:paraId="30D8BD00" w14:textId="77777777" w:rsidTr="009C578C">
        <w:tc>
          <w:tcPr>
            <w:tcW w:w="0" w:type="auto"/>
          </w:tcPr>
          <w:p w14:paraId="0D3451DC" w14:textId="77777777" w:rsidR="002008C1" w:rsidRPr="009E0343" w:rsidRDefault="002008C1" w:rsidP="006432FD">
            <w:pPr>
              <w:rPr>
                <w:rFonts w:cs="Arial"/>
                <w:bCs/>
                <w:szCs w:val="20"/>
                <w:lang w:val="sl-SI"/>
              </w:rPr>
            </w:pPr>
            <w:r w:rsidRPr="009E0343">
              <w:rPr>
                <w:rFonts w:cs="Arial"/>
                <w:bCs/>
                <w:szCs w:val="20"/>
                <w:lang w:val="sl-SI"/>
              </w:rPr>
              <w:t>1.6 Znesek</w:t>
            </w:r>
          </w:p>
        </w:tc>
        <w:tc>
          <w:tcPr>
            <w:tcW w:w="539" w:type="dxa"/>
          </w:tcPr>
          <w:p w14:paraId="2B3524FD" w14:textId="77777777" w:rsidR="002008C1" w:rsidRPr="00A40660" w:rsidRDefault="002008C1" w:rsidP="006432FD">
            <w:pPr>
              <w:rPr>
                <w:rFonts w:cs="Arial"/>
                <w:bCs/>
                <w:szCs w:val="20"/>
              </w:rPr>
            </w:pPr>
          </w:p>
        </w:tc>
      </w:tr>
      <w:tr w:rsidR="002008C1" w:rsidRPr="00A40660" w14:paraId="6CCB99F6" w14:textId="77777777" w:rsidTr="009C578C">
        <w:tc>
          <w:tcPr>
            <w:tcW w:w="0" w:type="auto"/>
          </w:tcPr>
          <w:p w14:paraId="05D78098" w14:textId="77777777" w:rsidR="002008C1" w:rsidRPr="009E0343" w:rsidRDefault="002008C1" w:rsidP="006432FD">
            <w:pPr>
              <w:rPr>
                <w:rFonts w:cs="Arial"/>
                <w:bCs/>
                <w:szCs w:val="20"/>
                <w:lang w:val="sl-SI"/>
              </w:rPr>
            </w:pPr>
            <w:r w:rsidRPr="009E0343">
              <w:rPr>
                <w:rFonts w:cs="Arial"/>
                <w:bCs/>
                <w:szCs w:val="20"/>
                <w:lang w:val="sl-SI"/>
              </w:rPr>
              <w:t>1.7 Kategorije stroškov, krite s stroški na enoto, pavšalnimi zneski ali pavšalnimi stopnjami</w:t>
            </w:r>
          </w:p>
        </w:tc>
        <w:tc>
          <w:tcPr>
            <w:tcW w:w="539" w:type="dxa"/>
          </w:tcPr>
          <w:p w14:paraId="376D07A8" w14:textId="77777777" w:rsidR="002008C1" w:rsidRPr="000A4DE5" w:rsidRDefault="002008C1" w:rsidP="006432FD">
            <w:pPr>
              <w:rPr>
                <w:rFonts w:cs="Arial"/>
                <w:bCs/>
                <w:szCs w:val="20"/>
                <w:lang w:val="sl-SI"/>
              </w:rPr>
            </w:pPr>
          </w:p>
        </w:tc>
      </w:tr>
      <w:tr w:rsidR="002008C1" w:rsidRPr="00A40660" w14:paraId="1321E299" w14:textId="77777777" w:rsidTr="009C578C">
        <w:tc>
          <w:tcPr>
            <w:tcW w:w="0" w:type="auto"/>
          </w:tcPr>
          <w:p w14:paraId="59DE5BB7" w14:textId="77777777" w:rsidR="002008C1" w:rsidRPr="009E0343" w:rsidRDefault="002008C1" w:rsidP="006432FD">
            <w:pPr>
              <w:rPr>
                <w:rFonts w:cs="Arial"/>
                <w:bCs/>
                <w:szCs w:val="20"/>
                <w:lang w:val="sl-SI"/>
              </w:rPr>
            </w:pPr>
            <w:r w:rsidRPr="009E0343">
              <w:rPr>
                <w:rFonts w:cs="Arial"/>
                <w:bCs/>
                <w:szCs w:val="20"/>
                <w:lang w:val="sl-SI"/>
              </w:rPr>
              <w:t>1.8 Ali te kategorije stroškov krijejo vse upravičene odhodke za delovanje? (D/N)</w:t>
            </w:r>
          </w:p>
        </w:tc>
        <w:tc>
          <w:tcPr>
            <w:tcW w:w="539" w:type="dxa"/>
          </w:tcPr>
          <w:p w14:paraId="4271644E" w14:textId="77777777" w:rsidR="002008C1" w:rsidRPr="00A40660" w:rsidRDefault="002008C1" w:rsidP="006432FD">
            <w:pPr>
              <w:rPr>
                <w:rFonts w:cs="Arial"/>
                <w:bCs/>
                <w:szCs w:val="20"/>
              </w:rPr>
            </w:pPr>
          </w:p>
        </w:tc>
      </w:tr>
      <w:tr w:rsidR="002008C1" w:rsidRPr="00A40660" w14:paraId="29173672" w14:textId="77777777" w:rsidTr="009C578C">
        <w:tc>
          <w:tcPr>
            <w:tcW w:w="0" w:type="auto"/>
          </w:tcPr>
          <w:p w14:paraId="15FECE64" w14:textId="77777777" w:rsidR="002008C1" w:rsidRPr="009E0343" w:rsidRDefault="002008C1" w:rsidP="006432FD">
            <w:pPr>
              <w:rPr>
                <w:rFonts w:cs="Arial"/>
                <w:bCs/>
                <w:szCs w:val="20"/>
                <w:lang w:val="sl-SI"/>
              </w:rPr>
            </w:pPr>
            <w:r w:rsidRPr="009E0343">
              <w:rPr>
                <w:rFonts w:cs="Arial"/>
                <w:bCs/>
                <w:szCs w:val="20"/>
                <w:lang w:val="sl-SI"/>
              </w:rPr>
              <w:t>1.9 Prilagoditvena metoda</w:t>
            </w:r>
          </w:p>
        </w:tc>
        <w:tc>
          <w:tcPr>
            <w:tcW w:w="539" w:type="dxa"/>
          </w:tcPr>
          <w:p w14:paraId="6B409EC1" w14:textId="77777777" w:rsidR="002008C1" w:rsidRPr="00A40660" w:rsidRDefault="002008C1" w:rsidP="006432FD">
            <w:pPr>
              <w:rPr>
                <w:rFonts w:cs="Arial"/>
                <w:bCs/>
                <w:szCs w:val="20"/>
              </w:rPr>
            </w:pPr>
          </w:p>
        </w:tc>
      </w:tr>
      <w:tr w:rsidR="002008C1" w:rsidRPr="00F700CD" w14:paraId="66E88C15" w14:textId="77777777" w:rsidTr="009C578C">
        <w:tc>
          <w:tcPr>
            <w:tcW w:w="0" w:type="auto"/>
          </w:tcPr>
          <w:p w14:paraId="7A906F47" w14:textId="77777777" w:rsidR="002008C1" w:rsidRPr="000A4DE5" w:rsidRDefault="002008C1" w:rsidP="002008C1">
            <w:pPr>
              <w:rPr>
                <w:rFonts w:cs="Arial"/>
                <w:bCs/>
                <w:szCs w:val="20"/>
                <w:lang w:val="sl-SI"/>
              </w:rPr>
            </w:pPr>
            <w:r w:rsidRPr="000A4DE5">
              <w:rPr>
                <w:rFonts w:cs="Arial"/>
                <w:bCs/>
                <w:szCs w:val="20"/>
                <w:lang w:val="sl-SI"/>
              </w:rPr>
              <w:t>11.10 Preverjanje doseganja merske enote</w:t>
            </w:r>
          </w:p>
          <w:p w14:paraId="1209FC05" w14:textId="77777777" w:rsidR="002008C1" w:rsidRPr="000A4DE5" w:rsidRDefault="002008C1" w:rsidP="002008C1">
            <w:pPr>
              <w:rPr>
                <w:rFonts w:cs="Arial"/>
                <w:bCs/>
                <w:szCs w:val="20"/>
                <w:lang w:val="sl-SI"/>
              </w:rPr>
            </w:pPr>
            <w:r w:rsidRPr="000A4DE5">
              <w:rPr>
                <w:rFonts w:cs="Arial"/>
                <w:bCs/>
                <w:szCs w:val="20"/>
                <w:lang w:val="sl-SI"/>
              </w:rPr>
              <w:t>– opišite, kateri dokumenti se bodo uporabljali za preverjanje doseganja merske enote;</w:t>
            </w:r>
          </w:p>
          <w:p w14:paraId="2415FDCC" w14:textId="77777777" w:rsidR="002008C1" w:rsidRPr="000A4DE5" w:rsidRDefault="002008C1" w:rsidP="002008C1">
            <w:pPr>
              <w:rPr>
                <w:rFonts w:cs="Arial"/>
                <w:bCs/>
                <w:szCs w:val="20"/>
                <w:lang w:val="sl-SI"/>
              </w:rPr>
            </w:pPr>
            <w:r w:rsidRPr="000A4DE5">
              <w:rPr>
                <w:rFonts w:cs="Arial"/>
                <w:bCs/>
                <w:szCs w:val="20"/>
                <w:lang w:val="sl-SI"/>
              </w:rPr>
              <w:t>– opišite, kaj se bo preverjalo v okviru upravljalnih preverjanj (vključno na kraju samem) in kdo bo izvedel preverjanje.</w:t>
            </w:r>
          </w:p>
          <w:p w14:paraId="7AB63480" w14:textId="77777777" w:rsidR="002008C1" w:rsidRPr="000A4DE5" w:rsidRDefault="002008C1" w:rsidP="002008C1">
            <w:pPr>
              <w:rPr>
                <w:rFonts w:cs="Arial"/>
                <w:bCs/>
                <w:szCs w:val="20"/>
                <w:lang w:val="sl-SI"/>
              </w:rPr>
            </w:pPr>
            <w:r w:rsidRPr="000A4DE5">
              <w:rPr>
                <w:rFonts w:cs="Arial"/>
                <w:bCs/>
                <w:szCs w:val="20"/>
                <w:lang w:val="sl-SI"/>
              </w:rPr>
              <w:t>– opišite ureditev za zbiranje in shranjevanje opisanih podatkov/dokumentov.</w:t>
            </w:r>
          </w:p>
        </w:tc>
        <w:tc>
          <w:tcPr>
            <w:tcW w:w="539" w:type="dxa"/>
          </w:tcPr>
          <w:p w14:paraId="3B0917F3" w14:textId="77777777" w:rsidR="002008C1" w:rsidRPr="000A4DE5" w:rsidRDefault="002008C1" w:rsidP="006432FD">
            <w:pPr>
              <w:rPr>
                <w:rFonts w:cs="Arial"/>
                <w:bCs/>
                <w:szCs w:val="20"/>
                <w:lang w:val="sl-SI"/>
              </w:rPr>
            </w:pPr>
          </w:p>
        </w:tc>
      </w:tr>
      <w:tr w:rsidR="002008C1" w:rsidRPr="00F700CD" w14:paraId="5D0A33AF" w14:textId="77777777" w:rsidTr="009C578C">
        <w:tc>
          <w:tcPr>
            <w:tcW w:w="0" w:type="auto"/>
          </w:tcPr>
          <w:p w14:paraId="0252F46C" w14:textId="77777777" w:rsidR="002008C1" w:rsidRPr="000A4DE5" w:rsidRDefault="002008C1" w:rsidP="002008C1">
            <w:pPr>
              <w:rPr>
                <w:rFonts w:cs="Arial"/>
                <w:bCs/>
                <w:szCs w:val="20"/>
                <w:lang w:val="sl-SI"/>
              </w:rPr>
            </w:pPr>
            <w:r w:rsidRPr="000A4DE5">
              <w:rPr>
                <w:rFonts w:cs="Arial"/>
                <w:bCs/>
                <w:szCs w:val="20"/>
                <w:lang w:val="sl-SI"/>
              </w:rPr>
              <w:t>1.11 Možne neprimerne spodbude ali težave zaradi tega kazalnika, kako bi jih lahko ublažili ter ocenjena raven grožnje</w:t>
            </w:r>
          </w:p>
        </w:tc>
        <w:tc>
          <w:tcPr>
            <w:tcW w:w="539" w:type="dxa"/>
          </w:tcPr>
          <w:p w14:paraId="43779133" w14:textId="77777777" w:rsidR="002008C1" w:rsidRPr="000A4DE5" w:rsidRDefault="002008C1" w:rsidP="006432FD">
            <w:pPr>
              <w:rPr>
                <w:rFonts w:cs="Arial"/>
                <w:bCs/>
                <w:szCs w:val="20"/>
                <w:lang w:val="sl-SI"/>
              </w:rPr>
            </w:pPr>
          </w:p>
        </w:tc>
      </w:tr>
      <w:tr w:rsidR="002008C1" w:rsidRPr="00F700CD" w14:paraId="6C434773" w14:textId="77777777" w:rsidTr="009C578C">
        <w:tc>
          <w:tcPr>
            <w:tcW w:w="0" w:type="auto"/>
          </w:tcPr>
          <w:p w14:paraId="6B6DAF77" w14:textId="77777777" w:rsidR="002008C1" w:rsidRPr="000A4DE5" w:rsidRDefault="002008C1" w:rsidP="002008C1">
            <w:pPr>
              <w:rPr>
                <w:rFonts w:cs="Arial"/>
                <w:bCs/>
                <w:szCs w:val="20"/>
                <w:lang w:val="it-IT"/>
              </w:rPr>
            </w:pPr>
            <w:r w:rsidRPr="000A4DE5">
              <w:rPr>
                <w:rFonts w:cs="Arial"/>
                <w:bCs/>
                <w:szCs w:val="20"/>
                <w:lang w:val="it-IT"/>
              </w:rPr>
              <w:t>1.12 Skupni znesek (nacionalni in EU), ki naj bi se po pričakovanjih povrnil</w:t>
            </w:r>
          </w:p>
        </w:tc>
        <w:tc>
          <w:tcPr>
            <w:tcW w:w="539" w:type="dxa"/>
          </w:tcPr>
          <w:p w14:paraId="69F161D6" w14:textId="77777777" w:rsidR="002008C1" w:rsidRPr="000A4DE5" w:rsidRDefault="002008C1" w:rsidP="006432FD">
            <w:pPr>
              <w:rPr>
                <w:rFonts w:cs="Arial"/>
                <w:bCs/>
                <w:szCs w:val="20"/>
                <w:lang w:val="it-IT"/>
              </w:rPr>
            </w:pPr>
          </w:p>
        </w:tc>
      </w:tr>
    </w:tbl>
    <w:p w14:paraId="6C18F884" w14:textId="77777777" w:rsidR="002008C1" w:rsidRPr="00F018CA" w:rsidRDefault="002008C1" w:rsidP="006432FD">
      <w:pPr>
        <w:rPr>
          <w:rFonts w:cs="Arial"/>
          <w:b/>
          <w:bCs/>
          <w:szCs w:val="20"/>
        </w:rPr>
      </w:pPr>
    </w:p>
    <w:p w14:paraId="1502D5F8" w14:textId="77777777" w:rsidR="005E683D" w:rsidRDefault="005E683D">
      <w:pPr>
        <w:spacing w:after="200" w:line="276" w:lineRule="auto"/>
        <w:rPr>
          <w:rFonts w:eastAsiaTheme="minorHAnsi" w:cs="Arial"/>
          <w:b/>
          <w:bCs/>
          <w:color w:val="000000"/>
          <w:szCs w:val="20"/>
        </w:rPr>
      </w:pPr>
      <w:r w:rsidRPr="003E2F8D">
        <w:rPr>
          <w:rFonts w:cs="Arial"/>
          <w:b/>
          <w:bCs/>
          <w:szCs w:val="20"/>
        </w:rPr>
        <w:br w:type="page"/>
      </w:r>
    </w:p>
    <w:p w14:paraId="28D741DE" w14:textId="77777777" w:rsidR="002008C1" w:rsidRPr="00A40660" w:rsidRDefault="002008C1" w:rsidP="002008C1">
      <w:pPr>
        <w:pStyle w:val="Default"/>
        <w:jc w:val="both"/>
        <w:rPr>
          <w:rFonts w:ascii="Arial" w:hAnsi="Arial" w:cs="Arial"/>
          <w:b/>
          <w:bCs/>
          <w:sz w:val="20"/>
          <w:szCs w:val="20"/>
        </w:rPr>
      </w:pPr>
      <w:r w:rsidRPr="00A40660">
        <w:rPr>
          <w:rFonts w:ascii="Arial" w:hAnsi="Arial" w:cs="Arial"/>
          <w:b/>
          <w:bCs/>
          <w:sz w:val="20"/>
          <w:szCs w:val="20"/>
        </w:rPr>
        <w:lastRenderedPageBreak/>
        <w:t xml:space="preserve">C: Izračun standardne lestvice stroškov na enoto, pavšalnih zneskov in pavšalnih stopenj </w:t>
      </w:r>
    </w:p>
    <w:p w14:paraId="6506B305" w14:textId="77777777" w:rsidR="002008C1" w:rsidRPr="00A40660" w:rsidRDefault="002008C1" w:rsidP="002008C1">
      <w:pPr>
        <w:pStyle w:val="Default"/>
        <w:jc w:val="both"/>
        <w:rPr>
          <w:rFonts w:ascii="Arial" w:hAnsi="Arial" w:cs="Arial"/>
          <w:sz w:val="20"/>
          <w:szCs w:val="20"/>
        </w:rPr>
      </w:pPr>
    </w:p>
    <w:p w14:paraId="4D0EAAB2" w14:textId="77777777" w:rsidR="002008C1" w:rsidRPr="00A40660" w:rsidRDefault="002008C1" w:rsidP="002008C1">
      <w:pPr>
        <w:jc w:val="both"/>
        <w:rPr>
          <w:rFonts w:cs="Arial"/>
          <w:szCs w:val="20"/>
        </w:rPr>
      </w:pPr>
      <w:r w:rsidRPr="00A40660">
        <w:rPr>
          <w:rFonts w:cs="Arial"/>
          <w:i/>
          <w:iCs/>
          <w:szCs w:val="20"/>
        </w:rPr>
        <w:t xml:space="preserve">1. </w:t>
      </w:r>
      <w:r w:rsidRPr="00A40660">
        <w:rPr>
          <w:rFonts w:cs="Arial"/>
          <w:szCs w:val="20"/>
        </w:rPr>
        <w:t>Vir podatkov, uporabljenih za izračun standardne lestvice stroškov na enoto, pavšalnih zneskov ali pavšalnih stopenj (kdo je proizvedel, zbral in evidentiral podatke; kje so podatki shranjeni; presečni datumi; potrjevanje itd.).</w:t>
      </w:r>
    </w:p>
    <w:p w14:paraId="46B74D60" w14:textId="77777777" w:rsidR="002008C1" w:rsidRPr="00A40660" w:rsidRDefault="002008C1" w:rsidP="002008C1">
      <w:pPr>
        <w:jc w:val="both"/>
        <w:rPr>
          <w:rFonts w:cs="Arial"/>
          <w:szCs w:val="20"/>
        </w:rPr>
      </w:pPr>
      <w:r w:rsidRPr="00A40660">
        <w:rPr>
          <w:rFonts w:cs="Arial"/>
          <w:i/>
          <w:iCs/>
          <w:szCs w:val="20"/>
        </w:rPr>
        <w:t xml:space="preserve">2. </w:t>
      </w:r>
      <w:r w:rsidRPr="00A40660">
        <w:rPr>
          <w:rFonts w:cs="Arial"/>
          <w:szCs w:val="20"/>
        </w:rPr>
        <w:t>Navedite, zakaj sta predlagana metoda in izračun relevantna za vrsto operacije.</w:t>
      </w:r>
    </w:p>
    <w:p w14:paraId="01202622" w14:textId="77777777" w:rsidR="002008C1" w:rsidRPr="00A40660" w:rsidRDefault="002008C1" w:rsidP="002008C1">
      <w:pPr>
        <w:jc w:val="both"/>
        <w:rPr>
          <w:rFonts w:cs="Arial"/>
          <w:szCs w:val="20"/>
        </w:rPr>
      </w:pPr>
      <w:r w:rsidRPr="00A40660">
        <w:rPr>
          <w:rFonts w:cs="Arial"/>
          <w:i/>
          <w:iCs/>
          <w:szCs w:val="20"/>
        </w:rPr>
        <w:t xml:space="preserve">3. </w:t>
      </w:r>
      <w:r w:rsidRPr="00A40660">
        <w:rPr>
          <w:rFonts w:cs="Arial"/>
          <w:szCs w:val="20"/>
        </w:rPr>
        <w:t>Prosimo, navedite, kako so bili izračuni narejeni, vključno zlasti s predpostavkami v smislu kakovosti ali količin. Če je relevantno, bi bilo treba uporabiti in k tej prilogi priložiti statistične dokaze in referenčne vrednosti v obliki, ki jo lahko uporabi Komisija.</w:t>
      </w:r>
    </w:p>
    <w:p w14:paraId="49639A0D" w14:textId="77777777" w:rsidR="002008C1" w:rsidRPr="00A40660" w:rsidRDefault="002008C1" w:rsidP="002008C1">
      <w:pPr>
        <w:jc w:val="both"/>
        <w:rPr>
          <w:rFonts w:cs="Arial"/>
          <w:szCs w:val="20"/>
        </w:rPr>
      </w:pPr>
      <w:r w:rsidRPr="00A40660">
        <w:rPr>
          <w:rFonts w:cs="Arial"/>
          <w:i/>
          <w:iCs/>
          <w:szCs w:val="20"/>
        </w:rPr>
        <w:t>4</w:t>
      </w:r>
      <w:r w:rsidRPr="00A40660">
        <w:rPr>
          <w:rFonts w:cs="Arial"/>
          <w:szCs w:val="20"/>
        </w:rPr>
        <w:t>. Prosimo, pojasnite, kako ste zagotovili, da so bili le upravičeni odhodki vključeni v izračun standardne lestvice stroškov na enoto, pavšalnega zneska ali pavšalne stopnje.</w:t>
      </w:r>
    </w:p>
    <w:p w14:paraId="0D19CB4E" w14:textId="77777777" w:rsidR="002008C1" w:rsidRPr="00A40660" w:rsidRDefault="002008C1" w:rsidP="002008C1">
      <w:pPr>
        <w:jc w:val="both"/>
        <w:rPr>
          <w:rFonts w:cs="Arial"/>
          <w:szCs w:val="20"/>
        </w:rPr>
      </w:pPr>
      <w:r w:rsidRPr="00A40660">
        <w:rPr>
          <w:rFonts w:cs="Arial"/>
          <w:i/>
          <w:iCs/>
          <w:szCs w:val="20"/>
        </w:rPr>
        <w:t>5</w:t>
      </w:r>
      <w:r w:rsidRPr="00A40660">
        <w:rPr>
          <w:rFonts w:cs="Arial"/>
          <w:szCs w:val="20"/>
        </w:rPr>
        <w:t xml:space="preserve">. </w:t>
      </w:r>
      <w:bookmarkStart w:id="33" w:name="_Hlk62736757"/>
      <w:r w:rsidRPr="00A40660">
        <w:rPr>
          <w:rFonts w:cs="Arial"/>
          <w:szCs w:val="20"/>
        </w:rPr>
        <w:t>Ocena revizijske oblasti v zvezi z metodologijo za izračun in zneski ter ureditvijo za zagotovitev potrjevanja, kakovosti, zbiranja in shranjevanja podatkov.</w:t>
      </w:r>
    </w:p>
    <w:bookmarkEnd w:id="33"/>
    <w:p w14:paraId="31992177" w14:textId="77777777" w:rsidR="005E683D" w:rsidRPr="003E2F8D" w:rsidRDefault="005E683D">
      <w:pPr>
        <w:spacing w:after="200" w:line="276" w:lineRule="auto"/>
        <w:rPr>
          <w:rFonts w:asciiTheme="majorHAnsi" w:eastAsiaTheme="majorEastAsia" w:hAnsiTheme="majorHAnsi" w:cstheme="majorBidi"/>
          <w:b/>
          <w:bCs/>
          <w:color w:val="365F91" w:themeColor="accent1" w:themeShade="BF"/>
          <w:sz w:val="28"/>
          <w:szCs w:val="28"/>
        </w:rPr>
      </w:pPr>
      <w:r w:rsidRPr="003E2F8D">
        <w:br w:type="page"/>
      </w:r>
    </w:p>
    <w:p w14:paraId="5AA59990" w14:textId="77777777" w:rsidR="00684810" w:rsidRPr="00372BBC" w:rsidRDefault="00684810" w:rsidP="002458C0">
      <w:pPr>
        <w:pStyle w:val="Naslov1"/>
        <w:jc w:val="both"/>
        <w:rPr>
          <w:lang w:val="it-IT"/>
        </w:rPr>
      </w:pPr>
      <w:bookmarkStart w:id="34" w:name="_Toc106099918"/>
      <w:r w:rsidRPr="00372BBC">
        <w:rPr>
          <w:lang w:val="it-IT"/>
        </w:rPr>
        <w:lastRenderedPageBreak/>
        <w:t>Dodatek 2: Financiranje, ki ni povezano s stroški</w:t>
      </w:r>
      <w:bookmarkEnd w:id="34"/>
    </w:p>
    <w:p w14:paraId="1E010028" w14:textId="77777777" w:rsidR="00684810" w:rsidRPr="00A40660" w:rsidRDefault="00684810" w:rsidP="002008C1">
      <w:pPr>
        <w:jc w:val="both"/>
        <w:rPr>
          <w:rFonts w:cs="Arial"/>
          <w:b/>
          <w:bCs/>
          <w:szCs w:val="20"/>
        </w:rPr>
      </w:pPr>
    </w:p>
    <w:p w14:paraId="276FC604" w14:textId="77777777" w:rsidR="00684810" w:rsidRPr="00A40660" w:rsidRDefault="00684810" w:rsidP="00684810">
      <w:pPr>
        <w:jc w:val="center"/>
        <w:rPr>
          <w:rFonts w:cs="Arial"/>
          <w:b/>
          <w:bCs/>
          <w:szCs w:val="20"/>
        </w:rPr>
      </w:pPr>
      <w:r w:rsidRPr="00A40660">
        <w:rPr>
          <w:rFonts w:cs="Arial"/>
          <w:b/>
          <w:bCs/>
          <w:szCs w:val="20"/>
        </w:rPr>
        <w:t>Predloga za predložitev podatkov v obravnavo Komisiji</w:t>
      </w:r>
    </w:p>
    <w:p w14:paraId="060C45DF" w14:textId="61F8D399" w:rsidR="00684810" w:rsidRPr="00A40660" w:rsidRDefault="00684810" w:rsidP="00684810">
      <w:pPr>
        <w:jc w:val="center"/>
        <w:rPr>
          <w:rFonts w:cs="Arial"/>
          <w:b/>
          <w:bCs/>
          <w:szCs w:val="20"/>
        </w:rPr>
      </w:pPr>
      <w:r w:rsidRPr="00A40660">
        <w:rPr>
          <w:rFonts w:cs="Arial"/>
          <w:b/>
          <w:bCs/>
          <w:szCs w:val="20"/>
        </w:rPr>
        <w:t xml:space="preserve">(Člen </w:t>
      </w:r>
      <w:r w:rsidR="00AB07E6">
        <w:rPr>
          <w:rFonts w:cs="Arial"/>
          <w:b/>
          <w:bCs/>
          <w:szCs w:val="20"/>
        </w:rPr>
        <w:t>95</w:t>
      </w:r>
      <w:r w:rsidRPr="00A40660">
        <w:rPr>
          <w:rFonts w:cs="Arial"/>
          <w:b/>
          <w:bCs/>
          <w:szCs w:val="20"/>
        </w:rPr>
        <w:t>)</w:t>
      </w:r>
    </w:p>
    <w:p w14:paraId="1FE13B41" w14:textId="77777777" w:rsidR="00684810" w:rsidRPr="00A40660" w:rsidRDefault="00684810" w:rsidP="00684810">
      <w:pPr>
        <w:rPr>
          <w:rFonts w:cs="Arial"/>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91"/>
      </w:tblGrid>
      <w:tr w:rsidR="00684810" w:rsidRPr="00A40660" w14:paraId="688100E0" w14:textId="77777777" w:rsidTr="00A91054">
        <w:trPr>
          <w:trHeight w:val="109"/>
        </w:trPr>
        <w:tc>
          <w:tcPr>
            <w:tcW w:w="2691" w:type="dxa"/>
          </w:tcPr>
          <w:p w14:paraId="1EAAEBC8" w14:textId="77777777" w:rsidR="00684810" w:rsidRPr="00A40660" w:rsidRDefault="00684810" w:rsidP="00A91054">
            <w:pPr>
              <w:autoSpaceDE w:val="0"/>
              <w:autoSpaceDN w:val="0"/>
              <w:adjustRightInd w:val="0"/>
              <w:spacing w:line="240" w:lineRule="auto"/>
              <w:rPr>
                <w:rFonts w:eastAsiaTheme="minorHAnsi" w:cs="Arial"/>
                <w:color w:val="000000"/>
                <w:szCs w:val="20"/>
              </w:rPr>
            </w:pPr>
            <w:r w:rsidRPr="00A40660">
              <w:rPr>
                <w:rFonts w:eastAsiaTheme="minorHAnsi" w:cs="Arial"/>
                <w:color w:val="000000"/>
                <w:szCs w:val="20"/>
              </w:rPr>
              <w:t xml:space="preserve">Datum predložitve predloga </w:t>
            </w:r>
          </w:p>
        </w:tc>
        <w:tc>
          <w:tcPr>
            <w:tcW w:w="2691" w:type="dxa"/>
          </w:tcPr>
          <w:p w14:paraId="1E240FDB" w14:textId="77777777" w:rsidR="00684810" w:rsidRPr="00A40660" w:rsidRDefault="00684810" w:rsidP="00A91054">
            <w:pPr>
              <w:autoSpaceDE w:val="0"/>
              <w:autoSpaceDN w:val="0"/>
              <w:adjustRightInd w:val="0"/>
              <w:spacing w:line="240" w:lineRule="auto"/>
              <w:rPr>
                <w:rFonts w:eastAsiaTheme="minorHAnsi" w:cs="Arial"/>
                <w:color w:val="000000"/>
                <w:szCs w:val="20"/>
              </w:rPr>
            </w:pPr>
          </w:p>
        </w:tc>
      </w:tr>
      <w:tr w:rsidR="00684810" w:rsidRPr="00A40660" w14:paraId="031113B5" w14:textId="77777777" w:rsidTr="00A91054">
        <w:trPr>
          <w:trHeight w:val="109"/>
        </w:trPr>
        <w:tc>
          <w:tcPr>
            <w:tcW w:w="2691" w:type="dxa"/>
          </w:tcPr>
          <w:p w14:paraId="380B73AF" w14:textId="77777777" w:rsidR="00684810" w:rsidRPr="00A40660" w:rsidRDefault="00684810" w:rsidP="00A91054">
            <w:pPr>
              <w:autoSpaceDE w:val="0"/>
              <w:autoSpaceDN w:val="0"/>
              <w:adjustRightInd w:val="0"/>
              <w:spacing w:line="240" w:lineRule="auto"/>
              <w:rPr>
                <w:rFonts w:eastAsiaTheme="minorHAnsi" w:cs="Arial"/>
                <w:color w:val="000000"/>
                <w:szCs w:val="20"/>
              </w:rPr>
            </w:pPr>
            <w:r w:rsidRPr="00A40660">
              <w:rPr>
                <w:rFonts w:eastAsiaTheme="minorHAnsi" w:cs="Arial"/>
                <w:color w:val="000000"/>
                <w:szCs w:val="20"/>
              </w:rPr>
              <w:t xml:space="preserve">Trenutna različica </w:t>
            </w:r>
          </w:p>
        </w:tc>
        <w:tc>
          <w:tcPr>
            <w:tcW w:w="2691" w:type="dxa"/>
          </w:tcPr>
          <w:p w14:paraId="2A61C00A" w14:textId="77777777" w:rsidR="00684810" w:rsidRPr="00A40660" w:rsidRDefault="00684810" w:rsidP="00A91054">
            <w:pPr>
              <w:autoSpaceDE w:val="0"/>
              <w:autoSpaceDN w:val="0"/>
              <w:adjustRightInd w:val="0"/>
              <w:spacing w:line="240" w:lineRule="auto"/>
              <w:rPr>
                <w:rFonts w:eastAsiaTheme="minorHAnsi" w:cs="Arial"/>
                <w:color w:val="000000"/>
                <w:szCs w:val="20"/>
              </w:rPr>
            </w:pPr>
          </w:p>
        </w:tc>
      </w:tr>
    </w:tbl>
    <w:p w14:paraId="412DB296" w14:textId="77777777" w:rsidR="00684810" w:rsidRPr="00A40660" w:rsidRDefault="00684810" w:rsidP="00684810">
      <w:pPr>
        <w:rPr>
          <w:rFonts w:cs="Arial"/>
          <w:b/>
          <w:bCs/>
          <w:szCs w:val="20"/>
        </w:rPr>
      </w:pPr>
    </w:p>
    <w:p w14:paraId="1129084D" w14:textId="77777777" w:rsidR="00684810" w:rsidRPr="00A40660" w:rsidRDefault="00684810" w:rsidP="00684810">
      <w:pPr>
        <w:rPr>
          <w:rFonts w:cs="Arial"/>
          <w:b/>
          <w:bCs/>
          <w:szCs w:val="20"/>
        </w:rPr>
      </w:pPr>
    </w:p>
    <w:p w14:paraId="6E303A5A" w14:textId="77777777" w:rsidR="00684810" w:rsidRPr="00A40660" w:rsidRDefault="00684810" w:rsidP="00684810">
      <w:pPr>
        <w:rPr>
          <w:rFonts w:cs="Arial"/>
          <w:b/>
          <w:bCs/>
          <w:szCs w:val="20"/>
        </w:rPr>
      </w:pPr>
      <w:r w:rsidRPr="00A40660">
        <w:rPr>
          <w:rFonts w:cs="Arial"/>
          <w:b/>
          <w:bCs/>
          <w:szCs w:val="20"/>
        </w:rPr>
        <w:t>A. Povzetek glavnih elementov</w:t>
      </w:r>
    </w:p>
    <w:p w14:paraId="4B3B7A5E" w14:textId="77777777" w:rsidR="00684810" w:rsidRPr="00A40660" w:rsidRDefault="00684810" w:rsidP="00684810">
      <w:pPr>
        <w:rPr>
          <w:rFonts w:cs="Arial"/>
          <w:b/>
          <w:bCs/>
          <w:szCs w:val="20"/>
        </w:rPr>
      </w:pPr>
    </w:p>
    <w:tbl>
      <w:tblPr>
        <w:tblStyle w:val="Tabelamrea"/>
        <w:tblW w:w="0" w:type="auto"/>
        <w:tblLook w:val="04A0" w:firstRow="1" w:lastRow="0" w:firstColumn="1" w:lastColumn="0" w:noHBand="0" w:noVBand="1"/>
      </w:tblPr>
      <w:tblGrid>
        <w:gridCol w:w="1540"/>
        <w:gridCol w:w="750"/>
        <w:gridCol w:w="1917"/>
        <w:gridCol w:w="2701"/>
        <w:gridCol w:w="1161"/>
        <w:gridCol w:w="2601"/>
        <w:gridCol w:w="946"/>
        <w:gridCol w:w="873"/>
        <w:gridCol w:w="1506"/>
      </w:tblGrid>
      <w:tr w:rsidR="00684810" w:rsidRPr="00A40660" w14:paraId="4CEFF96C" w14:textId="77777777" w:rsidTr="005E683D">
        <w:tc>
          <w:tcPr>
            <w:tcW w:w="0" w:type="auto"/>
          </w:tcPr>
          <w:p w14:paraId="43D242BD" w14:textId="77777777" w:rsidR="00684810" w:rsidRPr="00610A3A" w:rsidRDefault="00684810" w:rsidP="00A91054">
            <w:pPr>
              <w:rPr>
                <w:rFonts w:cs="Arial"/>
                <w:b/>
                <w:bCs/>
                <w:szCs w:val="20"/>
                <w:lang w:val="sl-SI"/>
              </w:rPr>
            </w:pPr>
            <w:r w:rsidRPr="00610A3A">
              <w:rPr>
                <w:rFonts w:cs="Arial"/>
                <w:b/>
                <w:bCs/>
                <w:szCs w:val="20"/>
                <w:lang w:val="sl-SI"/>
              </w:rPr>
              <w:t>Prednostna naloga</w:t>
            </w:r>
          </w:p>
        </w:tc>
        <w:tc>
          <w:tcPr>
            <w:tcW w:w="0" w:type="auto"/>
          </w:tcPr>
          <w:p w14:paraId="74571749" w14:textId="77777777" w:rsidR="00684810" w:rsidRPr="00610A3A" w:rsidRDefault="00684810" w:rsidP="00A91054">
            <w:pPr>
              <w:rPr>
                <w:rFonts w:cs="Arial"/>
                <w:b/>
                <w:bCs/>
                <w:szCs w:val="20"/>
                <w:lang w:val="sl-SI"/>
              </w:rPr>
            </w:pPr>
            <w:r w:rsidRPr="00610A3A">
              <w:rPr>
                <w:rFonts w:cs="Arial"/>
                <w:b/>
                <w:bCs/>
                <w:szCs w:val="20"/>
                <w:lang w:val="sl-SI"/>
              </w:rPr>
              <w:t>Sklad</w:t>
            </w:r>
          </w:p>
        </w:tc>
        <w:tc>
          <w:tcPr>
            <w:tcW w:w="0" w:type="auto"/>
          </w:tcPr>
          <w:p w14:paraId="4C25486D" w14:textId="77777777" w:rsidR="00684810" w:rsidRPr="00610A3A" w:rsidRDefault="00684810" w:rsidP="00A91054">
            <w:pPr>
              <w:rPr>
                <w:rFonts w:cs="Arial"/>
                <w:b/>
                <w:bCs/>
                <w:szCs w:val="20"/>
                <w:lang w:val="sl-SI"/>
              </w:rPr>
            </w:pPr>
            <w:r w:rsidRPr="00610A3A">
              <w:rPr>
                <w:rFonts w:cs="Arial"/>
                <w:b/>
                <w:bCs/>
                <w:szCs w:val="20"/>
                <w:lang w:val="sl-SI"/>
              </w:rPr>
              <w:t xml:space="preserve">Specifični cilj ali področje podpore </w:t>
            </w:r>
          </w:p>
        </w:tc>
        <w:tc>
          <w:tcPr>
            <w:tcW w:w="0" w:type="auto"/>
          </w:tcPr>
          <w:p w14:paraId="4D584FA5" w14:textId="77777777" w:rsidR="00684810" w:rsidRPr="00610A3A" w:rsidRDefault="00684810" w:rsidP="00684810">
            <w:pPr>
              <w:rPr>
                <w:rFonts w:cs="Arial"/>
                <w:b/>
                <w:bCs/>
                <w:szCs w:val="20"/>
                <w:lang w:val="sl-SI"/>
              </w:rPr>
            </w:pPr>
            <w:r w:rsidRPr="00610A3A">
              <w:rPr>
                <w:rFonts w:cs="Arial"/>
                <w:b/>
                <w:bCs/>
                <w:szCs w:val="20"/>
                <w:lang w:val="sl-SI"/>
              </w:rPr>
              <w:t>Znesek, ki ga krije financiranje, ki ni povezano s stroški</w:t>
            </w:r>
          </w:p>
        </w:tc>
        <w:tc>
          <w:tcPr>
            <w:tcW w:w="0" w:type="auto"/>
          </w:tcPr>
          <w:p w14:paraId="4FF442CF" w14:textId="77777777" w:rsidR="00684810" w:rsidRPr="00610A3A" w:rsidRDefault="00684810" w:rsidP="00684810">
            <w:pPr>
              <w:rPr>
                <w:rFonts w:cs="Arial"/>
                <w:b/>
                <w:bCs/>
                <w:szCs w:val="20"/>
                <w:lang w:val="sl-SI"/>
              </w:rPr>
            </w:pPr>
            <w:r w:rsidRPr="00610A3A">
              <w:rPr>
                <w:rFonts w:cs="Arial"/>
                <w:b/>
                <w:bCs/>
                <w:szCs w:val="20"/>
                <w:lang w:val="sl-SI"/>
              </w:rPr>
              <w:t>Vrste operacij</w:t>
            </w:r>
          </w:p>
        </w:tc>
        <w:tc>
          <w:tcPr>
            <w:tcW w:w="0" w:type="auto"/>
          </w:tcPr>
          <w:p w14:paraId="68B3DF2E" w14:textId="77777777" w:rsidR="00684810" w:rsidRPr="00610A3A" w:rsidRDefault="00684810" w:rsidP="00684810">
            <w:pPr>
              <w:rPr>
                <w:rFonts w:cs="Arial"/>
                <w:b/>
                <w:bCs/>
                <w:szCs w:val="20"/>
                <w:lang w:val="sl-SI"/>
              </w:rPr>
            </w:pPr>
            <w:r w:rsidRPr="00610A3A">
              <w:rPr>
                <w:rFonts w:cs="Arial"/>
                <w:b/>
                <w:bCs/>
                <w:szCs w:val="20"/>
                <w:lang w:val="sl-SI"/>
              </w:rPr>
              <w:t>Pogoji, ki jih je treba izpolniti / rezultati, ki jih je treba doseči</w:t>
            </w:r>
          </w:p>
        </w:tc>
        <w:tc>
          <w:tcPr>
            <w:tcW w:w="0" w:type="auto"/>
            <w:gridSpan w:val="2"/>
          </w:tcPr>
          <w:p w14:paraId="5785DBB3" w14:textId="77777777" w:rsidR="00684810" w:rsidRPr="00610A3A" w:rsidRDefault="00684810" w:rsidP="00684810">
            <w:pPr>
              <w:rPr>
                <w:rFonts w:cs="Arial"/>
                <w:b/>
                <w:bCs/>
                <w:szCs w:val="20"/>
                <w:lang w:val="sl-SI"/>
              </w:rPr>
            </w:pPr>
            <w:r w:rsidRPr="00610A3A">
              <w:rPr>
                <w:rFonts w:cs="Arial"/>
                <w:b/>
                <w:bCs/>
                <w:szCs w:val="20"/>
                <w:lang w:val="sl-SI"/>
              </w:rPr>
              <w:t>Ustrezna imena kazalnikov</w:t>
            </w:r>
          </w:p>
        </w:tc>
        <w:tc>
          <w:tcPr>
            <w:tcW w:w="0" w:type="auto"/>
          </w:tcPr>
          <w:p w14:paraId="454A42C3" w14:textId="77777777" w:rsidR="00684810" w:rsidRPr="00610A3A" w:rsidRDefault="00684810" w:rsidP="00684810">
            <w:pPr>
              <w:rPr>
                <w:rFonts w:cs="Arial"/>
                <w:b/>
                <w:bCs/>
                <w:szCs w:val="20"/>
                <w:lang w:val="sl-SI"/>
              </w:rPr>
            </w:pPr>
            <w:r w:rsidRPr="00610A3A">
              <w:rPr>
                <w:rFonts w:cs="Arial"/>
                <w:b/>
                <w:bCs/>
                <w:szCs w:val="20"/>
                <w:lang w:val="sl-SI"/>
              </w:rPr>
              <w:t>Merska enota za kazalnik</w:t>
            </w:r>
          </w:p>
        </w:tc>
      </w:tr>
      <w:tr w:rsidR="00684810" w:rsidRPr="00A40660" w14:paraId="55E54DA0" w14:textId="77777777" w:rsidTr="005E683D">
        <w:tc>
          <w:tcPr>
            <w:tcW w:w="0" w:type="auto"/>
          </w:tcPr>
          <w:p w14:paraId="2D40821F" w14:textId="7F31ABBF" w:rsidR="00684810" w:rsidRPr="00610A3A" w:rsidRDefault="00684810" w:rsidP="00684810">
            <w:pPr>
              <w:rPr>
                <w:rFonts w:cs="Arial"/>
                <w:b/>
                <w:bCs/>
                <w:szCs w:val="20"/>
                <w:lang w:val="sl-SI"/>
              </w:rPr>
            </w:pPr>
          </w:p>
        </w:tc>
        <w:tc>
          <w:tcPr>
            <w:tcW w:w="0" w:type="auto"/>
          </w:tcPr>
          <w:p w14:paraId="1ECCA998" w14:textId="4AFF2F60" w:rsidR="00684810" w:rsidRPr="00610A3A" w:rsidRDefault="00684810" w:rsidP="00684810">
            <w:pPr>
              <w:rPr>
                <w:rFonts w:cs="Arial"/>
                <w:b/>
                <w:bCs/>
                <w:szCs w:val="20"/>
                <w:lang w:val="sl-SI"/>
              </w:rPr>
            </w:pPr>
          </w:p>
        </w:tc>
        <w:tc>
          <w:tcPr>
            <w:tcW w:w="0" w:type="auto"/>
          </w:tcPr>
          <w:p w14:paraId="2C92E6E4" w14:textId="77777777" w:rsidR="00684810" w:rsidRPr="00610A3A" w:rsidRDefault="00684810" w:rsidP="00684810">
            <w:pPr>
              <w:rPr>
                <w:rFonts w:cs="Arial"/>
                <w:b/>
                <w:bCs/>
                <w:szCs w:val="20"/>
                <w:lang w:val="sl-SI"/>
              </w:rPr>
            </w:pPr>
          </w:p>
        </w:tc>
        <w:tc>
          <w:tcPr>
            <w:tcW w:w="0" w:type="auto"/>
          </w:tcPr>
          <w:p w14:paraId="1AB074EC" w14:textId="77777777" w:rsidR="00684810" w:rsidRPr="00610A3A" w:rsidRDefault="00684810" w:rsidP="00684810">
            <w:pPr>
              <w:rPr>
                <w:rFonts w:cs="Arial"/>
                <w:b/>
                <w:bCs/>
                <w:szCs w:val="20"/>
                <w:lang w:val="sl-SI"/>
              </w:rPr>
            </w:pPr>
          </w:p>
        </w:tc>
        <w:tc>
          <w:tcPr>
            <w:tcW w:w="0" w:type="auto"/>
          </w:tcPr>
          <w:p w14:paraId="7E824F22" w14:textId="77777777" w:rsidR="00684810" w:rsidRPr="00610A3A" w:rsidRDefault="00684810" w:rsidP="00684810">
            <w:pPr>
              <w:rPr>
                <w:rFonts w:cs="Arial"/>
                <w:b/>
                <w:bCs/>
                <w:szCs w:val="20"/>
                <w:lang w:val="sl-SI"/>
              </w:rPr>
            </w:pPr>
          </w:p>
        </w:tc>
        <w:tc>
          <w:tcPr>
            <w:tcW w:w="0" w:type="auto"/>
          </w:tcPr>
          <w:p w14:paraId="6822BD8A" w14:textId="7D6B44AD" w:rsidR="00684810" w:rsidRPr="00610A3A" w:rsidRDefault="00684810" w:rsidP="00684810">
            <w:pPr>
              <w:rPr>
                <w:rFonts w:cs="Arial"/>
                <w:b/>
                <w:bCs/>
                <w:szCs w:val="20"/>
                <w:lang w:val="sl-SI"/>
              </w:rPr>
            </w:pPr>
          </w:p>
        </w:tc>
        <w:tc>
          <w:tcPr>
            <w:tcW w:w="0" w:type="auto"/>
          </w:tcPr>
          <w:p w14:paraId="17CE5072" w14:textId="77777777" w:rsidR="00684810" w:rsidRPr="00610A3A" w:rsidRDefault="00A84F30" w:rsidP="00684810">
            <w:pPr>
              <w:rPr>
                <w:rFonts w:cs="Arial"/>
                <w:b/>
                <w:bCs/>
                <w:szCs w:val="20"/>
                <w:lang w:val="sl-SI"/>
              </w:rPr>
            </w:pPr>
            <w:r w:rsidRPr="00610A3A">
              <w:rPr>
                <w:rFonts w:cs="Arial"/>
                <w:b/>
                <w:bCs/>
                <w:szCs w:val="20"/>
                <w:lang w:val="sl-SI"/>
              </w:rPr>
              <w:t>Koda</w:t>
            </w:r>
          </w:p>
        </w:tc>
        <w:tc>
          <w:tcPr>
            <w:tcW w:w="0" w:type="auto"/>
          </w:tcPr>
          <w:p w14:paraId="60F0DBCF" w14:textId="77777777" w:rsidR="00684810" w:rsidRPr="00610A3A" w:rsidRDefault="00A84F30" w:rsidP="00684810">
            <w:pPr>
              <w:rPr>
                <w:rFonts w:cs="Arial"/>
                <w:b/>
                <w:bCs/>
                <w:szCs w:val="20"/>
                <w:lang w:val="sl-SI"/>
              </w:rPr>
            </w:pPr>
            <w:r w:rsidRPr="00610A3A">
              <w:rPr>
                <w:rFonts w:cs="Arial"/>
                <w:b/>
                <w:bCs/>
                <w:szCs w:val="20"/>
                <w:lang w:val="sl-SI"/>
              </w:rPr>
              <w:t>Opis</w:t>
            </w:r>
          </w:p>
        </w:tc>
        <w:tc>
          <w:tcPr>
            <w:tcW w:w="0" w:type="auto"/>
          </w:tcPr>
          <w:p w14:paraId="132D8F76" w14:textId="77777777" w:rsidR="00684810" w:rsidRPr="00610A3A" w:rsidRDefault="00684810" w:rsidP="00684810">
            <w:pPr>
              <w:rPr>
                <w:rFonts w:cs="Arial"/>
                <w:b/>
                <w:bCs/>
                <w:szCs w:val="20"/>
                <w:lang w:val="sl-SI"/>
              </w:rPr>
            </w:pPr>
          </w:p>
        </w:tc>
      </w:tr>
      <w:tr w:rsidR="00684810" w:rsidRPr="00A40660" w14:paraId="1CEDDBAB" w14:textId="77777777" w:rsidTr="005E683D">
        <w:tc>
          <w:tcPr>
            <w:tcW w:w="0" w:type="auto"/>
          </w:tcPr>
          <w:p w14:paraId="58DFCFF6" w14:textId="417229C9" w:rsidR="00684810" w:rsidRPr="00610A3A" w:rsidRDefault="00684810" w:rsidP="00684810">
            <w:pPr>
              <w:rPr>
                <w:rFonts w:cs="Arial"/>
                <w:szCs w:val="20"/>
                <w:lang w:val="sl-SI"/>
              </w:rPr>
            </w:pPr>
          </w:p>
        </w:tc>
        <w:tc>
          <w:tcPr>
            <w:tcW w:w="0" w:type="auto"/>
          </w:tcPr>
          <w:p w14:paraId="1D39EC3B" w14:textId="4C2141EC" w:rsidR="00684810" w:rsidRPr="00610A3A" w:rsidRDefault="00684810" w:rsidP="00684810">
            <w:pPr>
              <w:rPr>
                <w:rFonts w:cs="Arial"/>
                <w:szCs w:val="20"/>
                <w:lang w:val="sl-SI"/>
              </w:rPr>
            </w:pPr>
          </w:p>
        </w:tc>
        <w:tc>
          <w:tcPr>
            <w:tcW w:w="0" w:type="auto"/>
          </w:tcPr>
          <w:p w14:paraId="5228616F" w14:textId="146C8CCB" w:rsidR="00684810" w:rsidRPr="00610A3A" w:rsidRDefault="00684810" w:rsidP="00684810">
            <w:pPr>
              <w:rPr>
                <w:rFonts w:cs="Arial"/>
                <w:szCs w:val="20"/>
                <w:lang w:val="sl-SI"/>
              </w:rPr>
            </w:pPr>
          </w:p>
        </w:tc>
        <w:tc>
          <w:tcPr>
            <w:tcW w:w="0" w:type="auto"/>
          </w:tcPr>
          <w:p w14:paraId="722EBC88" w14:textId="41064E2B" w:rsidR="00684810" w:rsidRPr="00610A3A" w:rsidRDefault="00684810" w:rsidP="00684810">
            <w:pPr>
              <w:rPr>
                <w:rFonts w:cs="Arial"/>
                <w:szCs w:val="20"/>
                <w:lang w:val="sl-SI"/>
              </w:rPr>
            </w:pPr>
          </w:p>
        </w:tc>
        <w:tc>
          <w:tcPr>
            <w:tcW w:w="0" w:type="auto"/>
          </w:tcPr>
          <w:p w14:paraId="0603AC1D" w14:textId="5D6A94AA" w:rsidR="00684810" w:rsidRPr="00610A3A" w:rsidRDefault="00684810" w:rsidP="00684810">
            <w:pPr>
              <w:rPr>
                <w:rFonts w:cs="Arial"/>
                <w:szCs w:val="20"/>
                <w:lang w:val="sl-SI"/>
              </w:rPr>
            </w:pPr>
          </w:p>
        </w:tc>
        <w:tc>
          <w:tcPr>
            <w:tcW w:w="0" w:type="auto"/>
          </w:tcPr>
          <w:p w14:paraId="55EE8E01" w14:textId="1612D228" w:rsidR="00684810" w:rsidRPr="00610A3A" w:rsidRDefault="00684810" w:rsidP="00684810">
            <w:pPr>
              <w:rPr>
                <w:rFonts w:cs="Arial"/>
                <w:szCs w:val="20"/>
                <w:lang w:val="sl-SI"/>
              </w:rPr>
            </w:pPr>
          </w:p>
        </w:tc>
        <w:tc>
          <w:tcPr>
            <w:tcW w:w="0" w:type="auto"/>
          </w:tcPr>
          <w:p w14:paraId="3BCAA26B" w14:textId="77777777" w:rsidR="00684810" w:rsidRPr="00610A3A" w:rsidRDefault="00684810" w:rsidP="00684810">
            <w:pPr>
              <w:rPr>
                <w:rFonts w:cs="Arial"/>
                <w:szCs w:val="20"/>
                <w:lang w:val="sl-SI"/>
              </w:rPr>
            </w:pPr>
          </w:p>
        </w:tc>
        <w:tc>
          <w:tcPr>
            <w:tcW w:w="0" w:type="auto"/>
          </w:tcPr>
          <w:p w14:paraId="67C5A57B" w14:textId="77777777" w:rsidR="00684810" w:rsidRPr="00610A3A" w:rsidRDefault="00684810" w:rsidP="00684810">
            <w:pPr>
              <w:rPr>
                <w:rFonts w:cs="Arial"/>
                <w:szCs w:val="20"/>
                <w:lang w:val="sl-SI"/>
              </w:rPr>
            </w:pPr>
          </w:p>
        </w:tc>
        <w:tc>
          <w:tcPr>
            <w:tcW w:w="0" w:type="auto"/>
          </w:tcPr>
          <w:p w14:paraId="246A4BE2" w14:textId="6A91186E" w:rsidR="00684810" w:rsidRPr="00610A3A" w:rsidRDefault="00684810" w:rsidP="00684810">
            <w:pPr>
              <w:rPr>
                <w:rFonts w:cs="Arial"/>
                <w:szCs w:val="20"/>
                <w:lang w:val="sl-SI"/>
              </w:rPr>
            </w:pPr>
          </w:p>
        </w:tc>
      </w:tr>
      <w:tr w:rsidR="00684810" w:rsidRPr="00A40660" w14:paraId="19B69CF2" w14:textId="77777777" w:rsidTr="005E683D">
        <w:tc>
          <w:tcPr>
            <w:tcW w:w="0" w:type="auto"/>
          </w:tcPr>
          <w:p w14:paraId="6C10FC4B" w14:textId="77777777" w:rsidR="00684810" w:rsidRPr="00610A3A" w:rsidRDefault="00684810" w:rsidP="00684810">
            <w:pPr>
              <w:rPr>
                <w:rFonts w:cs="Arial"/>
                <w:szCs w:val="20"/>
                <w:lang w:val="sl-SI"/>
              </w:rPr>
            </w:pPr>
          </w:p>
        </w:tc>
        <w:tc>
          <w:tcPr>
            <w:tcW w:w="0" w:type="auto"/>
          </w:tcPr>
          <w:p w14:paraId="62ABCCE5" w14:textId="77777777" w:rsidR="00684810" w:rsidRPr="00610A3A" w:rsidRDefault="00684810" w:rsidP="00684810">
            <w:pPr>
              <w:rPr>
                <w:rFonts w:cs="Arial"/>
                <w:szCs w:val="20"/>
                <w:lang w:val="sl-SI"/>
              </w:rPr>
            </w:pPr>
          </w:p>
        </w:tc>
        <w:tc>
          <w:tcPr>
            <w:tcW w:w="0" w:type="auto"/>
          </w:tcPr>
          <w:p w14:paraId="73E04C93" w14:textId="77777777" w:rsidR="00684810" w:rsidRPr="00610A3A" w:rsidRDefault="00684810" w:rsidP="00684810">
            <w:pPr>
              <w:rPr>
                <w:rFonts w:cs="Arial"/>
                <w:szCs w:val="20"/>
                <w:lang w:val="sl-SI"/>
              </w:rPr>
            </w:pPr>
          </w:p>
        </w:tc>
        <w:tc>
          <w:tcPr>
            <w:tcW w:w="0" w:type="auto"/>
          </w:tcPr>
          <w:p w14:paraId="7EE68601" w14:textId="77777777" w:rsidR="00684810" w:rsidRPr="00610A3A" w:rsidRDefault="00684810" w:rsidP="00684810">
            <w:pPr>
              <w:rPr>
                <w:rFonts w:cs="Arial"/>
                <w:szCs w:val="20"/>
                <w:lang w:val="sl-SI"/>
              </w:rPr>
            </w:pPr>
          </w:p>
        </w:tc>
        <w:tc>
          <w:tcPr>
            <w:tcW w:w="0" w:type="auto"/>
          </w:tcPr>
          <w:p w14:paraId="6CAFD610" w14:textId="77777777" w:rsidR="00684810" w:rsidRPr="00610A3A" w:rsidRDefault="00684810" w:rsidP="00684810">
            <w:pPr>
              <w:rPr>
                <w:rFonts w:cs="Arial"/>
                <w:szCs w:val="20"/>
                <w:lang w:val="sl-SI"/>
              </w:rPr>
            </w:pPr>
          </w:p>
        </w:tc>
        <w:tc>
          <w:tcPr>
            <w:tcW w:w="0" w:type="auto"/>
          </w:tcPr>
          <w:p w14:paraId="30B40DD6" w14:textId="77777777" w:rsidR="00684810" w:rsidRPr="00610A3A" w:rsidRDefault="00684810" w:rsidP="00684810">
            <w:pPr>
              <w:rPr>
                <w:rFonts w:cs="Arial"/>
                <w:szCs w:val="20"/>
                <w:lang w:val="sl-SI"/>
              </w:rPr>
            </w:pPr>
          </w:p>
        </w:tc>
        <w:tc>
          <w:tcPr>
            <w:tcW w:w="0" w:type="auto"/>
          </w:tcPr>
          <w:p w14:paraId="0683A57C" w14:textId="77777777" w:rsidR="00684810" w:rsidRPr="00610A3A" w:rsidRDefault="00684810" w:rsidP="00684810">
            <w:pPr>
              <w:rPr>
                <w:rFonts w:cs="Arial"/>
                <w:szCs w:val="20"/>
                <w:lang w:val="sl-SI"/>
              </w:rPr>
            </w:pPr>
          </w:p>
        </w:tc>
        <w:tc>
          <w:tcPr>
            <w:tcW w:w="0" w:type="auto"/>
          </w:tcPr>
          <w:p w14:paraId="03703841" w14:textId="77777777" w:rsidR="00684810" w:rsidRPr="00610A3A" w:rsidRDefault="00684810" w:rsidP="00684810">
            <w:pPr>
              <w:rPr>
                <w:rFonts w:cs="Arial"/>
                <w:szCs w:val="20"/>
                <w:lang w:val="sl-SI"/>
              </w:rPr>
            </w:pPr>
          </w:p>
        </w:tc>
        <w:tc>
          <w:tcPr>
            <w:tcW w:w="0" w:type="auto"/>
          </w:tcPr>
          <w:p w14:paraId="032ABD8E" w14:textId="77777777" w:rsidR="00684810" w:rsidRPr="00610A3A" w:rsidRDefault="00684810" w:rsidP="00684810">
            <w:pPr>
              <w:rPr>
                <w:rFonts w:cs="Arial"/>
                <w:szCs w:val="20"/>
                <w:lang w:val="sl-SI"/>
              </w:rPr>
            </w:pPr>
          </w:p>
        </w:tc>
      </w:tr>
      <w:tr w:rsidR="00684810" w:rsidRPr="00A40660" w14:paraId="5BAF50B0" w14:textId="77777777" w:rsidTr="005E683D">
        <w:tc>
          <w:tcPr>
            <w:tcW w:w="0" w:type="auto"/>
          </w:tcPr>
          <w:p w14:paraId="0DAFB7C7" w14:textId="77777777" w:rsidR="00684810" w:rsidRPr="00610A3A" w:rsidRDefault="00684810" w:rsidP="00684810">
            <w:pPr>
              <w:rPr>
                <w:rFonts w:cs="Arial"/>
                <w:b/>
                <w:bCs/>
                <w:szCs w:val="20"/>
                <w:lang w:val="sl-SI"/>
              </w:rPr>
            </w:pPr>
          </w:p>
        </w:tc>
        <w:tc>
          <w:tcPr>
            <w:tcW w:w="0" w:type="auto"/>
          </w:tcPr>
          <w:p w14:paraId="2929F8D4" w14:textId="77777777" w:rsidR="00684810" w:rsidRPr="00610A3A" w:rsidRDefault="00684810" w:rsidP="00684810">
            <w:pPr>
              <w:rPr>
                <w:rFonts w:cs="Arial"/>
                <w:b/>
                <w:bCs/>
                <w:szCs w:val="20"/>
                <w:lang w:val="sl-SI"/>
              </w:rPr>
            </w:pPr>
          </w:p>
        </w:tc>
        <w:tc>
          <w:tcPr>
            <w:tcW w:w="0" w:type="auto"/>
          </w:tcPr>
          <w:p w14:paraId="4A3BA4F2" w14:textId="77777777" w:rsidR="00684810" w:rsidRPr="00610A3A" w:rsidRDefault="00684810" w:rsidP="00684810">
            <w:pPr>
              <w:rPr>
                <w:rFonts w:cs="Arial"/>
                <w:b/>
                <w:bCs/>
                <w:szCs w:val="20"/>
                <w:lang w:val="sl-SI"/>
              </w:rPr>
            </w:pPr>
          </w:p>
        </w:tc>
        <w:tc>
          <w:tcPr>
            <w:tcW w:w="0" w:type="auto"/>
          </w:tcPr>
          <w:p w14:paraId="6D33C023" w14:textId="77777777" w:rsidR="00684810" w:rsidRPr="00610A3A" w:rsidRDefault="00684810" w:rsidP="00684810">
            <w:pPr>
              <w:rPr>
                <w:rFonts w:cs="Arial"/>
                <w:b/>
                <w:bCs/>
                <w:szCs w:val="20"/>
                <w:lang w:val="sl-SI"/>
              </w:rPr>
            </w:pPr>
          </w:p>
        </w:tc>
        <w:tc>
          <w:tcPr>
            <w:tcW w:w="0" w:type="auto"/>
          </w:tcPr>
          <w:p w14:paraId="755EF1F4" w14:textId="77777777" w:rsidR="00684810" w:rsidRPr="00610A3A" w:rsidRDefault="00684810" w:rsidP="00684810">
            <w:pPr>
              <w:rPr>
                <w:rFonts w:cs="Arial"/>
                <w:b/>
                <w:bCs/>
                <w:szCs w:val="20"/>
                <w:lang w:val="sl-SI"/>
              </w:rPr>
            </w:pPr>
          </w:p>
        </w:tc>
        <w:tc>
          <w:tcPr>
            <w:tcW w:w="0" w:type="auto"/>
          </w:tcPr>
          <w:p w14:paraId="56750591" w14:textId="77777777" w:rsidR="00684810" w:rsidRPr="00610A3A" w:rsidRDefault="00684810" w:rsidP="00684810">
            <w:pPr>
              <w:rPr>
                <w:rFonts w:cs="Arial"/>
                <w:b/>
                <w:bCs/>
                <w:szCs w:val="20"/>
                <w:lang w:val="sl-SI"/>
              </w:rPr>
            </w:pPr>
          </w:p>
        </w:tc>
        <w:tc>
          <w:tcPr>
            <w:tcW w:w="0" w:type="auto"/>
          </w:tcPr>
          <w:p w14:paraId="6263631E" w14:textId="77777777" w:rsidR="00684810" w:rsidRPr="00610A3A" w:rsidRDefault="00684810" w:rsidP="00684810">
            <w:pPr>
              <w:rPr>
                <w:rFonts w:cs="Arial"/>
                <w:b/>
                <w:bCs/>
                <w:szCs w:val="20"/>
                <w:lang w:val="sl-SI"/>
              </w:rPr>
            </w:pPr>
          </w:p>
        </w:tc>
        <w:tc>
          <w:tcPr>
            <w:tcW w:w="0" w:type="auto"/>
          </w:tcPr>
          <w:p w14:paraId="19DE4EC4" w14:textId="77777777" w:rsidR="00684810" w:rsidRPr="00610A3A" w:rsidRDefault="00684810" w:rsidP="00684810">
            <w:pPr>
              <w:rPr>
                <w:rFonts w:cs="Arial"/>
                <w:b/>
                <w:bCs/>
                <w:szCs w:val="20"/>
                <w:lang w:val="sl-SI"/>
              </w:rPr>
            </w:pPr>
          </w:p>
        </w:tc>
        <w:tc>
          <w:tcPr>
            <w:tcW w:w="0" w:type="auto"/>
          </w:tcPr>
          <w:p w14:paraId="00807904" w14:textId="77777777" w:rsidR="00684810" w:rsidRPr="00610A3A" w:rsidRDefault="00684810" w:rsidP="00684810">
            <w:pPr>
              <w:rPr>
                <w:rFonts w:cs="Arial"/>
                <w:b/>
                <w:bCs/>
                <w:szCs w:val="20"/>
                <w:lang w:val="sl-SI"/>
              </w:rPr>
            </w:pPr>
          </w:p>
        </w:tc>
      </w:tr>
      <w:tr w:rsidR="00684810" w:rsidRPr="00A40660" w14:paraId="1F82C1A8" w14:textId="77777777" w:rsidTr="005E683D">
        <w:tc>
          <w:tcPr>
            <w:tcW w:w="0" w:type="auto"/>
          </w:tcPr>
          <w:p w14:paraId="6FB75FA7" w14:textId="77777777" w:rsidR="00684810" w:rsidRPr="00610A3A" w:rsidRDefault="00684810" w:rsidP="00684810">
            <w:pPr>
              <w:rPr>
                <w:rFonts w:cs="Arial"/>
                <w:b/>
                <w:bCs/>
                <w:szCs w:val="20"/>
                <w:lang w:val="sl-SI"/>
              </w:rPr>
            </w:pPr>
          </w:p>
        </w:tc>
        <w:tc>
          <w:tcPr>
            <w:tcW w:w="0" w:type="auto"/>
          </w:tcPr>
          <w:p w14:paraId="68DD8EAA" w14:textId="77777777" w:rsidR="00684810" w:rsidRPr="00610A3A" w:rsidRDefault="00684810" w:rsidP="00684810">
            <w:pPr>
              <w:rPr>
                <w:rFonts w:cs="Arial"/>
                <w:b/>
                <w:bCs/>
                <w:szCs w:val="20"/>
                <w:lang w:val="sl-SI"/>
              </w:rPr>
            </w:pPr>
          </w:p>
        </w:tc>
        <w:tc>
          <w:tcPr>
            <w:tcW w:w="0" w:type="auto"/>
          </w:tcPr>
          <w:p w14:paraId="16B6F97C" w14:textId="77777777" w:rsidR="00684810" w:rsidRPr="00610A3A" w:rsidRDefault="00684810" w:rsidP="00684810">
            <w:pPr>
              <w:rPr>
                <w:rFonts w:cs="Arial"/>
                <w:b/>
                <w:bCs/>
                <w:szCs w:val="20"/>
                <w:lang w:val="sl-SI"/>
              </w:rPr>
            </w:pPr>
          </w:p>
        </w:tc>
        <w:tc>
          <w:tcPr>
            <w:tcW w:w="0" w:type="auto"/>
          </w:tcPr>
          <w:p w14:paraId="048DC8D7" w14:textId="77777777" w:rsidR="00684810" w:rsidRPr="00610A3A" w:rsidRDefault="00684810" w:rsidP="00684810">
            <w:pPr>
              <w:rPr>
                <w:rFonts w:cs="Arial"/>
                <w:b/>
                <w:bCs/>
                <w:szCs w:val="20"/>
                <w:lang w:val="sl-SI"/>
              </w:rPr>
            </w:pPr>
          </w:p>
        </w:tc>
        <w:tc>
          <w:tcPr>
            <w:tcW w:w="0" w:type="auto"/>
          </w:tcPr>
          <w:p w14:paraId="4E5E9BD3" w14:textId="77777777" w:rsidR="00684810" w:rsidRPr="00610A3A" w:rsidRDefault="00684810" w:rsidP="00684810">
            <w:pPr>
              <w:rPr>
                <w:rFonts w:cs="Arial"/>
                <w:b/>
                <w:bCs/>
                <w:szCs w:val="20"/>
                <w:lang w:val="sl-SI"/>
              </w:rPr>
            </w:pPr>
          </w:p>
        </w:tc>
        <w:tc>
          <w:tcPr>
            <w:tcW w:w="0" w:type="auto"/>
          </w:tcPr>
          <w:p w14:paraId="1E8CBE94" w14:textId="77777777" w:rsidR="00684810" w:rsidRPr="00610A3A" w:rsidRDefault="00684810" w:rsidP="00684810">
            <w:pPr>
              <w:rPr>
                <w:rFonts w:cs="Arial"/>
                <w:b/>
                <w:bCs/>
                <w:szCs w:val="20"/>
                <w:lang w:val="sl-SI"/>
              </w:rPr>
            </w:pPr>
          </w:p>
        </w:tc>
        <w:tc>
          <w:tcPr>
            <w:tcW w:w="0" w:type="auto"/>
          </w:tcPr>
          <w:p w14:paraId="1877EDD6" w14:textId="77777777" w:rsidR="00684810" w:rsidRPr="00610A3A" w:rsidRDefault="00684810" w:rsidP="00684810">
            <w:pPr>
              <w:rPr>
                <w:rFonts w:cs="Arial"/>
                <w:b/>
                <w:bCs/>
                <w:szCs w:val="20"/>
                <w:lang w:val="sl-SI"/>
              </w:rPr>
            </w:pPr>
          </w:p>
        </w:tc>
        <w:tc>
          <w:tcPr>
            <w:tcW w:w="0" w:type="auto"/>
          </w:tcPr>
          <w:p w14:paraId="4BEBFBD0" w14:textId="77777777" w:rsidR="00684810" w:rsidRPr="00610A3A" w:rsidRDefault="00684810" w:rsidP="00684810">
            <w:pPr>
              <w:rPr>
                <w:rFonts w:cs="Arial"/>
                <w:b/>
                <w:bCs/>
                <w:szCs w:val="20"/>
                <w:lang w:val="sl-SI"/>
              </w:rPr>
            </w:pPr>
          </w:p>
        </w:tc>
        <w:tc>
          <w:tcPr>
            <w:tcW w:w="0" w:type="auto"/>
          </w:tcPr>
          <w:p w14:paraId="372848EF" w14:textId="77777777" w:rsidR="00684810" w:rsidRPr="00610A3A" w:rsidRDefault="00684810" w:rsidP="00684810">
            <w:pPr>
              <w:rPr>
                <w:rFonts w:cs="Arial"/>
                <w:b/>
                <w:bCs/>
                <w:szCs w:val="20"/>
                <w:lang w:val="sl-SI"/>
              </w:rPr>
            </w:pPr>
          </w:p>
        </w:tc>
      </w:tr>
      <w:tr w:rsidR="00684810" w:rsidRPr="00A40660" w14:paraId="65CA7E03" w14:textId="77777777" w:rsidTr="005E683D">
        <w:tc>
          <w:tcPr>
            <w:tcW w:w="0" w:type="auto"/>
          </w:tcPr>
          <w:p w14:paraId="764C12C9" w14:textId="77777777" w:rsidR="00684810" w:rsidRPr="00610A3A" w:rsidRDefault="00684810" w:rsidP="00684810">
            <w:pPr>
              <w:rPr>
                <w:rFonts w:cs="Arial"/>
                <w:b/>
                <w:bCs/>
                <w:szCs w:val="20"/>
                <w:lang w:val="sl-SI"/>
              </w:rPr>
            </w:pPr>
          </w:p>
        </w:tc>
        <w:tc>
          <w:tcPr>
            <w:tcW w:w="0" w:type="auto"/>
          </w:tcPr>
          <w:p w14:paraId="5F79912B" w14:textId="77777777" w:rsidR="00684810" w:rsidRPr="00610A3A" w:rsidRDefault="00684810" w:rsidP="00684810">
            <w:pPr>
              <w:rPr>
                <w:rFonts w:cs="Arial"/>
                <w:b/>
                <w:bCs/>
                <w:szCs w:val="20"/>
                <w:lang w:val="sl-SI"/>
              </w:rPr>
            </w:pPr>
          </w:p>
        </w:tc>
        <w:tc>
          <w:tcPr>
            <w:tcW w:w="0" w:type="auto"/>
          </w:tcPr>
          <w:p w14:paraId="55C30B0B" w14:textId="77777777" w:rsidR="00684810" w:rsidRPr="00610A3A" w:rsidRDefault="00684810" w:rsidP="00684810">
            <w:pPr>
              <w:rPr>
                <w:rFonts w:cs="Arial"/>
                <w:b/>
                <w:bCs/>
                <w:szCs w:val="20"/>
                <w:lang w:val="sl-SI"/>
              </w:rPr>
            </w:pPr>
          </w:p>
        </w:tc>
        <w:tc>
          <w:tcPr>
            <w:tcW w:w="0" w:type="auto"/>
          </w:tcPr>
          <w:p w14:paraId="368B7878" w14:textId="77777777" w:rsidR="00684810" w:rsidRPr="00610A3A" w:rsidRDefault="00684810" w:rsidP="00684810">
            <w:pPr>
              <w:rPr>
                <w:rFonts w:cs="Arial"/>
                <w:b/>
                <w:bCs/>
                <w:szCs w:val="20"/>
                <w:lang w:val="sl-SI"/>
              </w:rPr>
            </w:pPr>
          </w:p>
        </w:tc>
        <w:tc>
          <w:tcPr>
            <w:tcW w:w="0" w:type="auto"/>
          </w:tcPr>
          <w:p w14:paraId="1F995469" w14:textId="77777777" w:rsidR="00684810" w:rsidRPr="00610A3A" w:rsidRDefault="00684810" w:rsidP="00684810">
            <w:pPr>
              <w:rPr>
                <w:rFonts w:cs="Arial"/>
                <w:b/>
                <w:bCs/>
                <w:szCs w:val="20"/>
                <w:lang w:val="sl-SI"/>
              </w:rPr>
            </w:pPr>
          </w:p>
        </w:tc>
        <w:tc>
          <w:tcPr>
            <w:tcW w:w="0" w:type="auto"/>
          </w:tcPr>
          <w:p w14:paraId="5847F831" w14:textId="77777777" w:rsidR="00684810" w:rsidRPr="00610A3A" w:rsidRDefault="00684810" w:rsidP="00684810">
            <w:pPr>
              <w:rPr>
                <w:rFonts w:cs="Arial"/>
                <w:b/>
                <w:bCs/>
                <w:szCs w:val="20"/>
                <w:lang w:val="sl-SI"/>
              </w:rPr>
            </w:pPr>
          </w:p>
        </w:tc>
        <w:tc>
          <w:tcPr>
            <w:tcW w:w="0" w:type="auto"/>
          </w:tcPr>
          <w:p w14:paraId="5C09448B" w14:textId="77777777" w:rsidR="00684810" w:rsidRPr="00610A3A" w:rsidRDefault="00684810" w:rsidP="00684810">
            <w:pPr>
              <w:rPr>
                <w:rFonts w:cs="Arial"/>
                <w:b/>
                <w:bCs/>
                <w:szCs w:val="20"/>
                <w:lang w:val="sl-SI"/>
              </w:rPr>
            </w:pPr>
          </w:p>
        </w:tc>
        <w:tc>
          <w:tcPr>
            <w:tcW w:w="0" w:type="auto"/>
          </w:tcPr>
          <w:p w14:paraId="6A97730B" w14:textId="77777777" w:rsidR="00684810" w:rsidRPr="00610A3A" w:rsidRDefault="00684810" w:rsidP="00684810">
            <w:pPr>
              <w:rPr>
                <w:rFonts w:cs="Arial"/>
                <w:b/>
                <w:bCs/>
                <w:szCs w:val="20"/>
                <w:lang w:val="sl-SI"/>
              </w:rPr>
            </w:pPr>
          </w:p>
        </w:tc>
        <w:tc>
          <w:tcPr>
            <w:tcW w:w="0" w:type="auto"/>
          </w:tcPr>
          <w:p w14:paraId="4F255213" w14:textId="77777777" w:rsidR="00684810" w:rsidRPr="00610A3A" w:rsidRDefault="00684810" w:rsidP="00684810">
            <w:pPr>
              <w:rPr>
                <w:rFonts w:cs="Arial"/>
                <w:b/>
                <w:bCs/>
                <w:szCs w:val="20"/>
                <w:lang w:val="sl-SI"/>
              </w:rPr>
            </w:pPr>
          </w:p>
        </w:tc>
      </w:tr>
      <w:tr w:rsidR="00684810" w:rsidRPr="00A40660" w14:paraId="4E51B7DF" w14:textId="77777777" w:rsidTr="005E683D">
        <w:tc>
          <w:tcPr>
            <w:tcW w:w="0" w:type="auto"/>
          </w:tcPr>
          <w:p w14:paraId="24513480" w14:textId="77777777" w:rsidR="00684810" w:rsidRPr="00A40660" w:rsidRDefault="00684810" w:rsidP="00684810">
            <w:pPr>
              <w:rPr>
                <w:rFonts w:cs="Arial"/>
                <w:b/>
                <w:bCs/>
                <w:szCs w:val="20"/>
              </w:rPr>
            </w:pPr>
          </w:p>
        </w:tc>
        <w:tc>
          <w:tcPr>
            <w:tcW w:w="0" w:type="auto"/>
          </w:tcPr>
          <w:p w14:paraId="5A57CC32" w14:textId="77777777" w:rsidR="00684810" w:rsidRPr="00A40660" w:rsidRDefault="00684810" w:rsidP="00684810">
            <w:pPr>
              <w:rPr>
                <w:rFonts w:cs="Arial"/>
                <w:b/>
                <w:bCs/>
                <w:szCs w:val="20"/>
              </w:rPr>
            </w:pPr>
          </w:p>
        </w:tc>
        <w:tc>
          <w:tcPr>
            <w:tcW w:w="0" w:type="auto"/>
          </w:tcPr>
          <w:p w14:paraId="75416EC1" w14:textId="77777777" w:rsidR="00684810" w:rsidRPr="00A40660" w:rsidRDefault="00684810" w:rsidP="00684810">
            <w:pPr>
              <w:rPr>
                <w:rFonts w:cs="Arial"/>
                <w:b/>
                <w:bCs/>
                <w:szCs w:val="20"/>
              </w:rPr>
            </w:pPr>
          </w:p>
        </w:tc>
        <w:tc>
          <w:tcPr>
            <w:tcW w:w="0" w:type="auto"/>
          </w:tcPr>
          <w:p w14:paraId="6A42E516" w14:textId="77777777" w:rsidR="00684810" w:rsidRPr="00A40660" w:rsidRDefault="00684810" w:rsidP="00684810">
            <w:pPr>
              <w:rPr>
                <w:rFonts w:cs="Arial"/>
                <w:b/>
                <w:bCs/>
                <w:szCs w:val="20"/>
              </w:rPr>
            </w:pPr>
          </w:p>
        </w:tc>
        <w:tc>
          <w:tcPr>
            <w:tcW w:w="0" w:type="auto"/>
          </w:tcPr>
          <w:p w14:paraId="235B6A51" w14:textId="77777777" w:rsidR="00684810" w:rsidRPr="00A40660" w:rsidRDefault="00684810" w:rsidP="00684810">
            <w:pPr>
              <w:rPr>
                <w:rFonts w:cs="Arial"/>
                <w:b/>
                <w:bCs/>
                <w:szCs w:val="20"/>
              </w:rPr>
            </w:pPr>
          </w:p>
        </w:tc>
        <w:tc>
          <w:tcPr>
            <w:tcW w:w="0" w:type="auto"/>
          </w:tcPr>
          <w:p w14:paraId="050A596E" w14:textId="77777777" w:rsidR="00684810" w:rsidRPr="00A40660" w:rsidRDefault="00684810" w:rsidP="00684810">
            <w:pPr>
              <w:rPr>
                <w:rFonts w:cs="Arial"/>
                <w:b/>
                <w:bCs/>
                <w:szCs w:val="20"/>
              </w:rPr>
            </w:pPr>
          </w:p>
        </w:tc>
        <w:tc>
          <w:tcPr>
            <w:tcW w:w="0" w:type="auto"/>
          </w:tcPr>
          <w:p w14:paraId="791586AE" w14:textId="77777777" w:rsidR="00684810" w:rsidRPr="00A40660" w:rsidRDefault="00684810" w:rsidP="00684810">
            <w:pPr>
              <w:rPr>
                <w:rFonts w:cs="Arial"/>
                <w:b/>
                <w:bCs/>
                <w:szCs w:val="20"/>
              </w:rPr>
            </w:pPr>
          </w:p>
        </w:tc>
        <w:tc>
          <w:tcPr>
            <w:tcW w:w="0" w:type="auto"/>
          </w:tcPr>
          <w:p w14:paraId="49DCCA7B" w14:textId="77777777" w:rsidR="00684810" w:rsidRPr="00A40660" w:rsidRDefault="00684810" w:rsidP="00684810">
            <w:pPr>
              <w:rPr>
                <w:rFonts w:cs="Arial"/>
                <w:b/>
                <w:bCs/>
                <w:szCs w:val="20"/>
              </w:rPr>
            </w:pPr>
          </w:p>
        </w:tc>
        <w:tc>
          <w:tcPr>
            <w:tcW w:w="0" w:type="auto"/>
          </w:tcPr>
          <w:p w14:paraId="3650A188" w14:textId="77777777" w:rsidR="00684810" w:rsidRPr="00A40660" w:rsidRDefault="00684810" w:rsidP="00684810">
            <w:pPr>
              <w:rPr>
                <w:rFonts w:cs="Arial"/>
                <w:b/>
                <w:bCs/>
                <w:szCs w:val="20"/>
              </w:rPr>
            </w:pPr>
          </w:p>
        </w:tc>
      </w:tr>
    </w:tbl>
    <w:p w14:paraId="3007BB35" w14:textId="77777777" w:rsidR="00684810" w:rsidRPr="00A40660" w:rsidRDefault="00684810" w:rsidP="00684810">
      <w:pPr>
        <w:rPr>
          <w:rFonts w:cs="Arial"/>
          <w:b/>
          <w:bCs/>
          <w:szCs w:val="20"/>
        </w:rPr>
      </w:pPr>
    </w:p>
    <w:p w14:paraId="33A5A7E3" w14:textId="77777777" w:rsidR="005E683D" w:rsidRDefault="005E683D">
      <w:pPr>
        <w:spacing w:after="200" w:line="276" w:lineRule="auto"/>
        <w:rPr>
          <w:rFonts w:cs="Arial"/>
          <w:b/>
          <w:bCs/>
          <w:szCs w:val="20"/>
        </w:rPr>
      </w:pPr>
      <w:r>
        <w:rPr>
          <w:rFonts w:cs="Arial"/>
          <w:b/>
          <w:bCs/>
          <w:szCs w:val="20"/>
        </w:rPr>
        <w:br w:type="page"/>
      </w:r>
    </w:p>
    <w:p w14:paraId="75267BD0" w14:textId="77777777" w:rsidR="00A84F30" w:rsidRPr="00A40660" w:rsidRDefault="00A84F30" w:rsidP="00684810">
      <w:pPr>
        <w:rPr>
          <w:rFonts w:cs="Arial"/>
          <w:b/>
          <w:bCs/>
          <w:szCs w:val="20"/>
        </w:rPr>
      </w:pPr>
      <w:r w:rsidRPr="00A40660">
        <w:rPr>
          <w:rFonts w:cs="Arial"/>
          <w:b/>
          <w:bCs/>
          <w:szCs w:val="20"/>
        </w:rPr>
        <w:lastRenderedPageBreak/>
        <w:t>B. Podrobnosti glede na vrsto operacije (izpolni se za vsako vrsto operacije)</w:t>
      </w:r>
    </w:p>
    <w:p w14:paraId="6068DE49" w14:textId="77777777" w:rsidR="00A84F30" w:rsidRPr="00A40660" w:rsidRDefault="00A84F30" w:rsidP="00684810">
      <w:pPr>
        <w:rPr>
          <w:rFonts w:cs="Arial"/>
          <w:b/>
          <w:bCs/>
          <w:szCs w:val="20"/>
        </w:rPr>
      </w:pPr>
    </w:p>
    <w:p w14:paraId="32247CF3" w14:textId="77777777" w:rsidR="00A84F30" w:rsidRPr="005C667A" w:rsidRDefault="00A84F30" w:rsidP="00684810">
      <w:pPr>
        <w:rPr>
          <w:rFonts w:cs="Arial"/>
          <w:szCs w:val="20"/>
        </w:rPr>
      </w:pPr>
      <w:r w:rsidRPr="005C667A">
        <w:rPr>
          <w:rFonts w:cs="Arial"/>
          <w:szCs w:val="20"/>
        </w:rPr>
        <w:t>Vrste operacij:</w:t>
      </w:r>
    </w:p>
    <w:p w14:paraId="3CDA355E" w14:textId="77777777" w:rsidR="00A84F30" w:rsidRPr="005C667A" w:rsidRDefault="00A84F30" w:rsidP="00684810">
      <w:pPr>
        <w:rPr>
          <w:rFonts w:cs="Arial"/>
          <w:b/>
          <w:bCs/>
          <w:szCs w:val="20"/>
        </w:rPr>
      </w:pPr>
    </w:p>
    <w:tbl>
      <w:tblPr>
        <w:tblStyle w:val="Tabelamrea"/>
        <w:tblW w:w="0" w:type="auto"/>
        <w:tblLook w:val="04A0" w:firstRow="1" w:lastRow="0" w:firstColumn="1" w:lastColumn="0" w:noHBand="0" w:noVBand="1"/>
      </w:tblPr>
      <w:tblGrid>
        <w:gridCol w:w="10588"/>
        <w:gridCol w:w="1639"/>
        <w:gridCol w:w="806"/>
        <w:gridCol w:w="806"/>
      </w:tblGrid>
      <w:tr w:rsidR="00CB3C58" w:rsidRPr="005C667A" w14:paraId="6C5663CC" w14:textId="77777777" w:rsidTr="005E683D">
        <w:tc>
          <w:tcPr>
            <w:tcW w:w="0" w:type="auto"/>
          </w:tcPr>
          <w:p w14:paraId="60BC11CC" w14:textId="77777777" w:rsidR="00A84F30" w:rsidRDefault="00A84F30" w:rsidP="00A91054">
            <w:pPr>
              <w:rPr>
                <w:rFonts w:cs="Arial"/>
                <w:bCs/>
                <w:szCs w:val="20"/>
              </w:rPr>
            </w:pPr>
            <w:r w:rsidRPr="005C667A">
              <w:rPr>
                <w:rFonts w:cs="Arial"/>
                <w:bCs/>
                <w:szCs w:val="20"/>
              </w:rPr>
              <w:t>1.1 Opis vrste operacije</w:t>
            </w:r>
          </w:p>
          <w:p w14:paraId="6A372F9B" w14:textId="77777777" w:rsidR="00095D4D" w:rsidRDefault="00095D4D" w:rsidP="00A91054">
            <w:pPr>
              <w:rPr>
                <w:rFonts w:cs="Arial"/>
                <w:bCs/>
                <w:szCs w:val="20"/>
              </w:rPr>
            </w:pPr>
          </w:p>
          <w:p w14:paraId="1A3E2EBE" w14:textId="2A03AE01" w:rsidR="00095D4D" w:rsidRPr="005C667A" w:rsidRDefault="00095D4D" w:rsidP="00A91054">
            <w:pPr>
              <w:rPr>
                <w:rFonts w:cs="Arial"/>
                <w:bCs/>
                <w:szCs w:val="20"/>
              </w:rPr>
            </w:pPr>
          </w:p>
        </w:tc>
        <w:tc>
          <w:tcPr>
            <w:tcW w:w="0" w:type="auto"/>
            <w:gridSpan w:val="3"/>
          </w:tcPr>
          <w:p w14:paraId="5E93EF76" w14:textId="5F5CDFC6" w:rsidR="00A84F30" w:rsidRPr="00610A3A" w:rsidRDefault="00A84F30" w:rsidP="00A91054">
            <w:pPr>
              <w:rPr>
                <w:rFonts w:cs="Arial"/>
                <w:bCs/>
                <w:szCs w:val="20"/>
                <w:lang w:val="sl-SI"/>
              </w:rPr>
            </w:pPr>
          </w:p>
        </w:tc>
      </w:tr>
      <w:tr w:rsidR="00CB3C58" w:rsidRPr="005C667A" w14:paraId="61E903C6" w14:textId="77777777" w:rsidTr="005E683D">
        <w:tc>
          <w:tcPr>
            <w:tcW w:w="0" w:type="auto"/>
          </w:tcPr>
          <w:p w14:paraId="493F7275" w14:textId="77777777" w:rsidR="00A84F30" w:rsidRPr="000A4DE5" w:rsidRDefault="00A84F30" w:rsidP="00A91054">
            <w:pPr>
              <w:rPr>
                <w:rFonts w:cs="Arial"/>
                <w:bCs/>
                <w:szCs w:val="20"/>
                <w:lang w:val="it-IT"/>
              </w:rPr>
            </w:pPr>
            <w:r w:rsidRPr="000A4DE5">
              <w:rPr>
                <w:rFonts w:cs="Arial"/>
                <w:bCs/>
                <w:szCs w:val="20"/>
                <w:lang w:val="it-IT"/>
              </w:rPr>
              <w:t>1.2 Zadevni prednostni/specifični cilji (cilj „delovna mesta in rast“) ali področje podpore (ESPR)</w:t>
            </w:r>
          </w:p>
        </w:tc>
        <w:tc>
          <w:tcPr>
            <w:tcW w:w="0" w:type="auto"/>
            <w:gridSpan w:val="3"/>
          </w:tcPr>
          <w:p w14:paraId="2216DB55" w14:textId="343D140E" w:rsidR="00A84F30" w:rsidRPr="000A4DE5" w:rsidRDefault="00A84F30" w:rsidP="00A91054">
            <w:pPr>
              <w:rPr>
                <w:rFonts w:cs="Arial"/>
                <w:bCs/>
                <w:szCs w:val="20"/>
                <w:lang w:val="it-IT"/>
              </w:rPr>
            </w:pPr>
          </w:p>
        </w:tc>
      </w:tr>
      <w:tr w:rsidR="00CB3C58" w:rsidRPr="005C667A" w14:paraId="45D0CC57" w14:textId="77777777" w:rsidTr="005E683D">
        <w:tc>
          <w:tcPr>
            <w:tcW w:w="0" w:type="auto"/>
          </w:tcPr>
          <w:p w14:paraId="4342B01A" w14:textId="77777777" w:rsidR="00A84F30" w:rsidRPr="000A4DE5" w:rsidRDefault="00A84F30" w:rsidP="00A91054">
            <w:pPr>
              <w:rPr>
                <w:rFonts w:cs="Arial"/>
                <w:bCs/>
                <w:szCs w:val="20"/>
                <w:lang w:val="sl-SI"/>
              </w:rPr>
            </w:pPr>
            <w:r w:rsidRPr="000A4DE5">
              <w:rPr>
                <w:rFonts w:cs="Arial"/>
                <w:bCs/>
                <w:szCs w:val="20"/>
                <w:lang w:val="sl-SI"/>
              </w:rPr>
              <w:t>1.3 Pogoji, ki jih je treba izpolniti ali rezultati, ki jih je treba doseči</w:t>
            </w:r>
          </w:p>
        </w:tc>
        <w:tc>
          <w:tcPr>
            <w:tcW w:w="0" w:type="auto"/>
            <w:gridSpan w:val="3"/>
          </w:tcPr>
          <w:p w14:paraId="706AA1DF" w14:textId="2BD46446" w:rsidR="00A84F30" w:rsidRPr="000A4DE5" w:rsidRDefault="00A84F30" w:rsidP="00A91054">
            <w:pPr>
              <w:rPr>
                <w:rFonts w:cs="Arial"/>
                <w:bCs/>
                <w:szCs w:val="20"/>
                <w:lang w:val="sl-SI"/>
              </w:rPr>
            </w:pPr>
          </w:p>
        </w:tc>
      </w:tr>
      <w:tr w:rsidR="00CB3C58" w:rsidRPr="005C667A" w14:paraId="05639B4A" w14:textId="77777777" w:rsidTr="005E683D">
        <w:tc>
          <w:tcPr>
            <w:tcW w:w="0" w:type="auto"/>
          </w:tcPr>
          <w:p w14:paraId="763C07D5" w14:textId="77777777" w:rsidR="00A84F30" w:rsidRPr="000A4DE5" w:rsidRDefault="00A47A2C" w:rsidP="00A47A2C">
            <w:pPr>
              <w:pStyle w:val="Default"/>
              <w:rPr>
                <w:rFonts w:ascii="Arial" w:hAnsi="Arial" w:cs="Arial"/>
                <w:sz w:val="20"/>
                <w:szCs w:val="20"/>
                <w:lang w:val="sl-SI"/>
              </w:rPr>
            </w:pPr>
            <w:r w:rsidRPr="000A4DE5">
              <w:rPr>
                <w:rFonts w:ascii="Arial" w:hAnsi="Arial" w:cs="Arial"/>
                <w:sz w:val="20"/>
                <w:szCs w:val="20"/>
                <w:lang w:val="sl-SI"/>
              </w:rPr>
              <w:t xml:space="preserve">1.4 Rok za izpolnitev pogojev ali dosežek rezultatov </w:t>
            </w:r>
          </w:p>
        </w:tc>
        <w:tc>
          <w:tcPr>
            <w:tcW w:w="0" w:type="auto"/>
            <w:gridSpan w:val="3"/>
          </w:tcPr>
          <w:p w14:paraId="78057B99" w14:textId="0E17AF05" w:rsidR="00A84F30" w:rsidRPr="000A4DE5" w:rsidRDefault="00A84F30" w:rsidP="00A91054">
            <w:pPr>
              <w:rPr>
                <w:rFonts w:cs="Arial"/>
                <w:bCs/>
                <w:szCs w:val="20"/>
                <w:lang w:val="sl-SI"/>
              </w:rPr>
            </w:pPr>
          </w:p>
        </w:tc>
      </w:tr>
      <w:tr w:rsidR="00CB3C58" w:rsidRPr="005C667A" w14:paraId="1597795D" w14:textId="77777777" w:rsidTr="005E683D">
        <w:tc>
          <w:tcPr>
            <w:tcW w:w="0" w:type="auto"/>
          </w:tcPr>
          <w:p w14:paraId="59491F5A" w14:textId="77777777" w:rsidR="00A84F30" w:rsidRPr="005C667A" w:rsidRDefault="00A47A2C" w:rsidP="00A91054">
            <w:pPr>
              <w:rPr>
                <w:rFonts w:cs="Arial"/>
                <w:bCs/>
                <w:szCs w:val="20"/>
              </w:rPr>
            </w:pPr>
            <w:r w:rsidRPr="005C667A">
              <w:rPr>
                <w:rFonts w:cs="Arial"/>
                <w:bCs/>
                <w:szCs w:val="20"/>
              </w:rPr>
              <w:t>1.5 Opredelitev kazalnikov za rezultate</w:t>
            </w:r>
          </w:p>
        </w:tc>
        <w:tc>
          <w:tcPr>
            <w:tcW w:w="0" w:type="auto"/>
            <w:gridSpan w:val="3"/>
          </w:tcPr>
          <w:p w14:paraId="6544A5BF" w14:textId="3DA20146" w:rsidR="00A84F30" w:rsidRPr="005C667A" w:rsidRDefault="00A84F30" w:rsidP="00A91054">
            <w:pPr>
              <w:rPr>
                <w:rFonts w:cs="Arial"/>
                <w:bCs/>
                <w:szCs w:val="20"/>
              </w:rPr>
            </w:pPr>
          </w:p>
        </w:tc>
      </w:tr>
      <w:tr w:rsidR="00CB3C58" w:rsidRPr="00F700CD" w14:paraId="6D24E7C4" w14:textId="77777777" w:rsidTr="005E683D">
        <w:tc>
          <w:tcPr>
            <w:tcW w:w="0" w:type="auto"/>
          </w:tcPr>
          <w:p w14:paraId="6F17AA9E" w14:textId="77777777" w:rsidR="00A84F30" w:rsidRPr="000A4DE5" w:rsidRDefault="00A47A2C" w:rsidP="00A91054">
            <w:pPr>
              <w:rPr>
                <w:rFonts w:cs="Arial"/>
                <w:bCs/>
                <w:szCs w:val="20"/>
                <w:lang w:val="it-IT"/>
              </w:rPr>
            </w:pPr>
            <w:r w:rsidRPr="000A4DE5">
              <w:rPr>
                <w:rFonts w:cs="Arial"/>
                <w:bCs/>
                <w:szCs w:val="20"/>
                <w:lang w:val="it-IT"/>
              </w:rPr>
              <w:t>1.6 Merska enota za kazalnik za rezultate</w:t>
            </w:r>
          </w:p>
        </w:tc>
        <w:tc>
          <w:tcPr>
            <w:tcW w:w="0" w:type="auto"/>
            <w:gridSpan w:val="3"/>
          </w:tcPr>
          <w:p w14:paraId="79F95453" w14:textId="6B9C5FC7" w:rsidR="00A84F30" w:rsidRPr="000A4DE5" w:rsidRDefault="00A84F30" w:rsidP="00A91054">
            <w:pPr>
              <w:rPr>
                <w:rFonts w:cs="Arial"/>
                <w:bCs/>
                <w:szCs w:val="20"/>
                <w:lang w:val="it-IT"/>
              </w:rPr>
            </w:pPr>
          </w:p>
        </w:tc>
      </w:tr>
      <w:tr w:rsidR="00CB3C58" w:rsidRPr="005C667A" w14:paraId="43B0408A" w14:textId="77777777" w:rsidTr="005E683D">
        <w:trPr>
          <w:trHeight w:val="260"/>
        </w:trPr>
        <w:tc>
          <w:tcPr>
            <w:tcW w:w="0" w:type="auto"/>
            <w:vMerge w:val="restart"/>
          </w:tcPr>
          <w:p w14:paraId="3BDC2E88" w14:textId="77777777" w:rsidR="00A47A2C" w:rsidRPr="000A4DE5" w:rsidRDefault="00A47A2C" w:rsidP="00A91054">
            <w:pPr>
              <w:rPr>
                <w:rFonts w:cs="Arial"/>
                <w:bCs/>
                <w:szCs w:val="20"/>
                <w:lang w:val="sl-SI"/>
              </w:rPr>
            </w:pPr>
            <w:r w:rsidRPr="000A4DE5">
              <w:rPr>
                <w:rFonts w:cs="Arial"/>
                <w:bCs/>
                <w:szCs w:val="20"/>
                <w:lang w:val="sl-SI"/>
              </w:rPr>
              <w:t>1.7 Vmesni rezultati (če je ustrezno), ki sprožijo povračilo Komisije, skupaj s časovnim razporedom za povračila</w:t>
            </w:r>
          </w:p>
        </w:tc>
        <w:tc>
          <w:tcPr>
            <w:tcW w:w="0" w:type="auto"/>
          </w:tcPr>
          <w:p w14:paraId="08F1F9A4" w14:textId="77777777" w:rsidR="00A47A2C" w:rsidRPr="005C667A" w:rsidRDefault="00A47A2C" w:rsidP="00A91054">
            <w:pPr>
              <w:rPr>
                <w:rFonts w:cs="Arial"/>
                <w:bCs/>
                <w:szCs w:val="20"/>
              </w:rPr>
            </w:pPr>
            <w:r w:rsidRPr="005C667A">
              <w:rPr>
                <w:rFonts w:cs="Arial"/>
                <w:bCs/>
                <w:szCs w:val="20"/>
              </w:rPr>
              <w:t>Vmesni rezultati</w:t>
            </w:r>
          </w:p>
        </w:tc>
        <w:tc>
          <w:tcPr>
            <w:tcW w:w="0" w:type="auto"/>
          </w:tcPr>
          <w:p w14:paraId="4602C113" w14:textId="77777777" w:rsidR="00A47A2C" w:rsidRPr="005C667A" w:rsidRDefault="00A47A2C" w:rsidP="00A91054">
            <w:pPr>
              <w:rPr>
                <w:rFonts w:cs="Arial"/>
                <w:bCs/>
                <w:szCs w:val="20"/>
              </w:rPr>
            </w:pPr>
            <w:r w:rsidRPr="005C667A">
              <w:rPr>
                <w:rFonts w:cs="Arial"/>
                <w:bCs/>
                <w:szCs w:val="20"/>
              </w:rPr>
              <w:t xml:space="preserve">Datum </w:t>
            </w:r>
          </w:p>
        </w:tc>
        <w:tc>
          <w:tcPr>
            <w:tcW w:w="0" w:type="auto"/>
          </w:tcPr>
          <w:p w14:paraId="72B5CE17" w14:textId="77777777" w:rsidR="00A47A2C" w:rsidRPr="005C667A" w:rsidRDefault="00A47A2C" w:rsidP="00A91054">
            <w:pPr>
              <w:rPr>
                <w:rFonts w:cs="Arial"/>
                <w:bCs/>
                <w:szCs w:val="20"/>
              </w:rPr>
            </w:pPr>
            <w:r w:rsidRPr="005C667A">
              <w:rPr>
                <w:rFonts w:cs="Arial"/>
                <w:bCs/>
                <w:szCs w:val="20"/>
              </w:rPr>
              <w:t>Zneski</w:t>
            </w:r>
          </w:p>
        </w:tc>
      </w:tr>
      <w:tr w:rsidR="00CB3C58" w:rsidRPr="005C667A" w14:paraId="5A4F0E46" w14:textId="77777777" w:rsidTr="005E683D">
        <w:trPr>
          <w:trHeight w:val="260"/>
        </w:trPr>
        <w:tc>
          <w:tcPr>
            <w:tcW w:w="0" w:type="auto"/>
            <w:vMerge/>
          </w:tcPr>
          <w:p w14:paraId="5BA8D575" w14:textId="77777777" w:rsidR="00A47A2C" w:rsidRPr="005C667A" w:rsidRDefault="00A47A2C" w:rsidP="00A91054">
            <w:pPr>
              <w:rPr>
                <w:rFonts w:cs="Arial"/>
                <w:bCs/>
                <w:szCs w:val="20"/>
              </w:rPr>
            </w:pPr>
          </w:p>
        </w:tc>
        <w:tc>
          <w:tcPr>
            <w:tcW w:w="0" w:type="auto"/>
          </w:tcPr>
          <w:p w14:paraId="7711D5D9" w14:textId="16917066" w:rsidR="00A47A2C" w:rsidRPr="005C667A" w:rsidRDefault="00A47A2C" w:rsidP="00A91054">
            <w:pPr>
              <w:rPr>
                <w:rFonts w:cs="Arial"/>
                <w:bCs/>
                <w:szCs w:val="20"/>
              </w:rPr>
            </w:pPr>
          </w:p>
        </w:tc>
        <w:tc>
          <w:tcPr>
            <w:tcW w:w="0" w:type="auto"/>
          </w:tcPr>
          <w:p w14:paraId="0245D8B4" w14:textId="3D1746D1" w:rsidR="00A47A2C" w:rsidRPr="005C667A" w:rsidRDefault="00A47A2C" w:rsidP="00A91054">
            <w:pPr>
              <w:rPr>
                <w:rFonts w:cs="Arial"/>
                <w:bCs/>
                <w:szCs w:val="20"/>
              </w:rPr>
            </w:pPr>
          </w:p>
        </w:tc>
        <w:tc>
          <w:tcPr>
            <w:tcW w:w="0" w:type="auto"/>
          </w:tcPr>
          <w:p w14:paraId="4C971009" w14:textId="09C9BB96" w:rsidR="00A47A2C" w:rsidRPr="005C667A" w:rsidRDefault="00A47A2C" w:rsidP="00610A3A">
            <w:pPr>
              <w:jc w:val="center"/>
              <w:rPr>
                <w:rFonts w:cs="Arial"/>
                <w:bCs/>
                <w:szCs w:val="20"/>
              </w:rPr>
            </w:pPr>
          </w:p>
        </w:tc>
      </w:tr>
      <w:tr w:rsidR="00CB3C58" w:rsidRPr="005C667A" w14:paraId="4E399D44" w14:textId="77777777" w:rsidTr="005E683D">
        <w:trPr>
          <w:trHeight w:val="260"/>
        </w:trPr>
        <w:tc>
          <w:tcPr>
            <w:tcW w:w="0" w:type="auto"/>
            <w:vMerge/>
          </w:tcPr>
          <w:p w14:paraId="25E37E94" w14:textId="77777777" w:rsidR="00A47A2C" w:rsidRPr="005C667A" w:rsidRDefault="00A47A2C" w:rsidP="00A91054">
            <w:pPr>
              <w:rPr>
                <w:rFonts w:cs="Arial"/>
                <w:bCs/>
                <w:szCs w:val="20"/>
              </w:rPr>
            </w:pPr>
          </w:p>
        </w:tc>
        <w:tc>
          <w:tcPr>
            <w:tcW w:w="0" w:type="auto"/>
          </w:tcPr>
          <w:p w14:paraId="237BC3DE" w14:textId="77777777" w:rsidR="00A47A2C" w:rsidRPr="005C667A" w:rsidRDefault="00A47A2C" w:rsidP="00A91054">
            <w:pPr>
              <w:rPr>
                <w:rFonts w:cs="Arial"/>
                <w:bCs/>
                <w:szCs w:val="20"/>
              </w:rPr>
            </w:pPr>
          </w:p>
        </w:tc>
        <w:tc>
          <w:tcPr>
            <w:tcW w:w="0" w:type="auto"/>
          </w:tcPr>
          <w:p w14:paraId="5E15D5CB" w14:textId="77777777" w:rsidR="00A47A2C" w:rsidRPr="005C667A" w:rsidRDefault="00A47A2C" w:rsidP="00A91054">
            <w:pPr>
              <w:rPr>
                <w:rFonts w:cs="Arial"/>
                <w:bCs/>
                <w:szCs w:val="20"/>
              </w:rPr>
            </w:pPr>
          </w:p>
        </w:tc>
        <w:tc>
          <w:tcPr>
            <w:tcW w:w="0" w:type="auto"/>
          </w:tcPr>
          <w:p w14:paraId="06B7A4CA" w14:textId="77777777" w:rsidR="00A47A2C" w:rsidRPr="005C667A" w:rsidRDefault="00A47A2C" w:rsidP="00A91054">
            <w:pPr>
              <w:rPr>
                <w:rFonts w:cs="Arial"/>
                <w:bCs/>
                <w:szCs w:val="20"/>
              </w:rPr>
            </w:pPr>
          </w:p>
        </w:tc>
      </w:tr>
      <w:tr w:rsidR="00CB3C58" w:rsidRPr="005C667A" w14:paraId="0EF5784E" w14:textId="77777777" w:rsidTr="005E683D">
        <w:tc>
          <w:tcPr>
            <w:tcW w:w="0" w:type="auto"/>
          </w:tcPr>
          <w:p w14:paraId="13532946" w14:textId="77777777" w:rsidR="00A84F30" w:rsidRPr="000A4DE5" w:rsidRDefault="00A47A2C" w:rsidP="00A91054">
            <w:pPr>
              <w:rPr>
                <w:rFonts w:cs="Arial"/>
                <w:bCs/>
                <w:szCs w:val="20"/>
                <w:lang w:val="sl-SI"/>
              </w:rPr>
            </w:pPr>
            <w:r w:rsidRPr="000A4DE5">
              <w:rPr>
                <w:rFonts w:cs="Arial"/>
                <w:bCs/>
                <w:szCs w:val="20"/>
                <w:lang w:val="sl-SI"/>
              </w:rPr>
              <w:t>1.8 Skupni znesek (vključno s sredstvi EU in nacionalnimi sredstvi)</w:t>
            </w:r>
          </w:p>
        </w:tc>
        <w:tc>
          <w:tcPr>
            <w:tcW w:w="0" w:type="auto"/>
            <w:gridSpan w:val="3"/>
          </w:tcPr>
          <w:p w14:paraId="786327A9" w14:textId="7737ED60" w:rsidR="00A84F30" w:rsidRPr="000A4DE5" w:rsidRDefault="00A84F30" w:rsidP="00A91054">
            <w:pPr>
              <w:rPr>
                <w:rFonts w:cs="Arial"/>
                <w:bCs/>
                <w:szCs w:val="20"/>
                <w:lang w:val="sl-SI"/>
              </w:rPr>
            </w:pPr>
          </w:p>
        </w:tc>
      </w:tr>
      <w:tr w:rsidR="00CB3C58" w:rsidRPr="00A40660" w14:paraId="49375599" w14:textId="77777777" w:rsidTr="005E683D">
        <w:tc>
          <w:tcPr>
            <w:tcW w:w="0" w:type="auto"/>
          </w:tcPr>
          <w:p w14:paraId="7A151030" w14:textId="77777777" w:rsidR="00A84F30" w:rsidRPr="00A40660" w:rsidRDefault="00A47A2C" w:rsidP="00A91054">
            <w:pPr>
              <w:rPr>
                <w:rFonts w:cs="Arial"/>
                <w:bCs/>
                <w:szCs w:val="20"/>
              </w:rPr>
            </w:pPr>
            <w:r w:rsidRPr="00A40660">
              <w:rPr>
                <w:rFonts w:cs="Arial"/>
                <w:bCs/>
                <w:szCs w:val="20"/>
              </w:rPr>
              <w:t>1.9 Prilagoditvena metoda</w:t>
            </w:r>
          </w:p>
        </w:tc>
        <w:tc>
          <w:tcPr>
            <w:tcW w:w="0" w:type="auto"/>
            <w:gridSpan w:val="3"/>
          </w:tcPr>
          <w:p w14:paraId="151B0910" w14:textId="1D27A408" w:rsidR="00A84F30" w:rsidRPr="00A40660" w:rsidRDefault="00A84F30" w:rsidP="00A91054">
            <w:pPr>
              <w:rPr>
                <w:rFonts w:cs="Arial"/>
                <w:bCs/>
                <w:szCs w:val="20"/>
              </w:rPr>
            </w:pPr>
          </w:p>
        </w:tc>
      </w:tr>
      <w:tr w:rsidR="00CB3C58" w:rsidRPr="00F700CD" w14:paraId="741A3BC3" w14:textId="77777777" w:rsidTr="005E683D">
        <w:tc>
          <w:tcPr>
            <w:tcW w:w="0" w:type="auto"/>
          </w:tcPr>
          <w:p w14:paraId="6ADB9D8E" w14:textId="17CE49A5" w:rsidR="00A47A2C" w:rsidRPr="000A4DE5" w:rsidRDefault="00A47A2C" w:rsidP="00A47A2C">
            <w:pPr>
              <w:rPr>
                <w:rFonts w:cs="Arial"/>
                <w:bCs/>
                <w:szCs w:val="20"/>
                <w:lang w:val="sl-SI"/>
              </w:rPr>
            </w:pPr>
            <w:r w:rsidRPr="000A4DE5">
              <w:rPr>
                <w:rFonts w:cs="Arial"/>
                <w:bCs/>
                <w:szCs w:val="20"/>
                <w:lang w:val="sl-SI"/>
              </w:rPr>
              <w:t xml:space="preserve">1.10 Preverjanje doseganje rezultata ali izpolnitve pogoja (in, če je ustrezno, </w:t>
            </w:r>
          </w:p>
          <w:p w14:paraId="06383BAA" w14:textId="77777777" w:rsidR="00A47A2C" w:rsidRPr="000A4DE5" w:rsidRDefault="00A47A2C" w:rsidP="00A47A2C">
            <w:pPr>
              <w:rPr>
                <w:rFonts w:cs="Arial"/>
                <w:bCs/>
                <w:szCs w:val="20"/>
                <w:lang w:val="sl-SI"/>
              </w:rPr>
            </w:pPr>
            <w:r w:rsidRPr="000A4DE5">
              <w:rPr>
                <w:rFonts w:cs="Arial"/>
                <w:bCs/>
                <w:szCs w:val="20"/>
                <w:lang w:val="sl-SI"/>
              </w:rPr>
              <w:t>vmesnih rezultatov)</w:t>
            </w:r>
          </w:p>
          <w:p w14:paraId="36558B9A" w14:textId="77777777" w:rsidR="00A47A2C" w:rsidRPr="000A4DE5" w:rsidRDefault="00A47A2C" w:rsidP="00A47A2C">
            <w:pPr>
              <w:rPr>
                <w:rFonts w:cs="Arial"/>
                <w:bCs/>
                <w:szCs w:val="20"/>
                <w:lang w:val="sl-SI"/>
              </w:rPr>
            </w:pPr>
            <w:r w:rsidRPr="000A4DE5">
              <w:rPr>
                <w:rFonts w:cs="Arial"/>
                <w:bCs/>
                <w:szCs w:val="20"/>
                <w:lang w:val="sl-SI"/>
              </w:rPr>
              <w:t>– opišite, kateri dokumenti se bodo uporabljali za preverjanje doseganja rezultata ali izpolnitve pogoja;</w:t>
            </w:r>
          </w:p>
          <w:p w14:paraId="0AD9582F" w14:textId="77777777" w:rsidR="00A47A2C" w:rsidRPr="000A4DE5" w:rsidRDefault="00A47A2C" w:rsidP="00A47A2C">
            <w:pPr>
              <w:rPr>
                <w:rFonts w:cs="Arial"/>
                <w:bCs/>
                <w:szCs w:val="20"/>
                <w:lang w:val="sl-SI"/>
              </w:rPr>
            </w:pPr>
            <w:r w:rsidRPr="000A4DE5">
              <w:rPr>
                <w:rFonts w:cs="Arial"/>
                <w:bCs/>
                <w:szCs w:val="20"/>
                <w:lang w:val="sl-SI"/>
              </w:rPr>
              <w:t>– opišite, kaj se bo preverjalo v okviru upravljalnih preverjanj (vključno na kraju samem) in kdo bo izvedel preverjanje.</w:t>
            </w:r>
          </w:p>
          <w:p w14:paraId="4F18B041" w14:textId="77777777" w:rsidR="00A84F30" w:rsidRPr="000A4DE5" w:rsidRDefault="00A47A2C" w:rsidP="00A47A2C">
            <w:pPr>
              <w:rPr>
                <w:rFonts w:cs="Arial"/>
                <w:bCs/>
                <w:szCs w:val="20"/>
                <w:lang w:val="sl-SI"/>
              </w:rPr>
            </w:pPr>
            <w:r w:rsidRPr="000A4DE5">
              <w:rPr>
                <w:rFonts w:cs="Arial"/>
                <w:bCs/>
                <w:szCs w:val="20"/>
                <w:lang w:val="sl-SI"/>
              </w:rPr>
              <w:t>– opišite ureditev za zbiranje in shranjevanje opisanih podatkov/dokumentov.</w:t>
            </w:r>
          </w:p>
        </w:tc>
        <w:tc>
          <w:tcPr>
            <w:tcW w:w="0" w:type="auto"/>
            <w:gridSpan w:val="3"/>
          </w:tcPr>
          <w:p w14:paraId="012E9BC3" w14:textId="35AEE643" w:rsidR="00CB3C58" w:rsidRPr="000A4DE5" w:rsidRDefault="00CB3C58" w:rsidP="00A91054">
            <w:pPr>
              <w:rPr>
                <w:rFonts w:cs="Arial"/>
                <w:bCs/>
                <w:szCs w:val="20"/>
                <w:lang w:val="sl-SI"/>
              </w:rPr>
            </w:pPr>
          </w:p>
        </w:tc>
      </w:tr>
      <w:tr w:rsidR="00CB3C58" w:rsidRPr="00A40660" w14:paraId="205D1235" w14:textId="77777777" w:rsidTr="005E683D">
        <w:tc>
          <w:tcPr>
            <w:tcW w:w="0" w:type="auto"/>
          </w:tcPr>
          <w:p w14:paraId="2D73A353" w14:textId="77777777" w:rsidR="00A47A2C" w:rsidRPr="000A4DE5" w:rsidRDefault="00A47A2C" w:rsidP="00A47A2C">
            <w:pPr>
              <w:rPr>
                <w:rFonts w:cs="Arial"/>
                <w:bCs/>
                <w:szCs w:val="20"/>
                <w:lang w:val="sl-SI"/>
              </w:rPr>
            </w:pPr>
            <w:r w:rsidRPr="000A4DE5">
              <w:rPr>
                <w:rFonts w:cs="Arial"/>
                <w:bCs/>
                <w:szCs w:val="20"/>
                <w:lang w:val="sl-SI"/>
              </w:rPr>
              <w:t>1.11 Ureditev za zagotavljanje revizijske sledi</w:t>
            </w:r>
          </w:p>
          <w:p w14:paraId="7F9C335B" w14:textId="77777777" w:rsidR="00A84F30" w:rsidRDefault="00A47A2C" w:rsidP="00A47A2C">
            <w:pPr>
              <w:rPr>
                <w:rFonts w:cs="Arial"/>
                <w:bCs/>
                <w:szCs w:val="20"/>
                <w:lang w:val="sl-SI"/>
              </w:rPr>
            </w:pPr>
            <w:r w:rsidRPr="000A4DE5">
              <w:rPr>
                <w:rFonts w:cs="Arial"/>
                <w:bCs/>
                <w:szCs w:val="20"/>
                <w:lang w:val="sl-SI"/>
              </w:rPr>
              <w:t>Navedite organe, odgovorne za te ureditve.</w:t>
            </w:r>
          </w:p>
          <w:p w14:paraId="484D735B" w14:textId="356505CC" w:rsidR="00CB3C58" w:rsidRPr="000A4DE5" w:rsidRDefault="00CB3C58" w:rsidP="00A47A2C">
            <w:pPr>
              <w:rPr>
                <w:rFonts w:cs="Arial"/>
                <w:bCs/>
                <w:szCs w:val="20"/>
                <w:lang w:val="sl-SI"/>
              </w:rPr>
            </w:pPr>
          </w:p>
        </w:tc>
        <w:tc>
          <w:tcPr>
            <w:tcW w:w="0" w:type="auto"/>
            <w:gridSpan w:val="3"/>
          </w:tcPr>
          <w:p w14:paraId="5E4F397B" w14:textId="53E66D1A" w:rsidR="00A84F30" w:rsidRPr="000A4DE5" w:rsidRDefault="00A84F30" w:rsidP="00A91054">
            <w:pPr>
              <w:rPr>
                <w:rFonts w:cs="Arial"/>
                <w:bCs/>
                <w:szCs w:val="20"/>
                <w:lang w:val="sl-SI"/>
              </w:rPr>
            </w:pPr>
          </w:p>
        </w:tc>
      </w:tr>
      <w:tr w:rsidR="00CB3C58" w:rsidRPr="00A40660" w14:paraId="69C7572E" w14:textId="77777777" w:rsidTr="005E683D">
        <w:tc>
          <w:tcPr>
            <w:tcW w:w="0" w:type="auto"/>
          </w:tcPr>
          <w:p w14:paraId="2D902BA9" w14:textId="77777777" w:rsidR="00A84F30" w:rsidRPr="000A4DE5" w:rsidRDefault="00A84F30" w:rsidP="00A91054">
            <w:pPr>
              <w:rPr>
                <w:rFonts w:cs="Arial"/>
                <w:bCs/>
                <w:szCs w:val="20"/>
                <w:lang w:val="sl-SI"/>
              </w:rPr>
            </w:pPr>
          </w:p>
        </w:tc>
        <w:tc>
          <w:tcPr>
            <w:tcW w:w="0" w:type="auto"/>
            <w:gridSpan w:val="3"/>
          </w:tcPr>
          <w:p w14:paraId="0EE7B2E9" w14:textId="1CF19B78" w:rsidR="00A84F30" w:rsidRPr="000A4DE5" w:rsidRDefault="00A84F30" w:rsidP="00A91054">
            <w:pPr>
              <w:rPr>
                <w:rFonts w:cs="Arial"/>
                <w:bCs/>
                <w:szCs w:val="20"/>
                <w:lang w:val="sl-SI"/>
              </w:rPr>
            </w:pPr>
          </w:p>
        </w:tc>
      </w:tr>
    </w:tbl>
    <w:p w14:paraId="1F6864F1" w14:textId="77777777" w:rsidR="00A84F30" w:rsidRPr="00A40660" w:rsidRDefault="00A84F30" w:rsidP="00684810">
      <w:pPr>
        <w:rPr>
          <w:rFonts w:cs="Arial"/>
          <w:b/>
          <w:bCs/>
          <w:szCs w:val="20"/>
        </w:rPr>
      </w:pPr>
    </w:p>
    <w:p w14:paraId="02F5343E" w14:textId="77777777" w:rsidR="00A47A2C" w:rsidRPr="00A40660" w:rsidRDefault="00A47A2C" w:rsidP="00684810">
      <w:pPr>
        <w:rPr>
          <w:rFonts w:cs="Arial"/>
          <w:b/>
          <w:bCs/>
          <w:szCs w:val="20"/>
        </w:rPr>
      </w:pPr>
    </w:p>
    <w:p w14:paraId="13E1D4F7" w14:textId="77777777" w:rsidR="005E683D" w:rsidRDefault="00A47A2C">
      <w:pPr>
        <w:spacing w:after="200" w:line="276" w:lineRule="auto"/>
        <w:rPr>
          <w:rFonts w:cs="Arial"/>
          <w:b/>
          <w:bCs/>
          <w:szCs w:val="20"/>
        </w:rPr>
      </w:pPr>
      <w:r w:rsidRPr="00A40660">
        <w:rPr>
          <w:rFonts w:cs="Arial"/>
          <w:b/>
          <w:bCs/>
          <w:szCs w:val="20"/>
        </w:rPr>
        <w:br w:type="page"/>
      </w:r>
    </w:p>
    <w:p w14:paraId="59B3C22D" w14:textId="77777777" w:rsidR="005E683D" w:rsidRDefault="005E683D">
      <w:pPr>
        <w:spacing w:after="200" w:line="276" w:lineRule="auto"/>
        <w:rPr>
          <w:rFonts w:cs="Arial"/>
          <w:b/>
          <w:bCs/>
          <w:szCs w:val="20"/>
        </w:rPr>
        <w:sectPr w:rsidR="005E683D" w:rsidSect="005E683D">
          <w:pgSz w:w="16840" w:h="11900" w:orient="landscape" w:code="9"/>
          <w:pgMar w:top="1701" w:right="1701" w:bottom="1701" w:left="1134" w:header="964" w:footer="794" w:gutter="0"/>
          <w:cols w:space="708"/>
          <w:docGrid w:linePitch="272"/>
        </w:sectPr>
      </w:pPr>
    </w:p>
    <w:p w14:paraId="602D1CE6" w14:textId="77777777" w:rsidR="005E683D" w:rsidRPr="00A40660" w:rsidRDefault="005E683D">
      <w:pPr>
        <w:spacing w:after="200" w:line="276" w:lineRule="auto"/>
        <w:rPr>
          <w:rFonts w:cs="Arial"/>
          <w:b/>
          <w:bCs/>
          <w:szCs w:val="20"/>
        </w:rPr>
      </w:pPr>
    </w:p>
    <w:p w14:paraId="3DBA9A9E" w14:textId="3E2891C8" w:rsidR="00A47A2C" w:rsidRPr="002458C0" w:rsidRDefault="005C667A" w:rsidP="002458C0">
      <w:pPr>
        <w:pStyle w:val="Naslov1"/>
        <w:jc w:val="both"/>
      </w:pPr>
      <w:bookmarkStart w:id="35" w:name="_Toc106099919"/>
      <w:r w:rsidRPr="002458C0">
        <w:t xml:space="preserve">Dodatek </w:t>
      </w:r>
      <w:r w:rsidR="00AB07E6">
        <w:t>3</w:t>
      </w:r>
      <w:r w:rsidRPr="002458C0">
        <w:t xml:space="preserve">: </w:t>
      </w:r>
      <w:r w:rsidR="00A47A2C" w:rsidRPr="002458C0">
        <w:t xml:space="preserve">Seznam načrtovanih operacij strateškega pomena </w:t>
      </w:r>
      <w:r w:rsidR="00AB07E6">
        <w:t>s časovnim načrtom (</w:t>
      </w:r>
      <w:r w:rsidR="00A47A2C" w:rsidRPr="002458C0">
        <w:t xml:space="preserve">člen </w:t>
      </w:r>
      <w:r w:rsidR="00AB07E6">
        <w:t>22</w:t>
      </w:r>
      <w:r w:rsidR="00A47A2C" w:rsidRPr="002458C0">
        <w:t>(3)</w:t>
      </w:r>
      <w:r w:rsidR="002458C0" w:rsidRPr="002458C0">
        <w:t xml:space="preserve"> </w:t>
      </w:r>
      <w:r w:rsidR="002458C0">
        <w:t>uredbe o skupnih določ</w:t>
      </w:r>
      <w:r w:rsidR="00AB07E6">
        <w:t>bah)</w:t>
      </w:r>
      <w:bookmarkEnd w:id="35"/>
    </w:p>
    <w:p w14:paraId="3ACA6AED" w14:textId="77777777" w:rsidR="00A47A2C" w:rsidRPr="00A40660" w:rsidRDefault="00A47A2C" w:rsidP="00A47A2C">
      <w:pPr>
        <w:rPr>
          <w:rFonts w:cs="Arial"/>
          <w:b/>
          <w:noProof/>
          <w:szCs w:val="20"/>
        </w:rPr>
      </w:pPr>
    </w:p>
    <w:p w14:paraId="0274E38A" w14:textId="77777777" w:rsidR="00A47A2C" w:rsidRPr="00A40660" w:rsidRDefault="00A47A2C" w:rsidP="00A47A2C">
      <w:pPr>
        <w:rPr>
          <w:rFonts w:cs="Arial"/>
          <w:i/>
          <w:noProof/>
          <w:szCs w:val="20"/>
        </w:rPr>
      </w:pPr>
    </w:p>
    <w:p w14:paraId="6128C1F6" w14:textId="01201B1C" w:rsidR="005C55AD" w:rsidRDefault="00096369" w:rsidP="00A47A2C">
      <w:pPr>
        <w:pBdr>
          <w:top w:val="single" w:sz="4" w:space="1" w:color="auto"/>
          <w:left w:val="single" w:sz="4" w:space="4" w:color="auto"/>
          <w:bottom w:val="single" w:sz="4" w:space="1" w:color="auto"/>
          <w:right w:val="single" w:sz="4" w:space="4" w:color="auto"/>
        </w:pBdr>
        <w:rPr>
          <w:rFonts w:cs="Arial"/>
          <w:iCs/>
          <w:noProof/>
          <w:szCs w:val="20"/>
        </w:rPr>
      </w:pPr>
      <w:r>
        <w:rPr>
          <w:rFonts w:cs="Arial"/>
          <w:i/>
          <w:iCs/>
          <w:noProof/>
          <w:szCs w:val="20"/>
        </w:rPr>
        <w:t>Republika Slovenija</w:t>
      </w:r>
      <w:r w:rsidR="00A0686E">
        <w:rPr>
          <w:rFonts w:cs="Arial"/>
          <w:iCs/>
          <w:noProof/>
          <w:szCs w:val="20"/>
        </w:rPr>
        <w:t xml:space="preserve"> </w:t>
      </w:r>
      <w:r w:rsidR="004F42E5">
        <w:rPr>
          <w:rFonts w:cs="Arial"/>
          <w:iCs/>
          <w:noProof/>
          <w:szCs w:val="20"/>
        </w:rPr>
        <w:t xml:space="preserve">načrtuje </w:t>
      </w:r>
      <w:r w:rsidR="005C55AD">
        <w:rPr>
          <w:rFonts w:cs="Arial"/>
          <w:iCs/>
          <w:noProof/>
          <w:szCs w:val="20"/>
        </w:rPr>
        <w:t>operacije strateškega pomena</w:t>
      </w:r>
      <w:r w:rsidR="00550DF5">
        <w:rPr>
          <w:rFonts w:cs="Arial"/>
          <w:iCs/>
          <w:noProof/>
          <w:szCs w:val="20"/>
        </w:rPr>
        <w:t xml:space="preserve"> v okviru naslednjih aktivnosti:</w:t>
      </w:r>
    </w:p>
    <w:p w14:paraId="74A33325" w14:textId="40508043" w:rsidR="005C55AD" w:rsidRDefault="005C55AD" w:rsidP="00A47A2C">
      <w:pPr>
        <w:pBdr>
          <w:top w:val="single" w:sz="4" w:space="1" w:color="auto"/>
          <w:left w:val="single" w:sz="4" w:space="4" w:color="auto"/>
          <w:bottom w:val="single" w:sz="4" w:space="1" w:color="auto"/>
          <w:right w:val="single" w:sz="4" w:space="4" w:color="auto"/>
        </w:pBdr>
        <w:rPr>
          <w:rFonts w:cs="Arial"/>
          <w:iCs/>
          <w:noProof/>
          <w:szCs w:val="20"/>
        </w:rPr>
      </w:pPr>
    </w:p>
    <w:p w14:paraId="6B556321" w14:textId="2CFB0C9F" w:rsidR="005C55AD" w:rsidRDefault="005C55AD" w:rsidP="00A47A2C">
      <w:pPr>
        <w:pBdr>
          <w:top w:val="single" w:sz="4" w:space="1" w:color="auto"/>
          <w:left w:val="single" w:sz="4" w:space="4" w:color="auto"/>
          <w:bottom w:val="single" w:sz="4" w:space="1" w:color="auto"/>
          <w:right w:val="single" w:sz="4" w:space="4" w:color="auto"/>
        </w:pBdr>
        <w:rPr>
          <w:rFonts w:cs="Arial"/>
          <w:iCs/>
          <w:noProof/>
          <w:szCs w:val="20"/>
        </w:rPr>
      </w:pPr>
      <w:r>
        <w:rPr>
          <w:rFonts w:cs="Arial"/>
          <w:iCs/>
          <w:noProof/>
          <w:szCs w:val="20"/>
        </w:rPr>
        <w:t xml:space="preserve">- </w:t>
      </w:r>
      <w:r w:rsidR="00550DF5">
        <w:rPr>
          <w:rFonts w:cs="Arial"/>
          <w:iCs/>
          <w:noProof/>
          <w:szCs w:val="20"/>
        </w:rPr>
        <w:t xml:space="preserve">Varovanje </w:t>
      </w:r>
      <w:r w:rsidR="008434AB">
        <w:rPr>
          <w:rFonts w:cs="Arial"/>
          <w:iCs/>
          <w:noProof/>
          <w:szCs w:val="20"/>
        </w:rPr>
        <w:t>in obnavljanje vodne in morske</w:t>
      </w:r>
      <w:r w:rsidR="00550DF5">
        <w:rPr>
          <w:rFonts w:cs="Arial"/>
          <w:iCs/>
          <w:noProof/>
          <w:szCs w:val="20"/>
        </w:rPr>
        <w:t xml:space="preserve"> biotske raznovrstnosti</w:t>
      </w:r>
    </w:p>
    <w:p w14:paraId="278DD965" w14:textId="34B0D6C6" w:rsidR="00550DF5" w:rsidRDefault="00550DF5" w:rsidP="00A47A2C">
      <w:pPr>
        <w:pBdr>
          <w:top w:val="single" w:sz="4" w:space="1" w:color="auto"/>
          <w:left w:val="single" w:sz="4" w:space="4" w:color="auto"/>
          <w:bottom w:val="single" w:sz="4" w:space="1" w:color="auto"/>
          <w:right w:val="single" w:sz="4" w:space="4" w:color="auto"/>
        </w:pBdr>
        <w:rPr>
          <w:rFonts w:cs="Arial"/>
          <w:iCs/>
          <w:noProof/>
          <w:szCs w:val="20"/>
        </w:rPr>
      </w:pPr>
    </w:p>
    <w:p w14:paraId="7F2C30A9" w14:textId="0F0D1C2D" w:rsidR="00550DF5" w:rsidRDefault="00550DF5" w:rsidP="00A47A2C">
      <w:pPr>
        <w:pBdr>
          <w:top w:val="single" w:sz="4" w:space="1" w:color="auto"/>
          <w:left w:val="single" w:sz="4" w:space="4" w:color="auto"/>
          <w:bottom w:val="single" w:sz="4" w:space="1" w:color="auto"/>
          <w:right w:val="single" w:sz="4" w:space="4" w:color="auto"/>
        </w:pBdr>
        <w:rPr>
          <w:rFonts w:cs="Arial"/>
          <w:iCs/>
          <w:noProof/>
          <w:szCs w:val="20"/>
        </w:rPr>
      </w:pPr>
      <w:r>
        <w:rPr>
          <w:rFonts w:cs="Arial"/>
          <w:iCs/>
          <w:noProof/>
          <w:szCs w:val="20"/>
        </w:rPr>
        <w:t>- Upravljanje, obnavljanje in spremljanje območij NATURA 2000 in zavarovanih območij ter izvajanje prednostnega okvira ukrepanja</w:t>
      </w:r>
    </w:p>
    <w:p w14:paraId="04FE95BC" w14:textId="4147F51A" w:rsidR="00550DF5" w:rsidRDefault="00550DF5" w:rsidP="00A47A2C">
      <w:pPr>
        <w:pBdr>
          <w:top w:val="single" w:sz="4" w:space="1" w:color="auto"/>
          <w:left w:val="single" w:sz="4" w:space="4" w:color="auto"/>
          <w:bottom w:val="single" w:sz="4" w:space="1" w:color="auto"/>
          <w:right w:val="single" w:sz="4" w:space="4" w:color="auto"/>
        </w:pBdr>
        <w:rPr>
          <w:rFonts w:cs="Arial"/>
          <w:iCs/>
          <w:noProof/>
          <w:szCs w:val="20"/>
        </w:rPr>
      </w:pPr>
    </w:p>
    <w:p w14:paraId="0092BB32" w14:textId="7CCA2CB0" w:rsidR="00550DF5" w:rsidRDefault="00550DF5" w:rsidP="00A47A2C">
      <w:pPr>
        <w:pBdr>
          <w:top w:val="single" w:sz="4" w:space="1" w:color="auto"/>
          <w:left w:val="single" w:sz="4" w:space="4" w:color="auto"/>
          <w:bottom w:val="single" w:sz="4" w:space="1" w:color="auto"/>
          <w:right w:val="single" w:sz="4" w:space="4" w:color="auto"/>
        </w:pBdr>
        <w:rPr>
          <w:rFonts w:cs="Arial"/>
          <w:iCs/>
          <w:noProof/>
          <w:szCs w:val="20"/>
        </w:rPr>
      </w:pPr>
      <w:r>
        <w:rPr>
          <w:rFonts w:cs="Arial"/>
          <w:iCs/>
          <w:noProof/>
          <w:szCs w:val="20"/>
        </w:rPr>
        <w:t>Predvidena časovnica je od 2023 do 2028, odvisno od posamezne operacije, ki bo izbrana.</w:t>
      </w:r>
    </w:p>
    <w:p w14:paraId="12181622" w14:textId="77777777" w:rsidR="00550DF5" w:rsidRPr="00714475" w:rsidRDefault="00550DF5" w:rsidP="00A47A2C">
      <w:pPr>
        <w:pBdr>
          <w:top w:val="single" w:sz="4" w:space="1" w:color="auto"/>
          <w:left w:val="single" w:sz="4" w:space="4" w:color="auto"/>
          <w:bottom w:val="single" w:sz="4" w:space="1" w:color="auto"/>
          <w:right w:val="single" w:sz="4" w:space="4" w:color="auto"/>
        </w:pBdr>
        <w:rPr>
          <w:rFonts w:cs="Arial"/>
          <w:iCs/>
          <w:noProof/>
          <w:szCs w:val="20"/>
        </w:rPr>
      </w:pPr>
    </w:p>
    <w:p w14:paraId="54123577" w14:textId="77777777" w:rsidR="005C55AD" w:rsidRPr="00714475" w:rsidRDefault="005C55AD" w:rsidP="00A47A2C">
      <w:pPr>
        <w:pBdr>
          <w:top w:val="single" w:sz="4" w:space="1" w:color="auto"/>
          <w:left w:val="single" w:sz="4" w:space="4" w:color="auto"/>
          <w:bottom w:val="single" w:sz="4" w:space="1" w:color="auto"/>
          <w:right w:val="single" w:sz="4" w:space="4" w:color="auto"/>
        </w:pBdr>
        <w:rPr>
          <w:rFonts w:cs="Arial"/>
          <w:iCs/>
          <w:noProof/>
          <w:szCs w:val="20"/>
        </w:rPr>
      </w:pPr>
    </w:p>
    <w:p w14:paraId="5949C5A7" w14:textId="56D947EE" w:rsidR="00A47A2C" w:rsidRPr="00714475" w:rsidRDefault="00A47A2C" w:rsidP="00A47A2C">
      <w:pPr>
        <w:pBdr>
          <w:top w:val="single" w:sz="4" w:space="1" w:color="auto"/>
          <w:left w:val="single" w:sz="4" w:space="4" w:color="auto"/>
          <w:bottom w:val="single" w:sz="4" w:space="1" w:color="auto"/>
          <w:right w:val="single" w:sz="4" w:space="4" w:color="auto"/>
        </w:pBdr>
        <w:rPr>
          <w:rFonts w:cs="Arial"/>
          <w:iCs/>
          <w:noProof/>
          <w:szCs w:val="20"/>
        </w:rPr>
      </w:pPr>
    </w:p>
    <w:p w14:paraId="7E306B10" w14:textId="77777777" w:rsidR="00A47A2C" w:rsidRPr="00A40660" w:rsidRDefault="00A47A2C" w:rsidP="00A47A2C">
      <w:pPr>
        <w:rPr>
          <w:rFonts w:cs="Arial"/>
          <w:bCs/>
          <w:i/>
          <w:noProof/>
          <w:szCs w:val="20"/>
        </w:rPr>
      </w:pPr>
    </w:p>
    <w:p w14:paraId="22883C07" w14:textId="77777777" w:rsidR="00A47A2C" w:rsidRPr="00A40660" w:rsidRDefault="00A47A2C" w:rsidP="00A47A2C">
      <w:pPr>
        <w:rPr>
          <w:rFonts w:cs="Arial"/>
          <w:bCs/>
          <w:i/>
          <w:noProof/>
          <w:szCs w:val="20"/>
        </w:rPr>
      </w:pPr>
    </w:p>
    <w:p w14:paraId="5F738BB8" w14:textId="77777777" w:rsidR="00A47A2C" w:rsidRPr="00A40660" w:rsidRDefault="00A47A2C" w:rsidP="00A47A2C">
      <w:pPr>
        <w:rPr>
          <w:rFonts w:cs="Arial"/>
          <w:bCs/>
          <w:i/>
          <w:noProof/>
          <w:szCs w:val="20"/>
        </w:rPr>
      </w:pPr>
    </w:p>
    <w:p w14:paraId="6EC3EE01" w14:textId="77777777" w:rsidR="00A47A2C" w:rsidRPr="00A40660" w:rsidRDefault="00A47A2C" w:rsidP="00A47A2C">
      <w:pPr>
        <w:rPr>
          <w:rFonts w:cs="Arial"/>
          <w:bCs/>
          <w:i/>
          <w:noProof/>
          <w:szCs w:val="20"/>
        </w:rPr>
      </w:pPr>
    </w:p>
    <w:p w14:paraId="6D8E863C" w14:textId="77777777" w:rsidR="00A47A2C" w:rsidRPr="00A40660" w:rsidRDefault="00A47A2C" w:rsidP="00A47A2C">
      <w:pPr>
        <w:rPr>
          <w:rFonts w:cs="Arial"/>
          <w:bCs/>
          <w:i/>
          <w:noProof/>
          <w:szCs w:val="20"/>
        </w:rPr>
      </w:pPr>
    </w:p>
    <w:p w14:paraId="0FC09EF7" w14:textId="77777777" w:rsidR="00A47A2C" w:rsidRPr="00A40660" w:rsidRDefault="00A47A2C" w:rsidP="00684810">
      <w:pPr>
        <w:rPr>
          <w:rFonts w:cs="Arial"/>
          <w:b/>
          <w:bCs/>
          <w:szCs w:val="20"/>
        </w:rPr>
      </w:pPr>
    </w:p>
    <w:sectPr w:rsidR="00A47A2C" w:rsidRPr="00A40660" w:rsidSect="00636EC2">
      <w:pgSz w:w="11900" w:h="16840" w:code="9"/>
      <w:pgMar w:top="1701" w:right="1701" w:bottom="1134" w:left="1701" w:header="964" w:footer="794"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0570" w16cex:dateUtc="2021-03-09T13:32:00Z"/>
  <w16cex:commentExtensible w16cex:durableId="23F205FF" w16cex:dateUtc="2021-03-09T13:34:00Z"/>
  <w16cex:commentExtensible w16cex:durableId="23F20659" w16cex:dateUtc="2021-03-09T13:36:00Z"/>
  <w16cex:commentExtensible w16cex:durableId="23F206D3" w16cex:dateUtc="2021-03-09T13:38:00Z"/>
  <w16cex:commentExtensible w16cex:durableId="23F20703" w16cex:dateUtc="2021-03-09T13:38:00Z"/>
  <w16cex:commentExtensible w16cex:durableId="23F20727" w16cex:dateUtc="2021-03-09T13:39:00Z"/>
  <w16cex:commentExtensible w16cex:durableId="23F2076D" w16cex:dateUtc="2021-03-09T13:40:00Z"/>
  <w16cex:commentExtensible w16cex:durableId="23F207A2" w16cex:dateUtc="2021-03-09T13:41:00Z"/>
  <w16cex:commentExtensible w16cex:durableId="23F207BF" w16cex:dateUtc="2021-03-09T13:42:00Z"/>
  <w16cex:commentExtensible w16cex:durableId="23F207D8" w16cex:dateUtc="2021-03-09T13:42:00Z"/>
  <w16cex:commentExtensible w16cex:durableId="23F207F4" w16cex:dateUtc="2021-03-09T13:43:00Z"/>
  <w16cex:commentExtensible w16cex:durableId="23F20848" w16cex:dateUtc="2021-03-09T13:44:00Z"/>
  <w16cex:commentExtensible w16cex:durableId="23F2088E" w16cex:dateUtc="2021-03-09T13:45:00Z"/>
  <w16cex:commentExtensible w16cex:durableId="23F208B4" w16cex:dateUtc="2021-03-09T13:46:00Z"/>
  <w16cex:commentExtensible w16cex:durableId="23F208E7" w16cex:dateUtc="2021-03-09T13:47:00Z"/>
  <w16cex:commentExtensible w16cex:durableId="23F2090F" w16cex:dateUtc="2021-03-09T13:47:00Z"/>
  <w16cex:commentExtensible w16cex:durableId="23F2094B" w16cex:dateUtc="2021-03-09T13:48:00Z"/>
  <w16cex:commentExtensible w16cex:durableId="23F209ED" w16cex:dateUtc="2021-03-09T13:51:00Z"/>
  <w16cex:commentExtensible w16cex:durableId="23F20A12" w16cex:dateUtc="2021-03-09T13:52:00Z"/>
  <w16cex:commentExtensible w16cex:durableId="23F20A3A" w16cex:dateUtc="2021-03-09T13:52:00Z"/>
  <w16cex:commentExtensible w16cex:durableId="23F20BC4" w16cex:dateUtc="2021-03-09T13:59:00Z"/>
  <w16cex:commentExtensible w16cex:durableId="23F20C27" w16cex:dateUtc="2021-03-09T14:00:00Z"/>
  <w16cex:commentExtensible w16cex:durableId="23F20C73" w16cex:dateUtc="2021-03-09T14:02:00Z"/>
  <w16cex:commentExtensible w16cex:durableId="23F20A74" w16cex:dateUtc="2021-03-09T13:53:00Z"/>
  <w16cex:commentExtensible w16cex:durableId="23F20C0F" w16cex:dateUtc="2021-03-09T14:00:00Z"/>
  <w16cex:commentExtensible w16cex:durableId="23F20CAE" w16cex:dateUtc="2021-03-09T14:03:00Z"/>
  <w16cex:commentExtensible w16cex:durableId="23F20CDA" w16cex:dateUtc="2021-03-09T14:03:00Z"/>
  <w16cex:commentExtensible w16cex:durableId="23F20D01" w16cex:dateUtc="2021-03-09T14:04:00Z"/>
  <w16cex:commentExtensible w16cex:durableId="23F20DA5" w16cex:dateUtc="2021-03-09T14:07:00Z"/>
  <w16cex:commentExtensible w16cex:durableId="23F20DC1" w16cex:dateUtc="2021-03-09T14:07:00Z"/>
  <w16cex:commentExtensible w16cex:durableId="23F20DD5" w16cex:dateUtc="2021-03-09T14:08:00Z"/>
  <w16cex:commentExtensible w16cex:durableId="23F20E3D" w16cex:dateUtc="2021-03-09T14:09:00Z"/>
  <w16cex:commentExtensible w16cex:durableId="23F20EBD" w16cex:dateUtc="2021-03-09T14:11:00Z"/>
  <w16cex:commentExtensible w16cex:durableId="23F20EC9" w16cex:dateUtc="2021-03-09T14:12:00Z"/>
  <w16cex:commentExtensible w16cex:durableId="23F20EE9" w16cex:dateUtc="2021-03-09T14:12:00Z"/>
  <w16cex:commentExtensible w16cex:durableId="23F20FBE" w16cex:dateUtc="2021-03-09T14:16:00Z"/>
  <w16cex:commentExtensible w16cex:durableId="23F20FD6" w16cex:dateUtc="2021-03-09T14:16:00Z"/>
  <w16cex:commentExtensible w16cex:durableId="23F20FEB" w16cex:dateUtc="2021-03-09T14:16:00Z"/>
  <w16cex:commentExtensible w16cex:durableId="23F21030" w16cex:dateUtc="2021-03-09T14:18:00Z"/>
  <w16cex:commentExtensible w16cex:durableId="23F210F3" w16cex:dateUtc="2021-03-09T14:21:00Z"/>
  <w16cex:commentExtensible w16cex:durableId="23F2110C" w16cex:dateUtc="2021-03-09T14:21:00Z"/>
  <w16cex:commentExtensible w16cex:durableId="23F2112D" w16cex:dateUtc="2021-03-09T14:22:00Z"/>
  <w16cex:commentExtensible w16cex:durableId="23F2122B" w16cex:dateUtc="2021-03-09T14:26:00Z"/>
  <w16cex:commentExtensible w16cex:durableId="23F2126A" w16cex:dateUtc="2021-03-09T14:27:00Z"/>
  <w16cex:commentExtensible w16cex:durableId="23F21372" w16cex:dateUtc="2021-03-09T14:32:00Z"/>
  <w16cex:commentExtensible w16cex:durableId="23F21251" w16cex:dateUtc="2021-03-09T14:27:00Z"/>
  <w16cex:commentExtensible w16cex:durableId="23F21344" w16cex:dateUtc="2021-03-09T14:31:00Z"/>
  <w16cex:commentExtensible w16cex:durableId="23F212EF" w16cex:dateUtc="2021-03-09T14:29:00Z"/>
  <w16cex:commentExtensible w16cex:durableId="23F213A6" w16cex:dateUtc="2021-03-09T14:32:00Z"/>
  <w16cex:commentExtensible w16cex:durableId="23F213CE" w16cex:dateUtc="2021-03-09T14:33:00Z"/>
  <w16cex:commentExtensible w16cex:durableId="23F213E9" w16cex:dateUtc="2021-03-09T14:34:00Z"/>
  <w16cex:commentExtensible w16cex:durableId="23F21412" w16cex:dateUtc="2021-03-09T14:34:00Z"/>
  <w16cex:commentExtensible w16cex:durableId="23F214B5" w16cex:dateUtc="2021-03-09T14:37:00Z"/>
  <w16cex:commentExtensible w16cex:durableId="23F214F4" w16cex:dateUtc="2021-03-09T14:38:00Z"/>
  <w16cex:commentExtensible w16cex:durableId="23F215A8" w16cex:dateUtc="2021-03-09T14:41:00Z"/>
  <w16cex:commentExtensible w16cex:durableId="23F21520" w16cex:dateUtc="2021-03-09T14:39:00Z"/>
  <w16cex:commentExtensible w16cex:durableId="23F21542" w16cex:dateUtc="2021-03-09T14:39:00Z"/>
  <w16cex:commentExtensible w16cex:durableId="23F21560" w16cex:dateUtc="2021-03-09T14:40:00Z"/>
  <w16cex:commentExtensible w16cex:durableId="23F215DA" w16cex:dateUtc="2021-03-09T14:42:00Z"/>
  <w16cex:commentExtensible w16cex:durableId="23F21609" w16cex:dateUtc="2021-03-09T14:43:00Z"/>
  <w16cex:commentExtensible w16cex:durableId="23F21620" w16cex:dateUtc="2021-03-09T14:43:00Z"/>
  <w16cex:commentExtensible w16cex:durableId="23F2166B" w16cex:dateUtc="2021-03-09T14:44:00Z"/>
  <w16cex:commentExtensible w16cex:durableId="23F2168E" w16cex:dateUtc="2021-03-09T14:45:00Z"/>
  <w16cex:commentExtensible w16cex:durableId="23F216C3" w16cex:dateUtc="2021-03-09T14:46:00Z"/>
  <w16cex:commentExtensible w16cex:durableId="23F2185E" w16cex:dateUtc="2021-03-09T14:53:00Z"/>
  <w16cex:commentExtensible w16cex:durableId="23F2188D" w16cex:dateUtc="2021-03-09T14:53:00Z"/>
  <w16cex:commentExtensible w16cex:durableId="23F218AF" w16cex:dateUtc="2021-03-09T14:54:00Z"/>
  <w16cex:commentExtensible w16cex:durableId="23F218EB" w16cex:dateUtc="2021-03-09T14:55:00Z"/>
  <w16cex:commentExtensible w16cex:durableId="23F218F8" w16cex:dateUtc="2021-03-09T14:55:00Z"/>
  <w16cex:commentExtensible w16cex:durableId="23F2191C" w16cex:dateUtc="2021-03-09T14:56:00Z"/>
  <w16cex:commentExtensible w16cex:durableId="23F2193F" w16cex:dateUtc="2021-03-09T14:56:00Z"/>
  <w16cex:commentExtensible w16cex:durableId="23F21954" w16cex:dateUtc="2021-03-09T14:57:00Z"/>
  <w16cex:commentExtensible w16cex:durableId="23F21977" w16cex:dateUtc="2021-03-09T14:57:00Z"/>
  <w16cex:commentExtensible w16cex:durableId="23F219B5" w16cex:dateUtc="2021-03-09T14:58:00Z"/>
  <w16cex:commentExtensible w16cex:durableId="23F219DE" w16cex:dateUtc="2021-03-09T14:59:00Z"/>
  <w16cex:commentExtensible w16cex:durableId="23F21A0D" w16cex:dateUtc="2021-03-09T15:00:00Z"/>
  <w16cex:commentExtensible w16cex:durableId="23F21A24" w16cex:dateUtc="2021-03-09T15:00:00Z"/>
  <w16cex:commentExtensible w16cex:durableId="23F21A3F" w16cex:dateUtc="2021-03-09T15:01:00Z"/>
  <w16cex:commentExtensible w16cex:durableId="23F21A62" w16cex:dateUtc="2021-03-09T15:01:00Z"/>
  <w16cex:commentExtensible w16cex:durableId="23F21A7B" w16cex:dateUtc="2021-03-09T15:02:00Z"/>
  <w16cex:commentExtensible w16cex:durableId="23F21A9B" w16cex:dateUtc="2021-03-09T15:02:00Z"/>
  <w16cex:commentExtensible w16cex:durableId="23F21AB5" w16cex:dateUtc="2021-03-09T15:03:00Z"/>
  <w16cex:commentExtensible w16cex:durableId="23F21AD8" w16cex:dateUtc="2021-03-09T15:03:00Z"/>
  <w16cex:commentExtensible w16cex:durableId="23F21AF4" w16cex:dateUtc="2021-03-09T15:04:00Z"/>
  <w16cex:commentExtensible w16cex:durableId="23F21B14" w16cex:dateUtc="2021-03-09T15:04:00Z"/>
  <w16cex:commentExtensible w16cex:durableId="23F21B3D" w16cex:dateUtc="2021-03-09T15:05:00Z"/>
  <w16cex:commentExtensible w16cex:durableId="23F21B5D" w16cex:dateUtc="2021-03-09T15:05:00Z"/>
  <w16cex:commentExtensible w16cex:durableId="23F21B75" w16cex:dateUtc="2021-03-09T15:06:00Z"/>
  <w16cex:commentExtensible w16cex:durableId="23F21B97" w16cex:dateUtc="2021-03-09T15:06:00Z"/>
  <w16cex:commentExtensible w16cex:durableId="23F21BC1" w16cex:dateUtc="2021-03-09T15:07:00Z"/>
  <w16cex:commentExtensible w16cex:durableId="23F21BE3" w16cex:dateUtc="2021-03-09T15:08:00Z"/>
  <w16cex:commentExtensible w16cex:durableId="23F21C04" w16cex:dateUtc="2021-03-09T15:08:00Z"/>
  <w16cex:commentExtensible w16cex:durableId="23F21C6E" w16cex:dateUtc="2021-03-09T15:10:00Z"/>
  <w16cex:commentExtensible w16cex:durableId="23F21C47" w16cex:dateUtc="2021-03-09T15:09:00Z"/>
  <w16cex:commentExtensible w16cex:durableId="23F21C8A" w16cex:dateUtc="2021-03-09T15:10:00Z"/>
  <w16cex:commentExtensible w16cex:durableId="23F21CAC" w16cex:dateUtc="2021-03-09T15:11:00Z"/>
  <w16cex:commentExtensible w16cex:durableId="23F21CD0" w16cex:dateUtc="2021-03-09T15:12:00Z"/>
  <w16cex:commentExtensible w16cex:durableId="23F21CF5" w16cex:dateUtc="2021-03-09T15:12:00Z"/>
  <w16cex:commentExtensible w16cex:durableId="23F21D00" w16cex:dateUtc="2021-03-09T15:12:00Z"/>
  <w16cex:commentExtensible w16cex:durableId="23F21D1B" w16cex:dateUtc="2021-03-09T15:13:00Z"/>
  <w16cex:commentExtensible w16cex:durableId="23F22252" w16cex:dateUtc="2021-03-09T15:35:00Z"/>
  <w16cex:commentExtensible w16cex:durableId="23F22296" w16cex:dateUtc="2021-03-09T15:36:00Z"/>
  <w16cex:commentExtensible w16cex:durableId="23F222B8" w16cex:dateUtc="2021-03-09T15:37:00Z"/>
  <w16cex:commentExtensible w16cex:durableId="23F222F2" w16cex:dateUtc="2021-03-09T15:38:00Z"/>
  <w16cex:commentExtensible w16cex:durableId="23F22312" w16cex:dateUtc="2021-03-09T15:38:00Z"/>
  <w16cex:commentExtensible w16cex:durableId="23F22329" w16cex:dateUtc="2021-03-09T15:39:00Z"/>
  <w16cex:commentExtensible w16cex:durableId="23F22341" w16cex:dateUtc="2021-03-09T15:39:00Z"/>
  <w16cex:commentExtensible w16cex:durableId="23F22356" w16cex:dateUtc="2021-03-09T15:39:00Z"/>
  <w16cex:commentExtensible w16cex:durableId="23F22396" w16cex:dateUtc="2021-03-09T15:40:00Z"/>
  <w16cex:commentExtensible w16cex:durableId="23F223AC" w16cex:dateUtc="2021-03-09T15:41:00Z"/>
  <w16cex:commentExtensible w16cex:durableId="23F223C6" w16cex:dateUtc="2021-03-09T15:41:00Z"/>
  <w16cex:commentExtensible w16cex:durableId="23F223E9" w16cex:dateUtc="2021-03-09T15:42:00Z"/>
  <w16cex:commentExtensible w16cex:durableId="23F22417" w16cex:dateUtc="2021-03-09T15:43:00Z"/>
  <w16cex:commentExtensible w16cex:durableId="23F2246C" w16cex:dateUtc="2021-03-09T15:44:00Z"/>
  <w16cex:commentExtensible w16cex:durableId="23F22487" w16cex:dateUtc="2021-03-09T15:44:00Z"/>
  <w16cex:commentExtensible w16cex:durableId="23F22491" w16cex:dateUtc="2021-03-09T15:45:00Z"/>
  <w16cex:commentExtensible w16cex:durableId="23F2249C" w16cex:dateUtc="2021-03-09T15:45:00Z"/>
  <w16cex:commentExtensible w16cex:durableId="23F224CD" w16cex:dateUtc="2021-03-09T15:46:00Z"/>
  <w16cex:commentExtensible w16cex:durableId="23F224F7" w16cex:dateUtc="2021-03-09T15:46:00Z"/>
  <w16cex:commentExtensible w16cex:durableId="23F22508" w16cex:dateUtc="2021-03-09T15:47:00Z"/>
  <w16cex:commentExtensible w16cex:durableId="23F22532" w16cex:dateUtc="2021-03-09T15:47:00Z"/>
  <w16cex:commentExtensible w16cex:durableId="23F22548" w16cex:dateUtc="2021-03-09T15:48:00Z"/>
  <w16cex:commentExtensible w16cex:durableId="23F22597" w16cex:dateUtc="2021-03-09T15:49:00Z"/>
  <w16cex:commentExtensible w16cex:durableId="23F22574" w16cex:dateUtc="2021-03-09T15:48:00Z"/>
  <w16cex:commentExtensible w16cex:durableId="23F227ED" w16cex:dateUtc="2021-03-09T15:59:00Z"/>
  <w16cex:commentExtensible w16cex:durableId="23F2281D" w16cex:dateUtc="2021-03-09T16:00:00Z"/>
  <w16cex:commentExtensible w16cex:durableId="23F22835" w16cex:dateUtc="2021-03-09T16:00:00Z"/>
  <w16cex:commentExtensible w16cex:durableId="23F22867" w16cex:dateUtc="2021-03-09T16:01:00Z"/>
  <w16cex:commentExtensible w16cex:durableId="23F228AA" w16cex:dateUtc="2021-03-09T16:02:00Z"/>
  <w16cex:commentExtensible w16cex:durableId="23F24A21" w16cex:dateUtc="2021-03-09T18:25:00Z"/>
  <w16cex:commentExtensible w16cex:durableId="23F24A45" w16cex:dateUtc="2021-03-09T18:25:00Z"/>
  <w16cex:commentExtensible w16cex:durableId="23CCD491" w16cex:dateUtc="2021-02-09T08:29:00Z"/>
  <w16cex:commentExtensible w16cex:durableId="23F24A79" w16cex:dateUtc="2021-03-09T18:26:00Z"/>
  <w16cex:commentExtensible w16cex:durableId="23F24A98" w16cex:dateUtc="2021-03-09T18:27:00Z"/>
  <w16cex:commentExtensible w16cex:durableId="23F24ADF" w16cex:dateUtc="2021-03-09T18:28:00Z"/>
  <w16cex:commentExtensible w16cex:durableId="23F24AEE" w16cex:dateUtc="2021-03-09T18:28:00Z"/>
  <w16cex:commentExtensible w16cex:durableId="23F24B09" w16cex:dateUtc="2021-03-09T18:29:00Z"/>
  <w16cex:commentExtensible w16cex:durableId="23F24B21" w16cex:dateUtc="2021-03-09T18:29:00Z"/>
  <w16cex:commentExtensible w16cex:durableId="23F24B39" w16cex:dateUtc="2021-03-0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6A4CA" w16cid:durableId="23F20570"/>
  <w16cid:commentId w16cid:paraId="4A02B21F" w16cid:durableId="23F205FF"/>
  <w16cid:commentId w16cid:paraId="1FC259F4" w16cid:durableId="23F20659"/>
  <w16cid:commentId w16cid:paraId="1938DCCD" w16cid:durableId="23F206D3"/>
  <w16cid:commentId w16cid:paraId="119E9360" w16cid:durableId="23F20703"/>
  <w16cid:commentId w16cid:paraId="3B1A8046" w16cid:durableId="23F20727"/>
  <w16cid:commentId w16cid:paraId="525515DB" w16cid:durableId="23F2076D"/>
  <w16cid:commentId w16cid:paraId="4CC2EB8A" w16cid:durableId="23F207A2"/>
  <w16cid:commentId w16cid:paraId="444B25A6" w16cid:durableId="23F207BF"/>
  <w16cid:commentId w16cid:paraId="1D574961" w16cid:durableId="23F207D8"/>
  <w16cid:commentId w16cid:paraId="5E5021A9" w16cid:durableId="23F207F4"/>
  <w16cid:commentId w16cid:paraId="33F174F0" w16cid:durableId="23F20848"/>
  <w16cid:commentId w16cid:paraId="52B60C73" w16cid:durableId="23F2088E"/>
  <w16cid:commentId w16cid:paraId="7FF4C67B" w16cid:durableId="23F208B4"/>
  <w16cid:commentId w16cid:paraId="6D0701B8" w16cid:durableId="23F208E7"/>
  <w16cid:commentId w16cid:paraId="71EA7989" w16cid:durableId="23F2090F"/>
  <w16cid:commentId w16cid:paraId="37139A4A" w16cid:durableId="23F2094B"/>
  <w16cid:commentId w16cid:paraId="42B96BE4" w16cid:durableId="23F209ED"/>
  <w16cid:commentId w16cid:paraId="4D3FB2A4" w16cid:durableId="23F20A12"/>
  <w16cid:commentId w16cid:paraId="2E400503" w16cid:durableId="23F20A3A"/>
  <w16cid:commentId w16cid:paraId="571B7270" w16cid:durableId="23F20BC4"/>
  <w16cid:commentId w16cid:paraId="614EFCE2" w16cid:durableId="23F20C27"/>
  <w16cid:commentId w16cid:paraId="1E053B11" w16cid:durableId="23F20C73"/>
  <w16cid:commentId w16cid:paraId="765897A5" w16cid:durableId="23F20A74"/>
  <w16cid:commentId w16cid:paraId="14D17889" w16cid:durableId="23F20C0F"/>
  <w16cid:commentId w16cid:paraId="2E70BDAD" w16cid:durableId="23F20CAE"/>
  <w16cid:commentId w16cid:paraId="1833FEC3" w16cid:durableId="23F20CDA"/>
  <w16cid:commentId w16cid:paraId="5E65F6F9" w16cid:durableId="23F20D01"/>
  <w16cid:commentId w16cid:paraId="37C110FB" w16cid:durableId="23F20DA5"/>
  <w16cid:commentId w16cid:paraId="5356A1BF" w16cid:durableId="23F20DC1"/>
  <w16cid:commentId w16cid:paraId="7C0A6F7B" w16cid:durableId="23F20DD5"/>
  <w16cid:commentId w16cid:paraId="7E9AF39D" w16cid:durableId="23F20E3D"/>
  <w16cid:commentId w16cid:paraId="218EB61B" w16cid:durableId="23F20EBD"/>
  <w16cid:commentId w16cid:paraId="4E0CB97E" w16cid:durableId="23F20EC9"/>
  <w16cid:commentId w16cid:paraId="3C3A08D4" w16cid:durableId="23F20EE9"/>
  <w16cid:commentId w16cid:paraId="7004B0D9" w16cid:durableId="23F20FBE"/>
  <w16cid:commentId w16cid:paraId="65B0CB8F" w16cid:durableId="23F20FD6"/>
  <w16cid:commentId w16cid:paraId="388DE65E" w16cid:durableId="23F20FEB"/>
  <w16cid:commentId w16cid:paraId="64AE70F2" w16cid:durableId="23F21030"/>
  <w16cid:commentId w16cid:paraId="1C4D3BD7" w16cid:durableId="23F210F3"/>
  <w16cid:commentId w16cid:paraId="1BE88356" w16cid:durableId="23F2110C"/>
  <w16cid:commentId w16cid:paraId="7C51B0A5" w16cid:durableId="23F2112D"/>
  <w16cid:commentId w16cid:paraId="3963B50F" w16cid:durableId="23F2122B"/>
  <w16cid:commentId w16cid:paraId="23F68257" w16cid:durableId="23F2126A"/>
  <w16cid:commentId w16cid:paraId="702B36D6" w16cid:durableId="23F21372"/>
  <w16cid:commentId w16cid:paraId="5CC92DC0" w16cid:durableId="23F21251"/>
  <w16cid:commentId w16cid:paraId="0CB41B59" w16cid:durableId="23F21344"/>
  <w16cid:commentId w16cid:paraId="7690DAC0" w16cid:durableId="23F212EF"/>
  <w16cid:commentId w16cid:paraId="413C5C5D" w16cid:durableId="23F213A6"/>
  <w16cid:commentId w16cid:paraId="17CBC242" w16cid:durableId="23F213CE"/>
  <w16cid:commentId w16cid:paraId="2D6DD14A" w16cid:durableId="23F213E9"/>
  <w16cid:commentId w16cid:paraId="096E3188" w16cid:durableId="23F21412"/>
  <w16cid:commentId w16cid:paraId="6B4F4A07" w16cid:durableId="23F214B5"/>
  <w16cid:commentId w16cid:paraId="27AB386C" w16cid:durableId="23F214F4"/>
  <w16cid:commentId w16cid:paraId="10804AD9" w16cid:durableId="23F215A8"/>
  <w16cid:commentId w16cid:paraId="0D8AA534" w16cid:durableId="23F21520"/>
  <w16cid:commentId w16cid:paraId="647EA6B9" w16cid:durableId="23F21542"/>
  <w16cid:commentId w16cid:paraId="0871D650" w16cid:durableId="23F21560"/>
  <w16cid:commentId w16cid:paraId="44521F87" w16cid:durableId="23F215DA"/>
  <w16cid:commentId w16cid:paraId="71330358" w16cid:durableId="23F21609"/>
  <w16cid:commentId w16cid:paraId="61D840F5" w16cid:durableId="23F21620"/>
  <w16cid:commentId w16cid:paraId="2A04EDD9" w16cid:durableId="23F2166B"/>
  <w16cid:commentId w16cid:paraId="4ADDC1F1" w16cid:durableId="23F2168E"/>
  <w16cid:commentId w16cid:paraId="12FF7E8E" w16cid:durableId="23F216C3"/>
  <w16cid:commentId w16cid:paraId="64E6F45B" w16cid:durableId="23F2185E"/>
  <w16cid:commentId w16cid:paraId="3E8714D2" w16cid:durableId="23F2188D"/>
  <w16cid:commentId w16cid:paraId="48A7B36F" w16cid:durableId="23F218AF"/>
  <w16cid:commentId w16cid:paraId="66F07F62" w16cid:durableId="23F218EB"/>
  <w16cid:commentId w16cid:paraId="5195A605" w16cid:durableId="23F218F8"/>
  <w16cid:commentId w16cid:paraId="1CCC6C0A" w16cid:durableId="23F2191C"/>
  <w16cid:commentId w16cid:paraId="5F21462C" w16cid:durableId="23F2193F"/>
  <w16cid:commentId w16cid:paraId="5974C268" w16cid:durableId="23F21954"/>
  <w16cid:commentId w16cid:paraId="279BE51A" w16cid:durableId="23F21977"/>
  <w16cid:commentId w16cid:paraId="6EFE775D" w16cid:durableId="23F219B5"/>
  <w16cid:commentId w16cid:paraId="18AD3C87" w16cid:durableId="23F219DE"/>
  <w16cid:commentId w16cid:paraId="3C10A732" w16cid:durableId="23F21A0D"/>
  <w16cid:commentId w16cid:paraId="55862847" w16cid:durableId="23F21A24"/>
  <w16cid:commentId w16cid:paraId="49D00FCB" w16cid:durableId="23F21A3F"/>
  <w16cid:commentId w16cid:paraId="3FEFC73E" w16cid:durableId="23F21A62"/>
  <w16cid:commentId w16cid:paraId="1B1889E0" w16cid:durableId="23F21A7B"/>
  <w16cid:commentId w16cid:paraId="21A8C93B" w16cid:durableId="23F21A9B"/>
  <w16cid:commentId w16cid:paraId="31AAE905" w16cid:durableId="23F21AB5"/>
  <w16cid:commentId w16cid:paraId="75DE8F8B" w16cid:durableId="23F21AD8"/>
  <w16cid:commentId w16cid:paraId="25D79020" w16cid:durableId="23F21AF4"/>
  <w16cid:commentId w16cid:paraId="56946FB7" w16cid:durableId="23F21B14"/>
  <w16cid:commentId w16cid:paraId="1651D861" w16cid:durableId="23F21B3D"/>
  <w16cid:commentId w16cid:paraId="0D291CF2" w16cid:durableId="23F21B5D"/>
  <w16cid:commentId w16cid:paraId="22893320" w16cid:durableId="23F21B75"/>
  <w16cid:commentId w16cid:paraId="5AEDF737" w16cid:durableId="23F21B97"/>
  <w16cid:commentId w16cid:paraId="4EE2C243" w16cid:durableId="23F21BC1"/>
  <w16cid:commentId w16cid:paraId="7BA0C5F4" w16cid:durableId="23F21BE3"/>
  <w16cid:commentId w16cid:paraId="2046BEC2" w16cid:durableId="23F21C04"/>
  <w16cid:commentId w16cid:paraId="350DC25F" w16cid:durableId="23F21C6E"/>
  <w16cid:commentId w16cid:paraId="6F6D2115" w16cid:durableId="23F21C47"/>
  <w16cid:commentId w16cid:paraId="5E4052BC" w16cid:durableId="23F21C8A"/>
  <w16cid:commentId w16cid:paraId="19FC043F" w16cid:durableId="23F21CAC"/>
  <w16cid:commentId w16cid:paraId="63D6197F" w16cid:durableId="23F21CD0"/>
  <w16cid:commentId w16cid:paraId="20E66E0B" w16cid:durableId="23F21CF5"/>
  <w16cid:commentId w16cid:paraId="0F162BD3" w16cid:durableId="23F21D00"/>
  <w16cid:commentId w16cid:paraId="59D0E17D" w16cid:durableId="23F21D1B"/>
  <w16cid:commentId w16cid:paraId="128B0553" w16cid:durableId="23F22252"/>
  <w16cid:commentId w16cid:paraId="5077B2C7" w16cid:durableId="23F22296"/>
  <w16cid:commentId w16cid:paraId="368C5C7F" w16cid:durableId="23F222B8"/>
  <w16cid:commentId w16cid:paraId="7D2BBC3C" w16cid:durableId="23F222F2"/>
  <w16cid:commentId w16cid:paraId="56AD4EF7" w16cid:durableId="23F22312"/>
  <w16cid:commentId w16cid:paraId="24C07F3C" w16cid:durableId="23F22329"/>
  <w16cid:commentId w16cid:paraId="22491353" w16cid:durableId="23F22341"/>
  <w16cid:commentId w16cid:paraId="42347829" w16cid:durableId="23F22356"/>
  <w16cid:commentId w16cid:paraId="41344E0B" w16cid:durableId="23F22396"/>
  <w16cid:commentId w16cid:paraId="39DC4EDB" w16cid:durableId="23F223AC"/>
  <w16cid:commentId w16cid:paraId="038FA80F" w16cid:durableId="23F223C6"/>
  <w16cid:commentId w16cid:paraId="784EA2E5" w16cid:durableId="23F223E9"/>
  <w16cid:commentId w16cid:paraId="253B792D" w16cid:durableId="23F22417"/>
  <w16cid:commentId w16cid:paraId="50FB3F9B" w16cid:durableId="23F2246C"/>
  <w16cid:commentId w16cid:paraId="6374D1E2" w16cid:durableId="23F22487"/>
  <w16cid:commentId w16cid:paraId="2D0474B8" w16cid:durableId="23F22491"/>
  <w16cid:commentId w16cid:paraId="7887D21C" w16cid:durableId="23F2249C"/>
  <w16cid:commentId w16cid:paraId="415344EF" w16cid:durableId="23F224CD"/>
  <w16cid:commentId w16cid:paraId="25ECACB9" w16cid:durableId="23F224F7"/>
  <w16cid:commentId w16cid:paraId="15EBF77F" w16cid:durableId="23F22508"/>
  <w16cid:commentId w16cid:paraId="6A334BE4" w16cid:durableId="23F22532"/>
  <w16cid:commentId w16cid:paraId="28F8EF99" w16cid:durableId="23F22548"/>
  <w16cid:commentId w16cid:paraId="51F3B14E" w16cid:durableId="23F22597"/>
  <w16cid:commentId w16cid:paraId="1559CACF" w16cid:durableId="23F22574"/>
  <w16cid:commentId w16cid:paraId="70E9C51F" w16cid:durableId="23F227ED"/>
  <w16cid:commentId w16cid:paraId="00B1D0C2" w16cid:durableId="23F2281D"/>
  <w16cid:commentId w16cid:paraId="7118B664" w16cid:durableId="23F22835"/>
  <w16cid:commentId w16cid:paraId="3D43B773" w16cid:durableId="23F22867"/>
  <w16cid:commentId w16cid:paraId="20CC8933" w16cid:durableId="23F228AA"/>
  <w16cid:commentId w16cid:paraId="0A20AEC4" w16cid:durableId="23F24A21"/>
  <w16cid:commentId w16cid:paraId="409138B8" w16cid:durableId="23F24A45"/>
  <w16cid:commentId w16cid:paraId="0CC9275F" w16cid:durableId="23CCD491"/>
  <w16cid:commentId w16cid:paraId="6FEF9D29" w16cid:durableId="23F24A79"/>
  <w16cid:commentId w16cid:paraId="65CB10E5" w16cid:durableId="23F24A98"/>
  <w16cid:commentId w16cid:paraId="4A8AC407" w16cid:durableId="23F24ADF"/>
  <w16cid:commentId w16cid:paraId="5B3B863B" w16cid:durableId="23F24AEE"/>
  <w16cid:commentId w16cid:paraId="176E2D93" w16cid:durableId="23F24B09"/>
  <w16cid:commentId w16cid:paraId="154BD38B" w16cid:durableId="23F24B21"/>
  <w16cid:commentId w16cid:paraId="33A97DD6" w16cid:durableId="23F24B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C5AD" w14:textId="77777777" w:rsidR="00FE45E9" w:rsidRDefault="00FE45E9" w:rsidP="00A01763">
      <w:pPr>
        <w:spacing w:line="240" w:lineRule="auto"/>
      </w:pPr>
      <w:r>
        <w:separator/>
      </w:r>
    </w:p>
  </w:endnote>
  <w:endnote w:type="continuationSeparator" w:id="0">
    <w:p w14:paraId="0D2A016F" w14:textId="77777777" w:rsidR="00FE45E9" w:rsidRDefault="00FE45E9" w:rsidP="00A01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7B5F" w14:textId="5D80B36C" w:rsidR="00FE45E9" w:rsidRDefault="00FE45E9" w:rsidP="00854925">
    <w:pPr>
      <w:pStyle w:val="Noga"/>
    </w:pPr>
    <w:r>
      <w:tab/>
    </w:r>
    <w:r>
      <w:rPr>
        <w:rStyle w:val="tevilkastrani"/>
      </w:rPr>
      <w:fldChar w:fldCharType="begin"/>
    </w:r>
    <w:r>
      <w:rPr>
        <w:rStyle w:val="tevilkastrani"/>
      </w:rPr>
      <w:instrText xml:space="preserve"> PAGE </w:instrText>
    </w:r>
    <w:r>
      <w:rPr>
        <w:rStyle w:val="tevilkastrani"/>
      </w:rPr>
      <w:fldChar w:fldCharType="separate"/>
    </w:r>
    <w:r w:rsidR="00817570">
      <w:rPr>
        <w:rStyle w:val="tevilkastrani"/>
        <w:noProof/>
      </w:rPr>
      <w:t>107</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17570">
      <w:rPr>
        <w:rStyle w:val="tevilkastrani"/>
        <w:noProof/>
      </w:rPr>
      <w:t>143</w:t>
    </w:r>
    <w:r>
      <w:rPr>
        <w:rStyle w:val="tevilkastrani"/>
      </w:rPr>
      <w:fldChar w:fldCharType="end"/>
    </w:r>
  </w:p>
  <w:p w14:paraId="62129625" w14:textId="77777777" w:rsidR="00FE45E9" w:rsidRPr="000F5308" w:rsidRDefault="00FE45E9" w:rsidP="00854925">
    <w:pPr>
      <w:pStyle w:val="Noga"/>
      <w:spacing w:line="240" w:lineRule="auto"/>
      <w:rPr>
        <w:lang w:val="pl-PL"/>
      </w:rPr>
    </w:pPr>
    <w:r>
      <w:rPr>
        <w:noProof/>
        <w:lang w:eastAsia="sl-SI"/>
      </w:rPr>
      <w:drawing>
        <wp:inline distT="0" distB="0" distL="0" distR="0" wp14:anchorId="2A334B64" wp14:editId="0CE000CA">
          <wp:extent cx="485775" cy="333375"/>
          <wp:effectExtent l="0" t="0" r="9525" b="9525"/>
          <wp:docPr id="1" name="Slika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lang w:eastAsia="sl-SI"/>
      </w:rPr>
      <w:drawing>
        <wp:inline distT="0" distB="0" distL="0" distR="0" wp14:anchorId="088B0779" wp14:editId="58AA6860">
          <wp:extent cx="476250" cy="419100"/>
          <wp:effectExtent l="0" t="0" r="0" b="0"/>
          <wp:docPr id="2" name="Slika 2"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7E16F0D7" w14:textId="77777777" w:rsidR="00FE45E9" w:rsidRPr="000F5308" w:rsidRDefault="00FE45E9" w:rsidP="00854925">
    <w:pPr>
      <w:pStyle w:val="Noga"/>
      <w:spacing w:line="240" w:lineRule="auto"/>
      <w:rPr>
        <w:lang w:eastAsia="sl-SI"/>
      </w:rPr>
    </w:pPr>
    <w:r>
      <w:rPr>
        <w:color w:val="000000"/>
        <w:spacing w:val="-2"/>
        <w:sz w:val="10"/>
        <w:szCs w:val="10"/>
        <w:lang w:eastAsia="sl-SI"/>
      </w:rPr>
      <w:t xml:space="preserve">  </w:t>
    </w:r>
    <w:r w:rsidRPr="000F5308">
      <w:rPr>
        <w:color w:val="000000"/>
        <w:spacing w:val="-2"/>
        <w:sz w:val="10"/>
        <w:szCs w:val="10"/>
        <w:lang w:eastAsia="sl-SI"/>
      </w:rPr>
      <w:t>Evropska unija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4E95" w14:textId="77777777" w:rsidR="00FE45E9" w:rsidRPr="000F5308" w:rsidRDefault="00FE45E9" w:rsidP="00854925">
    <w:pPr>
      <w:pStyle w:val="Noga"/>
      <w:spacing w:line="240" w:lineRule="auto"/>
      <w:rPr>
        <w:szCs w:val="20"/>
        <w:lang w:val="pl-PL"/>
      </w:rPr>
    </w:pPr>
    <w:r>
      <w:rPr>
        <w:noProof/>
        <w:lang w:eastAsia="sl-SI"/>
      </w:rPr>
      <w:drawing>
        <wp:inline distT="0" distB="0" distL="0" distR="0" wp14:anchorId="39EE0B43" wp14:editId="7C32DF6E">
          <wp:extent cx="1971675" cy="619125"/>
          <wp:effectExtent l="0" t="0" r="9525" b="9525"/>
          <wp:docPr id="3" name="Slika 3"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14:paraId="35188278" w14:textId="77777777" w:rsidR="00FE45E9" w:rsidRPr="000F5308" w:rsidRDefault="00FE45E9" w:rsidP="00854925">
    <w:pPr>
      <w:pStyle w:val="Noga"/>
      <w:tabs>
        <w:tab w:val="clear" w:pos="4320"/>
        <w:tab w:val="center" w:pos="1985"/>
      </w:tabs>
      <w:spacing w:line="240" w:lineRule="auto"/>
      <w:rPr>
        <w:sz w:val="10"/>
        <w:szCs w:val="10"/>
      </w:rPr>
    </w:pPr>
    <w:r w:rsidRPr="000F5308">
      <w:rPr>
        <w:color w:val="000000"/>
        <w:spacing w:val="-2"/>
        <w:sz w:val="10"/>
        <w:szCs w:val="10"/>
        <w:lang w:val="pl-PL" w:eastAsia="sl-SI"/>
      </w:rPr>
      <w:t xml:space="preserve">     </w:t>
    </w:r>
    <w:r>
      <w:rPr>
        <w:color w:val="000000"/>
        <w:spacing w:val="-2"/>
        <w:sz w:val="10"/>
        <w:szCs w:val="10"/>
        <w:lang w:val="pl-PL" w:eastAsia="sl-SI"/>
      </w:rPr>
      <w:t xml:space="preserve"> </w:t>
    </w:r>
    <w:r w:rsidRPr="000F5308">
      <w:rPr>
        <w:color w:val="000000"/>
        <w:spacing w:val="-2"/>
        <w:sz w:val="10"/>
        <w:szCs w:val="10"/>
        <w:lang w:eastAsia="sl-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416B8" w14:textId="77777777" w:rsidR="00FE45E9" w:rsidRDefault="00FE45E9" w:rsidP="00A01763">
      <w:pPr>
        <w:spacing w:line="240" w:lineRule="auto"/>
      </w:pPr>
      <w:r>
        <w:separator/>
      </w:r>
    </w:p>
  </w:footnote>
  <w:footnote w:type="continuationSeparator" w:id="0">
    <w:p w14:paraId="234C8420" w14:textId="77777777" w:rsidR="00FE45E9" w:rsidRDefault="00FE45E9" w:rsidP="00A01763">
      <w:pPr>
        <w:spacing w:line="240" w:lineRule="auto"/>
      </w:pPr>
      <w:r>
        <w:continuationSeparator/>
      </w:r>
    </w:p>
  </w:footnote>
  <w:footnote w:id="1">
    <w:p w14:paraId="46B273D9" w14:textId="77777777" w:rsidR="00FE45E9" w:rsidRPr="00A40660" w:rsidRDefault="00FE45E9">
      <w:pPr>
        <w:pStyle w:val="Sprotnaopomba-besedilo"/>
        <w:rPr>
          <w:lang w:val="sl-SI"/>
        </w:rPr>
      </w:pPr>
      <w:r>
        <w:rPr>
          <w:rStyle w:val="Sprotnaopomba-sklic"/>
        </w:rPr>
        <w:footnoteRef/>
      </w:r>
      <w:r w:rsidRPr="003F5964">
        <w:rPr>
          <w:lang w:val="it-IT"/>
        </w:rPr>
        <w:t xml:space="preserve"> </w:t>
      </w:r>
      <w:r w:rsidRPr="00040BDE">
        <w:rPr>
          <w:rFonts w:ascii="Arial" w:hAnsi="Arial" w:cs="Arial"/>
          <w:sz w:val="20"/>
          <w:lang w:val="sl-SI"/>
        </w:rPr>
        <w:t>Predloga je narejena na podlagi delnega splošnega pristopa Sveta, december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E45E9" w:rsidRPr="008F3500" w14:paraId="26C45B16" w14:textId="77777777">
      <w:trPr>
        <w:cantSplit/>
        <w:trHeight w:hRule="exact" w:val="847"/>
      </w:trPr>
      <w:tc>
        <w:tcPr>
          <w:tcW w:w="567" w:type="dxa"/>
        </w:tcPr>
        <w:p w14:paraId="2E1A06B1" w14:textId="77777777" w:rsidR="00FE45E9" w:rsidRDefault="00FE45E9" w:rsidP="0085492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77F8094" w14:textId="77777777" w:rsidR="00FE45E9" w:rsidRPr="006D42D9" w:rsidRDefault="00FE45E9" w:rsidP="00854925">
          <w:pPr>
            <w:rPr>
              <w:rFonts w:ascii="Republika" w:hAnsi="Republika"/>
              <w:sz w:val="60"/>
              <w:szCs w:val="60"/>
            </w:rPr>
          </w:pPr>
        </w:p>
        <w:p w14:paraId="31748429" w14:textId="77777777" w:rsidR="00FE45E9" w:rsidRPr="006D42D9" w:rsidRDefault="00FE45E9" w:rsidP="00854925">
          <w:pPr>
            <w:rPr>
              <w:rFonts w:ascii="Republika" w:hAnsi="Republika"/>
              <w:sz w:val="60"/>
              <w:szCs w:val="60"/>
            </w:rPr>
          </w:pPr>
        </w:p>
        <w:p w14:paraId="5DFEDCEE" w14:textId="77777777" w:rsidR="00FE45E9" w:rsidRPr="006D42D9" w:rsidRDefault="00FE45E9" w:rsidP="00854925">
          <w:pPr>
            <w:rPr>
              <w:rFonts w:ascii="Republika" w:hAnsi="Republika"/>
              <w:sz w:val="60"/>
              <w:szCs w:val="60"/>
            </w:rPr>
          </w:pPr>
        </w:p>
        <w:p w14:paraId="156E6D9B" w14:textId="77777777" w:rsidR="00FE45E9" w:rsidRPr="006D42D9" w:rsidRDefault="00FE45E9" w:rsidP="00854925">
          <w:pPr>
            <w:rPr>
              <w:rFonts w:ascii="Republika" w:hAnsi="Republika"/>
              <w:sz w:val="60"/>
              <w:szCs w:val="60"/>
            </w:rPr>
          </w:pPr>
        </w:p>
        <w:p w14:paraId="486F904D" w14:textId="77777777" w:rsidR="00FE45E9" w:rsidRPr="006D42D9" w:rsidRDefault="00FE45E9" w:rsidP="00854925">
          <w:pPr>
            <w:rPr>
              <w:rFonts w:ascii="Republika" w:hAnsi="Republika"/>
              <w:sz w:val="60"/>
              <w:szCs w:val="60"/>
            </w:rPr>
          </w:pPr>
        </w:p>
        <w:p w14:paraId="7AFFAE44" w14:textId="77777777" w:rsidR="00FE45E9" w:rsidRPr="006D42D9" w:rsidRDefault="00FE45E9" w:rsidP="00854925">
          <w:pPr>
            <w:rPr>
              <w:rFonts w:ascii="Republika" w:hAnsi="Republika"/>
              <w:sz w:val="60"/>
              <w:szCs w:val="60"/>
            </w:rPr>
          </w:pPr>
        </w:p>
        <w:p w14:paraId="3DCD4DCE" w14:textId="77777777" w:rsidR="00FE45E9" w:rsidRPr="006D42D9" w:rsidRDefault="00FE45E9" w:rsidP="00854925">
          <w:pPr>
            <w:rPr>
              <w:rFonts w:ascii="Republika" w:hAnsi="Republika"/>
              <w:sz w:val="60"/>
              <w:szCs w:val="60"/>
            </w:rPr>
          </w:pPr>
        </w:p>
        <w:p w14:paraId="082EAF48" w14:textId="77777777" w:rsidR="00FE45E9" w:rsidRPr="006D42D9" w:rsidRDefault="00FE45E9" w:rsidP="00854925">
          <w:pPr>
            <w:rPr>
              <w:rFonts w:ascii="Republika" w:hAnsi="Republika"/>
              <w:sz w:val="60"/>
              <w:szCs w:val="60"/>
            </w:rPr>
          </w:pPr>
        </w:p>
        <w:p w14:paraId="02070FA9" w14:textId="77777777" w:rsidR="00FE45E9" w:rsidRPr="006D42D9" w:rsidRDefault="00FE45E9" w:rsidP="00854925">
          <w:pPr>
            <w:rPr>
              <w:rFonts w:ascii="Republika" w:hAnsi="Republika"/>
              <w:sz w:val="60"/>
              <w:szCs w:val="60"/>
            </w:rPr>
          </w:pPr>
        </w:p>
        <w:p w14:paraId="63F08A34" w14:textId="77777777" w:rsidR="00FE45E9" w:rsidRPr="006D42D9" w:rsidRDefault="00FE45E9" w:rsidP="00854925">
          <w:pPr>
            <w:rPr>
              <w:rFonts w:ascii="Republika" w:hAnsi="Republika"/>
              <w:sz w:val="60"/>
              <w:szCs w:val="60"/>
            </w:rPr>
          </w:pPr>
        </w:p>
        <w:p w14:paraId="1DF2D57F" w14:textId="77777777" w:rsidR="00FE45E9" w:rsidRPr="006D42D9" w:rsidRDefault="00FE45E9" w:rsidP="00854925">
          <w:pPr>
            <w:rPr>
              <w:rFonts w:ascii="Republika" w:hAnsi="Republika"/>
              <w:sz w:val="60"/>
              <w:szCs w:val="60"/>
            </w:rPr>
          </w:pPr>
        </w:p>
        <w:p w14:paraId="07F52323" w14:textId="77777777" w:rsidR="00FE45E9" w:rsidRPr="006D42D9" w:rsidRDefault="00FE45E9" w:rsidP="00854925">
          <w:pPr>
            <w:rPr>
              <w:rFonts w:ascii="Republika" w:hAnsi="Republika"/>
              <w:sz w:val="60"/>
              <w:szCs w:val="60"/>
            </w:rPr>
          </w:pPr>
        </w:p>
        <w:p w14:paraId="62519974" w14:textId="77777777" w:rsidR="00FE45E9" w:rsidRPr="006D42D9" w:rsidRDefault="00FE45E9" w:rsidP="00854925">
          <w:pPr>
            <w:rPr>
              <w:rFonts w:ascii="Republika" w:hAnsi="Republika"/>
              <w:sz w:val="60"/>
              <w:szCs w:val="60"/>
            </w:rPr>
          </w:pPr>
        </w:p>
        <w:p w14:paraId="6F78E9A1" w14:textId="77777777" w:rsidR="00FE45E9" w:rsidRPr="006D42D9" w:rsidRDefault="00FE45E9" w:rsidP="00854925">
          <w:pPr>
            <w:rPr>
              <w:rFonts w:ascii="Republika" w:hAnsi="Republika"/>
              <w:sz w:val="60"/>
              <w:szCs w:val="60"/>
            </w:rPr>
          </w:pPr>
        </w:p>
        <w:p w14:paraId="0CA7B450" w14:textId="77777777" w:rsidR="00FE45E9" w:rsidRPr="006D42D9" w:rsidRDefault="00FE45E9" w:rsidP="00854925">
          <w:pPr>
            <w:rPr>
              <w:rFonts w:ascii="Republika" w:hAnsi="Republika"/>
              <w:sz w:val="60"/>
              <w:szCs w:val="60"/>
            </w:rPr>
          </w:pPr>
        </w:p>
        <w:p w14:paraId="18BD070E" w14:textId="77777777" w:rsidR="00FE45E9" w:rsidRPr="006D42D9" w:rsidRDefault="00FE45E9" w:rsidP="00854925">
          <w:pPr>
            <w:rPr>
              <w:rFonts w:ascii="Republika" w:hAnsi="Republika"/>
              <w:sz w:val="60"/>
              <w:szCs w:val="60"/>
            </w:rPr>
          </w:pPr>
        </w:p>
      </w:tc>
    </w:tr>
  </w:tbl>
  <w:p w14:paraId="55E71AE8" w14:textId="77777777" w:rsidR="00FE45E9" w:rsidRPr="008F3500" w:rsidRDefault="00FE45E9" w:rsidP="00854925">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9264" behindDoc="1" locked="0" layoutInCell="0" allowOverlap="1" wp14:anchorId="1C73064A" wp14:editId="03C50F7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2925"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1E000DCD" w14:textId="77777777" w:rsidR="00FE45E9" w:rsidRPr="005C2FBD" w:rsidRDefault="00FE45E9" w:rsidP="00854925">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kmetijstvo, </w:t>
    </w:r>
    <w:r>
      <w:rPr>
        <w:rFonts w:ascii="Republika Bold" w:hAnsi="Republika Bold"/>
        <w:b/>
        <w:caps/>
      </w:rPr>
      <w:br/>
      <w:t>gozdarstvo in prehrano</w:t>
    </w:r>
  </w:p>
  <w:p w14:paraId="031E2AF2" w14:textId="77777777" w:rsidR="00FE45E9" w:rsidRPr="008F3500" w:rsidRDefault="00FE45E9" w:rsidP="00854925">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3762459B" w14:textId="77777777" w:rsidR="00FE45E9" w:rsidRPr="008F3500" w:rsidRDefault="00FE45E9" w:rsidP="00854925">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01 478 90 21</w:t>
    </w:r>
    <w:r w:rsidRPr="008F3500">
      <w:rPr>
        <w:rFonts w:cs="Arial"/>
        <w:sz w:val="16"/>
      </w:rPr>
      <w:t xml:space="preserve"> </w:t>
    </w:r>
  </w:p>
  <w:p w14:paraId="50150DEC" w14:textId="77777777" w:rsidR="00FE45E9" w:rsidRPr="008F3500" w:rsidRDefault="00FE45E9" w:rsidP="00854925">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52C3F392" w14:textId="77777777" w:rsidR="00FE45E9" w:rsidRPr="008F3500" w:rsidRDefault="00FE45E9" w:rsidP="0085492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426403E7" w14:textId="77777777" w:rsidR="00FE45E9" w:rsidRPr="008F3500" w:rsidRDefault="00FE45E9" w:rsidP="0085492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A73"/>
    <w:multiLevelType w:val="hybridMultilevel"/>
    <w:tmpl w:val="9E9C316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094140CC"/>
    <w:multiLevelType w:val="hybridMultilevel"/>
    <w:tmpl w:val="30769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8403D8"/>
    <w:multiLevelType w:val="multilevel"/>
    <w:tmpl w:val="5224B8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DC2908"/>
    <w:multiLevelType w:val="multilevel"/>
    <w:tmpl w:val="B5D4F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F84821"/>
    <w:multiLevelType w:val="hybridMultilevel"/>
    <w:tmpl w:val="1E1465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BA75AF"/>
    <w:multiLevelType w:val="hybridMultilevel"/>
    <w:tmpl w:val="7700A808"/>
    <w:lvl w:ilvl="0" w:tplc="0B3449C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4A0967"/>
    <w:multiLevelType w:val="hybridMultilevel"/>
    <w:tmpl w:val="AC5CB8B2"/>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58211C"/>
    <w:multiLevelType w:val="multilevel"/>
    <w:tmpl w:val="CACCB2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866433"/>
    <w:multiLevelType w:val="hybridMultilevel"/>
    <w:tmpl w:val="50FAF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0B5C85"/>
    <w:multiLevelType w:val="hybridMultilevel"/>
    <w:tmpl w:val="50FAF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175C61"/>
    <w:multiLevelType w:val="hybridMultilevel"/>
    <w:tmpl w:val="63C01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28243F"/>
    <w:multiLevelType w:val="multilevel"/>
    <w:tmpl w:val="55B4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306EFC"/>
    <w:multiLevelType w:val="hybridMultilevel"/>
    <w:tmpl w:val="33E66604"/>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A160BC"/>
    <w:multiLevelType w:val="hybridMultilevel"/>
    <w:tmpl w:val="B504FD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F74266"/>
    <w:multiLevelType w:val="multilevel"/>
    <w:tmpl w:val="01E051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B8164D"/>
    <w:multiLevelType w:val="hybridMultilevel"/>
    <w:tmpl w:val="6740A13E"/>
    <w:lvl w:ilvl="0" w:tplc="C6A0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904CED"/>
    <w:multiLevelType w:val="hybridMultilevel"/>
    <w:tmpl w:val="D57ED5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6D55CE"/>
    <w:multiLevelType w:val="hybridMultilevel"/>
    <w:tmpl w:val="3348E244"/>
    <w:lvl w:ilvl="0" w:tplc="0424000F">
      <w:start w:val="1"/>
      <w:numFmt w:val="decimal"/>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C571B6"/>
    <w:multiLevelType w:val="hybridMultilevel"/>
    <w:tmpl w:val="4680FCAA"/>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0A20CE"/>
    <w:multiLevelType w:val="hybridMultilevel"/>
    <w:tmpl w:val="68FCFE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218347A"/>
    <w:multiLevelType w:val="multilevel"/>
    <w:tmpl w:val="C37A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956756"/>
    <w:multiLevelType w:val="hybridMultilevel"/>
    <w:tmpl w:val="3AE497B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3467DCC"/>
    <w:multiLevelType w:val="hybridMultilevel"/>
    <w:tmpl w:val="8BD4D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EB2FCE"/>
    <w:multiLevelType w:val="multilevel"/>
    <w:tmpl w:val="70421C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8092A2F"/>
    <w:multiLevelType w:val="hybridMultilevel"/>
    <w:tmpl w:val="1632F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066E99"/>
    <w:multiLevelType w:val="hybridMultilevel"/>
    <w:tmpl w:val="585AC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BC636C"/>
    <w:multiLevelType w:val="hybridMultilevel"/>
    <w:tmpl w:val="D6529C9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9250E8"/>
    <w:multiLevelType w:val="hybridMultilevel"/>
    <w:tmpl w:val="42AE6D92"/>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4808C2"/>
    <w:multiLevelType w:val="hybridMultilevel"/>
    <w:tmpl w:val="661A4C22"/>
    <w:lvl w:ilvl="0" w:tplc="C20A822C">
      <w:start w:val="1"/>
      <w:numFmt w:val="decimal"/>
      <w:lvlText w:val="%1."/>
      <w:lvlJc w:val="left"/>
      <w:pPr>
        <w:ind w:left="720" w:hanging="360"/>
      </w:pPr>
      <w:rPr>
        <w:rFonts w:hint="default"/>
        <w:b w:val="0"/>
      </w:rPr>
    </w:lvl>
    <w:lvl w:ilvl="1" w:tplc="1D106782">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EA3FA0"/>
    <w:multiLevelType w:val="hybridMultilevel"/>
    <w:tmpl w:val="A65801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AD6986"/>
    <w:multiLevelType w:val="hybridMultilevel"/>
    <w:tmpl w:val="ED349E9E"/>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D8855BD"/>
    <w:multiLevelType w:val="multilevel"/>
    <w:tmpl w:val="08306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06E0283"/>
    <w:multiLevelType w:val="hybridMultilevel"/>
    <w:tmpl w:val="2C7A97C0"/>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3" w15:restartNumberingAfterBreak="0">
    <w:nsid w:val="416B54A6"/>
    <w:multiLevelType w:val="hybridMultilevel"/>
    <w:tmpl w:val="6FBAB8C4"/>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201574F"/>
    <w:multiLevelType w:val="hybridMultilevel"/>
    <w:tmpl w:val="879C05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154843"/>
    <w:multiLevelType w:val="hybridMultilevel"/>
    <w:tmpl w:val="F8FED6A0"/>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CB463C7"/>
    <w:multiLevelType w:val="hybridMultilevel"/>
    <w:tmpl w:val="4352EFB8"/>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D5C0926"/>
    <w:multiLevelType w:val="hybridMultilevel"/>
    <w:tmpl w:val="3072D630"/>
    <w:lvl w:ilvl="0" w:tplc="C6A0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E8B76F2"/>
    <w:multiLevelType w:val="hybridMultilevel"/>
    <w:tmpl w:val="FEB2BD8A"/>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F01239C"/>
    <w:multiLevelType w:val="hybridMultilevel"/>
    <w:tmpl w:val="B2726152"/>
    <w:lvl w:ilvl="0" w:tplc="C6A0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4F57CE"/>
    <w:multiLevelType w:val="hybridMultilevel"/>
    <w:tmpl w:val="A7D87A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1BA13E0"/>
    <w:multiLevelType w:val="multilevel"/>
    <w:tmpl w:val="446E97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5655644"/>
    <w:multiLevelType w:val="hybridMultilevel"/>
    <w:tmpl w:val="54080C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7CC71E9"/>
    <w:multiLevelType w:val="hybridMultilevel"/>
    <w:tmpl w:val="6F00D744"/>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894781F"/>
    <w:multiLevelType w:val="hybridMultilevel"/>
    <w:tmpl w:val="FB209DAC"/>
    <w:lvl w:ilvl="0" w:tplc="C6A0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E133949"/>
    <w:multiLevelType w:val="hybridMultilevel"/>
    <w:tmpl w:val="7AB0421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33955D3"/>
    <w:multiLevelType w:val="hybridMultilevel"/>
    <w:tmpl w:val="6C1606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5246D00"/>
    <w:multiLevelType w:val="hybridMultilevel"/>
    <w:tmpl w:val="D4FE8D18"/>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76A1FBC"/>
    <w:multiLevelType w:val="hybridMultilevel"/>
    <w:tmpl w:val="63F042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787AA1"/>
    <w:multiLevelType w:val="hybridMultilevel"/>
    <w:tmpl w:val="8BBADAF6"/>
    <w:lvl w:ilvl="0" w:tplc="04240003">
      <w:start w:val="1"/>
      <w:numFmt w:val="bullet"/>
      <w:lvlText w:val="o"/>
      <w:lvlJc w:val="left"/>
      <w:pPr>
        <w:ind w:left="1352" w:hanging="360"/>
      </w:pPr>
      <w:rPr>
        <w:rFonts w:ascii="Courier New" w:hAnsi="Courier New" w:cs="Courier New"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51" w15:restartNumberingAfterBreak="0">
    <w:nsid w:val="6D78570E"/>
    <w:multiLevelType w:val="multilevel"/>
    <w:tmpl w:val="16306D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7958B5"/>
    <w:multiLevelType w:val="hybridMultilevel"/>
    <w:tmpl w:val="D42C2BE0"/>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FD04549"/>
    <w:multiLevelType w:val="hybridMultilevel"/>
    <w:tmpl w:val="744E3CA6"/>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0EF440B"/>
    <w:multiLevelType w:val="multilevel"/>
    <w:tmpl w:val="305CC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6E929CA"/>
    <w:multiLevelType w:val="hybridMultilevel"/>
    <w:tmpl w:val="EC1EE726"/>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8CB5364"/>
    <w:multiLevelType w:val="hybridMultilevel"/>
    <w:tmpl w:val="CBD442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9946C63"/>
    <w:multiLevelType w:val="hybridMultilevel"/>
    <w:tmpl w:val="C7FA67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9BF5E8F"/>
    <w:multiLevelType w:val="hybridMultilevel"/>
    <w:tmpl w:val="A81EF7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C813CCA"/>
    <w:multiLevelType w:val="hybridMultilevel"/>
    <w:tmpl w:val="AA7272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0" w15:restartNumberingAfterBreak="0">
    <w:nsid w:val="7E3E6741"/>
    <w:multiLevelType w:val="hybridMultilevel"/>
    <w:tmpl w:val="090C7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FBC3426"/>
    <w:multiLevelType w:val="hybridMultilevel"/>
    <w:tmpl w:val="CC94F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1"/>
  </w:num>
  <w:num w:numId="4">
    <w:abstractNumId w:val="39"/>
  </w:num>
  <w:num w:numId="5">
    <w:abstractNumId w:val="11"/>
  </w:num>
  <w:num w:numId="6">
    <w:abstractNumId w:val="37"/>
  </w:num>
  <w:num w:numId="7">
    <w:abstractNumId w:val="15"/>
  </w:num>
  <w:num w:numId="8">
    <w:abstractNumId w:val="44"/>
  </w:num>
  <w:num w:numId="9">
    <w:abstractNumId w:val="49"/>
  </w:num>
  <w:num w:numId="10">
    <w:abstractNumId w:val="53"/>
  </w:num>
  <w:num w:numId="11">
    <w:abstractNumId w:val="18"/>
  </w:num>
  <w:num w:numId="12">
    <w:abstractNumId w:val="55"/>
  </w:num>
  <w:num w:numId="13">
    <w:abstractNumId w:val="38"/>
  </w:num>
  <w:num w:numId="14">
    <w:abstractNumId w:val="30"/>
  </w:num>
  <w:num w:numId="15">
    <w:abstractNumId w:val="43"/>
  </w:num>
  <w:num w:numId="16">
    <w:abstractNumId w:val="6"/>
  </w:num>
  <w:num w:numId="17">
    <w:abstractNumId w:val="27"/>
  </w:num>
  <w:num w:numId="18">
    <w:abstractNumId w:val="17"/>
  </w:num>
  <w:num w:numId="19">
    <w:abstractNumId w:val="35"/>
  </w:num>
  <w:num w:numId="20">
    <w:abstractNumId w:val="36"/>
  </w:num>
  <w:num w:numId="21">
    <w:abstractNumId w:val="52"/>
  </w:num>
  <w:num w:numId="22">
    <w:abstractNumId w:val="12"/>
  </w:num>
  <w:num w:numId="23">
    <w:abstractNumId w:val="32"/>
  </w:num>
  <w:num w:numId="24">
    <w:abstractNumId w:val="60"/>
  </w:num>
  <w:num w:numId="25">
    <w:abstractNumId w:val="59"/>
  </w:num>
  <w:num w:numId="26">
    <w:abstractNumId w:val="5"/>
  </w:num>
  <w:num w:numId="27">
    <w:abstractNumId w:val="56"/>
  </w:num>
  <w:num w:numId="28">
    <w:abstractNumId w:val="10"/>
  </w:num>
  <w:num w:numId="29">
    <w:abstractNumId w:val="42"/>
  </w:num>
  <w:num w:numId="30">
    <w:abstractNumId w:val="47"/>
  </w:num>
  <w:num w:numId="31">
    <w:abstractNumId w:val="13"/>
  </w:num>
  <w:num w:numId="32">
    <w:abstractNumId w:val="24"/>
  </w:num>
  <w:num w:numId="33">
    <w:abstractNumId w:val="61"/>
  </w:num>
  <w:num w:numId="34">
    <w:abstractNumId w:val="22"/>
  </w:num>
  <w:num w:numId="35">
    <w:abstractNumId w:val="19"/>
  </w:num>
  <w:num w:numId="36">
    <w:abstractNumId w:val="21"/>
  </w:num>
  <w:num w:numId="37">
    <w:abstractNumId w:val="8"/>
  </w:num>
  <w:num w:numId="38">
    <w:abstractNumId w:val="51"/>
  </w:num>
  <w:num w:numId="39">
    <w:abstractNumId w:val="0"/>
  </w:num>
  <w:num w:numId="40">
    <w:abstractNumId w:val="2"/>
  </w:num>
  <w:num w:numId="41">
    <w:abstractNumId w:val="23"/>
  </w:num>
  <w:num w:numId="42">
    <w:abstractNumId w:val="14"/>
  </w:num>
  <w:num w:numId="43">
    <w:abstractNumId w:val="41"/>
  </w:num>
  <w:num w:numId="44">
    <w:abstractNumId w:val="7"/>
  </w:num>
  <w:num w:numId="45">
    <w:abstractNumId w:val="54"/>
  </w:num>
  <w:num w:numId="46">
    <w:abstractNumId w:val="29"/>
  </w:num>
  <w:num w:numId="47">
    <w:abstractNumId w:val="33"/>
  </w:num>
  <w:num w:numId="48">
    <w:abstractNumId w:val="45"/>
  </w:num>
  <w:num w:numId="49">
    <w:abstractNumId w:val="28"/>
  </w:num>
  <w:num w:numId="50">
    <w:abstractNumId w:val="57"/>
  </w:num>
  <w:num w:numId="51">
    <w:abstractNumId w:val="58"/>
  </w:num>
  <w:num w:numId="52">
    <w:abstractNumId w:val="48"/>
  </w:num>
  <w:num w:numId="53">
    <w:abstractNumId w:val="9"/>
  </w:num>
  <w:num w:numId="54">
    <w:abstractNumId w:val="40"/>
  </w:num>
  <w:num w:numId="55">
    <w:abstractNumId w:val="16"/>
  </w:num>
  <w:num w:numId="56">
    <w:abstractNumId w:val="46"/>
  </w:num>
  <w:num w:numId="57">
    <w:abstractNumId w:val="25"/>
  </w:num>
  <w:num w:numId="58">
    <w:abstractNumId w:val="1"/>
  </w:num>
  <w:num w:numId="59">
    <w:abstractNumId w:val="34"/>
  </w:num>
  <w:num w:numId="60">
    <w:abstractNumId w:val="26"/>
  </w:num>
  <w:num w:numId="61">
    <w:abstractNumId w:val="50"/>
  </w:num>
  <w:num w:numId="62">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NDE3MjE3NTU0NDJW0lEKTi0uzszPAykwrAUAZgGElywAAAA="/>
  </w:docVars>
  <w:rsids>
    <w:rsidRoot w:val="00A01763"/>
    <w:rsid w:val="000001B9"/>
    <w:rsid w:val="0000041F"/>
    <w:rsid w:val="00000967"/>
    <w:rsid w:val="00001E91"/>
    <w:rsid w:val="00002C98"/>
    <w:rsid w:val="000040A2"/>
    <w:rsid w:val="00005273"/>
    <w:rsid w:val="000054AF"/>
    <w:rsid w:val="0000714D"/>
    <w:rsid w:val="0001238F"/>
    <w:rsid w:val="00012430"/>
    <w:rsid w:val="00012C31"/>
    <w:rsid w:val="00014534"/>
    <w:rsid w:val="0001712A"/>
    <w:rsid w:val="000179F6"/>
    <w:rsid w:val="00021242"/>
    <w:rsid w:val="000243B4"/>
    <w:rsid w:val="00024455"/>
    <w:rsid w:val="00026090"/>
    <w:rsid w:val="00033AAA"/>
    <w:rsid w:val="00034A04"/>
    <w:rsid w:val="00034B66"/>
    <w:rsid w:val="00035EA9"/>
    <w:rsid w:val="00036699"/>
    <w:rsid w:val="00037439"/>
    <w:rsid w:val="00037E21"/>
    <w:rsid w:val="00040BDE"/>
    <w:rsid w:val="00043989"/>
    <w:rsid w:val="000443D6"/>
    <w:rsid w:val="00046E18"/>
    <w:rsid w:val="000470FA"/>
    <w:rsid w:val="0005093B"/>
    <w:rsid w:val="00050D26"/>
    <w:rsid w:val="00051BB9"/>
    <w:rsid w:val="00052CE5"/>
    <w:rsid w:val="00053D3F"/>
    <w:rsid w:val="000569D5"/>
    <w:rsid w:val="000576B6"/>
    <w:rsid w:val="0006222A"/>
    <w:rsid w:val="000640AD"/>
    <w:rsid w:val="00065082"/>
    <w:rsid w:val="00066B2E"/>
    <w:rsid w:val="000674D5"/>
    <w:rsid w:val="000725C5"/>
    <w:rsid w:val="0007458F"/>
    <w:rsid w:val="000816A0"/>
    <w:rsid w:val="00081913"/>
    <w:rsid w:val="00085BAD"/>
    <w:rsid w:val="00087482"/>
    <w:rsid w:val="00090944"/>
    <w:rsid w:val="00090AB9"/>
    <w:rsid w:val="00093B54"/>
    <w:rsid w:val="00094A1D"/>
    <w:rsid w:val="00094B10"/>
    <w:rsid w:val="00095766"/>
    <w:rsid w:val="00095D4D"/>
    <w:rsid w:val="00096369"/>
    <w:rsid w:val="000964D2"/>
    <w:rsid w:val="000A340C"/>
    <w:rsid w:val="000A35B4"/>
    <w:rsid w:val="000A36E0"/>
    <w:rsid w:val="000A3B88"/>
    <w:rsid w:val="000A46D5"/>
    <w:rsid w:val="000A4DE5"/>
    <w:rsid w:val="000A784A"/>
    <w:rsid w:val="000B0DC9"/>
    <w:rsid w:val="000B12C2"/>
    <w:rsid w:val="000B1C60"/>
    <w:rsid w:val="000B2178"/>
    <w:rsid w:val="000B35C5"/>
    <w:rsid w:val="000B5E20"/>
    <w:rsid w:val="000B64F9"/>
    <w:rsid w:val="000C104D"/>
    <w:rsid w:val="000C26F2"/>
    <w:rsid w:val="000C2E01"/>
    <w:rsid w:val="000C39A3"/>
    <w:rsid w:val="000C41C1"/>
    <w:rsid w:val="000C55B1"/>
    <w:rsid w:val="000C63A4"/>
    <w:rsid w:val="000C7B02"/>
    <w:rsid w:val="000D1B02"/>
    <w:rsid w:val="000D20F7"/>
    <w:rsid w:val="000D2B39"/>
    <w:rsid w:val="000D3FFD"/>
    <w:rsid w:val="000D5CEF"/>
    <w:rsid w:val="000D6444"/>
    <w:rsid w:val="000E2054"/>
    <w:rsid w:val="000E21B8"/>
    <w:rsid w:val="000E2618"/>
    <w:rsid w:val="000E3000"/>
    <w:rsid w:val="000E4597"/>
    <w:rsid w:val="000E58B0"/>
    <w:rsid w:val="000E68C3"/>
    <w:rsid w:val="000E7A98"/>
    <w:rsid w:val="000F012A"/>
    <w:rsid w:val="000F02CA"/>
    <w:rsid w:val="000F1799"/>
    <w:rsid w:val="000F2095"/>
    <w:rsid w:val="000F59C0"/>
    <w:rsid w:val="000F5DE8"/>
    <w:rsid w:val="000F6487"/>
    <w:rsid w:val="000F68C3"/>
    <w:rsid w:val="000F6C24"/>
    <w:rsid w:val="0010008B"/>
    <w:rsid w:val="00102278"/>
    <w:rsid w:val="00102D80"/>
    <w:rsid w:val="00103B1F"/>
    <w:rsid w:val="001042E7"/>
    <w:rsid w:val="001048DE"/>
    <w:rsid w:val="0010536F"/>
    <w:rsid w:val="001059B3"/>
    <w:rsid w:val="00106408"/>
    <w:rsid w:val="00106D9A"/>
    <w:rsid w:val="001110CE"/>
    <w:rsid w:val="0011295C"/>
    <w:rsid w:val="00113A7B"/>
    <w:rsid w:val="001145F6"/>
    <w:rsid w:val="001146BA"/>
    <w:rsid w:val="0011478F"/>
    <w:rsid w:val="00116216"/>
    <w:rsid w:val="00116A25"/>
    <w:rsid w:val="00116D75"/>
    <w:rsid w:val="001209FD"/>
    <w:rsid w:val="0012239D"/>
    <w:rsid w:val="00122E7D"/>
    <w:rsid w:val="00124A0A"/>
    <w:rsid w:val="00124F9F"/>
    <w:rsid w:val="00126E50"/>
    <w:rsid w:val="00126F28"/>
    <w:rsid w:val="00127B32"/>
    <w:rsid w:val="00131122"/>
    <w:rsid w:val="00133711"/>
    <w:rsid w:val="0013679C"/>
    <w:rsid w:val="00136EA3"/>
    <w:rsid w:val="00137227"/>
    <w:rsid w:val="00141029"/>
    <w:rsid w:val="0014208C"/>
    <w:rsid w:val="00142C01"/>
    <w:rsid w:val="00143339"/>
    <w:rsid w:val="0014511D"/>
    <w:rsid w:val="00145CED"/>
    <w:rsid w:val="00147BEE"/>
    <w:rsid w:val="00151AB9"/>
    <w:rsid w:val="00152DBD"/>
    <w:rsid w:val="0015330E"/>
    <w:rsid w:val="001541F8"/>
    <w:rsid w:val="00154D72"/>
    <w:rsid w:val="0015582D"/>
    <w:rsid w:val="001562C7"/>
    <w:rsid w:val="00164B75"/>
    <w:rsid w:val="00166427"/>
    <w:rsid w:val="00166466"/>
    <w:rsid w:val="001665B2"/>
    <w:rsid w:val="00167654"/>
    <w:rsid w:val="001717AF"/>
    <w:rsid w:val="00174AC2"/>
    <w:rsid w:val="00174F78"/>
    <w:rsid w:val="001750BB"/>
    <w:rsid w:val="001764BF"/>
    <w:rsid w:val="001767E3"/>
    <w:rsid w:val="001807C9"/>
    <w:rsid w:val="00180A10"/>
    <w:rsid w:val="0018281C"/>
    <w:rsid w:val="001833AC"/>
    <w:rsid w:val="00186775"/>
    <w:rsid w:val="001927C2"/>
    <w:rsid w:val="00193A87"/>
    <w:rsid w:val="00193ACA"/>
    <w:rsid w:val="00195700"/>
    <w:rsid w:val="0019710B"/>
    <w:rsid w:val="001A01C7"/>
    <w:rsid w:val="001A1851"/>
    <w:rsid w:val="001A1E0E"/>
    <w:rsid w:val="001A1F3D"/>
    <w:rsid w:val="001A538E"/>
    <w:rsid w:val="001A5B6C"/>
    <w:rsid w:val="001A6541"/>
    <w:rsid w:val="001A6A04"/>
    <w:rsid w:val="001A7498"/>
    <w:rsid w:val="001B17AD"/>
    <w:rsid w:val="001B1F15"/>
    <w:rsid w:val="001B2A45"/>
    <w:rsid w:val="001B4816"/>
    <w:rsid w:val="001B5B93"/>
    <w:rsid w:val="001B64B0"/>
    <w:rsid w:val="001B6E1D"/>
    <w:rsid w:val="001B7146"/>
    <w:rsid w:val="001C049D"/>
    <w:rsid w:val="001C1041"/>
    <w:rsid w:val="001C36A6"/>
    <w:rsid w:val="001C6A4C"/>
    <w:rsid w:val="001C6CA0"/>
    <w:rsid w:val="001C7DDB"/>
    <w:rsid w:val="001D0C59"/>
    <w:rsid w:val="001D2EDB"/>
    <w:rsid w:val="001D3BD0"/>
    <w:rsid w:val="001D4D89"/>
    <w:rsid w:val="001D56ED"/>
    <w:rsid w:val="001D6BE8"/>
    <w:rsid w:val="001D79F3"/>
    <w:rsid w:val="001E2156"/>
    <w:rsid w:val="001E2A84"/>
    <w:rsid w:val="001E3C11"/>
    <w:rsid w:val="001E3E1A"/>
    <w:rsid w:val="001E42C8"/>
    <w:rsid w:val="001E4630"/>
    <w:rsid w:val="001E62A9"/>
    <w:rsid w:val="001E6586"/>
    <w:rsid w:val="001E77B0"/>
    <w:rsid w:val="001F0359"/>
    <w:rsid w:val="001F0C54"/>
    <w:rsid w:val="001F15E8"/>
    <w:rsid w:val="001F283D"/>
    <w:rsid w:val="001F2F27"/>
    <w:rsid w:val="001F3D33"/>
    <w:rsid w:val="001F4266"/>
    <w:rsid w:val="001F4AB7"/>
    <w:rsid w:val="001F6C21"/>
    <w:rsid w:val="002008C1"/>
    <w:rsid w:val="00200F85"/>
    <w:rsid w:val="00202FB0"/>
    <w:rsid w:val="00204657"/>
    <w:rsid w:val="0020707C"/>
    <w:rsid w:val="0020707E"/>
    <w:rsid w:val="00207532"/>
    <w:rsid w:val="00207562"/>
    <w:rsid w:val="00211ACA"/>
    <w:rsid w:val="002127FD"/>
    <w:rsid w:val="00213259"/>
    <w:rsid w:val="0021365B"/>
    <w:rsid w:val="00213F8D"/>
    <w:rsid w:val="002160A2"/>
    <w:rsid w:val="00216239"/>
    <w:rsid w:val="00216B35"/>
    <w:rsid w:val="00220829"/>
    <w:rsid w:val="00221810"/>
    <w:rsid w:val="00224B28"/>
    <w:rsid w:val="00226315"/>
    <w:rsid w:val="002278FF"/>
    <w:rsid w:val="0023066A"/>
    <w:rsid w:val="00234072"/>
    <w:rsid w:val="0023476C"/>
    <w:rsid w:val="00234A6E"/>
    <w:rsid w:val="002357EB"/>
    <w:rsid w:val="00235C1C"/>
    <w:rsid w:val="0023746A"/>
    <w:rsid w:val="00240BFF"/>
    <w:rsid w:val="002458C0"/>
    <w:rsid w:val="00246841"/>
    <w:rsid w:val="00251B02"/>
    <w:rsid w:val="00253870"/>
    <w:rsid w:val="00255FA9"/>
    <w:rsid w:val="00256A08"/>
    <w:rsid w:val="00256A1D"/>
    <w:rsid w:val="002602FB"/>
    <w:rsid w:val="00260A5D"/>
    <w:rsid w:val="002622DF"/>
    <w:rsid w:val="002625FB"/>
    <w:rsid w:val="00262751"/>
    <w:rsid w:val="00262E11"/>
    <w:rsid w:val="00262F47"/>
    <w:rsid w:val="00263C9A"/>
    <w:rsid w:val="00264BEB"/>
    <w:rsid w:val="00267867"/>
    <w:rsid w:val="0027164F"/>
    <w:rsid w:val="00272241"/>
    <w:rsid w:val="00272556"/>
    <w:rsid w:val="00272D6B"/>
    <w:rsid w:val="002730C5"/>
    <w:rsid w:val="00275CCF"/>
    <w:rsid w:val="0027738C"/>
    <w:rsid w:val="00277F03"/>
    <w:rsid w:val="00280445"/>
    <w:rsid w:val="00282B94"/>
    <w:rsid w:val="00282DB1"/>
    <w:rsid w:val="0028413E"/>
    <w:rsid w:val="002851C7"/>
    <w:rsid w:val="002852F3"/>
    <w:rsid w:val="002867AD"/>
    <w:rsid w:val="00286A77"/>
    <w:rsid w:val="00286B69"/>
    <w:rsid w:val="00291ABF"/>
    <w:rsid w:val="002922B4"/>
    <w:rsid w:val="00293249"/>
    <w:rsid w:val="00293BB4"/>
    <w:rsid w:val="00293CEA"/>
    <w:rsid w:val="00293FAE"/>
    <w:rsid w:val="00294114"/>
    <w:rsid w:val="002945F0"/>
    <w:rsid w:val="00295E96"/>
    <w:rsid w:val="00296D56"/>
    <w:rsid w:val="002A1AAA"/>
    <w:rsid w:val="002A217E"/>
    <w:rsid w:val="002A4000"/>
    <w:rsid w:val="002A4BE4"/>
    <w:rsid w:val="002A5147"/>
    <w:rsid w:val="002A57CF"/>
    <w:rsid w:val="002A6595"/>
    <w:rsid w:val="002A66A2"/>
    <w:rsid w:val="002A6E74"/>
    <w:rsid w:val="002A6F4E"/>
    <w:rsid w:val="002A70E8"/>
    <w:rsid w:val="002A738A"/>
    <w:rsid w:val="002A7BD6"/>
    <w:rsid w:val="002B2129"/>
    <w:rsid w:val="002B2EC9"/>
    <w:rsid w:val="002B32D5"/>
    <w:rsid w:val="002B4F25"/>
    <w:rsid w:val="002B5212"/>
    <w:rsid w:val="002B538A"/>
    <w:rsid w:val="002C2D7B"/>
    <w:rsid w:val="002C6077"/>
    <w:rsid w:val="002C6F16"/>
    <w:rsid w:val="002D0FD0"/>
    <w:rsid w:val="002D2430"/>
    <w:rsid w:val="002D326D"/>
    <w:rsid w:val="002D35F8"/>
    <w:rsid w:val="002D3A44"/>
    <w:rsid w:val="002D70D0"/>
    <w:rsid w:val="002E00EF"/>
    <w:rsid w:val="002E0EE2"/>
    <w:rsid w:val="002E3726"/>
    <w:rsid w:val="002E5B22"/>
    <w:rsid w:val="002F0C81"/>
    <w:rsid w:val="002F3943"/>
    <w:rsid w:val="002F3A3E"/>
    <w:rsid w:val="002F3BC2"/>
    <w:rsid w:val="002F4B6B"/>
    <w:rsid w:val="002F6097"/>
    <w:rsid w:val="002F6478"/>
    <w:rsid w:val="00300859"/>
    <w:rsid w:val="003027BE"/>
    <w:rsid w:val="00303079"/>
    <w:rsid w:val="00303308"/>
    <w:rsid w:val="00303F23"/>
    <w:rsid w:val="00303FF3"/>
    <w:rsid w:val="00305845"/>
    <w:rsid w:val="00310979"/>
    <w:rsid w:val="00311110"/>
    <w:rsid w:val="003113A2"/>
    <w:rsid w:val="003118B5"/>
    <w:rsid w:val="003137FC"/>
    <w:rsid w:val="0031401D"/>
    <w:rsid w:val="003158A2"/>
    <w:rsid w:val="00315D37"/>
    <w:rsid w:val="003205B0"/>
    <w:rsid w:val="00320D8C"/>
    <w:rsid w:val="00321180"/>
    <w:rsid w:val="003215AE"/>
    <w:rsid w:val="00321C48"/>
    <w:rsid w:val="0032362C"/>
    <w:rsid w:val="00323BB4"/>
    <w:rsid w:val="00324201"/>
    <w:rsid w:val="00324475"/>
    <w:rsid w:val="00325BAB"/>
    <w:rsid w:val="00326F74"/>
    <w:rsid w:val="003309CC"/>
    <w:rsid w:val="00331C73"/>
    <w:rsid w:val="00332447"/>
    <w:rsid w:val="003335C2"/>
    <w:rsid w:val="00333959"/>
    <w:rsid w:val="00333C66"/>
    <w:rsid w:val="00334449"/>
    <w:rsid w:val="00336491"/>
    <w:rsid w:val="003369FA"/>
    <w:rsid w:val="00340359"/>
    <w:rsid w:val="00340614"/>
    <w:rsid w:val="00340E75"/>
    <w:rsid w:val="00343A29"/>
    <w:rsid w:val="00346655"/>
    <w:rsid w:val="00346DAA"/>
    <w:rsid w:val="00347288"/>
    <w:rsid w:val="00347EE4"/>
    <w:rsid w:val="00354523"/>
    <w:rsid w:val="00360306"/>
    <w:rsid w:val="00362FA4"/>
    <w:rsid w:val="003635A0"/>
    <w:rsid w:val="003659DF"/>
    <w:rsid w:val="00367595"/>
    <w:rsid w:val="00370945"/>
    <w:rsid w:val="00371864"/>
    <w:rsid w:val="0037235E"/>
    <w:rsid w:val="00372BBC"/>
    <w:rsid w:val="003733A3"/>
    <w:rsid w:val="00374B70"/>
    <w:rsid w:val="003750DA"/>
    <w:rsid w:val="0037598F"/>
    <w:rsid w:val="00381EF0"/>
    <w:rsid w:val="00384655"/>
    <w:rsid w:val="003857F5"/>
    <w:rsid w:val="003862A9"/>
    <w:rsid w:val="003907F5"/>
    <w:rsid w:val="0039234D"/>
    <w:rsid w:val="00393E45"/>
    <w:rsid w:val="00394608"/>
    <w:rsid w:val="00396F79"/>
    <w:rsid w:val="00397C5E"/>
    <w:rsid w:val="00397CF8"/>
    <w:rsid w:val="00397FB8"/>
    <w:rsid w:val="003A07A3"/>
    <w:rsid w:val="003A120A"/>
    <w:rsid w:val="003A2990"/>
    <w:rsid w:val="003A36E0"/>
    <w:rsid w:val="003A434C"/>
    <w:rsid w:val="003A45BB"/>
    <w:rsid w:val="003A4C60"/>
    <w:rsid w:val="003A4C8B"/>
    <w:rsid w:val="003A4FAF"/>
    <w:rsid w:val="003A50BA"/>
    <w:rsid w:val="003A6288"/>
    <w:rsid w:val="003A7DDF"/>
    <w:rsid w:val="003B0014"/>
    <w:rsid w:val="003B0956"/>
    <w:rsid w:val="003B10D8"/>
    <w:rsid w:val="003B3EA7"/>
    <w:rsid w:val="003B547A"/>
    <w:rsid w:val="003B56CA"/>
    <w:rsid w:val="003B7186"/>
    <w:rsid w:val="003C00CF"/>
    <w:rsid w:val="003C1813"/>
    <w:rsid w:val="003C2FDC"/>
    <w:rsid w:val="003C3C63"/>
    <w:rsid w:val="003C426C"/>
    <w:rsid w:val="003C4C56"/>
    <w:rsid w:val="003D0413"/>
    <w:rsid w:val="003D5277"/>
    <w:rsid w:val="003D53D3"/>
    <w:rsid w:val="003D59A2"/>
    <w:rsid w:val="003D6A1D"/>
    <w:rsid w:val="003E0240"/>
    <w:rsid w:val="003E1FF1"/>
    <w:rsid w:val="003E2F8D"/>
    <w:rsid w:val="003F0949"/>
    <w:rsid w:val="003F2352"/>
    <w:rsid w:val="003F27D8"/>
    <w:rsid w:val="003F5964"/>
    <w:rsid w:val="003F59E2"/>
    <w:rsid w:val="003F6F43"/>
    <w:rsid w:val="003F76B8"/>
    <w:rsid w:val="0040006F"/>
    <w:rsid w:val="004005C8"/>
    <w:rsid w:val="00401B7F"/>
    <w:rsid w:val="00402793"/>
    <w:rsid w:val="0040357E"/>
    <w:rsid w:val="00403D06"/>
    <w:rsid w:val="0040418C"/>
    <w:rsid w:val="00404738"/>
    <w:rsid w:val="00404BC0"/>
    <w:rsid w:val="004077BB"/>
    <w:rsid w:val="00407F94"/>
    <w:rsid w:val="004125DF"/>
    <w:rsid w:val="00412B06"/>
    <w:rsid w:val="00412FC2"/>
    <w:rsid w:val="004141DE"/>
    <w:rsid w:val="0041546A"/>
    <w:rsid w:val="00415662"/>
    <w:rsid w:val="00416755"/>
    <w:rsid w:val="00416783"/>
    <w:rsid w:val="004171D5"/>
    <w:rsid w:val="00417C01"/>
    <w:rsid w:val="00420734"/>
    <w:rsid w:val="00422406"/>
    <w:rsid w:val="004244BE"/>
    <w:rsid w:val="004257A3"/>
    <w:rsid w:val="00430A00"/>
    <w:rsid w:val="00434A17"/>
    <w:rsid w:val="004357F1"/>
    <w:rsid w:val="00440D0E"/>
    <w:rsid w:val="00440DCC"/>
    <w:rsid w:val="00442017"/>
    <w:rsid w:val="0044771E"/>
    <w:rsid w:val="00450234"/>
    <w:rsid w:val="00452DA4"/>
    <w:rsid w:val="00455A97"/>
    <w:rsid w:val="00455FEA"/>
    <w:rsid w:val="0045608A"/>
    <w:rsid w:val="0045623E"/>
    <w:rsid w:val="00456F08"/>
    <w:rsid w:val="00461A39"/>
    <w:rsid w:val="00461C84"/>
    <w:rsid w:val="00462018"/>
    <w:rsid w:val="00463D1E"/>
    <w:rsid w:val="00465EFD"/>
    <w:rsid w:val="00466C37"/>
    <w:rsid w:val="00471D61"/>
    <w:rsid w:val="00473017"/>
    <w:rsid w:val="00473D64"/>
    <w:rsid w:val="00475D02"/>
    <w:rsid w:val="004763F8"/>
    <w:rsid w:val="00477F6E"/>
    <w:rsid w:val="00480231"/>
    <w:rsid w:val="0048057D"/>
    <w:rsid w:val="004809A3"/>
    <w:rsid w:val="00481E33"/>
    <w:rsid w:val="004837F9"/>
    <w:rsid w:val="00483A19"/>
    <w:rsid w:val="004879E3"/>
    <w:rsid w:val="00494199"/>
    <w:rsid w:val="00494EC6"/>
    <w:rsid w:val="004978AC"/>
    <w:rsid w:val="00497A4E"/>
    <w:rsid w:val="004A052C"/>
    <w:rsid w:val="004A0B0D"/>
    <w:rsid w:val="004A0C99"/>
    <w:rsid w:val="004A0C9F"/>
    <w:rsid w:val="004A4D5C"/>
    <w:rsid w:val="004A4F9E"/>
    <w:rsid w:val="004A5C45"/>
    <w:rsid w:val="004A77BA"/>
    <w:rsid w:val="004B0473"/>
    <w:rsid w:val="004B2683"/>
    <w:rsid w:val="004B412F"/>
    <w:rsid w:val="004B465B"/>
    <w:rsid w:val="004B4EDE"/>
    <w:rsid w:val="004B50CE"/>
    <w:rsid w:val="004B517A"/>
    <w:rsid w:val="004B52DF"/>
    <w:rsid w:val="004B586D"/>
    <w:rsid w:val="004B5CFE"/>
    <w:rsid w:val="004B5F68"/>
    <w:rsid w:val="004B659D"/>
    <w:rsid w:val="004C075D"/>
    <w:rsid w:val="004C0D7F"/>
    <w:rsid w:val="004C1C05"/>
    <w:rsid w:val="004C2611"/>
    <w:rsid w:val="004C4CD2"/>
    <w:rsid w:val="004C5CA4"/>
    <w:rsid w:val="004C7B07"/>
    <w:rsid w:val="004C7F4C"/>
    <w:rsid w:val="004D1C85"/>
    <w:rsid w:val="004D4122"/>
    <w:rsid w:val="004D46F5"/>
    <w:rsid w:val="004D53D2"/>
    <w:rsid w:val="004E2677"/>
    <w:rsid w:val="004E3722"/>
    <w:rsid w:val="004F0844"/>
    <w:rsid w:val="004F108E"/>
    <w:rsid w:val="004F15DD"/>
    <w:rsid w:val="004F42E5"/>
    <w:rsid w:val="004F6EC0"/>
    <w:rsid w:val="0050165B"/>
    <w:rsid w:val="00503E44"/>
    <w:rsid w:val="005059EC"/>
    <w:rsid w:val="0050600B"/>
    <w:rsid w:val="00506794"/>
    <w:rsid w:val="00507FCD"/>
    <w:rsid w:val="005100A0"/>
    <w:rsid w:val="00511EF9"/>
    <w:rsid w:val="00512374"/>
    <w:rsid w:val="00512AAB"/>
    <w:rsid w:val="005137FA"/>
    <w:rsid w:val="00513A18"/>
    <w:rsid w:val="00513B27"/>
    <w:rsid w:val="00514B78"/>
    <w:rsid w:val="005179B5"/>
    <w:rsid w:val="005305B9"/>
    <w:rsid w:val="00532E9A"/>
    <w:rsid w:val="00533D1A"/>
    <w:rsid w:val="00533F35"/>
    <w:rsid w:val="00536E5D"/>
    <w:rsid w:val="00537252"/>
    <w:rsid w:val="00537C5C"/>
    <w:rsid w:val="00540038"/>
    <w:rsid w:val="00540655"/>
    <w:rsid w:val="00540FA0"/>
    <w:rsid w:val="00541A12"/>
    <w:rsid w:val="0054798A"/>
    <w:rsid w:val="00550DF5"/>
    <w:rsid w:val="005510BE"/>
    <w:rsid w:val="0055135F"/>
    <w:rsid w:val="00555189"/>
    <w:rsid w:val="005564D8"/>
    <w:rsid w:val="005678D6"/>
    <w:rsid w:val="005728A6"/>
    <w:rsid w:val="005735BE"/>
    <w:rsid w:val="00573927"/>
    <w:rsid w:val="0057683C"/>
    <w:rsid w:val="00577FA6"/>
    <w:rsid w:val="00582756"/>
    <w:rsid w:val="00582817"/>
    <w:rsid w:val="00582C4C"/>
    <w:rsid w:val="00582F99"/>
    <w:rsid w:val="005835CC"/>
    <w:rsid w:val="005840AA"/>
    <w:rsid w:val="0058515A"/>
    <w:rsid w:val="0058582C"/>
    <w:rsid w:val="00585CEC"/>
    <w:rsid w:val="00585F74"/>
    <w:rsid w:val="0058710E"/>
    <w:rsid w:val="005953F3"/>
    <w:rsid w:val="00595648"/>
    <w:rsid w:val="005971DD"/>
    <w:rsid w:val="00597ADB"/>
    <w:rsid w:val="005A0368"/>
    <w:rsid w:val="005A38C3"/>
    <w:rsid w:val="005A51A8"/>
    <w:rsid w:val="005B0647"/>
    <w:rsid w:val="005B206C"/>
    <w:rsid w:val="005B3058"/>
    <w:rsid w:val="005B318C"/>
    <w:rsid w:val="005B340E"/>
    <w:rsid w:val="005B3CB4"/>
    <w:rsid w:val="005B4B8E"/>
    <w:rsid w:val="005B6EFA"/>
    <w:rsid w:val="005C1206"/>
    <w:rsid w:val="005C19A2"/>
    <w:rsid w:val="005C275F"/>
    <w:rsid w:val="005C3795"/>
    <w:rsid w:val="005C4D46"/>
    <w:rsid w:val="005C55AD"/>
    <w:rsid w:val="005C5BAA"/>
    <w:rsid w:val="005C5C10"/>
    <w:rsid w:val="005C667A"/>
    <w:rsid w:val="005D05C7"/>
    <w:rsid w:val="005D28B5"/>
    <w:rsid w:val="005D2CCE"/>
    <w:rsid w:val="005D369D"/>
    <w:rsid w:val="005D607A"/>
    <w:rsid w:val="005E17E9"/>
    <w:rsid w:val="005E1DD6"/>
    <w:rsid w:val="005E3D43"/>
    <w:rsid w:val="005E3DBA"/>
    <w:rsid w:val="005E51C2"/>
    <w:rsid w:val="005E535D"/>
    <w:rsid w:val="005E6645"/>
    <w:rsid w:val="005E664A"/>
    <w:rsid w:val="005E668A"/>
    <w:rsid w:val="005E683D"/>
    <w:rsid w:val="005E68CD"/>
    <w:rsid w:val="005F1A3E"/>
    <w:rsid w:val="005F1FE4"/>
    <w:rsid w:val="005F4D25"/>
    <w:rsid w:val="005F4DE4"/>
    <w:rsid w:val="005F53CF"/>
    <w:rsid w:val="005F5E9A"/>
    <w:rsid w:val="006005A9"/>
    <w:rsid w:val="00602810"/>
    <w:rsid w:val="00602F1A"/>
    <w:rsid w:val="0060319D"/>
    <w:rsid w:val="00603EA7"/>
    <w:rsid w:val="0060531C"/>
    <w:rsid w:val="006062F1"/>
    <w:rsid w:val="006063F9"/>
    <w:rsid w:val="00610438"/>
    <w:rsid w:val="00610A3A"/>
    <w:rsid w:val="0061123E"/>
    <w:rsid w:val="006117A8"/>
    <w:rsid w:val="00612312"/>
    <w:rsid w:val="00612450"/>
    <w:rsid w:val="00613387"/>
    <w:rsid w:val="00613A04"/>
    <w:rsid w:val="00615E9B"/>
    <w:rsid w:val="00617D6F"/>
    <w:rsid w:val="00624D15"/>
    <w:rsid w:val="006252DE"/>
    <w:rsid w:val="006258AE"/>
    <w:rsid w:val="006266F9"/>
    <w:rsid w:val="0062719E"/>
    <w:rsid w:val="0062794C"/>
    <w:rsid w:val="00627AC5"/>
    <w:rsid w:val="006301A5"/>
    <w:rsid w:val="00632518"/>
    <w:rsid w:val="00632BF1"/>
    <w:rsid w:val="00633494"/>
    <w:rsid w:val="00636EC2"/>
    <w:rsid w:val="006417BD"/>
    <w:rsid w:val="00641D93"/>
    <w:rsid w:val="0064310A"/>
    <w:rsid w:val="006432FD"/>
    <w:rsid w:val="00644095"/>
    <w:rsid w:val="006505F9"/>
    <w:rsid w:val="006542D7"/>
    <w:rsid w:val="006564CB"/>
    <w:rsid w:val="00657714"/>
    <w:rsid w:val="00657FD0"/>
    <w:rsid w:val="006626B9"/>
    <w:rsid w:val="0066304F"/>
    <w:rsid w:val="00670C63"/>
    <w:rsid w:val="00673934"/>
    <w:rsid w:val="00674022"/>
    <w:rsid w:val="00677A90"/>
    <w:rsid w:val="00680C4F"/>
    <w:rsid w:val="00680F78"/>
    <w:rsid w:val="00681EFB"/>
    <w:rsid w:val="00684810"/>
    <w:rsid w:val="00685B08"/>
    <w:rsid w:val="0068706D"/>
    <w:rsid w:val="00690C53"/>
    <w:rsid w:val="006959D5"/>
    <w:rsid w:val="00696398"/>
    <w:rsid w:val="00697618"/>
    <w:rsid w:val="00697B06"/>
    <w:rsid w:val="006A0D09"/>
    <w:rsid w:val="006A4186"/>
    <w:rsid w:val="006A4F4A"/>
    <w:rsid w:val="006A54BC"/>
    <w:rsid w:val="006A6653"/>
    <w:rsid w:val="006A7CD2"/>
    <w:rsid w:val="006B0922"/>
    <w:rsid w:val="006B216F"/>
    <w:rsid w:val="006B538B"/>
    <w:rsid w:val="006B5800"/>
    <w:rsid w:val="006B5AF4"/>
    <w:rsid w:val="006B6BE2"/>
    <w:rsid w:val="006B76BA"/>
    <w:rsid w:val="006C05AC"/>
    <w:rsid w:val="006C226A"/>
    <w:rsid w:val="006C2BE0"/>
    <w:rsid w:val="006C64CF"/>
    <w:rsid w:val="006C66D6"/>
    <w:rsid w:val="006D1A01"/>
    <w:rsid w:val="006D3082"/>
    <w:rsid w:val="006D3456"/>
    <w:rsid w:val="006D3B7E"/>
    <w:rsid w:val="006D4457"/>
    <w:rsid w:val="006D4DC0"/>
    <w:rsid w:val="006D6CAA"/>
    <w:rsid w:val="006E155E"/>
    <w:rsid w:val="006E1E1D"/>
    <w:rsid w:val="006E2219"/>
    <w:rsid w:val="006E285E"/>
    <w:rsid w:val="006E2874"/>
    <w:rsid w:val="006E6605"/>
    <w:rsid w:val="006E686A"/>
    <w:rsid w:val="006E73CC"/>
    <w:rsid w:val="006F003B"/>
    <w:rsid w:val="006F09CA"/>
    <w:rsid w:val="006F0D9F"/>
    <w:rsid w:val="006F0E95"/>
    <w:rsid w:val="006F11E1"/>
    <w:rsid w:val="006F1A93"/>
    <w:rsid w:val="006F2E5E"/>
    <w:rsid w:val="006F5CB5"/>
    <w:rsid w:val="0070419B"/>
    <w:rsid w:val="00704235"/>
    <w:rsid w:val="00705CFB"/>
    <w:rsid w:val="00706848"/>
    <w:rsid w:val="007069E6"/>
    <w:rsid w:val="00706A36"/>
    <w:rsid w:val="00706E5A"/>
    <w:rsid w:val="00707D6B"/>
    <w:rsid w:val="00710326"/>
    <w:rsid w:val="00713EB2"/>
    <w:rsid w:val="00714475"/>
    <w:rsid w:val="007149E6"/>
    <w:rsid w:val="00715B0E"/>
    <w:rsid w:val="007166F9"/>
    <w:rsid w:val="0071697E"/>
    <w:rsid w:val="00720F44"/>
    <w:rsid w:val="0072333D"/>
    <w:rsid w:val="007233FC"/>
    <w:rsid w:val="007253BF"/>
    <w:rsid w:val="00725670"/>
    <w:rsid w:val="007319C2"/>
    <w:rsid w:val="00731A62"/>
    <w:rsid w:val="00732820"/>
    <w:rsid w:val="0073282A"/>
    <w:rsid w:val="00733878"/>
    <w:rsid w:val="0073528B"/>
    <w:rsid w:val="00735729"/>
    <w:rsid w:val="00735CA8"/>
    <w:rsid w:val="00736BDA"/>
    <w:rsid w:val="00737AEB"/>
    <w:rsid w:val="0074248A"/>
    <w:rsid w:val="00742AE3"/>
    <w:rsid w:val="00742FF3"/>
    <w:rsid w:val="0074365C"/>
    <w:rsid w:val="007453AE"/>
    <w:rsid w:val="00745799"/>
    <w:rsid w:val="00746108"/>
    <w:rsid w:val="00757E95"/>
    <w:rsid w:val="007602B2"/>
    <w:rsid w:val="00760C1D"/>
    <w:rsid w:val="007628E6"/>
    <w:rsid w:val="00764C06"/>
    <w:rsid w:val="00770155"/>
    <w:rsid w:val="007706DE"/>
    <w:rsid w:val="007708A3"/>
    <w:rsid w:val="00772FD5"/>
    <w:rsid w:val="007743BB"/>
    <w:rsid w:val="007766E9"/>
    <w:rsid w:val="00777167"/>
    <w:rsid w:val="00781F22"/>
    <w:rsid w:val="00782680"/>
    <w:rsid w:val="00783375"/>
    <w:rsid w:val="0078612F"/>
    <w:rsid w:val="0078754B"/>
    <w:rsid w:val="00790F46"/>
    <w:rsid w:val="007920E3"/>
    <w:rsid w:val="007925B7"/>
    <w:rsid w:val="00794192"/>
    <w:rsid w:val="0079497D"/>
    <w:rsid w:val="007951F9"/>
    <w:rsid w:val="00796898"/>
    <w:rsid w:val="007A02E4"/>
    <w:rsid w:val="007A2CBB"/>
    <w:rsid w:val="007A6F9C"/>
    <w:rsid w:val="007A7951"/>
    <w:rsid w:val="007B081B"/>
    <w:rsid w:val="007B0D71"/>
    <w:rsid w:val="007B1246"/>
    <w:rsid w:val="007B1F22"/>
    <w:rsid w:val="007B2571"/>
    <w:rsid w:val="007B2890"/>
    <w:rsid w:val="007B2A6D"/>
    <w:rsid w:val="007B3456"/>
    <w:rsid w:val="007B4D50"/>
    <w:rsid w:val="007B6296"/>
    <w:rsid w:val="007B64B9"/>
    <w:rsid w:val="007B65B8"/>
    <w:rsid w:val="007C021F"/>
    <w:rsid w:val="007C3CBF"/>
    <w:rsid w:val="007C46A2"/>
    <w:rsid w:val="007C4786"/>
    <w:rsid w:val="007C7655"/>
    <w:rsid w:val="007D00FB"/>
    <w:rsid w:val="007D2490"/>
    <w:rsid w:val="007D3532"/>
    <w:rsid w:val="007D5DA1"/>
    <w:rsid w:val="007D6DE7"/>
    <w:rsid w:val="007E183E"/>
    <w:rsid w:val="007E1C25"/>
    <w:rsid w:val="007E251E"/>
    <w:rsid w:val="007E2A42"/>
    <w:rsid w:val="007E346A"/>
    <w:rsid w:val="007F14C2"/>
    <w:rsid w:val="007F172C"/>
    <w:rsid w:val="007F2859"/>
    <w:rsid w:val="007F2EC9"/>
    <w:rsid w:val="007F31C4"/>
    <w:rsid w:val="007F4539"/>
    <w:rsid w:val="007F453B"/>
    <w:rsid w:val="007F533C"/>
    <w:rsid w:val="007F6643"/>
    <w:rsid w:val="00801488"/>
    <w:rsid w:val="00803752"/>
    <w:rsid w:val="00803B28"/>
    <w:rsid w:val="008046E0"/>
    <w:rsid w:val="0080481C"/>
    <w:rsid w:val="00804B8E"/>
    <w:rsid w:val="00810AF8"/>
    <w:rsid w:val="0081225E"/>
    <w:rsid w:val="008122E7"/>
    <w:rsid w:val="0081387A"/>
    <w:rsid w:val="008139E8"/>
    <w:rsid w:val="008151F3"/>
    <w:rsid w:val="008154F0"/>
    <w:rsid w:val="00815510"/>
    <w:rsid w:val="00815A34"/>
    <w:rsid w:val="00817570"/>
    <w:rsid w:val="0081768A"/>
    <w:rsid w:val="00817E65"/>
    <w:rsid w:val="0082001C"/>
    <w:rsid w:val="00820A31"/>
    <w:rsid w:val="00820A71"/>
    <w:rsid w:val="00823DEE"/>
    <w:rsid w:val="00824944"/>
    <w:rsid w:val="00825453"/>
    <w:rsid w:val="00826CDC"/>
    <w:rsid w:val="00827EB7"/>
    <w:rsid w:val="00830611"/>
    <w:rsid w:val="00830FA9"/>
    <w:rsid w:val="00831BA6"/>
    <w:rsid w:val="00832814"/>
    <w:rsid w:val="00832B92"/>
    <w:rsid w:val="0083387C"/>
    <w:rsid w:val="0083476D"/>
    <w:rsid w:val="0083768C"/>
    <w:rsid w:val="0084213A"/>
    <w:rsid w:val="008434AB"/>
    <w:rsid w:val="008438DE"/>
    <w:rsid w:val="00843CB5"/>
    <w:rsid w:val="0084578B"/>
    <w:rsid w:val="0084700C"/>
    <w:rsid w:val="008501D6"/>
    <w:rsid w:val="00854925"/>
    <w:rsid w:val="00856CE4"/>
    <w:rsid w:val="00864134"/>
    <w:rsid w:val="008651FD"/>
    <w:rsid w:val="008654D9"/>
    <w:rsid w:val="00865F0A"/>
    <w:rsid w:val="00866058"/>
    <w:rsid w:val="008679E2"/>
    <w:rsid w:val="008679F6"/>
    <w:rsid w:val="0087056B"/>
    <w:rsid w:val="00871E02"/>
    <w:rsid w:val="00872C75"/>
    <w:rsid w:val="00872EEC"/>
    <w:rsid w:val="008741EC"/>
    <w:rsid w:val="008743EA"/>
    <w:rsid w:val="00874E8E"/>
    <w:rsid w:val="00875487"/>
    <w:rsid w:val="00876A94"/>
    <w:rsid w:val="0088090E"/>
    <w:rsid w:val="00882841"/>
    <w:rsid w:val="008835AD"/>
    <w:rsid w:val="0088687C"/>
    <w:rsid w:val="00891014"/>
    <w:rsid w:val="008927D3"/>
    <w:rsid w:val="008A18D3"/>
    <w:rsid w:val="008A3864"/>
    <w:rsid w:val="008A3D59"/>
    <w:rsid w:val="008A594D"/>
    <w:rsid w:val="008A5B09"/>
    <w:rsid w:val="008A6D3A"/>
    <w:rsid w:val="008B1AD9"/>
    <w:rsid w:val="008B2A45"/>
    <w:rsid w:val="008B2B14"/>
    <w:rsid w:val="008B3EE4"/>
    <w:rsid w:val="008C0503"/>
    <w:rsid w:val="008C1098"/>
    <w:rsid w:val="008C6478"/>
    <w:rsid w:val="008C6DDB"/>
    <w:rsid w:val="008C7A6D"/>
    <w:rsid w:val="008D1E54"/>
    <w:rsid w:val="008D242B"/>
    <w:rsid w:val="008D4616"/>
    <w:rsid w:val="008D55C9"/>
    <w:rsid w:val="008D6BA4"/>
    <w:rsid w:val="008E0DD7"/>
    <w:rsid w:val="008E17B2"/>
    <w:rsid w:val="008E5A4C"/>
    <w:rsid w:val="008E6BB7"/>
    <w:rsid w:val="008E7377"/>
    <w:rsid w:val="008F221E"/>
    <w:rsid w:val="008F54A6"/>
    <w:rsid w:val="008F5E3D"/>
    <w:rsid w:val="008F7953"/>
    <w:rsid w:val="008F7F11"/>
    <w:rsid w:val="0090059F"/>
    <w:rsid w:val="00903180"/>
    <w:rsid w:val="00904B9C"/>
    <w:rsid w:val="00904E25"/>
    <w:rsid w:val="00905977"/>
    <w:rsid w:val="009105C3"/>
    <w:rsid w:val="00910A0C"/>
    <w:rsid w:val="009128AD"/>
    <w:rsid w:val="00912F4D"/>
    <w:rsid w:val="009138B2"/>
    <w:rsid w:val="00914365"/>
    <w:rsid w:val="00914B48"/>
    <w:rsid w:val="00915314"/>
    <w:rsid w:val="009167D9"/>
    <w:rsid w:val="00917120"/>
    <w:rsid w:val="0091774C"/>
    <w:rsid w:val="0092074A"/>
    <w:rsid w:val="00920857"/>
    <w:rsid w:val="0092186E"/>
    <w:rsid w:val="0092464D"/>
    <w:rsid w:val="009260EC"/>
    <w:rsid w:val="00926731"/>
    <w:rsid w:val="0093223A"/>
    <w:rsid w:val="00933BB6"/>
    <w:rsid w:val="00934B74"/>
    <w:rsid w:val="0093599C"/>
    <w:rsid w:val="009360D9"/>
    <w:rsid w:val="00936912"/>
    <w:rsid w:val="00937598"/>
    <w:rsid w:val="00937F22"/>
    <w:rsid w:val="009405FF"/>
    <w:rsid w:val="00942BAE"/>
    <w:rsid w:val="00943828"/>
    <w:rsid w:val="009458C6"/>
    <w:rsid w:val="009463E2"/>
    <w:rsid w:val="0094698A"/>
    <w:rsid w:val="009504CA"/>
    <w:rsid w:val="00950A25"/>
    <w:rsid w:val="00952759"/>
    <w:rsid w:val="009536BC"/>
    <w:rsid w:val="00953D49"/>
    <w:rsid w:val="009549CD"/>
    <w:rsid w:val="00955D15"/>
    <w:rsid w:val="009572A7"/>
    <w:rsid w:val="009610B5"/>
    <w:rsid w:val="00961547"/>
    <w:rsid w:val="009616B7"/>
    <w:rsid w:val="009616DC"/>
    <w:rsid w:val="0096250A"/>
    <w:rsid w:val="009662E6"/>
    <w:rsid w:val="009705AC"/>
    <w:rsid w:val="00976103"/>
    <w:rsid w:val="0097722F"/>
    <w:rsid w:val="00980562"/>
    <w:rsid w:val="00980784"/>
    <w:rsid w:val="00980851"/>
    <w:rsid w:val="00980F5F"/>
    <w:rsid w:val="009825D7"/>
    <w:rsid w:val="00982617"/>
    <w:rsid w:val="00983566"/>
    <w:rsid w:val="00983CFA"/>
    <w:rsid w:val="00984285"/>
    <w:rsid w:val="00985BDB"/>
    <w:rsid w:val="00986199"/>
    <w:rsid w:val="00987202"/>
    <w:rsid w:val="00987B5D"/>
    <w:rsid w:val="009902F9"/>
    <w:rsid w:val="00992053"/>
    <w:rsid w:val="00993FE8"/>
    <w:rsid w:val="0099611C"/>
    <w:rsid w:val="0099663F"/>
    <w:rsid w:val="009A3F55"/>
    <w:rsid w:val="009A483C"/>
    <w:rsid w:val="009B24B1"/>
    <w:rsid w:val="009B2E7E"/>
    <w:rsid w:val="009B2EF2"/>
    <w:rsid w:val="009B5175"/>
    <w:rsid w:val="009B568A"/>
    <w:rsid w:val="009B56DA"/>
    <w:rsid w:val="009B600C"/>
    <w:rsid w:val="009B7129"/>
    <w:rsid w:val="009B74F3"/>
    <w:rsid w:val="009C0A0F"/>
    <w:rsid w:val="009C0F64"/>
    <w:rsid w:val="009C1A4B"/>
    <w:rsid w:val="009C222E"/>
    <w:rsid w:val="009C2CD0"/>
    <w:rsid w:val="009C308F"/>
    <w:rsid w:val="009C578C"/>
    <w:rsid w:val="009C6142"/>
    <w:rsid w:val="009D0065"/>
    <w:rsid w:val="009D1386"/>
    <w:rsid w:val="009D2745"/>
    <w:rsid w:val="009D3798"/>
    <w:rsid w:val="009D42E6"/>
    <w:rsid w:val="009D490A"/>
    <w:rsid w:val="009D4BB4"/>
    <w:rsid w:val="009D5748"/>
    <w:rsid w:val="009D62C2"/>
    <w:rsid w:val="009D6AA3"/>
    <w:rsid w:val="009D757E"/>
    <w:rsid w:val="009D7785"/>
    <w:rsid w:val="009D7F4E"/>
    <w:rsid w:val="009E0343"/>
    <w:rsid w:val="009E0D89"/>
    <w:rsid w:val="009E28CC"/>
    <w:rsid w:val="009E3319"/>
    <w:rsid w:val="009E3880"/>
    <w:rsid w:val="009E3D45"/>
    <w:rsid w:val="009E6024"/>
    <w:rsid w:val="009F111A"/>
    <w:rsid w:val="009F44D9"/>
    <w:rsid w:val="009F50FA"/>
    <w:rsid w:val="009F5FCD"/>
    <w:rsid w:val="009F6BAD"/>
    <w:rsid w:val="00A01763"/>
    <w:rsid w:val="00A02686"/>
    <w:rsid w:val="00A056C8"/>
    <w:rsid w:val="00A0686E"/>
    <w:rsid w:val="00A07718"/>
    <w:rsid w:val="00A1087E"/>
    <w:rsid w:val="00A114E1"/>
    <w:rsid w:val="00A159E1"/>
    <w:rsid w:val="00A16346"/>
    <w:rsid w:val="00A16AAD"/>
    <w:rsid w:val="00A20CD2"/>
    <w:rsid w:val="00A21209"/>
    <w:rsid w:val="00A255AF"/>
    <w:rsid w:val="00A32B5F"/>
    <w:rsid w:val="00A32BF7"/>
    <w:rsid w:val="00A32CED"/>
    <w:rsid w:val="00A352CB"/>
    <w:rsid w:val="00A35404"/>
    <w:rsid w:val="00A3583C"/>
    <w:rsid w:val="00A40660"/>
    <w:rsid w:val="00A444E6"/>
    <w:rsid w:val="00A4513E"/>
    <w:rsid w:val="00A46557"/>
    <w:rsid w:val="00A46DDE"/>
    <w:rsid w:val="00A47A2C"/>
    <w:rsid w:val="00A50016"/>
    <w:rsid w:val="00A50A75"/>
    <w:rsid w:val="00A51AB6"/>
    <w:rsid w:val="00A52499"/>
    <w:rsid w:val="00A529A4"/>
    <w:rsid w:val="00A537AB"/>
    <w:rsid w:val="00A556A6"/>
    <w:rsid w:val="00A563F6"/>
    <w:rsid w:val="00A56666"/>
    <w:rsid w:val="00A57983"/>
    <w:rsid w:val="00A5799D"/>
    <w:rsid w:val="00A61981"/>
    <w:rsid w:val="00A62455"/>
    <w:rsid w:val="00A64A05"/>
    <w:rsid w:val="00A64D74"/>
    <w:rsid w:val="00A66B9B"/>
    <w:rsid w:val="00A67A60"/>
    <w:rsid w:val="00A72CE4"/>
    <w:rsid w:val="00A7302F"/>
    <w:rsid w:val="00A735CC"/>
    <w:rsid w:val="00A744CD"/>
    <w:rsid w:val="00A74B84"/>
    <w:rsid w:val="00A75E3F"/>
    <w:rsid w:val="00A77CFD"/>
    <w:rsid w:val="00A83B06"/>
    <w:rsid w:val="00A84F30"/>
    <w:rsid w:val="00A9040B"/>
    <w:rsid w:val="00A91054"/>
    <w:rsid w:val="00A92105"/>
    <w:rsid w:val="00A921B3"/>
    <w:rsid w:val="00A92D3C"/>
    <w:rsid w:val="00A935A7"/>
    <w:rsid w:val="00A9384B"/>
    <w:rsid w:val="00A94BD8"/>
    <w:rsid w:val="00A95A73"/>
    <w:rsid w:val="00A9675B"/>
    <w:rsid w:val="00A9686A"/>
    <w:rsid w:val="00A97879"/>
    <w:rsid w:val="00A97C25"/>
    <w:rsid w:val="00AA08E6"/>
    <w:rsid w:val="00AA0F03"/>
    <w:rsid w:val="00AA2B6F"/>
    <w:rsid w:val="00AA3899"/>
    <w:rsid w:val="00AA4064"/>
    <w:rsid w:val="00AA410F"/>
    <w:rsid w:val="00AA56A2"/>
    <w:rsid w:val="00AB07E6"/>
    <w:rsid w:val="00AB0F29"/>
    <w:rsid w:val="00AB2A48"/>
    <w:rsid w:val="00AB620F"/>
    <w:rsid w:val="00AB621E"/>
    <w:rsid w:val="00AB70FF"/>
    <w:rsid w:val="00AC0EEC"/>
    <w:rsid w:val="00AC2757"/>
    <w:rsid w:val="00AC29EA"/>
    <w:rsid w:val="00AC468C"/>
    <w:rsid w:val="00AC4D46"/>
    <w:rsid w:val="00AC4F62"/>
    <w:rsid w:val="00AC5D54"/>
    <w:rsid w:val="00AC6084"/>
    <w:rsid w:val="00AC6C23"/>
    <w:rsid w:val="00AD2A0D"/>
    <w:rsid w:val="00AD4AD8"/>
    <w:rsid w:val="00AD4B49"/>
    <w:rsid w:val="00AD5946"/>
    <w:rsid w:val="00AD7B1A"/>
    <w:rsid w:val="00AE1B67"/>
    <w:rsid w:val="00AE290C"/>
    <w:rsid w:val="00AE4E0B"/>
    <w:rsid w:val="00AE5FAB"/>
    <w:rsid w:val="00AF2745"/>
    <w:rsid w:val="00AF2CD2"/>
    <w:rsid w:val="00AF5233"/>
    <w:rsid w:val="00AF69E7"/>
    <w:rsid w:val="00AF6E51"/>
    <w:rsid w:val="00B025AC"/>
    <w:rsid w:val="00B053CF"/>
    <w:rsid w:val="00B056CA"/>
    <w:rsid w:val="00B06B2F"/>
    <w:rsid w:val="00B07246"/>
    <w:rsid w:val="00B07A02"/>
    <w:rsid w:val="00B10C26"/>
    <w:rsid w:val="00B1195B"/>
    <w:rsid w:val="00B12231"/>
    <w:rsid w:val="00B127CA"/>
    <w:rsid w:val="00B13D00"/>
    <w:rsid w:val="00B14092"/>
    <w:rsid w:val="00B1420C"/>
    <w:rsid w:val="00B145BA"/>
    <w:rsid w:val="00B1662C"/>
    <w:rsid w:val="00B16B52"/>
    <w:rsid w:val="00B2502B"/>
    <w:rsid w:val="00B2634D"/>
    <w:rsid w:val="00B26DB2"/>
    <w:rsid w:val="00B27CCF"/>
    <w:rsid w:val="00B300B7"/>
    <w:rsid w:val="00B31FB3"/>
    <w:rsid w:val="00B32CC4"/>
    <w:rsid w:val="00B33287"/>
    <w:rsid w:val="00B351E2"/>
    <w:rsid w:val="00B449F2"/>
    <w:rsid w:val="00B453D9"/>
    <w:rsid w:val="00B46665"/>
    <w:rsid w:val="00B47DAA"/>
    <w:rsid w:val="00B50688"/>
    <w:rsid w:val="00B5082F"/>
    <w:rsid w:val="00B50C4F"/>
    <w:rsid w:val="00B51067"/>
    <w:rsid w:val="00B51B3F"/>
    <w:rsid w:val="00B52623"/>
    <w:rsid w:val="00B5513D"/>
    <w:rsid w:val="00B557C4"/>
    <w:rsid w:val="00B56D9C"/>
    <w:rsid w:val="00B575ED"/>
    <w:rsid w:val="00B602B8"/>
    <w:rsid w:val="00B607E2"/>
    <w:rsid w:val="00B60A65"/>
    <w:rsid w:val="00B610C0"/>
    <w:rsid w:val="00B61A9C"/>
    <w:rsid w:val="00B62FEC"/>
    <w:rsid w:val="00B63779"/>
    <w:rsid w:val="00B655FF"/>
    <w:rsid w:val="00B6574D"/>
    <w:rsid w:val="00B67EAC"/>
    <w:rsid w:val="00B71EB5"/>
    <w:rsid w:val="00B72D84"/>
    <w:rsid w:val="00B74C2C"/>
    <w:rsid w:val="00B75A74"/>
    <w:rsid w:val="00B7625E"/>
    <w:rsid w:val="00B76E8B"/>
    <w:rsid w:val="00B80A15"/>
    <w:rsid w:val="00B814F4"/>
    <w:rsid w:val="00B84EB5"/>
    <w:rsid w:val="00B94744"/>
    <w:rsid w:val="00B95C21"/>
    <w:rsid w:val="00B971D3"/>
    <w:rsid w:val="00B97607"/>
    <w:rsid w:val="00B97B7E"/>
    <w:rsid w:val="00BA1BDF"/>
    <w:rsid w:val="00BA2321"/>
    <w:rsid w:val="00BA2F9E"/>
    <w:rsid w:val="00BA2FDD"/>
    <w:rsid w:val="00BA3140"/>
    <w:rsid w:val="00BA407E"/>
    <w:rsid w:val="00BA5340"/>
    <w:rsid w:val="00BA7F8C"/>
    <w:rsid w:val="00BB0ACF"/>
    <w:rsid w:val="00BB1932"/>
    <w:rsid w:val="00BB364B"/>
    <w:rsid w:val="00BB37CA"/>
    <w:rsid w:val="00BB3835"/>
    <w:rsid w:val="00BB3F35"/>
    <w:rsid w:val="00BB4B01"/>
    <w:rsid w:val="00BB5C17"/>
    <w:rsid w:val="00BB6835"/>
    <w:rsid w:val="00BB7834"/>
    <w:rsid w:val="00BC108D"/>
    <w:rsid w:val="00BC1543"/>
    <w:rsid w:val="00BC164E"/>
    <w:rsid w:val="00BC1C88"/>
    <w:rsid w:val="00BC2353"/>
    <w:rsid w:val="00BC39FE"/>
    <w:rsid w:val="00BC6790"/>
    <w:rsid w:val="00BC6F4E"/>
    <w:rsid w:val="00BC7567"/>
    <w:rsid w:val="00BC7A48"/>
    <w:rsid w:val="00BD0EE6"/>
    <w:rsid w:val="00BD3089"/>
    <w:rsid w:val="00BD4685"/>
    <w:rsid w:val="00BD518C"/>
    <w:rsid w:val="00BD55A6"/>
    <w:rsid w:val="00BD56DA"/>
    <w:rsid w:val="00BD73F4"/>
    <w:rsid w:val="00BE007C"/>
    <w:rsid w:val="00BE07A4"/>
    <w:rsid w:val="00BE0862"/>
    <w:rsid w:val="00BE1158"/>
    <w:rsid w:val="00BE43C0"/>
    <w:rsid w:val="00BE54E2"/>
    <w:rsid w:val="00BF34B9"/>
    <w:rsid w:val="00BF48DC"/>
    <w:rsid w:val="00BF49E5"/>
    <w:rsid w:val="00BF6BB5"/>
    <w:rsid w:val="00BF7DDC"/>
    <w:rsid w:val="00C0018B"/>
    <w:rsid w:val="00C001B6"/>
    <w:rsid w:val="00C00AAB"/>
    <w:rsid w:val="00C0380D"/>
    <w:rsid w:val="00C03A3B"/>
    <w:rsid w:val="00C044D5"/>
    <w:rsid w:val="00C04518"/>
    <w:rsid w:val="00C04578"/>
    <w:rsid w:val="00C048FB"/>
    <w:rsid w:val="00C050FB"/>
    <w:rsid w:val="00C05A8E"/>
    <w:rsid w:val="00C074FE"/>
    <w:rsid w:val="00C0761B"/>
    <w:rsid w:val="00C11E18"/>
    <w:rsid w:val="00C12C1E"/>
    <w:rsid w:val="00C138E4"/>
    <w:rsid w:val="00C13ADE"/>
    <w:rsid w:val="00C16E41"/>
    <w:rsid w:val="00C21C18"/>
    <w:rsid w:val="00C21C78"/>
    <w:rsid w:val="00C2417D"/>
    <w:rsid w:val="00C24B24"/>
    <w:rsid w:val="00C251F2"/>
    <w:rsid w:val="00C26967"/>
    <w:rsid w:val="00C26C3A"/>
    <w:rsid w:val="00C30ED5"/>
    <w:rsid w:val="00C317D6"/>
    <w:rsid w:val="00C332A9"/>
    <w:rsid w:val="00C33505"/>
    <w:rsid w:val="00C35921"/>
    <w:rsid w:val="00C429DA"/>
    <w:rsid w:val="00C4336F"/>
    <w:rsid w:val="00C43378"/>
    <w:rsid w:val="00C44C70"/>
    <w:rsid w:val="00C450A1"/>
    <w:rsid w:val="00C45988"/>
    <w:rsid w:val="00C461B2"/>
    <w:rsid w:val="00C46E19"/>
    <w:rsid w:val="00C47363"/>
    <w:rsid w:val="00C5007B"/>
    <w:rsid w:val="00C51C31"/>
    <w:rsid w:val="00C53807"/>
    <w:rsid w:val="00C54E3D"/>
    <w:rsid w:val="00C567BA"/>
    <w:rsid w:val="00C5714A"/>
    <w:rsid w:val="00C575B4"/>
    <w:rsid w:val="00C57945"/>
    <w:rsid w:val="00C6096A"/>
    <w:rsid w:val="00C60A7B"/>
    <w:rsid w:val="00C610BC"/>
    <w:rsid w:val="00C6115E"/>
    <w:rsid w:val="00C61389"/>
    <w:rsid w:val="00C640EF"/>
    <w:rsid w:val="00C6686A"/>
    <w:rsid w:val="00C67D79"/>
    <w:rsid w:val="00C67E59"/>
    <w:rsid w:val="00C712EC"/>
    <w:rsid w:val="00C71E4D"/>
    <w:rsid w:val="00C72D3D"/>
    <w:rsid w:val="00C73FD7"/>
    <w:rsid w:val="00C740DE"/>
    <w:rsid w:val="00C766B4"/>
    <w:rsid w:val="00C8028B"/>
    <w:rsid w:val="00C8075E"/>
    <w:rsid w:val="00C83433"/>
    <w:rsid w:val="00C84D4D"/>
    <w:rsid w:val="00C84E70"/>
    <w:rsid w:val="00C857A1"/>
    <w:rsid w:val="00C9242C"/>
    <w:rsid w:val="00C927A5"/>
    <w:rsid w:val="00C92A5D"/>
    <w:rsid w:val="00C9405D"/>
    <w:rsid w:val="00C948C5"/>
    <w:rsid w:val="00C952F3"/>
    <w:rsid w:val="00C96041"/>
    <w:rsid w:val="00C9649F"/>
    <w:rsid w:val="00C96FD7"/>
    <w:rsid w:val="00CA0961"/>
    <w:rsid w:val="00CA0DC3"/>
    <w:rsid w:val="00CA1E04"/>
    <w:rsid w:val="00CA2272"/>
    <w:rsid w:val="00CA2551"/>
    <w:rsid w:val="00CA6ADB"/>
    <w:rsid w:val="00CA7638"/>
    <w:rsid w:val="00CA7C79"/>
    <w:rsid w:val="00CB2DC0"/>
    <w:rsid w:val="00CB31C7"/>
    <w:rsid w:val="00CB3BBA"/>
    <w:rsid w:val="00CB3C58"/>
    <w:rsid w:val="00CB3E92"/>
    <w:rsid w:val="00CC2EAC"/>
    <w:rsid w:val="00CC440B"/>
    <w:rsid w:val="00CC5333"/>
    <w:rsid w:val="00CC605D"/>
    <w:rsid w:val="00CC64F0"/>
    <w:rsid w:val="00CC6A47"/>
    <w:rsid w:val="00CC7C55"/>
    <w:rsid w:val="00CD10B6"/>
    <w:rsid w:val="00CD1490"/>
    <w:rsid w:val="00CD2984"/>
    <w:rsid w:val="00CD60B8"/>
    <w:rsid w:val="00CD70E5"/>
    <w:rsid w:val="00CD7512"/>
    <w:rsid w:val="00CD754E"/>
    <w:rsid w:val="00CD785C"/>
    <w:rsid w:val="00CD7888"/>
    <w:rsid w:val="00CE0BB7"/>
    <w:rsid w:val="00CE1047"/>
    <w:rsid w:val="00CE174B"/>
    <w:rsid w:val="00CE1BC3"/>
    <w:rsid w:val="00CE44C8"/>
    <w:rsid w:val="00CE4655"/>
    <w:rsid w:val="00CE5782"/>
    <w:rsid w:val="00CE5E53"/>
    <w:rsid w:val="00CF0764"/>
    <w:rsid w:val="00CF528C"/>
    <w:rsid w:val="00D01892"/>
    <w:rsid w:val="00D04E28"/>
    <w:rsid w:val="00D05DA0"/>
    <w:rsid w:val="00D06047"/>
    <w:rsid w:val="00D12AA8"/>
    <w:rsid w:val="00D15337"/>
    <w:rsid w:val="00D16DAF"/>
    <w:rsid w:val="00D16FE1"/>
    <w:rsid w:val="00D21320"/>
    <w:rsid w:val="00D22365"/>
    <w:rsid w:val="00D23436"/>
    <w:rsid w:val="00D306C6"/>
    <w:rsid w:val="00D32C35"/>
    <w:rsid w:val="00D33873"/>
    <w:rsid w:val="00D3550E"/>
    <w:rsid w:val="00D365D1"/>
    <w:rsid w:val="00D366D9"/>
    <w:rsid w:val="00D36845"/>
    <w:rsid w:val="00D40A8C"/>
    <w:rsid w:val="00D4152E"/>
    <w:rsid w:val="00D4173C"/>
    <w:rsid w:val="00D41D5C"/>
    <w:rsid w:val="00D42B7C"/>
    <w:rsid w:val="00D440D4"/>
    <w:rsid w:val="00D51656"/>
    <w:rsid w:val="00D52476"/>
    <w:rsid w:val="00D53352"/>
    <w:rsid w:val="00D53611"/>
    <w:rsid w:val="00D553CD"/>
    <w:rsid w:val="00D566EB"/>
    <w:rsid w:val="00D56C9A"/>
    <w:rsid w:val="00D57230"/>
    <w:rsid w:val="00D61266"/>
    <w:rsid w:val="00D641EE"/>
    <w:rsid w:val="00D65138"/>
    <w:rsid w:val="00D6598F"/>
    <w:rsid w:val="00D71A78"/>
    <w:rsid w:val="00D7281C"/>
    <w:rsid w:val="00D72ACD"/>
    <w:rsid w:val="00D72F55"/>
    <w:rsid w:val="00D7579A"/>
    <w:rsid w:val="00D75D0F"/>
    <w:rsid w:val="00D75D12"/>
    <w:rsid w:val="00D76FBE"/>
    <w:rsid w:val="00D8100C"/>
    <w:rsid w:val="00D83A2F"/>
    <w:rsid w:val="00D841E5"/>
    <w:rsid w:val="00D852E2"/>
    <w:rsid w:val="00D869FD"/>
    <w:rsid w:val="00D87A33"/>
    <w:rsid w:val="00D91281"/>
    <w:rsid w:val="00D91B2E"/>
    <w:rsid w:val="00D92C4F"/>
    <w:rsid w:val="00D92C52"/>
    <w:rsid w:val="00D95176"/>
    <w:rsid w:val="00DA012F"/>
    <w:rsid w:val="00DA34ED"/>
    <w:rsid w:val="00DA3607"/>
    <w:rsid w:val="00DA5184"/>
    <w:rsid w:val="00DA5277"/>
    <w:rsid w:val="00DB1585"/>
    <w:rsid w:val="00DB19BB"/>
    <w:rsid w:val="00DB1E3F"/>
    <w:rsid w:val="00DB2E59"/>
    <w:rsid w:val="00DB3294"/>
    <w:rsid w:val="00DB76E1"/>
    <w:rsid w:val="00DC1085"/>
    <w:rsid w:val="00DC126A"/>
    <w:rsid w:val="00DC1510"/>
    <w:rsid w:val="00DC34C8"/>
    <w:rsid w:val="00DC410D"/>
    <w:rsid w:val="00DC71AE"/>
    <w:rsid w:val="00DD108C"/>
    <w:rsid w:val="00DD3A80"/>
    <w:rsid w:val="00DD4766"/>
    <w:rsid w:val="00DD49B0"/>
    <w:rsid w:val="00DD5A29"/>
    <w:rsid w:val="00DE0EE5"/>
    <w:rsid w:val="00DE3363"/>
    <w:rsid w:val="00DE451A"/>
    <w:rsid w:val="00DE47B3"/>
    <w:rsid w:val="00DE4EA6"/>
    <w:rsid w:val="00DE508D"/>
    <w:rsid w:val="00DE6A9C"/>
    <w:rsid w:val="00DE7024"/>
    <w:rsid w:val="00DF0429"/>
    <w:rsid w:val="00DF0744"/>
    <w:rsid w:val="00DF0843"/>
    <w:rsid w:val="00DF3CDB"/>
    <w:rsid w:val="00DF5B97"/>
    <w:rsid w:val="00DF6BA5"/>
    <w:rsid w:val="00DF7F1E"/>
    <w:rsid w:val="00E01030"/>
    <w:rsid w:val="00E0125E"/>
    <w:rsid w:val="00E0268B"/>
    <w:rsid w:val="00E031F2"/>
    <w:rsid w:val="00E03D58"/>
    <w:rsid w:val="00E04A73"/>
    <w:rsid w:val="00E06A8D"/>
    <w:rsid w:val="00E105CE"/>
    <w:rsid w:val="00E11F90"/>
    <w:rsid w:val="00E124C1"/>
    <w:rsid w:val="00E16910"/>
    <w:rsid w:val="00E239AD"/>
    <w:rsid w:val="00E23E6F"/>
    <w:rsid w:val="00E248EA"/>
    <w:rsid w:val="00E26E6F"/>
    <w:rsid w:val="00E27E9D"/>
    <w:rsid w:val="00E304F8"/>
    <w:rsid w:val="00E30B38"/>
    <w:rsid w:val="00E32C81"/>
    <w:rsid w:val="00E33056"/>
    <w:rsid w:val="00E34625"/>
    <w:rsid w:val="00E37533"/>
    <w:rsid w:val="00E37CB8"/>
    <w:rsid w:val="00E40204"/>
    <w:rsid w:val="00E405E3"/>
    <w:rsid w:val="00E41F1E"/>
    <w:rsid w:val="00E43132"/>
    <w:rsid w:val="00E43481"/>
    <w:rsid w:val="00E44642"/>
    <w:rsid w:val="00E46BA3"/>
    <w:rsid w:val="00E50054"/>
    <w:rsid w:val="00E52D23"/>
    <w:rsid w:val="00E53D16"/>
    <w:rsid w:val="00E540B9"/>
    <w:rsid w:val="00E5476E"/>
    <w:rsid w:val="00E605C2"/>
    <w:rsid w:val="00E64285"/>
    <w:rsid w:val="00E64DD1"/>
    <w:rsid w:val="00E64F48"/>
    <w:rsid w:val="00E657DC"/>
    <w:rsid w:val="00E65825"/>
    <w:rsid w:val="00E670BD"/>
    <w:rsid w:val="00E715B5"/>
    <w:rsid w:val="00E731C8"/>
    <w:rsid w:val="00E7344B"/>
    <w:rsid w:val="00E73A1E"/>
    <w:rsid w:val="00E74270"/>
    <w:rsid w:val="00E74443"/>
    <w:rsid w:val="00E75723"/>
    <w:rsid w:val="00E757B5"/>
    <w:rsid w:val="00E7602C"/>
    <w:rsid w:val="00E7709A"/>
    <w:rsid w:val="00E80AEE"/>
    <w:rsid w:val="00E820B3"/>
    <w:rsid w:val="00E82326"/>
    <w:rsid w:val="00E84710"/>
    <w:rsid w:val="00E848E1"/>
    <w:rsid w:val="00E8544E"/>
    <w:rsid w:val="00E85CB2"/>
    <w:rsid w:val="00E86F46"/>
    <w:rsid w:val="00E87C1E"/>
    <w:rsid w:val="00E91998"/>
    <w:rsid w:val="00E9482F"/>
    <w:rsid w:val="00E96C83"/>
    <w:rsid w:val="00E97218"/>
    <w:rsid w:val="00EA25A2"/>
    <w:rsid w:val="00EA2A34"/>
    <w:rsid w:val="00EA3AD1"/>
    <w:rsid w:val="00EA4183"/>
    <w:rsid w:val="00EA59E4"/>
    <w:rsid w:val="00EA636A"/>
    <w:rsid w:val="00EA7430"/>
    <w:rsid w:val="00EB0AD9"/>
    <w:rsid w:val="00EB0CB8"/>
    <w:rsid w:val="00EB194E"/>
    <w:rsid w:val="00EB296D"/>
    <w:rsid w:val="00EB2C76"/>
    <w:rsid w:val="00EB6D9F"/>
    <w:rsid w:val="00EB70EE"/>
    <w:rsid w:val="00EC23E6"/>
    <w:rsid w:val="00EC5187"/>
    <w:rsid w:val="00EC668A"/>
    <w:rsid w:val="00EC6E99"/>
    <w:rsid w:val="00EC783D"/>
    <w:rsid w:val="00EC7E09"/>
    <w:rsid w:val="00ED3251"/>
    <w:rsid w:val="00ED3F13"/>
    <w:rsid w:val="00ED6BB5"/>
    <w:rsid w:val="00EE02EA"/>
    <w:rsid w:val="00EE0892"/>
    <w:rsid w:val="00EE430C"/>
    <w:rsid w:val="00EE4AA2"/>
    <w:rsid w:val="00EF0542"/>
    <w:rsid w:val="00EF2330"/>
    <w:rsid w:val="00EF2619"/>
    <w:rsid w:val="00F00271"/>
    <w:rsid w:val="00F0051D"/>
    <w:rsid w:val="00F018CA"/>
    <w:rsid w:val="00F04700"/>
    <w:rsid w:val="00F0579B"/>
    <w:rsid w:val="00F11610"/>
    <w:rsid w:val="00F12DBE"/>
    <w:rsid w:val="00F13E79"/>
    <w:rsid w:val="00F20F51"/>
    <w:rsid w:val="00F2198D"/>
    <w:rsid w:val="00F26B34"/>
    <w:rsid w:val="00F27CE1"/>
    <w:rsid w:val="00F30B78"/>
    <w:rsid w:val="00F32059"/>
    <w:rsid w:val="00F331C7"/>
    <w:rsid w:val="00F33EF5"/>
    <w:rsid w:val="00F33FD2"/>
    <w:rsid w:val="00F34A8D"/>
    <w:rsid w:val="00F37041"/>
    <w:rsid w:val="00F37B21"/>
    <w:rsid w:val="00F41FA6"/>
    <w:rsid w:val="00F4551A"/>
    <w:rsid w:val="00F4601F"/>
    <w:rsid w:val="00F46DA1"/>
    <w:rsid w:val="00F50020"/>
    <w:rsid w:val="00F52F12"/>
    <w:rsid w:val="00F54005"/>
    <w:rsid w:val="00F55E60"/>
    <w:rsid w:val="00F56BC1"/>
    <w:rsid w:val="00F57BD3"/>
    <w:rsid w:val="00F61042"/>
    <w:rsid w:val="00F634F6"/>
    <w:rsid w:val="00F664E2"/>
    <w:rsid w:val="00F67111"/>
    <w:rsid w:val="00F67BFC"/>
    <w:rsid w:val="00F700CD"/>
    <w:rsid w:val="00F709BE"/>
    <w:rsid w:val="00F724A1"/>
    <w:rsid w:val="00F72D0C"/>
    <w:rsid w:val="00F73588"/>
    <w:rsid w:val="00F7445D"/>
    <w:rsid w:val="00F748D4"/>
    <w:rsid w:val="00F7499A"/>
    <w:rsid w:val="00F753DD"/>
    <w:rsid w:val="00F82719"/>
    <w:rsid w:val="00F83E50"/>
    <w:rsid w:val="00F90711"/>
    <w:rsid w:val="00F911C5"/>
    <w:rsid w:val="00F93B85"/>
    <w:rsid w:val="00F96204"/>
    <w:rsid w:val="00F978D7"/>
    <w:rsid w:val="00FA0D3B"/>
    <w:rsid w:val="00FA1B16"/>
    <w:rsid w:val="00FA3CBE"/>
    <w:rsid w:val="00FA6C16"/>
    <w:rsid w:val="00FB2335"/>
    <w:rsid w:val="00FB240D"/>
    <w:rsid w:val="00FB3205"/>
    <w:rsid w:val="00FB3B9C"/>
    <w:rsid w:val="00FB4210"/>
    <w:rsid w:val="00FB7BEE"/>
    <w:rsid w:val="00FC0153"/>
    <w:rsid w:val="00FC138F"/>
    <w:rsid w:val="00FC27DF"/>
    <w:rsid w:val="00FC3679"/>
    <w:rsid w:val="00FC4CB2"/>
    <w:rsid w:val="00FC5A13"/>
    <w:rsid w:val="00FC5DF3"/>
    <w:rsid w:val="00FD4115"/>
    <w:rsid w:val="00FD586B"/>
    <w:rsid w:val="00FD5DAC"/>
    <w:rsid w:val="00FD774C"/>
    <w:rsid w:val="00FE294B"/>
    <w:rsid w:val="00FE45E9"/>
    <w:rsid w:val="00FE498C"/>
    <w:rsid w:val="00FE54DF"/>
    <w:rsid w:val="00FE7401"/>
    <w:rsid w:val="00FE7560"/>
    <w:rsid w:val="00FE7D40"/>
    <w:rsid w:val="00FF07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9D38CF"/>
  <w15:docId w15:val="{1BF4ED2D-BC3F-46B4-BDA1-A4F98DFB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53BF"/>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qFormat/>
    <w:rsid w:val="002458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C857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C857A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C857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01763"/>
    <w:pPr>
      <w:tabs>
        <w:tab w:val="center" w:pos="4320"/>
        <w:tab w:val="right" w:pos="8640"/>
      </w:tabs>
    </w:pPr>
  </w:style>
  <w:style w:type="character" w:customStyle="1" w:styleId="GlavaZnak">
    <w:name w:val="Glava Znak"/>
    <w:basedOn w:val="Privzetapisavaodstavka"/>
    <w:link w:val="Glava"/>
    <w:rsid w:val="00A01763"/>
    <w:rPr>
      <w:rFonts w:ascii="Arial" w:eastAsia="Times New Roman" w:hAnsi="Arial" w:cs="Times New Roman"/>
      <w:sz w:val="20"/>
      <w:szCs w:val="24"/>
      <w:lang w:val="en-US"/>
    </w:rPr>
  </w:style>
  <w:style w:type="paragraph" w:styleId="Noga">
    <w:name w:val="footer"/>
    <w:basedOn w:val="Navaden"/>
    <w:link w:val="NogaZnak"/>
    <w:semiHidden/>
    <w:rsid w:val="00A01763"/>
    <w:pPr>
      <w:tabs>
        <w:tab w:val="center" w:pos="4320"/>
        <w:tab w:val="right" w:pos="8640"/>
      </w:tabs>
    </w:pPr>
  </w:style>
  <w:style w:type="character" w:customStyle="1" w:styleId="NogaZnak">
    <w:name w:val="Noga Znak"/>
    <w:basedOn w:val="Privzetapisavaodstavka"/>
    <w:link w:val="Noga"/>
    <w:semiHidden/>
    <w:rsid w:val="00A01763"/>
    <w:rPr>
      <w:rFonts w:ascii="Arial" w:eastAsia="Times New Roman" w:hAnsi="Arial" w:cs="Times New Roman"/>
      <w:sz w:val="20"/>
      <w:szCs w:val="24"/>
      <w:lang w:val="en-US"/>
    </w:rPr>
  </w:style>
  <w:style w:type="character" w:styleId="tevilkastrani">
    <w:name w:val="page number"/>
    <w:basedOn w:val="Privzetapisavaodstavka"/>
    <w:rsid w:val="00A01763"/>
  </w:style>
  <w:style w:type="paragraph" w:styleId="Besedilooblaka">
    <w:name w:val="Balloon Text"/>
    <w:basedOn w:val="Navaden"/>
    <w:link w:val="BesedilooblakaZnak"/>
    <w:uiPriority w:val="99"/>
    <w:semiHidden/>
    <w:unhideWhenUsed/>
    <w:rsid w:val="00A0176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1763"/>
    <w:rPr>
      <w:rFonts w:ascii="Tahoma" w:eastAsia="Times New Roman" w:hAnsi="Tahoma" w:cs="Tahoma"/>
      <w:sz w:val="16"/>
      <w:szCs w:val="16"/>
      <w:lang w:val="en-US"/>
    </w:r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
    <w:basedOn w:val="Navaden"/>
    <w:link w:val="Sprotnaopomba-besediloZnak"/>
    <w:unhideWhenUsed/>
    <w:rsid w:val="00102D80"/>
    <w:pPr>
      <w:spacing w:line="240" w:lineRule="auto"/>
      <w:ind w:left="720" w:hanging="720"/>
    </w:pPr>
    <w:rPr>
      <w:rFonts w:ascii="Times New Roman" w:eastAsiaTheme="minorHAnsi" w:hAnsi="Times New Roman"/>
      <w:sz w:val="24"/>
      <w:szCs w:val="20"/>
      <w:lang w:val="en-GB"/>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rsid w:val="00102D80"/>
    <w:rPr>
      <w:rFonts w:ascii="Times New Roman" w:hAnsi="Times New Roman" w:cs="Times New Roman"/>
      <w:sz w:val="24"/>
      <w:szCs w:val="20"/>
      <w:lang w:val="en-GB"/>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
    <w:basedOn w:val="Privzetapisavaodstavka"/>
    <w:uiPriority w:val="99"/>
    <w:unhideWhenUsed/>
    <w:rsid w:val="00102D80"/>
    <w:rPr>
      <w:b/>
      <w:shd w:val="clear" w:color="auto" w:fill="auto"/>
      <w:vertAlign w:val="superscript"/>
    </w:rPr>
  </w:style>
  <w:style w:type="paragraph" w:customStyle="1" w:styleId="Default">
    <w:name w:val="Default"/>
    <w:uiPriority w:val="99"/>
    <w:rsid w:val="00102D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avaden"/>
    <w:link w:val="Text1Char"/>
    <w:rsid w:val="006D4DC0"/>
    <w:pPr>
      <w:spacing w:before="120" w:after="120" w:line="360" w:lineRule="auto"/>
      <w:ind w:left="567"/>
    </w:pPr>
    <w:rPr>
      <w:rFonts w:ascii="Times New Roman" w:eastAsiaTheme="minorHAnsi" w:hAnsi="Times New Roman"/>
      <w:sz w:val="24"/>
      <w:szCs w:val="22"/>
      <w:lang w:val="en-GB"/>
    </w:rPr>
  </w:style>
  <w:style w:type="character" w:customStyle="1" w:styleId="Text1Char">
    <w:name w:val="Text 1 Char"/>
    <w:link w:val="Text1"/>
    <w:locked/>
    <w:rsid w:val="006D4DC0"/>
    <w:rPr>
      <w:rFonts w:ascii="Times New Roman" w:hAnsi="Times New Roman" w:cs="Times New Roman"/>
      <w:sz w:val="24"/>
      <w:lang w:val="en-GB"/>
    </w:rPr>
  </w:style>
  <w:style w:type="paragraph" w:styleId="Pripombabesedilo">
    <w:name w:val="annotation text"/>
    <w:basedOn w:val="Navaden"/>
    <w:link w:val="PripombabesediloZnak"/>
    <w:uiPriority w:val="99"/>
    <w:unhideWhenUsed/>
    <w:rsid w:val="00854925"/>
    <w:pPr>
      <w:spacing w:line="360" w:lineRule="auto"/>
    </w:pPr>
    <w:rPr>
      <w:rFonts w:ascii="Times New Roman" w:eastAsia="Calibri" w:hAnsi="Times New Roman" w:cs="Arial"/>
      <w:szCs w:val="20"/>
    </w:rPr>
  </w:style>
  <w:style w:type="character" w:customStyle="1" w:styleId="PripombabesediloZnak">
    <w:name w:val="Pripomba – besedilo Znak"/>
    <w:basedOn w:val="Privzetapisavaodstavka"/>
    <w:link w:val="Pripombabesedilo"/>
    <w:uiPriority w:val="99"/>
    <w:rsid w:val="00854925"/>
    <w:rPr>
      <w:rFonts w:ascii="Times New Roman" w:eastAsia="Calibri" w:hAnsi="Times New Roman" w:cs="Arial"/>
      <w:sz w:val="20"/>
      <w:szCs w:val="20"/>
      <w:lang w:val="en-US"/>
    </w:rPr>
  </w:style>
  <w:style w:type="paragraph" w:customStyle="1" w:styleId="Text3">
    <w:name w:val="Text 3"/>
    <w:basedOn w:val="Navaden"/>
    <w:rsid w:val="00151AB9"/>
    <w:pPr>
      <w:spacing w:before="120" w:after="120" w:line="360" w:lineRule="auto"/>
      <w:ind w:left="1701"/>
    </w:pPr>
    <w:rPr>
      <w:rFonts w:ascii="Times New Roman" w:eastAsiaTheme="minorHAnsi" w:hAnsi="Times New Roman"/>
      <w:sz w:val="24"/>
      <w:szCs w:val="22"/>
      <w:lang w:val="en-GB"/>
    </w:rPr>
  </w:style>
  <w:style w:type="table" w:styleId="Tabelamrea">
    <w:name w:val="Table Grid"/>
    <w:basedOn w:val="Navadnatabela"/>
    <w:uiPriority w:val="39"/>
    <w:rsid w:val="00E64DD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F003B"/>
    <w:rPr>
      <w:sz w:val="16"/>
      <w:szCs w:val="16"/>
    </w:rPr>
  </w:style>
  <w:style w:type="paragraph" w:styleId="Zadevapripombe">
    <w:name w:val="annotation subject"/>
    <w:basedOn w:val="Pripombabesedilo"/>
    <w:next w:val="Pripombabesedilo"/>
    <w:link w:val="ZadevapripombeZnak"/>
    <w:uiPriority w:val="99"/>
    <w:semiHidden/>
    <w:unhideWhenUsed/>
    <w:rsid w:val="006F003B"/>
    <w:pPr>
      <w:spacing w:line="240" w:lineRule="auto"/>
    </w:pPr>
    <w:rPr>
      <w:rFonts w:ascii="Arial" w:eastAsia="Times New Roman" w:hAnsi="Arial" w:cs="Times New Roman"/>
      <w:b/>
      <w:bCs/>
    </w:rPr>
  </w:style>
  <w:style w:type="character" w:customStyle="1" w:styleId="ZadevapripombeZnak">
    <w:name w:val="Zadeva pripombe Znak"/>
    <w:basedOn w:val="PripombabesediloZnak"/>
    <w:link w:val="Zadevapripombe"/>
    <w:uiPriority w:val="99"/>
    <w:semiHidden/>
    <w:rsid w:val="006F003B"/>
    <w:rPr>
      <w:rFonts w:ascii="Arial" w:eastAsia="Times New Roman" w:hAnsi="Arial" w:cs="Times New Roman"/>
      <w:b/>
      <w:bCs/>
      <w:sz w:val="20"/>
      <w:szCs w:val="20"/>
      <w:lang w:val="en-US"/>
    </w:rPr>
  </w:style>
  <w:style w:type="character" w:customStyle="1" w:styleId="Naslov1Znak">
    <w:name w:val="Naslov 1 Znak"/>
    <w:aliases w:val="NASLOV Znak"/>
    <w:basedOn w:val="Privzetapisavaodstavka"/>
    <w:link w:val="Naslov1"/>
    <w:uiPriority w:val="9"/>
    <w:rsid w:val="002458C0"/>
    <w:rPr>
      <w:rFonts w:asciiTheme="majorHAnsi" w:eastAsiaTheme="majorEastAsia" w:hAnsiTheme="majorHAnsi" w:cstheme="majorBidi"/>
      <w:b/>
      <w:bCs/>
      <w:color w:val="365F91" w:themeColor="accent1" w:themeShade="BF"/>
      <w:sz w:val="28"/>
      <w:szCs w:val="28"/>
      <w:lang w:val="en-US"/>
    </w:rPr>
  </w:style>
  <w:style w:type="paragraph" w:styleId="NaslovTOC">
    <w:name w:val="TOC Heading"/>
    <w:basedOn w:val="Naslov1"/>
    <w:next w:val="Navaden"/>
    <w:uiPriority w:val="39"/>
    <w:semiHidden/>
    <w:unhideWhenUsed/>
    <w:qFormat/>
    <w:rsid w:val="002458C0"/>
    <w:pPr>
      <w:spacing w:line="276" w:lineRule="auto"/>
      <w:outlineLvl w:val="9"/>
    </w:pPr>
    <w:rPr>
      <w:lang w:eastAsia="sl-SI"/>
    </w:rPr>
  </w:style>
  <w:style w:type="paragraph" w:styleId="Kazalovsebine2">
    <w:name w:val="toc 2"/>
    <w:basedOn w:val="Navaden"/>
    <w:next w:val="Navaden"/>
    <w:autoRedefine/>
    <w:uiPriority w:val="39"/>
    <w:unhideWhenUsed/>
    <w:qFormat/>
    <w:rsid w:val="002458C0"/>
    <w:pPr>
      <w:spacing w:after="100" w:line="276" w:lineRule="auto"/>
      <w:ind w:left="220"/>
    </w:pPr>
    <w:rPr>
      <w:rFonts w:asciiTheme="minorHAnsi" w:eastAsiaTheme="minorEastAsia" w:hAnsiTheme="minorHAnsi" w:cstheme="minorBidi"/>
      <w:sz w:val="22"/>
      <w:szCs w:val="22"/>
      <w:lang w:eastAsia="sl-SI"/>
    </w:rPr>
  </w:style>
  <w:style w:type="paragraph" w:styleId="Kazalovsebine1">
    <w:name w:val="toc 1"/>
    <w:basedOn w:val="Navaden"/>
    <w:next w:val="Navaden"/>
    <w:autoRedefine/>
    <w:uiPriority w:val="39"/>
    <w:unhideWhenUsed/>
    <w:qFormat/>
    <w:rsid w:val="002458C0"/>
    <w:pPr>
      <w:spacing w:after="100" w:line="276" w:lineRule="auto"/>
    </w:pPr>
    <w:rPr>
      <w:rFonts w:asciiTheme="minorHAnsi" w:eastAsiaTheme="minorEastAsia" w:hAnsiTheme="minorHAnsi" w:cstheme="minorBidi"/>
      <w:sz w:val="22"/>
      <w:szCs w:val="22"/>
      <w:lang w:eastAsia="sl-SI"/>
    </w:rPr>
  </w:style>
  <w:style w:type="paragraph" w:styleId="Kazalovsebine3">
    <w:name w:val="toc 3"/>
    <w:basedOn w:val="Navaden"/>
    <w:next w:val="Navaden"/>
    <w:autoRedefine/>
    <w:uiPriority w:val="39"/>
    <w:unhideWhenUsed/>
    <w:qFormat/>
    <w:rsid w:val="002458C0"/>
    <w:pPr>
      <w:spacing w:after="100" w:line="276" w:lineRule="auto"/>
      <w:ind w:left="440"/>
    </w:pPr>
    <w:rPr>
      <w:rFonts w:asciiTheme="minorHAnsi" w:eastAsiaTheme="minorEastAsia" w:hAnsiTheme="minorHAnsi" w:cstheme="minorBidi"/>
      <w:sz w:val="22"/>
      <w:szCs w:val="22"/>
      <w:lang w:eastAsia="sl-SI"/>
    </w:rPr>
  </w:style>
  <w:style w:type="character" w:customStyle="1" w:styleId="Naslov2Znak">
    <w:name w:val="Naslov 2 Znak"/>
    <w:basedOn w:val="Privzetapisavaodstavka"/>
    <w:link w:val="Naslov2"/>
    <w:uiPriority w:val="9"/>
    <w:rsid w:val="00C857A1"/>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C857A1"/>
    <w:rPr>
      <w:rFonts w:asciiTheme="majorHAnsi" w:eastAsiaTheme="majorEastAsia" w:hAnsiTheme="majorHAnsi" w:cstheme="majorBidi"/>
      <w:b/>
      <w:bCs/>
      <w:color w:val="4F81BD" w:themeColor="accent1"/>
      <w:sz w:val="20"/>
      <w:szCs w:val="24"/>
      <w:lang w:val="en-US"/>
    </w:rPr>
  </w:style>
  <w:style w:type="character" w:customStyle="1" w:styleId="Naslov4Znak">
    <w:name w:val="Naslov 4 Znak"/>
    <w:basedOn w:val="Privzetapisavaodstavka"/>
    <w:link w:val="Naslov4"/>
    <w:uiPriority w:val="9"/>
    <w:rsid w:val="00C857A1"/>
    <w:rPr>
      <w:rFonts w:asciiTheme="majorHAnsi" w:eastAsiaTheme="majorEastAsia" w:hAnsiTheme="majorHAnsi" w:cstheme="majorBidi"/>
      <w:b/>
      <w:bCs/>
      <w:i/>
      <w:iCs/>
      <w:color w:val="4F81BD" w:themeColor="accent1"/>
      <w:sz w:val="20"/>
      <w:szCs w:val="24"/>
      <w:lang w:val="en-US"/>
    </w:rPr>
  </w:style>
  <w:style w:type="character" w:styleId="Hiperpovezava">
    <w:name w:val="Hyperlink"/>
    <w:basedOn w:val="Privzetapisavaodstavka"/>
    <w:uiPriority w:val="99"/>
    <w:unhideWhenUsed/>
    <w:rsid w:val="00C857A1"/>
    <w:rPr>
      <w:color w:val="0000FF" w:themeColor="hyperlink"/>
      <w:u w:val="single"/>
    </w:rPr>
  </w:style>
  <w:style w:type="character" w:styleId="Krepko">
    <w:name w:val="Strong"/>
    <w:basedOn w:val="Privzetapisavaodstavka"/>
    <w:uiPriority w:val="22"/>
    <w:qFormat/>
    <w:rsid w:val="00AE1B67"/>
    <w:rPr>
      <w:b/>
      <w:bCs/>
    </w:rPr>
  </w:style>
  <w:style w:type="paragraph" w:styleId="Navadensplet">
    <w:name w:val="Normal (Web)"/>
    <w:basedOn w:val="Navaden"/>
    <w:uiPriority w:val="99"/>
    <w:unhideWhenUsed/>
    <w:rsid w:val="00AE1B67"/>
    <w:pPr>
      <w:spacing w:after="150" w:line="240" w:lineRule="auto"/>
    </w:pPr>
    <w:rPr>
      <w:rFonts w:ascii="Times New Roman" w:hAnsi="Times New Roman"/>
      <w:sz w:val="24"/>
      <w:lang w:eastAsia="sl-SI"/>
    </w:rPr>
  </w:style>
  <w:style w:type="paragraph" w:styleId="Odstavekseznama">
    <w:name w:val="List Paragraph"/>
    <w:basedOn w:val="Navaden"/>
    <w:uiPriority w:val="34"/>
    <w:qFormat/>
    <w:rsid w:val="00AE1B67"/>
    <w:pPr>
      <w:spacing w:line="276" w:lineRule="auto"/>
      <w:ind w:left="720"/>
      <w:contextualSpacing/>
    </w:pPr>
    <w:rPr>
      <w:rFonts w:eastAsia="Arial" w:cs="Arial"/>
      <w:szCs w:val="20"/>
      <w:lang w:eastAsia="sl-SI"/>
    </w:rPr>
  </w:style>
  <w:style w:type="character" w:customStyle="1" w:styleId="tlid-translation">
    <w:name w:val="tlid-translation"/>
    <w:basedOn w:val="Privzetapisavaodstavka"/>
    <w:rsid w:val="00C610BC"/>
  </w:style>
  <w:style w:type="paragraph" w:customStyle="1" w:styleId="Alinejazarkovnotoko">
    <w:name w:val="Alineja za črkovno točko"/>
    <w:basedOn w:val="Alineazatevilnotoko"/>
    <w:link w:val="AlinejazarkovnotokoZnak"/>
    <w:qFormat/>
    <w:rsid w:val="00211ACA"/>
  </w:style>
  <w:style w:type="character" w:customStyle="1" w:styleId="AlinejazarkovnotokoZnak">
    <w:name w:val="Alineja za črkovno točko Znak"/>
    <w:basedOn w:val="AlineazatevilnotokoZnak"/>
    <w:link w:val="Alinejazarkovnotoko"/>
    <w:rsid w:val="00211ACA"/>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211ACA"/>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211ACA"/>
    <w:rPr>
      <w:rFonts w:ascii="Arial" w:eastAsia="Times New Roman" w:hAnsi="Arial" w:cs="Arial"/>
      <w:lang w:eastAsia="sl-SI"/>
    </w:rPr>
  </w:style>
  <w:style w:type="paragraph" w:customStyle="1" w:styleId="Alineazaodstavkom">
    <w:name w:val="Alinea za odstavkom"/>
    <w:basedOn w:val="Navaden"/>
    <w:qFormat/>
    <w:rsid w:val="00211ACA"/>
    <w:pPr>
      <w:numPr>
        <w:numId w:val="9"/>
      </w:numPr>
      <w:spacing w:line="240" w:lineRule="auto"/>
      <w:jc w:val="both"/>
    </w:pPr>
    <w:rPr>
      <w:rFonts w:cs="Arial"/>
      <w:sz w:val="22"/>
      <w:szCs w:val="22"/>
      <w:lang w:eastAsia="sl-SI"/>
    </w:rPr>
  </w:style>
  <w:style w:type="paragraph" w:styleId="Revizija">
    <w:name w:val="Revision"/>
    <w:hidden/>
    <w:uiPriority w:val="99"/>
    <w:semiHidden/>
    <w:rsid w:val="00145CED"/>
    <w:pPr>
      <w:spacing w:after="0" w:line="240" w:lineRule="auto"/>
    </w:pPr>
    <w:rPr>
      <w:rFonts w:ascii="Arial" w:eastAsia="Times New Roman" w:hAnsi="Arial" w:cs="Times New Roman"/>
      <w:sz w:val="20"/>
      <w:szCs w:val="24"/>
    </w:rPr>
  </w:style>
  <w:style w:type="paragraph" w:styleId="Brezrazmikov">
    <w:name w:val="No Spacing"/>
    <w:uiPriority w:val="1"/>
    <w:qFormat/>
    <w:rsid w:val="00E9199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131">
      <w:bodyDiv w:val="1"/>
      <w:marLeft w:val="0"/>
      <w:marRight w:val="0"/>
      <w:marTop w:val="0"/>
      <w:marBottom w:val="0"/>
      <w:divBdr>
        <w:top w:val="none" w:sz="0" w:space="0" w:color="auto"/>
        <w:left w:val="none" w:sz="0" w:space="0" w:color="auto"/>
        <w:bottom w:val="none" w:sz="0" w:space="0" w:color="auto"/>
        <w:right w:val="none" w:sz="0" w:space="0" w:color="auto"/>
      </w:divBdr>
    </w:div>
    <w:div w:id="182595069">
      <w:bodyDiv w:val="1"/>
      <w:marLeft w:val="0"/>
      <w:marRight w:val="0"/>
      <w:marTop w:val="0"/>
      <w:marBottom w:val="0"/>
      <w:divBdr>
        <w:top w:val="none" w:sz="0" w:space="0" w:color="auto"/>
        <w:left w:val="none" w:sz="0" w:space="0" w:color="auto"/>
        <w:bottom w:val="none" w:sz="0" w:space="0" w:color="auto"/>
        <w:right w:val="none" w:sz="0" w:space="0" w:color="auto"/>
      </w:divBdr>
    </w:div>
    <w:div w:id="286085521">
      <w:bodyDiv w:val="1"/>
      <w:marLeft w:val="0"/>
      <w:marRight w:val="0"/>
      <w:marTop w:val="0"/>
      <w:marBottom w:val="0"/>
      <w:divBdr>
        <w:top w:val="none" w:sz="0" w:space="0" w:color="auto"/>
        <w:left w:val="none" w:sz="0" w:space="0" w:color="auto"/>
        <w:bottom w:val="none" w:sz="0" w:space="0" w:color="auto"/>
        <w:right w:val="none" w:sz="0" w:space="0" w:color="auto"/>
      </w:divBdr>
    </w:div>
    <w:div w:id="415368749">
      <w:bodyDiv w:val="1"/>
      <w:marLeft w:val="0"/>
      <w:marRight w:val="0"/>
      <w:marTop w:val="0"/>
      <w:marBottom w:val="0"/>
      <w:divBdr>
        <w:top w:val="none" w:sz="0" w:space="0" w:color="auto"/>
        <w:left w:val="none" w:sz="0" w:space="0" w:color="auto"/>
        <w:bottom w:val="none" w:sz="0" w:space="0" w:color="auto"/>
        <w:right w:val="none" w:sz="0" w:space="0" w:color="auto"/>
      </w:divBdr>
    </w:div>
    <w:div w:id="475341628">
      <w:bodyDiv w:val="1"/>
      <w:marLeft w:val="0"/>
      <w:marRight w:val="0"/>
      <w:marTop w:val="0"/>
      <w:marBottom w:val="0"/>
      <w:divBdr>
        <w:top w:val="none" w:sz="0" w:space="0" w:color="auto"/>
        <w:left w:val="none" w:sz="0" w:space="0" w:color="auto"/>
        <w:bottom w:val="none" w:sz="0" w:space="0" w:color="auto"/>
        <w:right w:val="none" w:sz="0" w:space="0" w:color="auto"/>
      </w:divBdr>
    </w:div>
    <w:div w:id="479811566">
      <w:bodyDiv w:val="1"/>
      <w:marLeft w:val="0"/>
      <w:marRight w:val="0"/>
      <w:marTop w:val="0"/>
      <w:marBottom w:val="0"/>
      <w:divBdr>
        <w:top w:val="none" w:sz="0" w:space="0" w:color="auto"/>
        <w:left w:val="none" w:sz="0" w:space="0" w:color="auto"/>
        <w:bottom w:val="none" w:sz="0" w:space="0" w:color="auto"/>
        <w:right w:val="none" w:sz="0" w:space="0" w:color="auto"/>
      </w:divBdr>
    </w:div>
    <w:div w:id="613754005">
      <w:bodyDiv w:val="1"/>
      <w:marLeft w:val="0"/>
      <w:marRight w:val="0"/>
      <w:marTop w:val="0"/>
      <w:marBottom w:val="0"/>
      <w:divBdr>
        <w:top w:val="none" w:sz="0" w:space="0" w:color="auto"/>
        <w:left w:val="none" w:sz="0" w:space="0" w:color="auto"/>
        <w:bottom w:val="none" w:sz="0" w:space="0" w:color="auto"/>
        <w:right w:val="none" w:sz="0" w:space="0" w:color="auto"/>
      </w:divBdr>
    </w:div>
    <w:div w:id="623662351">
      <w:bodyDiv w:val="1"/>
      <w:marLeft w:val="0"/>
      <w:marRight w:val="0"/>
      <w:marTop w:val="0"/>
      <w:marBottom w:val="0"/>
      <w:divBdr>
        <w:top w:val="none" w:sz="0" w:space="0" w:color="auto"/>
        <w:left w:val="none" w:sz="0" w:space="0" w:color="auto"/>
        <w:bottom w:val="none" w:sz="0" w:space="0" w:color="auto"/>
        <w:right w:val="none" w:sz="0" w:space="0" w:color="auto"/>
      </w:divBdr>
    </w:div>
    <w:div w:id="695815642">
      <w:bodyDiv w:val="1"/>
      <w:marLeft w:val="0"/>
      <w:marRight w:val="0"/>
      <w:marTop w:val="0"/>
      <w:marBottom w:val="0"/>
      <w:divBdr>
        <w:top w:val="none" w:sz="0" w:space="0" w:color="auto"/>
        <w:left w:val="none" w:sz="0" w:space="0" w:color="auto"/>
        <w:bottom w:val="none" w:sz="0" w:space="0" w:color="auto"/>
        <w:right w:val="none" w:sz="0" w:space="0" w:color="auto"/>
      </w:divBdr>
    </w:div>
    <w:div w:id="730806218">
      <w:bodyDiv w:val="1"/>
      <w:marLeft w:val="0"/>
      <w:marRight w:val="0"/>
      <w:marTop w:val="0"/>
      <w:marBottom w:val="0"/>
      <w:divBdr>
        <w:top w:val="none" w:sz="0" w:space="0" w:color="auto"/>
        <w:left w:val="none" w:sz="0" w:space="0" w:color="auto"/>
        <w:bottom w:val="none" w:sz="0" w:space="0" w:color="auto"/>
        <w:right w:val="none" w:sz="0" w:space="0" w:color="auto"/>
      </w:divBdr>
    </w:div>
    <w:div w:id="737167510">
      <w:bodyDiv w:val="1"/>
      <w:marLeft w:val="0"/>
      <w:marRight w:val="0"/>
      <w:marTop w:val="0"/>
      <w:marBottom w:val="0"/>
      <w:divBdr>
        <w:top w:val="none" w:sz="0" w:space="0" w:color="auto"/>
        <w:left w:val="none" w:sz="0" w:space="0" w:color="auto"/>
        <w:bottom w:val="none" w:sz="0" w:space="0" w:color="auto"/>
        <w:right w:val="none" w:sz="0" w:space="0" w:color="auto"/>
      </w:divBdr>
    </w:div>
    <w:div w:id="855078375">
      <w:bodyDiv w:val="1"/>
      <w:marLeft w:val="0"/>
      <w:marRight w:val="0"/>
      <w:marTop w:val="0"/>
      <w:marBottom w:val="0"/>
      <w:divBdr>
        <w:top w:val="none" w:sz="0" w:space="0" w:color="auto"/>
        <w:left w:val="none" w:sz="0" w:space="0" w:color="auto"/>
        <w:bottom w:val="none" w:sz="0" w:space="0" w:color="auto"/>
        <w:right w:val="none" w:sz="0" w:space="0" w:color="auto"/>
      </w:divBdr>
    </w:div>
    <w:div w:id="896820686">
      <w:bodyDiv w:val="1"/>
      <w:marLeft w:val="0"/>
      <w:marRight w:val="0"/>
      <w:marTop w:val="0"/>
      <w:marBottom w:val="0"/>
      <w:divBdr>
        <w:top w:val="none" w:sz="0" w:space="0" w:color="auto"/>
        <w:left w:val="none" w:sz="0" w:space="0" w:color="auto"/>
        <w:bottom w:val="none" w:sz="0" w:space="0" w:color="auto"/>
        <w:right w:val="none" w:sz="0" w:space="0" w:color="auto"/>
      </w:divBdr>
    </w:div>
    <w:div w:id="912154836">
      <w:bodyDiv w:val="1"/>
      <w:marLeft w:val="0"/>
      <w:marRight w:val="0"/>
      <w:marTop w:val="0"/>
      <w:marBottom w:val="0"/>
      <w:divBdr>
        <w:top w:val="none" w:sz="0" w:space="0" w:color="auto"/>
        <w:left w:val="none" w:sz="0" w:space="0" w:color="auto"/>
        <w:bottom w:val="none" w:sz="0" w:space="0" w:color="auto"/>
        <w:right w:val="none" w:sz="0" w:space="0" w:color="auto"/>
      </w:divBdr>
    </w:div>
    <w:div w:id="988167450">
      <w:bodyDiv w:val="1"/>
      <w:marLeft w:val="0"/>
      <w:marRight w:val="0"/>
      <w:marTop w:val="0"/>
      <w:marBottom w:val="0"/>
      <w:divBdr>
        <w:top w:val="none" w:sz="0" w:space="0" w:color="auto"/>
        <w:left w:val="none" w:sz="0" w:space="0" w:color="auto"/>
        <w:bottom w:val="none" w:sz="0" w:space="0" w:color="auto"/>
        <w:right w:val="none" w:sz="0" w:space="0" w:color="auto"/>
      </w:divBdr>
    </w:div>
    <w:div w:id="1094128742">
      <w:bodyDiv w:val="1"/>
      <w:marLeft w:val="0"/>
      <w:marRight w:val="0"/>
      <w:marTop w:val="0"/>
      <w:marBottom w:val="0"/>
      <w:divBdr>
        <w:top w:val="none" w:sz="0" w:space="0" w:color="auto"/>
        <w:left w:val="none" w:sz="0" w:space="0" w:color="auto"/>
        <w:bottom w:val="none" w:sz="0" w:space="0" w:color="auto"/>
        <w:right w:val="none" w:sz="0" w:space="0" w:color="auto"/>
      </w:divBdr>
    </w:div>
    <w:div w:id="1100367590">
      <w:bodyDiv w:val="1"/>
      <w:marLeft w:val="0"/>
      <w:marRight w:val="0"/>
      <w:marTop w:val="0"/>
      <w:marBottom w:val="0"/>
      <w:divBdr>
        <w:top w:val="none" w:sz="0" w:space="0" w:color="auto"/>
        <w:left w:val="none" w:sz="0" w:space="0" w:color="auto"/>
        <w:bottom w:val="none" w:sz="0" w:space="0" w:color="auto"/>
        <w:right w:val="none" w:sz="0" w:space="0" w:color="auto"/>
      </w:divBdr>
    </w:div>
    <w:div w:id="1135634829">
      <w:bodyDiv w:val="1"/>
      <w:marLeft w:val="0"/>
      <w:marRight w:val="0"/>
      <w:marTop w:val="0"/>
      <w:marBottom w:val="0"/>
      <w:divBdr>
        <w:top w:val="none" w:sz="0" w:space="0" w:color="auto"/>
        <w:left w:val="none" w:sz="0" w:space="0" w:color="auto"/>
        <w:bottom w:val="none" w:sz="0" w:space="0" w:color="auto"/>
        <w:right w:val="none" w:sz="0" w:space="0" w:color="auto"/>
      </w:divBdr>
    </w:div>
    <w:div w:id="1140807328">
      <w:bodyDiv w:val="1"/>
      <w:marLeft w:val="0"/>
      <w:marRight w:val="0"/>
      <w:marTop w:val="0"/>
      <w:marBottom w:val="0"/>
      <w:divBdr>
        <w:top w:val="none" w:sz="0" w:space="0" w:color="auto"/>
        <w:left w:val="none" w:sz="0" w:space="0" w:color="auto"/>
        <w:bottom w:val="none" w:sz="0" w:space="0" w:color="auto"/>
        <w:right w:val="none" w:sz="0" w:space="0" w:color="auto"/>
      </w:divBdr>
    </w:div>
    <w:div w:id="1178075823">
      <w:bodyDiv w:val="1"/>
      <w:marLeft w:val="0"/>
      <w:marRight w:val="0"/>
      <w:marTop w:val="0"/>
      <w:marBottom w:val="0"/>
      <w:divBdr>
        <w:top w:val="none" w:sz="0" w:space="0" w:color="auto"/>
        <w:left w:val="none" w:sz="0" w:space="0" w:color="auto"/>
        <w:bottom w:val="none" w:sz="0" w:space="0" w:color="auto"/>
        <w:right w:val="none" w:sz="0" w:space="0" w:color="auto"/>
      </w:divBdr>
    </w:div>
    <w:div w:id="1390156415">
      <w:bodyDiv w:val="1"/>
      <w:marLeft w:val="0"/>
      <w:marRight w:val="0"/>
      <w:marTop w:val="0"/>
      <w:marBottom w:val="0"/>
      <w:divBdr>
        <w:top w:val="none" w:sz="0" w:space="0" w:color="auto"/>
        <w:left w:val="none" w:sz="0" w:space="0" w:color="auto"/>
        <w:bottom w:val="none" w:sz="0" w:space="0" w:color="auto"/>
        <w:right w:val="none" w:sz="0" w:space="0" w:color="auto"/>
      </w:divBdr>
    </w:div>
    <w:div w:id="1424716016">
      <w:bodyDiv w:val="1"/>
      <w:marLeft w:val="0"/>
      <w:marRight w:val="0"/>
      <w:marTop w:val="0"/>
      <w:marBottom w:val="0"/>
      <w:divBdr>
        <w:top w:val="none" w:sz="0" w:space="0" w:color="auto"/>
        <w:left w:val="none" w:sz="0" w:space="0" w:color="auto"/>
        <w:bottom w:val="none" w:sz="0" w:space="0" w:color="auto"/>
        <w:right w:val="none" w:sz="0" w:space="0" w:color="auto"/>
      </w:divBdr>
    </w:div>
    <w:div w:id="1556046616">
      <w:bodyDiv w:val="1"/>
      <w:marLeft w:val="0"/>
      <w:marRight w:val="0"/>
      <w:marTop w:val="0"/>
      <w:marBottom w:val="0"/>
      <w:divBdr>
        <w:top w:val="none" w:sz="0" w:space="0" w:color="auto"/>
        <w:left w:val="none" w:sz="0" w:space="0" w:color="auto"/>
        <w:bottom w:val="none" w:sz="0" w:space="0" w:color="auto"/>
        <w:right w:val="none" w:sz="0" w:space="0" w:color="auto"/>
      </w:divBdr>
    </w:div>
    <w:div w:id="1558469133">
      <w:bodyDiv w:val="1"/>
      <w:marLeft w:val="0"/>
      <w:marRight w:val="0"/>
      <w:marTop w:val="0"/>
      <w:marBottom w:val="0"/>
      <w:divBdr>
        <w:top w:val="none" w:sz="0" w:space="0" w:color="auto"/>
        <w:left w:val="none" w:sz="0" w:space="0" w:color="auto"/>
        <w:bottom w:val="none" w:sz="0" w:space="0" w:color="auto"/>
        <w:right w:val="none" w:sz="0" w:space="0" w:color="auto"/>
      </w:divBdr>
    </w:div>
    <w:div w:id="1649435316">
      <w:bodyDiv w:val="1"/>
      <w:marLeft w:val="0"/>
      <w:marRight w:val="0"/>
      <w:marTop w:val="0"/>
      <w:marBottom w:val="0"/>
      <w:divBdr>
        <w:top w:val="none" w:sz="0" w:space="0" w:color="auto"/>
        <w:left w:val="none" w:sz="0" w:space="0" w:color="auto"/>
        <w:bottom w:val="none" w:sz="0" w:space="0" w:color="auto"/>
        <w:right w:val="none" w:sz="0" w:space="0" w:color="auto"/>
      </w:divBdr>
    </w:div>
    <w:div w:id="1656689471">
      <w:bodyDiv w:val="1"/>
      <w:marLeft w:val="0"/>
      <w:marRight w:val="0"/>
      <w:marTop w:val="0"/>
      <w:marBottom w:val="0"/>
      <w:divBdr>
        <w:top w:val="none" w:sz="0" w:space="0" w:color="auto"/>
        <w:left w:val="none" w:sz="0" w:space="0" w:color="auto"/>
        <w:bottom w:val="none" w:sz="0" w:space="0" w:color="auto"/>
        <w:right w:val="none" w:sz="0" w:space="0" w:color="auto"/>
      </w:divBdr>
    </w:div>
    <w:div w:id="1712193695">
      <w:bodyDiv w:val="1"/>
      <w:marLeft w:val="0"/>
      <w:marRight w:val="0"/>
      <w:marTop w:val="0"/>
      <w:marBottom w:val="0"/>
      <w:divBdr>
        <w:top w:val="none" w:sz="0" w:space="0" w:color="auto"/>
        <w:left w:val="none" w:sz="0" w:space="0" w:color="auto"/>
        <w:bottom w:val="none" w:sz="0" w:space="0" w:color="auto"/>
        <w:right w:val="none" w:sz="0" w:space="0" w:color="auto"/>
      </w:divBdr>
    </w:div>
    <w:div w:id="1720745901">
      <w:bodyDiv w:val="1"/>
      <w:marLeft w:val="0"/>
      <w:marRight w:val="0"/>
      <w:marTop w:val="0"/>
      <w:marBottom w:val="0"/>
      <w:divBdr>
        <w:top w:val="none" w:sz="0" w:space="0" w:color="auto"/>
        <w:left w:val="none" w:sz="0" w:space="0" w:color="auto"/>
        <w:bottom w:val="none" w:sz="0" w:space="0" w:color="auto"/>
        <w:right w:val="none" w:sz="0" w:space="0" w:color="auto"/>
      </w:divBdr>
    </w:div>
    <w:div w:id="1800025960">
      <w:bodyDiv w:val="1"/>
      <w:marLeft w:val="0"/>
      <w:marRight w:val="0"/>
      <w:marTop w:val="0"/>
      <w:marBottom w:val="0"/>
      <w:divBdr>
        <w:top w:val="none" w:sz="0" w:space="0" w:color="auto"/>
        <w:left w:val="none" w:sz="0" w:space="0" w:color="auto"/>
        <w:bottom w:val="none" w:sz="0" w:space="0" w:color="auto"/>
        <w:right w:val="none" w:sz="0" w:space="0" w:color="auto"/>
      </w:divBdr>
    </w:div>
    <w:div w:id="1834568921">
      <w:bodyDiv w:val="1"/>
      <w:marLeft w:val="0"/>
      <w:marRight w:val="0"/>
      <w:marTop w:val="0"/>
      <w:marBottom w:val="0"/>
      <w:divBdr>
        <w:top w:val="none" w:sz="0" w:space="0" w:color="auto"/>
        <w:left w:val="none" w:sz="0" w:space="0" w:color="auto"/>
        <w:bottom w:val="none" w:sz="0" w:space="0" w:color="auto"/>
        <w:right w:val="none" w:sz="0" w:space="0" w:color="auto"/>
      </w:divBdr>
    </w:div>
    <w:div w:id="1952126016">
      <w:bodyDiv w:val="1"/>
      <w:marLeft w:val="0"/>
      <w:marRight w:val="0"/>
      <w:marTop w:val="0"/>
      <w:marBottom w:val="0"/>
      <w:divBdr>
        <w:top w:val="none" w:sz="0" w:space="0" w:color="auto"/>
        <w:left w:val="none" w:sz="0" w:space="0" w:color="auto"/>
        <w:bottom w:val="none" w:sz="0" w:space="0" w:color="auto"/>
        <w:right w:val="none" w:sz="0" w:space="0" w:color="auto"/>
      </w:divBdr>
    </w:div>
    <w:div w:id="20379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isrs.si/Pis.web/pregledPredpisa?id=ZAKO7086" TargetMode="External"/><Relationship Id="rId18" Type="http://schemas.openxmlformats.org/officeDocument/2006/relationships/hyperlink" Target="http://www.uradni-list.si/1/objava.jsp?sop=2015-01-0728" TargetMode="External"/><Relationship Id="rId26" Type="http://schemas.openxmlformats.org/officeDocument/2006/relationships/hyperlink" Target="http://www.pisrs.si/Pis.web/pregledPredpisa?id=ZAKO384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isrs.si/Pis.web/pregledPredpisa?id=ZAKO3336" TargetMode="External"/><Relationship Id="rId34" Type="http://schemas.openxmlformats.org/officeDocument/2006/relationships/hyperlink" Target="mailto:espra.mkgp@gov.si"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pisrs.si/Pis.web/pregledPredpisa?id=ZAKO5975" TargetMode="External"/><Relationship Id="rId17" Type="http://schemas.openxmlformats.org/officeDocument/2006/relationships/hyperlink" Target="http://www.uradni-list.si/1/objava.jsp?sop=2014-01-2077" TargetMode="External"/><Relationship Id="rId25" Type="http://schemas.openxmlformats.org/officeDocument/2006/relationships/hyperlink" Target="http://www.pisrs.si/Pis.web/pregledPredpisa?id=ZAKO4367" TargetMode="External"/><Relationship Id="rId33" Type="http://schemas.openxmlformats.org/officeDocument/2006/relationships/hyperlink" Target="https://www.gov.si/drzavni-organi/ministrstva/ministrstvo-za-delo-druzino-socialne-zadeve-in-enake-moznosti/zakonodaja/" TargetMode="External"/><Relationship Id="rId38" Type="http://schemas.openxmlformats.org/officeDocument/2006/relationships/hyperlink" Target="mailto:aktrp@gov.si" TargetMode="External"/><Relationship Id="rId2" Type="http://schemas.openxmlformats.org/officeDocument/2006/relationships/numbering" Target="numbering.xml"/><Relationship Id="rId16" Type="http://schemas.openxmlformats.org/officeDocument/2006/relationships/hyperlink" Target="http://www.uradni-list.si/1/objava.jsp?sop=2014-01-0876" TargetMode="External"/><Relationship Id="rId20" Type="http://schemas.openxmlformats.org/officeDocument/2006/relationships/hyperlink" Target="http://www.uradni-list.si/1/objava.jsp?sop=2018-01-0275" TargetMode="External"/><Relationship Id="rId29" Type="http://schemas.openxmlformats.org/officeDocument/2006/relationships/hyperlink" Target="http://pisrs.si/Pis.web/pregledPredpisa?id=ZAKO1603"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7086" TargetMode="External"/><Relationship Id="rId24" Type="http://schemas.openxmlformats.org/officeDocument/2006/relationships/hyperlink" Target="https://www.ajpes.si/jolp/" TargetMode="External"/><Relationship Id="rId32" Type="http://schemas.openxmlformats.org/officeDocument/2006/relationships/hyperlink" Target="http://www.pisrs.si/Pis.web/pregledPredpisa?id=ZAKO5314" TargetMode="External"/><Relationship Id="rId37" Type="http://schemas.openxmlformats.org/officeDocument/2006/relationships/hyperlink" Target="mailto:gp.mkgp@gov.s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06-01-5018" TargetMode="External"/><Relationship Id="rId23" Type="http://schemas.openxmlformats.org/officeDocument/2006/relationships/hyperlink" Target="https://www.ajpes.si/fipo/" TargetMode="External"/><Relationship Id="rId28" Type="http://schemas.openxmlformats.org/officeDocument/2006/relationships/hyperlink" Target="http://www.pisrs.si/Pis.web/pregledPredpisa?id=PRAV6034" TargetMode="External"/><Relationship Id="rId36" Type="http://schemas.openxmlformats.org/officeDocument/2006/relationships/hyperlink" Target="mailto:gp.mkgp@gov.si" TargetMode="External"/><Relationship Id="rId10" Type="http://schemas.openxmlformats.org/officeDocument/2006/relationships/footer" Target="footer2.xml"/><Relationship Id="rId19" Type="http://schemas.openxmlformats.org/officeDocument/2006/relationships/hyperlink" Target="http://www.uradni-list.si/1/objava.jsp?sop=2015-01-4086" TargetMode="External"/><Relationship Id="rId31" Type="http://schemas.openxmlformats.org/officeDocument/2006/relationships/hyperlink" Target="http://pisrs.si/Pis.web/pregledPredpisa?id=ZAKO390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06-01-2180" TargetMode="External"/><Relationship Id="rId22" Type="http://schemas.openxmlformats.org/officeDocument/2006/relationships/hyperlink" Target="http://pisrs.si/Pis.web/pregledPredpisa?id=ZAKO5523" TargetMode="External"/><Relationship Id="rId27" Type="http://schemas.openxmlformats.org/officeDocument/2006/relationships/hyperlink" Target="http://www.pisrs.si/Pis.web/pregledPredpisa?id=URED3411" TargetMode="External"/><Relationship Id="rId30" Type="http://schemas.openxmlformats.org/officeDocument/2006/relationships/hyperlink" Target="http://www.pisrs.si/Pis.web/pregledPredpisa?id=ZAKO7086" TargetMode="External"/><Relationship Id="rId35" Type="http://schemas.openxmlformats.org/officeDocument/2006/relationships/hyperlink" Target="mailto:mf.unp@gov.s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B5C3-E6B9-4DDC-8B82-060EB385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143</Pages>
  <Words>43534</Words>
  <Characters>248145</Characters>
  <Application>Microsoft Office Word</Application>
  <DocSecurity>0</DocSecurity>
  <Lines>2067</Lines>
  <Paragraphs>582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291097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Dolinsek</dc:creator>
  <cp:keywords/>
  <dc:description/>
  <cp:lastModifiedBy>Neža Sautet</cp:lastModifiedBy>
  <cp:revision>3</cp:revision>
  <cp:lastPrinted>2022-06-14T09:50:00Z</cp:lastPrinted>
  <dcterms:created xsi:type="dcterms:W3CDTF">2022-06-14T09:49:00Z</dcterms:created>
  <dcterms:modified xsi:type="dcterms:W3CDTF">2022-06-14T09:53:00Z</dcterms:modified>
</cp:coreProperties>
</file>