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3B" w:rsidRPr="000F3411" w:rsidRDefault="000E4DD0" w:rsidP="001245A1">
      <w:pPr>
        <w:spacing w:before="240" w:after="120" w:line="240" w:lineRule="auto"/>
        <w:jc w:val="center"/>
        <w:rPr>
          <w:rFonts w:ascii="Times New Roman" w:eastAsia="Times New Roman" w:hAnsi="Times New Roman" w:cs="Times New Roman"/>
          <w:b/>
          <w:bCs/>
          <w:color w:val="000000"/>
          <w:sz w:val="24"/>
          <w:szCs w:val="24"/>
          <w:lang w:eastAsia="sl-SI"/>
        </w:rPr>
      </w:pPr>
      <w:r w:rsidRPr="000E4DD0">
        <w:rPr>
          <w:rFonts w:ascii="Times New Roman" w:eastAsia="Times New Roman" w:hAnsi="Times New Roman" w:cs="Times New Roman"/>
          <w:b/>
          <w:bCs/>
          <w:color w:val="000000"/>
          <w:sz w:val="24"/>
          <w:szCs w:val="24"/>
          <w:lang w:eastAsia="sl-SI"/>
        </w:rPr>
        <w:t>Informacije o državni pomoči,</w:t>
      </w:r>
      <w:r>
        <w:rPr>
          <w:rFonts w:ascii="Times New Roman" w:eastAsia="Times New Roman" w:hAnsi="Times New Roman" w:cs="Times New Roman"/>
          <w:b/>
          <w:bCs/>
          <w:color w:val="000000"/>
          <w:sz w:val="24"/>
          <w:szCs w:val="24"/>
          <w:lang w:eastAsia="sl-SI"/>
        </w:rPr>
        <w:t xml:space="preserve"> izvzeti v skladu s pogoji iz U</w:t>
      </w:r>
      <w:r w:rsidRPr="000E4DD0">
        <w:rPr>
          <w:rFonts w:ascii="Times New Roman" w:eastAsia="Times New Roman" w:hAnsi="Times New Roman" w:cs="Times New Roman"/>
          <w:b/>
          <w:bCs/>
          <w:color w:val="000000"/>
          <w:sz w:val="24"/>
          <w:szCs w:val="24"/>
          <w:lang w:eastAsia="sl-SI"/>
        </w:rPr>
        <w:t>redbe</w:t>
      </w:r>
      <w:r w:rsidR="008B6A32">
        <w:rPr>
          <w:rFonts w:ascii="Times New Roman" w:eastAsia="Times New Roman" w:hAnsi="Times New Roman" w:cs="Times New Roman"/>
          <w:b/>
          <w:bCs/>
          <w:color w:val="000000"/>
          <w:sz w:val="24"/>
          <w:szCs w:val="24"/>
          <w:lang w:eastAsia="sl-SI"/>
        </w:rPr>
        <w:t xml:space="preserve"> Komisije (EU) št. </w:t>
      </w:r>
      <w:r>
        <w:rPr>
          <w:rFonts w:ascii="Times New Roman" w:eastAsia="Times New Roman" w:hAnsi="Times New Roman" w:cs="Times New Roman"/>
          <w:b/>
          <w:bCs/>
          <w:color w:val="000000"/>
          <w:sz w:val="24"/>
          <w:szCs w:val="24"/>
          <w:lang w:eastAsia="sl-SI"/>
        </w:rPr>
        <w:t>2022/2472</w:t>
      </w:r>
      <w:r w:rsidRPr="000E4DD0">
        <w:rPr>
          <w:rFonts w:ascii="Times New Roman" w:eastAsia="Times New Roman" w:hAnsi="Times New Roman" w:cs="Times New Roman"/>
          <w:b/>
          <w:bCs/>
          <w:color w:val="000000"/>
          <w:sz w:val="24"/>
          <w:szCs w:val="24"/>
          <w:lang w:eastAsia="sl-SI"/>
        </w:rPr>
        <w:t>,</w:t>
      </w:r>
      <w:r>
        <w:rPr>
          <w:rStyle w:val="Konnaopomba-sklic"/>
          <w:rFonts w:ascii="Times New Roman" w:eastAsia="Times New Roman" w:hAnsi="Times New Roman" w:cs="Times New Roman"/>
          <w:b/>
          <w:bCs/>
          <w:color w:val="000000"/>
          <w:sz w:val="24"/>
          <w:szCs w:val="24"/>
          <w:lang w:eastAsia="sl-SI"/>
        </w:rPr>
        <w:endnoteReference w:id="1"/>
      </w:r>
      <w:r w:rsidRPr="000E4DD0">
        <w:rPr>
          <w:rFonts w:ascii="Times New Roman" w:eastAsia="Times New Roman" w:hAnsi="Times New Roman" w:cs="Times New Roman"/>
          <w:b/>
          <w:bCs/>
          <w:color w:val="000000"/>
          <w:sz w:val="24"/>
          <w:szCs w:val="24"/>
          <w:lang w:eastAsia="sl-SI"/>
        </w:rPr>
        <w:t xml:space="preserve"> ki se predložijo prek elektronske aplikacije, ki </w:t>
      </w:r>
      <w:r w:rsidR="008B6A32">
        <w:rPr>
          <w:rFonts w:ascii="Times New Roman" w:eastAsia="Times New Roman" w:hAnsi="Times New Roman" w:cs="Times New Roman"/>
          <w:b/>
          <w:bCs/>
          <w:color w:val="000000"/>
          <w:sz w:val="24"/>
          <w:szCs w:val="24"/>
          <w:lang w:eastAsia="sl-SI"/>
        </w:rPr>
        <w:t>jo Komisija vzpostavi v skladu z 11. členom te uredbe</w:t>
      </w:r>
    </w:p>
    <w:p w:rsidR="000F3411" w:rsidRPr="000F3411" w:rsidRDefault="000F3411" w:rsidP="000E4DD0">
      <w:pPr>
        <w:spacing w:before="240" w:after="120" w:line="240" w:lineRule="auto"/>
        <w:jc w:val="center"/>
        <w:rPr>
          <w:rFonts w:ascii="Times New Roman" w:eastAsia="Times New Roman" w:hAnsi="Times New Roman" w:cs="Times New Roman"/>
          <w:b/>
          <w:bCs/>
          <w:color w:val="000000"/>
          <w:sz w:val="24"/>
          <w:szCs w:val="24"/>
          <w:lang w:eastAsia="sl-SI"/>
        </w:rPr>
      </w:pPr>
      <w:r w:rsidRPr="000F3411">
        <w:rPr>
          <w:rFonts w:ascii="Times New Roman" w:eastAsia="Times New Roman" w:hAnsi="Times New Roman" w:cs="Times New Roman"/>
          <w:b/>
          <w:bCs/>
          <w:color w:val="000000"/>
          <w:sz w:val="24"/>
          <w:szCs w:val="24"/>
          <w:lang w:eastAsia="sl-SI"/>
        </w:rPr>
        <w:t>DEL I</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41"/>
        <w:gridCol w:w="2375"/>
        <w:gridCol w:w="1236"/>
        <w:gridCol w:w="1904"/>
      </w:tblGrid>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Referenčna oznaka pomoči</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i/>
                <w:iCs/>
                <w:color w:val="000000"/>
                <w:lang w:eastAsia="sl-SI"/>
              </w:rPr>
              <w:t>(izpolni Komisija</w:t>
            </w:r>
            <w:r w:rsidR="000E4677" w:rsidRPr="00182537">
              <w:rPr>
                <w:rFonts w:ascii="Times New Roman" w:eastAsia="Times New Roman" w:hAnsi="Times New Roman" w:cs="Times New Roman"/>
                <w:i/>
                <w:iCs/>
                <w:color w:val="000000"/>
                <w:lang w:eastAsia="sl-SI"/>
              </w:rPr>
              <w:t xml:space="preserve"> </w:t>
            </w:r>
            <w:r w:rsidRPr="00182537">
              <w:rPr>
                <w:rFonts w:ascii="Times New Roman" w:eastAsia="Times New Roman" w:hAnsi="Times New Roman" w:cs="Times New Roman"/>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Država članica</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0F3411" w:rsidRPr="00182537" w:rsidRDefault="0071265A"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Cs/>
                <w:color w:val="000000"/>
                <w:lang w:eastAsia="sl-SI"/>
              </w:rPr>
              <w:t xml:space="preserve"> </w:t>
            </w:r>
            <w:r w:rsidR="00757C94" w:rsidRPr="00182537">
              <w:rPr>
                <w:rFonts w:ascii="Times New Roman" w:eastAsia="Times New Roman" w:hAnsi="Times New Roman" w:cs="Times New Roman"/>
                <w:bCs/>
                <w:iCs/>
                <w:color w:val="000000"/>
                <w:lang w:eastAsia="sl-SI"/>
              </w:rPr>
              <w:t>Slovenija</w:t>
            </w:r>
          </w:p>
        </w:tc>
      </w:tr>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Referenčna oznaka države članice</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0F3411" w:rsidRPr="00182537" w:rsidRDefault="0071265A"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Cs/>
                <w:color w:val="000000"/>
                <w:lang w:eastAsia="sl-SI"/>
              </w:rPr>
              <w:t xml:space="preserve"> </w:t>
            </w:r>
            <w:r w:rsidR="00757C94" w:rsidRPr="00182537">
              <w:rPr>
                <w:rFonts w:ascii="Times New Roman" w:eastAsia="Times New Roman" w:hAnsi="Times New Roman" w:cs="Times New Roman"/>
                <w:bCs/>
                <w:iCs/>
                <w:color w:val="000000"/>
                <w:lang w:eastAsia="sl-SI"/>
              </w:rPr>
              <w:t>SI</w:t>
            </w:r>
          </w:p>
        </w:tc>
      </w:tr>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Regija</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ime regij</w:t>
            </w:r>
            <w:r w:rsidR="000E4DD0" w:rsidRPr="00182537">
              <w:rPr>
                <w:rFonts w:ascii="Times New Roman" w:eastAsia="Times New Roman" w:hAnsi="Times New Roman" w:cs="Times New Roman"/>
                <w:bCs/>
                <w:color w:val="000000"/>
                <w:lang w:eastAsia="sl-SI"/>
              </w:rPr>
              <w:t>(-</w:t>
            </w:r>
            <w:r w:rsidRPr="00182537">
              <w:rPr>
                <w:rFonts w:ascii="Times New Roman" w:eastAsia="Times New Roman" w:hAnsi="Times New Roman" w:cs="Times New Roman"/>
                <w:bCs/>
                <w:color w:val="000000"/>
                <w:lang w:eastAsia="sl-SI"/>
              </w:rPr>
              <w:t>e</w:t>
            </w:r>
            <w:r w:rsidR="000E4DD0" w:rsidRPr="00182537">
              <w:rPr>
                <w:rFonts w:ascii="Times New Roman" w:eastAsia="Times New Roman" w:hAnsi="Times New Roman" w:cs="Times New Roman"/>
                <w:bCs/>
                <w:color w:val="000000"/>
                <w:lang w:eastAsia="sl-SI"/>
              </w:rPr>
              <w:t>)</w:t>
            </w:r>
            <w:r w:rsidRPr="00182537">
              <w:rPr>
                <w:rFonts w:ascii="Times New Roman" w:eastAsia="Times New Roman" w:hAnsi="Times New Roman" w:cs="Times New Roman"/>
                <w:bCs/>
                <w:color w:val="000000"/>
                <w:lang w:eastAsia="sl-SI"/>
              </w:rPr>
              <w:t xml:space="preserve"> (</w:t>
            </w:r>
            <w:r w:rsidRPr="00182537">
              <w:rPr>
                <w:rFonts w:ascii="Times New Roman" w:eastAsia="Times New Roman" w:hAnsi="Times New Roman" w:cs="Times New Roman"/>
                <w:color w:val="000000"/>
                <w:lang w:eastAsia="sl-SI"/>
              </w:rPr>
              <w:t xml:space="preserve"> </w:t>
            </w:r>
            <w:r w:rsidRPr="00182537">
              <w:rPr>
                <w:rFonts w:ascii="Times New Roman" w:eastAsia="Times New Roman" w:hAnsi="Times New Roman" w:cs="Times New Roman"/>
                <w:bCs/>
                <w:i/>
                <w:iCs/>
                <w:color w:val="000000"/>
                <w:lang w:eastAsia="sl-SI"/>
              </w:rPr>
              <w:t>NUTS</w:t>
            </w:r>
            <w:r w:rsidR="00DE1207" w:rsidRPr="00182537">
              <w:rPr>
                <w:rStyle w:val="Konnaopomba-sklic"/>
                <w:rFonts w:ascii="Times New Roman" w:eastAsia="Times New Roman" w:hAnsi="Times New Roman" w:cs="Times New Roman"/>
                <w:bCs/>
                <w:i/>
                <w:iCs/>
                <w:color w:val="000000"/>
                <w:lang w:eastAsia="sl-SI"/>
              </w:rPr>
              <w:endnoteReference w:id="2"/>
            </w:r>
            <w:r w:rsidRPr="00182537">
              <w:rPr>
                <w:rFonts w:ascii="Times New Roman" w:eastAsia="Times New Roman" w:hAnsi="Times New Roman" w:cs="Times New Roman"/>
                <w:bCs/>
                <w:lang w:eastAsia="sl-SI"/>
              </w:rPr>
              <w:t>)</w:t>
            </w:r>
            <w:r w:rsidRPr="00182537">
              <w:rPr>
                <w:rFonts w:ascii="Times New Roman" w:eastAsia="Times New Roman" w:hAnsi="Times New Roman" w:cs="Times New Roman"/>
                <w:lang w:eastAsia="sl-SI"/>
              </w:rPr>
              <w:t xml:space="preserve"> </w:t>
            </w:r>
          </w:p>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status regionalne pomoči</w:t>
            </w:r>
            <w:r w:rsidR="00DE1207" w:rsidRPr="00182537">
              <w:rPr>
                <w:rStyle w:val="Konnaopomba-sklic"/>
                <w:rFonts w:ascii="Times New Roman" w:eastAsia="Times New Roman" w:hAnsi="Times New Roman" w:cs="Times New Roman"/>
                <w:bCs/>
                <w:color w:val="000000"/>
                <w:lang w:eastAsia="sl-SI"/>
              </w:rPr>
              <w:endnoteReference w:id="3"/>
            </w:r>
          </w:p>
          <w:p w:rsidR="000F3411" w:rsidRPr="00182537" w:rsidRDefault="000E4DD0" w:rsidP="000F3411">
            <w:pPr>
              <w:spacing w:before="60" w:after="60" w:line="240" w:lineRule="auto"/>
              <w:rPr>
                <w:rFonts w:ascii="Times New Roman" w:eastAsia="Times New Roman" w:hAnsi="Times New Roman" w:cs="Times New Roman"/>
                <w:bCs/>
                <w:color w:val="000000"/>
                <w:sz w:val="24"/>
                <w:szCs w:val="24"/>
                <w:lang w:eastAsia="sl-SI"/>
              </w:rPr>
            </w:pPr>
            <w:r w:rsidRPr="00182537">
              <w:rPr>
                <w:rFonts w:ascii="Times New Roman" w:eastAsia="Times New Roman" w:hAnsi="Times New Roman" w:cs="Times New Roman"/>
                <w:color w:val="000000"/>
                <w:lang w:eastAsia="sl-SI"/>
              </w:rPr>
              <w:t xml:space="preserve"> </w:t>
            </w: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najbolj oddaljene regije</w:t>
            </w:r>
          </w:p>
          <w:p w:rsidR="000E4DD0" w:rsidRPr="00182537" w:rsidRDefault="000E4DD0" w:rsidP="000E4DD0">
            <w:pPr>
              <w:spacing w:before="60" w:after="60" w:line="240" w:lineRule="auto"/>
              <w:rPr>
                <w:rFonts w:ascii="Times New Roman" w:eastAsia="Times New Roman" w:hAnsi="Times New Roman" w:cs="Times New Roman"/>
                <w:bCs/>
                <w:color w:val="000000"/>
                <w:sz w:val="24"/>
                <w:szCs w:val="24"/>
                <w:lang w:eastAsia="sl-SI"/>
              </w:rPr>
            </w:pPr>
            <w:r w:rsidRPr="00182537">
              <w:rPr>
                <w:rFonts w:ascii="Century Gothic" w:hAnsi="Century Gothic"/>
                <w:sz w:val="20"/>
              </w:rPr>
              <w:t xml:space="preserve"> </w:t>
            </w: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manjši egejski otoki</w:t>
            </w:r>
          </w:p>
          <w:p w:rsidR="000E4DD0" w:rsidRPr="00182537" w:rsidRDefault="000E4DD0" w:rsidP="000E4DD0">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color w:val="000000"/>
                <w:lang w:eastAsia="sl-SI"/>
              </w:rPr>
              <w:t xml:space="preserve"> </w:t>
            </w: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drugo</w:t>
            </w:r>
          </w:p>
          <w:p w:rsidR="000F3411" w:rsidRPr="00182537" w:rsidRDefault="000F3411" w:rsidP="000F3411">
            <w:pPr>
              <w:spacing w:before="60" w:after="60" w:line="240" w:lineRule="auto"/>
              <w:rPr>
                <w:rFonts w:ascii="Times New Roman" w:eastAsia="Times New Roman" w:hAnsi="Times New Roman" w:cs="Times New Roman"/>
                <w:color w:val="000000"/>
                <w:lang w:eastAsia="sl-SI"/>
              </w:rPr>
            </w:pPr>
          </w:p>
        </w:tc>
      </w:tr>
      <w:tr w:rsidR="008B6A32" w:rsidRPr="00182537" w:rsidTr="008B6A32">
        <w:trPr>
          <w:tblCellSpacing w:w="0" w:type="dxa"/>
        </w:trPr>
        <w:tc>
          <w:tcPr>
            <w:tcW w:w="0" w:type="auto"/>
            <w:vMerge w:val="restart"/>
            <w:tcBorders>
              <w:top w:val="single" w:sz="6" w:space="0" w:color="000000"/>
              <w:left w:val="single" w:sz="6" w:space="0" w:color="000000"/>
              <w:right w:val="single" w:sz="6" w:space="0" w:color="000000"/>
            </w:tcBorders>
          </w:tcPr>
          <w:p w:rsidR="008B6A32" w:rsidRPr="00182537" w:rsidRDefault="008B6A32" w:rsidP="000F3411">
            <w:pPr>
              <w:spacing w:before="60" w:after="60" w:line="240" w:lineRule="auto"/>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t>Organ, ki dodeli pomoč</w:t>
            </w:r>
          </w:p>
        </w:tc>
        <w:tc>
          <w:tcPr>
            <w:tcW w:w="0" w:type="auto"/>
            <w:tcBorders>
              <w:top w:val="single" w:sz="6" w:space="0" w:color="000000"/>
              <w:left w:val="single" w:sz="6" w:space="0" w:color="000000"/>
              <w:bottom w:val="single" w:sz="6" w:space="0" w:color="000000"/>
              <w:right w:val="single" w:sz="6" w:space="0" w:color="000000"/>
            </w:tcBorders>
          </w:tcPr>
          <w:p w:rsidR="008B6A32" w:rsidRPr="00182537" w:rsidRDefault="008B6A32" w:rsidP="000F3411">
            <w:pPr>
              <w:spacing w:before="60" w:after="60" w:line="240" w:lineRule="auto"/>
              <w:rPr>
                <w:rFonts w:ascii="Times New Roman" w:eastAsia="Times New Roman" w:hAnsi="Times New Roman" w:cs="Times New Roman"/>
                <w:bCs/>
                <w:color w:val="000000"/>
                <w:lang w:eastAsia="sl-SI"/>
              </w:rPr>
            </w:pPr>
            <w:r>
              <w:rPr>
                <w:rFonts w:ascii="Times New Roman" w:eastAsia="Times New Roman" w:hAnsi="Times New Roman" w:cs="Times New Roman"/>
                <w:bCs/>
                <w:color w:val="000000"/>
                <w:lang w:eastAsia="sl-SI"/>
              </w:rPr>
              <w:t>ime</w:t>
            </w:r>
          </w:p>
        </w:tc>
        <w:tc>
          <w:tcPr>
            <w:tcW w:w="0" w:type="auto"/>
            <w:gridSpan w:val="2"/>
            <w:tcBorders>
              <w:top w:val="single" w:sz="6" w:space="0" w:color="000000"/>
              <w:left w:val="single" w:sz="6" w:space="0" w:color="000000"/>
              <w:bottom w:val="single" w:sz="6" w:space="0" w:color="000000"/>
              <w:right w:val="single" w:sz="6" w:space="0" w:color="000000"/>
            </w:tcBorders>
          </w:tcPr>
          <w:p w:rsidR="008B6A32" w:rsidRPr="00182537" w:rsidRDefault="008B6A32" w:rsidP="000F3411">
            <w:pPr>
              <w:spacing w:before="60" w:after="60" w:line="240" w:lineRule="auto"/>
              <w:rPr>
                <w:rFonts w:ascii="Times New Roman" w:eastAsia="Times New Roman" w:hAnsi="Times New Roman" w:cs="Times New Roman"/>
                <w:bCs/>
                <w:color w:val="000000"/>
                <w:lang w:eastAsia="sl-SI"/>
              </w:rPr>
            </w:pPr>
            <w:r>
              <w:rPr>
                <w:rFonts w:ascii="Times New Roman" w:eastAsia="Times New Roman" w:hAnsi="Times New Roman" w:cs="Times New Roman"/>
                <w:bCs/>
                <w:color w:val="000000"/>
                <w:lang w:eastAsia="sl-SI"/>
              </w:rPr>
              <w:t>…</w:t>
            </w:r>
          </w:p>
        </w:tc>
      </w:tr>
      <w:tr w:rsidR="008B6A32" w:rsidRPr="00182537" w:rsidTr="008B6A32">
        <w:trPr>
          <w:tblCellSpacing w:w="0" w:type="dxa"/>
        </w:trPr>
        <w:tc>
          <w:tcPr>
            <w:tcW w:w="0" w:type="auto"/>
            <w:vMerge/>
            <w:tcBorders>
              <w:left w:val="single" w:sz="6" w:space="0" w:color="000000"/>
              <w:right w:val="single" w:sz="6" w:space="0" w:color="000000"/>
            </w:tcBorders>
            <w:hideMark/>
          </w:tcPr>
          <w:p w:rsidR="008B6A32" w:rsidRPr="00182537" w:rsidRDefault="008B6A32" w:rsidP="000F3411">
            <w:pPr>
              <w:spacing w:before="60" w:after="60" w:line="240" w:lineRule="auto"/>
              <w:rPr>
                <w:rFonts w:ascii="Times New Roman" w:eastAsia="Times New Roman" w:hAnsi="Times New Roman" w:cs="Times New Roman"/>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8B6A32" w:rsidRPr="00182537" w:rsidRDefault="008B6A32" w:rsidP="000F3411">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bCs/>
                <w:color w:val="000000"/>
                <w:lang w:eastAsia="sl-SI"/>
              </w:rPr>
              <w:t>poštni naslov</w:t>
            </w:r>
            <w:r w:rsidRPr="00182537">
              <w:rPr>
                <w:rFonts w:ascii="Times New Roman" w:eastAsia="Times New Roman" w:hAnsi="Times New Roman" w:cs="Times New Roman"/>
                <w:color w:val="000000"/>
                <w:lang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6A32" w:rsidRPr="00182537" w:rsidRDefault="008B6A32"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rsidTr="008B6A32">
        <w:trPr>
          <w:tblCellSpacing w:w="0" w:type="dxa"/>
        </w:trPr>
        <w:tc>
          <w:tcPr>
            <w:tcW w:w="0" w:type="auto"/>
            <w:vMerge/>
            <w:tcBorders>
              <w:left w:val="single" w:sz="6" w:space="0" w:color="000000"/>
              <w:bottom w:val="single" w:sz="6" w:space="0" w:color="000000"/>
              <w:right w:val="single" w:sz="6" w:space="0" w:color="000000"/>
            </w:tcBorders>
            <w:vAlign w:val="center"/>
            <w:hideMark/>
          </w:tcPr>
          <w:p w:rsidR="008B6A32" w:rsidRPr="00182537" w:rsidRDefault="008B6A32" w:rsidP="000F3411">
            <w:pPr>
              <w:spacing w:after="0" w:line="240" w:lineRule="auto"/>
              <w:rPr>
                <w:rFonts w:ascii="Times New Roman" w:eastAsia="Times New Roman" w:hAnsi="Times New Roman" w:cs="Times New Roman"/>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8B6A32" w:rsidRPr="00182537" w:rsidRDefault="008B6A32"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s</w:t>
            </w:r>
            <w:r>
              <w:rPr>
                <w:rFonts w:ascii="Times New Roman" w:eastAsia="Times New Roman" w:hAnsi="Times New Roman" w:cs="Times New Roman"/>
                <w:bCs/>
                <w:color w:val="000000"/>
                <w:lang w:eastAsia="sl-SI"/>
              </w:rPr>
              <w:t>pletno mesto</w:t>
            </w:r>
            <w:r w:rsidRPr="00182537">
              <w:rPr>
                <w:rFonts w:ascii="Times New Roman" w:eastAsia="Times New Roman" w:hAnsi="Times New Roman" w:cs="Times New Roman"/>
                <w:color w:val="000000"/>
                <w:lang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6A32" w:rsidRPr="00182537" w:rsidRDefault="008B6A32"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Naziv ukrepa pomoči</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8B6A32">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Nacionalna pravna podlaga (</w:t>
            </w:r>
            <w:r w:rsidR="008B6A32">
              <w:rPr>
                <w:rFonts w:ascii="Times New Roman" w:eastAsia="Times New Roman" w:hAnsi="Times New Roman" w:cs="Times New Roman"/>
                <w:bCs/>
                <w:color w:val="000000"/>
                <w:lang w:eastAsia="sl-SI"/>
              </w:rPr>
              <w:t xml:space="preserve">v oklepaju navedite </w:t>
            </w:r>
            <w:r w:rsidRPr="00182537">
              <w:rPr>
                <w:rFonts w:ascii="Times New Roman" w:eastAsia="Times New Roman" w:hAnsi="Times New Roman" w:cs="Times New Roman"/>
                <w:bCs/>
                <w:color w:val="000000"/>
                <w:lang w:eastAsia="sl-SI"/>
              </w:rPr>
              <w:t xml:space="preserve">sklic na uradno </w:t>
            </w:r>
            <w:r w:rsidR="008B6A32">
              <w:rPr>
                <w:rFonts w:ascii="Times New Roman" w:eastAsia="Times New Roman" w:hAnsi="Times New Roman" w:cs="Times New Roman"/>
                <w:bCs/>
                <w:color w:val="000000"/>
                <w:lang w:eastAsia="sl-SI"/>
              </w:rPr>
              <w:t>glasilo, v katerem je objavljeno uradno besedilo pravne podlage</w:t>
            </w:r>
            <w:r w:rsidRPr="00182537">
              <w:rPr>
                <w:rFonts w:ascii="Times New Roman" w:eastAsia="Times New Roman" w:hAnsi="Times New Roman" w:cs="Times New Roman"/>
                <w:bCs/>
                <w:color w:val="000000"/>
                <w:lang w:eastAsia="sl-SI"/>
              </w:rPr>
              <w:t>)</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Spletna povezava na celotno besedilo ukrepa pomoči</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rsidTr="008B6A32">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8B6A32" w:rsidRPr="00182537" w:rsidRDefault="008B6A32"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Vrsta ukrepa</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6"/>
              <w:gridCol w:w="5459"/>
            </w:tblGrid>
            <w:tr w:rsidR="008B6A32" w:rsidRPr="00182537">
              <w:trPr>
                <w:tblCellSpacing w:w="0" w:type="dxa"/>
              </w:trPr>
              <w:tc>
                <w:tcPr>
                  <w:tcW w:w="0" w:type="auto"/>
                  <w:hideMark/>
                </w:tcPr>
                <w:p w:rsidR="008B6A32" w:rsidRPr="00182537" w:rsidRDefault="008B6A32"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8B6A32" w:rsidRPr="00182537" w:rsidRDefault="008B6A32" w:rsidP="00613443">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bookmarkStart w:id="0" w:name="Check1"/>
                  <w:r w:rsidRPr="0018253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182537">
                    <w:rPr>
                      <w:rFonts w:ascii="Century Gothic" w:hAnsi="Century Gothic"/>
                      <w:sz w:val="20"/>
                    </w:rPr>
                    <w:fldChar w:fldCharType="end"/>
                  </w:r>
                  <w:bookmarkEnd w:id="0"/>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shema</w:t>
                  </w:r>
                  <w:r w:rsidRPr="00182537">
                    <w:rPr>
                      <w:rFonts w:ascii="Times New Roman" w:eastAsia="Times New Roman" w:hAnsi="Times New Roman" w:cs="Times New Roman"/>
                      <w:color w:val="000000"/>
                      <w:sz w:val="24"/>
                      <w:szCs w:val="24"/>
                      <w:lang w:eastAsia="sl-SI"/>
                    </w:rPr>
                    <w:t xml:space="preserve"> </w:t>
                  </w:r>
                </w:p>
              </w:tc>
            </w:tr>
          </w:tbl>
          <w:p w:rsidR="008B6A32" w:rsidRPr="00182537" w:rsidRDefault="008B6A3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8B6A32" w:rsidRPr="0018253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7"/>
              <w:gridCol w:w="2338"/>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13443" w:rsidP="00613443">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008B6A32">
                    <w:rPr>
                      <w:rFonts w:ascii="Century Gothic" w:hAnsi="Century Gothic"/>
                      <w:sz w:val="20"/>
                    </w:rPr>
                    <w:t xml:space="preserve"> </w:t>
                  </w:r>
                  <w:r w:rsidR="000F3411" w:rsidRPr="008B6A32">
                    <w:rPr>
                      <w:rFonts w:ascii="Times New Roman" w:eastAsia="Times New Roman" w:hAnsi="Times New Roman" w:cs="Times New Roman"/>
                      <w:bCs/>
                      <w:i/>
                      <w:color w:val="000000"/>
                      <w:sz w:val="24"/>
                      <w:szCs w:val="24"/>
                      <w:lang w:eastAsia="sl-SI"/>
                    </w:rPr>
                    <w:t>ad hoc</w:t>
                  </w:r>
                  <w:r w:rsidR="000F3411" w:rsidRPr="00182537">
                    <w:rPr>
                      <w:rFonts w:ascii="Times New Roman" w:eastAsia="Times New Roman" w:hAnsi="Times New Roman" w:cs="Times New Roman"/>
                      <w:bCs/>
                      <w:color w:val="000000"/>
                      <w:sz w:val="24"/>
                      <w:szCs w:val="24"/>
                      <w:lang w:eastAsia="sl-SI"/>
                    </w:rPr>
                    <w:t xml:space="preserve"> pomoč</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0F3411" w:rsidRPr="00182537" w:rsidRDefault="0071265A"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naziv upravičenca in skupin</w:t>
            </w:r>
            <w:r w:rsidR="000E4DD0" w:rsidRPr="00182537">
              <w:rPr>
                <w:rFonts w:ascii="Times New Roman" w:eastAsia="Times New Roman" w:hAnsi="Times New Roman" w:cs="Times New Roman"/>
                <w:bCs/>
                <w:color w:val="000000"/>
                <w:lang w:eastAsia="sl-SI"/>
              </w:rPr>
              <w:t>a</w:t>
            </w:r>
            <w:r w:rsidR="000F3411" w:rsidRPr="00182537">
              <w:rPr>
                <w:rFonts w:ascii="Times New Roman" w:eastAsia="Times New Roman" w:hAnsi="Times New Roman" w:cs="Times New Roman"/>
                <w:bCs/>
                <w:color w:val="000000"/>
                <w:lang w:eastAsia="sl-SI"/>
              </w:rPr>
              <w:t>,</w:t>
            </w:r>
            <w:r w:rsidR="00DE1207" w:rsidRPr="00182537">
              <w:rPr>
                <w:rStyle w:val="Konnaopomba-sklic"/>
                <w:rFonts w:ascii="Times New Roman" w:eastAsia="Times New Roman" w:hAnsi="Times New Roman" w:cs="Times New Roman"/>
                <w:bCs/>
                <w:color w:val="000000"/>
                <w:lang w:eastAsia="sl-SI"/>
              </w:rPr>
              <w:endnoteReference w:id="4"/>
            </w:r>
            <w:r w:rsidR="000F3411" w:rsidRPr="00182537">
              <w:rPr>
                <w:rFonts w:ascii="Times New Roman" w:eastAsia="Times New Roman" w:hAnsi="Times New Roman" w:cs="Times New Roman"/>
                <w:bCs/>
                <w:color w:val="000000"/>
                <w:lang w:eastAsia="sl-SI"/>
              </w:rPr>
              <w:t xml:space="preserve"> ki ji pripada</w:t>
            </w:r>
            <w:r w:rsidR="000F3411" w:rsidRPr="00182537">
              <w:rPr>
                <w:rFonts w:ascii="Times New Roman" w:eastAsia="Times New Roman" w:hAnsi="Times New Roman" w:cs="Times New Roman"/>
                <w:color w:val="000000"/>
                <w:lang w:eastAsia="sl-SI"/>
              </w:rPr>
              <w:t xml:space="preserve"> </w:t>
            </w:r>
          </w:p>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rsidTr="000E4DD0">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 xml:space="preserve">Sprememba obstoječe sheme pomoči ali </w:t>
            </w:r>
            <w:r w:rsidRPr="008B6A32">
              <w:rPr>
                <w:rFonts w:ascii="Times New Roman" w:eastAsia="Times New Roman" w:hAnsi="Times New Roman" w:cs="Times New Roman"/>
                <w:bCs/>
                <w:i/>
                <w:color w:val="000000"/>
                <w:lang w:eastAsia="sl-SI"/>
              </w:rPr>
              <w:t>ad hoc</w:t>
            </w:r>
            <w:r w:rsidRPr="00182537">
              <w:rPr>
                <w:rFonts w:ascii="Times New Roman" w:eastAsia="Times New Roman" w:hAnsi="Times New Roman" w:cs="Times New Roman"/>
                <w:bCs/>
                <w:color w:val="000000"/>
                <w:lang w:eastAsia="sl-SI"/>
              </w:rPr>
              <w:t xml:space="preserve"> pomoči</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referenčna oznaka pomoči, ki jo dodeli Komisija</w:t>
            </w:r>
            <w:r w:rsidRPr="00182537">
              <w:rPr>
                <w:rFonts w:ascii="Times New Roman" w:eastAsia="Times New Roman" w:hAnsi="Times New Roman" w:cs="Times New Roman"/>
                <w:color w:val="000000"/>
                <w:lang w:eastAsia="sl-SI"/>
              </w:rPr>
              <w:t xml:space="preserve"> </w:t>
            </w:r>
          </w:p>
        </w:tc>
      </w:tr>
      <w:tr w:rsidR="008B6A32" w:rsidRPr="0018253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8"/>
              <w:gridCol w:w="2337"/>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13443" w:rsidP="00613443">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podaljšanje</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8"/>
              <w:gridCol w:w="2337"/>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13443" w:rsidP="00613443">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sprememba</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DE1207">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Trajanje</w:t>
            </w:r>
            <w:r w:rsidR="00DE1207" w:rsidRPr="00182537">
              <w:rPr>
                <w:rStyle w:val="Konnaopomba-sklic"/>
                <w:rFonts w:ascii="Times New Roman" w:eastAsia="Times New Roman" w:hAnsi="Times New Roman" w:cs="Times New Roman"/>
                <w:bCs/>
                <w:color w:val="000000"/>
                <w:lang w:eastAsia="sl-SI"/>
              </w:rPr>
              <w:endnoteReference w:id="5"/>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1"/>
              <w:gridCol w:w="2334"/>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shema</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0F3411" w:rsidRPr="00182537" w:rsidRDefault="00757C94"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color w:val="000000"/>
                <w:lang w:eastAsia="sl-SI"/>
              </w:rPr>
              <w:t xml:space="preserve">od </w:t>
            </w:r>
            <w:r w:rsidR="000F3411" w:rsidRPr="00182537">
              <w:rPr>
                <w:rFonts w:ascii="Times New Roman" w:eastAsia="Times New Roman" w:hAnsi="Times New Roman" w:cs="Times New Roman"/>
                <w:color w:val="000000"/>
                <w:lang w:eastAsia="sl-SI"/>
              </w:rPr>
              <w:t>d.</w:t>
            </w:r>
            <w:r w:rsidRPr="00182537">
              <w:rPr>
                <w:rFonts w:ascii="Times New Roman" w:eastAsia="Times New Roman" w:hAnsi="Times New Roman" w:cs="Times New Roman"/>
                <w:color w:val="000000"/>
                <w:lang w:eastAsia="sl-SI"/>
              </w:rPr>
              <w:t> </w:t>
            </w:r>
            <w:r w:rsidR="000F3411" w:rsidRPr="00182537">
              <w:rPr>
                <w:rFonts w:ascii="Times New Roman" w:eastAsia="Times New Roman" w:hAnsi="Times New Roman" w:cs="Times New Roman"/>
                <w:color w:val="000000"/>
                <w:lang w:eastAsia="sl-SI"/>
              </w:rPr>
              <w:t>m.</w:t>
            </w:r>
            <w:r w:rsidRPr="00182537">
              <w:rPr>
                <w:rFonts w:ascii="Times New Roman" w:eastAsia="Times New Roman" w:hAnsi="Times New Roman" w:cs="Times New Roman"/>
                <w:color w:val="000000"/>
                <w:lang w:eastAsia="sl-SI"/>
              </w:rPr>
              <w:t xml:space="preserve"> llll do </w:t>
            </w:r>
            <w:r w:rsidR="000F3411" w:rsidRPr="00182537">
              <w:rPr>
                <w:rFonts w:ascii="Times New Roman" w:eastAsia="Times New Roman" w:hAnsi="Times New Roman" w:cs="Times New Roman"/>
                <w:color w:val="000000"/>
                <w:lang w:eastAsia="sl-SI"/>
              </w:rPr>
              <w:t>d.</w:t>
            </w:r>
            <w:r w:rsidRPr="00182537">
              <w:rPr>
                <w:rFonts w:ascii="Times New Roman" w:eastAsia="Times New Roman" w:hAnsi="Times New Roman" w:cs="Times New Roman"/>
                <w:color w:val="000000"/>
                <w:lang w:eastAsia="sl-SI"/>
              </w:rPr>
              <w:t> </w:t>
            </w:r>
            <w:r w:rsidR="000F3411" w:rsidRPr="00182537">
              <w:rPr>
                <w:rFonts w:ascii="Times New Roman" w:eastAsia="Times New Roman" w:hAnsi="Times New Roman" w:cs="Times New Roman"/>
                <w:color w:val="000000"/>
                <w:lang w:eastAsia="sl-SI"/>
              </w:rPr>
              <w:t>m.</w:t>
            </w:r>
            <w:r w:rsidRPr="00182537">
              <w:rPr>
                <w:rFonts w:ascii="Times New Roman" w:eastAsia="Times New Roman" w:hAnsi="Times New Roman" w:cs="Times New Roman"/>
                <w:color w:val="000000"/>
                <w:lang w:eastAsia="sl-SI"/>
              </w:rPr>
              <w:t> </w:t>
            </w:r>
            <w:r w:rsidR="000F3411" w:rsidRPr="00182537">
              <w:rPr>
                <w:rFonts w:ascii="Times New Roman" w:eastAsia="Times New Roman" w:hAnsi="Times New Roman" w:cs="Times New Roman"/>
                <w:color w:val="000000"/>
                <w:lang w:eastAsia="sl-SI"/>
              </w:rPr>
              <w:t>llll</w:t>
            </w:r>
          </w:p>
        </w:tc>
      </w:tr>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Datum dodelitve</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7"/>
              <w:gridCol w:w="2338"/>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8B6A32">
                    <w:rPr>
                      <w:rFonts w:ascii="Times New Roman" w:eastAsia="Times New Roman" w:hAnsi="Times New Roman" w:cs="Times New Roman"/>
                      <w:bCs/>
                      <w:i/>
                      <w:color w:val="000000"/>
                      <w:sz w:val="24"/>
                      <w:szCs w:val="24"/>
                      <w:lang w:eastAsia="sl-SI"/>
                    </w:rPr>
                    <w:t>ad hoc</w:t>
                  </w:r>
                  <w:r w:rsidR="000F3411" w:rsidRPr="00182537">
                    <w:rPr>
                      <w:rFonts w:ascii="Times New Roman" w:eastAsia="Times New Roman" w:hAnsi="Times New Roman" w:cs="Times New Roman"/>
                      <w:bCs/>
                      <w:color w:val="000000"/>
                      <w:sz w:val="24"/>
                      <w:szCs w:val="24"/>
                      <w:lang w:eastAsia="sl-SI"/>
                    </w:rPr>
                    <w:t xml:space="preserve"> pomoč</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0F3411" w:rsidRPr="00182537" w:rsidRDefault="00757C94"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color w:val="000000"/>
                <w:lang w:eastAsia="sl-SI"/>
              </w:rPr>
              <w:t xml:space="preserve"> </w:t>
            </w:r>
            <w:r w:rsidR="000F3411" w:rsidRPr="00182537">
              <w:rPr>
                <w:rFonts w:ascii="Times New Roman" w:eastAsia="Times New Roman" w:hAnsi="Times New Roman" w:cs="Times New Roman"/>
                <w:color w:val="000000"/>
                <w:lang w:eastAsia="sl-SI"/>
              </w:rPr>
              <w:t>d.</w:t>
            </w:r>
            <w:r w:rsidRPr="00182537">
              <w:rPr>
                <w:rFonts w:ascii="Times New Roman" w:eastAsia="Times New Roman" w:hAnsi="Times New Roman" w:cs="Times New Roman"/>
                <w:color w:val="000000"/>
                <w:lang w:eastAsia="sl-SI"/>
              </w:rPr>
              <w:t> m</w:t>
            </w:r>
            <w:r w:rsidR="000F3411" w:rsidRPr="00182537">
              <w:rPr>
                <w:rFonts w:ascii="Times New Roman" w:eastAsia="Times New Roman" w:hAnsi="Times New Roman" w:cs="Times New Roman"/>
                <w:color w:val="000000"/>
                <w:lang w:eastAsia="sl-SI"/>
              </w:rPr>
              <w:t>.</w:t>
            </w:r>
            <w:r w:rsidRPr="00182537">
              <w:rPr>
                <w:rFonts w:ascii="Times New Roman" w:eastAsia="Times New Roman" w:hAnsi="Times New Roman" w:cs="Times New Roman"/>
                <w:color w:val="000000"/>
                <w:lang w:eastAsia="sl-SI"/>
              </w:rPr>
              <w:t> </w:t>
            </w:r>
            <w:r w:rsidR="000F3411" w:rsidRPr="00182537">
              <w:rPr>
                <w:rFonts w:ascii="Times New Roman" w:eastAsia="Times New Roman" w:hAnsi="Times New Roman" w:cs="Times New Roman"/>
                <w:color w:val="000000"/>
                <w:lang w:eastAsia="sl-SI"/>
              </w:rPr>
              <w:t>llll</w:t>
            </w:r>
          </w:p>
        </w:tc>
      </w:tr>
      <w:tr w:rsidR="001245A1" w:rsidRPr="00182537" w:rsidTr="0018527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245A1" w:rsidRPr="00182537" w:rsidRDefault="001245A1" w:rsidP="00185275">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Zadevni gospodarski sektor(-ji):</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245A1" w:rsidRPr="00182537" w:rsidRDefault="001245A1" w:rsidP="00185275">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navedite na ravni skupine NACE</w:t>
            </w:r>
            <w:r w:rsidRPr="00182537">
              <w:rPr>
                <w:rStyle w:val="Konnaopomba-sklic"/>
                <w:rFonts w:ascii="Times New Roman" w:eastAsia="Times New Roman" w:hAnsi="Times New Roman" w:cs="Times New Roman"/>
                <w:bCs/>
                <w:color w:val="000000"/>
                <w:lang w:eastAsia="sl-SI"/>
              </w:rPr>
              <w:endnoteReference w:id="6"/>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245A1" w:rsidRPr="00182537" w:rsidRDefault="001245A1" w:rsidP="00185275">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p w:rsidR="001245A1" w:rsidRPr="00182537" w:rsidRDefault="001245A1" w:rsidP="00185275">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p w:rsidR="001245A1" w:rsidRPr="00182537" w:rsidRDefault="001245A1" w:rsidP="00185275">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1245A1" w:rsidRPr="00182537" w:rsidTr="00185275">
        <w:trPr>
          <w:tblCellSpacing w:w="0" w:type="dxa"/>
        </w:trPr>
        <w:tc>
          <w:tcPr>
            <w:tcW w:w="0" w:type="auto"/>
            <w:vMerge w:val="restart"/>
            <w:tcBorders>
              <w:top w:val="single" w:sz="6" w:space="0" w:color="000000"/>
              <w:left w:val="single" w:sz="6" w:space="0" w:color="000000"/>
              <w:right w:val="single" w:sz="6" w:space="0" w:color="000000"/>
            </w:tcBorders>
          </w:tcPr>
          <w:p w:rsidR="001245A1" w:rsidRPr="00182537" w:rsidRDefault="001245A1" w:rsidP="00185275">
            <w:pPr>
              <w:spacing w:before="60" w:after="60" w:line="240" w:lineRule="auto"/>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t>Vrsta upravičenca</w:t>
            </w:r>
          </w:p>
        </w:tc>
        <w:tc>
          <w:tcPr>
            <w:tcW w:w="0" w:type="auto"/>
            <w:gridSpan w:val="3"/>
            <w:tcBorders>
              <w:top w:val="single" w:sz="6" w:space="0" w:color="000000"/>
              <w:left w:val="single" w:sz="6" w:space="0" w:color="000000"/>
              <w:bottom w:val="single" w:sz="6" w:space="0" w:color="000000"/>
              <w:right w:val="single" w:sz="6" w:space="0" w:color="000000"/>
            </w:tcBorders>
          </w:tcPr>
          <w:p w:rsidR="001245A1" w:rsidRPr="00182537" w:rsidRDefault="001245A1" w:rsidP="00185275">
            <w:pPr>
              <w:spacing w:before="60" w:after="60" w:line="240" w:lineRule="auto"/>
              <w:ind w:left="391"/>
              <w:rPr>
                <w:rFonts w:ascii="Times New Roman" w:eastAsia="Times New Roman" w:hAnsi="Times New Roman" w:cs="Times New Roman"/>
                <w:bCs/>
                <w:i/>
                <w:iCs/>
                <w:color w:val="000000"/>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MSP</w:t>
            </w:r>
          </w:p>
        </w:tc>
      </w:tr>
      <w:tr w:rsidR="001245A1" w:rsidRPr="00182537" w:rsidTr="00185275">
        <w:trPr>
          <w:tblCellSpacing w:w="0" w:type="dxa"/>
        </w:trPr>
        <w:tc>
          <w:tcPr>
            <w:tcW w:w="0" w:type="auto"/>
            <w:vMerge/>
            <w:tcBorders>
              <w:left w:val="single" w:sz="6" w:space="0" w:color="000000"/>
              <w:bottom w:val="single" w:sz="6" w:space="0" w:color="000000"/>
              <w:right w:val="single" w:sz="6" w:space="0" w:color="000000"/>
            </w:tcBorders>
          </w:tcPr>
          <w:p w:rsidR="001245A1" w:rsidRPr="00182537" w:rsidRDefault="001245A1" w:rsidP="00185275">
            <w:pPr>
              <w:spacing w:before="60" w:after="60" w:line="240" w:lineRule="auto"/>
              <w:rPr>
                <w:rFonts w:ascii="Times New Roman" w:eastAsia="Times New Roman" w:hAnsi="Times New Roman" w:cs="Times New Roman"/>
                <w:bCs/>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tcPr>
          <w:p w:rsidR="001245A1" w:rsidRPr="00182537" w:rsidRDefault="001245A1" w:rsidP="00185275">
            <w:pPr>
              <w:spacing w:before="60" w:after="60" w:line="240" w:lineRule="auto"/>
              <w:ind w:left="391"/>
              <w:rPr>
                <w:rFonts w:ascii="Times New Roman" w:eastAsia="Times New Roman" w:hAnsi="Times New Roman" w:cs="Times New Roman"/>
                <w:bCs/>
                <w:i/>
                <w:iCs/>
                <w:color w:val="000000"/>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velika podjetja</w:t>
            </w:r>
          </w:p>
        </w:tc>
      </w:tr>
      <w:tr w:rsidR="001245A1" w:rsidRPr="00182537" w:rsidTr="00BD60DB">
        <w:trPr>
          <w:tblCellSpacing w:w="0" w:type="dxa"/>
        </w:trPr>
        <w:tc>
          <w:tcPr>
            <w:tcW w:w="0" w:type="auto"/>
            <w:vMerge w:val="restart"/>
            <w:tcBorders>
              <w:top w:val="single" w:sz="6" w:space="0" w:color="000000"/>
              <w:left w:val="single" w:sz="6" w:space="0" w:color="000000"/>
              <w:right w:val="single" w:sz="6" w:space="0" w:color="000000"/>
            </w:tcBorders>
          </w:tcPr>
          <w:p w:rsidR="001245A1" w:rsidRPr="00182537" w:rsidRDefault="001245A1" w:rsidP="000F3411">
            <w:pPr>
              <w:spacing w:before="60" w:after="60" w:line="240" w:lineRule="auto"/>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lastRenderedPageBreak/>
              <w:t>Proračun</w:t>
            </w:r>
          </w:p>
        </w:tc>
        <w:tc>
          <w:tcPr>
            <w:tcW w:w="0" w:type="auto"/>
            <w:tcBorders>
              <w:top w:val="single" w:sz="6" w:space="0" w:color="000000"/>
              <w:left w:val="single" w:sz="6" w:space="0" w:color="000000"/>
              <w:bottom w:val="single" w:sz="6" w:space="0" w:color="000000"/>
              <w:right w:val="single" w:sz="6" w:space="0" w:color="000000"/>
            </w:tcBorders>
          </w:tcPr>
          <w:p w:rsidR="001245A1" w:rsidRDefault="001245A1" w:rsidP="001245A1">
            <w:pPr>
              <w:spacing w:after="0" w:line="240" w:lineRule="auto"/>
              <w:ind w:left="360"/>
              <w:rPr>
                <w:rFonts w:ascii="Times New Roman" w:eastAsia="Times New Roman" w:hAnsi="Times New Roman" w:cs="Times New Roman"/>
                <w:bCs/>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shema: skupni znesek</w:t>
            </w:r>
            <w:r w:rsidRPr="00182537">
              <w:rPr>
                <w:rStyle w:val="Konnaopomba-sklic"/>
                <w:rFonts w:ascii="Times New Roman" w:eastAsia="Times New Roman" w:hAnsi="Times New Roman" w:cs="Times New Roman"/>
                <w:bCs/>
                <w:color w:val="000000"/>
                <w:sz w:val="24"/>
                <w:szCs w:val="24"/>
                <w:lang w:eastAsia="sl-SI"/>
              </w:rPr>
              <w:endnoteReference w:id="7"/>
            </w:r>
          </w:p>
          <w:p w:rsidR="001245A1" w:rsidRPr="00182537" w:rsidRDefault="001245A1" w:rsidP="001245A1">
            <w:pPr>
              <w:spacing w:before="60" w:after="0" w:line="240" w:lineRule="auto"/>
              <w:ind w:left="397"/>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bCs/>
                <w:color w:val="000000"/>
                <w:lang w:eastAsia="sl-SI"/>
              </w:rPr>
              <w:t>v nacionalni valuti (celi zneski, brez decimalnih mest)</w:t>
            </w:r>
          </w:p>
        </w:tc>
        <w:tc>
          <w:tcPr>
            <w:tcW w:w="0" w:type="auto"/>
            <w:gridSpan w:val="2"/>
            <w:tcBorders>
              <w:top w:val="single" w:sz="6" w:space="0" w:color="000000"/>
              <w:left w:val="single" w:sz="6" w:space="0" w:color="000000"/>
              <w:bottom w:val="single" w:sz="6" w:space="0" w:color="000000"/>
              <w:right w:val="single" w:sz="6" w:space="0" w:color="000000"/>
            </w:tcBorders>
          </w:tcPr>
          <w:p w:rsidR="001245A1" w:rsidRPr="00182537" w:rsidRDefault="001245A1" w:rsidP="000F3411">
            <w:pPr>
              <w:spacing w:before="60" w:after="60" w:line="240" w:lineRule="auto"/>
              <w:rPr>
                <w:rFonts w:ascii="Times New Roman" w:eastAsia="Times New Roman" w:hAnsi="Times New Roman" w:cs="Times New Roman"/>
                <w:color w:val="000000"/>
                <w:lang w:eastAsia="sl-SI"/>
              </w:rPr>
            </w:pPr>
          </w:p>
        </w:tc>
      </w:tr>
      <w:tr w:rsidR="001245A1" w:rsidRPr="00182537" w:rsidTr="00BD60DB">
        <w:trPr>
          <w:tblCellSpacing w:w="0" w:type="dxa"/>
        </w:trPr>
        <w:tc>
          <w:tcPr>
            <w:tcW w:w="0" w:type="auto"/>
            <w:vMerge/>
            <w:tcBorders>
              <w:left w:val="single" w:sz="6" w:space="0" w:color="000000"/>
              <w:right w:val="single" w:sz="6" w:space="0" w:color="000000"/>
            </w:tcBorders>
          </w:tcPr>
          <w:p w:rsidR="001245A1" w:rsidRPr="00182537" w:rsidRDefault="001245A1" w:rsidP="000F3411">
            <w:pPr>
              <w:spacing w:before="60" w:after="60" w:line="240" w:lineRule="auto"/>
              <w:rPr>
                <w:rFonts w:ascii="Times New Roman" w:eastAsia="Times New Roman" w:hAnsi="Times New Roman" w:cs="Times New Roman"/>
                <w:bCs/>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tcPr>
          <w:p w:rsidR="001245A1" w:rsidRDefault="001245A1" w:rsidP="001245A1">
            <w:pPr>
              <w:spacing w:after="0" w:line="240" w:lineRule="auto"/>
              <w:ind w:left="360"/>
              <w:rPr>
                <w:rFonts w:ascii="Times New Roman" w:eastAsia="Times New Roman" w:hAnsi="Times New Roman" w:cs="Times New Roman"/>
                <w:bCs/>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ad hoc pomoč: skupni znesek</w:t>
            </w:r>
            <w:r w:rsidRPr="00182537">
              <w:rPr>
                <w:rStyle w:val="Konnaopomba-sklic"/>
                <w:rFonts w:ascii="Times New Roman" w:eastAsia="Times New Roman" w:hAnsi="Times New Roman" w:cs="Times New Roman"/>
                <w:bCs/>
                <w:color w:val="000000"/>
                <w:sz w:val="24"/>
                <w:szCs w:val="24"/>
                <w:lang w:eastAsia="sl-SI"/>
              </w:rPr>
              <w:endnoteReference w:id="8"/>
            </w:r>
          </w:p>
          <w:p w:rsidR="001245A1" w:rsidRPr="00182537" w:rsidRDefault="001245A1" w:rsidP="001245A1">
            <w:pPr>
              <w:spacing w:before="60" w:after="0" w:line="240" w:lineRule="auto"/>
              <w:ind w:left="397"/>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bCs/>
                <w:color w:val="000000"/>
                <w:lang w:eastAsia="sl-SI"/>
              </w:rPr>
              <w:t>v nacionalni valuti (celi zneski, brez decimalnih mest)</w:t>
            </w:r>
          </w:p>
        </w:tc>
        <w:tc>
          <w:tcPr>
            <w:tcW w:w="0" w:type="auto"/>
            <w:gridSpan w:val="2"/>
            <w:tcBorders>
              <w:top w:val="single" w:sz="6" w:space="0" w:color="000000"/>
              <w:left w:val="single" w:sz="6" w:space="0" w:color="000000"/>
              <w:bottom w:val="single" w:sz="6" w:space="0" w:color="000000"/>
              <w:right w:val="single" w:sz="6" w:space="0" w:color="000000"/>
            </w:tcBorders>
          </w:tcPr>
          <w:p w:rsidR="001245A1" w:rsidRPr="00182537" w:rsidRDefault="001245A1" w:rsidP="000F3411">
            <w:pPr>
              <w:spacing w:before="60" w:after="60" w:line="240" w:lineRule="auto"/>
              <w:rPr>
                <w:rFonts w:ascii="Times New Roman" w:eastAsia="Times New Roman" w:hAnsi="Times New Roman" w:cs="Times New Roman"/>
                <w:color w:val="000000"/>
                <w:lang w:eastAsia="sl-SI"/>
              </w:rPr>
            </w:pPr>
          </w:p>
        </w:tc>
      </w:tr>
      <w:tr w:rsidR="001245A1" w:rsidRPr="00182537" w:rsidTr="00BD60DB">
        <w:trPr>
          <w:tblCellSpacing w:w="0" w:type="dxa"/>
        </w:trPr>
        <w:tc>
          <w:tcPr>
            <w:tcW w:w="0" w:type="auto"/>
            <w:vMerge/>
            <w:tcBorders>
              <w:left w:val="single" w:sz="6" w:space="0" w:color="000000"/>
              <w:bottom w:val="single" w:sz="6" w:space="0" w:color="000000"/>
              <w:right w:val="single" w:sz="6" w:space="0" w:color="000000"/>
            </w:tcBorders>
          </w:tcPr>
          <w:p w:rsidR="001245A1" w:rsidRPr="00182537" w:rsidRDefault="001245A1" w:rsidP="000F3411">
            <w:pPr>
              <w:spacing w:before="60" w:after="60" w:line="240" w:lineRule="auto"/>
              <w:rPr>
                <w:rFonts w:ascii="Times New Roman" w:eastAsia="Times New Roman" w:hAnsi="Times New Roman" w:cs="Times New Roman"/>
                <w:bCs/>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tcPr>
          <w:p w:rsidR="001245A1" w:rsidRDefault="001245A1" w:rsidP="001245A1">
            <w:pPr>
              <w:spacing w:before="60" w:after="60" w:line="240" w:lineRule="auto"/>
              <w:ind w:left="360"/>
              <w:rPr>
                <w:rFonts w:ascii="Times New Roman" w:eastAsia="Times New Roman" w:hAnsi="Times New Roman" w:cs="Times New Roman"/>
                <w:bCs/>
                <w:color w:val="000000"/>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lang w:eastAsia="sl-SI"/>
              </w:rPr>
              <w:t>za jamstva</w:t>
            </w:r>
            <w:r w:rsidRPr="00182537">
              <w:rPr>
                <w:rStyle w:val="Konnaopomba-sklic"/>
                <w:rFonts w:ascii="Times New Roman" w:eastAsia="Times New Roman" w:hAnsi="Times New Roman" w:cs="Times New Roman"/>
                <w:bCs/>
                <w:color w:val="000000"/>
                <w:lang w:eastAsia="sl-SI"/>
              </w:rPr>
              <w:endnoteReference w:id="9"/>
            </w:r>
          </w:p>
          <w:p w:rsidR="001245A1" w:rsidRPr="00182537" w:rsidRDefault="001245A1" w:rsidP="001245A1">
            <w:pPr>
              <w:spacing w:before="60" w:after="0" w:line="240" w:lineRule="auto"/>
              <w:ind w:left="397"/>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v nacionalni valuti (celi zneski, brez decimalnih mest)</w:t>
            </w:r>
            <w:r w:rsidRPr="00182537">
              <w:rPr>
                <w:rFonts w:ascii="Times New Roman" w:eastAsia="Times New Roman" w:hAnsi="Times New Roman" w:cs="Times New Roman"/>
                <w:color w:val="000000"/>
                <w:lang w:eastAsia="sl-SI"/>
              </w:rPr>
              <w:t xml:space="preserve"> </w:t>
            </w:r>
          </w:p>
          <w:p w:rsidR="001245A1" w:rsidRPr="00182537" w:rsidRDefault="001245A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tcPr>
          <w:p w:rsidR="001245A1" w:rsidRPr="00182537" w:rsidRDefault="001245A1" w:rsidP="000F3411">
            <w:pPr>
              <w:spacing w:before="60" w:after="60" w:line="240" w:lineRule="auto"/>
              <w:rPr>
                <w:rFonts w:ascii="Times New Roman" w:eastAsia="Times New Roman" w:hAnsi="Times New Roman" w:cs="Times New Roman"/>
                <w:color w:val="000000"/>
                <w:lang w:eastAsia="sl-SI"/>
              </w:rPr>
            </w:pPr>
          </w:p>
        </w:tc>
      </w:tr>
      <w:tr w:rsidR="008B6A32" w:rsidRPr="00182537" w:rsidTr="000F3411">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Instrument pomoči</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5479"/>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AA7FF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nepovratna sredstva/subvencionirane obrestne mere</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1"/>
              <w:gridCol w:w="5474"/>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subvencionirane storitve</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9"/>
              <w:gridCol w:w="5476"/>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AA7FF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posojilo/vračljiva predplačila</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5479"/>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DE1207">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jamstvo (s sklicem na sklep Komisije, kadar je primerno</w:t>
                  </w:r>
                  <w:r w:rsidR="00DE1207" w:rsidRPr="00182537">
                    <w:rPr>
                      <w:rStyle w:val="Konnaopomba-sklic"/>
                      <w:rFonts w:ascii="Times New Roman" w:eastAsia="Times New Roman" w:hAnsi="Times New Roman" w:cs="Times New Roman"/>
                      <w:bCs/>
                      <w:color w:val="000000"/>
                      <w:sz w:val="24"/>
                      <w:szCs w:val="24"/>
                      <w:lang w:eastAsia="sl-SI"/>
                    </w:rPr>
                    <w:endnoteReference w:id="10"/>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8"/>
              <w:gridCol w:w="5477"/>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davčna ugodnost ali davčna oprostitev</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4"/>
              <w:gridCol w:w="5471"/>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drugo (navedite)</w:t>
                  </w:r>
                  <w:r w:rsidR="00757C94" w:rsidRPr="00182537">
                    <w:rPr>
                      <w:rFonts w:ascii="Times New Roman" w:eastAsia="Times New Roman" w:hAnsi="Times New Roman" w:cs="Times New Roman"/>
                      <w:color w:val="000000"/>
                      <w:sz w:val="24"/>
                      <w:szCs w:val="24"/>
                      <w:lang w:eastAsia="sl-SI"/>
                    </w:rPr>
                    <w:t>:</w:t>
                  </w:r>
                </w:p>
              </w:tc>
            </w:tr>
          </w:tbl>
          <w:p w:rsidR="000F3411" w:rsidRPr="00182537" w:rsidRDefault="000F3411" w:rsidP="001245A1">
            <w:pPr>
              <w:spacing w:before="60" w:after="60" w:line="240" w:lineRule="auto"/>
              <w:ind w:left="399"/>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Navedite, v katero spodaj navedeno širšo kategorijo bi najbolj spadal v smislu učinka/funkcije:</w:t>
            </w:r>
            <w:r w:rsidRPr="00182537">
              <w:rPr>
                <w:rFonts w:ascii="Times New Roman" w:eastAsia="Times New Roman" w:hAnsi="Times New Roman" w:cs="Times New Roman"/>
                <w:color w:val="000000"/>
                <w:lang w:eastAsia="sl-SI"/>
              </w:rPr>
              <w:t xml:space="preserve"> </w:t>
            </w:r>
          </w:p>
          <w:tbl>
            <w:tblPr>
              <w:tblW w:w="5000" w:type="pct"/>
              <w:tblCellSpacing w:w="0" w:type="dxa"/>
              <w:tblCellMar>
                <w:left w:w="0" w:type="dxa"/>
                <w:right w:w="0" w:type="dxa"/>
              </w:tblCellMar>
              <w:tblLook w:val="04A0" w:firstRow="1" w:lastRow="0" w:firstColumn="1" w:lastColumn="0" w:noHBand="0" w:noVBand="1"/>
            </w:tblPr>
            <w:tblGrid>
              <w:gridCol w:w="13"/>
              <w:gridCol w:w="5472"/>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before="120" w:after="0" w:line="240" w:lineRule="auto"/>
                    <w:ind w:left="360"/>
                    <w:jc w:val="both"/>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nepovratna sredstva</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3"/>
              <w:gridCol w:w="5462"/>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before="120" w:after="0" w:line="240" w:lineRule="auto"/>
                    <w:ind w:left="360"/>
                    <w:jc w:val="both"/>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posojilo</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3"/>
              <w:gridCol w:w="5462"/>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before="120" w:after="0" w:line="240" w:lineRule="auto"/>
                    <w:ind w:left="360"/>
                    <w:jc w:val="both"/>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jamstvo</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4"/>
              <w:gridCol w:w="5471"/>
            </w:tblGrid>
            <w:tr w:rsidR="008B6A32"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before="120" w:after="0" w:line="240" w:lineRule="auto"/>
                    <w:ind w:left="360"/>
                    <w:jc w:val="both"/>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davčna ugodnost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Če se sofinancira iz sklada EU</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naziv sklada EU:</w:t>
            </w:r>
            <w:r w:rsidRPr="00182537">
              <w:rPr>
                <w:rFonts w:ascii="Times New Roman" w:eastAsia="Times New Roman" w:hAnsi="Times New Roman" w:cs="Times New Roman"/>
                <w:color w:val="000000"/>
                <w:lang w:eastAsia="sl-SI"/>
              </w:rPr>
              <w:t xml:space="preserve"> </w:t>
            </w:r>
          </w:p>
          <w:tbl>
            <w:tblPr>
              <w:tblW w:w="5000" w:type="pct"/>
              <w:tblCellSpacing w:w="0" w:type="dxa"/>
              <w:tblCellMar>
                <w:left w:w="0" w:type="dxa"/>
                <w:right w:w="0" w:type="dxa"/>
              </w:tblCellMar>
              <w:tblLook w:val="04A0" w:firstRow="1" w:lastRow="0" w:firstColumn="1" w:lastColumn="0" w:noHBand="0" w:noVBand="1"/>
            </w:tblPr>
            <w:tblGrid>
              <w:gridCol w:w="64"/>
              <w:gridCol w:w="2281"/>
            </w:tblGrid>
            <w:tr w:rsidR="008B6A32" w:rsidRPr="00182537">
              <w:trPr>
                <w:tblCellSpacing w:w="0" w:type="dxa"/>
              </w:trPr>
              <w:tc>
                <w:tcPr>
                  <w:tcW w:w="0" w:type="auto"/>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bCs/>
                      <w:i/>
                      <w:iCs/>
                      <w:color w:val="000000"/>
                      <w:sz w:val="24"/>
                      <w:szCs w:val="24"/>
                      <w:lang w:eastAsia="sl-SI"/>
                    </w:rPr>
                    <w:t>…</w:t>
                  </w:r>
                  <w:r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4"/>
              <w:gridCol w:w="2281"/>
            </w:tblGrid>
            <w:tr w:rsidR="008B6A32" w:rsidRPr="00182537">
              <w:trPr>
                <w:tblCellSpacing w:w="0" w:type="dxa"/>
              </w:trPr>
              <w:tc>
                <w:tcPr>
                  <w:tcW w:w="0" w:type="auto"/>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bCs/>
                      <w:i/>
                      <w:iCs/>
                      <w:color w:val="000000"/>
                      <w:sz w:val="24"/>
                      <w:szCs w:val="24"/>
                      <w:lang w:eastAsia="sl-SI"/>
                    </w:rPr>
                    <w:t>…</w:t>
                  </w:r>
                  <w:r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znesek financiranja</w:t>
            </w:r>
            <w:r w:rsidRPr="00182537">
              <w:rPr>
                <w:rFonts w:ascii="Times New Roman" w:eastAsia="Times New Roman" w:hAnsi="Times New Roman" w:cs="Times New Roman"/>
                <w:color w:val="000000"/>
                <w:lang w:eastAsia="sl-SI"/>
              </w:rPr>
              <w:t xml:space="preserve"> </w:t>
            </w:r>
          </w:p>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 sklad EU)</w:t>
            </w:r>
            <w:r w:rsidRPr="00182537">
              <w:rPr>
                <w:rFonts w:ascii="Times New Roman" w:eastAsia="Times New Roman" w:hAnsi="Times New Roman" w:cs="Times New Roman"/>
                <w:color w:val="000000"/>
                <w:lang w:eastAsia="sl-SI"/>
              </w:rPr>
              <w:t xml:space="preserve"> </w:t>
            </w:r>
          </w:p>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71265A"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v nacionalni valuti (celi</w:t>
            </w:r>
            <w:r w:rsidR="000F3411" w:rsidRPr="00182537">
              <w:rPr>
                <w:rFonts w:ascii="Times New Roman" w:eastAsia="Times New Roman" w:hAnsi="Times New Roman" w:cs="Times New Roman"/>
                <w:bCs/>
                <w:color w:val="000000"/>
                <w:lang w:eastAsia="sl-SI"/>
              </w:rPr>
              <w:t xml:space="preserve"> zneski</w:t>
            </w:r>
            <w:r w:rsidRPr="00182537">
              <w:rPr>
                <w:rFonts w:ascii="Times New Roman" w:eastAsia="Times New Roman" w:hAnsi="Times New Roman" w:cs="Times New Roman"/>
                <w:bCs/>
                <w:color w:val="000000"/>
                <w:lang w:eastAsia="sl-SI"/>
              </w:rPr>
              <w:t>, brez decimalnih mest</w:t>
            </w:r>
            <w:r w:rsidR="000F3411" w:rsidRPr="00182537">
              <w:rPr>
                <w:rFonts w:ascii="Times New Roman" w:eastAsia="Times New Roman" w:hAnsi="Times New Roman" w:cs="Times New Roman"/>
                <w:bCs/>
                <w:color w:val="000000"/>
                <w:lang w:eastAsia="sl-SI"/>
              </w:rPr>
              <w:t>)</w:t>
            </w:r>
            <w:r w:rsidR="000F3411" w:rsidRPr="00182537">
              <w:rPr>
                <w:rFonts w:ascii="Times New Roman" w:eastAsia="Times New Roman" w:hAnsi="Times New Roman" w:cs="Times New Roman"/>
                <w:color w:val="000000"/>
                <w:lang w:eastAsia="sl-SI"/>
              </w:rPr>
              <w:t xml:space="preserve"> </w:t>
            </w:r>
          </w:p>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Druge informacije</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0F3411" w:rsidRPr="00182537" w:rsidRDefault="00E4273B"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tc>
      </w:tr>
    </w:tbl>
    <w:p w:rsidR="000F3411" w:rsidRDefault="000F3411" w:rsidP="00AA7FF6">
      <w:pPr>
        <w:spacing w:before="240" w:after="120" w:line="240" w:lineRule="auto"/>
        <w:jc w:val="center"/>
        <w:rPr>
          <w:rFonts w:ascii="Times New Roman" w:eastAsia="Times New Roman" w:hAnsi="Times New Roman" w:cs="Times New Roman"/>
          <w:b/>
          <w:bCs/>
          <w:color w:val="000000"/>
          <w:sz w:val="24"/>
          <w:szCs w:val="24"/>
          <w:lang w:eastAsia="sl-SI"/>
        </w:rPr>
      </w:pPr>
      <w:r w:rsidRPr="000F3411">
        <w:rPr>
          <w:rFonts w:ascii="Times New Roman" w:eastAsia="Times New Roman" w:hAnsi="Times New Roman" w:cs="Times New Roman"/>
          <w:b/>
          <w:bCs/>
          <w:color w:val="000000"/>
          <w:sz w:val="24"/>
          <w:szCs w:val="24"/>
          <w:lang w:eastAsia="sl-SI"/>
        </w:rPr>
        <w:t>DEL II</w:t>
      </w:r>
    </w:p>
    <w:p w:rsidR="00AA7FF6" w:rsidRPr="000F3411" w:rsidRDefault="00AA7FF6" w:rsidP="00AA7FF6">
      <w:pPr>
        <w:spacing w:before="240" w:after="120" w:line="240" w:lineRule="auto"/>
        <w:jc w:val="center"/>
        <w:rPr>
          <w:rFonts w:ascii="Times New Roman" w:eastAsia="Times New Roman" w:hAnsi="Times New Roman" w:cs="Times New Roman"/>
          <w:b/>
          <w:bCs/>
          <w:color w:val="000000"/>
          <w:sz w:val="24"/>
          <w:szCs w:val="24"/>
          <w:lang w:eastAsia="sl-SI"/>
        </w:rPr>
      </w:pPr>
      <w:r w:rsidRPr="00AA7FF6">
        <w:rPr>
          <w:rFonts w:ascii="Times New Roman" w:eastAsia="Times New Roman" w:hAnsi="Times New Roman" w:cs="Times New Roman"/>
          <w:b/>
          <w:bCs/>
          <w:color w:val="000000"/>
          <w:sz w:val="24"/>
          <w:szCs w:val="24"/>
          <w:lang w:eastAsia="sl-SI"/>
        </w:rPr>
        <w:t xml:space="preserve">Predložiti prek elektronskega sistema obveščanja, ki ga Komisija vzpostavi v skladu s </w:t>
      </w:r>
      <w:r w:rsidR="001245A1">
        <w:rPr>
          <w:rFonts w:ascii="Times New Roman" w:eastAsia="Times New Roman" w:hAnsi="Times New Roman" w:cs="Times New Roman"/>
          <w:b/>
          <w:bCs/>
          <w:color w:val="000000"/>
          <w:sz w:val="24"/>
          <w:szCs w:val="24"/>
          <w:lang w:eastAsia="sl-SI"/>
        </w:rPr>
        <w:t>z 11. členom Uredbe Komisije (EU) št. 2022/2472</w:t>
      </w:r>
      <w:bookmarkStart w:id="1" w:name="_GoBack"/>
      <w:bookmarkEnd w:id="1"/>
    </w:p>
    <w:p w:rsidR="000F3411" w:rsidRPr="00182537" w:rsidRDefault="000F3411" w:rsidP="000F3411">
      <w:pPr>
        <w:spacing w:before="240" w:after="120" w:line="240" w:lineRule="auto"/>
        <w:jc w:val="both"/>
        <w:rPr>
          <w:rFonts w:ascii="Times New Roman" w:eastAsia="Times New Roman" w:hAnsi="Times New Roman" w:cs="Times New Roman"/>
          <w:bCs/>
          <w:color w:val="000000"/>
          <w:sz w:val="24"/>
          <w:szCs w:val="24"/>
          <w:lang w:eastAsia="sl-SI"/>
        </w:rPr>
      </w:pPr>
      <w:r w:rsidRPr="00182537">
        <w:rPr>
          <w:rFonts w:ascii="Times New Roman" w:eastAsia="Times New Roman" w:hAnsi="Times New Roman" w:cs="Times New Roman"/>
          <w:bCs/>
          <w:color w:val="000000"/>
          <w:sz w:val="24"/>
          <w:szCs w:val="24"/>
          <w:lang w:eastAsia="sl-SI"/>
        </w:rPr>
        <w:lastRenderedPageBreak/>
        <w:t>Navedit</w:t>
      </w:r>
      <w:r w:rsidR="00AA7FF6" w:rsidRPr="00182537">
        <w:rPr>
          <w:rFonts w:ascii="Times New Roman" w:eastAsia="Times New Roman" w:hAnsi="Times New Roman" w:cs="Times New Roman"/>
          <w:bCs/>
          <w:color w:val="000000"/>
          <w:sz w:val="24"/>
          <w:szCs w:val="24"/>
          <w:lang w:eastAsia="sl-SI"/>
        </w:rPr>
        <w:t>e, na podlagi katerih določb U</w:t>
      </w:r>
      <w:r w:rsidRPr="00182537">
        <w:rPr>
          <w:rFonts w:ascii="Times New Roman" w:eastAsia="Times New Roman" w:hAnsi="Times New Roman" w:cs="Times New Roman"/>
          <w:bCs/>
          <w:color w:val="000000"/>
          <w:sz w:val="24"/>
          <w:szCs w:val="24"/>
          <w:lang w:eastAsia="sl-SI"/>
        </w:rPr>
        <w:t>redbe</w:t>
      </w:r>
      <w:r w:rsidR="00AA7FF6" w:rsidRPr="00182537">
        <w:rPr>
          <w:rFonts w:ascii="Times New Roman" w:eastAsia="Times New Roman" w:hAnsi="Times New Roman" w:cs="Times New Roman"/>
          <w:bCs/>
          <w:color w:val="000000"/>
          <w:sz w:val="24"/>
          <w:szCs w:val="24"/>
          <w:lang w:eastAsia="sl-SI"/>
        </w:rPr>
        <w:t xml:space="preserve"> Komisije (EU) št. 2022/2472</w:t>
      </w:r>
      <w:r w:rsidRPr="00182537">
        <w:rPr>
          <w:rFonts w:ascii="Times New Roman" w:eastAsia="Times New Roman" w:hAnsi="Times New Roman" w:cs="Times New Roman"/>
          <w:bCs/>
          <w:color w:val="000000"/>
          <w:sz w:val="24"/>
          <w:szCs w:val="24"/>
          <w:lang w:eastAsia="sl-SI"/>
        </w:rPr>
        <w:t xml:space="preserve"> se izvaja pomoč.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84"/>
        <w:gridCol w:w="2266"/>
        <w:gridCol w:w="2206"/>
      </w:tblGrid>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E4273B">
            <w:pPr>
              <w:spacing w:before="60" w:after="60" w:line="240" w:lineRule="auto"/>
              <w:ind w:right="195"/>
              <w:jc w:val="center"/>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t>Primarni cilji</w:t>
            </w:r>
            <w:r w:rsidR="00AA7FF6" w:rsidRPr="00182537">
              <w:rPr>
                <w:rFonts w:ascii="Times New Roman" w:eastAsia="Times New Roman" w:hAnsi="Times New Roman" w:cs="Times New Roman"/>
                <w:bCs/>
                <w:color w:val="000000"/>
                <w:lang w:eastAsia="sl-SI"/>
              </w:rPr>
              <w:t xml:space="preserve"> (če je mogočih več ciljev, navedite vse cilje)</w:t>
            </w: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60" w:after="60" w:line="240" w:lineRule="auto"/>
              <w:ind w:right="195"/>
              <w:jc w:val="center"/>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t xml:space="preserve">Najvišja intenzivnost pomoči v % </w:t>
            </w: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AA7FF6" w:rsidP="000F3411">
            <w:pPr>
              <w:spacing w:before="60" w:after="60" w:line="240" w:lineRule="auto"/>
              <w:ind w:right="195"/>
              <w:jc w:val="center"/>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t>Največji</w:t>
            </w:r>
            <w:r w:rsidR="000F3411" w:rsidRPr="00182537">
              <w:rPr>
                <w:rFonts w:ascii="Times New Roman" w:eastAsia="Times New Roman" w:hAnsi="Times New Roman" w:cs="Times New Roman"/>
                <w:bCs/>
                <w:color w:val="000000"/>
                <w:lang w:eastAsia="sl-SI"/>
              </w:rPr>
              <w:t xml:space="preserve"> znesek pom</w:t>
            </w:r>
            <w:r w:rsidR="0071265A" w:rsidRPr="00182537">
              <w:rPr>
                <w:rFonts w:ascii="Times New Roman" w:eastAsia="Times New Roman" w:hAnsi="Times New Roman" w:cs="Times New Roman"/>
                <w:bCs/>
                <w:color w:val="000000"/>
                <w:lang w:eastAsia="sl-SI"/>
              </w:rPr>
              <w:t>oči v nacionalni valuti (celi</w:t>
            </w:r>
            <w:r w:rsidR="000F3411" w:rsidRPr="00182537">
              <w:rPr>
                <w:rFonts w:ascii="Times New Roman" w:eastAsia="Times New Roman" w:hAnsi="Times New Roman" w:cs="Times New Roman"/>
                <w:bCs/>
                <w:color w:val="000000"/>
                <w:lang w:eastAsia="sl-SI"/>
              </w:rPr>
              <w:t xml:space="preserve"> zneski</w:t>
            </w:r>
            <w:r w:rsidR="0071265A" w:rsidRPr="00182537">
              <w:rPr>
                <w:rFonts w:ascii="Times New Roman" w:eastAsia="Times New Roman" w:hAnsi="Times New Roman" w:cs="Times New Roman"/>
                <w:bCs/>
                <w:color w:val="000000"/>
                <w:lang w:eastAsia="sl-SI"/>
              </w:rPr>
              <w:t>, brez decimalnih mest</w:t>
            </w:r>
            <w:r w:rsidR="000F3411" w:rsidRPr="00182537">
              <w:rPr>
                <w:rFonts w:ascii="Times New Roman" w:eastAsia="Times New Roman" w:hAnsi="Times New Roman" w:cs="Times New Roman"/>
                <w:bCs/>
                <w:color w:val="000000"/>
                <w:lang w:eastAsia="sl-SI"/>
              </w:rPr>
              <w:t xml:space="preserve">) </w:t>
            </w: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D81614">
                  <w:pPr>
                    <w:pStyle w:val="Odstavekseznama"/>
                    <w:numPr>
                      <w:ilvl w:val="0"/>
                      <w:numId w:val="1"/>
                    </w:num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 xml:space="preserve">Pomoč za naložbe v kmetijska gospodarstva, povezane s primarno kmetijsko proizvodnjo </w:t>
                  </w:r>
                  <w:r w:rsidR="000F3411" w:rsidRPr="00182537">
                    <w:rPr>
                      <w:rFonts w:ascii="Times New Roman" w:eastAsia="Times New Roman" w:hAnsi="Times New Roman" w:cs="Times New Roman"/>
                      <w:bCs/>
                      <w:color w:val="000000"/>
                      <w:sz w:val="24"/>
                      <w:szCs w:val="24"/>
                      <w:lang w:eastAsia="sl-SI"/>
                    </w:rPr>
                    <w:t>(člen 14)</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F50EC8" w:rsidRPr="00182537">
              <w:trPr>
                <w:tblCellSpacing w:w="0" w:type="dxa"/>
              </w:trPr>
              <w:tc>
                <w:tcPr>
                  <w:tcW w:w="0" w:type="auto"/>
                  <w:hideMark/>
                </w:tcPr>
                <w:p w:rsidR="000F3411" w:rsidRPr="00182537" w:rsidRDefault="000F3411" w:rsidP="00A24984">
                  <w:pPr>
                    <w:pStyle w:val="Odstavekseznama"/>
                    <w:numPr>
                      <w:ilvl w:val="0"/>
                      <w:numId w:val="1"/>
                    </w:num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komasacijo kmetijskih zemljišč (člen 15)</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naložbe v zvezi s premestitvijo kmetijskih poslopij (člen 16)</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naložbe v zvezi s predelavo in trženjem kmetijskih proizvodov (člen 17)</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Zagonska pomoč za mlade kmete in zagonska pomoč za kmetijske dejavnosti</w:t>
                  </w:r>
                  <w:r w:rsidR="000F3411" w:rsidRPr="00182537">
                    <w:rPr>
                      <w:rFonts w:ascii="Times New Roman" w:eastAsia="Times New Roman" w:hAnsi="Times New Roman" w:cs="Times New Roman"/>
                      <w:bCs/>
                      <w:color w:val="000000"/>
                      <w:sz w:val="24"/>
                      <w:szCs w:val="24"/>
                      <w:lang w:eastAsia="sl-SI"/>
                    </w:rPr>
                    <w:t xml:space="preserve"> (člen 18)</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 xml:space="preserve">Zagonska pomoč za skupine in organizacije proizvajalcev v kmetijskem sektorju </w:t>
                  </w:r>
                  <w:r w:rsidR="000F3411" w:rsidRPr="00182537">
                    <w:rPr>
                      <w:rFonts w:ascii="Times New Roman" w:eastAsia="Times New Roman" w:hAnsi="Times New Roman" w:cs="Times New Roman"/>
                      <w:bCs/>
                      <w:color w:val="000000"/>
                      <w:sz w:val="24"/>
                      <w:szCs w:val="24"/>
                      <w:lang w:eastAsia="sl-SI"/>
                    </w:rPr>
                    <w:t>(člen 19)</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sodelovanje proizvajalcev kmetijskih proizvodov v shemah kakovosti (člen 20)</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A80EBD" w:rsidP="00A80EBD">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 xml:space="preserve">Pomoč za ukrepe izmenjave znanja in informiranja </w:t>
                  </w:r>
                  <w:r w:rsidR="000F3411" w:rsidRPr="00182537">
                    <w:rPr>
                      <w:rFonts w:ascii="Times New Roman" w:eastAsia="Times New Roman" w:hAnsi="Times New Roman" w:cs="Times New Roman"/>
                      <w:bCs/>
                      <w:color w:val="000000"/>
                      <w:sz w:val="24"/>
                      <w:szCs w:val="24"/>
                      <w:lang w:eastAsia="sl-SI"/>
                    </w:rPr>
                    <w:t>(člen 21)</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A80EBD" w:rsidP="00AA7FF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storitve svetovanja (člen 22)</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A24984">
                  <w:pPr>
                    <w:pStyle w:val="Odstavekseznama"/>
                    <w:numPr>
                      <w:ilvl w:val="0"/>
                      <w:numId w:val="5"/>
                    </w:num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A80EBD" w:rsidP="00A80EBD">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storitve nadomeščanja na kmetijskem gospodarstvu (člen 23)</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A24984">
                  <w:pPr>
                    <w:pStyle w:val="Odstavekseznama"/>
                    <w:numPr>
                      <w:ilvl w:val="0"/>
                      <w:numId w:val="5"/>
                    </w:num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A80EBD" w:rsidP="00AA7FF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 xml:space="preserve">Pomoč za </w:t>
                  </w:r>
                  <w:r w:rsidR="00AA7FF6" w:rsidRPr="00182537">
                    <w:rPr>
                      <w:rFonts w:ascii="Times New Roman" w:eastAsia="Times New Roman" w:hAnsi="Times New Roman" w:cs="Times New Roman"/>
                      <w:bCs/>
                      <w:color w:val="000000"/>
                      <w:sz w:val="24"/>
                      <w:szCs w:val="24"/>
                      <w:lang w:eastAsia="sl-SI"/>
                    </w:rPr>
                    <w:t>promocijske</w:t>
                  </w:r>
                  <w:r w:rsidR="000F3411" w:rsidRPr="00182537">
                    <w:rPr>
                      <w:rFonts w:ascii="Times New Roman" w:eastAsia="Times New Roman" w:hAnsi="Times New Roman" w:cs="Times New Roman"/>
                      <w:bCs/>
                      <w:color w:val="000000"/>
                      <w:sz w:val="24"/>
                      <w:szCs w:val="24"/>
                      <w:lang w:eastAsia="sl-SI"/>
                    </w:rPr>
                    <w:t xml:space="preserve"> ukrepe za kmetijske proizvode (člen 24)</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A80EBD" w:rsidP="00A80EBD">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 xml:space="preserve">Pomoč za povrnitev škode zaradi slabih vremenskih razmer, ki jih je mogoče enačiti z naravnimi nesrečami </w:t>
                  </w:r>
                  <w:r w:rsidR="000F3411" w:rsidRPr="00182537">
                    <w:rPr>
                      <w:rFonts w:ascii="Times New Roman" w:eastAsia="Times New Roman" w:hAnsi="Times New Roman" w:cs="Times New Roman"/>
                      <w:bCs/>
                      <w:color w:val="000000"/>
                      <w:sz w:val="24"/>
                      <w:szCs w:val="24"/>
                      <w:lang w:eastAsia="sl-SI"/>
                    </w:rPr>
                    <w:t>(člen 25)</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vMerge w:val="restart"/>
            <w:tcBorders>
              <w:top w:val="single" w:sz="6" w:space="0" w:color="000000"/>
              <w:left w:val="single" w:sz="6" w:space="0" w:color="000000"/>
              <w:right w:val="single" w:sz="6" w:space="0" w:color="000000"/>
            </w:tcBorders>
          </w:tcPr>
          <w:p w:rsidR="00DF66E2" w:rsidRPr="00182537" w:rsidRDefault="00DF66E2"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Pr>
          <w:p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Vrsta slabih vremenskih razmer, ki jih je mogoče enačiti z naravnimi nesrečami:</w:t>
            </w:r>
          </w:p>
        </w:tc>
        <w:tc>
          <w:tcPr>
            <w:tcW w:w="0" w:type="auto"/>
            <w:tcBorders>
              <w:top w:val="single" w:sz="6" w:space="0" w:color="000000"/>
              <w:left w:val="single" w:sz="6" w:space="0" w:color="000000"/>
              <w:bottom w:val="single" w:sz="6" w:space="0" w:color="000000"/>
              <w:right w:val="single" w:sz="6" w:space="0" w:color="000000"/>
            </w:tcBorders>
          </w:tcPr>
          <w:tbl>
            <w:tblPr>
              <w:tblW w:w="5000" w:type="pct"/>
              <w:tblCellSpacing w:w="0" w:type="dxa"/>
              <w:tblCellMar>
                <w:left w:w="0" w:type="dxa"/>
                <w:right w:w="0" w:type="dxa"/>
              </w:tblCellMar>
              <w:tblLook w:val="04A0" w:firstRow="1" w:lastRow="0" w:firstColumn="1" w:lastColumn="0" w:noHBand="0" w:noVBand="1"/>
            </w:tblPr>
            <w:tblGrid>
              <w:gridCol w:w="10"/>
              <w:gridCol w:w="2166"/>
            </w:tblGrid>
            <w:tr w:rsidR="00DF66E2" w:rsidRPr="00182537" w:rsidTr="008B6A32">
              <w:trPr>
                <w:tblCellSpacing w:w="0" w:type="dxa"/>
              </w:trPr>
              <w:tc>
                <w:tcPr>
                  <w:tcW w:w="0" w:type="auto"/>
                  <w:hideMark/>
                </w:tcPr>
                <w:p w:rsidR="00DF66E2" w:rsidRPr="00182537" w:rsidRDefault="00DF66E2" w:rsidP="00DF66E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zmrzal</w:t>
                  </w:r>
                </w:p>
              </w:tc>
            </w:tr>
          </w:tbl>
          <w:p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0"/>
              <w:gridCol w:w="2166"/>
            </w:tblGrid>
            <w:tr w:rsidR="00DF66E2" w:rsidRPr="00182537" w:rsidTr="008B6A32">
              <w:trPr>
                <w:tblCellSpacing w:w="0" w:type="dxa"/>
              </w:trPr>
              <w:tc>
                <w:tcPr>
                  <w:tcW w:w="0" w:type="auto"/>
                  <w:hideMark/>
                </w:tcPr>
                <w:p w:rsidR="00DF66E2" w:rsidRPr="00182537" w:rsidRDefault="00DF66E2" w:rsidP="00DF66E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neurje</w:t>
                  </w:r>
                </w:p>
              </w:tc>
            </w:tr>
          </w:tbl>
          <w:p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2"/>
              <w:gridCol w:w="2164"/>
            </w:tblGrid>
            <w:tr w:rsidR="00DF66E2" w:rsidRPr="00182537" w:rsidTr="008B6A32">
              <w:trPr>
                <w:tblCellSpacing w:w="0" w:type="dxa"/>
              </w:trPr>
              <w:tc>
                <w:tcPr>
                  <w:tcW w:w="0" w:type="auto"/>
                  <w:hideMark/>
                </w:tcPr>
                <w:p w:rsidR="00DF66E2" w:rsidRPr="00182537" w:rsidRDefault="00DF66E2" w:rsidP="00DF66E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toča</w:t>
                  </w:r>
                </w:p>
              </w:tc>
            </w:tr>
          </w:tbl>
          <w:p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4"/>
              <w:gridCol w:w="2162"/>
            </w:tblGrid>
            <w:tr w:rsidR="00DF66E2" w:rsidRPr="00182537" w:rsidTr="008B6A32">
              <w:trPr>
                <w:tblCellSpacing w:w="0" w:type="dxa"/>
              </w:trPr>
              <w:tc>
                <w:tcPr>
                  <w:tcW w:w="0" w:type="auto"/>
                  <w:hideMark/>
                </w:tcPr>
                <w:p w:rsidR="00DF66E2" w:rsidRPr="00182537" w:rsidRDefault="00DF66E2" w:rsidP="00DF66E2">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led</w:t>
                  </w:r>
                </w:p>
              </w:tc>
            </w:tr>
          </w:tbl>
          <w:p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70"/>
            </w:tblGrid>
            <w:tr w:rsidR="00DF66E2" w:rsidRPr="00182537" w:rsidTr="008B6A32">
              <w:trPr>
                <w:tblCellSpacing w:w="0" w:type="dxa"/>
              </w:trPr>
              <w:tc>
                <w:tcPr>
                  <w:tcW w:w="0" w:type="auto"/>
                  <w:hideMark/>
                </w:tcPr>
                <w:p w:rsidR="00DF66E2" w:rsidRPr="00182537" w:rsidRDefault="00DF66E2" w:rsidP="00DF66E2">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močno ali obilno deževje</w:t>
                  </w:r>
                </w:p>
                <w:p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1"/>
                    <w:gridCol w:w="2159"/>
                  </w:tblGrid>
                  <w:tr w:rsidR="00A907FC" w:rsidRPr="00182537" w:rsidTr="008B6A32">
                    <w:trPr>
                      <w:tblCellSpacing w:w="0" w:type="dxa"/>
                    </w:trPr>
                    <w:tc>
                      <w:tcPr>
                        <w:tcW w:w="0" w:type="auto"/>
                        <w:hideMark/>
                      </w:tcPr>
                      <w:p w:rsidR="00DF66E2" w:rsidRPr="00182537" w:rsidRDefault="00DF66E2" w:rsidP="00DF66E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orkan</w:t>
                        </w:r>
                      </w:p>
                    </w:tc>
                  </w:tr>
                </w:tbl>
                <w:p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8"/>
                    <w:gridCol w:w="2162"/>
                  </w:tblGrid>
                  <w:tr w:rsidR="00A907FC" w:rsidRPr="00182537" w:rsidTr="008B6A32">
                    <w:trPr>
                      <w:tblCellSpacing w:w="0" w:type="dxa"/>
                    </w:trPr>
                    <w:tc>
                      <w:tcPr>
                        <w:tcW w:w="0" w:type="auto"/>
                        <w:hideMark/>
                      </w:tcPr>
                      <w:p w:rsidR="00DF66E2" w:rsidRPr="00182537" w:rsidRDefault="00DF66E2" w:rsidP="00DF66E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huda suša</w:t>
                        </w:r>
                      </w:p>
                    </w:tc>
                  </w:tr>
                </w:tbl>
                <w:p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64"/>
                  </w:tblGrid>
                  <w:tr w:rsidR="00A907FC" w:rsidRPr="00182537" w:rsidTr="008B6A32">
                    <w:trPr>
                      <w:tblCellSpacing w:w="0" w:type="dxa"/>
                    </w:trPr>
                    <w:tc>
                      <w:tcPr>
                        <w:tcW w:w="0" w:type="auto"/>
                        <w:hideMark/>
                      </w:tcPr>
                      <w:p w:rsidR="00DF66E2" w:rsidRPr="00182537" w:rsidRDefault="00DF66E2" w:rsidP="00DF66E2">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drugo, navedite:</w:t>
                        </w:r>
                      </w:p>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w:t>
                        </w:r>
                      </w:p>
                    </w:tc>
                  </w:tr>
                </w:tbl>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p>
                <w:p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p>
              </w:tc>
            </w:tr>
          </w:tbl>
          <w:p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vMerge/>
            <w:tcBorders>
              <w:left w:val="single" w:sz="6" w:space="0" w:color="000000"/>
              <w:bottom w:val="single" w:sz="6" w:space="0" w:color="000000"/>
              <w:right w:val="single" w:sz="6" w:space="0" w:color="000000"/>
            </w:tcBorders>
          </w:tcPr>
          <w:p w:rsidR="00DF66E2" w:rsidRPr="00182537" w:rsidRDefault="00DF66E2"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Pr>
          <w:p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datum pojava razmer:</w:t>
            </w:r>
          </w:p>
        </w:tc>
        <w:tc>
          <w:tcPr>
            <w:tcW w:w="0" w:type="auto"/>
            <w:tcBorders>
              <w:top w:val="single" w:sz="6" w:space="0" w:color="000000"/>
              <w:left w:val="single" w:sz="6" w:space="0" w:color="000000"/>
              <w:bottom w:val="single" w:sz="6" w:space="0" w:color="000000"/>
              <w:right w:val="single" w:sz="6" w:space="0" w:color="000000"/>
            </w:tcBorders>
          </w:tcPr>
          <w:p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od d. m. lll do d. m. llll</w:t>
            </w:r>
          </w:p>
        </w:tc>
      </w:tr>
      <w:tr w:rsidR="00DF66E2" w:rsidRPr="000F3411" w:rsidTr="008B6A32">
        <w:trPr>
          <w:trHeight w:val="1671"/>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DF66E2" w:rsidRPr="00182537">
              <w:trPr>
                <w:tblCellSpacing w:w="0" w:type="dxa"/>
              </w:trPr>
              <w:tc>
                <w:tcPr>
                  <w:tcW w:w="0" w:type="auto"/>
                  <w:hideMark/>
                </w:tcPr>
                <w:p w:rsidR="00DF66E2" w:rsidRPr="00182537" w:rsidRDefault="00DF66E2" w:rsidP="00F50EC8">
                  <w:pPr>
                    <w:pStyle w:val="Odstavekseznama"/>
                    <w:numPr>
                      <w:ilvl w:val="0"/>
                      <w:numId w:val="6"/>
                    </w:num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DF66E2" w:rsidRPr="00182537" w:rsidRDefault="00DF66E2" w:rsidP="00A80EBD">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stroške preprečevanja, obvladovanja in izkoreninjenja bolezni živali ali škodljivih organizmov rastlin ter pomoč za povrnitev škode zaradi bolezni živali ali škodljivih organizmov rastlin (člen 26)</w:t>
                  </w:r>
                  <w:r w:rsidRPr="00182537">
                    <w:rPr>
                      <w:rFonts w:ascii="Times New Roman" w:eastAsia="Times New Roman" w:hAnsi="Times New Roman" w:cs="Times New Roman"/>
                      <w:color w:val="000000"/>
                      <w:sz w:val="24"/>
                      <w:szCs w:val="24"/>
                      <w:lang w:eastAsia="sl-SI"/>
                    </w:rPr>
                    <w:t xml:space="preserve"> </w:t>
                  </w:r>
                </w:p>
              </w:tc>
            </w:tr>
          </w:tbl>
          <w:p w:rsidR="00DF66E2" w:rsidRPr="00182537" w:rsidRDefault="00DF66E2"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right w:val="single" w:sz="6" w:space="0" w:color="000000"/>
            </w:tcBorders>
            <w:hideMark/>
          </w:tcPr>
          <w:p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right w:val="single" w:sz="6" w:space="0" w:color="000000"/>
            </w:tcBorders>
            <w:hideMark/>
          </w:tcPr>
          <w:p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4E5A54" w:rsidP="00DF66E2">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DF66E2" w:rsidRPr="00182537">
                    <w:rPr>
                      <w:rFonts w:ascii="Times New Roman" w:eastAsia="Times New Roman" w:hAnsi="Times New Roman" w:cs="Times New Roman"/>
                      <w:bCs/>
                      <w:color w:val="000000"/>
                      <w:sz w:val="24"/>
                      <w:szCs w:val="24"/>
                      <w:lang w:eastAsia="sl-SI"/>
                    </w:rPr>
                    <w:t xml:space="preserve">Pomoč za živinorejski sektor in pomoč za poginule živali </w:t>
                  </w:r>
                  <w:r w:rsidR="000F3411" w:rsidRPr="00182537">
                    <w:rPr>
                      <w:rFonts w:ascii="Times New Roman" w:eastAsia="Times New Roman" w:hAnsi="Times New Roman" w:cs="Times New Roman"/>
                      <w:bCs/>
                      <w:color w:val="000000"/>
                      <w:sz w:val="24"/>
                      <w:szCs w:val="24"/>
                      <w:lang w:eastAsia="sl-SI"/>
                    </w:rPr>
                    <w:t>(člen 27)</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4E5A54" w:rsidP="004E5A5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DF66E2" w:rsidRPr="00182537">
                    <w:rPr>
                      <w:rFonts w:ascii="Times New Roman" w:eastAsia="Times New Roman" w:hAnsi="Times New Roman" w:cs="Times New Roman"/>
                      <w:bCs/>
                      <w:color w:val="000000"/>
                      <w:sz w:val="24"/>
                      <w:szCs w:val="24"/>
                      <w:lang w:eastAsia="sl-SI"/>
                    </w:rPr>
                    <w:t xml:space="preserve">Pomoč za plačilo zavarovalnih premij in za finančne prispevke v vzajemne sklade </w:t>
                  </w:r>
                  <w:r w:rsidR="000F3411" w:rsidRPr="00182537">
                    <w:rPr>
                      <w:rFonts w:ascii="Times New Roman" w:eastAsia="Times New Roman" w:hAnsi="Times New Roman" w:cs="Times New Roman"/>
                      <w:bCs/>
                      <w:color w:val="000000"/>
                      <w:sz w:val="24"/>
                      <w:szCs w:val="24"/>
                      <w:lang w:eastAsia="sl-SI"/>
                    </w:rPr>
                    <w:t>(člen 28)</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rsidTr="008B6A32">
              <w:trPr>
                <w:tblCellSpacing w:w="0" w:type="dxa"/>
              </w:trPr>
              <w:tc>
                <w:tcPr>
                  <w:tcW w:w="0" w:type="auto"/>
                  <w:hideMark/>
                </w:tcPr>
                <w:p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povrnitev škode, ki jo povzročijo zaščitene živali (člen 29)</w:t>
                  </w:r>
                  <w:r w:rsidRPr="00182537">
                    <w:rPr>
                      <w:rFonts w:ascii="Times New Roman" w:eastAsia="Times New Roman" w:hAnsi="Times New Roman" w:cs="Times New Roman"/>
                      <w:color w:val="000000"/>
                      <w:sz w:val="24"/>
                      <w:szCs w:val="24"/>
                      <w:lang w:eastAsia="sl-SI"/>
                    </w:rPr>
                    <w:t xml:space="preserve"> </w:t>
                  </w:r>
                </w:p>
              </w:tc>
            </w:tr>
          </w:tbl>
          <w:p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rsidTr="008B6A32">
              <w:trPr>
                <w:tblCellSpacing w:w="0" w:type="dxa"/>
              </w:trPr>
              <w:tc>
                <w:tcPr>
                  <w:tcW w:w="0" w:type="auto"/>
                  <w:hideMark/>
                </w:tcPr>
                <w:p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ohranjanje genskih virov v kmetijstvu (člen 30)</w:t>
                  </w:r>
                  <w:r w:rsidRPr="00182537">
                    <w:rPr>
                      <w:rFonts w:ascii="Times New Roman" w:eastAsia="Times New Roman" w:hAnsi="Times New Roman" w:cs="Times New Roman"/>
                      <w:color w:val="000000"/>
                      <w:sz w:val="24"/>
                      <w:szCs w:val="24"/>
                      <w:lang w:eastAsia="sl-SI"/>
                    </w:rPr>
                    <w:t xml:space="preserve"> </w:t>
                  </w:r>
                </w:p>
              </w:tc>
            </w:tr>
          </w:tbl>
          <w:p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rsidTr="008B6A32">
              <w:trPr>
                <w:tblCellSpacing w:w="0" w:type="dxa"/>
              </w:trPr>
              <w:tc>
                <w:tcPr>
                  <w:tcW w:w="0" w:type="auto"/>
                  <w:hideMark/>
                </w:tcPr>
                <w:p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obveznosti v zvezi z dobrobitjo živali (člen 31)</w:t>
                  </w:r>
                  <w:r w:rsidRPr="00182537">
                    <w:rPr>
                      <w:rFonts w:ascii="Times New Roman" w:eastAsia="Times New Roman" w:hAnsi="Times New Roman" w:cs="Times New Roman"/>
                      <w:color w:val="000000"/>
                      <w:sz w:val="24"/>
                      <w:szCs w:val="24"/>
                      <w:lang w:eastAsia="sl-SI"/>
                    </w:rPr>
                    <w:t xml:space="preserve"> </w:t>
                  </w:r>
                </w:p>
              </w:tc>
            </w:tr>
          </w:tbl>
          <w:p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rsidTr="008B6A32">
              <w:trPr>
                <w:tblCellSpacing w:w="0" w:type="dxa"/>
              </w:trPr>
              <w:tc>
                <w:tcPr>
                  <w:tcW w:w="0" w:type="auto"/>
                  <w:hideMark/>
                </w:tcPr>
                <w:p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sodelovanje v gozdarskem sektorju (člen 32)</w:t>
                  </w:r>
                  <w:r w:rsidRPr="00182537">
                    <w:rPr>
                      <w:rFonts w:ascii="Times New Roman" w:eastAsia="Times New Roman" w:hAnsi="Times New Roman" w:cs="Times New Roman"/>
                      <w:color w:val="000000"/>
                      <w:sz w:val="24"/>
                      <w:szCs w:val="24"/>
                      <w:lang w:eastAsia="sl-SI"/>
                    </w:rPr>
                    <w:t xml:space="preserve"> </w:t>
                  </w:r>
                </w:p>
              </w:tc>
            </w:tr>
          </w:tbl>
          <w:p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rsidTr="008B6A32">
              <w:trPr>
                <w:tblCellSpacing w:w="0" w:type="dxa"/>
              </w:trPr>
              <w:tc>
                <w:tcPr>
                  <w:tcW w:w="0" w:type="auto"/>
                  <w:hideMark/>
                </w:tcPr>
                <w:p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omejitve v zvezi z območji Natura 2000 (člen 33)</w:t>
                  </w:r>
                  <w:r w:rsidRPr="00182537">
                    <w:rPr>
                      <w:rFonts w:ascii="Times New Roman" w:eastAsia="Times New Roman" w:hAnsi="Times New Roman" w:cs="Times New Roman"/>
                      <w:color w:val="000000"/>
                      <w:sz w:val="24"/>
                      <w:szCs w:val="24"/>
                      <w:lang w:eastAsia="sl-SI"/>
                    </w:rPr>
                    <w:t xml:space="preserve"> </w:t>
                  </w:r>
                </w:p>
              </w:tc>
            </w:tr>
          </w:tbl>
          <w:p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rsidTr="008B6A32">
              <w:trPr>
                <w:tblCellSpacing w:w="0" w:type="dxa"/>
              </w:trPr>
              <w:tc>
                <w:tcPr>
                  <w:tcW w:w="0" w:type="auto"/>
                  <w:hideMark/>
                </w:tcPr>
                <w:p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kmetijsko-okoljsko-podnebne obveznosti (člen 34)</w:t>
                  </w:r>
                  <w:r w:rsidRPr="00182537">
                    <w:rPr>
                      <w:rFonts w:ascii="Times New Roman" w:eastAsia="Times New Roman" w:hAnsi="Times New Roman" w:cs="Times New Roman"/>
                      <w:color w:val="000000"/>
                      <w:sz w:val="24"/>
                      <w:szCs w:val="24"/>
                      <w:lang w:eastAsia="sl-SI"/>
                    </w:rPr>
                    <w:t xml:space="preserve"> </w:t>
                  </w:r>
                </w:p>
              </w:tc>
            </w:tr>
          </w:tbl>
          <w:p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rsidTr="008B6A32">
              <w:trPr>
                <w:tblCellSpacing w:w="0" w:type="dxa"/>
              </w:trPr>
              <w:tc>
                <w:tcPr>
                  <w:tcW w:w="0" w:type="auto"/>
                  <w:hideMark/>
                </w:tcPr>
                <w:p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ekološko kmetovanje (člen 35)</w:t>
                  </w:r>
                  <w:r w:rsidRPr="00182537">
                    <w:rPr>
                      <w:rFonts w:ascii="Times New Roman" w:eastAsia="Times New Roman" w:hAnsi="Times New Roman" w:cs="Times New Roman"/>
                      <w:color w:val="000000"/>
                      <w:sz w:val="24"/>
                      <w:szCs w:val="24"/>
                      <w:lang w:eastAsia="sl-SI"/>
                    </w:rPr>
                    <w:t xml:space="preserve"> </w:t>
                  </w:r>
                </w:p>
              </w:tc>
            </w:tr>
          </w:tbl>
          <w:p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4E5A54" w:rsidP="004E5A5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naložbe za ohranjanje kulturne in naravne dediščine na kmetijskih gospodarstvih ali v gozdovih (člen 36</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rsidTr="008B6A32">
              <w:trPr>
                <w:tblCellSpacing w:w="0" w:type="dxa"/>
              </w:trPr>
              <w:tc>
                <w:tcPr>
                  <w:tcW w:w="0" w:type="auto"/>
                  <w:hideMark/>
                </w:tcPr>
                <w:p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povrnitev škode zaradi naravnih nesreč v kmetijskem sektorju (člen 37)</w:t>
                  </w:r>
                  <w:r w:rsidRPr="00182537">
                    <w:rPr>
                      <w:rFonts w:ascii="Times New Roman" w:eastAsia="Times New Roman" w:hAnsi="Times New Roman" w:cs="Times New Roman"/>
                      <w:color w:val="000000"/>
                      <w:sz w:val="24"/>
                      <w:szCs w:val="24"/>
                      <w:lang w:eastAsia="sl-SI"/>
                    </w:rPr>
                    <w:t xml:space="preserve"> </w:t>
                  </w:r>
                </w:p>
              </w:tc>
            </w:tr>
          </w:tbl>
          <w:p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vMerge w:val="restart"/>
            <w:tcBorders>
              <w:top w:val="single" w:sz="6" w:space="0" w:color="000000"/>
              <w:left w:val="single" w:sz="6" w:space="0" w:color="000000"/>
              <w:right w:val="single" w:sz="6" w:space="0" w:color="000000"/>
            </w:tcBorders>
          </w:tcPr>
          <w:p w:rsidR="00A907FC" w:rsidRPr="00182537" w:rsidRDefault="00A907FC" w:rsidP="008B6A32">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Pr>
          <w:p w:rsidR="00A907FC" w:rsidRPr="00182537" w:rsidRDefault="00A907FC" w:rsidP="00A907FC">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Vrsta naravne nesreče:</w:t>
            </w:r>
          </w:p>
        </w:tc>
        <w:tc>
          <w:tcPr>
            <w:tcW w:w="0" w:type="auto"/>
            <w:tcBorders>
              <w:top w:val="single" w:sz="6" w:space="0" w:color="000000"/>
              <w:left w:val="single" w:sz="6" w:space="0" w:color="000000"/>
              <w:bottom w:val="single" w:sz="6" w:space="0" w:color="000000"/>
              <w:right w:val="single" w:sz="6" w:space="0" w:color="000000"/>
            </w:tcBorders>
          </w:tcPr>
          <w:tbl>
            <w:tblPr>
              <w:tblW w:w="5000" w:type="pct"/>
              <w:tblCellSpacing w:w="0" w:type="dxa"/>
              <w:tblCellMar>
                <w:left w:w="0" w:type="dxa"/>
                <w:right w:w="0" w:type="dxa"/>
              </w:tblCellMar>
              <w:tblLook w:val="04A0" w:firstRow="1" w:lastRow="0" w:firstColumn="1" w:lastColumn="0" w:noHBand="0" w:noVBand="1"/>
            </w:tblPr>
            <w:tblGrid>
              <w:gridCol w:w="10"/>
              <w:gridCol w:w="2166"/>
            </w:tblGrid>
            <w:tr w:rsidR="00A907FC" w:rsidRPr="00182537" w:rsidTr="008B6A32">
              <w:trPr>
                <w:tblCellSpacing w:w="0" w:type="dxa"/>
              </w:trPr>
              <w:tc>
                <w:tcPr>
                  <w:tcW w:w="0" w:type="auto"/>
                  <w:hideMark/>
                </w:tcPr>
                <w:p w:rsidR="00A907FC" w:rsidRPr="00182537" w:rsidRDefault="00A907FC" w:rsidP="00A907FC">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potres</w:t>
                  </w:r>
                </w:p>
              </w:tc>
            </w:tr>
          </w:tbl>
          <w:p w:rsidR="00A907FC" w:rsidRPr="00182537" w:rsidRDefault="00A907FC" w:rsidP="008B6A3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8"/>
              <w:gridCol w:w="2168"/>
            </w:tblGrid>
            <w:tr w:rsidR="00A907FC" w:rsidRPr="00182537" w:rsidTr="008B6A32">
              <w:trPr>
                <w:tblCellSpacing w:w="0" w:type="dxa"/>
              </w:trPr>
              <w:tc>
                <w:tcPr>
                  <w:tcW w:w="0" w:type="auto"/>
                  <w:hideMark/>
                </w:tcPr>
                <w:p w:rsidR="00A907FC" w:rsidRPr="00182537" w:rsidRDefault="00A907FC" w:rsidP="00A907FC">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snežni plaz</w:t>
                  </w:r>
                </w:p>
              </w:tc>
            </w:tr>
          </w:tbl>
          <w:p w:rsidR="00A907FC" w:rsidRPr="00182537" w:rsidRDefault="00A907FC" w:rsidP="008B6A3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70"/>
            </w:tblGrid>
            <w:tr w:rsidR="00A907FC" w:rsidRPr="00182537" w:rsidTr="008B6A32">
              <w:trPr>
                <w:tblCellSpacing w:w="0" w:type="dxa"/>
              </w:trPr>
              <w:tc>
                <w:tcPr>
                  <w:tcW w:w="0" w:type="auto"/>
                  <w:hideMark/>
                </w:tcPr>
                <w:p w:rsidR="00A907FC" w:rsidRPr="00182537" w:rsidRDefault="00A907FC" w:rsidP="00A907FC">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zemeljski plaz</w:t>
                  </w:r>
                </w:p>
              </w:tc>
            </w:tr>
          </w:tbl>
          <w:p w:rsidR="00A907FC" w:rsidRPr="00182537" w:rsidRDefault="00A907FC" w:rsidP="008B6A3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9"/>
              <w:gridCol w:w="2167"/>
            </w:tblGrid>
            <w:tr w:rsidR="00A907FC" w:rsidRPr="00182537" w:rsidTr="008B6A32">
              <w:trPr>
                <w:tblCellSpacing w:w="0" w:type="dxa"/>
              </w:trPr>
              <w:tc>
                <w:tcPr>
                  <w:tcW w:w="0" w:type="auto"/>
                  <w:hideMark/>
                </w:tcPr>
                <w:p w:rsidR="00A907FC" w:rsidRPr="00182537" w:rsidRDefault="00A907FC" w:rsidP="00A907FC">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poplava</w:t>
                  </w:r>
                </w:p>
              </w:tc>
            </w:tr>
          </w:tbl>
          <w:p w:rsidR="00A907FC" w:rsidRPr="00182537" w:rsidRDefault="00A907FC" w:rsidP="008B6A3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70"/>
            </w:tblGrid>
            <w:tr w:rsidR="00A907FC" w:rsidRPr="00182537" w:rsidTr="008B6A32">
              <w:trPr>
                <w:tblCellSpacing w:w="0" w:type="dxa"/>
              </w:trPr>
              <w:tc>
                <w:tcPr>
                  <w:tcW w:w="0" w:type="auto"/>
                  <w:hideMark/>
                </w:tcPr>
                <w:p w:rsidR="00A907FC" w:rsidRPr="00182537" w:rsidRDefault="00A907FC" w:rsidP="00A907FC">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tornado</w:t>
                  </w:r>
                </w:p>
                <w:p w:rsidR="00A907FC" w:rsidRPr="00182537" w:rsidRDefault="00A907FC" w:rsidP="00A907F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1"/>
                    <w:gridCol w:w="2159"/>
                  </w:tblGrid>
                  <w:tr w:rsidR="00A907FC" w:rsidRPr="00182537" w:rsidTr="008B6A32">
                    <w:trPr>
                      <w:tblCellSpacing w:w="0" w:type="dxa"/>
                    </w:trPr>
                    <w:tc>
                      <w:tcPr>
                        <w:tcW w:w="0" w:type="auto"/>
                        <w:hideMark/>
                      </w:tcPr>
                      <w:p w:rsidR="00A907FC" w:rsidRPr="00182537" w:rsidRDefault="00A907FC" w:rsidP="008B6A3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8B6A3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orkan</w:t>
                        </w:r>
                      </w:p>
                    </w:tc>
                  </w:tr>
                </w:tbl>
                <w:p w:rsidR="00A907FC" w:rsidRPr="00182537" w:rsidRDefault="00A907FC" w:rsidP="00A907F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64"/>
                  </w:tblGrid>
                  <w:tr w:rsidR="00A907FC" w:rsidRPr="00182537" w:rsidTr="008B6A32">
                    <w:trPr>
                      <w:tblCellSpacing w:w="0" w:type="dxa"/>
                    </w:trPr>
                    <w:tc>
                      <w:tcPr>
                        <w:tcW w:w="0" w:type="auto"/>
                        <w:hideMark/>
                      </w:tcPr>
                      <w:p w:rsidR="00A907FC" w:rsidRPr="00182537" w:rsidRDefault="00A907FC" w:rsidP="008B6A3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vulkanski izbruh</w:t>
                        </w:r>
                      </w:p>
                    </w:tc>
                  </w:tr>
                </w:tbl>
                <w:p w:rsidR="00A907FC" w:rsidRPr="00182537" w:rsidRDefault="00A907FC" w:rsidP="00A907F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64"/>
                  </w:tblGrid>
                  <w:tr w:rsidR="00A907FC" w:rsidRPr="00182537" w:rsidTr="008B6A32">
                    <w:trPr>
                      <w:tblCellSpacing w:w="0" w:type="dxa"/>
                    </w:trPr>
                    <w:tc>
                      <w:tcPr>
                        <w:tcW w:w="0" w:type="auto"/>
                        <w:hideMark/>
                      </w:tcPr>
                      <w:p w:rsidR="00A907FC" w:rsidRPr="00182537" w:rsidRDefault="00A907FC" w:rsidP="00A907FC">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požar v naravi</w:t>
                        </w:r>
                      </w:p>
                    </w:tc>
                  </w:tr>
                </w:tbl>
                <w:p w:rsidR="00A907FC" w:rsidRPr="00182537" w:rsidRDefault="00A907FC" w:rsidP="00A907F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64"/>
                  </w:tblGrid>
                  <w:tr w:rsidR="00A907FC" w:rsidRPr="00182537" w:rsidTr="008B6A32">
                    <w:trPr>
                      <w:tblCellSpacing w:w="0" w:type="dxa"/>
                    </w:trPr>
                    <w:tc>
                      <w:tcPr>
                        <w:tcW w:w="0" w:type="auto"/>
                        <w:hideMark/>
                      </w:tcPr>
                      <w:p w:rsidR="00A907FC" w:rsidRPr="00182537" w:rsidRDefault="00A907FC" w:rsidP="008B6A32">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rsidR="00A907FC" w:rsidRPr="00182537" w:rsidRDefault="00A907FC" w:rsidP="008B6A3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drugo, navedite:</w:t>
                        </w:r>
                      </w:p>
                      <w:p w:rsidR="00A907FC" w:rsidRPr="00182537" w:rsidRDefault="00A907FC" w:rsidP="008B6A3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w:t>
                        </w:r>
                      </w:p>
                    </w:tc>
                  </w:tr>
                </w:tbl>
                <w:p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p>
                <w:p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p>
              </w:tc>
            </w:tr>
          </w:tbl>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8B6A32">
        <w:trPr>
          <w:tblCellSpacing w:w="0" w:type="dxa"/>
        </w:trPr>
        <w:tc>
          <w:tcPr>
            <w:tcW w:w="0" w:type="auto"/>
            <w:vMerge/>
            <w:tcBorders>
              <w:left w:val="single" w:sz="6" w:space="0" w:color="000000"/>
              <w:bottom w:val="single" w:sz="6" w:space="0" w:color="000000"/>
              <w:right w:val="single" w:sz="6" w:space="0" w:color="000000"/>
            </w:tcBorders>
          </w:tcPr>
          <w:p w:rsidR="00A907FC" w:rsidRPr="00182537" w:rsidRDefault="00A907FC" w:rsidP="008B6A32">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Pr>
          <w:p w:rsidR="00A907FC" w:rsidRPr="00182537" w:rsidRDefault="00A907FC" w:rsidP="00A907FC">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datum pojava naravne nesreče:</w:t>
            </w:r>
          </w:p>
        </w:tc>
        <w:tc>
          <w:tcPr>
            <w:tcW w:w="0" w:type="auto"/>
            <w:tcBorders>
              <w:top w:val="single" w:sz="6" w:space="0" w:color="000000"/>
              <w:left w:val="single" w:sz="6" w:space="0" w:color="000000"/>
              <w:bottom w:val="single" w:sz="6" w:space="0" w:color="000000"/>
              <w:right w:val="single" w:sz="6" w:space="0" w:color="000000"/>
            </w:tcBorders>
          </w:tcPr>
          <w:p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od d. m. lll do d. m. llll</w:t>
            </w: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raziskave in razvoj v kmetijskem in gozdarskem sektorju (člen 38</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stroške podjetij, ki sodelujejo v projektih operativnih skupin evropskega partnerstva za inovacije (člen 39</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Omejeni zneski pomoči za podjetja, ki imajo koristi od projektov operativnih skupin evropskega partnerstva za inovacije (člen 40</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 xml:space="preserve">Pomoč za pogozdovanje in ustvarjanje gozdnih površin ( </w:t>
                  </w:r>
                  <w:r w:rsidR="000F3411" w:rsidRPr="00182537">
                    <w:rPr>
                      <w:rFonts w:ascii="Times New Roman" w:eastAsia="Times New Roman" w:hAnsi="Times New Roman" w:cs="Times New Roman"/>
                      <w:bCs/>
                      <w:color w:val="000000"/>
                      <w:sz w:val="24"/>
                      <w:szCs w:val="24"/>
                      <w:lang w:eastAsia="sl-SI"/>
                    </w:rPr>
                    <w:t>(čle</w:t>
                  </w:r>
                  <w:r w:rsidR="00A907FC" w:rsidRPr="00182537">
                    <w:rPr>
                      <w:rFonts w:ascii="Times New Roman" w:eastAsia="Times New Roman" w:hAnsi="Times New Roman" w:cs="Times New Roman"/>
                      <w:bCs/>
                      <w:color w:val="000000"/>
                      <w:sz w:val="24"/>
                      <w:szCs w:val="24"/>
                      <w:lang w:eastAsia="sl-SI"/>
                    </w:rPr>
                    <w:t>n 41</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kmetijsko-gozdarske sisteme (člen 42</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preprečevanje in odpravo škode v gozdovih (člen 43</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naložbe za povečanje odpornosti in okoljske vrednosti gozdnih ekosistemov (člen 44</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omejitve, značilne za posamezno območje, ki izhajajo iz določenih obveznih zahtev (člen 45</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gozdarsko-okoljsko-podnebne storitve in ohranjanje gozdov (člen 46</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ukrepe izmenjave znanja in informiranja v gozdarskem sektorju (člen 47</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storitve svetovanja v gozdarskem sektorju (člen 48</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naložbe v infrastrukturo, povezano z razvojem, modernizacijo ali prilagajanjem gozdarskega sektorja (člen 49</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naložbe v gozdarske tehnologije ter v predelavo, mobilizacijo in trženje gozdarskih proizvodov (člen 50</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Ohranjanje genskih virov v gozdarstvu (člen 51</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Zagonska pomoč za skupine in organizacije proizvajalcev v gozdarskem sektorju (člen 52</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Pomoč za komasacijo gozdnih zemljišč (člen 53</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Pomoč za sodelovanje v gozdarskem sektorju (člen 54</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Pomoč za osnovne storitve in infrastrukturo na podeželju (člen 55</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Zagonska pomoč za podjetja za nekmetijske dejavnosti na podeželju (člen 56</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182537"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2537" w:rsidRPr="00182537" w:rsidTr="008B6A32">
              <w:trPr>
                <w:tblCellSpacing w:w="0" w:type="dxa"/>
              </w:trPr>
              <w:tc>
                <w:tcPr>
                  <w:tcW w:w="0" w:type="auto"/>
                  <w:hideMark/>
                </w:tcPr>
                <w:p w:rsidR="00182537" w:rsidRPr="00182537" w:rsidRDefault="00182537" w:rsidP="00182537">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182537" w:rsidRPr="00182537" w:rsidRDefault="00182537" w:rsidP="00182537">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novo sodelovanje kmetov v shemah kakovosti za bombaž in živila (člen 57)</w:t>
                  </w:r>
                  <w:r w:rsidRPr="00182537">
                    <w:rPr>
                      <w:rFonts w:ascii="Times New Roman" w:eastAsia="Times New Roman" w:hAnsi="Times New Roman" w:cs="Times New Roman"/>
                      <w:color w:val="000000"/>
                      <w:sz w:val="24"/>
                      <w:szCs w:val="24"/>
                      <w:lang w:eastAsia="sl-SI"/>
                    </w:rPr>
                    <w:t xml:space="preserve"> </w:t>
                  </w:r>
                </w:p>
              </w:tc>
            </w:tr>
          </w:tbl>
          <w:p w:rsidR="00182537" w:rsidRPr="00182537" w:rsidRDefault="00182537"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182537"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2537" w:rsidRPr="00182537" w:rsidTr="008B6A32">
              <w:trPr>
                <w:tblCellSpacing w:w="0" w:type="dxa"/>
              </w:trPr>
              <w:tc>
                <w:tcPr>
                  <w:tcW w:w="0" w:type="auto"/>
                  <w:hideMark/>
                </w:tcPr>
                <w:p w:rsidR="00182537" w:rsidRPr="00182537" w:rsidRDefault="00182537" w:rsidP="00182537">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182537" w:rsidRPr="00182537" w:rsidRDefault="00182537" w:rsidP="00182537">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dejavnosti informiranja in promocijske dejavnosti v zvezi z bombažem in živili, ki jih zajemajo sheme kakovosti (člen 58)</w:t>
                  </w:r>
                  <w:r w:rsidRPr="00182537">
                    <w:rPr>
                      <w:rFonts w:ascii="Times New Roman" w:eastAsia="Times New Roman" w:hAnsi="Times New Roman" w:cs="Times New Roman"/>
                      <w:color w:val="000000"/>
                      <w:sz w:val="24"/>
                      <w:szCs w:val="24"/>
                      <w:lang w:eastAsia="sl-SI"/>
                    </w:rPr>
                    <w:t xml:space="preserve"> </w:t>
                  </w:r>
                </w:p>
              </w:tc>
            </w:tr>
          </w:tbl>
          <w:p w:rsidR="00182537" w:rsidRPr="00182537" w:rsidRDefault="00182537"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182537"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2537" w:rsidRPr="00182537" w:rsidTr="008B6A32">
              <w:trPr>
                <w:tblCellSpacing w:w="0" w:type="dxa"/>
              </w:trPr>
              <w:tc>
                <w:tcPr>
                  <w:tcW w:w="0" w:type="auto"/>
                  <w:hideMark/>
                </w:tcPr>
                <w:p w:rsidR="00182537" w:rsidRPr="00182537" w:rsidRDefault="00182537" w:rsidP="00182537">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182537" w:rsidRPr="00182537" w:rsidRDefault="00182537" w:rsidP="00182537">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sodelovanje na podeželju (člen 59)</w:t>
                  </w:r>
                  <w:r w:rsidRPr="00182537">
                    <w:rPr>
                      <w:rFonts w:ascii="Times New Roman" w:eastAsia="Times New Roman" w:hAnsi="Times New Roman" w:cs="Times New Roman"/>
                      <w:color w:val="000000"/>
                      <w:sz w:val="24"/>
                      <w:szCs w:val="24"/>
                      <w:lang w:eastAsia="sl-SI"/>
                    </w:rPr>
                    <w:t xml:space="preserve"> </w:t>
                  </w:r>
                </w:p>
              </w:tc>
            </w:tr>
          </w:tbl>
          <w:p w:rsidR="00182537" w:rsidRPr="00182537" w:rsidRDefault="00182537"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182537" w:rsidRPr="000F3411"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2537" w:rsidRPr="00182537" w:rsidTr="008B6A32">
              <w:trPr>
                <w:tblCellSpacing w:w="0" w:type="dxa"/>
              </w:trPr>
              <w:tc>
                <w:tcPr>
                  <w:tcW w:w="0" w:type="auto"/>
                  <w:hideMark/>
                </w:tcPr>
                <w:p w:rsidR="00182537" w:rsidRPr="00182537" w:rsidRDefault="00182537" w:rsidP="00182537">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182537" w:rsidRPr="00182537" w:rsidRDefault="00182537" w:rsidP="00182537">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projekte lokalnega razvoja, ki ga vodi skupnost (člen 60)</w:t>
                  </w:r>
                  <w:r w:rsidRPr="00182537">
                    <w:rPr>
                      <w:rFonts w:ascii="Times New Roman" w:eastAsia="Times New Roman" w:hAnsi="Times New Roman" w:cs="Times New Roman"/>
                      <w:color w:val="000000"/>
                      <w:sz w:val="24"/>
                      <w:szCs w:val="24"/>
                      <w:lang w:eastAsia="sl-SI"/>
                    </w:rPr>
                    <w:t xml:space="preserve"> </w:t>
                  </w:r>
                </w:p>
              </w:tc>
            </w:tr>
          </w:tbl>
          <w:p w:rsidR="00182537" w:rsidRPr="00182537" w:rsidRDefault="00182537"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trPr>
                <w:tblCellSpacing w:w="0" w:type="dxa"/>
              </w:trPr>
              <w:tc>
                <w:tcPr>
                  <w:tcW w:w="0" w:type="auto"/>
                  <w:hideMark/>
                </w:tcPr>
                <w:p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8B6A32">
                    <w:rPr>
                      <w:rFonts w:ascii="Century Gothic" w:hAnsi="Century Gothic"/>
                      <w:sz w:val="20"/>
                    </w:rPr>
                  </w:r>
                  <w:r w:rsidR="008B6A32">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Omejeni zneski pomoči za projekte lokalnega razvoja, ki ga vodi skupnost (člen 61</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bl>
    <w:p w:rsidR="003B41E4" w:rsidRPr="00261033" w:rsidRDefault="003B41E4">
      <w:pPr>
        <w:rPr>
          <w:rFonts w:ascii="Times New Roman" w:hAnsi="Times New Roman" w:cs="Times New Roman"/>
        </w:rPr>
      </w:pPr>
    </w:p>
    <w:sectPr w:rsidR="003B41E4" w:rsidRPr="0026103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32" w:rsidRDefault="008B6A32" w:rsidP="000E4677">
      <w:pPr>
        <w:spacing w:after="0" w:line="240" w:lineRule="auto"/>
      </w:pPr>
      <w:r>
        <w:separator/>
      </w:r>
    </w:p>
  </w:endnote>
  <w:endnote w:type="continuationSeparator" w:id="0">
    <w:p w:rsidR="008B6A32" w:rsidRDefault="008B6A32" w:rsidP="000E4677">
      <w:pPr>
        <w:spacing w:after="0" w:line="240" w:lineRule="auto"/>
      </w:pPr>
      <w:r>
        <w:continuationSeparator/>
      </w:r>
    </w:p>
  </w:endnote>
  <w:endnote w:id="1">
    <w:p w:rsidR="008B6A32" w:rsidRPr="00DE1207" w:rsidRDefault="008B6A32" w:rsidP="000E4DD0">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0E4DD0">
        <w:rPr>
          <w:rFonts w:ascii="Times New Roman" w:hAnsi="Times New Roman" w:cs="Times New Roman"/>
        </w:rPr>
        <w:t>Uredba Komisije (EU) 2022/2472 z dne 14. decembra 2022 o razglasitvi nekaterih vrst pomoči v kmetijskem in gozdarskem sektorju ter na podeželju za združljive z notranjim trgom z uporabo členov 107 in 108 Pogodbe o delovanju Evropske unije (UL L št. 327 z dne 21. 12. 2022, str. 1)</w:t>
      </w:r>
      <w:r w:rsidRPr="00DE1207">
        <w:rPr>
          <w:rFonts w:ascii="Times New Roman" w:hAnsi="Times New Roman" w:cs="Times New Roman"/>
        </w:rPr>
        <w:t>.</w:t>
      </w:r>
    </w:p>
  </w:endnote>
  <w:endnote w:id="2">
    <w:p w:rsidR="008B6A32" w:rsidRPr="00DE1207" w:rsidRDefault="008B6A32">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NUTS – </w:t>
      </w:r>
      <w:r>
        <w:rPr>
          <w:rFonts w:ascii="Times New Roman" w:hAnsi="Times New Roman" w:cs="Times New Roman"/>
        </w:rPr>
        <w:t>skupna klasifikacija</w:t>
      </w:r>
      <w:r w:rsidRPr="00DE1207">
        <w:rPr>
          <w:rFonts w:ascii="Times New Roman" w:hAnsi="Times New Roman" w:cs="Times New Roman"/>
        </w:rPr>
        <w:t xml:space="preserve"> statističnih teritorialnih enot. Regija je običajno določena na ravni 2.</w:t>
      </w:r>
    </w:p>
  </w:endnote>
  <w:endnote w:id="3">
    <w:p w:rsidR="008B6A32" w:rsidRPr="00DE1207" w:rsidRDefault="008B6A32">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00E4273B" w:rsidRPr="00E4273B">
        <w:rPr>
          <w:rFonts w:ascii="Times New Roman" w:hAnsi="Times New Roman" w:cs="Times New Roman"/>
        </w:rPr>
        <w:t>Navedite, ali je pomoč dodeljena podjetju, dejavnemu na enem od vnaprej opredeljenih območij. V nasp</w:t>
      </w:r>
      <w:r w:rsidR="00E4273B">
        <w:rPr>
          <w:rFonts w:ascii="Times New Roman" w:hAnsi="Times New Roman" w:cs="Times New Roman"/>
        </w:rPr>
        <w:t>rotnem primeru izberite polje „drugo“</w:t>
      </w:r>
      <w:r w:rsidRPr="00DE1207">
        <w:rPr>
          <w:rFonts w:ascii="Times New Roman" w:hAnsi="Times New Roman" w:cs="Times New Roman"/>
        </w:rPr>
        <w:t>.</w:t>
      </w:r>
    </w:p>
  </w:endnote>
  <w:endnote w:id="4">
    <w:p w:rsidR="008B6A32" w:rsidRPr="00DE1207" w:rsidRDefault="008B6A32">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00E4273B" w:rsidRPr="00E4273B">
        <w:rPr>
          <w:rFonts w:ascii="Times New Roman" w:hAnsi="Times New Roman" w:cs="Times New Roman"/>
        </w:rPr>
        <w:t>Za namene pravil o konkurenci iz Pogodbe</w:t>
      </w:r>
      <w:r w:rsidR="00E4273B">
        <w:rPr>
          <w:rFonts w:ascii="Times New Roman" w:hAnsi="Times New Roman" w:cs="Times New Roman"/>
        </w:rPr>
        <w:t xml:space="preserve"> o delovanje Evropske unije in v</w:t>
      </w:r>
      <w:r w:rsidR="00E4273B" w:rsidRPr="00E4273B">
        <w:rPr>
          <w:rFonts w:ascii="Times New Roman" w:hAnsi="Times New Roman" w:cs="Times New Roman"/>
        </w:rPr>
        <w:t xml:space="preserve"> </w:t>
      </w:r>
      <w:r w:rsidR="00E4273B">
        <w:rPr>
          <w:rFonts w:ascii="Times New Roman" w:hAnsi="Times New Roman" w:cs="Times New Roman"/>
        </w:rPr>
        <w:t>U</w:t>
      </w:r>
      <w:r w:rsidR="00E4273B" w:rsidRPr="00E4273B">
        <w:rPr>
          <w:rFonts w:ascii="Times New Roman" w:hAnsi="Times New Roman" w:cs="Times New Roman"/>
        </w:rPr>
        <w:t xml:space="preserve">redbi </w:t>
      </w:r>
      <w:r w:rsidR="00E4273B">
        <w:rPr>
          <w:rFonts w:ascii="Times New Roman" w:hAnsi="Times New Roman" w:cs="Times New Roman"/>
        </w:rPr>
        <w:t xml:space="preserve">Komisije (EU) št. 2022/2472 </w:t>
      </w:r>
      <w:r w:rsidR="00E4273B" w:rsidRPr="00E4273B">
        <w:rPr>
          <w:rFonts w:ascii="Times New Roman" w:hAnsi="Times New Roman" w:cs="Times New Roman"/>
        </w:rPr>
        <w:t>je podjetje vsak subjekt, ki opravlja gospodarsko dejavnost, ne glede na njegovo pravno obliko in način financiranja. Sodišče je odločilo, da bi bilo treba subjekte, ki jih (na pravni ali dejanski podlagi) nadzira isti subjekt, obravnavati kot eno samo p</w:t>
      </w:r>
      <w:r w:rsidR="00E4273B">
        <w:rPr>
          <w:rFonts w:ascii="Times New Roman" w:hAnsi="Times New Roman" w:cs="Times New Roman"/>
        </w:rPr>
        <w:t>odjetje</w:t>
      </w:r>
      <w:r w:rsidRPr="00DE1207">
        <w:rPr>
          <w:rFonts w:ascii="Times New Roman" w:hAnsi="Times New Roman" w:cs="Times New Roman"/>
        </w:rPr>
        <w:t>.</w:t>
      </w:r>
    </w:p>
  </w:endnote>
  <w:endnote w:id="5">
    <w:p w:rsidR="008B6A32" w:rsidRPr="00DE1207" w:rsidRDefault="008B6A32">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Obdobje, v katerem se organ, ki dodeli pomoč, lahko zaveže, da bo dodelil pomoč.</w:t>
      </w:r>
    </w:p>
  </w:endnote>
  <w:endnote w:id="6">
    <w:p w:rsidR="001245A1" w:rsidRPr="00DE1207" w:rsidRDefault="001245A1" w:rsidP="001245A1">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NACE Rev. 2 – Statistična klasifikacija gospodarskih dejavnosti v Evropski uniji. Sektor je običajno določen na ravni skupine.</w:t>
      </w:r>
    </w:p>
  </w:endnote>
  <w:endnote w:id="7">
    <w:p w:rsidR="001245A1" w:rsidRPr="00DE1207" w:rsidRDefault="001245A1" w:rsidP="001245A1">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E4273B">
        <w:rPr>
          <w:rFonts w:ascii="Times New Roman" w:hAnsi="Times New Roman" w:cs="Times New Roman"/>
        </w:rPr>
        <w:t>Če gre za shemo pomoči: navedite skupni znesek načrtovanih proračunskih sredstev na podlagi sheme ali znesek ocenjenih davčnih izgub za njeno celotno trajanje za vse instrumente pomoči, ki jih ta shema zajema.</w:t>
      </w:r>
    </w:p>
  </w:endnote>
  <w:endnote w:id="8">
    <w:p w:rsidR="001245A1" w:rsidRPr="00DE1207" w:rsidRDefault="001245A1" w:rsidP="001245A1">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V primeru dodelitve </w:t>
      </w:r>
      <w:r w:rsidRPr="00E4273B">
        <w:rPr>
          <w:rFonts w:ascii="Times New Roman" w:hAnsi="Times New Roman" w:cs="Times New Roman"/>
          <w:i/>
        </w:rPr>
        <w:t>ad hoc</w:t>
      </w:r>
      <w:r w:rsidRPr="00DE1207">
        <w:rPr>
          <w:rFonts w:ascii="Times New Roman" w:hAnsi="Times New Roman" w:cs="Times New Roman"/>
        </w:rPr>
        <w:t xml:space="preserve"> pomoči: navedite skupni znesek pomoči ali davčnih izgub.</w:t>
      </w:r>
    </w:p>
  </w:endnote>
  <w:endnote w:id="9">
    <w:p w:rsidR="001245A1" w:rsidRPr="00DE1207" w:rsidRDefault="001245A1" w:rsidP="001245A1">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Za jamstva navedite (največji) znesek posojil z jamstvi.</w:t>
      </w:r>
    </w:p>
  </w:endnote>
  <w:endnote w:id="10">
    <w:p w:rsidR="008B6A32" w:rsidRPr="00DE1207" w:rsidRDefault="008B6A32">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Sklic na sklep Komisije o odobritvi metodologije za izračun bruto ekvivalenta nepovratni</w:t>
      </w:r>
      <w:r w:rsidR="00E4273B">
        <w:rPr>
          <w:rFonts w:ascii="Times New Roman" w:hAnsi="Times New Roman" w:cs="Times New Roman"/>
        </w:rPr>
        <w:t>h sredstev v skladu s členom 5(3)(c)(ii)</w:t>
      </w:r>
      <w:r w:rsidRPr="00DE1207">
        <w:rPr>
          <w:rFonts w:ascii="Times New Roman" w:hAnsi="Times New Roman" w:cs="Times New Roman"/>
        </w:rPr>
        <w:t xml:space="preserve"> </w:t>
      </w:r>
      <w:r w:rsidR="00E4273B">
        <w:rPr>
          <w:rFonts w:ascii="Times New Roman" w:hAnsi="Times New Roman" w:cs="Times New Roman"/>
        </w:rPr>
        <w:t>U</w:t>
      </w:r>
      <w:r w:rsidRPr="00DE1207">
        <w:rPr>
          <w:rFonts w:ascii="Times New Roman" w:hAnsi="Times New Roman" w:cs="Times New Roman"/>
        </w:rPr>
        <w:t>redbe</w:t>
      </w:r>
      <w:r w:rsidR="00E4273B">
        <w:rPr>
          <w:rFonts w:ascii="Times New Roman" w:hAnsi="Times New Roman" w:cs="Times New Roman"/>
        </w:rPr>
        <w:t xml:space="preserve"> Komisije (EU) št. 2022/2472</w:t>
      </w:r>
      <w:r w:rsidRPr="00DE1207">
        <w:rPr>
          <w:rFonts w:ascii="Times New Roman" w:hAnsi="Times New Roman" w:cs="Times New Roman"/>
        </w:rPr>
        <w:t>, kadar je primerno.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32" w:rsidRDefault="008B6A32" w:rsidP="000E4677">
      <w:pPr>
        <w:spacing w:after="0" w:line="240" w:lineRule="auto"/>
      </w:pPr>
      <w:r>
        <w:separator/>
      </w:r>
    </w:p>
  </w:footnote>
  <w:footnote w:type="continuationSeparator" w:id="0">
    <w:p w:rsidR="008B6A32" w:rsidRDefault="008B6A32" w:rsidP="000E4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104"/>
    <w:multiLevelType w:val="hybridMultilevel"/>
    <w:tmpl w:val="82AED340"/>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3821B5"/>
    <w:multiLevelType w:val="hybridMultilevel"/>
    <w:tmpl w:val="EEC0C500"/>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F41D98"/>
    <w:multiLevelType w:val="hybridMultilevel"/>
    <w:tmpl w:val="B4887732"/>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1B3087"/>
    <w:multiLevelType w:val="hybridMultilevel"/>
    <w:tmpl w:val="F46C6A74"/>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3B0442"/>
    <w:multiLevelType w:val="hybridMultilevel"/>
    <w:tmpl w:val="F810486A"/>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DE0373"/>
    <w:multiLevelType w:val="hybridMultilevel"/>
    <w:tmpl w:val="BABC52BE"/>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062230"/>
    <w:multiLevelType w:val="hybridMultilevel"/>
    <w:tmpl w:val="3574EB74"/>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681E65"/>
    <w:multiLevelType w:val="hybridMultilevel"/>
    <w:tmpl w:val="64208908"/>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6D54C9"/>
    <w:multiLevelType w:val="hybridMultilevel"/>
    <w:tmpl w:val="01600D96"/>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BB231C"/>
    <w:multiLevelType w:val="hybridMultilevel"/>
    <w:tmpl w:val="C06C6294"/>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DD01E2"/>
    <w:multiLevelType w:val="hybridMultilevel"/>
    <w:tmpl w:val="03344632"/>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8C4CC9"/>
    <w:multiLevelType w:val="hybridMultilevel"/>
    <w:tmpl w:val="1B863276"/>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B67B50"/>
    <w:multiLevelType w:val="hybridMultilevel"/>
    <w:tmpl w:val="1292D610"/>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161CD0"/>
    <w:multiLevelType w:val="hybridMultilevel"/>
    <w:tmpl w:val="249E44EE"/>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A2A9E"/>
    <w:multiLevelType w:val="hybridMultilevel"/>
    <w:tmpl w:val="3A482A34"/>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E45F14"/>
    <w:multiLevelType w:val="hybridMultilevel"/>
    <w:tmpl w:val="10423706"/>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9932AF"/>
    <w:multiLevelType w:val="hybridMultilevel"/>
    <w:tmpl w:val="0E02E21A"/>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BF5B1C"/>
    <w:multiLevelType w:val="hybridMultilevel"/>
    <w:tmpl w:val="F0E62886"/>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2F7F12"/>
    <w:multiLevelType w:val="hybridMultilevel"/>
    <w:tmpl w:val="CC1A8998"/>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FEA45E9"/>
    <w:multiLevelType w:val="hybridMultilevel"/>
    <w:tmpl w:val="6F32388E"/>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095F34"/>
    <w:multiLevelType w:val="hybridMultilevel"/>
    <w:tmpl w:val="4C98B130"/>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2"/>
  </w:num>
  <w:num w:numId="4">
    <w:abstractNumId w:val="2"/>
  </w:num>
  <w:num w:numId="5">
    <w:abstractNumId w:val="1"/>
  </w:num>
  <w:num w:numId="6">
    <w:abstractNumId w:val="15"/>
  </w:num>
  <w:num w:numId="7">
    <w:abstractNumId w:val="9"/>
  </w:num>
  <w:num w:numId="8">
    <w:abstractNumId w:val="13"/>
  </w:num>
  <w:num w:numId="9">
    <w:abstractNumId w:val="16"/>
  </w:num>
  <w:num w:numId="10">
    <w:abstractNumId w:val="0"/>
  </w:num>
  <w:num w:numId="11">
    <w:abstractNumId w:val="8"/>
  </w:num>
  <w:num w:numId="12">
    <w:abstractNumId w:val="14"/>
  </w:num>
  <w:num w:numId="13">
    <w:abstractNumId w:val="18"/>
  </w:num>
  <w:num w:numId="14">
    <w:abstractNumId w:val="4"/>
  </w:num>
  <w:num w:numId="15">
    <w:abstractNumId w:val="6"/>
  </w:num>
  <w:num w:numId="16">
    <w:abstractNumId w:val="3"/>
  </w:num>
  <w:num w:numId="17">
    <w:abstractNumId w:val="7"/>
  </w:num>
  <w:num w:numId="18">
    <w:abstractNumId w:val="10"/>
  </w:num>
  <w:num w:numId="19">
    <w:abstractNumId w:val="1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11"/>
    <w:rsid w:val="00045241"/>
    <w:rsid w:val="000910C7"/>
    <w:rsid w:val="000E4677"/>
    <w:rsid w:val="000E4DD0"/>
    <w:rsid w:val="000F3411"/>
    <w:rsid w:val="001245A1"/>
    <w:rsid w:val="00124AA0"/>
    <w:rsid w:val="00182537"/>
    <w:rsid w:val="001846DB"/>
    <w:rsid w:val="0025423B"/>
    <w:rsid w:val="00261033"/>
    <w:rsid w:val="002F78AC"/>
    <w:rsid w:val="003B41E4"/>
    <w:rsid w:val="004E5A54"/>
    <w:rsid w:val="00613443"/>
    <w:rsid w:val="006A2FB4"/>
    <w:rsid w:val="0071265A"/>
    <w:rsid w:val="00757C94"/>
    <w:rsid w:val="00762C72"/>
    <w:rsid w:val="007C3E9A"/>
    <w:rsid w:val="008B6A32"/>
    <w:rsid w:val="00A24984"/>
    <w:rsid w:val="00A80EBD"/>
    <w:rsid w:val="00A907FC"/>
    <w:rsid w:val="00AA7FF6"/>
    <w:rsid w:val="00C242FE"/>
    <w:rsid w:val="00CC3C86"/>
    <w:rsid w:val="00D81614"/>
    <w:rsid w:val="00DE1207"/>
    <w:rsid w:val="00DF66E2"/>
    <w:rsid w:val="00E4273B"/>
    <w:rsid w:val="00E4450F"/>
    <w:rsid w:val="00F01260"/>
    <w:rsid w:val="00F50E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3D04"/>
  <w15:docId w15:val="{340087FF-F84B-4C74-87F6-73B38C76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oc-ti">
    <w:name w:val="doc-ti"/>
    <w:basedOn w:val="Navaden"/>
    <w:rsid w:val="000F3411"/>
    <w:pPr>
      <w:spacing w:before="240" w:after="120" w:line="240" w:lineRule="auto"/>
      <w:jc w:val="center"/>
    </w:pPr>
    <w:rPr>
      <w:rFonts w:ascii="Times New Roman" w:eastAsia="Times New Roman" w:hAnsi="Times New Roman" w:cs="Times New Roman"/>
      <w:b/>
      <w:bCs/>
      <w:sz w:val="24"/>
      <w:szCs w:val="24"/>
      <w:lang w:eastAsia="sl-SI"/>
    </w:rPr>
  </w:style>
  <w:style w:type="paragraph" w:customStyle="1" w:styleId="Navaden1">
    <w:name w:val="Navaden1"/>
    <w:basedOn w:val="Navaden"/>
    <w:rsid w:val="000F3411"/>
    <w:pPr>
      <w:spacing w:before="120" w:after="0" w:line="240" w:lineRule="auto"/>
      <w:jc w:val="both"/>
    </w:pPr>
    <w:rPr>
      <w:rFonts w:ascii="Times New Roman" w:eastAsia="Times New Roman" w:hAnsi="Times New Roman" w:cs="Times New Roman"/>
      <w:sz w:val="24"/>
      <w:szCs w:val="24"/>
      <w:lang w:eastAsia="sl-SI"/>
    </w:rPr>
  </w:style>
  <w:style w:type="paragraph" w:customStyle="1" w:styleId="note">
    <w:name w:val="note"/>
    <w:basedOn w:val="Navaden"/>
    <w:rsid w:val="000F3411"/>
    <w:pPr>
      <w:spacing w:before="60" w:after="60" w:line="240" w:lineRule="auto"/>
      <w:jc w:val="both"/>
    </w:pPr>
    <w:rPr>
      <w:rFonts w:ascii="Times New Roman" w:eastAsia="Times New Roman" w:hAnsi="Times New Roman" w:cs="Times New Roman"/>
      <w:sz w:val="19"/>
      <w:szCs w:val="19"/>
      <w:lang w:eastAsia="sl-SI"/>
    </w:rPr>
  </w:style>
  <w:style w:type="paragraph" w:customStyle="1" w:styleId="tbl-hdr">
    <w:name w:val="tbl-hdr"/>
    <w:basedOn w:val="Navaden"/>
    <w:rsid w:val="000F3411"/>
    <w:pPr>
      <w:spacing w:before="60" w:after="60" w:line="240" w:lineRule="auto"/>
      <w:ind w:right="195"/>
      <w:jc w:val="center"/>
    </w:pPr>
    <w:rPr>
      <w:rFonts w:ascii="Times New Roman" w:eastAsia="Times New Roman" w:hAnsi="Times New Roman" w:cs="Times New Roman"/>
      <w:b/>
      <w:bCs/>
      <w:lang w:eastAsia="sl-SI"/>
    </w:rPr>
  </w:style>
  <w:style w:type="paragraph" w:customStyle="1" w:styleId="tbl-txt">
    <w:name w:val="tbl-txt"/>
    <w:basedOn w:val="Navaden"/>
    <w:rsid w:val="000F3411"/>
    <w:pPr>
      <w:spacing w:before="60" w:after="60" w:line="240" w:lineRule="auto"/>
    </w:pPr>
    <w:rPr>
      <w:rFonts w:ascii="Times New Roman" w:eastAsia="Times New Roman" w:hAnsi="Times New Roman" w:cs="Times New Roman"/>
      <w:lang w:eastAsia="sl-SI"/>
    </w:rPr>
  </w:style>
  <w:style w:type="paragraph" w:customStyle="1" w:styleId="ti-grseq-1">
    <w:name w:val="ti-grseq-1"/>
    <w:basedOn w:val="Navaden"/>
    <w:rsid w:val="000F3411"/>
    <w:pPr>
      <w:spacing w:before="240" w:after="120" w:line="240" w:lineRule="auto"/>
      <w:jc w:val="both"/>
    </w:pPr>
    <w:rPr>
      <w:rFonts w:ascii="Times New Roman" w:eastAsia="Times New Roman" w:hAnsi="Times New Roman" w:cs="Times New Roman"/>
      <w:b/>
      <w:bCs/>
      <w:sz w:val="24"/>
      <w:szCs w:val="24"/>
      <w:lang w:eastAsia="sl-SI"/>
    </w:rPr>
  </w:style>
  <w:style w:type="character" w:customStyle="1" w:styleId="bold">
    <w:name w:val="bold"/>
    <w:basedOn w:val="Privzetapisavaodstavka"/>
    <w:rsid w:val="000F3411"/>
    <w:rPr>
      <w:b/>
      <w:bCs/>
    </w:rPr>
  </w:style>
  <w:style w:type="character" w:customStyle="1" w:styleId="italic">
    <w:name w:val="italic"/>
    <w:basedOn w:val="Privzetapisavaodstavka"/>
    <w:rsid w:val="000F3411"/>
    <w:rPr>
      <w:i/>
      <w:iCs/>
    </w:rPr>
  </w:style>
  <w:style w:type="character" w:customStyle="1" w:styleId="sp-normal">
    <w:name w:val="sp-normal"/>
    <w:basedOn w:val="Privzetapisavaodstavka"/>
    <w:rsid w:val="000F3411"/>
    <w:rPr>
      <w:b/>
      <w:bCs/>
      <w:i/>
      <w:iCs/>
    </w:rPr>
  </w:style>
  <w:style w:type="character" w:customStyle="1" w:styleId="super">
    <w:name w:val="super"/>
    <w:basedOn w:val="Privzetapisavaodstavka"/>
    <w:rsid w:val="000F3411"/>
    <w:rPr>
      <w:sz w:val="17"/>
      <w:szCs w:val="17"/>
      <w:vertAlign w:val="superscript"/>
    </w:rPr>
  </w:style>
  <w:style w:type="character" w:styleId="Hiperpovezava">
    <w:name w:val="Hyperlink"/>
    <w:basedOn w:val="Privzetapisavaodstavka"/>
    <w:uiPriority w:val="99"/>
    <w:semiHidden/>
    <w:unhideWhenUsed/>
    <w:rsid w:val="000F3411"/>
    <w:rPr>
      <w:color w:val="0000FF"/>
      <w:u w:val="single"/>
    </w:rPr>
  </w:style>
  <w:style w:type="paragraph" w:styleId="Odstavekseznama">
    <w:name w:val="List Paragraph"/>
    <w:basedOn w:val="Navaden"/>
    <w:uiPriority w:val="34"/>
    <w:qFormat/>
    <w:rsid w:val="00D81614"/>
    <w:pPr>
      <w:ind w:left="720"/>
      <w:contextualSpacing/>
    </w:pPr>
  </w:style>
  <w:style w:type="paragraph" w:styleId="Konnaopomba-besedilo">
    <w:name w:val="endnote text"/>
    <w:basedOn w:val="Navaden"/>
    <w:link w:val="Konnaopomba-besediloZnak"/>
    <w:uiPriority w:val="99"/>
    <w:semiHidden/>
    <w:unhideWhenUsed/>
    <w:rsid w:val="000E467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0E4677"/>
    <w:rPr>
      <w:sz w:val="20"/>
      <w:szCs w:val="20"/>
    </w:rPr>
  </w:style>
  <w:style w:type="character" w:styleId="Konnaopomba-sklic">
    <w:name w:val="endnote reference"/>
    <w:basedOn w:val="Privzetapisavaodstavka"/>
    <w:uiPriority w:val="99"/>
    <w:semiHidden/>
    <w:unhideWhenUsed/>
    <w:rsid w:val="000E4677"/>
    <w:rPr>
      <w:vertAlign w:val="superscript"/>
    </w:rPr>
  </w:style>
  <w:style w:type="paragraph" w:styleId="Sprotnaopomba-besedilo">
    <w:name w:val="footnote text"/>
    <w:basedOn w:val="Navaden"/>
    <w:link w:val="Sprotnaopomba-besediloZnak"/>
    <w:uiPriority w:val="99"/>
    <w:semiHidden/>
    <w:unhideWhenUsed/>
    <w:rsid w:val="000E467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E4677"/>
    <w:rPr>
      <w:sz w:val="20"/>
      <w:szCs w:val="20"/>
    </w:rPr>
  </w:style>
  <w:style w:type="character" w:styleId="Sprotnaopomba-sklic">
    <w:name w:val="footnote reference"/>
    <w:basedOn w:val="Privzetapisavaodstavka"/>
    <w:uiPriority w:val="99"/>
    <w:semiHidden/>
    <w:unhideWhenUsed/>
    <w:rsid w:val="000E4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95269">
      <w:bodyDiv w:val="1"/>
      <w:marLeft w:val="390"/>
      <w:marRight w:val="390"/>
      <w:marTop w:val="0"/>
      <w:marBottom w:val="0"/>
      <w:divBdr>
        <w:top w:val="none" w:sz="0" w:space="0" w:color="auto"/>
        <w:left w:val="none" w:sz="0" w:space="0" w:color="auto"/>
        <w:bottom w:val="none" w:sz="0" w:space="0" w:color="auto"/>
        <w:right w:val="none" w:sz="0" w:space="0" w:color="auto"/>
      </w:divBdr>
      <w:divsChild>
        <w:div w:id="76056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8190-BA06-4E49-8445-7FDFEFB0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1302</Words>
  <Characters>7424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Erjavec</dc:creator>
  <cp:lastModifiedBy>Mario Plešej</cp:lastModifiedBy>
  <cp:revision>3</cp:revision>
  <dcterms:created xsi:type="dcterms:W3CDTF">2023-01-24T16:10:00Z</dcterms:created>
  <dcterms:modified xsi:type="dcterms:W3CDTF">2023-01-25T14:53:00Z</dcterms:modified>
</cp:coreProperties>
</file>