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738C1" w:rsidRPr="002E7749" w:rsidTr="006456EA">
        <w:trPr>
          <w:trHeight w:val="992"/>
        </w:trPr>
        <w:tc>
          <w:tcPr>
            <w:tcW w:w="9214" w:type="dxa"/>
            <w:shd w:val="pct15" w:color="auto" w:fill="FFFFFF"/>
          </w:tcPr>
          <w:p w:rsidR="004738C1" w:rsidRPr="002E7749" w:rsidRDefault="006456EA" w:rsidP="003178ED">
            <w:pPr>
              <w:shd w:val="pct20" w:color="auto" w:fill="FFFFFF"/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sz w:val="32"/>
                <w:szCs w:val="32"/>
                <w:lang w:val="sl-SI" w:eastAsia="en-GB"/>
              </w:rPr>
            </w:pPr>
            <w:r w:rsidRPr="002E7749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 xml:space="preserve">Obrazec za dodatne informacije o pomoči </w:t>
            </w:r>
            <w:r w:rsidR="0015419D" w:rsidRPr="002E7749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>za naložbe v gozdarske tehnologije ter v predelavo, mobilizacijo in trženje gozdarskih proizvodov</w:t>
            </w:r>
          </w:p>
        </w:tc>
      </w:tr>
    </w:tbl>
    <w:p w:rsidR="004738C1" w:rsidRPr="002E7749" w:rsidRDefault="004738C1" w:rsidP="004738C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456EA" w:rsidRPr="002E7749" w:rsidRDefault="006456EA" w:rsidP="004738C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Ta obrazec se nanaša na državno pomoč </w:t>
      </w:r>
      <w:r w:rsidR="00886E35" w:rsidRPr="00886E35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za naložbe v gozdarske tehnologije ter v predelavo, mobilizacijo in trženje gozdarskih proizvodov</w:t>
      </w:r>
      <w:r w:rsidR="001548BF" w:rsidRPr="002E7749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, kot je opisano v 50</w:t>
      </w:r>
      <w:r w:rsidRPr="002E7749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. členu Uredbe (EU) št. 2022/2472.</w:t>
      </w:r>
      <w:r w:rsidRPr="002E7749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6456EA" w:rsidRPr="002E7749" w:rsidRDefault="006456EA" w:rsidP="004738C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456EA" w:rsidRPr="002E7749" w:rsidRDefault="001548BF" w:rsidP="001548BF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bo </w:t>
      </w:r>
      <w:r w:rsidRPr="002E7749">
        <w:rPr>
          <w:rFonts w:ascii="Times New Roman" w:hAnsi="Times New Roman"/>
          <w:sz w:val="24"/>
          <w:szCs w:val="24"/>
          <w:lang w:val="sl-SI"/>
        </w:rPr>
        <w:t>pomoč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dodeljena velikim podjetjem?</w:t>
      </w:r>
      <w:r w:rsidRPr="002E7749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2"/>
      </w:r>
    </w:p>
    <w:p w:rsidR="006456EA" w:rsidRPr="002E7749" w:rsidRDefault="006456EA" w:rsidP="006456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6456EA" w:rsidRPr="002E7749" w:rsidRDefault="006456EA" w:rsidP="006456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6456EA" w:rsidRPr="002E7749" w:rsidRDefault="006456EA" w:rsidP="006456EA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 w:rsidR="001548BF" w:rsidRPr="002E7749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ali bo pomoč velikim podjetjem pogojena s predstavitvijo ustreznih informacij iz načrta za gospodarjenje z gozdovi ali enakovrednega instrumenta v skladu s Splošnimi smernicami za trajnostno gospodarjenje z gozdovi v Evropi?</w:t>
      </w:r>
      <w:r w:rsidR="001548BF" w:rsidRPr="002E7749">
        <w:rPr>
          <w:rStyle w:val="Sprotnaopomba-sklic"/>
          <w:rFonts w:ascii="Times New Roman" w:eastAsia="Times New Roman" w:hAnsi="Times New Roman"/>
          <w:iCs/>
          <w:sz w:val="24"/>
          <w:szCs w:val="24"/>
          <w:lang w:val="sl-SI" w:eastAsia="en-GB"/>
        </w:rPr>
        <w:footnoteReference w:id="3"/>
      </w:r>
    </w:p>
    <w:p w:rsidR="001548BF" w:rsidRPr="002E7749" w:rsidRDefault="001548BF" w:rsidP="006456EA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</w:p>
    <w:p w:rsidR="001548BF" w:rsidRPr="002E7749" w:rsidRDefault="001548BF" w:rsidP="001548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1548BF" w:rsidRPr="002E7749" w:rsidRDefault="001548BF" w:rsidP="006456EA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</w:p>
    <w:p w:rsidR="001548BF" w:rsidRPr="002E7749" w:rsidRDefault="001548BF" w:rsidP="001548B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navedite sklic na določbo pravne podlage načrta pomoči v zvezi s tem pogojem:</w:t>
      </w:r>
    </w:p>
    <w:p w:rsidR="006456EA" w:rsidRPr="002E7749" w:rsidRDefault="006456EA" w:rsidP="006456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6456EA" w:rsidRPr="002E7749" w:rsidRDefault="006456EA" w:rsidP="006456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456EA" w:rsidRPr="002E7749" w:rsidRDefault="006456EA" w:rsidP="006456E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886E3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41608F" w:rsidRPr="002E7749" w:rsidRDefault="0041608F" w:rsidP="0047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val="sl-SI" w:eastAsia="en-GB"/>
        </w:rPr>
      </w:pPr>
    </w:p>
    <w:p w:rsidR="006E1291" w:rsidRPr="002E7749" w:rsidRDefault="006E1291" w:rsidP="006E1291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szCs w:val="24"/>
          <w:lang w:val="sl-SI"/>
        </w:rPr>
        <w:t xml:space="preserve">Ali bo pomoč za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naložbe</w:t>
      </w:r>
      <w:r w:rsidRPr="002E7749">
        <w:rPr>
          <w:rFonts w:ascii="Times New Roman" w:hAnsi="Times New Roman"/>
          <w:sz w:val="24"/>
          <w:szCs w:val="24"/>
          <w:lang w:val="sl-SI"/>
        </w:rPr>
        <w:t>, v zvezi s katerimi mora biti opravljena presoja vplivov na okolje na podlagi Direktive 2011/92/EU,</w:t>
      </w:r>
      <w:r w:rsidRPr="002E7749">
        <w:rPr>
          <w:rStyle w:val="Sprotnaopomba-sklic"/>
          <w:rFonts w:ascii="Times New Roman" w:hAnsi="Times New Roman"/>
          <w:sz w:val="24"/>
          <w:szCs w:val="24"/>
          <w:lang w:val="sl-SI"/>
        </w:rPr>
        <w:footnoteReference w:id="4"/>
      </w:r>
      <w:r w:rsidRPr="002E7749">
        <w:rPr>
          <w:rFonts w:ascii="Times New Roman" w:hAnsi="Times New Roman"/>
          <w:sz w:val="24"/>
          <w:szCs w:val="24"/>
          <w:lang w:val="sl-SI"/>
        </w:rPr>
        <w:t xml:space="preserve"> pogojena s tem, da bo še pred datumom dodelitve individualne pomoči opravljena navedena presoja in pridobljeno soglasje za zadevni naložbeni projekt?</w:t>
      </w:r>
    </w:p>
    <w:p w:rsidR="006E1291" w:rsidRPr="002E7749" w:rsidRDefault="006E1291" w:rsidP="006E1291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6E1291" w:rsidRPr="002E7749" w:rsidRDefault="006E1291" w:rsidP="006E129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E1291" w:rsidRPr="002E7749" w:rsidRDefault="006E1291" w:rsidP="006E129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6E1291" w:rsidRPr="002E7749" w:rsidRDefault="006E1291" w:rsidP="006E1291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2E7749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6E1291" w:rsidRPr="002E7749" w:rsidRDefault="006E1291" w:rsidP="006E1291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6E1291" w:rsidRPr="002E7749" w:rsidRDefault="006E1291" w:rsidP="006E129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886E3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31632A" w:rsidRPr="002E7749" w:rsidRDefault="0031632A" w:rsidP="003F7D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1632A" w:rsidRPr="002E7749" w:rsidRDefault="003658F6" w:rsidP="003658F6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szCs w:val="24"/>
          <w:lang w:val="sl-SI"/>
        </w:rPr>
        <w:t xml:space="preserve">Katerega od naslednjih </w:t>
      </w:r>
      <w:r w:rsidR="00700186" w:rsidRPr="002E7749">
        <w:rPr>
          <w:rFonts w:ascii="Times New Roman" w:hAnsi="Times New Roman"/>
          <w:sz w:val="24"/>
          <w:szCs w:val="24"/>
          <w:lang w:val="sl-SI"/>
        </w:rPr>
        <w:t>ciljev bo zasledovala pomoč</w:t>
      </w:r>
      <w:r w:rsidRPr="002E7749">
        <w:rPr>
          <w:rFonts w:ascii="Times New Roman" w:hAnsi="Times New Roman"/>
          <w:sz w:val="24"/>
          <w:szCs w:val="24"/>
          <w:lang w:val="sl-SI"/>
        </w:rPr>
        <w:t>?</w:t>
      </w:r>
    </w:p>
    <w:p w:rsidR="00BB6DA1" w:rsidRPr="002E7749" w:rsidRDefault="00BB6DA1" w:rsidP="00BB6DA1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(a) </w:t>
      </w:r>
      <w:r w:rsidR="003658F6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izboljšanje gospodarske vrednosti gozdov</w:t>
      </w:r>
      <w:r w:rsidR="00700186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 naložbami v gozdarske tehnologije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vključno s stroji in praksami za sečnjo, ki so prijazni do tal in virov</w:t>
      </w:r>
      <w:r w:rsidR="00700186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BB6DA1" w:rsidRPr="002E7749" w:rsidRDefault="00700186" w:rsidP="00BB6DA1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</w:p>
    <w:p w:rsidR="00BB6DA1" w:rsidRPr="002E7749" w:rsidRDefault="00BB6DA1" w:rsidP="00BB6DA1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="00700186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povečanje vrednosti gozdarskih proizvodov z naložbami v predelavo, mobilizacijo in trženje gozdarskih proizvodov</w:t>
      </w:r>
    </w:p>
    <w:p w:rsidR="0031632A" w:rsidRPr="002E7749" w:rsidRDefault="0031632A" w:rsidP="003F7D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19246C" w:rsidRPr="002E7749" w:rsidRDefault="0019246C" w:rsidP="0019246C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szCs w:val="24"/>
          <w:lang w:val="sl-SI"/>
        </w:rPr>
        <w:t>Kadar so naložbe povezane z izboljšanjem gospodarske vrednosti gozdov, jih utemeljite glede na pričakovano izboljšanje gozdov na enem ali več gospodarstvih ter navedite, ali so vključene naložbe v stroje in prakse za sečnjo, ki so prijazni do tal in virov:</w:t>
      </w:r>
    </w:p>
    <w:p w:rsidR="0019246C" w:rsidRPr="002E7749" w:rsidRDefault="0019246C" w:rsidP="0019246C">
      <w:pPr>
        <w:spacing w:after="240" w:line="240" w:lineRule="auto"/>
        <w:ind w:left="567"/>
        <w:jc w:val="both"/>
        <w:rPr>
          <w:rFonts w:ascii="Times New Roman" w:hAnsi="Times New Roman"/>
          <w:sz w:val="24"/>
          <w:lang w:val="sl-SI"/>
        </w:rPr>
      </w:pPr>
      <w:r w:rsidRPr="002E7749">
        <w:rPr>
          <w:rFonts w:ascii="Times New Roman" w:hAnsi="Times New Roman"/>
          <w:sz w:val="24"/>
          <w:lang w:val="sl-SI"/>
        </w:rPr>
        <w:t>…………………………………………………………………………………………….……………………………………………………………………………… ……………</w:t>
      </w:r>
    </w:p>
    <w:p w:rsidR="0019246C" w:rsidRPr="002E7749" w:rsidRDefault="0019246C" w:rsidP="0019246C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lang w:val="sl-SI"/>
        </w:rPr>
        <w:t>Kadar so naložbe povezane z uporabo lesa kot surovine ali vira energije, ali so omejene na vse delovne operacije pred industrijsko predelavo?</w:t>
      </w:r>
      <w:r w:rsidRPr="002E7749">
        <w:rPr>
          <w:rStyle w:val="Sprotnaopomba-sklic"/>
          <w:rFonts w:ascii="Times New Roman" w:hAnsi="Times New Roman"/>
          <w:sz w:val="24"/>
          <w:lang w:val="sl-SI"/>
        </w:rPr>
        <w:footnoteReference w:id="5"/>
      </w:r>
    </w:p>
    <w:p w:rsidR="0019246C" w:rsidRPr="002E7749" w:rsidRDefault="0019246C" w:rsidP="0019246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19246C" w:rsidRPr="002E7749" w:rsidRDefault="0019246C" w:rsidP="0019246C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</w:p>
    <w:p w:rsidR="0019246C" w:rsidRPr="002E7749" w:rsidRDefault="0019246C" w:rsidP="0019246C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navedite sklic na določbo pravne podlage načrta pomoči v zvezi s tem pogojem:</w:t>
      </w:r>
    </w:p>
    <w:p w:rsidR="0019246C" w:rsidRPr="002E7749" w:rsidRDefault="0019246C" w:rsidP="0019246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19246C" w:rsidRPr="002E7749" w:rsidRDefault="0019246C" w:rsidP="0019246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9246C" w:rsidRPr="002E7749" w:rsidRDefault="0019246C" w:rsidP="0019246C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886E3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19246C" w:rsidRPr="002E7749" w:rsidRDefault="0019246C" w:rsidP="00886E35">
      <w:pPr>
        <w:spacing w:after="240" w:line="240" w:lineRule="auto"/>
        <w:jc w:val="both"/>
        <w:rPr>
          <w:rFonts w:ascii="Times New Roman" w:hAnsi="Times New Roman"/>
          <w:sz w:val="24"/>
          <w:lang w:val="sl-SI"/>
        </w:rPr>
      </w:pPr>
    </w:p>
    <w:p w:rsidR="00BB6DA1" w:rsidRPr="002E7749" w:rsidRDefault="0019246C" w:rsidP="00BB6DA1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szCs w:val="24"/>
          <w:lang w:val="sl-SI"/>
        </w:rPr>
        <w:t>Navedite upravičene stroške: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gradnj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nakup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vkl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jučno z zakupom, ali izboljšanja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nepremičnin; 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spacing w:after="0" w:line="240" w:lineRule="auto"/>
        <w:ind w:left="1440" w:hanging="23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Če se bo pomoč dodelila za stroške nakupa zemljišča, ali bo kupljeno zemljišče upravičeno do pomoči le v obsegu, ki ne presega 10 % skupnih upravičenih stroškov zadevne dejavnosti?</w:t>
      </w:r>
    </w:p>
    <w:p w:rsidR="00BB6DA1" w:rsidRPr="002E7749" w:rsidRDefault="00BB6DA1" w:rsidP="00BB6DA1">
      <w:pPr>
        <w:spacing w:after="0" w:line="240" w:lineRule="auto"/>
        <w:ind w:left="1440" w:hanging="23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BB6DA1" w:rsidRPr="002E7749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BB6DA1" w:rsidRPr="002E7749" w:rsidRDefault="00BB6DA1" w:rsidP="00BB6DA1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2E7749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ind w:left="1417" w:firstLine="12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886E3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ali je pomoč dodeljena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 nakup zemljišča za varstvo okolja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 okviru strateškega načrta SKP?</w:t>
      </w:r>
      <w:r w:rsidR="00CF1A1C" w:rsidRPr="002E7749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6"/>
      </w:r>
    </w:p>
    <w:p w:rsidR="00BB6DA1" w:rsidRPr="002E7749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BB6DA1" w:rsidRPr="002E7749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886E3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(b) 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nakup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ali zakup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strojev in opreme do tržne vrednosti sredstva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(c) splošni strošk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povezani z izdatki iz točk (a) in (b), kot so honorarji arhitektov, inženirjev in svetovalcev, plačila za storitve svetovanja v zvezi z okoljsko in ekonomsko </w:t>
      </w:r>
      <w:proofErr w:type="spellStart"/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trajnostnostjo</w:t>
      </w:r>
      <w:proofErr w:type="spellEnd"/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vključno s stroški za študije izvedljivosti;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Upoštevajte, da študije izvedljivosti ostanejo upravičen izdatek tudi takrat, ko glede na njihove rezultate niso nastali nobeni izdatki v okviru točk (a) in (b);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(č) 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pristojbin za pridobitev, razvoj ali uporabo računalniške programske opreme, računalniškega oblaka in podobnih rešitev ter pridobit</w:t>
      </w:r>
      <w:r w:rsidR="00886E35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v patentov, licenc, avtorskih pravic in blagovnih znamk;</w:t>
      </w:r>
    </w:p>
    <w:p w:rsidR="0019246C" w:rsidRPr="002E7749" w:rsidRDefault="0019246C" w:rsidP="00BB6DA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9246C" w:rsidRPr="002E7749" w:rsidRDefault="0019246C" w:rsidP="0019246C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(d) stroški oblikovanja načrtov za gospodarjenje z gozdovi in enakovrednih dokumentov;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CF1A1C" w:rsidP="00CF1A1C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szCs w:val="24"/>
          <w:lang w:val="sl-SI"/>
        </w:rPr>
        <w:t>Ali upravičeni stroški vključujejo naslednje stroške?</w:t>
      </w:r>
    </w:p>
    <w:p w:rsidR="00CF1A1C" w:rsidRPr="002E7749" w:rsidRDefault="00CF1A1C" w:rsidP="00CF1A1C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(a) obratna sredstva;</w:t>
      </w:r>
    </w:p>
    <w:p w:rsidR="00CF1A1C" w:rsidRPr="002E7749" w:rsidRDefault="00CF1A1C" w:rsidP="00CF1A1C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F1A1C" w:rsidRPr="002E7749" w:rsidRDefault="00CF1A1C" w:rsidP="00CF1A1C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(b) stroški, povezani z zakupnimi pogodbami, kot so marža zakupodajalca, stroški refinanciranja obresti, režijski stroški in stroški zavarovanja;</w:t>
      </w:r>
    </w:p>
    <w:p w:rsidR="00CF1A1C" w:rsidRPr="002E7749" w:rsidRDefault="00CF1A1C" w:rsidP="00BB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F1A1C" w:rsidRPr="002E7749" w:rsidRDefault="00CF1A1C" w:rsidP="00CF1A1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Če je med upravičene stroške vključen kateri koli od stroškov iz točk (a) in (b), ali je pomoč dodeljena v okviru strateškega načrta SKP v obliki finančnih instrumentov?</w:t>
      </w:r>
    </w:p>
    <w:p w:rsidR="00CF1A1C" w:rsidRPr="002E7749" w:rsidRDefault="00CF1A1C" w:rsidP="00CF1A1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F1A1C" w:rsidRPr="002E7749" w:rsidRDefault="00CF1A1C" w:rsidP="00CF1A1C">
      <w:pPr>
        <w:autoSpaceDE w:val="0"/>
        <w:autoSpaceDN w:val="0"/>
        <w:adjustRightInd w:val="0"/>
        <w:spacing w:after="0" w:line="240" w:lineRule="auto"/>
        <w:ind w:left="709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CF1A1C" w:rsidRPr="002E7749" w:rsidRDefault="00CF1A1C" w:rsidP="00CF1A1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F1A1C" w:rsidRPr="002E7749" w:rsidRDefault="00CF1A1C" w:rsidP="00CF1A1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886E3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CF1A1C" w:rsidRPr="002E7749" w:rsidRDefault="00CF1A1C" w:rsidP="00BB6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2E7749" w:rsidP="002E7749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szCs w:val="24"/>
          <w:lang w:val="sl-SI"/>
        </w:rPr>
        <w:lastRenderedPageBreak/>
        <w:t>Potrdite, da je največja intenzivnost pomoči, izražena kot odstotek upravičenih stroškov naložbe, omejena na:</w:t>
      </w:r>
    </w:p>
    <w:p w:rsidR="002E7749" w:rsidRPr="002E7749" w:rsidRDefault="002E7749" w:rsidP="002E774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65 % upravičenih stroškov;</w:t>
      </w:r>
    </w:p>
    <w:p w:rsidR="002E7749" w:rsidRPr="002E7749" w:rsidRDefault="002E7749" w:rsidP="002E7749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E7749" w:rsidRPr="002E7749" w:rsidRDefault="002E7749" w:rsidP="002E774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650BF6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650BF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80 % upravičenih stroškov naložb</w:t>
      </w:r>
      <w:r w:rsidRPr="002E7749">
        <w:rPr>
          <w:rFonts w:ascii="Times New Roman" w:hAnsi="Times New Roman"/>
          <w:sz w:val="24"/>
          <w:szCs w:val="24"/>
          <w:lang w:val="sl-SI"/>
        </w:rPr>
        <w:t xml:space="preserve">, povezanih z enim ali več specifičnimi </w:t>
      </w:r>
      <w:proofErr w:type="spellStart"/>
      <w:r w:rsidRPr="002E7749">
        <w:rPr>
          <w:rFonts w:ascii="Times New Roman" w:hAnsi="Times New Roman"/>
          <w:sz w:val="24"/>
          <w:szCs w:val="24"/>
          <w:lang w:val="sl-SI"/>
        </w:rPr>
        <w:t>okoljskimi</w:t>
      </w:r>
      <w:proofErr w:type="spellEnd"/>
      <w:r w:rsidRPr="002E7749">
        <w:rPr>
          <w:rFonts w:ascii="Times New Roman" w:hAnsi="Times New Roman"/>
          <w:sz w:val="24"/>
          <w:szCs w:val="24"/>
          <w:lang w:val="sl-SI"/>
        </w:rPr>
        <w:t xml:space="preserve"> in podnebnimi cilji iz točk (e), (f) in (g) tretjega odstavka 14. člena Uredbe (EU) št. 2022/2472.</w:t>
      </w:r>
    </w:p>
    <w:p w:rsidR="002E7749" w:rsidRPr="002E7749" w:rsidRDefault="002E7749" w:rsidP="00BB6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738C1" w:rsidRPr="002E7749" w:rsidRDefault="004738C1" w:rsidP="004738C1">
      <w:pPr>
        <w:tabs>
          <w:tab w:val="left" w:pos="2161"/>
        </w:tabs>
        <w:spacing w:after="0" w:line="240" w:lineRule="auto"/>
        <w:ind w:left="120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738C1" w:rsidRPr="002E7749" w:rsidRDefault="00BB6DA1" w:rsidP="00473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4738C1" w:rsidRPr="002E7749" w:rsidRDefault="004738C1" w:rsidP="004738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Navedite vse druge informacije, ki se štejejo za pomembne za oceno zadevnega </w:t>
      </w:r>
      <w:r w:rsidR="002E7749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ukrepa v skladu s 50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. členom Uredbe (EU) št. 2022/2472.</w:t>
      </w: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sectPr w:rsidR="00BB6DA1" w:rsidRPr="002E77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18" w:rsidRDefault="00C82218">
      <w:pPr>
        <w:spacing w:after="0" w:line="240" w:lineRule="auto"/>
      </w:pPr>
      <w:r>
        <w:separator/>
      </w:r>
    </w:p>
  </w:endnote>
  <w:endnote w:type="continuationSeparator" w:id="0">
    <w:p w:rsidR="00C82218" w:rsidRDefault="00C8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BA" w:rsidRDefault="008906BA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0BF6">
      <w:rPr>
        <w:noProof/>
      </w:rPr>
      <w:t>1</w:t>
    </w:r>
    <w:r>
      <w:rPr>
        <w:noProof/>
      </w:rPr>
      <w:fldChar w:fldCharType="end"/>
    </w:r>
  </w:p>
  <w:p w:rsidR="008906BA" w:rsidRDefault="008906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18" w:rsidRDefault="00C82218">
      <w:pPr>
        <w:spacing w:after="0" w:line="240" w:lineRule="auto"/>
      </w:pPr>
      <w:r>
        <w:separator/>
      </w:r>
    </w:p>
  </w:footnote>
  <w:footnote w:type="continuationSeparator" w:id="0">
    <w:p w:rsidR="00C82218" w:rsidRDefault="00C82218">
      <w:pPr>
        <w:spacing w:after="0" w:line="240" w:lineRule="auto"/>
      </w:pPr>
      <w:r>
        <w:continuationSeparator/>
      </w:r>
    </w:p>
  </w:footnote>
  <w:footnote w:id="1">
    <w:p w:rsidR="006456EA" w:rsidRPr="000A25E6" w:rsidRDefault="006456EA" w:rsidP="006456EA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650BF6">
        <w:rPr>
          <w:rFonts w:ascii="Times New Roman" w:hAnsi="Times New Roman"/>
          <w:bCs/>
          <w:color w:val="000000"/>
          <w:lang w:val="sl-SI"/>
        </w:rPr>
        <w:t xml:space="preserve">, </w:t>
      </w:r>
      <w:r w:rsidR="00650BF6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650BF6">
        <w:rPr>
          <w:rFonts w:ascii="Times New Roman" w:hAnsi="Times New Roman"/>
          <w:bCs/>
          <w:color w:val="000000"/>
          <w:lang w:val="sl-SI"/>
        </w:rPr>
        <w:t>a</w:t>
      </w:r>
      <w:r w:rsidR="00650BF6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bookmarkStart w:id="0" w:name="_GoBack"/>
      <w:bookmarkEnd w:id="0"/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1548BF" w:rsidRPr="001548BF" w:rsidRDefault="001548BF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r>
        <w:rPr>
          <w:rFonts w:ascii="Times New Roman" w:hAnsi="Times New Roman"/>
          <w:bCs/>
          <w:color w:val="000000"/>
          <w:lang w:val="sl-SI"/>
        </w:rPr>
        <w:t>Velika podjetja</w:t>
      </w:r>
      <w:r w:rsidRPr="001548BF">
        <w:rPr>
          <w:rFonts w:ascii="Times New Roman" w:hAnsi="Times New Roman"/>
          <w:bCs/>
          <w:color w:val="000000"/>
          <w:lang w:val="sl-SI"/>
        </w:rPr>
        <w:t xml:space="preserve"> so subjekti, ki opravljajo gospodarsko dejavnost in</w:t>
      </w:r>
      <w:r>
        <w:rPr>
          <w:rFonts w:ascii="Times New Roman" w:hAnsi="Times New Roman"/>
          <w:bCs/>
          <w:color w:val="000000"/>
          <w:lang w:val="sl-SI"/>
        </w:rPr>
        <w:t xml:space="preserve"> ne</w:t>
      </w:r>
      <w:r w:rsidRPr="001548BF">
        <w:rPr>
          <w:rFonts w:ascii="Times New Roman" w:hAnsi="Times New Roman"/>
          <w:bCs/>
          <w:color w:val="000000"/>
          <w:lang w:val="sl-SI"/>
        </w:rPr>
        <w:t xml:space="preserve"> izpolnjujejo meril iz priloge I Uredbe (EU) št. 2022/2472.</w:t>
      </w:r>
    </w:p>
  </w:footnote>
  <w:footnote w:id="3">
    <w:p w:rsidR="001548BF" w:rsidRPr="006E1291" w:rsidRDefault="001548BF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 w:rsidR="006E1291">
        <w:rPr>
          <w:lang w:val="sl-SI"/>
        </w:rPr>
        <w:tab/>
      </w:r>
      <w:r w:rsidR="006E1291" w:rsidRPr="006E1291">
        <w:rPr>
          <w:rFonts w:ascii="Times New Roman" w:hAnsi="Times New Roman"/>
          <w:bCs/>
          <w:color w:val="000000"/>
          <w:lang w:val="sl-SI"/>
        </w:rPr>
        <w:t xml:space="preserve">Resolucija H1: Splošne smernice za trajnostno gospodarjenje z gozdovi v Evropi, ki jo je sprejela druga ministrska konferenca o varstvu gozdov v </w:t>
      </w:r>
      <w:proofErr w:type="spellStart"/>
      <w:r w:rsidR="006E1291" w:rsidRPr="006E1291">
        <w:rPr>
          <w:rFonts w:ascii="Times New Roman" w:hAnsi="Times New Roman"/>
          <w:bCs/>
          <w:color w:val="000000"/>
          <w:lang w:val="sl-SI"/>
        </w:rPr>
        <w:t>Evropki</w:t>
      </w:r>
      <w:proofErr w:type="spellEnd"/>
      <w:r w:rsidR="006E1291" w:rsidRPr="006E1291">
        <w:rPr>
          <w:rFonts w:ascii="Times New Roman" w:hAnsi="Times New Roman"/>
          <w:bCs/>
          <w:color w:val="000000"/>
          <w:lang w:val="sl-SI"/>
        </w:rPr>
        <w:t xml:space="preserve"> v Helsinkih 16. in 17. junija 1993, </w:t>
      </w:r>
      <w:hyperlink r:id="rId1" w:history="1">
        <w:r w:rsidR="006E1291" w:rsidRPr="006E1291">
          <w:rPr>
            <w:rStyle w:val="Hiperpovezava"/>
            <w:rFonts w:ascii="Times New Roman" w:hAnsi="Times New Roman"/>
            <w:bCs/>
            <w:lang w:val="sl-SI"/>
          </w:rPr>
          <w:t>https://foresteurope.org/wp-content/uploads/2022/01/MC_helsinki_resolutionH1.pdf</w:t>
        </w:r>
      </w:hyperlink>
      <w:r w:rsidR="006E1291">
        <w:rPr>
          <w:rFonts w:ascii="Times New Roman" w:hAnsi="Times New Roman"/>
          <w:bCs/>
          <w:color w:val="000000"/>
          <w:lang w:val="sl-SI"/>
        </w:rPr>
        <w:t>.</w:t>
      </w:r>
      <w:r w:rsidR="006E1291" w:rsidRPr="006E1291">
        <w:rPr>
          <w:rFonts w:ascii="Times New Roman" w:hAnsi="Times New Roman"/>
          <w:bCs/>
          <w:color w:val="000000"/>
          <w:lang w:val="sl-SI"/>
        </w:rPr>
        <w:t xml:space="preserve"> </w:t>
      </w:r>
    </w:p>
  </w:footnote>
  <w:footnote w:id="4">
    <w:p w:rsidR="006E1291" w:rsidRPr="006E1291" w:rsidRDefault="006E1291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 w:rsidRPr="006E1291">
        <w:rPr>
          <w:lang w:val="sl-SI"/>
        </w:rPr>
        <w:tab/>
      </w:r>
      <w:r w:rsidRPr="006E1291">
        <w:rPr>
          <w:rFonts w:ascii="Times New Roman" w:hAnsi="Times New Roman"/>
          <w:bCs/>
          <w:color w:val="000000"/>
          <w:lang w:val="sl-SI"/>
        </w:rPr>
        <w:t>Direktiva 2011/92/EU Evropskega parlamenta in Sveta z dne 13. decembra 2011 o presoji vplivov nekaterih javnih in zasebnih projektov na okolje (UL L št. 26 z dne 28. 1. 2011, str. 1), zadnjič spremenjena z Direktivo 2014/52/EU Evropskega parlamenta in Sveta z dne 16. aprila 2014 o spremembi Direktive 2011/92/EU o presoji vplivov nekaterih javnih in zasebnih projektov na okolje (UL L št. 124 z dne 25. 4. 2014, str. 1).</w:t>
      </w:r>
    </w:p>
  </w:footnote>
  <w:footnote w:id="5">
    <w:p w:rsidR="0019246C" w:rsidRPr="0019246C" w:rsidRDefault="0019246C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r w:rsidRPr="0019246C">
        <w:rPr>
          <w:rFonts w:ascii="Times New Roman" w:hAnsi="Times New Roman"/>
          <w:bCs/>
          <w:color w:val="000000"/>
          <w:lang w:val="sl-SI"/>
        </w:rPr>
        <w:t>Delovne operacije pred industrijsko predelavo so opredeljene v 40. točke 2. člena Uredbe (EU) št. 2022/2472 in pomenijo sečnjo, obsekovanje, lupljenje, razrez, skladiščenje, zaščitno obdelavo in sušenje lesa ter vse druge delovne operacije pred industrijskim žaganjem lesa na žagi; pa tudi žaganje, pri katerem je največja</w:t>
      </w:r>
      <w:r>
        <w:rPr>
          <w:rFonts w:ascii="Times New Roman" w:hAnsi="Times New Roman"/>
          <w:bCs/>
          <w:color w:val="000000"/>
          <w:lang w:val="sl-SI"/>
        </w:rPr>
        <w:t xml:space="preserve"> zmogljivost predelave 20 000 m</w:t>
      </w:r>
      <w:r>
        <w:rPr>
          <w:rFonts w:ascii="Times New Roman" w:hAnsi="Times New Roman"/>
          <w:bCs/>
          <w:color w:val="000000"/>
          <w:vertAlign w:val="superscript"/>
          <w:lang w:val="sl-SI"/>
        </w:rPr>
        <w:t>3</w:t>
      </w:r>
      <w:r w:rsidRPr="0019246C">
        <w:rPr>
          <w:rFonts w:ascii="Times New Roman" w:hAnsi="Times New Roman"/>
          <w:bCs/>
          <w:color w:val="000000"/>
          <w:lang w:val="sl-SI"/>
        </w:rPr>
        <w:t xml:space="preserve"> okroglega lesa za žaganje na leto.</w:t>
      </w:r>
    </w:p>
  </w:footnote>
  <w:footnote w:id="6">
    <w:p w:rsidR="00CF1A1C" w:rsidRPr="00CF1A1C" w:rsidRDefault="00CF1A1C">
      <w:pPr>
        <w:pStyle w:val="Sprotnaopomba-besedilo"/>
        <w:rPr>
          <w:rFonts w:ascii="Times New Roman" w:hAnsi="Times New Roman"/>
          <w:lang w:val="sl-SI"/>
        </w:rPr>
      </w:pPr>
      <w:r>
        <w:rPr>
          <w:rStyle w:val="Sprotnaopomba-sklic"/>
        </w:rPr>
        <w:footnoteRef/>
      </w:r>
      <w:r w:rsidRPr="00CF1A1C">
        <w:rPr>
          <w:lang w:val="sl-SI"/>
        </w:rPr>
        <w:t xml:space="preserve"> </w:t>
      </w:r>
      <w:r>
        <w:rPr>
          <w:lang w:val="sl-SI"/>
        </w:rPr>
        <w:tab/>
      </w:r>
      <w:r w:rsidRPr="00CF1A1C">
        <w:rPr>
          <w:rFonts w:ascii="Times New Roman" w:hAnsi="Times New Roman"/>
          <w:lang w:val="sl-SI"/>
        </w:rPr>
        <w:t xml:space="preserve">Strateški načrt SKP 2023–2027 za Slovenijo je objavljen na spletnem mestu </w:t>
      </w:r>
      <w:hyperlink r:id="rId2" w:history="1">
        <w:r w:rsidRPr="00CF1A1C">
          <w:rPr>
            <w:rStyle w:val="Hiperpovezava"/>
            <w:rFonts w:ascii="Times New Roman" w:hAnsi="Times New Roman"/>
            <w:lang w:val="sl-SI"/>
          </w:rPr>
          <w:t>https://skp.si/skupna-kmetijska-politika-2023-2027</w:t>
        </w:r>
      </w:hyperlink>
      <w:r w:rsidRPr="00CF1A1C">
        <w:rPr>
          <w:rFonts w:ascii="Times New Roman" w:hAnsi="Times New Roman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BA" w:rsidRDefault="002356CF" w:rsidP="008906BA">
    <w:pPr>
      <w:pStyle w:val="Glava"/>
      <w:jc w:val="right"/>
    </w:pPr>
    <w:r>
      <w:t>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41281"/>
    <w:multiLevelType w:val="hybridMultilevel"/>
    <w:tmpl w:val="F0662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938F6"/>
    <w:multiLevelType w:val="multilevel"/>
    <w:tmpl w:val="FBAA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EB7D77"/>
    <w:multiLevelType w:val="hybridMultilevel"/>
    <w:tmpl w:val="451E0F7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826182"/>
    <w:multiLevelType w:val="hybridMultilevel"/>
    <w:tmpl w:val="4F249A7C"/>
    <w:lvl w:ilvl="0" w:tplc="3C4ED2BA">
      <w:start w:val="1"/>
      <w:numFmt w:val="decimal"/>
      <w:lvlText w:val="(%1)"/>
      <w:lvlJc w:val="left"/>
      <w:pPr>
        <w:ind w:left="2752" w:hanging="909"/>
      </w:pPr>
      <w:rPr>
        <w:rFonts w:hint="default"/>
      </w:rPr>
    </w:lvl>
    <w:lvl w:ilvl="1" w:tplc="567C3CBC">
      <w:start w:val="1"/>
      <w:numFmt w:val="lowerLetter"/>
      <w:lvlText w:val="(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C4992"/>
    <w:multiLevelType w:val="multilevel"/>
    <w:tmpl w:val="DC287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738C1"/>
    <w:rsid w:val="00086451"/>
    <w:rsid w:val="00093266"/>
    <w:rsid w:val="000A21FA"/>
    <w:rsid w:val="00141D88"/>
    <w:rsid w:val="0015419D"/>
    <w:rsid w:val="001548BF"/>
    <w:rsid w:val="0019246C"/>
    <w:rsid w:val="001A718E"/>
    <w:rsid w:val="002356CF"/>
    <w:rsid w:val="002E7749"/>
    <w:rsid w:val="00301A3E"/>
    <w:rsid w:val="0031632A"/>
    <w:rsid w:val="003178ED"/>
    <w:rsid w:val="003658F6"/>
    <w:rsid w:val="003F7D19"/>
    <w:rsid w:val="0041608F"/>
    <w:rsid w:val="00422F53"/>
    <w:rsid w:val="004738C1"/>
    <w:rsid w:val="005C6079"/>
    <w:rsid w:val="006456EA"/>
    <w:rsid w:val="00650BF6"/>
    <w:rsid w:val="006A0D0C"/>
    <w:rsid w:val="006E1291"/>
    <w:rsid w:val="006F1663"/>
    <w:rsid w:val="00700186"/>
    <w:rsid w:val="00744915"/>
    <w:rsid w:val="008153D5"/>
    <w:rsid w:val="00886E35"/>
    <w:rsid w:val="008906BA"/>
    <w:rsid w:val="008F1436"/>
    <w:rsid w:val="00920CB5"/>
    <w:rsid w:val="00A12351"/>
    <w:rsid w:val="00A67E4C"/>
    <w:rsid w:val="00BB6DA1"/>
    <w:rsid w:val="00C42A30"/>
    <w:rsid w:val="00C82218"/>
    <w:rsid w:val="00CF1A1C"/>
    <w:rsid w:val="00E16303"/>
    <w:rsid w:val="00F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0270"/>
  <w15:docId w15:val="{97D10CA1-BD90-4F46-A117-E8A9D301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0D0C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38C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738C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738C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738C1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20CB5"/>
    <w:rPr>
      <w:rFonts w:ascii="Tahoma" w:hAnsi="Tahoma" w:cs="Tahoma"/>
      <w:sz w:val="16"/>
      <w:szCs w:val="16"/>
      <w:lang w:eastAsia="en-US"/>
    </w:rPr>
  </w:style>
  <w:style w:type="paragraph" w:customStyle="1" w:styleId="Text1">
    <w:name w:val="Text 1"/>
    <w:basedOn w:val="Navaden"/>
    <w:rsid w:val="000A21FA"/>
    <w:pPr>
      <w:spacing w:after="0" w:line="240" w:lineRule="auto"/>
      <w:ind w:left="851"/>
    </w:pPr>
    <w:rPr>
      <w:rFonts w:ascii="Times New Roman" w:eastAsiaTheme="minorHAnsi" w:hAnsi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E16303"/>
    <w:pPr>
      <w:ind w:left="720"/>
      <w:contextualSpacing/>
    </w:pPr>
  </w:style>
  <w:style w:type="paragraph" w:styleId="Revizija">
    <w:name w:val="Revision"/>
    <w:hidden/>
    <w:uiPriority w:val="99"/>
    <w:semiHidden/>
    <w:rsid w:val="00E16303"/>
    <w:rPr>
      <w:sz w:val="22"/>
      <w:szCs w:val="22"/>
      <w:lang w:eastAsia="en-US"/>
    </w:rPr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6456EA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basedOn w:val="Privzetapisavaodstavka"/>
    <w:link w:val="Sprotnaopomba-besedilo"/>
    <w:uiPriority w:val="99"/>
    <w:rsid w:val="006456EA"/>
    <w:rPr>
      <w:lang w:eastAsia="en-US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6456EA"/>
    <w:rPr>
      <w:shd w:val="clear" w:color="auto" w:fill="auto"/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456EA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19246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246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246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246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246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kp.si/skupna-kmetijska-politika-2023-2027" TargetMode="External"/><Relationship Id="rId1" Type="http://schemas.openxmlformats.org/officeDocument/2006/relationships/hyperlink" Target="https://foresteurope.org/wp-content/uploads/2022/01/MC_helsinki_resolutionH1.pdf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  <_dlc_DocId xmlns="f40d7ad0-5649-4733-b9d0-b459e047d264">COMPCOLLAB-474933883-451</_dlc_DocId>
    <_dlc_DocIdUrl xmlns="f40d7ad0-5649-4733-b9d0-b459e047d264">
      <Url>https://compcollab.ec.europa.eu/cases/HT.5788/_layouts/15/DocIdRedir.aspx?ID=COMPCOLLAB-474933883-451</Url>
      <Description>COMPCOLLAB-474933883-451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E1E9C5-BE5E-4EE0-B28C-54BEB7210169}">
  <ds:schemaRefs>
    <ds:schemaRef ds:uri="http://schemas.microsoft.com/office/2006/documentManagement/types"/>
    <ds:schemaRef ds:uri="http://schemas.microsoft.com/office/infopath/2007/PartnerControls"/>
    <ds:schemaRef ds:uri="f40d7ad0-5649-4733-b9d0-b459e047d26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340DE8-C5D1-442E-B3F0-CC187283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7CA23-B0C7-400D-8D04-EC78F692E6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01CCAF-5124-446F-8D9A-E3EF5161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 MARTINEZ Jose Vicente (AGRI)</dc:creator>
  <cp:lastModifiedBy>Mario Plešej</cp:lastModifiedBy>
  <cp:revision>5</cp:revision>
  <dcterms:created xsi:type="dcterms:W3CDTF">2023-04-19T08:32:00Z</dcterms:created>
  <dcterms:modified xsi:type="dcterms:W3CDTF">2024-02-02T10:56:00Z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0x01010400988603A364794F7AA753E65AAE7328050018BB7BF768DACF49847E0B09621D410A</vt:lpwstr>
  </property>
  <property fmtid="{D5CDD505-2E9C-101B-9397-08002B2CF9AE}" pid="3" name="_dlc_DocIdItemGuid">
    <vt:lpwstr>64454fe9-36b6-4489-997b-5e42db183ad6</vt:lpwstr>
  </property>
  <property fmtid="{D5CDD505-2E9C-101B-9397-08002B2CF9AE}" pid="4" name="documentCaseTags">
    <vt:lpwstr/>
  </property>
  <property fmtid="{D5CDD505-2E9C-101B-9397-08002B2CF9AE}" pid="5" name="documentGeneralTags">
    <vt:lpwstr/>
  </property>
</Properties>
</file>