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738C1" w:rsidRPr="00086451" w:rsidTr="006456EA">
        <w:trPr>
          <w:trHeight w:val="992"/>
        </w:trPr>
        <w:tc>
          <w:tcPr>
            <w:tcW w:w="9214" w:type="dxa"/>
            <w:shd w:val="pct15" w:color="auto" w:fill="FFFFFF"/>
          </w:tcPr>
          <w:p w:rsidR="004738C1" w:rsidRPr="002356CF" w:rsidRDefault="006456EA" w:rsidP="003178ED">
            <w:pPr>
              <w:shd w:val="pct20" w:color="auto" w:fill="FFFFFF"/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sz w:val="32"/>
                <w:szCs w:val="32"/>
                <w:lang w:val="sl-SI" w:eastAsia="en-GB"/>
              </w:rPr>
            </w:pPr>
            <w:r w:rsidRPr="002356CF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Obrazec za dodatne informacije o pomoči za ukrepe izmenjave znanja in informiranja v gozdarskem sektorju</w:t>
            </w:r>
          </w:p>
        </w:tc>
      </w:tr>
    </w:tbl>
    <w:p w:rsidR="004738C1" w:rsidRPr="002356CF" w:rsidRDefault="004738C1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456EA" w:rsidRPr="002356CF" w:rsidRDefault="006456EA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Ta obrazec se nanaša na državno pomoč za ukrepe izmenjave znanja in informiranja v gozdarskem sektorju, kot je opisano v 47. členu Uredbe (EU) št. 2022/2472.</w:t>
      </w:r>
      <w:r w:rsidRPr="002356CF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6456EA" w:rsidRPr="002356CF" w:rsidRDefault="006456EA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456EA" w:rsidRPr="002356CF" w:rsidRDefault="006456EA" w:rsidP="006456EA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Ali je pomoč v skladu z opisom sistema znanja in inovacij v kmetijstvu (AKIS) iz strateškega načrta SKP 2023–2027 za Slovenijo?</w:t>
      </w:r>
      <w:r w:rsidRPr="002356CF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</w:p>
    <w:p w:rsidR="006456EA" w:rsidRPr="002356CF" w:rsidRDefault="006456EA" w:rsidP="006456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6456EA" w:rsidRPr="002356CF" w:rsidRDefault="006456EA" w:rsidP="006456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6456EA" w:rsidRPr="002356CF" w:rsidRDefault="006456EA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Če je odgovor pritrdilen, navedite podrobne informacije, ki potrjujejo, da je pomoč v skladu z opisom AKIS-a:</w:t>
      </w:r>
    </w:p>
    <w:p w:rsidR="006456EA" w:rsidRPr="002356CF" w:rsidRDefault="006456EA" w:rsidP="006456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6456EA" w:rsidRPr="002356CF" w:rsidRDefault="006456EA" w:rsidP="006456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6456EA" w:rsidRPr="002356CF" w:rsidRDefault="006456EA" w:rsidP="006456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456EA" w:rsidRPr="002356CF" w:rsidRDefault="006456EA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A164D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41608F" w:rsidRPr="002356CF" w:rsidRDefault="0041608F" w:rsidP="0047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val="sl-SI" w:eastAsia="en-GB"/>
        </w:rPr>
      </w:pPr>
    </w:p>
    <w:p w:rsidR="004738C1" w:rsidRPr="002356CF" w:rsidRDefault="0031632A" w:rsidP="0031632A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hAnsi="Times New Roman"/>
          <w:sz w:val="24"/>
          <w:szCs w:val="24"/>
          <w:lang w:val="sl-SI"/>
        </w:rPr>
        <w:t xml:space="preserve">Katere od 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naslednjih</w:t>
      </w:r>
      <w:r w:rsidRPr="002356CF">
        <w:rPr>
          <w:rFonts w:ascii="Times New Roman" w:hAnsi="Times New Roman"/>
          <w:sz w:val="24"/>
          <w:szCs w:val="24"/>
          <w:lang w:val="sl-SI"/>
        </w:rPr>
        <w:t xml:space="preserve"> dejavnosti se </w:t>
      </w:r>
      <w:r w:rsidR="00540364">
        <w:rPr>
          <w:rFonts w:ascii="Times New Roman" w:hAnsi="Times New Roman"/>
          <w:sz w:val="24"/>
          <w:szCs w:val="24"/>
          <w:lang w:val="sl-SI"/>
        </w:rPr>
        <w:t>bodo financirale</w:t>
      </w:r>
      <w:r w:rsidRPr="002356CF">
        <w:rPr>
          <w:rFonts w:ascii="Times New Roman" w:hAnsi="Times New Roman"/>
          <w:sz w:val="24"/>
          <w:szCs w:val="24"/>
          <w:lang w:val="sl-SI"/>
        </w:rPr>
        <w:t xml:space="preserve"> iz sheme pomoči?</w:t>
      </w:r>
    </w:p>
    <w:p w:rsidR="004738C1" w:rsidRPr="002356CF" w:rsidRDefault="004738C1" w:rsidP="0031632A">
      <w:pPr>
        <w:spacing w:after="0" w:line="240" w:lineRule="auto"/>
        <w:ind w:left="1418" w:hanging="851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(a) </w:t>
      </w:r>
      <w:r w:rsidR="0031632A" w:rsidRPr="002356CF">
        <w:rPr>
          <w:rFonts w:ascii="Times New Roman" w:hAnsi="Times New Roman"/>
          <w:sz w:val="24"/>
          <w:szCs w:val="24"/>
          <w:lang w:val="sl-SI"/>
        </w:rPr>
        <w:t xml:space="preserve">poklicna usposabljanja in pridobivanja strokovnih znanj, vključno z usposabljanji, delavnicami, konferencami in </w:t>
      </w:r>
      <w:proofErr w:type="spellStart"/>
      <w:r w:rsidR="0031632A" w:rsidRPr="002356CF">
        <w:rPr>
          <w:rFonts w:ascii="Times New Roman" w:hAnsi="Times New Roman"/>
          <w:sz w:val="24"/>
          <w:szCs w:val="24"/>
          <w:lang w:val="sl-SI"/>
        </w:rPr>
        <w:t>mentoriranjem</w:t>
      </w:r>
      <w:proofErr w:type="spellEnd"/>
      <w:r w:rsidR="0031632A" w:rsidRPr="002356CF">
        <w:rPr>
          <w:rFonts w:ascii="Times New Roman" w:hAnsi="Times New Roman"/>
          <w:sz w:val="24"/>
          <w:szCs w:val="24"/>
          <w:lang w:val="sl-SI"/>
        </w:rPr>
        <w:t xml:space="preserve"> (</w:t>
      </w:r>
      <w:proofErr w:type="spellStart"/>
      <w:r w:rsidR="0031632A" w:rsidRPr="002356CF">
        <w:rPr>
          <w:rFonts w:ascii="Times New Roman" w:hAnsi="Times New Roman"/>
          <w:sz w:val="24"/>
          <w:szCs w:val="24"/>
          <w:lang w:val="sl-SI"/>
        </w:rPr>
        <w:t>kovčingom</w:t>
      </w:r>
      <w:proofErr w:type="spellEnd"/>
      <w:r w:rsidR="0031632A" w:rsidRPr="002356CF">
        <w:rPr>
          <w:rFonts w:ascii="Times New Roman" w:hAnsi="Times New Roman"/>
          <w:sz w:val="24"/>
          <w:szCs w:val="24"/>
          <w:lang w:val="sl-SI"/>
        </w:rPr>
        <w:t>);</w:t>
      </w:r>
    </w:p>
    <w:p w:rsidR="000A21FA" w:rsidRPr="002356CF" w:rsidRDefault="000A21FA" w:rsidP="003F7D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A21FA" w:rsidRPr="002356CF" w:rsidRDefault="000A21FA" w:rsidP="003F7D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="003F7D19"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31632A"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predstavitvene dejavnosti;</w:t>
      </w:r>
    </w:p>
    <w:p w:rsidR="000A21FA" w:rsidRPr="002356CF" w:rsidRDefault="000A21FA" w:rsidP="003F7D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A21FA" w:rsidRPr="002356CF" w:rsidRDefault="000A21FA" w:rsidP="003F7D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3F7D19"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(c) </w:t>
      </w:r>
      <w:r w:rsidR="0031632A"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dejavnosti informiranja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0A21FA" w:rsidRPr="002356CF" w:rsidRDefault="000A21FA" w:rsidP="003F7D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A21FA" w:rsidRPr="002356CF" w:rsidRDefault="000A21FA" w:rsidP="0031632A">
      <w:pPr>
        <w:spacing w:after="0" w:line="240" w:lineRule="auto"/>
        <w:ind w:left="1418" w:hanging="851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31632A"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(č</w:t>
      </w:r>
      <w:r w:rsidR="003F7D19"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31632A" w:rsidRPr="002356CF">
        <w:rPr>
          <w:rFonts w:ascii="Times New Roman" w:hAnsi="Times New Roman"/>
          <w:sz w:val="24"/>
          <w:szCs w:val="24"/>
          <w:lang w:val="sl-SI"/>
        </w:rPr>
        <w:t>kratkoročne</w:t>
      </w:r>
      <w:r w:rsidR="0031632A"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izmenjave upravnikov gozdov in obiske gozdov, ki se osredotočajo zlasti na trajnostne gozdarske metode ali tehnologije, razvoj novih poslovnih priložnosti in novih tehnologij ter izboljšanje odpornosti gozdov.</w:t>
      </w:r>
    </w:p>
    <w:p w:rsidR="0031632A" w:rsidRPr="002356CF" w:rsidRDefault="0031632A" w:rsidP="003F7D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1632A" w:rsidRPr="002356CF" w:rsidRDefault="0031632A" w:rsidP="0031632A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hAnsi="Times New Roman"/>
          <w:sz w:val="24"/>
          <w:szCs w:val="24"/>
          <w:lang w:val="sl-SI"/>
        </w:rPr>
        <w:t>Navedite upravičene stroške:</w:t>
      </w:r>
    </w:p>
    <w:p w:rsidR="00BB6DA1" w:rsidRPr="002356CF" w:rsidRDefault="00BB6DA1" w:rsidP="00BB6DA1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(a) stroški organizacije poklicnega usposabljanja, dejavnosti pridobivanja strokovnih znanj, vključno z usposabljanji, delavnicami, konferencami in </w:t>
      </w:r>
      <w:proofErr w:type="spellStart"/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mentoriranjem</w:t>
      </w:r>
      <w:proofErr w:type="spellEnd"/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</w:t>
      </w:r>
      <w:proofErr w:type="spellStart"/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kovčingom</w:t>
      </w:r>
      <w:proofErr w:type="spellEnd"/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), ter stroški predstavitvenih dejavnosti ali dejavnosti informiranja;</w:t>
      </w:r>
    </w:p>
    <w:p w:rsidR="00BB6DA1" w:rsidRPr="002356CF" w:rsidRDefault="00BB6DA1" w:rsidP="00BB6DA1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BB6DA1" w:rsidRPr="002356CF" w:rsidRDefault="00BB6DA1" w:rsidP="00BB6DA1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(b) stroški potovanja, nastanitve in dnevnic udeležencev;</w:t>
      </w:r>
    </w:p>
    <w:p w:rsidR="00BB6DA1" w:rsidRPr="002356CF" w:rsidRDefault="00BB6DA1" w:rsidP="00BB6DA1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(c) stroški predstavitvenih projektov v zvezi z naložbami.</w:t>
      </w:r>
    </w:p>
    <w:p w:rsidR="0031632A" w:rsidRPr="002356CF" w:rsidRDefault="0031632A" w:rsidP="003F7D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BB6DA1" w:rsidRPr="002356CF" w:rsidRDefault="00BB6DA1" w:rsidP="00BB6DA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hAnsi="Times New Roman"/>
          <w:sz w:val="24"/>
          <w:szCs w:val="24"/>
          <w:lang w:val="sl-SI"/>
        </w:rPr>
        <w:t>Katere od naslednjih stroškov vključujejo upravičeni stroški v primeru predstavitvenih projektov v zvezi z naložbami?</w:t>
      </w: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54036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gradnj</w:t>
      </w:r>
      <w:r w:rsidR="00540364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, nakup</w:t>
      </w:r>
      <w:r w:rsidR="00540364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, vključno z zakupom, ali izboljšanj</w:t>
      </w:r>
      <w:r w:rsidR="00540364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nepremičnin; </w:t>
      </w: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ind w:left="1440" w:hanging="23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Če se bo pomoč dodelila za stroške nakupa zemljišča, ali bo kupljeno zemljišče upravičeno do pomoči le v obsegu, ki ne presega 10 % skupnih upravičenih stroškov zadevne dejavnosti?</w:t>
      </w:r>
    </w:p>
    <w:p w:rsidR="00BB6DA1" w:rsidRPr="002356CF" w:rsidRDefault="00BB6DA1" w:rsidP="00BB6DA1">
      <w:pPr>
        <w:spacing w:after="0" w:line="240" w:lineRule="auto"/>
        <w:ind w:left="1440" w:hanging="23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BB6DA1" w:rsidRPr="002356CF" w:rsidRDefault="00BB6DA1" w:rsidP="00BB6DA1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2356C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1417" w:firstLine="1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A164D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, ali je pomoč dodeljena v okviru strateškega načrta SKP?</w:t>
      </w:r>
    </w:p>
    <w:p w:rsidR="00BB6DA1" w:rsidRPr="002356CF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B6DA1" w:rsidRPr="002356CF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A164D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54036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nakup</w:t>
      </w:r>
      <w:r w:rsidR="00540364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zakup</w:t>
      </w:r>
      <w:r w:rsidR="00540364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strojev in opreme do tržne vrednosti sredstva</w:t>
      </w:r>
      <w:r w:rsidRPr="002356CF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;</w:t>
      </w: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(c) splošni strošk</w:t>
      </w:r>
      <w:r w:rsidR="00540364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povezani z izdatki iz točk (a) in (b), kot so honorarji arhitektov, inženirjev in svetovalcev, plačila za storitve svetovanja v zvezi z okoljsko in ekonomsko </w:t>
      </w:r>
      <w:proofErr w:type="spellStart"/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trajnostnostjo</w:t>
      </w:r>
      <w:proofErr w:type="spellEnd"/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, vključno s stroški za študije izvedljivosti;</w:t>
      </w: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Upoštevajte, da študije izvedljivosti ostanejo upravičen izdatek tudi takrat, ko glede na njihove rezultate niso nastali nobeni izdatki v okviru točk (a) in (b);</w:t>
      </w: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(č) </w:t>
      </w:r>
      <w:r w:rsidR="0054036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pristojbin za pridobitev, razvoj ali uporabo računalniške programske opreme, računalniškega oblaka in podobnih rešitev ter pridobit</w:t>
      </w:r>
      <w:r w:rsidR="00540364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v patentov, licenc, avtorskih pravic in blagovnih znamk;</w:t>
      </w:r>
    </w:p>
    <w:p w:rsidR="00BB6DA1" w:rsidRPr="002356CF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hAnsi="Times New Roman"/>
          <w:sz w:val="24"/>
          <w:szCs w:val="24"/>
          <w:lang w:val="sl-SI"/>
        </w:rPr>
        <w:t>Ali so stroški iz prejšnje točke upravičeni samo v obsegu, v katerem so nastali za predstavitveni projekt, in za obdobje trajanja predstavitvenega projekta?</w:t>
      </w:r>
    </w:p>
    <w:p w:rsidR="00BB6DA1" w:rsidRPr="002356CF" w:rsidRDefault="00BB6DA1" w:rsidP="00BB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BB6DA1" w:rsidRPr="002356CF" w:rsidRDefault="00BB6DA1" w:rsidP="00BB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hAnsi="Times New Roman"/>
          <w:sz w:val="24"/>
          <w:szCs w:val="24"/>
          <w:lang w:val="sl-SI"/>
        </w:rPr>
        <w:t>Upoštevajte, da se v skladu s petim odstavkom 47. člena Uredbe (EU) št. 2022/2472 kot upravičeni štejejo samo stroški amortizacije, ki ustrezajo trajanju projekta in so izračunani na podlagi splošno sprejetih računovodskih načel.</w:t>
      </w:r>
    </w:p>
    <w:p w:rsidR="00BB6DA1" w:rsidRPr="002356CF" w:rsidRDefault="00BB6DA1" w:rsidP="00BB6DA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BB6DA1" w:rsidRPr="002356CF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BB6DA1" w:rsidRPr="002356CF" w:rsidRDefault="00BB6DA1" w:rsidP="00BB6DA1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2356CF">
        <w:rPr>
          <w:rFonts w:ascii="Times New Roman" w:hAnsi="Times New Roman"/>
          <w:sz w:val="24"/>
          <w:szCs w:val="20"/>
          <w:lang w:val="sl-SI" w:eastAsia="sl-SI"/>
        </w:rPr>
        <w:lastRenderedPageBreak/>
        <w:tab/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1417" w:firstLine="1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A164D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BB6DA1" w:rsidRPr="002356CF" w:rsidRDefault="00BB6DA1" w:rsidP="00BB6DA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hAnsi="Times New Roman"/>
          <w:sz w:val="24"/>
          <w:szCs w:val="24"/>
          <w:lang w:val="sl-SI"/>
        </w:rPr>
        <w:t>Ali bodo imeli izvajalci dejavnosti prenosa znanja in informiranja za izvajanje teh dejavnosti ustrezne zmogljivosti v obliki usposobljenosti in rednega izobraževanja osebja?</w:t>
      </w:r>
    </w:p>
    <w:p w:rsidR="00BB6DA1" w:rsidRPr="002356CF" w:rsidRDefault="00BB6DA1" w:rsidP="00BB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BB6DA1" w:rsidRPr="002356CF" w:rsidRDefault="00BB6DA1" w:rsidP="00BB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navedite sklic na določbo pravne podlage načrta pomoči v zvezi s tem pogojem</w:t>
      </w:r>
      <w:r w:rsidRPr="002356CF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A164D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BB6DA1" w:rsidRPr="002356CF" w:rsidRDefault="00BB6DA1" w:rsidP="00BB6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hAnsi="Times New Roman"/>
          <w:sz w:val="24"/>
          <w:szCs w:val="24"/>
          <w:lang w:val="sl-SI"/>
        </w:rPr>
        <w:t>Navedite obliko, v kateri bo pomoč dodeljena:</w:t>
      </w:r>
    </w:p>
    <w:p w:rsidR="00BB6DA1" w:rsidRPr="002356CF" w:rsidRDefault="00BB6DA1" w:rsidP="00BB6DA1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(a) subvencionirana storitev</w:t>
      </w:r>
      <w:r w:rsidRPr="002356CF">
        <w:rPr>
          <w:rFonts w:ascii="Times New Roman" w:hAnsi="Times New Roman"/>
          <w:sz w:val="24"/>
          <w:szCs w:val="24"/>
          <w:lang w:val="sl-SI"/>
        </w:rPr>
        <w:t>;</w:t>
      </w:r>
    </w:p>
    <w:p w:rsidR="00BB6DA1" w:rsidRPr="002356CF" w:rsidRDefault="00BB6DA1" w:rsidP="00BB6DA1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sl-SI"/>
        </w:rPr>
      </w:pPr>
    </w:p>
    <w:p w:rsidR="00BB6DA1" w:rsidRPr="002356CF" w:rsidRDefault="00BB6DA1" w:rsidP="00BB6DA1">
      <w:pPr>
        <w:spacing w:after="0" w:line="240" w:lineRule="auto"/>
        <w:ind w:left="1437" w:hanging="870"/>
        <w:jc w:val="both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hAnsi="Times New Roman"/>
          <w:sz w:val="24"/>
          <w:szCs w:val="24"/>
          <w:lang w:val="sl-SI"/>
        </w:rPr>
        <w:tab/>
      </w:r>
      <w:r w:rsidRPr="002356CF">
        <w:rPr>
          <w:rFonts w:ascii="Times New Roman" w:hAnsi="Times New Roman"/>
          <w:sz w:val="24"/>
          <w:szCs w:val="24"/>
          <w:lang w:val="sl-SI"/>
        </w:rPr>
        <w:tab/>
        <w:t>(b) neposredna denarna plačila končnim upravičencem izključno v obliki povračila dejansko nastalih stroškov.</w:t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hAnsi="Times New Roman"/>
          <w:sz w:val="24"/>
          <w:szCs w:val="24"/>
          <w:lang w:val="sl-SI"/>
        </w:rPr>
        <w:t xml:space="preserve">Upoštevajte, da je treba pomoč za stroške iz točke </w:t>
      </w:r>
      <w:r w:rsidR="002356CF" w:rsidRPr="002356CF">
        <w:rPr>
          <w:rFonts w:ascii="Times New Roman" w:hAnsi="Times New Roman"/>
          <w:sz w:val="24"/>
          <w:szCs w:val="24"/>
          <w:lang w:val="sl-SI"/>
        </w:rPr>
        <w:t>3</w:t>
      </w:r>
      <w:r w:rsidRPr="002356CF">
        <w:rPr>
          <w:rFonts w:ascii="Times New Roman" w:hAnsi="Times New Roman"/>
          <w:sz w:val="24"/>
          <w:szCs w:val="24"/>
          <w:lang w:val="sl-SI"/>
        </w:rPr>
        <w:t>.(a) tega obrazca zagotoviti v obliki subvencioniranih storitev in ne vključuje neposrednih plačil končnim upravičencem. Navedite sklic na določbo pravne podlage načrta pomoči v zvezi s tem pogojem:</w:t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BB6DA1" w:rsidRPr="002356CF" w:rsidRDefault="00BB6DA1" w:rsidP="00BB6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356CF">
        <w:rPr>
          <w:rFonts w:ascii="Times New Roman" w:hAnsi="Times New Roman"/>
          <w:sz w:val="24"/>
          <w:szCs w:val="24"/>
          <w:lang w:val="sl-SI"/>
        </w:rPr>
        <w:t>Ali je največja intenzivnost pomoči omejena na 100 % upravičenih stroškov?</w:t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EE628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356C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B6DA1" w:rsidRPr="002356CF" w:rsidRDefault="00BB6DA1" w:rsidP="00BB6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navedite sklic na določbo pravne podlage načrta pomoči v zvezi s tem pogojem</w:t>
      </w:r>
      <w:r w:rsidRPr="002356CF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A164D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4738C1" w:rsidRPr="002356CF" w:rsidRDefault="004738C1" w:rsidP="004738C1">
      <w:pPr>
        <w:tabs>
          <w:tab w:val="left" w:pos="2161"/>
        </w:tabs>
        <w:spacing w:after="0" w:line="240" w:lineRule="auto"/>
        <w:ind w:left="120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738C1" w:rsidRPr="002356CF" w:rsidRDefault="00BB6DA1" w:rsidP="00473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4738C1" w:rsidRPr="002356CF" w:rsidRDefault="004738C1" w:rsidP="004738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vse druge informacije, ki se štejejo za pomembne za oceno zadevnega </w:t>
      </w:r>
      <w:r w:rsidR="002356CF"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ukrepa v skladu s 47</w:t>
      </w: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. členom Uredbe (EU) št. 2022/2472.</w:t>
      </w:r>
    </w:p>
    <w:p w:rsidR="00BB6DA1" w:rsidRPr="002356CF" w:rsidRDefault="00BB6DA1" w:rsidP="00BB6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356CF" w:rsidRDefault="00BB6DA1" w:rsidP="00BB6D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2356C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BB6DA1" w:rsidRPr="002356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18" w:rsidRDefault="00C82218">
      <w:pPr>
        <w:spacing w:after="0" w:line="240" w:lineRule="auto"/>
      </w:pPr>
      <w:r>
        <w:separator/>
      </w:r>
    </w:p>
  </w:endnote>
  <w:endnote w:type="continuationSeparator" w:id="0">
    <w:p w:rsidR="00C82218" w:rsidRDefault="00C8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BA" w:rsidRDefault="008906BA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285">
      <w:rPr>
        <w:noProof/>
      </w:rPr>
      <w:t>4</w:t>
    </w:r>
    <w:r>
      <w:rPr>
        <w:noProof/>
      </w:rPr>
      <w:fldChar w:fldCharType="end"/>
    </w:r>
  </w:p>
  <w:p w:rsidR="008906BA" w:rsidRDefault="008906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18" w:rsidRDefault="00C82218">
      <w:pPr>
        <w:spacing w:after="0" w:line="240" w:lineRule="auto"/>
      </w:pPr>
      <w:r>
        <w:separator/>
      </w:r>
    </w:p>
  </w:footnote>
  <w:footnote w:type="continuationSeparator" w:id="0">
    <w:p w:rsidR="00C82218" w:rsidRDefault="00C82218">
      <w:pPr>
        <w:spacing w:after="0" w:line="240" w:lineRule="auto"/>
      </w:pPr>
      <w:r>
        <w:continuationSeparator/>
      </w:r>
    </w:p>
  </w:footnote>
  <w:footnote w:id="1">
    <w:p w:rsidR="006456EA" w:rsidRPr="000A25E6" w:rsidRDefault="006456EA" w:rsidP="006456EA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EE6285">
        <w:rPr>
          <w:rFonts w:ascii="Times New Roman" w:hAnsi="Times New Roman"/>
          <w:bCs/>
          <w:color w:val="000000"/>
          <w:lang w:val="sl-SI"/>
        </w:rPr>
        <w:t xml:space="preserve">, </w:t>
      </w:r>
      <w:r w:rsidR="00EE6285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EE6285">
        <w:rPr>
          <w:rFonts w:ascii="Times New Roman" w:hAnsi="Times New Roman"/>
          <w:bCs/>
          <w:color w:val="000000"/>
          <w:lang w:val="sl-SI"/>
        </w:rPr>
        <w:t>a</w:t>
      </w:r>
      <w:r w:rsidR="00EE6285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6456EA" w:rsidRPr="005D57D1" w:rsidRDefault="006456EA" w:rsidP="006456EA">
      <w:pPr>
        <w:pStyle w:val="Sprotnaopomba-besedilo"/>
        <w:rPr>
          <w:rFonts w:ascii="Times New Roman" w:hAnsi="Times New Roman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 w:rsidRPr="005D57D1">
        <w:rPr>
          <w:rFonts w:ascii="Times New Roman" w:hAnsi="Times New Roman"/>
          <w:lang w:val="sl-SI"/>
        </w:rPr>
        <w:t xml:space="preserve">Strateški načrt SKP 2023–2027 za Slovenijo je objavljen na spletnem mestu </w:t>
      </w:r>
      <w:hyperlink r:id="rId1" w:history="1">
        <w:r w:rsidRPr="005D57D1">
          <w:rPr>
            <w:rStyle w:val="Hiperpovezava"/>
            <w:rFonts w:ascii="Times New Roman" w:hAnsi="Times New Roman"/>
            <w:lang w:val="sl-SI"/>
          </w:rPr>
          <w:t>https://skp.si/skupna-kmetijska-politika-2023-2027</w:t>
        </w:r>
      </w:hyperlink>
      <w:r w:rsidRPr="005D57D1">
        <w:rPr>
          <w:rFonts w:ascii="Times New Roman" w:hAnsi="Times New Roman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BA" w:rsidRDefault="002356CF" w:rsidP="008906BA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38F6"/>
    <w:multiLevelType w:val="multilevel"/>
    <w:tmpl w:val="FBA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EB7D77"/>
    <w:multiLevelType w:val="hybridMultilevel"/>
    <w:tmpl w:val="451E0F7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826182"/>
    <w:multiLevelType w:val="hybridMultilevel"/>
    <w:tmpl w:val="4F249A7C"/>
    <w:lvl w:ilvl="0" w:tplc="3C4ED2BA">
      <w:start w:val="1"/>
      <w:numFmt w:val="decimal"/>
      <w:lvlText w:val="(%1)"/>
      <w:lvlJc w:val="left"/>
      <w:pPr>
        <w:ind w:left="2752" w:hanging="909"/>
      </w:pPr>
      <w:rPr>
        <w:rFonts w:hint="default"/>
      </w:rPr>
    </w:lvl>
    <w:lvl w:ilvl="1" w:tplc="567C3CBC">
      <w:start w:val="1"/>
      <w:numFmt w:val="lowerLetter"/>
      <w:lvlText w:val="(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C4992"/>
    <w:multiLevelType w:val="multilevel"/>
    <w:tmpl w:val="DC287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738C1"/>
    <w:rsid w:val="00086451"/>
    <w:rsid w:val="00093266"/>
    <w:rsid w:val="000A164D"/>
    <w:rsid w:val="000A21FA"/>
    <w:rsid w:val="00141D88"/>
    <w:rsid w:val="001A718E"/>
    <w:rsid w:val="002356CF"/>
    <w:rsid w:val="00301A3E"/>
    <w:rsid w:val="0031632A"/>
    <w:rsid w:val="003178ED"/>
    <w:rsid w:val="003F7D19"/>
    <w:rsid w:val="0041608F"/>
    <w:rsid w:val="00422F53"/>
    <w:rsid w:val="004738C1"/>
    <w:rsid w:val="00540364"/>
    <w:rsid w:val="005C6079"/>
    <w:rsid w:val="006456EA"/>
    <w:rsid w:val="006A0D0C"/>
    <w:rsid w:val="006F1663"/>
    <w:rsid w:val="00744915"/>
    <w:rsid w:val="008153D5"/>
    <w:rsid w:val="008906BA"/>
    <w:rsid w:val="008F1436"/>
    <w:rsid w:val="00920CB5"/>
    <w:rsid w:val="00A12351"/>
    <w:rsid w:val="00A67E4C"/>
    <w:rsid w:val="00BB6DA1"/>
    <w:rsid w:val="00C42A30"/>
    <w:rsid w:val="00C82218"/>
    <w:rsid w:val="00DD0DD9"/>
    <w:rsid w:val="00E16303"/>
    <w:rsid w:val="00EE6285"/>
    <w:rsid w:val="00F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9E82"/>
  <w15:docId w15:val="{97D10CA1-BD90-4F46-A117-E8A9D30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0D0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8C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738C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738C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738C1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20CB5"/>
    <w:rPr>
      <w:rFonts w:ascii="Tahoma" w:hAnsi="Tahoma" w:cs="Tahoma"/>
      <w:sz w:val="16"/>
      <w:szCs w:val="16"/>
      <w:lang w:eastAsia="en-US"/>
    </w:rPr>
  </w:style>
  <w:style w:type="paragraph" w:customStyle="1" w:styleId="Text1">
    <w:name w:val="Text 1"/>
    <w:basedOn w:val="Navaden"/>
    <w:rsid w:val="000A21FA"/>
    <w:pPr>
      <w:spacing w:after="0" w:line="240" w:lineRule="auto"/>
      <w:ind w:left="851"/>
    </w:pPr>
    <w:rPr>
      <w:rFonts w:ascii="Times New Roman" w:eastAsiaTheme="minorHAnsi" w:hAnsi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E16303"/>
    <w:pPr>
      <w:ind w:left="720"/>
      <w:contextualSpacing/>
    </w:pPr>
  </w:style>
  <w:style w:type="paragraph" w:styleId="Revizija">
    <w:name w:val="Revision"/>
    <w:hidden/>
    <w:uiPriority w:val="99"/>
    <w:semiHidden/>
    <w:rsid w:val="00E16303"/>
    <w:rPr>
      <w:sz w:val="22"/>
      <w:szCs w:val="22"/>
      <w:lang w:eastAsia="en-US"/>
    </w:r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6456EA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basedOn w:val="Privzetapisavaodstavka"/>
    <w:link w:val="Sprotnaopomba-besedilo"/>
    <w:uiPriority w:val="99"/>
    <w:rsid w:val="006456EA"/>
    <w:rPr>
      <w:lang w:eastAsia="en-US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6456EA"/>
    <w:rPr>
      <w:shd w:val="clear" w:color="auto" w:fill="auto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45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kp.si/skupna-kmetijska-politika-2023-2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  <_dlc_DocId xmlns="f40d7ad0-5649-4733-b9d0-b459e047d264">COMPCOLLAB-474933883-451</_dlc_DocId>
    <_dlc_DocIdUrl xmlns="f40d7ad0-5649-4733-b9d0-b459e047d264">
      <Url>https://compcollab.ec.europa.eu/cases/HT.5788/_layouts/15/DocIdRedir.aspx?ID=COMPCOLLAB-474933883-451</Url>
      <Description>COMPCOLLAB-474933883-451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340DE8-C5D1-442E-B3F0-CC187283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1E9C5-BE5E-4EE0-B28C-54BEB72101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0d7ad0-5649-4733-b9d0-b459e047d26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27CA23-B0C7-400D-8D04-EC78F692E6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Plešej</cp:lastModifiedBy>
  <cp:revision>6</cp:revision>
  <dcterms:created xsi:type="dcterms:W3CDTF">2023-04-19T08:21:00Z</dcterms:created>
  <dcterms:modified xsi:type="dcterms:W3CDTF">2024-02-02T10:55:00Z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0x01010400988603A364794F7AA753E65AAE7328050018BB7BF768DACF49847E0B09621D410A</vt:lpwstr>
  </property>
  <property fmtid="{D5CDD505-2E9C-101B-9397-08002B2CF9AE}" pid="3" name="_dlc_DocIdItemGuid">
    <vt:lpwstr>64454fe9-36b6-4489-997b-5e42db183ad6</vt:lpwstr>
  </property>
  <property fmtid="{D5CDD505-2E9C-101B-9397-08002B2CF9AE}" pid="4" name="documentCaseTags">
    <vt:lpwstr/>
  </property>
  <property fmtid="{D5CDD505-2E9C-101B-9397-08002B2CF9AE}" pid="5" name="documentGeneralTags">
    <vt:lpwstr/>
  </property>
</Properties>
</file>