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738C1" w:rsidRPr="002E7749" w:rsidTr="006456EA">
        <w:trPr>
          <w:trHeight w:val="992"/>
        </w:trPr>
        <w:tc>
          <w:tcPr>
            <w:tcW w:w="9214" w:type="dxa"/>
            <w:shd w:val="pct15" w:color="auto" w:fill="FFFFFF"/>
          </w:tcPr>
          <w:p w:rsidR="004738C1" w:rsidRPr="002E7749" w:rsidRDefault="006456EA" w:rsidP="008A6161">
            <w:pPr>
              <w:shd w:val="pct20" w:color="auto" w:fill="FFFFFF"/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sz w:val="32"/>
                <w:szCs w:val="32"/>
                <w:lang w:val="sl-SI" w:eastAsia="en-GB"/>
              </w:rPr>
            </w:pPr>
            <w:r w:rsidRPr="002E7749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 xml:space="preserve">Obrazec za dodatne informacije o pomoči </w:t>
            </w:r>
            <w:r w:rsidR="0015419D" w:rsidRPr="002E7749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 xml:space="preserve">za </w:t>
            </w:r>
            <w:r w:rsidR="005A686A" w:rsidRPr="005A686A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preprečevanje in odpravo škode v gozdovih</w:t>
            </w:r>
          </w:p>
        </w:tc>
      </w:tr>
    </w:tbl>
    <w:p w:rsidR="004738C1" w:rsidRPr="002E7749" w:rsidRDefault="004738C1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E7749" w:rsidRDefault="006456EA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</w:t>
      </w:r>
      <w:r w:rsidR="008A6161" w:rsidRPr="008A6161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za preprečevanje in odpravo škode v gozdovih</w:t>
      </w:r>
      <w:r w:rsidR="001548BF" w:rsidRPr="00AE693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</w:t>
      </w:r>
      <w:r w:rsidR="008A6161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 kot je opisano v 43</w:t>
      </w:r>
      <w:r w:rsidRPr="002E774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 členu Uredbe (EU) št. 2022/2472.</w:t>
      </w:r>
      <w:r w:rsidRPr="002E7749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31632A" w:rsidRPr="002E7749" w:rsidRDefault="0031632A" w:rsidP="003F7D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544BD" w:rsidRPr="000544BD" w:rsidRDefault="004B1885" w:rsidP="000544BD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Navedite, zaradi katerih razlogov bo dodeljena pomoč za preprečevanje in odpravo škode v gozdovih:</w:t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</w:t>
      </w:r>
      <w:r w:rsidR="004B1885">
        <w:rPr>
          <w:rFonts w:ascii="Times New Roman" w:eastAsia="Times New Roman" w:hAnsi="Times New Roman"/>
          <w:sz w:val="24"/>
          <w:szCs w:val="24"/>
          <w:lang w:val="sl-SI" w:eastAsia="en-GB"/>
        </w:rPr>
        <w:t>gozdnih požarov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</w:p>
    <w:p w:rsidR="00A96CA5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DF542A">
        <w:rPr>
          <w:rFonts w:ascii="Times New Roman" w:eastAsia="Times New Roman" w:hAnsi="Times New Roman"/>
          <w:sz w:val="24"/>
          <w:szCs w:val="24"/>
          <w:lang w:val="sl-SI" w:eastAsia="en-GB"/>
        </w:rPr>
        <w:t>naravnih nesreč;</w:t>
      </w:r>
      <w:r w:rsidR="00DF542A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(c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DF542A" w:rsidRPr="00DF542A">
        <w:rPr>
          <w:rFonts w:ascii="Times New Roman" w:eastAsia="Times New Roman" w:hAnsi="Times New Roman"/>
          <w:sz w:val="24"/>
          <w:szCs w:val="24"/>
          <w:lang w:val="sl-SI" w:eastAsia="en-GB"/>
        </w:rPr>
        <w:t>slabih vremenskih razmer, ki jih je mogoče enačiti z naravnimi nesrečami</w:t>
      </w:r>
      <w:r w:rsidRPr="00A96CA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  <w:r w:rsidR="00DF542A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3"/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(č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DF542A" w:rsidRPr="00DF542A">
        <w:rPr>
          <w:rFonts w:ascii="Times New Roman" w:eastAsia="Times New Roman" w:hAnsi="Times New Roman"/>
          <w:sz w:val="24"/>
          <w:szCs w:val="24"/>
          <w:lang w:val="sl-SI" w:eastAsia="en-GB"/>
        </w:rPr>
        <w:t>drugih slabih vremenskih razmer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  <w:r w:rsidR="00DF542A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4"/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544BD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(d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DF542A" w:rsidRPr="00DF542A">
        <w:rPr>
          <w:rFonts w:ascii="Times New Roman" w:eastAsia="Times New Roman" w:hAnsi="Times New Roman"/>
          <w:sz w:val="24"/>
          <w:szCs w:val="24"/>
          <w:lang w:val="sl-SI" w:eastAsia="en-GB"/>
        </w:rPr>
        <w:t>škodljivih organizmov rastlin</w:t>
      </w:r>
      <w:r w:rsidR="00DF542A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  <w:r w:rsidR="00DF542A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5"/>
      </w:r>
    </w:p>
    <w:p w:rsidR="00DF542A" w:rsidRDefault="00DF542A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F542A" w:rsidRDefault="00DF542A" w:rsidP="00DF542A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(e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Pr="00DF542A">
        <w:rPr>
          <w:rFonts w:ascii="Times New Roman" w:eastAsia="Times New Roman" w:hAnsi="Times New Roman"/>
          <w:sz w:val="24"/>
          <w:szCs w:val="24"/>
          <w:lang w:val="sl-SI" w:eastAsia="en-GB"/>
        </w:rPr>
        <w:t>katastrofalnih dogodkov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  <w:r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6"/>
      </w:r>
    </w:p>
    <w:p w:rsidR="00DF542A" w:rsidRDefault="00DF542A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F542A" w:rsidRDefault="00DF542A" w:rsidP="00DF542A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(f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Pr="00DF542A">
        <w:rPr>
          <w:rFonts w:ascii="Times New Roman" w:eastAsia="Times New Roman" w:hAnsi="Times New Roman"/>
          <w:sz w:val="24"/>
          <w:szCs w:val="24"/>
          <w:lang w:val="sl-SI" w:eastAsia="en-GB"/>
        </w:rPr>
        <w:t>dogodkov, povezanih s podnebnimi spremembami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4B1885" w:rsidRDefault="004B1885" w:rsidP="003F7D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4B1885" w:rsidRPr="002E7749" w:rsidRDefault="004B1885" w:rsidP="004B1885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lastRenderedPageBreak/>
        <w:t xml:space="preserve">Ali </w:t>
      </w:r>
      <w:r>
        <w:rPr>
          <w:rFonts w:ascii="Times New Roman" w:hAnsi="Times New Roman"/>
          <w:sz w:val="24"/>
          <w:szCs w:val="24"/>
          <w:lang w:val="sl-SI"/>
        </w:rPr>
        <w:t>so dejavnosti ali projekti, ki prejmejo pomoč, v skladu z nacionalnim načrtom za varstvo gozdov</w:t>
      </w:r>
      <w:r w:rsidRPr="002E7749">
        <w:rPr>
          <w:rFonts w:ascii="Times New Roman" w:hAnsi="Times New Roman"/>
          <w:sz w:val="24"/>
          <w:szCs w:val="24"/>
          <w:lang w:val="sl-SI"/>
        </w:rPr>
        <w:t>?</w:t>
      </w:r>
    </w:p>
    <w:p w:rsidR="004B1885" w:rsidRPr="002E7749" w:rsidRDefault="004B1885" w:rsidP="004B188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4B1885" w:rsidRPr="002E7749" w:rsidRDefault="004B1885" w:rsidP="004B188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B1885" w:rsidRPr="002E7749" w:rsidRDefault="004B1885" w:rsidP="004B188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4B1885" w:rsidRPr="002E7749" w:rsidRDefault="004B1885" w:rsidP="004B1885">
      <w:pPr>
        <w:tabs>
          <w:tab w:val="left" w:leader="dot" w:pos="9072"/>
        </w:tabs>
        <w:spacing w:after="0" w:line="240" w:lineRule="auto"/>
        <w:ind w:left="567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E7749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4B1885" w:rsidRDefault="004B1885" w:rsidP="004B18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B1885" w:rsidRDefault="004B1885" w:rsidP="004B188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766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nikalen, načrta pomoči ni mogoče priglasiti v skladu s pravili o državni pomoči po skupinski izjemi.</w:t>
      </w:r>
    </w:p>
    <w:p w:rsidR="004B1885" w:rsidRPr="002E7749" w:rsidRDefault="004B1885" w:rsidP="003F7D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BB6DA1" w:rsidRPr="002E7749" w:rsidRDefault="0019246C" w:rsidP="00BB6DA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>Navedite upravičene stroške:</w:t>
      </w:r>
    </w:p>
    <w:p w:rsidR="00BB6DA1" w:rsidRPr="002E7749" w:rsidRDefault="00BB6DA1" w:rsidP="00A15D2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A15D21" w:rsidRPr="00A15D21">
        <w:rPr>
          <w:rFonts w:ascii="Times New Roman" w:eastAsia="Times New Roman" w:hAnsi="Times New Roman"/>
          <w:sz w:val="24"/>
          <w:szCs w:val="24"/>
          <w:lang w:val="sl-SI" w:eastAsia="en-GB"/>
        </w:rPr>
        <w:t>vzpostavitev zaščitne infrastrukture, vključno s stroški vzdrževanja v primeru protipožarnih presek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; 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9017DD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A15D21" w:rsidRPr="00A15D21">
        <w:rPr>
          <w:rFonts w:ascii="Times New Roman" w:eastAsia="Times New Roman" w:hAnsi="Times New Roman"/>
          <w:sz w:val="24"/>
          <w:szCs w:val="24"/>
          <w:lang w:val="sl-SI" w:eastAsia="en-GB"/>
        </w:rPr>
        <w:t>lokalne dejavnosti majhnega obsega za preprečevanje požarov ali drugih naravnih nesreč, vključno s stroški uporabe pašnih živali, kot so hlevi, napajanje, ograje in prevoz živali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(c) </w:t>
      </w:r>
      <w:r w:rsidR="00A15D21" w:rsidRPr="00A15D21">
        <w:rPr>
          <w:rFonts w:ascii="Times New Roman" w:eastAsia="Times New Roman" w:hAnsi="Times New Roman"/>
          <w:sz w:val="24"/>
          <w:szCs w:val="24"/>
          <w:lang w:val="sl-SI" w:eastAsia="en-GB"/>
        </w:rPr>
        <w:t>ustanovitev in izboljšanje zmogljivosti za spremljanje gozdnih požarov, škodljivih organizmov rastlin in bolezni ter opremo za obveščanje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9246C" w:rsidRPr="002E7749" w:rsidRDefault="00BB6DA1" w:rsidP="00A15D2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(č) </w:t>
      </w:r>
      <w:r w:rsidR="00A15D21" w:rsidRPr="00A15D21">
        <w:rPr>
          <w:rFonts w:ascii="Times New Roman" w:eastAsia="Times New Roman" w:hAnsi="Times New Roman"/>
          <w:sz w:val="24"/>
          <w:szCs w:val="24"/>
          <w:lang w:val="sl-SI" w:eastAsia="en-GB"/>
        </w:rPr>
        <w:t>obnavljanje proizvodnega potenciala gozdov, ki so bili poškodovani v požarih, naravnih nesrečah, slabih vremenskih razmerah, ki jih je mogoče enačiti z naravnimi nesrečami, drugih slabih vremenskih razmerah, zaradi škodljivih organizmov rastlin, katastrofalnih dogodkov in dogodkov, povezanih s podnebnimi spremembami</w:t>
      </w:r>
      <w:r w:rsidR="00A15D21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A064B4" w:rsidRDefault="00A064B4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064B4" w:rsidRPr="000544BD" w:rsidRDefault="00A064B4" w:rsidP="00A064B4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Ali je pri pomoči </w:t>
      </w:r>
      <w:r w:rsidRPr="00A064B4">
        <w:rPr>
          <w:rFonts w:ascii="Times New Roman" w:hAnsi="Times New Roman"/>
          <w:sz w:val="24"/>
          <w:szCs w:val="24"/>
          <w:lang w:val="sl-SI"/>
        </w:rPr>
        <w:t>za preprečevanje škode v gozdu zaradi škodlji</w:t>
      </w:r>
      <w:r>
        <w:rPr>
          <w:rFonts w:ascii="Times New Roman" w:hAnsi="Times New Roman"/>
          <w:sz w:val="24"/>
          <w:szCs w:val="24"/>
          <w:lang w:val="sl-SI"/>
        </w:rPr>
        <w:t>vih organizmov rastlin</w:t>
      </w:r>
      <w:r w:rsidRPr="00A064B4">
        <w:rPr>
          <w:rFonts w:ascii="Times New Roman" w:hAnsi="Times New Roman"/>
          <w:sz w:val="24"/>
          <w:szCs w:val="24"/>
          <w:lang w:val="sl-SI"/>
        </w:rPr>
        <w:t xml:space="preserve"> tveganje pojava škodljivih organizmov rastlin podprto z znanstvenimi dokazi in priznano s strani javne znanstvene organizacije</w:t>
      </w:r>
      <w:r>
        <w:rPr>
          <w:rFonts w:ascii="Times New Roman" w:hAnsi="Times New Roman"/>
          <w:sz w:val="24"/>
          <w:szCs w:val="24"/>
          <w:lang w:val="sl-SI"/>
        </w:rPr>
        <w:t>?</w:t>
      </w:r>
    </w:p>
    <w:p w:rsidR="00A064B4" w:rsidRDefault="00A064B4" w:rsidP="00A064B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064B4" w:rsidRDefault="00A064B4" w:rsidP="00A064B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4B1885" w:rsidRDefault="00A064B4" w:rsidP="00A064B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pritrdilen, </w:t>
      </w:r>
      <w:r w:rsidR="004B188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navedite informacije v zvezi s tem pogojem, vključno s s</w:t>
      </w:r>
      <w:r w:rsidR="004B1885" w:rsidRPr="004B188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eznam</w:t>
      </w:r>
      <w:r w:rsidR="004B188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om</w:t>
      </w:r>
      <w:r w:rsidR="004B1885" w:rsidRPr="004B188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vrst škodljivih organizmov rastlin, ki povzročijo ali lahko povz</w:t>
      </w:r>
      <w:r w:rsidR="004B188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ročijo škodo</w:t>
      </w:r>
      <w:r w:rsidR="004B1885" w:rsidRPr="004B188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:</w:t>
      </w:r>
    </w:p>
    <w:p w:rsidR="004B1885" w:rsidRPr="002E7749" w:rsidRDefault="004B1885" w:rsidP="004B1885">
      <w:pPr>
        <w:tabs>
          <w:tab w:val="left" w:leader="dot" w:pos="9072"/>
        </w:tabs>
        <w:spacing w:after="0" w:line="240" w:lineRule="auto"/>
        <w:ind w:left="567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E7749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4B1885" w:rsidRDefault="004B1885" w:rsidP="00A064B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4B1885" w:rsidRPr="0006213A" w:rsidRDefault="004B1885" w:rsidP="004B188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A064B4" w:rsidRDefault="00A064B4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064B4" w:rsidRPr="002E7749" w:rsidRDefault="00A064B4" w:rsidP="00A064B4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 xml:space="preserve">Ali bo </w:t>
      </w:r>
      <w:r w:rsidRPr="002E7749">
        <w:rPr>
          <w:rFonts w:ascii="Times New Roman" w:hAnsi="Times New Roman"/>
          <w:sz w:val="24"/>
          <w:szCs w:val="24"/>
          <w:lang w:val="sl-SI"/>
        </w:rPr>
        <w:t>pomoč</w:t>
      </w:r>
      <w:r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1756D5">
        <w:rPr>
          <w:rFonts w:ascii="Times New Roman" w:hAnsi="Times New Roman"/>
          <w:sz w:val="24"/>
          <w:szCs w:val="24"/>
          <w:lang w:val="sl-SI"/>
        </w:rPr>
        <w:t>za upravičene stroške iz točke 3</w:t>
      </w:r>
      <w:r>
        <w:rPr>
          <w:rFonts w:ascii="Times New Roman" w:hAnsi="Times New Roman"/>
          <w:sz w:val="24"/>
          <w:szCs w:val="24"/>
          <w:lang w:val="sl-SI"/>
        </w:rPr>
        <w:t>.(č) tega obrazca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dodeljena velikim podjetjem?</w:t>
      </w:r>
      <w:r w:rsidRPr="002E7749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7"/>
      </w:r>
    </w:p>
    <w:p w:rsidR="00A064B4" w:rsidRPr="002E7749" w:rsidRDefault="00A064B4" w:rsidP="00A064B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064B4" w:rsidRPr="002E7749" w:rsidRDefault="00A064B4" w:rsidP="00A064B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A064B4" w:rsidRPr="002E7749" w:rsidRDefault="00A064B4" w:rsidP="00A064B4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Če je odgovor pritrdilen, ali bo pomoč velikim podjetjem pogojena s predstavitvijo ustreznih informacij iz načrta za gospodarjenje z gozdovi ali enakovrednega instrumenta v skladu s Splošnimi smernicami za trajnostno gospodarjenje z gozdovi v Evropi?</w:t>
      </w:r>
      <w:r w:rsidRPr="002E7749">
        <w:rPr>
          <w:rStyle w:val="Sprotnaopomba-sklic"/>
          <w:rFonts w:ascii="Times New Roman" w:eastAsia="Times New Roman" w:hAnsi="Times New Roman"/>
          <w:iCs/>
          <w:sz w:val="24"/>
          <w:szCs w:val="24"/>
          <w:lang w:val="sl-SI" w:eastAsia="en-GB"/>
        </w:rPr>
        <w:footnoteReference w:id="8"/>
      </w:r>
    </w:p>
    <w:p w:rsidR="00A064B4" w:rsidRPr="002E7749" w:rsidRDefault="00A064B4" w:rsidP="00A064B4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A064B4" w:rsidRPr="002E7749" w:rsidRDefault="00A064B4" w:rsidP="00A064B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064B4" w:rsidRPr="002E7749" w:rsidRDefault="00A064B4" w:rsidP="00A064B4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A064B4" w:rsidRPr="002E7749" w:rsidRDefault="00A064B4" w:rsidP="00A064B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navedite sklic na določbo pravne podlage načrta pomoči v zvezi s tem pogojem:</w:t>
      </w:r>
    </w:p>
    <w:p w:rsidR="00A064B4" w:rsidRPr="002E7749" w:rsidRDefault="00A064B4" w:rsidP="00A064B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A064B4" w:rsidRDefault="00A064B4" w:rsidP="00A064B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064B4" w:rsidRDefault="00A064B4" w:rsidP="00A064B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se pomoč dodeli občinam</w:t>
      </w:r>
      <w:r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letnim proračunom manj kot 1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0 milijonov EUR in z manj kot 5.</w:t>
      </w:r>
      <w:r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>000 prebivalci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A064B4" w:rsidRDefault="00A064B4" w:rsidP="00A064B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064B4" w:rsidRPr="002E7749" w:rsidRDefault="00A064B4" w:rsidP="00A064B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064B4" w:rsidRDefault="00A064B4" w:rsidP="00A064B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064B4" w:rsidRPr="002E7749" w:rsidRDefault="00A064B4" w:rsidP="00A064B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Upoštevajte, da se ta pogoj ne uporablja za pomoč, ki se dodeli občinam</w:t>
      </w:r>
      <w:r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letnim proračunom manj kot 10 milijonov EUR in z manj kot 5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>000 prebivalci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. Če je odgovor nikalen,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DF542A" w:rsidRDefault="00DF542A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F542A" w:rsidRPr="002E7749" w:rsidRDefault="001756D5" w:rsidP="00DF542A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je</w:t>
      </w:r>
      <w:r w:rsidR="00DF542A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DF542A" w:rsidRPr="002E7749">
        <w:rPr>
          <w:rFonts w:ascii="Times New Roman" w:hAnsi="Times New Roman"/>
          <w:sz w:val="24"/>
          <w:szCs w:val="24"/>
          <w:lang w:val="sl-SI"/>
        </w:rPr>
        <w:t>pomoč</w:t>
      </w:r>
      <w:r w:rsidR="00DF542A"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za upravičene stroške iz točke 3</w:t>
      </w:r>
      <w:r w:rsidR="00DF542A">
        <w:rPr>
          <w:rFonts w:ascii="Times New Roman" w:hAnsi="Times New Roman"/>
          <w:sz w:val="24"/>
          <w:szCs w:val="24"/>
          <w:lang w:val="sl-SI"/>
        </w:rPr>
        <w:t>.(č) tega obrazca</w:t>
      </w:r>
      <w:r w:rsidR="00DF542A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pogojena z:</w:t>
      </w:r>
    </w:p>
    <w:p w:rsidR="001756D5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Pr="001756D5">
        <w:rPr>
          <w:rFonts w:ascii="Times New Roman" w:eastAsia="Times New Roman" w:hAnsi="Times New Roman"/>
          <w:sz w:val="24"/>
          <w:szCs w:val="24"/>
          <w:lang w:val="sl-SI" w:eastAsia="en-GB"/>
        </w:rPr>
        <w:t>uradnim priznanjem pristojnih organov zadevne države članice, da so se zgodili požar, naravna nesreča, slabe vremenske razmere, ki jih je mogoče enačiti z naravno nesrečo, druge slabe vremenske razmere, pojav škodljivega organizma rastline, katastrofalni dogodek ali dogodek, povezan s podnebnimi spremembami, ter s predložitvijo dokazov s strani upravičencev o ustreznih orodjih za obvladovanje tveganja za obravnavo morebitnega pojava škodnega dogodka v prihodnosti, kjer je ustrezno;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1756D5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756D5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Navedite akt o uradnem priznanju pojava pristojnega organa in informacije o predložitvi dokazov s strani upravičencev o ustreznih orodjih za obvladovanje tveganja za obravnavo morebitnega pojava škodnega dogodka v prihodnosti, kjer je to ustrezno:</w:t>
      </w:r>
    </w:p>
    <w:p w:rsidR="001756D5" w:rsidRPr="002E7749" w:rsidRDefault="001756D5" w:rsidP="001756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</w:t>
      </w:r>
    </w:p>
    <w:p w:rsidR="001756D5" w:rsidRPr="002E7749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756D5" w:rsidRPr="002E7749" w:rsidRDefault="001756D5" w:rsidP="001756D5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756D5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Pr="001756D5">
        <w:rPr>
          <w:rFonts w:ascii="Times New Roman" w:eastAsia="Times New Roman" w:hAnsi="Times New Roman"/>
          <w:sz w:val="24"/>
          <w:szCs w:val="24"/>
          <w:lang w:val="sl-SI" w:eastAsia="en-GB"/>
        </w:rPr>
        <w:t>uradnim priznanjem pristojnih organov zadevne države članice, da so bili izvedeni ukrepi za boj proti škodljivemu organizmu rastline, njegovo izkoreninjenje ali zajezitev širjenja v skladu z Uredbo (EU) 2016/2031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1756D5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756D5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Navedite akt o uradnem priznanju pristojnega organa:</w:t>
      </w:r>
    </w:p>
    <w:p w:rsidR="001756D5" w:rsidRPr="002E7749" w:rsidRDefault="001756D5" w:rsidP="001756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</w:t>
      </w:r>
    </w:p>
    <w:p w:rsidR="001756D5" w:rsidRPr="002E7749" w:rsidRDefault="001756D5" w:rsidP="001756D5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1756D5" w:rsidRPr="002E7749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(c) </w:t>
      </w:r>
      <w:r w:rsidRPr="001756D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v primeru pomoči v skladu s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točko (c) tretjega odstavka 107. </w:t>
      </w:r>
      <w:r w:rsidRPr="001756D5">
        <w:rPr>
          <w:rFonts w:ascii="Times New Roman" w:eastAsia="Times New Roman" w:hAnsi="Times New Roman"/>
          <w:sz w:val="24"/>
          <w:szCs w:val="24"/>
          <w:lang w:val="sl-SI" w:eastAsia="en-GB"/>
        </w:rPr>
        <w:t>člen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1756D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Pogodbe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o delovanju Evropske unije </w:t>
      </w:r>
      <w:r w:rsidRPr="001756D5">
        <w:rPr>
          <w:rFonts w:ascii="Times New Roman" w:eastAsia="Times New Roman" w:hAnsi="Times New Roman"/>
          <w:sz w:val="24"/>
          <w:szCs w:val="24"/>
          <w:lang w:val="sl-SI" w:eastAsia="en-GB"/>
        </w:rPr>
        <w:t>predložitvijo dokaza s strani upravičencev, da bo taka obnova vključevala ukrepe za prilagajanje podnebnim spremembam, razen če so taki ukrepi za prilagajanje sestavni del sheme in veljajo za vse upravičence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1756D5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756D5" w:rsidRDefault="001756D5" w:rsidP="001756D5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Navedite sklic na</w:t>
      </w:r>
      <w:r w:rsidRPr="001756D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določbo pravne podlage načrta pomoči v zvezi s tem pogojem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1756D5" w:rsidRPr="002E7749" w:rsidRDefault="001756D5" w:rsidP="001756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</w:t>
      </w:r>
    </w:p>
    <w:p w:rsidR="00DF542A" w:rsidRPr="002E7749" w:rsidRDefault="00DF542A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CF1A1C" w:rsidP="00CF1A1C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>Ali upravičeni stroški vključujejo naslednje stroške?</w:t>
      </w:r>
    </w:p>
    <w:p w:rsidR="00CF1A1C" w:rsidRPr="002E7749" w:rsidRDefault="00CF1A1C" w:rsidP="00CF1A1C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A15D21" w:rsidRPr="00A15D21">
        <w:rPr>
          <w:rFonts w:ascii="Times New Roman" w:eastAsia="Times New Roman" w:hAnsi="Times New Roman"/>
          <w:sz w:val="24"/>
          <w:szCs w:val="24"/>
          <w:lang w:val="sl-SI" w:eastAsia="en-GB"/>
        </w:rPr>
        <w:t>povezane kmetijske dejavnosti na območjih, vključenih v kmetijs</w:t>
      </w:r>
      <w:r w:rsidR="00A15D21">
        <w:rPr>
          <w:rFonts w:ascii="Times New Roman" w:eastAsia="Times New Roman" w:hAnsi="Times New Roman"/>
          <w:sz w:val="24"/>
          <w:szCs w:val="24"/>
          <w:lang w:val="sl-SI" w:eastAsia="en-GB"/>
        </w:rPr>
        <w:t>ko-</w:t>
      </w:r>
      <w:proofErr w:type="spellStart"/>
      <w:r w:rsidR="00A15D21">
        <w:rPr>
          <w:rFonts w:ascii="Times New Roman" w:eastAsia="Times New Roman" w:hAnsi="Times New Roman"/>
          <w:sz w:val="24"/>
          <w:szCs w:val="24"/>
          <w:lang w:val="sl-SI" w:eastAsia="en-GB"/>
        </w:rPr>
        <w:t>okoljske</w:t>
      </w:r>
      <w:proofErr w:type="spellEnd"/>
      <w:r w:rsidR="00A15D2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obveznosti iz </w:t>
      </w:r>
      <w:r w:rsidR="00A15D21" w:rsidRPr="00A15D21">
        <w:rPr>
          <w:rFonts w:ascii="Times New Roman" w:eastAsia="Times New Roman" w:hAnsi="Times New Roman"/>
          <w:sz w:val="24"/>
          <w:szCs w:val="24"/>
          <w:lang w:val="sl-SI" w:eastAsia="en-GB"/>
        </w:rPr>
        <w:t>34</w:t>
      </w:r>
      <w:r w:rsidR="00A15D21">
        <w:rPr>
          <w:rFonts w:ascii="Times New Roman" w:eastAsia="Times New Roman" w:hAnsi="Times New Roman"/>
          <w:sz w:val="24"/>
          <w:szCs w:val="24"/>
          <w:lang w:val="sl-SI" w:eastAsia="en-GB"/>
        </w:rPr>
        <w:t>. člena Uredbe (EU) št. 2022/2472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CF1A1C" w:rsidRPr="002E7749" w:rsidRDefault="00CF1A1C" w:rsidP="00CF1A1C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CF1A1C" w:rsidP="00CF1A1C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A15D2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izpad dohodka </w:t>
      </w:r>
      <w:r w:rsidR="00A15D21" w:rsidRPr="00A15D21">
        <w:rPr>
          <w:rFonts w:ascii="Times New Roman" w:eastAsia="Times New Roman" w:hAnsi="Times New Roman"/>
          <w:sz w:val="24"/>
          <w:szCs w:val="24"/>
          <w:lang w:val="sl-SI" w:eastAsia="en-GB"/>
        </w:rPr>
        <w:t>zaradi požarov, naravnih nesreč, slabih vremenskih razmer, ki jih je mogoče enačiti z naravnimi nesrečami, drugih slabih vremenskih razmer, škodljivih organizmov rastlin, katastrofalnih dogodkov in dogodkov, povezanih s podnebnimi spremembami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CF1A1C" w:rsidRPr="002E7749" w:rsidRDefault="00CF1A1C" w:rsidP="00BB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A15D21" w:rsidP="00CF1A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15D21">
        <w:rPr>
          <w:rFonts w:ascii="Times New Roman" w:eastAsia="Times New Roman" w:hAnsi="Times New Roman"/>
          <w:sz w:val="24"/>
          <w:szCs w:val="24"/>
          <w:lang w:val="sl-SI" w:eastAsia="en-GB"/>
        </w:rPr>
        <w:t>Če je med upravičene stroške vključen kateri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koli od stroškov iz točk (a) ali (b</w:t>
      </w:r>
      <w:r w:rsidRPr="00A15D21">
        <w:rPr>
          <w:rFonts w:ascii="Times New Roman" w:eastAsia="Times New Roman" w:hAnsi="Times New Roman"/>
          <w:sz w:val="24"/>
          <w:szCs w:val="24"/>
          <w:lang w:val="sl-SI" w:eastAsia="en-GB"/>
        </w:rPr>
        <w:t>), upoštevajte, da načrta pomoči ni mogoče priglasiti v skladu s pravili o državni pomoči po skupinski izjemi.</w:t>
      </w:r>
    </w:p>
    <w:p w:rsidR="00F7666F" w:rsidRDefault="00F7666F" w:rsidP="00BB6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7666F" w:rsidRPr="002E7749" w:rsidRDefault="00F7666F" w:rsidP="00F7666F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Ali je</w:t>
      </w:r>
      <w:r w:rsidRPr="002E7749">
        <w:rPr>
          <w:rFonts w:ascii="Times New Roman" w:hAnsi="Times New Roman"/>
          <w:sz w:val="24"/>
          <w:szCs w:val="24"/>
          <w:lang w:val="sl-SI"/>
        </w:rPr>
        <w:t xml:space="preserve"> največja intenzivnost pomoči, izražena kot odstotek upravičen</w:t>
      </w:r>
      <w:r>
        <w:rPr>
          <w:rFonts w:ascii="Times New Roman" w:hAnsi="Times New Roman"/>
          <w:sz w:val="24"/>
          <w:szCs w:val="24"/>
          <w:lang w:val="sl-SI"/>
        </w:rPr>
        <w:t>ih stroškov naložbe, omejena na 100 % upravičenih stroškov:</w:t>
      </w:r>
    </w:p>
    <w:p w:rsidR="00F7666F" w:rsidRPr="002E7749" w:rsidRDefault="00F7666F" w:rsidP="00F7666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F7666F" w:rsidRPr="002E7749" w:rsidRDefault="00F7666F" w:rsidP="00F7666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7666F" w:rsidRPr="002E7749" w:rsidRDefault="00F7666F" w:rsidP="00F7666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F7666F" w:rsidRPr="002E7749" w:rsidRDefault="00F7666F" w:rsidP="00F7666F">
      <w:pPr>
        <w:tabs>
          <w:tab w:val="left" w:leader="dot" w:pos="9072"/>
        </w:tabs>
        <w:spacing w:after="0" w:line="240" w:lineRule="auto"/>
        <w:ind w:left="567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E7749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7666F" w:rsidRDefault="00F7666F" w:rsidP="00F7666F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7666F" w:rsidRPr="0006213A" w:rsidRDefault="00F7666F" w:rsidP="00F7666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F7666F" w:rsidRPr="002E7749" w:rsidRDefault="00F7666F" w:rsidP="00BB6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15D21" w:rsidRPr="005B45C5" w:rsidRDefault="00A15D21" w:rsidP="00A15D2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Ali je p</w:t>
      </w:r>
      <w:r w:rsidRPr="00A15D21">
        <w:rPr>
          <w:rFonts w:ascii="Times New Roman" w:hAnsi="Times New Roman"/>
          <w:sz w:val="24"/>
          <w:szCs w:val="24"/>
          <w:lang w:val="sl-SI"/>
        </w:rPr>
        <w:t xml:space="preserve">omoč, dodeljena za upravičene stroške iz </w:t>
      </w:r>
      <w:r>
        <w:rPr>
          <w:rFonts w:ascii="Times New Roman" w:hAnsi="Times New Roman"/>
          <w:sz w:val="24"/>
          <w:szCs w:val="24"/>
          <w:lang w:val="sl-SI"/>
        </w:rPr>
        <w:t xml:space="preserve">točke </w:t>
      </w:r>
      <w:r w:rsidR="00B8197E">
        <w:rPr>
          <w:rFonts w:ascii="Times New Roman" w:hAnsi="Times New Roman"/>
          <w:sz w:val="24"/>
          <w:szCs w:val="24"/>
          <w:lang w:val="sl-SI"/>
        </w:rPr>
        <w:t>3</w:t>
      </w:r>
      <w:r>
        <w:rPr>
          <w:rFonts w:ascii="Times New Roman" w:hAnsi="Times New Roman"/>
          <w:sz w:val="24"/>
          <w:szCs w:val="24"/>
          <w:lang w:val="sl-SI"/>
        </w:rPr>
        <w:t>.(č) tega obrazca</w:t>
      </w:r>
      <w:r w:rsidRPr="00A15D21">
        <w:rPr>
          <w:rFonts w:ascii="Times New Roman" w:hAnsi="Times New Roman"/>
          <w:sz w:val="24"/>
          <w:szCs w:val="24"/>
          <w:lang w:val="sl-SI"/>
        </w:rPr>
        <w:t xml:space="preserve">, in druga plačila, ki jih prejme upravičenec, vključno s plačili na podlagi drugega nacionalnega ukrepa ali ukrepa </w:t>
      </w:r>
      <w:r>
        <w:rPr>
          <w:rFonts w:ascii="Times New Roman" w:hAnsi="Times New Roman"/>
          <w:sz w:val="24"/>
          <w:szCs w:val="24"/>
          <w:lang w:val="sl-SI"/>
        </w:rPr>
        <w:t>EU</w:t>
      </w:r>
      <w:r w:rsidRPr="00A15D21">
        <w:rPr>
          <w:rFonts w:ascii="Times New Roman" w:hAnsi="Times New Roman"/>
          <w:sz w:val="24"/>
          <w:szCs w:val="24"/>
          <w:lang w:val="sl-SI"/>
        </w:rPr>
        <w:t xml:space="preserve"> ali zavarovalnih poli</w:t>
      </w:r>
      <w:r>
        <w:rPr>
          <w:rFonts w:ascii="Times New Roman" w:hAnsi="Times New Roman"/>
          <w:sz w:val="24"/>
          <w:szCs w:val="24"/>
          <w:lang w:val="sl-SI"/>
        </w:rPr>
        <w:t>c za iste upravičene stroške, omejena</w:t>
      </w:r>
      <w:r w:rsidR="00B8197E">
        <w:rPr>
          <w:rFonts w:ascii="Times New Roman" w:hAnsi="Times New Roman"/>
          <w:sz w:val="24"/>
          <w:szCs w:val="24"/>
          <w:lang w:val="sl-SI"/>
        </w:rPr>
        <w:t xml:space="preserve"> na 100 </w:t>
      </w:r>
      <w:r w:rsidRPr="00A15D21">
        <w:rPr>
          <w:rFonts w:ascii="Times New Roman" w:hAnsi="Times New Roman"/>
          <w:sz w:val="24"/>
          <w:szCs w:val="24"/>
          <w:lang w:val="sl-SI"/>
        </w:rPr>
        <w:t xml:space="preserve">% </w:t>
      </w:r>
      <w:r>
        <w:rPr>
          <w:rFonts w:ascii="Times New Roman" w:hAnsi="Times New Roman"/>
          <w:sz w:val="24"/>
          <w:szCs w:val="24"/>
          <w:lang w:val="sl-SI"/>
        </w:rPr>
        <w:t>upravičenih stroškov?</w:t>
      </w:r>
    </w:p>
    <w:p w:rsidR="005B45C5" w:rsidRPr="002E7749" w:rsidRDefault="005B45C5" w:rsidP="005B45C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958B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B45C5" w:rsidRPr="002E7749" w:rsidRDefault="005B45C5" w:rsidP="005B45C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B45C5" w:rsidRPr="002E7749" w:rsidRDefault="005B45C5" w:rsidP="005B45C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5B45C5" w:rsidRPr="002E7749" w:rsidRDefault="005B45C5" w:rsidP="005B45C5">
      <w:pPr>
        <w:tabs>
          <w:tab w:val="left" w:leader="dot" w:pos="9072"/>
        </w:tabs>
        <w:spacing w:after="0" w:line="240" w:lineRule="auto"/>
        <w:ind w:left="567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E7749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5B45C5" w:rsidRDefault="005B45C5" w:rsidP="005B45C5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5B45C5" w:rsidRDefault="00F7666F" w:rsidP="005B45C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766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nikalen, načrta pomoči ni mogoče priglasiti v skladu s pravili o državni pomoči po skupinski izjemi.</w:t>
      </w:r>
    </w:p>
    <w:p w:rsidR="004738C1" w:rsidRPr="002E7749" w:rsidRDefault="004738C1" w:rsidP="004738C1">
      <w:pPr>
        <w:tabs>
          <w:tab w:val="left" w:pos="2161"/>
        </w:tabs>
        <w:spacing w:after="0" w:line="240" w:lineRule="auto"/>
        <w:ind w:left="120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738C1" w:rsidRPr="002E7749" w:rsidRDefault="00BB6DA1" w:rsidP="0047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4738C1" w:rsidRPr="002E7749" w:rsidRDefault="004738C1" w:rsidP="004738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se štejejo za pomembne za oceno zadevnega </w:t>
      </w:r>
      <w:r w:rsidR="00F7666F">
        <w:rPr>
          <w:rFonts w:ascii="Times New Roman" w:eastAsia="Times New Roman" w:hAnsi="Times New Roman"/>
          <w:sz w:val="24"/>
          <w:szCs w:val="24"/>
          <w:lang w:val="sl-SI" w:eastAsia="en-GB"/>
        </w:rPr>
        <w:t>ukrepa v skladu s 43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. členom Uredbe (EU) št. 2022/2472.</w:t>
      </w: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BB6DA1" w:rsidRPr="002E77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18" w:rsidRDefault="00C82218">
      <w:pPr>
        <w:spacing w:after="0" w:line="240" w:lineRule="auto"/>
      </w:pPr>
      <w:r>
        <w:separator/>
      </w:r>
    </w:p>
  </w:endnote>
  <w:endnote w:type="continuationSeparator" w:id="0">
    <w:p w:rsidR="00C82218" w:rsidRDefault="00C8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BA" w:rsidRDefault="008906BA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58B7">
      <w:rPr>
        <w:noProof/>
      </w:rPr>
      <w:t>1</w:t>
    </w:r>
    <w:r>
      <w:rPr>
        <w:noProof/>
      </w:rPr>
      <w:fldChar w:fldCharType="end"/>
    </w:r>
  </w:p>
  <w:p w:rsidR="008906BA" w:rsidRDefault="008906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18" w:rsidRDefault="00C82218">
      <w:pPr>
        <w:spacing w:after="0" w:line="240" w:lineRule="auto"/>
      </w:pPr>
      <w:r>
        <w:separator/>
      </w:r>
    </w:p>
  </w:footnote>
  <w:footnote w:type="continuationSeparator" w:id="0">
    <w:p w:rsidR="00C82218" w:rsidRDefault="00C82218">
      <w:pPr>
        <w:spacing w:after="0" w:line="240" w:lineRule="auto"/>
      </w:pPr>
      <w:r>
        <w:continuationSeparator/>
      </w:r>
    </w:p>
  </w:footnote>
  <w:footnote w:id="1">
    <w:p w:rsidR="006456EA" w:rsidRPr="000A25E6" w:rsidRDefault="006456EA" w:rsidP="006456EA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B958B7">
        <w:rPr>
          <w:rFonts w:ascii="Times New Roman" w:hAnsi="Times New Roman"/>
          <w:bCs/>
          <w:color w:val="000000"/>
          <w:lang w:val="sl-SI"/>
        </w:rPr>
        <w:t xml:space="preserve">, </w:t>
      </w:r>
      <w:r w:rsidR="00B958B7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B958B7">
        <w:rPr>
          <w:rFonts w:ascii="Times New Roman" w:hAnsi="Times New Roman"/>
          <w:bCs/>
          <w:color w:val="000000"/>
          <w:lang w:val="sl-SI"/>
        </w:rPr>
        <w:t>a</w:t>
      </w:r>
      <w:r w:rsidR="00B958B7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DF542A" w:rsidRPr="00DF542A" w:rsidRDefault="00DF542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  <w:t xml:space="preserve">Naravne nesreče v skladu z 38. točko 2. člena Uredbe (EU) št. 2022/2472 pomenijo </w:t>
      </w:r>
      <w:r w:rsidRPr="00DF542A">
        <w:rPr>
          <w:lang w:val="sl-SI"/>
        </w:rPr>
        <w:t>potrese, snežne plazove, zemeljske plazove in poplave, tornade, hurikane, izbruhe vulkanov in požare v naravi naravnega izvora</w:t>
      </w:r>
      <w:r>
        <w:rPr>
          <w:lang w:val="sl-SI"/>
        </w:rPr>
        <w:t>.</w:t>
      </w:r>
    </w:p>
  </w:footnote>
  <w:footnote w:id="3">
    <w:p w:rsidR="00DF542A" w:rsidRPr="00DF542A" w:rsidRDefault="00DF542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DF542A">
        <w:rPr>
          <w:lang w:val="sl-SI"/>
        </w:rPr>
        <w:t xml:space="preserve"> </w:t>
      </w:r>
      <w:r>
        <w:rPr>
          <w:lang w:val="sl-SI"/>
        </w:rPr>
        <w:tab/>
        <w:t>S</w:t>
      </w:r>
      <w:r w:rsidRPr="00DF542A">
        <w:rPr>
          <w:lang w:val="sl-SI"/>
        </w:rPr>
        <w:t>lab</w:t>
      </w:r>
      <w:r>
        <w:rPr>
          <w:lang w:val="sl-SI"/>
        </w:rPr>
        <w:t>e</w:t>
      </w:r>
      <w:r w:rsidRPr="00DF542A">
        <w:rPr>
          <w:lang w:val="sl-SI"/>
        </w:rPr>
        <w:t xml:space="preserve"> vremensk</w:t>
      </w:r>
      <w:r>
        <w:rPr>
          <w:lang w:val="sl-SI"/>
        </w:rPr>
        <w:t>e</w:t>
      </w:r>
      <w:r w:rsidRPr="00DF542A">
        <w:rPr>
          <w:lang w:val="sl-SI"/>
        </w:rPr>
        <w:t xml:space="preserve"> razmer</w:t>
      </w:r>
      <w:r>
        <w:rPr>
          <w:lang w:val="sl-SI"/>
        </w:rPr>
        <w:t>e</w:t>
      </w:r>
      <w:r w:rsidRPr="00DF542A">
        <w:rPr>
          <w:lang w:val="sl-SI"/>
        </w:rPr>
        <w:t>, ki jih je mogoče enačiti z naravnimi nesrečami</w:t>
      </w:r>
      <w:r>
        <w:rPr>
          <w:lang w:val="sl-SI"/>
        </w:rPr>
        <w:t xml:space="preserve">, v skladu z 2. točko 2. člena Uredbe (EU) št. 2022/2472 </w:t>
      </w:r>
      <w:r w:rsidRPr="00DF542A">
        <w:rPr>
          <w:lang w:val="sl-SI"/>
        </w:rPr>
        <w:t>pomenijo neugodne vremenske pogoje, kot so zmrzal, neurja in toča, led, močno ali obilno deževje ali huda suša, ki v kmetijskem sektorju uničijo več kot 30 % povprečne letne proizvodnje, izračunane na podlagi predhodnega triletnega ali štiriletnega obdobja ali triletnega povprečja na podlagi predhodnega petletnega ali osemletnega obdobja, pri čemer sta izključeni najvišja in najnižja vrednost, v gozdarskem sektorju pa več kot 20 % proizvodnega potenciala gozdov</w:t>
      </w:r>
      <w:r>
        <w:rPr>
          <w:lang w:val="sl-SI"/>
        </w:rPr>
        <w:t>.</w:t>
      </w:r>
    </w:p>
  </w:footnote>
  <w:footnote w:id="4">
    <w:p w:rsidR="00DF542A" w:rsidRPr="00DF542A" w:rsidRDefault="00DF542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  <w:t xml:space="preserve">Druge slabe vremenske razmere v skladu z 41. točko 2. člena Uredbe (EU) št. 2022/2472 pomenijo </w:t>
      </w:r>
      <w:r w:rsidRPr="00DF542A">
        <w:rPr>
          <w:lang w:val="sl-SI"/>
        </w:rPr>
        <w:t>neugodne vremenske razmere, ki ne spadajo v opredelitev slabih vremenskih razmer, ki jih je mogoče enačiti z naravnimi nesrečami</w:t>
      </w:r>
      <w:r>
        <w:rPr>
          <w:lang w:val="sl-SI"/>
        </w:rPr>
        <w:t>.</w:t>
      </w:r>
    </w:p>
  </w:footnote>
  <w:footnote w:id="5">
    <w:p w:rsidR="00DF542A" w:rsidRPr="00DF542A" w:rsidRDefault="00DF542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  <w:t xml:space="preserve">Škodljivi organizem rastline v skladu s 43. točko 2. člena Uredbe (EU) št. 2022/2472 pomeni </w:t>
      </w:r>
      <w:r w:rsidRPr="00DF542A">
        <w:rPr>
          <w:lang w:val="sl-SI"/>
        </w:rPr>
        <w:t>katero koli vrsto, sev ali biotip rastline, živali ali patogenega povzročitelja, škodljivega za rastline ali rastlinske proizvode</w:t>
      </w:r>
      <w:r>
        <w:rPr>
          <w:lang w:val="sl-SI"/>
        </w:rPr>
        <w:t>.</w:t>
      </w:r>
    </w:p>
  </w:footnote>
  <w:footnote w:id="6">
    <w:p w:rsidR="00DF542A" w:rsidRPr="00DF542A" w:rsidRDefault="00DF542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  <w:t xml:space="preserve">Katastrofalni dogodek v skladu z 20. točko 2. člena Uredbe (EU) št. 2022/2472 pomeni </w:t>
      </w:r>
      <w:r w:rsidRPr="00DF542A">
        <w:rPr>
          <w:lang w:val="sl-SI"/>
        </w:rPr>
        <w:t>nepredviden dogodek biotske ali abiotske narave, ki je posledica človekove dejavnosti in povzroči znatne motnje gozdnih struktur, zaradi česar lahko nastane znatna gospodarska škoda za gozdarski sektor</w:t>
      </w:r>
      <w:r>
        <w:rPr>
          <w:lang w:val="sl-SI"/>
        </w:rPr>
        <w:t>.</w:t>
      </w:r>
    </w:p>
  </w:footnote>
  <w:footnote w:id="7">
    <w:p w:rsidR="00A064B4" w:rsidRPr="001548BF" w:rsidRDefault="00A064B4" w:rsidP="00A064B4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>
        <w:rPr>
          <w:rFonts w:ascii="Times New Roman" w:hAnsi="Times New Roman"/>
          <w:bCs/>
          <w:color w:val="000000"/>
          <w:lang w:val="sl-SI"/>
        </w:rPr>
        <w:t>Velika podjetja</w:t>
      </w:r>
      <w:r w:rsidRPr="001548BF">
        <w:rPr>
          <w:rFonts w:ascii="Times New Roman" w:hAnsi="Times New Roman"/>
          <w:bCs/>
          <w:color w:val="000000"/>
          <w:lang w:val="sl-SI"/>
        </w:rPr>
        <w:t xml:space="preserve"> so subjekti, ki opravljajo gospodarsko dejavnost in</w:t>
      </w:r>
      <w:r>
        <w:rPr>
          <w:rFonts w:ascii="Times New Roman" w:hAnsi="Times New Roman"/>
          <w:bCs/>
          <w:color w:val="000000"/>
          <w:lang w:val="sl-SI"/>
        </w:rPr>
        <w:t xml:space="preserve"> ne</w:t>
      </w:r>
      <w:r w:rsidRPr="001548BF">
        <w:rPr>
          <w:rFonts w:ascii="Times New Roman" w:hAnsi="Times New Roman"/>
          <w:bCs/>
          <w:color w:val="000000"/>
          <w:lang w:val="sl-SI"/>
        </w:rPr>
        <w:t xml:space="preserve"> izpolnjujejo meril iz priloge I Uredbe (EU) št. 2022/2472.</w:t>
      </w:r>
    </w:p>
  </w:footnote>
  <w:footnote w:id="8">
    <w:p w:rsidR="00A064B4" w:rsidRPr="006E1291" w:rsidRDefault="00A064B4" w:rsidP="00A064B4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6E1291">
        <w:rPr>
          <w:rFonts w:ascii="Times New Roman" w:hAnsi="Times New Roman"/>
          <w:bCs/>
          <w:color w:val="000000"/>
          <w:lang w:val="sl-SI"/>
        </w:rPr>
        <w:t xml:space="preserve">Resolucija H1: Splošne smernice za trajnostno gospodarjenje z gozdovi v Evropi, ki jo je sprejela druga ministrska konferenca o varstvu gozdov v </w:t>
      </w:r>
      <w:proofErr w:type="spellStart"/>
      <w:r w:rsidRPr="006E1291">
        <w:rPr>
          <w:rFonts w:ascii="Times New Roman" w:hAnsi="Times New Roman"/>
          <w:bCs/>
          <w:color w:val="000000"/>
          <w:lang w:val="sl-SI"/>
        </w:rPr>
        <w:t>Evropki</w:t>
      </w:r>
      <w:proofErr w:type="spellEnd"/>
      <w:r w:rsidRPr="006E1291">
        <w:rPr>
          <w:rFonts w:ascii="Times New Roman" w:hAnsi="Times New Roman"/>
          <w:bCs/>
          <w:color w:val="000000"/>
          <w:lang w:val="sl-SI"/>
        </w:rPr>
        <w:t xml:space="preserve"> v Helsinkih 16. in 17. junija 1993, </w:t>
      </w:r>
      <w:hyperlink r:id="rId1" w:history="1">
        <w:r w:rsidRPr="006E1291">
          <w:rPr>
            <w:rStyle w:val="Hiperpovezava"/>
            <w:rFonts w:ascii="Times New Roman" w:hAnsi="Times New Roman"/>
            <w:bCs/>
            <w:lang w:val="sl-SI"/>
          </w:rPr>
          <w:t>https://foresteurope.org/wp-content/uploads/2022/01/MC_helsinki_resolutionH1.pdf</w:t>
        </w:r>
      </w:hyperlink>
      <w:r>
        <w:rPr>
          <w:rFonts w:ascii="Times New Roman" w:hAnsi="Times New Roman"/>
          <w:bCs/>
          <w:color w:val="000000"/>
          <w:lang w:val="sl-SI"/>
        </w:rPr>
        <w:t>.</w:t>
      </w:r>
      <w:r w:rsidRPr="006E1291">
        <w:rPr>
          <w:rFonts w:ascii="Times New Roman" w:hAnsi="Times New Roman"/>
          <w:bCs/>
          <w:color w:val="000000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BA" w:rsidRDefault="002356CF" w:rsidP="008906BA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281"/>
    <w:multiLevelType w:val="hybridMultilevel"/>
    <w:tmpl w:val="F0662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38F6"/>
    <w:multiLevelType w:val="multilevel"/>
    <w:tmpl w:val="FBA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EB7D77"/>
    <w:multiLevelType w:val="hybridMultilevel"/>
    <w:tmpl w:val="451E0F7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826182"/>
    <w:multiLevelType w:val="hybridMultilevel"/>
    <w:tmpl w:val="4F249A7C"/>
    <w:lvl w:ilvl="0" w:tplc="3C4ED2BA">
      <w:start w:val="1"/>
      <w:numFmt w:val="decimal"/>
      <w:lvlText w:val="(%1)"/>
      <w:lvlJc w:val="left"/>
      <w:pPr>
        <w:ind w:left="2752" w:hanging="909"/>
      </w:pPr>
      <w:rPr>
        <w:rFonts w:hint="default"/>
      </w:rPr>
    </w:lvl>
    <w:lvl w:ilvl="1" w:tplc="567C3CBC">
      <w:start w:val="1"/>
      <w:numFmt w:val="lowerLetter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C4992"/>
    <w:multiLevelType w:val="multilevel"/>
    <w:tmpl w:val="DC287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738C1"/>
    <w:rsid w:val="000544BD"/>
    <w:rsid w:val="00086451"/>
    <w:rsid w:val="00093266"/>
    <w:rsid w:val="000A21FA"/>
    <w:rsid w:val="001379A8"/>
    <w:rsid w:val="00141D88"/>
    <w:rsid w:val="0015419D"/>
    <w:rsid w:val="001548BF"/>
    <w:rsid w:val="001756D5"/>
    <w:rsid w:val="0019246C"/>
    <w:rsid w:val="001A718E"/>
    <w:rsid w:val="002356CF"/>
    <w:rsid w:val="002E7749"/>
    <w:rsid w:val="00301A3E"/>
    <w:rsid w:val="0031632A"/>
    <w:rsid w:val="003178ED"/>
    <w:rsid w:val="003658F6"/>
    <w:rsid w:val="003F7D19"/>
    <w:rsid w:val="0041608F"/>
    <w:rsid w:val="00422F53"/>
    <w:rsid w:val="00452156"/>
    <w:rsid w:val="004738C1"/>
    <w:rsid w:val="004B1885"/>
    <w:rsid w:val="00527704"/>
    <w:rsid w:val="00535A58"/>
    <w:rsid w:val="005A686A"/>
    <w:rsid w:val="005B45C5"/>
    <w:rsid w:val="005C6079"/>
    <w:rsid w:val="006456EA"/>
    <w:rsid w:val="006A0D0C"/>
    <w:rsid w:val="006E1291"/>
    <w:rsid w:val="006F1663"/>
    <w:rsid w:val="00700186"/>
    <w:rsid w:val="00744915"/>
    <w:rsid w:val="008153D5"/>
    <w:rsid w:val="00886E35"/>
    <w:rsid w:val="008906BA"/>
    <w:rsid w:val="008A6161"/>
    <w:rsid w:val="008F1436"/>
    <w:rsid w:val="009017DD"/>
    <w:rsid w:val="00920CB5"/>
    <w:rsid w:val="00A064B4"/>
    <w:rsid w:val="00A12351"/>
    <w:rsid w:val="00A15D21"/>
    <w:rsid w:val="00A67E4C"/>
    <w:rsid w:val="00A96CA5"/>
    <w:rsid w:val="00AE6935"/>
    <w:rsid w:val="00B8197E"/>
    <w:rsid w:val="00B958B7"/>
    <w:rsid w:val="00BB6DA1"/>
    <w:rsid w:val="00C42A30"/>
    <w:rsid w:val="00C82218"/>
    <w:rsid w:val="00CF1A1C"/>
    <w:rsid w:val="00DF542A"/>
    <w:rsid w:val="00E16303"/>
    <w:rsid w:val="00F514A7"/>
    <w:rsid w:val="00F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77D0"/>
  <w15:docId w15:val="{97D10CA1-BD90-4F46-A117-E8A9D30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0D0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8C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738C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738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738C1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20CB5"/>
    <w:rPr>
      <w:rFonts w:ascii="Tahoma" w:hAnsi="Tahoma" w:cs="Tahoma"/>
      <w:sz w:val="16"/>
      <w:szCs w:val="16"/>
      <w:lang w:eastAsia="en-US"/>
    </w:rPr>
  </w:style>
  <w:style w:type="paragraph" w:customStyle="1" w:styleId="Text1">
    <w:name w:val="Text 1"/>
    <w:basedOn w:val="Navaden"/>
    <w:rsid w:val="000A21FA"/>
    <w:pPr>
      <w:spacing w:after="0" w:line="240" w:lineRule="auto"/>
      <w:ind w:left="851"/>
    </w:pPr>
    <w:rPr>
      <w:rFonts w:ascii="Times New Roman" w:eastAsiaTheme="minorHAnsi" w:hAnsi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E16303"/>
    <w:pPr>
      <w:ind w:left="720"/>
      <w:contextualSpacing/>
    </w:pPr>
  </w:style>
  <w:style w:type="paragraph" w:styleId="Revizija">
    <w:name w:val="Revision"/>
    <w:hidden/>
    <w:uiPriority w:val="99"/>
    <w:semiHidden/>
    <w:rsid w:val="00E16303"/>
    <w:rPr>
      <w:sz w:val="22"/>
      <w:szCs w:val="22"/>
      <w:lang w:eastAsia="en-US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6456EA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basedOn w:val="Privzetapisavaodstavka"/>
    <w:link w:val="Sprotnaopomba-besedilo"/>
    <w:uiPriority w:val="99"/>
    <w:rsid w:val="006456EA"/>
    <w:rPr>
      <w:lang w:eastAsia="en-US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6456EA"/>
    <w:rPr>
      <w:shd w:val="clear" w:color="auto" w:fill="auto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456EA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9246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246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246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246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246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resteurope.org/wp-content/uploads/2022/01/MC_helsinki_resolutionH1.pd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  <_dlc_DocId xmlns="f40d7ad0-5649-4733-b9d0-b459e047d264">COMPCOLLAB-474933883-451</_dlc_DocId>
    <_dlc_DocIdUrl xmlns="f40d7ad0-5649-4733-b9d0-b459e047d264">
      <Url>https://compcollab.ec.europa.eu/cases/HT.5788/_layouts/15/DocIdRedir.aspx?ID=COMPCOLLAB-474933883-451</Url>
      <Description>COMPCOLLAB-474933883-451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27CA23-B0C7-400D-8D04-EC78F692E6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340DE8-C5D1-442E-B3F0-CC187283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1E9C5-BE5E-4EE0-B28C-54BEB721016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0d7ad0-5649-4733-b9d0-b459e047d2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63B15D-80DB-4683-8BAF-24AFEE5F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MARTINEZ Jose Vicente (AGRI)</dc:creator>
  <cp:lastModifiedBy>Mario Plešej</cp:lastModifiedBy>
  <cp:revision>5</cp:revision>
  <dcterms:created xsi:type="dcterms:W3CDTF">2023-11-16T07:57:00Z</dcterms:created>
  <dcterms:modified xsi:type="dcterms:W3CDTF">2024-02-02T10:54:00Z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0x01010400988603A364794F7AA753E65AAE7328050018BB7BF768DACF49847E0B09621D410A</vt:lpwstr>
  </property>
  <property fmtid="{D5CDD505-2E9C-101B-9397-08002B2CF9AE}" pid="3" name="_dlc_DocIdItemGuid">
    <vt:lpwstr>64454fe9-36b6-4489-997b-5e42db183ad6</vt:lpwstr>
  </property>
  <property fmtid="{D5CDD505-2E9C-101B-9397-08002B2CF9AE}" pid="4" name="documentCaseTags">
    <vt:lpwstr/>
  </property>
  <property fmtid="{D5CDD505-2E9C-101B-9397-08002B2CF9AE}" pid="5" name="documentGeneralTags">
    <vt:lpwstr/>
  </property>
</Properties>
</file>