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4B3A" w:rsidRPr="00F84DFF" w:rsidTr="006F53B4">
        <w:trPr>
          <w:trHeight w:val="99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994B3A" w:rsidRPr="00560E6F" w:rsidRDefault="009002DC" w:rsidP="00421FA2">
            <w:pPr>
              <w:shd w:val="pct20" w:color="auto" w:fill="FFFFFF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val="sl-SI" w:eastAsia="en-GB"/>
              </w:rPr>
            </w:pPr>
            <w:r w:rsidRPr="00560E6F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za </w:t>
            </w:r>
            <w:r w:rsidR="00421FA2" w:rsidRPr="00421FA2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povrnitev škode zaradi naravnih nesreč v kmetijskem sektorju</w:t>
            </w:r>
          </w:p>
        </w:tc>
      </w:tr>
    </w:tbl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pPr>
    </w:p>
    <w:p w:rsidR="00994B3A" w:rsidRPr="00560E6F" w:rsidRDefault="009002DC" w:rsidP="00994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za povrnitev škode zaradi </w:t>
      </w:r>
      <w:r w:rsidR="00421FA2" w:rsidRPr="00421FA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naravnih nesreč v kmetijskem sektorju</w:t>
      </w:r>
      <w:r w:rsidR="00421FA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37</w:t>
      </w:r>
      <w:r w:rsidRPr="00560E6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 2022/2472.</w:t>
      </w:r>
      <w:r w:rsidRPr="00560E6F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84DFF" w:rsidRDefault="00F84DFF" w:rsidP="00421F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</w:t>
      </w:r>
      <w:r w:rsidR="006218E0">
        <w:rPr>
          <w:rFonts w:ascii="Times New Roman" w:eastAsia="Times New Roman" w:hAnsi="Times New Roman"/>
          <w:sz w:val="24"/>
          <w:szCs w:val="24"/>
          <w:lang w:val="sl-SI" w:eastAsia="en-GB"/>
        </w:rPr>
        <w:t>namenjena</w:t>
      </w: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6218E0">
        <w:rPr>
          <w:rFonts w:ascii="Times New Roman" w:eastAsia="Times New Roman" w:hAnsi="Times New Roman"/>
          <w:sz w:val="24"/>
          <w:szCs w:val="24"/>
          <w:lang w:val="sl-SI" w:eastAsia="en-GB"/>
        </w:rPr>
        <w:t>podjetjem</w:t>
      </w: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6218E0">
        <w:rPr>
          <w:rFonts w:ascii="Times New Roman" w:eastAsia="Times New Roman" w:hAnsi="Times New Roman"/>
          <w:sz w:val="24"/>
          <w:szCs w:val="24"/>
          <w:lang w:val="sl-SI" w:eastAsia="en-GB"/>
        </w:rPr>
        <w:t>dejavnim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kmetijskem sektorju </w:t>
      </w:r>
      <w:r w:rsidR="00421FA2" w:rsidRPr="00421FA2">
        <w:rPr>
          <w:rFonts w:ascii="Times New Roman" w:eastAsia="Times New Roman" w:hAnsi="Times New Roman"/>
          <w:sz w:val="24"/>
          <w:szCs w:val="24"/>
          <w:lang w:val="sl-SI" w:eastAsia="en-GB"/>
        </w:rPr>
        <w:t>(primarna kmetijska p</w:t>
      </w:r>
      <w:r w:rsidR="006218E0">
        <w:rPr>
          <w:rFonts w:ascii="Times New Roman" w:eastAsia="Times New Roman" w:hAnsi="Times New Roman"/>
          <w:sz w:val="24"/>
          <w:szCs w:val="24"/>
          <w:lang w:val="sl-SI" w:eastAsia="en-GB"/>
        </w:rPr>
        <w:t>roizvodnja, predelava in trženje</w:t>
      </w:r>
      <w:r w:rsidR="00421FA2" w:rsidRP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kmetijskih proizvodov)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564045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61334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F84DFF" w:rsidRPr="00D26F26" w:rsidRDefault="00F84DFF" w:rsidP="00F84DF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84DFF" w:rsidRPr="00D26F26" w:rsidRDefault="00F84DFF" w:rsidP="00F84D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421FA2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Katera naravna nesreča</w:t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je</w:t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F958C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povzročil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škodo</w:t>
      </w:r>
      <w:r w:rsidR="00994B3A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A1126" w:rsidRPr="00560E6F" w:rsidRDefault="009A1126" w:rsidP="00FE55A6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002DC" w:rsidP="009A1126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Navedite</w:t>
      </w:r>
      <w:r w:rsidR="00C0693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94B3A" w:rsidRPr="00560E6F" w:rsidRDefault="00994B3A" w:rsidP="009A112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</w:t>
      </w:r>
      <w:r w:rsidR="00C0693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</w:t>
      </w:r>
      <w:r w:rsidR="009A112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</w:t>
      </w:r>
    </w:p>
    <w:p w:rsidR="009A1126" w:rsidRPr="00560E6F" w:rsidRDefault="009A1126" w:rsidP="009A112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shema </w:t>
      </w:r>
      <w:r w:rsidRPr="00F958C9">
        <w:rPr>
          <w:rFonts w:ascii="Times New Roman" w:hAnsi="Times New Roman"/>
          <w:sz w:val="24"/>
          <w:szCs w:val="24"/>
          <w:lang w:val="sl-SI"/>
        </w:rPr>
        <w:t>pomoči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zasnovana kot predhodna shema?</w:t>
      </w:r>
    </w:p>
    <w:p w:rsidR="00C0693B" w:rsidRPr="00560E6F" w:rsidRDefault="00C0693B" w:rsidP="00C069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C0693B" w:rsidP="009A1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C0693B" w:rsidRPr="00560E6F" w:rsidRDefault="00C0693B" w:rsidP="009A1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9002DC" w:rsidP="00FE55A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navedite vrsto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zajeto v predhodni shemi:</w:t>
      </w:r>
    </w:p>
    <w:p w:rsidR="00486374" w:rsidRPr="00560E6F" w:rsidRDefault="00486374" w:rsidP="00FE55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6374" w:rsidRPr="00560E6F" w:rsidRDefault="00486374" w:rsidP="00FE55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 w:rsidRPr="00560E6F">
        <w:rPr>
          <w:rFonts w:ascii="Times New Roman" w:hAnsi="Times New Roman"/>
          <w:sz w:val="24"/>
          <w:szCs w:val="24"/>
          <w:lang w:val="sl-SI"/>
        </w:rPr>
        <w:t xml:space="preserve">Ali 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lahko</w:t>
      </w:r>
      <w:r w:rsidRPr="00560E6F">
        <w:rPr>
          <w:rFonts w:ascii="Times New Roman" w:hAnsi="Times New Roman"/>
          <w:sz w:val="24"/>
          <w:szCs w:val="24"/>
          <w:lang w:val="sl-SI"/>
        </w:rPr>
        <w:t xml:space="preserve"> organ, ki dodeli pomoč, potrdi, da bo obveznost por</w:t>
      </w:r>
      <w:r w:rsidR="00421FA2">
        <w:rPr>
          <w:rFonts w:ascii="Times New Roman" w:hAnsi="Times New Roman"/>
          <w:sz w:val="24"/>
          <w:szCs w:val="24"/>
          <w:lang w:val="sl-SI"/>
        </w:rPr>
        <w:t>očanja iz tretjega odstavka 11. </w:t>
      </w:r>
      <w:r w:rsidRPr="00560E6F">
        <w:rPr>
          <w:rFonts w:ascii="Times New Roman" w:hAnsi="Times New Roman"/>
          <w:sz w:val="24"/>
          <w:szCs w:val="24"/>
          <w:lang w:val="sl-SI"/>
        </w:rPr>
        <w:t>člena Uredbe (EU) št. 2022/2472 izpolnjena?</w:t>
      </w:r>
    </w:p>
    <w:p w:rsidR="00F958C9" w:rsidRPr="00560E6F" w:rsidRDefault="00F958C9" w:rsidP="00F958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0693B" w:rsidRPr="00560E6F" w:rsidRDefault="00C0693B" w:rsidP="004863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F958C9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Kdaj so se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je </w:t>
      </w:r>
      <w:r w:rsidR="00560E99"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pojavil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naravn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nesreča</w:t>
      </w:r>
      <w:r w:rsidR="00994B3A"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Ali se shema pomoči vzpostavi v tre</w:t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h letih od datuma pojava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 prejšnje točke?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E13505" w:rsidP="004863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560E9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hAnsi="Times New Roman"/>
          <w:sz w:val="24"/>
          <w:szCs w:val="24"/>
          <w:lang w:val="sl-SI"/>
        </w:rPr>
        <w:t xml:space="preserve">Ali bo pomoč izplačana v štirih letih od datuma pojava </w:t>
      </w:r>
      <w:r w:rsidR="00421FA2">
        <w:rPr>
          <w:rFonts w:ascii="Times New Roman" w:hAnsi="Times New Roman"/>
          <w:sz w:val="24"/>
          <w:szCs w:val="24"/>
          <w:lang w:val="sl-SI"/>
        </w:rPr>
        <w:t>naravne nesreče</w:t>
      </w:r>
      <w:r w:rsidR="00F84DFF">
        <w:rPr>
          <w:rFonts w:ascii="Times New Roman" w:hAnsi="Times New Roman"/>
          <w:sz w:val="24"/>
          <w:szCs w:val="24"/>
          <w:lang w:val="sl-SI"/>
        </w:rPr>
        <w:t xml:space="preserve"> iz 5</w:t>
      </w:r>
      <w:r w:rsidRPr="00560E6F">
        <w:rPr>
          <w:rFonts w:ascii="Times New Roman" w:hAnsi="Times New Roman"/>
          <w:sz w:val="24"/>
          <w:szCs w:val="24"/>
          <w:lang w:val="sl-SI"/>
        </w:rPr>
        <w:t>. točke</w:t>
      </w:r>
      <w:r w:rsidR="00F84DFF">
        <w:rPr>
          <w:rFonts w:ascii="Times New Roman" w:hAnsi="Times New Roman"/>
          <w:sz w:val="24"/>
          <w:szCs w:val="24"/>
          <w:lang w:val="sl-SI"/>
        </w:rPr>
        <w:t xml:space="preserve"> tega obrazca</w:t>
      </w:r>
      <w:r w:rsidRPr="00560E6F">
        <w:rPr>
          <w:rFonts w:ascii="Times New Roman" w:hAnsi="Times New Roman"/>
          <w:sz w:val="24"/>
          <w:szCs w:val="24"/>
          <w:lang w:val="sl-SI"/>
        </w:rPr>
        <w:t>?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E13505" w:rsidP="004863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61334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F84DFF" w:rsidRPr="00D26F26" w:rsidRDefault="00F84DFF" w:rsidP="00F84DF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84DFF" w:rsidRPr="00D26F26" w:rsidRDefault="00F84DFF" w:rsidP="00F84D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84DFF" w:rsidRPr="00560E6F" w:rsidRDefault="00F84DF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F958C9" w:rsidRDefault="00560E9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Navedite skrajni datum, na katerega se lahko pomoč izplača:</w:t>
      </w:r>
    </w:p>
    <w:p w:rsidR="00486374" w:rsidRPr="00560E6F" w:rsidRDefault="00486374" w:rsidP="004863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</w:t>
      </w:r>
    </w:p>
    <w:p w:rsidR="00486374" w:rsidRPr="00560E6F" w:rsidRDefault="00486374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560E6F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pristojni organ države članice uradno priznal pojav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4863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6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6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0E6F" w:rsidRDefault="00560E6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</w:t>
      </w:r>
      <w:r w:rsidR="005F2D14">
        <w:rPr>
          <w:rFonts w:ascii="Times New Roman" w:eastAsia="Times New Roman" w:hAnsi="Times New Roman"/>
          <w:sz w:val="24"/>
          <w:szCs w:val="24"/>
          <w:lang w:val="sl-SI" w:eastAsia="en-GB"/>
        </w:rPr>
        <w:t>r pritrdilen, navedite uradni dokument v zvezi s tem:</w:t>
      </w:r>
    </w:p>
    <w:p w:rsidR="005F2D14" w:rsidRPr="00560E6F" w:rsidRDefault="005F2D14" w:rsidP="005F2D14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F2D14" w:rsidRDefault="005F2D14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2D14" w:rsidRPr="00560E6F" w:rsidRDefault="00F958C9" w:rsidP="005F2D1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5F2D14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načrta pomoči ni mogoče priglasiti v skladu s pravili o državni pomoči po skupinski izjemi v kmetijstvu, gozdarstvu in na podeželju.</w:t>
      </w:r>
    </w:p>
    <w:p w:rsidR="00560E6F" w:rsidRPr="00560E6F" w:rsidRDefault="00560E6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5F2D14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okažite neposredno povezavo med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naravno nesrečo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škodo, ki so jo utrpela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podjetja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>, dejavn</w:t>
      </w:r>
      <w:r w:rsidR="001A4FBB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>kmetijskem sektorju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C0693B" w:rsidP="00C0693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93B" w:rsidRPr="00560E6F" w:rsidRDefault="00C0693B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5F2D14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morata biti izpolnjena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oba pogoja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 9. in 10. točke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tega obrazca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BF1FDD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Ali so merila, na p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odlagi katerih se uradno prizna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naravna nesreča</w:t>
      </w: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, določena vnaprej?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F84DF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F84DF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0693B" w:rsidRPr="00560E6F" w:rsidRDefault="00C0693B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BF1FDD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dokažite, da je prim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erno ta merila določiti vnaprej</w:t>
      </w:r>
      <w:r w:rsidR="00C0693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C0693B" w:rsidRPr="00560E6F" w:rsidRDefault="00C0693B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BF1FDD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bo izplačana neposredno</w:t>
      </w:r>
      <w:r w:rsidR="00F61A21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  <w:t xml:space="preserve">(a)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zadevnemu </w:t>
      </w:r>
      <w:r w:rsidR="00E23AB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podjetju, dejavnemu v kmetijskem sektorju,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ali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(b)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skupini ali organizaciji proizvajalcev, 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katere člani so </w:t>
      </w:r>
      <w:r w:rsidR="00E23AB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podjetja iz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prejšnje 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točke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13347">
        <w:rPr>
          <w:rFonts w:ascii="Times New Roman" w:eastAsia="Times New Roman" w:hAnsi="Times New Roman"/>
          <w:sz w:val="24"/>
          <w:szCs w:val="24"/>
          <w:lang w:val="sl-SI" w:eastAsia="en-GB"/>
        </w:rPr>
        <w:t>Če ste izbrali</w:t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613347">
        <w:rPr>
          <w:rFonts w:ascii="Times New Roman" w:eastAsia="Times New Roman" w:hAnsi="Times New Roman"/>
          <w:sz w:val="24"/>
          <w:szCs w:val="24"/>
          <w:lang w:val="sl-SI" w:eastAsia="en-GB"/>
        </w:rPr>
        <w:t>podtočko</w:t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(b), znesek pomoči ne sme presegati zneska pomoči, do katerega je upravičeno vsako zadevno </w:t>
      </w:r>
      <w:r w:rsidR="00E23ABA">
        <w:rPr>
          <w:rFonts w:ascii="Times New Roman" w:eastAsia="Times New Roman" w:hAnsi="Times New Roman"/>
          <w:sz w:val="24"/>
          <w:szCs w:val="24"/>
          <w:lang w:val="sl-SI" w:eastAsia="en-GB"/>
        </w:rPr>
        <w:t>podjetje</w:t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560E6F" w:rsidRDefault="001F06C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1F06C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so do pomoči upravičeni le stroški škode, ki je neposredna posledica </w:t>
      </w:r>
      <w:r w:rsidR="00E23ABA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, kot jih je ocenil javni organ, neodvisni strokovnjak, ki ga priznava organ, ki dodeli pomoč, ali zavarovalnica?</w:t>
      </w: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F06C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F06C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F06C6" w:rsidRPr="00560E6F" w:rsidRDefault="001F06C6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1F06C6" w:rsidRPr="00560E6F" w:rsidRDefault="001F06C6" w:rsidP="001F06C6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1F06C6" w:rsidRPr="00560E6F" w:rsidRDefault="001F06C6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F06C6" w:rsidRPr="00560E6F" w:rsidRDefault="00F84DFF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1F06C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1F06C6" w:rsidRPr="00560E6F" w:rsidRDefault="001F06C6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1F06C6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  <w:t>(</w:t>
      </w:r>
      <w:r w:rsidR="00F61A21"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a</w:t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) </w:t>
      </w:r>
      <w:r w:rsid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m</w:t>
      </w:r>
      <w:r w:rsidR="00B92923" w:rsidRP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aterialna škoda na sredstvih, kot so stavbe, oprema in stroji, sestoj</w:t>
      </w:r>
      <w:r w:rsidR="00E23ABA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i</w:t>
      </w:r>
      <w:r w:rsidR="00B92923" w:rsidRP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 xml:space="preserve"> in proizvodna sredstva, nastala zaradi </w:t>
      </w:r>
      <w:r w:rsidR="00E23ABA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naravne nesreče</w:t>
      </w:r>
      <w:r w:rsidR="00F61A21" w:rsidRPr="00560E6F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;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(b) </w:t>
      </w:r>
      <w:r w:rsidR="00B92923" w:rsidRPr="00B92923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izpad dohodka zaradi popolnega ali delnega uničenja kmetijske proizvodnje in proizvodnih sredstev</w:t>
      </w:r>
      <w:r w:rsidR="00B92923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, </w:t>
      </w:r>
      <w:r w:rsidR="00B92923" w:rsidRP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 xml:space="preserve">nastal zaradi </w:t>
      </w:r>
      <w:r w:rsidR="00E23ABA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naravne nesreče</w:t>
      </w:r>
      <w:r w:rsidRPr="00560E6F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.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61A21" w:rsidRPr="00560E6F" w:rsidRDefault="00B92923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škoda zaradi </w:t>
      </w:r>
      <w:r w:rsidR="00E23ABA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izračuna na ravni posameznega upravičenca?</w:t>
      </w: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F61A21" w:rsidP="00A526E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Default="00F61A21" w:rsidP="00F61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B92923" w:rsidRPr="00560E6F" w:rsidRDefault="00B92923" w:rsidP="00B929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92923" w:rsidRPr="00560E6F" w:rsidRDefault="00B92923" w:rsidP="00B92923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92923" w:rsidRPr="00560E6F" w:rsidRDefault="00B92923" w:rsidP="00B929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92923" w:rsidRPr="00560E6F" w:rsidRDefault="00F84DFF" w:rsidP="00B929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B92923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B92923" w:rsidRPr="00560E6F" w:rsidRDefault="00B92923" w:rsidP="00F61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61A21" w:rsidRPr="00560E6F" w:rsidRDefault="00E23ABA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ste pri 14</w:t>
      </w:r>
      <w:r w:rsidR="003A0926">
        <w:rPr>
          <w:rFonts w:ascii="Times New Roman" w:eastAsia="Times New Roman" w:hAnsi="Times New Roman"/>
          <w:sz w:val="24"/>
          <w:szCs w:val="24"/>
          <w:lang w:val="sl-SI" w:eastAsia="en-GB"/>
        </w:rPr>
        <w:t>. točki izbrali točko (a</w:t>
      </w:r>
      <w:r w:rsidR="002E0BD9">
        <w:rPr>
          <w:rFonts w:ascii="Times New Roman" w:eastAsia="Times New Roman" w:hAnsi="Times New Roman"/>
          <w:sz w:val="24"/>
          <w:szCs w:val="24"/>
          <w:lang w:val="sl-SI" w:eastAsia="en-GB"/>
        </w:rPr>
        <w:t>), a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li je mat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eria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lna škoda na sredstvih, ki jo je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povzročil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 naravna nesreča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,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izračunana na podlagi stroškov popravila ali ekonomske vrednosti prizadetega sredstva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neposredno 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pred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naravno nesrečo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  <w:r w:rsidR="00F61A21" w:rsidRPr="00560E6F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F61A21" w:rsidRPr="00560E6F" w:rsidRDefault="00F61A21" w:rsidP="00A526E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5F711B" w:rsidRPr="00682447" w:rsidRDefault="00682447" w:rsidP="006824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 u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 xml:space="preserve">poštevajte, da tako izračunana materialna škoda ne sme presegati stroškov popravila ali zmanjšanja poštene tržne vrednosti zaradi </w:t>
      </w:r>
      <w:r w:rsidR="00AA59B9">
        <w:rPr>
          <w:rFonts w:ascii="Times New Roman" w:hAnsi="Times New Roman"/>
          <w:sz w:val="24"/>
          <w:szCs w:val="24"/>
          <w:lang w:val="sl-SI"/>
        </w:rPr>
        <w:t>naravne nesreče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 xml:space="preserve">, tj. razlike med vrednostjo sredstva </w:t>
      </w:r>
      <w:r w:rsidR="005F711B">
        <w:rPr>
          <w:rFonts w:ascii="Times New Roman" w:hAnsi="Times New Roman"/>
          <w:sz w:val="24"/>
          <w:szCs w:val="24"/>
          <w:lang w:val="sl-SI"/>
        </w:rPr>
        <w:t>tik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 xml:space="preserve"> pred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naravno nesrečo</w:t>
      </w:r>
      <w:r w:rsidR="00AA59B9">
        <w:rPr>
          <w:rFonts w:ascii="Times New Roman" w:hAnsi="Times New Roman"/>
          <w:sz w:val="24"/>
          <w:szCs w:val="24"/>
          <w:lang w:val="sl-SI"/>
        </w:rPr>
        <w:t>, in tik po njej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>.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5F711B" w:rsidRPr="00560E6F" w:rsidRDefault="005F711B" w:rsidP="005F711B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711B" w:rsidRPr="00560E6F" w:rsidRDefault="00F84DFF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F6660D" w:rsidRPr="00560E6F" w:rsidRDefault="00F6660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660D" w:rsidRPr="00F958C9" w:rsidRDefault="005F711B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st</w:t>
      </w:r>
      <w:r w:rsidR="003A0926">
        <w:rPr>
          <w:rFonts w:ascii="Times New Roman" w:eastAsia="Times New Roman" w:hAnsi="Times New Roman"/>
          <w:sz w:val="24"/>
          <w:szCs w:val="24"/>
          <w:lang w:val="sl-SI" w:eastAsia="en-GB"/>
        </w:rPr>
        <w:t>e pri 14. točki izbrali točko (b</w:t>
      </w:r>
      <w:r w:rsidR="002E0BD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in 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se </w:t>
      </w:r>
      <w:r w:rsidR="00B11320"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izpad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dohodka upravičenca izračuna na podlagi ravni pridelka ali živine, ali se upošteva samo materialna škoda, povezana s tem pridelkom ali živino?</w:t>
      </w:r>
    </w:p>
    <w:p w:rsidR="00F61A21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F6660D" w:rsidRPr="00560E6F" w:rsidRDefault="00F6660D" w:rsidP="00F666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F711B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5F711B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F6660D" w:rsidRDefault="00F6660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5F711B" w:rsidRPr="00560E6F" w:rsidRDefault="005F711B" w:rsidP="005F711B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711B" w:rsidRDefault="00F84DFF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5F711B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izpad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dohodka izračuna tako, da se rezultat pomnožitve količine kmetijskih proizvodov, proizvedenih v letu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ali v vsakem naslednjem letu, </w:t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>v katerem so prisotne posledice popolnega ali delnega uničenja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proizvodnih sredstev, s povprečno prodajno ceno, doseženo v tem letu, odšteje od rezultata pomnožitve povprečne letne količine kmetijskih proizvodov, proizvedenih v predhodnem triletnem obdobju</w:t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triletnega povprečja, osnovanega na predhodnem petletnem obdobju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(brez najvišjega in najnižjega vnosa), s povprečno doseženo prodajno ceno?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94B3A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11320" w:rsidRPr="00560E6F" w:rsidRDefault="00B11320" w:rsidP="00B1132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11320" w:rsidRPr="00560E6F" w:rsidRDefault="00B11320" w:rsidP="00B11320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11320" w:rsidRPr="00560E6F" w:rsidRDefault="00B11320" w:rsidP="00B1132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11320" w:rsidRDefault="00F84DFF" w:rsidP="00B1132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B11320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B11320" w:rsidRPr="00560E6F" w:rsidRDefault="00B11320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244B5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znesek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izpada dohodka poveča za druge stroške, ki so upravičencu nastali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zaradi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660D" w:rsidRPr="00560E6F" w:rsidRDefault="00F6660D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660D" w:rsidRPr="00560E6F" w:rsidRDefault="00244B56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>e je odgovor pritrdilen, navedite druge stroške:</w:t>
      </w:r>
    </w:p>
    <w:p w:rsidR="00F6660D" w:rsidRPr="00560E6F" w:rsidRDefault="00AB5BBE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244B5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znesek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izpada dohodka zmanjšan za kakršne koli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stroške, ki niso nastali zaradi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(na primer zaradi opustitve spravila pridelka)?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94B3A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244B56" w:rsidRPr="00560E6F" w:rsidRDefault="00244B56" w:rsidP="00244B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244B56" w:rsidRPr="00560E6F" w:rsidRDefault="00244B56" w:rsidP="00244B56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244B56" w:rsidRPr="00560E6F" w:rsidRDefault="00244B56" w:rsidP="00244B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44B56" w:rsidRDefault="00F84DFF" w:rsidP="00244B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244B5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244B56" w:rsidRPr="00560E6F" w:rsidRDefault="00244B56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7C6C5F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Ali se za izračun letne kmetijske proizvodnje upravičenca uporabljajo indeksi?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679DE" w:rsidRPr="00560E6F" w:rsidRDefault="009679DE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679DE" w:rsidRPr="00560E6F" w:rsidRDefault="007C6C5F" w:rsidP="007C6C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a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li takšna metoda izračuna omogoča določitev dejanske izgube upravičenca v danem letu?</w:t>
      </w:r>
    </w:p>
    <w:p w:rsidR="009679DE" w:rsidRPr="00560E6F" w:rsidRDefault="009679DE" w:rsidP="009679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679DE" w:rsidRPr="00560E6F" w:rsidRDefault="009679DE" w:rsidP="009679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679DE" w:rsidRPr="00560E6F" w:rsidRDefault="009679DE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C6C5F" w:rsidRDefault="00F84DFF" w:rsidP="007C6C5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7C6C5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7C6C5F" w:rsidRPr="00560E6F" w:rsidRDefault="007C6C5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96CDD" w:rsidRPr="00560E6F" w:rsidRDefault="007C6C5F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50004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upravičenec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podjetje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ki je bilo ustanovljeno manj kot tri leta po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datumu 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pojav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AA59B9">
        <w:rPr>
          <w:rFonts w:ascii="Times New Roman" w:eastAsia="Times New Roman" w:hAnsi="Times New Roman"/>
          <w:sz w:val="24"/>
          <w:szCs w:val="24"/>
          <w:lang w:val="sl-SI" w:eastAsia="en-GB"/>
        </w:rPr>
        <w:t>naravne nesreče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7C203C" w:rsidRDefault="007C6C5F" w:rsidP="00682447">
      <w:pPr>
        <w:tabs>
          <w:tab w:val="left" w:leader="dot" w:pos="907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7C6C5F">
        <w:rPr>
          <w:rFonts w:ascii="Times New Roman" w:hAnsi="Times New Roman"/>
          <w:sz w:val="24"/>
          <w:szCs w:val="24"/>
          <w:lang w:val="sl-SI"/>
        </w:rPr>
        <w:t>Če je odgovor pritrdilen, upoštevajte, da je treba sklicevanje na povprečno letno količino v treh ali petih letih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 iz</w:t>
      </w:r>
      <w:r w:rsidR="00AA59B9">
        <w:rPr>
          <w:rFonts w:ascii="Times New Roman" w:hAnsi="Times New Roman"/>
          <w:sz w:val="24"/>
          <w:szCs w:val="24"/>
          <w:lang w:val="sl-SI"/>
        </w:rPr>
        <w:t xml:space="preserve"> 18</w:t>
      </w:r>
      <w:r>
        <w:rPr>
          <w:rFonts w:ascii="Times New Roman" w:hAnsi="Times New Roman"/>
          <w:sz w:val="24"/>
          <w:szCs w:val="24"/>
          <w:lang w:val="sl-SI"/>
        </w:rPr>
        <w:t>. točk</w:t>
      </w:r>
      <w:r w:rsidR="007C203C">
        <w:rPr>
          <w:rFonts w:ascii="Times New Roman" w:hAnsi="Times New Roman"/>
          <w:sz w:val="24"/>
          <w:szCs w:val="24"/>
          <w:lang w:val="sl-SI"/>
        </w:rPr>
        <w:t>e</w:t>
      </w:r>
      <w:r>
        <w:rPr>
          <w:rFonts w:ascii="Times New Roman" w:hAnsi="Times New Roman"/>
          <w:sz w:val="24"/>
          <w:szCs w:val="24"/>
          <w:lang w:val="sl-SI"/>
        </w:rPr>
        <w:t xml:space="preserve"> tega obrazca razumeti</w:t>
      </w:r>
      <w:r w:rsidRPr="007C6C5F">
        <w:rPr>
          <w:rFonts w:ascii="Times New Roman" w:hAnsi="Times New Roman"/>
          <w:sz w:val="24"/>
          <w:szCs w:val="24"/>
          <w:lang w:val="sl-SI"/>
        </w:rPr>
        <w:t xml:space="preserve"> kot sklicevanje na proizvedeno in prodano količino povprečnega </w:t>
      </w:r>
      <w:r w:rsidR="00AA59B9">
        <w:rPr>
          <w:rFonts w:ascii="Times New Roman" w:hAnsi="Times New Roman"/>
          <w:sz w:val="24"/>
          <w:szCs w:val="24"/>
          <w:lang w:val="sl-SI"/>
        </w:rPr>
        <w:t>podjetja</w:t>
      </w:r>
      <w:r w:rsidRPr="007C6C5F">
        <w:rPr>
          <w:rFonts w:ascii="Times New Roman" w:hAnsi="Times New Roman"/>
          <w:sz w:val="24"/>
          <w:szCs w:val="24"/>
          <w:lang w:val="sl-SI"/>
        </w:rPr>
        <w:t xml:space="preserve"> enake velikost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i kot vlagatelj, in sicer </w:t>
      </w:r>
      <w:proofErr w:type="spellStart"/>
      <w:r w:rsidR="007C203C">
        <w:rPr>
          <w:rFonts w:ascii="Times New Roman" w:hAnsi="Times New Roman"/>
          <w:sz w:val="24"/>
          <w:szCs w:val="24"/>
          <w:lang w:val="sl-SI"/>
        </w:rPr>
        <w:t>mikro</w:t>
      </w:r>
      <w:r w:rsidRPr="007C6C5F">
        <w:rPr>
          <w:rFonts w:ascii="Times New Roman" w:hAnsi="Times New Roman"/>
          <w:sz w:val="24"/>
          <w:szCs w:val="24"/>
          <w:lang w:val="sl-SI"/>
        </w:rPr>
        <w:t>podjetja</w:t>
      </w:r>
      <w:proofErr w:type="spellEnd"/>
      <w:r w:rsidRPr="007C6C5F">
        <w:rPr>
          <w:rFonts w:ascii="Times New Roman" w:hAnsi="Times New Roman"/>
          <w:sz w:val="24"/>
          <w:szCs w:val="24"/>
          <w:lang w:val="sl-SI"/>
        </w:rPr>
        <w:t xml:space="preserve"> ali malega podjetja ali srednjega podjetja v nacionalnem ali</w:t>
      </w:r>
      <w:r w:rsidR="00AA59B9">
        <w:rPr>
          <w:rFonts w:ascii="Times New Roman" w:hAnsi="Times New Roman"/>
          <w:sz w:val="24"/>
          <w:szCs w:val="24"/>
          <w:lang w:val="sl-SI"/>
        </w:rPr>
        <w:t xml:space="preserve"> regionalnem sektorju, ki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 ga </w:t>
      </w:r>
      <w:r w:rsidR="00AA59B9">
        <w:rPr>
          <w:rFonts w:ascii="Times New Roman" w:hAnsi="Times New Roman"/>
          <w:sz w:val="24"/>
          <w:szCs w:val="24"/>
          <w:lang w:val="sl-SI"/>
        </w:rPr>
        <w:t xml:space="preserve">je </w:t>
      </w:r>
      <w:r w:rsidRPr="007C6C5F">
        <w:rPr>
          <w:rFonts w:ascii="Times New Roman" w:hAnsi="Times New Roman"/>
          <w:sz w:val="24"/>
          <w:szCs w:val="24"/>
          <w:lang w:val="sl-SI"/>
        </w:rPr>
        <w:t>prizadel</w:t>
      </w:r>
      <w:r w:rsidR="00AA59B9">
        <w:rPr>
          <w:rFonts w:ascii="Times New Roman" w:hAnsi="Times New Roman"/>
          <w:sz w:val="24"/>
          <w:szCs w:val="24"/>
          <w:lang w:val="sl-SI"/>
        </w:rPr>
        <w:t>a naravna nesreča</w:t>
      </w:r>
      <w:r w:rsidRPr="007C6C5F">
        <w:rPr>
          <w:rFonts w:ascii="Times New Roman" w:hAnsi="Times New Roman"/>
          <w:sz w:val="24"/>
          <w:szCs w:val="24"/>
          <w:lang w:val="sl-SI"/>
        </w:rPr>
        <w:t>.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 Navedite določbo pravne podlage načrta pomoči v zvezi s tem pogojem:</w:t>
      </w:r>
    </w:p>
    <w:p w:rsidR="007C203C" w:rsidRPr="00560E6F" w:rsidRDefault="007C203C" w:rsidP="007C203C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7C203C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največjo intenzivnost pomoči</w:t>
      </w:r>
      <w:r w:rsidR="00096CDD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96CDD" w:rsidRPr="00560E6F" w:rsidRDefault="00096CDD" w:rsidP="00FE55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53B4" w:rsidRPr="00560E6F" w:rsidRDefault="006F53B4" w:rsidP="006F53B4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F53B4" w:rsidRDefault="006F53B4" w:rsidP="006F53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0699" w:rsidRPr="00560E6F" w:rsidRDefault="00F60699" w:rsidP="00F606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napToGrid w:val="0"/>
          <w:sz w:val="24"/>
          <w:lang w:val="sl-SI"/>
        </w:rPr>
        <w:t>Ali so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 pomoč</w:t>
      </w:r>
      <w:r>
        <w:rPr>
          <w:rFonts w:ascii="Times New Roman" w:hAnsi="Times New Roman"/>
          <w:snapToGrid w:val="0"/>
          <w:sz w:val="24"/>
          <w:lang w:val="sl-SI"/>
        </w:rPr>
        <w:t xml:space="preserve"> in druga plačila</w:t>
      </w:r>
      <w:r w:rsidRPr="00496643">
        <w:rPr>
          <w:rFonts w:ascii="Times New Roman" w:hAnsi="Times New Roman"/>
          <w:snapToGrid w:val="0"/>
          <w:sz w:val="24"/>
          <w:lang w:val="sl-SI"/>
        </w:rPr>
        <w:t>,</w:t>
      </w:r>
      <w:r>
        <w:rPr>
          <w:rFonts w:ascii="Times New Roman" w:hAnsi="Times New Roman"/>
          <w:snapToGrid w:val="0"/>
          <w:sz w:val="24"/>
          <w:lang w:val="sl-SI"/>
        </w:rPr>
        <w:t xml:space="preserve"> prejeta kot nadomestilo za škodo,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 vključno s plačili na podlagi zavarovalnih p</w:t>
      </w:r>
      <w:r>
        <w:rPr>
          <w:rFonts w:ascii="Times New Roman" w:hAnsi="Times New Roman"/>
          <w:snapToGrid w:val="0"/>
          <w:sz w:val="24"/>
          <w:lang w:val="sl-SI"/>
        </w:rPr>
        <w:t>olic, omejena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 na 100 % upravičenih stroškov?</w:t>
      </w:r>
    </w:p>
    <w:p w:rsidR="00F60699" w:rsidRDefault="00F60699" w:rsidP="006F53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0699" w:rsidRPr="00560E6F" w:rsidRDefault="00F60699" w:rsidP="00F6069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D15B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0699" w:rsidRPr="00560E6F" w:rsidRDefault="00F60699" w:rsidP="00F606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F60699" w:rsidRPr="00682447" w:rsidRDefault="00F60699" w:rsidP="00F606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F60699" w:rsidRPr="00560E6F" w:rsidRDefault="00F60699" w:rsidP="00F60699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60699" w:rsidRPr="00560E6F" w:rsidRDefault="00F60699" w:rsidP="00F6069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0699" w:rsidRPr="00560E6F" w:rsidRDefault="00F60699" w:rsidP="00F6069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682447" w:rsidP="0099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82447" w:rsidRPr="004509CF" w:rsidRDefault="00682447" w:rsidP="00682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72464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so pomembne za oceno zadevnega ukrepa v skladu s </w:t>
      </w:r>
      <w:r w:rsidR="006F53B4">
        <w:rPr>
          <w:rFonts w:ascii="Times New Roman" w:eastAsia="Times New Roman" w:hAnsi="Times New Roman"/>
          <w:sz w:val="24"/>
          <w:szCs w:val="24"/>
          <w:lang w:val="sl-SI" w:eastAsia="en-GB"/>
        </w:rPr>
        <w:t>37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4729F0"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560E6F" w:rsidRDefault="00994B3A" w:rsidP="006F53B4">
      <w:pPr>
        <w:tabs>
          <w:tab w:val="left" w:pos="7938"/>
        </w:tabs>
        <w:jc w:val="center"/>
        <w:rPr>
          <w:rFonts w:ascii="Times New Roman" w:hAnsi="Times New Roman"/>
          <w:sz w:val="24"/>
          <w:szCs w:val="24"/>
          <w:lang w:val="sl-SI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560E6F" w:rsidSect="00FE55A6">
      <w:headerReference w:type="default" r:id="rId12"/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46" w:rsidRDefault="00124846">
      <w:pPr>
        <w:spacing w:after="0" w:line="240" w:lineRule="auto"/>
      </w:pPr>
      <w:r>
        <w:separator/>
      </w:r>
    </w:p>
  </w:endnote>
  <w:endnote w:type="continuationSeparator" w:id="0">
    <w:p w:rsidR="00124846" w:rsidRDefault="0012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6" w:rsidRDefault="00D82646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5BE">
      <w:rPr>
        <w:noProof/>
      </w:rPr>
      <w:t>6</w:t>
    </w:r>
    <w:r>
      <w:rPr>
        <w:noProof/>
      </w:rPr>
      <w:fldChar w:fldCharType="end"/>
    </w:r>
  </w:p>
  <w:p w:rsidR="00D82646" w:rsidRDefault="00D826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46" w:rsidRDefault="00124846">
      <w:pPr>
        <w:spacing w:after="0" w:line="240" w:lineRule="auto"/>
      </w:pPr>
      <w:r>
        <w:separator/>
      </w:r>
    </w:p>
  </w:footnote>
  <w:footnote w:type="continuationSeparator" w:id="0">
    <w:p w:rsidR="00124846" w:rsidRDefault="00124846">
      <w:pPr>
        <w:spacing w:after="0" w:line="240" w:lineRule="auto"/>
      </w:pPr>
      <w:r>
        <w:continuationSeparator/>
      </w:r>
    </w:p>
  </w:footnote>
  <w:footnote w:id="1">
    <w:p w:rsidR="009002DC" w:rsidRPr="000A25E6" w:rsidRDefault="009002DC" w:rsidP="009002DC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6D15BE">
        <w:rPr>
          <w:rFonts w:ascii="Times New Roman" w:hAnsi="Times New Roman"/>
          <w:bCs/>
          <w:color w:val="000000"/>
          <w:lang w:val="sl-SI"/>
        </w:rPr>
        <w:t xml:space="preserve">, </w:t>
      </w:r>
      <w:r w:rsidR="006D15BE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6D15BE">
        <w:rPr>
          <w:rFonts w:ascii="Times New Roman" w:hAnsi="Times New Roman"/>
          <w:bCs/>
          <w:color w:val="000000"/>
          <w:lang w:val="sl-SI"/>
        </w:rPr>
        <w:t>a</w:t>
      </w:r>
      <w:r w:rsidR="006D15BE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6" w:rsidRDefault="006218E0" w:rsidP="00D82646">
    <w:pPr>
      <w:pStyle w:val="Glava"/>
      <w:jc w:val="right"/>
    </w:pPr>
    <w:r>
      <w:t>r1.2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085"/>
    <w:multiLevelType w:val="hybridMultilevel"/>
    <w:tmpl w:val="AC0824B6"/>
    <w:lvl w:ilvl="0" w:tplc="0746822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306"/>
    <w:multiLevelType w:val="hybridMultilevel"/>
    <w:tmpl w:val="42923A7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204F"/>
    <w:multiLevelType w:val="hybridMultilevel"/>
    <w:tmpl w:val="6ED41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B58"/>
    <w:multiLevelType w:val="hybridMultilevel"/>
    <w:tmpl w:val="B4B89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94B3A"/>
    <w:rsid w:val="00042876"/>
    <w:rsid w:val="00096CDD"/>
    <w:rsid w:val="00124846"/>
    <w:rsid w:val="001A4FBB"/>
    <w:rsid w:val="001A718E"/>
    <w:rsid w:val="001E2B41"/>
    <w:rsid w:val="001F06C6"/>
    <w:rsid w:val="00244B56"/>
    <w:rsid w:val="002E0BD9"/>
    <w:rsid w:val="003A0926"/>
    <w:rsid w:val="003A1D12"/>
    <w:rsid w:val="003F1142"/>
    <w:rsid w:val="00421FA2"/>
    <w:rsid w:val="004729F0"/>
    <w:rsid w:val="00486374"/>
    <w:rsid w:val="00560E6F"/>
    <w:rsid w:val="00560E99"/>
    <w:rsid w:val="005F2D14"/>
    <w:rsid w:val="005F711B"/>
    <w:rsid w:val="00613347"/>
    <w:rsid w:val="006218E0"/>
    <w:rsid w:val="00682447"/>
    <w:rsid w:val="006D15BE"/>
    <w:rsid w:val="006F53B4"/>
    <w:rsid w:val="007C203C"/>
    <w:rsid w:val="007C6C5F"/>
    <w:rsid w:val="0081647C"/>
    <w:rsid w:val="008B7EE6"/>
    <w:rsid w:val="008F7933"/>
    <w:rsid w:val="009002DC"/>
    <w:rsid w:val="009679DE"/>
    <w:rsid w:val="00994367"/>
    <w:rsid w:val="00994B3A"/>
    <w:rsid w:val="009A1126"/>
    <w:rsid w:val="00A526EE"/>
    <w:rsid w:val="00A74307"/>
    <w:rsid w:val="00AA59B9"/>
    <w:rsid w:val="00AB5BBE"/>
    <w:rsid w:val="00B11320"/>
    <w:rsid w:val="00B63F48"/>
    <w:rsid w:val="00B92923"/>
    <w:rsid w:val="00BC6D94"/>
    <w:rsid w:val="00BF1FDD"/>
    <w:rsid w:val="00C0693B"/>
    <w:rsid w:val="00CB24FB"/>
    <w:rsid w:val="00D82646"/>
    <w:rsid w:val="00E13505"/>
    <w:rsid w:val="00E23ABA"/>
    <w:rsid w:val="00F60699"/>
    <w:rsid w:val="00F61A21"/>
    <w:rsid w:val="00F6660D"/>
    <w:rsid w:val="00F84DFF"/>
    <w:rsid w:val="00F958C9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29BC"/>
  <w15:chartTrackingRefBased/>
  <w15:docId w15:val="{F2EBE844-DFA6-4E02-B899-F4ECA89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4B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94B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94B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94B3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0693B"/>
    <w:rPr>
      <w:rFonts w:ascii="Segoe UI" w:hAnsi="Segoe UI" w:cs="Segoe UI"/>
      <w:sz w:val="18"/>
      <w:szCs w:val="18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C0693B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C0693B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C0693B"/>
    <w:rPr>
      <w:shd w:val="clear" w:color="auto" w:fill="auto"/>
      <w:vertAlign w:val="superscript"/>
    </w:rPr>
  </w:style>
  <w:style w:type="paragraph" w:customStyle="1" w:styleId="Text1">
    <w:name w:val="Text 1"/>
    <w:basedOn w:val="Navaden"/>
    <w:rsid w:val="00C0693B"/>
    <w:pPr>
      <w:spacing w:after="0" w:line="240" w:lineRule="auto"/>
      <w:ind w:left="85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8723C-7953-4A49-ABF3-C78455F414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2B0FCC-667A-4535-9F61-2D80BB8E023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D1DC9-1300-4E45-8543-465AA01300C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682E89-BA16-4347-922B-5876B41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AB4350-58EE-402A-B611-4BCFC37F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5</cp:revision>
  <dcterms:created xsi:type="dcterms:W3CDTF">2024-01-23T15:14:00Z</dcterms:created>
  <dcterms:modified xsi:type="dcterms:W3CDTF">2024-02-02T10:52:00Z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COMPCOLLAB-474933883-435</vt:lpwstr>
  </property>
  <property fmtid="{D5CDD505-2E9C-101B-9397-08002B2CF9AE}" pid="3" name="_dlc_DocIdItemGuid">
    <vt:lpwstr>447853e2-ce72-4ca3-a7d0-e8c78bf42d27</vt:lpwstr>
  </property>
  <property fmtid="{D5CDD505-2E9C-101B-9397-08002B2CF9AE}" pid="4" name="_dlc_DocIdUrl">
    <vt:lpwstr>https://compcollab.ec.europa.eu/cases/HT.5788/_layouts/15/DocIdRedir.aspx?ID=COMPCOLLAB-474933883-435, COMPCOLLAB-474933883-435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