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94B3A" w:rsidRPr="00F84DFF" w:rsidTr="00D82646">
        <w:trPr>
          <w:trHeight w:val="160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994B3A" w:rsidRPr="00560E6F" w:rsidRDefault="009002DC" w:rsidP="00994B3A">
            <w:pPr>
              <w:shd w:val="pct20" w:color="auto" w:fill="FFFFFF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val="sl-SI" w:eastAsia="en-GB"/>
              </w:rPr>
            </w:pPr>
            <w:r w:rsidRPr="00560E6F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Obrazec za dodatne informacije o pomoči za povrnitev škode zaradi slabih vremenskih razmer, ki jih je mogoče enačiti z naravnimi nesrečami</w:t>
            </w:r>
          </w:p>
        </w:tc>
      </w:tr>
    </w:tbl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pPr>
    </w:p>
    <w:p w:rsidR="00994B3A" w:rsidRPr="00560E6F" w:rsidRDefault="009002DC" w:rsidP="00994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Ta obrazec se nanaša na državno pomoč za povrnitev škode zaradi slabih vremenskih razmer, ki jih je mogoče enačiti z naravnimi nesrečami, kot je opisano v 25. členu Uredbe (EU) št. 2022/2472.</w:t>
      </w:r>
      <w:r w:rsidRPr="00560E6F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F84DFF" w:rsidRDefault="00F84DFF" w:rsidP="00F84DF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pomoč omejena na </w:t>
      </w:r>
      <w:proofErr w:type="spellStart"/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>mikro</w:t>
      </w:r>
      <w:proofErr w:type="spellEnd"/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>-, mala in srednja podjetja,</w:t>
      </w:r>
      <w:r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ki opravljajo primarno kmetijsko proizvodnjo?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564045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F84DFF" w:rsidRPr="00D26F26" w:rsidRDefault="00F84DFF" w:rsidP="00F84DFF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84DFF" w:rsidRPr="00D26F26" w:rsidRDefault="00F84DFF" w:rsidP="00F84DF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002DC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Katere </w:t>
      </w:r>
      <w:r w:rsidRPr="00F958C9">
        <w:rPr>
          <w:rFonts w:ascii="Times New Roman" w:hAnsi="Times New Roman"/>
          <w:sz w:val="24"/>
          <w:szCs w:val="24"/>
          <w:lang w:val="sl-SI"/>
        </w:rPr>
        <w:t>slabe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vremenske razmere, ki jih je mogoče enačiti z naravnimi nesrečami, so </w:t>
      </w:r>
      <w:r w:rsidR="00F958C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povzročile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škodo</w:t>
      </w:r>
      <w:r w:rsidR="00994B3A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A1126" w:rsidRPr="00560E6F" w:rsidRDefault="009A1126" w:rsidP="00FE55A6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002DC" w:rsidP="009A1126">
      <w:pPr>
        <w:autoSpaceDE w:val="0"/>
        <w:autoSpaceDN w:val="0"/>
        <w:adjustRightInd w:val="0"/>
        <w:spacing w:after="0" w:line="240" w:lineRule="auto"/>
        <w:ind w:left="284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Navedite</w:t>
      </w:r>
      <w:r w:rsidR="00C0693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994B3A" w:rsidRPr="00560E6F" w:rsidRDefault="00994B3A" w:rsidP="009A112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</w:t>
      </w:r>
      <w:r w:rsidR="00C0693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</w:t>
      </w:r>
      <w:r w:rsidR="009A1126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</w:t>
      </w:r>
    </w:p>
    <w:p w:rsidR="009A1126" w:rsidRPr="00560E6F" w:rsidRDefault="009A1126" w:rsidP="009A112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shema </w:t>
      </w:r>
      <w:r w:rsidRPr="00F958C9">
        <w:rPr>
          <w:rFonts w:ascii="Times New Roman" w:hAnsi="Times New Roman"/>
          <w:sz w:val="24"/>
          <w:szCs w:val="24"/>
          <w:lang w:val="sl-SI"/>
        </w:rPr>
        <w:t>pomoči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zasnovana kot predhodna shema?</w:t>
      </w:r>
    </w:p>
    <w:p w:rsidR="00C0693B" w:rsidRPr="00560E6F" w:rsidRDefault="00C0693B" w:rsidP="00C0693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C0693B" w:rsidP="009A1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C0693B" w:rsidRPr="00560E6F" w:rsidRDefault="00C0693B" w:rsidP="009A1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9002DC" w:rsidP="00FE55A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vrsto slabih vremenskih razmer, ki jih lahko enačimo z naravnimi nesrečami, zajeto v predhodni shemi:</w:t>
      </w:r>
    </w:p>
    <w:p w:rsidR="00486374" w:rsidRPr="00560E6F" w:rsidRDefault="00486374" w:rsidP="00FE55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6374" w:rsidRPr="00560E6F" w:rsidRDefault="00486374" w:rsidP="00FE55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 w:rsidRPr="00560E6F">
        <w:rPr>
          <w:rFonts w:ascii="Times New Roman" w:hAnsi="Times New Roman"/>
          <w:sz w:val="24"/>
          <w:szCs w:val="24"/>
          <w:lang w:val="sl-SI"/>
        </w:rPr>
        <w:t xml:space="preserve">Ali 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>lahko</w:t>
      </w:r>
      <w:r w:rsidRPr="00560E6F">
        <w:rPr>
          <w:rFonts w:ascii="Times New Roman" w:hAnsi="Times New Roman"/>
          <w:sz w:val="24"/>
          <w:szCs w:val="24"/>
          <w:lang w:val="sl-SI"/>
        </w:rPr>
        <w:t xml:space="preserve"> organ, ki dodeli pomoč, potrdi, da bo obveznost poročanja iz tretjega odstavka 11. člena Uredbe (EU) št. 2022/2472 izpolnjena?</w:t>
      </w:r>
    </w:p>
    <w:p w:rsidR="00F958C9" w:rsidRPr="00560E6F" w:rsidRDefault="00F958C9" w:rsidP="00F958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C0693B" w:rsidRPr="00560E6F" w:rsidRDefault="00C0693B" w:rsidP="004863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F958C9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Kdaj so se </w:t>
      </w:r>
      <w:r w:rsidR="00560E99"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>pojavile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slabe vremenske razmere, ki jih je mogoče enačiti z naravnimi nesrečami</w:t>
      </w:r>
      <w:r w:rsidR="00994B3A"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Ali se shema pomoči vzpostavi v tre</w:t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h letih od datuma pojava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560E6F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razmer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 prejšnje točke?</w:t>
      </w:r>
    </w:p>
    <w:p w:rsidR="00E13505" w:rsidRPr="00560E6F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E13505" w:rsidP="004863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E13505" w:rsidRPr="00560E6F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560E99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hAnsi="Times New Roman"/>
          <w:sz w:val="24"/>
          <w:szCs w:val="24"/>
          <w:lang w:val="sl-SI"/>
        </w:rPr>
        <w:t xml:space="preserve">Ali bo pomoč izplačana v štirih letih od datuma pojava </w:t>
      </w:r>
      <w:r w:rsidR="00560E6F" w:rsidRPr="00560E6F">
        <w:rPr>
          <w:rFonts w:ascii="Times New Roman" w:hAnsi="Times New Roman"/>
          <w:sz w:val="24"/>
          <w:szCs w:val="24"/>
          <w:lang w:val="sl-SI"/>
        </w:rPr>
        <w:t>razmer</w:t>
      </w:r>
      <w:r w:rsidR="00F84DFF">
        <w:rPr>
          <w:rFonts w:ascii="Times New Roman" w:hAnsi="Times New Roman"/>
          <w:sz w:val="24"/>
          <w:szCs w:val="24"/>
          <w:lang w:val="sl-SI"/>
        </w:rPr>
        <w:t xml:space="preserve"> iz 5</w:t>
      </w:r>
      <w:r w:rsidRPr="00560E6F">
        <w:rPr>
          <w:rFonts w:ascii="Times New Roman" w:hAnsi="Times New Roman"/>
          <w:sz w:val="24"/>
          <w:szCs w:val="24"/>
          <w:lang w:val="sl-SI"/>
        </w:rPr>
        <w:t>. točke</w:t>
      </w:r>
      <w:r w:rsidR="00F84DFF">
        <w:rPr>
          <w:rFonts w:ascii="Times New Roman" w:hAnsi="Times New Roman"/>
          <w:sz w:val="24"/>
          <w:szCs w:val="24"/>
          <w:lang w:val="sl-SI"/>
        </w:rPr>
        <w:t xml:space="preserve"> tega obrazca</w:t>
      </w:r>
      <w:r w:rsidRPr="00560E6F">
        <w:rPr>
          <w:rFonts w:ascii="Times New Roman" w:hAnsi="Times New Roman"/>
          <w:sz w:val="24"/>
          <w:szCs w:val="24"/>
          <w:lang w:val="sl-SI"/>
        </w:rPr>
        <w:t>?</w:t>
      </w:r>
    </w:p>
    <w:p w:rsidR="00E13505" w:rsidRPr="00560E6F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E13505" w:rsidP="004863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F84DFF" w:rsidRPr="00D26F26" w:rsidRDefault="00F84DFF" w:rsidP="00F84DFF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84DFF" w:rsidRPr="00D26F26" w:rsidRDefault="00F84DFF" w:rsidP="00F84DF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84DFF" w:rsidRPr="00560E6F" w:rsidRDefault="00F84DF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F958C9" w:rsidRDefault="00560E99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Navedite skrajni datum, na katerega se lahko pomoč izplača:</w:t>
      </w:r>
    </w:p>
    <w:p w:rsidR="00486374" w:rsidRPr="00560E6F" w:rsidRDefault="00486374" w:rsidP="004863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</w:t>
      </w:r>
    </w:p>
    <w:p w:rsidR="00486374" w:rsidRPr="00560E6F" w:rsidRDefault="00486374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560E6F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Ali je pristojni organ države članice uradno priznal pojav razmer kot slabih vremenskih razmer, ki jih je mogoče enačiti z naravnimi nesrečami?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48637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6F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6F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0E6F" w:rsidRDefault="00560E6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</w:t>
      </w:r>
      <w:r w:rsidR="005F2D14">
        <w:rPr>
          <w:rFonts w:ascii="Times New Roman" w:eastAsia="Times New Roman" w:hAnsi="Times New Roman"/>
          <w:sz w:val="24"/>
          <w:szCs w:val="24"/>
          <w:lang w:val="sl-SI" w:eastAsia="en-GB"/>
        </w:rPr>
        <w:t>r pritrdilen, navedite uradni dokument v zvezi s tem:</w:t>
      </w:r>
    </w:p>
    <w:p w:rsidR="005F2D14" w:rsidRPr="00560E6F" w:rsidRDefault="005F2D14" w:rsidP="005F2D14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F2D14" w:rsidRDefault="005F2D14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F2D14" w:rsidRPr="00560E6F" w:rsidRDefault="00F958C9" w:rsidP="005F2D1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="005F2D14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načrta pomoči ni mogoče priglasiti v skladu s pravili o državni pomoči po skupinski izjemi v kmetijstvu, gozdarstvu in na podeželju.</w:t>
      </w:r>
    </w:p>
    <w:p w:rsidR="00560E6F" w:rsidRPr="00560E6F" w:rsidRDefault="00560E6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5F2D14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D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okažite neposredno povezavo med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slabimi vremenskimi razmerami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ki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jih je mogoče enačiti z naravnimi nesrečami, in škodo, ki so jo utrpela kmetijska gospodarstva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>, dejavn</w:t>
      </w:r>
      <w:r w:rsidR="001A4FBB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primarni kmetijski proizvodnji: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C0693B" w:rsidP="00C0693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693B" w:rsidRPr="00560E6F" w:rsidRDefault="00C0693B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5F2D14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Upoštevajte, da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morata biti izpolnjena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oba pogoja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 9. in 10. točke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tega obrazca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BF1FDD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Ali so bila merila, na p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odlagi katerih se uradno priznajo slabe vremenske razmere, k</w:t>
      </w:r>
      <w:r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i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jih je mogoče enačiti z naravnimi nesrečami</w:t>
      </w:r>
      <w:r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, določena vnaprej?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F84DF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F84DF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C0693B" w:rsidRPr="00560E6F" w:rsidRDefault="00C0693B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0693B" w:rsidRPr="00560E6F" w:rsidRDefault="00BF1FDD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dokažite, da je prim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erno ta merila določiti vnaprej</w:t>
      </w:r>
      <w:r w:rsidR="00C0693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C0693B" w:rsidRPr="00560E6F" w:rsidRDefault="00C0693B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F958C9" w:rsidRDefault="00BF1FDD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Navedite ustrezne podporne meteorološke informacije v zvezi z zadevnim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 slabimi vremenskimi razmerami:</w:t>
      </w:r>
    </w:p>
    <w:p w:rsidR="00994367" w:rsidRPr="00560E6F" w:rsidRDefault="00994367" w:rsidP="0099436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BF1FDD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Pomoč bo izplačana neposredno</w:t>
      </w:r>
      <w:r w:rsidR="00F61A21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  <w:t xml:space="preserve">(a)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zadevnemu kmetijskemu gospodarstvu, ki se ukvarja s primarno kmetijsko proizvodnjo ali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(b)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skupini ali organizaciji proizvajalcev, 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katere člani so kmetijska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gospodarstva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iz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prejšnje 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točke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F1FDD"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(b), znesek pomoči ne sme presegati zneska pomoči, do katerega je upravičeno vsako zadevno kmetijsko </w:t>
      </w:r>
      <w:r w:rsidR="00BF1FDD">
        <w:rPr>
          <w:rFonts w:ascii="Times New Roman" w:eastAsia="Times New Roman" w:hAnsi="Times New Roman"/>
          <w:sz w:val="24"/>
          <w:szCs w:val="24"/>
          <w:lang w:val="sl-SI" w:eastAsia="en-GB"/>
        </w:rPr>
        <w:t>gospodarstvo</w:t>
      </w:r>
      <w:r w:rsidR="00BF1FDD"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1A21" w:rsidRPr="00560E6F" w:rsidRDefault="001F06C6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1F06C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so do pomoči upravičeni le stroški škode, ki je neposredna posledica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slabih vremenskih razmer, ki jih je mogoče enačiti z naravnimi nesrečami, kot jih je ocenil javni organ, neodvisni strokovnjak, ki ga priznava organ, ki dodeli pomoč, ali zavarovalnica?</w:t>
      </w: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1F06C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1F06C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1A21" w:rsidRDefault="00F61A21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F06C6" w:rsidRPr="00560E6F" w:rsidRDefault="001F06C6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1F06C6" w:rsidRPr="00560E6F" w:rsidRDefault="001F06C6" w:rsidP="001F06C6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1F06C6" w:rsidRPr="00560E6F" w:rsidRDefault="001F06C6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F06C6" w:rsidRPr="00560E6F" w:rsidRDefault="00F84DFF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1F06C6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1F06C6" w:rsidRPr="00560E6F" w:rsidRDefault="001F06C6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1F06C6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stroške: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  <w:t>(</w:t>
      </w:r>
      <w:r w:rsidR="00F61A21"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a</w:t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) </w:t>
      </w:r>
      <w:r w:rsidR="00B92923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m</w:t>
      </w:r>
      <w:r w:rsidR="00B92923" w:rsidRPr="00B92923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aterialna škoda na sredstvih, kot so stavbe, oprema in stroji, sestoj in proizvodna sredstva, nastala zaradi slabih vremenskih razmer, ki jih je mogoč</w:t>
      </w:r>
      <w:r w:rsidR="00B92923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e enačiti z naravnimi nesrečami</w:t>
      </w:r>
      <w:r w:rsidR="00F61A21" w:rsidRPr="00560E6F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;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(b) </w:t>
      </w:r>
      <w:r w:rsidR="00B92923" w:rsidRPr="00B92923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izpad dohodka zaradi popolnega ali delnega uničenja kmetijske proizvodnje in proizvodnih sredstev</w:t>
      </w:r>
      <w:r w:rsidR="00B92923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, </w:t>
      </w:r>
      <w:r w:rsidR="00B92923" w:rsidRPr="00B92923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nastal zaradi slabih vremenskih razmer, ki jih je mogoče enačiti z naravnimi nesrečami</w:t>
      </w:r>
      <w:r w:rsidRPr="00560E6F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.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F61A21" w:rsidRPr="00560E6F" w:rsidRDefault="00B92923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Ali se škoda zaradi slabih vremenskih razmer, ki jih je mogoče enačiti z naravnimi nesrečami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izračuna na ravni posameznega upravičenca?</w:t>
      </w: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F61A21" w:rsidP="00A526E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1A21" w:rsidRDefault="00F61A21" w:rsidP="00F61A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B92923" w:rsidRPr="00560E6F" w:rsidRDefault="00B92923" w:rsidP="00B9292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B92923" w:rsidRPr="00560E6F" w:rsidRDefault="00B92923" w:rsidP="00B92923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lastRenderedPageBreak/>
        <w:tab/>
      </w:r>
    </w:p>
    <w:p w:rsidR="00B92923" w:rsidRPr="00560E6F" w:rsidRDefault="00B92923" w:rsidP="00B9292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92923" w:rsidRPr="00560E6F" w:rsidRDefault="00F84DFF" w:rsidP="00B9292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B92923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B92923" w:rsidRPr="00560E6F" w:rsidRDefault="00B92923" w:rsidP="00F61A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F61A21" w:rsidRPr="00560E6F" w:rsidRDefault="002E0BD9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ste pri 15. točki izbrali točko (a), a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li je mat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erialna škoda na sredstvih, ki so jo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povzročil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e 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slab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vremensk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razmer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, ki jih je mogoče enačiti z naravnimi nesrečami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,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izračunana na podlagi stroškov popravila ali ekonomske vrednosti prizadetega sredstva pred 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slabimi vremenskimi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razmer</w:t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ami</w:t>
      </w:r>
      <w:r w:rsidR="00B92923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, ki jih je mogoče enačiti z naravnimi nesrečami?</w:t>
      </w:r>
      <w:r w:rsidR="00F61A21" w:rsidRPr="00560E6F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F61A21" w:rsidRPr="00560E6F" w:rsidRDefault="00F61A21" w:rsidP="00A526E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92923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5F711B" w:rsidRPr="00682447" w:rsidRDefault="00682447" w:rsidP="006824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Če je odgovor pritrdilen, u</w:t>
      </w:r>
      <w:r w:rsidR="00B92923" w:rsidRPr="00B92923">
        <w:rPr>
          <w:rFonts w:ascii="Times New Roman" w:hAnsi="Times New Roman"/>
          <w:sz w:val="24"/>
          <w:szCs w:val="24"/>
          <w:lang w:val="sl-SI"/>
        </w:rPr>
        <w:t xml:space="preserve">poštevajte, da tako izračunana materialna škoda ne sme presegati stroškov popravila ali zmanjšanja poštene tržne vrednosti zaradi slabih vremenskih razmer, ki jih je mogoče enačiti z naravnimi nesrečami, tj. razlike med vrednostjo sredstva </w:t>
      </w:r>
      <w:r w:rsidR="005F711B">
        <w:rPr>
          <w:rFonts w:ascii="Times New Roman" w:hAnsi="Times New Roman"/>
          <w:sz w:val="24"/>
          <w:szCs w:val="24"/>
          <w:lang w:val="sl-SI"/>
        </w:rPr>
        <w:t>tik</w:t>
      </w:r>
      <w:r w:rsidR="00B92923" w:rsidRPr="00B92923">
        <w:rPr>
          <w:rFonts w:ascii="Times New Roman" w:hAnsi="Times New Roman"/>
          <w:sz w:val="24"/>
          <w:szCs w:val="24"/>
          <w:lang w:val="sl-SI"/>
        </w:rPr>
        <w:t xml:space="preserve"> pred </w:t>
      </w:r>
      <w:r w:rsidR="005F711B">
        <w:rPr>
          <w:rFonts w:ascii="Times New Roman" w:eastAsia="Times New Roman" w:hAnsi="Times New Roman"/>
          <w:sz w:val="24"/>
          <w:szCs w:val="24"/>
          <w:lang w:val="sl-SI" w:eastAsia="en-GB"/>
        </w:rPr>
        <w:t>slabimi vremenskimi</w:t>
      </w:r>
      <w:r w:rsidR="005F711B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razmer</w:t>
      </w:r>
      <w:r w:rsidR="005F711B">
        <w:rPr>
          <w:rFonts w:ascii="Times New Roman" w:eastAsia="Times New Roman" w:hAnsi="Times New Roman"/>
          <w:sz w:val="24"/>
          <w:szCs w:val="24"/>
          <w:lang w:val="sl-SI" w:eastAsia="en-GB"/>
        </w:rPr>
        <w:t>ami</w:t>
      </w:r>
      <w:r w:rsidR="005F711B"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, ki jih je mogoče enačiti z naravnimi nesrečami</w:t>
      </w:r>
      <w:r w:rsidR="005F711B">
        <w:rPr>
          <w:rFonts w:ascii="Times New Roman" w:hAnsi="Times New Roman"/>
          <w:sz w:val="24"/>
          <w:szCs w:val="24"/>
          <w:lang w:val="sl-SI"/>
        </w:rPr>
        <w:t>, in tik po njih</w:t>
      </w:r>
      <w:r w:rsidR="00B92923" w:rsidRPr="00B92923">
        <w:rPr>
          <w:rFonts w:ascii="Times New Roman" w:hAnsi="Times New Roman"/>
          <w:sz w:val="24"/>
          <w:szCs w:val="24"/>
          <w:lang w:val="sl-SI"/>
        </w:rPr>
        <w:t>.</w:t>
      </w:r>
      <w:r w:rsidR="005F711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="005F711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 pogojem:</w:t>
      </w:r>
    </w:p>
    <w:p w:rsidR="005F711B" w:rsidRPr="00560E6F" w:rsidRDefault="005F711B" w:rsidP="005F711B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F711B" w:rsidRPr="00560E6F" w:rsidRDefault="005F711B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F711B" w:rsidRPr="00560E6F" w:rsidRDefault="00F84DFF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5F711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F6660D" w:rsidRPr="00560E6F" w:rsidRDefault="00F6660D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660D" w:rsidRPr="00F958C9" w:rsidRDefault="005F711B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</w:t>
      </w:r>
      <w:r w:rsidR="002E0BD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ste pri 15. točki izbrali točko (a) in 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se </w:t>
      </w:r>
      <w:r w:rsidR="00B11320"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>izpad</w:t>
      </w:r>
      <w:r w:rsidRPr="00F958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dohodka upravičenca izračuna na podlagi ravni pridelka ali živine, ali se upošteva samo materialna škoda, povezana s tem pridelkom ali živino?</w:t>
      </w:r>
    </w:p>
    <w:p w:rsidR="00F61A21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</w:p>
    <w:p w:rsidR="00F6660D" w:rsidRPr="00560E6F" w:rsidRDefault="00F6660D" w:rsidP="00F666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F711B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5F711B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F6660D" w:rsidRDefault="00F6660D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F711B" w:rsidRPr="00560E6F" w:rsidRDefault="005F711B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5F711B" w:rsidRPr="00560E6F" w:rsidRDefault="005F711B" w:rsidP="005F711B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F711B" w:rsidRPr="00560E6F" w:rsidRDefault="005F711B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F711B" w:rsidRDefault="00F84DFF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5F711B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5F711B" w:rsidRPr="00560E6F" w:rsidRDefault="005F711B" w:rsidP="005F71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5F711B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izpad</w:t>
      </w: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dohodka izračuna tako, da se rezultat pomnožitve količine kmetijskih proizvodov, proizvedenih v letu slabih vremenskih razmer, ki jih je mogoče enačiti z naravnimi nesrečami, ali v vsakem naslednjem letu, </w:t>
      </w:r>
      <w:r w:rsidR="00B11320">
        <w:rPr>
          <w:rFonts w:ascii="Times New Roman" w:eastAsia="Times New Roman" w:hAnsi="Times New Roman"/>
          <w:sz w:val="24"/>
          <w:szCs w:val="24"/>
          <w:lang w:val="sl-SI" w:eastAsia="en-GB"/>
        </w:rPr>
        <w:t>v katerem so prisotne posledice popolnega ali delnega uničenja</w:t>
      </w: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proizvodnih sredstev, s povprečno prodajno ceno, doseženo v tem letu, odšteje od rezultata pomnožitve povprečne letne količine kmetijskih proizvodov, proizvedenih v predhodnem triletnem obdobju</w:t>
      </w:r>
      <w:r w:rsidR="00B1132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triletnega povprečja, osnovanega na predhodnem petletnem obdobju</w:t>
      </w:r>
      <w:r w:rsidRPr="005F711B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(brez najvišjega in najnižjega vnosa), s povprečno doseženo prodajno ceno?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11320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B11320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94B3A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11320" w:rsidRPr="00560E6F" w:rsidRDefault="00B11320" w:rsidP="00B1132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B11320" w:rsidRPr="00560E6F" w:rsidRDefault="00B11320" w:rsidP="00B11320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11320" w:rsidRPr="00560E6F" w:rsidRDefault="00B11320" w:rsidP="00B1132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11320" w:rsidRDefault="00F84DFF" w:rsidP="00B1132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B11320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B11320" w:rsidRPr="00560E6F" w:rsidRDefault="00B11320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244B56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znesek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izpada dohodka poveča za druge stroške, ki so upravičencu nastali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zaradi slabih vremenskih razmer, ki jih je mogoč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e enačiti z naravnimi nesrečami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244B5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244B5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660D" w:rsidRPr="00560E6F" w:rsidRDefault="00F6660D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660D" w:rsidRPr="00560E6F" w:rsidRDefault="00244B56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>e je odgovor pritrdilen, navedite druge stroške:</w:t>
      </w:r>
    </w:p>
    <w:p w:rsidR="00F6660D" w:rsidRPr="00560E6F" w:rsidRDefault="00AB5BBE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244B56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znesek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izpada dohodka zmanjšan za kakršne koli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stroške, ki niso nastali zaradi slabih vremenskih razmer, ki jih je mogoče enačiti z naravnimi nesrečami (na primer zaradi opustitve spravila pridelka)?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244B5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244B5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94B3A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244B56" w:rsidRPr="00560E6F" w:rsidRDefault="00244B56" w:rsidP="00244B5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244B56" w:rsidRPr="00560E6F" w:rsidRDefault="00244B56" w:rsidP="00244B56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244B56" w:rsidRPr="00560E6F" w:rsidRDefault="00244B56" w:rsidP="00244B5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44B56" w:rsidRDefault="00F84DFF" w:rsidP="00244B5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244B56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244B56" w:rsidRPr="00560E6F" w:rsidRDefault="00244B56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7C6C5F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>Ali se za izračun letne kmetijske proizvodnje upravičenca uporabljajo indeksi?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679DE" w:rsidRPr="00560E6F" w:rsidRDefault="009679DE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679DE" w:rsidRPr="00560E6F" w:rsidRDefault="007C6C5F" w:rsidP="007C6C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a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>li takšna metoda izračuna omogoča določitev dejanske izgube upravičenca v danem letu?</w:t>
      </w:r>
    </w:p>
    <w:p w:rsidR="009679DE" w:rsidRPr="00560E6F" w:rsidRDefault="009679DE" w:rsidP="009679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679DE" w:rsidRPr="00560E6F" w:rsidRDefault="009679DE" w:rsidP="009679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9679DE" w:rsidRPr="00560E6F" w:rsidRDefault="009679DE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C6C5F" w:rsidRDefault="00F84DFF" w:rsidP="007C6C5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7C6C5F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7C6C5F" w:rsidRPr="00560E6F" w:rsidRDefault="007C6C5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96CDD" w:rsidRPr="00560E6F" w:rsidRDefault="007C6C5F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50004"/>
          <w:sz w:val="24"/>
          <w:szCs w:val="24"/>
          <w:lang w:val="sl-SI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je upravičenec kmetijsko gospodarstvo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ki je bilo ustanovljeno manj kot tri leta po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datumu 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>pojav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244B56">
        <w:rPr>
          <w:rFonts w:ascii="Times New Roman" w:eastAsia="Times New Roman" w:hAnsi="Times New Roman"/>
          <w:sz w:val="24"/>
          <w:szCs w:val="24"/>
          <w:lang w:val="sl-SI" w:eastAsia="en-GB"/>
        </w:rPr>
        <w:t>slabih vremenskih razmer, ki jih je mogoče enačiti z naravnimi nesrečami</w:t>
      </w:r>
      <w:r w:rsidRPr="007C6C5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096CDD" w:rsidRPr="00560E6F" w:rsidRDefault="00096CDD" w:rsidP="00096CD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096CDD" w:rsidRPr="00560E6F" w:rsidRDefault="00096CDD" w:rsidP="00096C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6C5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096CDD" w:rsidRPr="00560E6F" w:rsidRDefault="00096CDD" w:rsidP="00096CD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7C203C" w:rsidRDefault="007C6C5F" w:rsidP="00682447">
      <w:pPr>
        <w:tabs>
          <w:tab w:val="left" w:leader="dot" w:pos="907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 w:rsidRPr="007C6C5F">
        <w:rPr>
          <w:rFonts w:ascii="Times New Roman" w:hAnsi="Times New Roman"/>
          <w:sz w:val="24"/>
          <w:szCs w:val="24"/>
          <w:lang w:val="sl-SI"/>
        </w:rPr>
        <w:t>Če je odgovor pritrdilen, upoštevajte, da je treba sklicevanje na povprečno letno količino v treh ali petih letih</w:t>
      </w:r>
      <w:r w:rsidR="007C203C">
        <w:rPr>
          <w:rFonts w:ascii="Times New Roman" w:hAnsi="Times New Roman"/>
          <w:sz w:val="24"/>
          <w:szCs w:val="24"/>
          <w:lang w:val="sl-SI"/>
        </w:rPr>
        <w:t xml:space="preserve"> iz</w:t>
      </w:r>
      <w:r>
        <w:rPr>
          <w:rFonts w:ascii="Times New Roman" w:hAnsi="Times New Roman"/>
          <w:sz w:val="24"/>
          <w:szCs w:val="24"/>
          <w:lang w:val="sl-SI"/>
        </w:rPr>
        <w:t xml:space="preserve"> 19. točk</w:t>
      </w:r>
      <w:r w:rsidR="007C203C">
        <w:rPr>
          <w:rFonts w:ascii="Times New Roman" w:hAnsi="Times New Roman"/>
          <w:sz w:val="24"/>
          <w:szCs w:val="24"/>
          <w:lang w:val="sl-SI"/>
        </w:rPr>
        <w:t>e</w:t>
      </w:r>
      <w:r>
        <w:rPr>
          <w:rFonts w:ascii="Times New Roman" w:hAnsi="Times New Roman"/>
          <w:sz w:val="24"/>
          <w:szCs w:val="24"/>
          <w:lang w:val="sl-SI"/>
        </w:rPr>
        <w:t xml:space="preserve"> tega obrazca razumeti</w:t>
      </w:r>
      <w:r w:rsidRPr="007C6C5F">
        <w:rPr>
          <w:rFonts w:ascii="Times New Roman" w:hAnsi="Times New Roman"/>
          <w:sz w:val="24"/>
          <w:szCs w:val="24"/>
          <w:lang w:val="sl-SI"/>
        </w:rPr>
        <w:t xml:space="preserve"> kot sklicevanje na proizvedeno in prodano količino povprečnega </w:t>
      </w:r>
      <w:r w:rsidR="007C203C">
        <w:rPr>
          <w:rFonts w:ascii="Times New Roman" w:hAnsi="Times New Roman"/>
          <w:sz w:val="24"/>
          <w:szCs w:val="24"/>
          <w:lang w:val="sl-SI"/>
        </w:rPr>
        <w:t>gospodarstva</w:t>
      </w:r>
      <w:r w:rsidRPr="007C6C5F">
        <w:rPr>
          <w:rFonts w:ascii="Times New Roman" w:hAnsi="Times New Roman"/>
          <w:sz w:val="24"/>
          <w:szCs w:val="24"/>
          <w:lang w:val="sl-SI"/>
        </w:rPr>
        <w:t xml:space="preserve"> enake velikost</w:t>
      </w:r>
      <w:r w:rsidR="007C203C">
        <w:rPr>
          <w:rFonts w:ascii="Times New Roman" w:hAnsi="Times New Roman"/>
          <w:sz w:val="24"/>
          <w:szCs w:val="24"/>
          <w:lang w:val="sl-SI"/>
        </w:rPr>
        <w:t xml:space="preserve">i kot vlagatelj, in sicer </w:t>
      </w:r>
      <w:proofErr w:type="spellStart"/>
      <w:r w:rsidR="007C203C">
        <w:rPr>
          <w:rFonts w:ascii="Times New Roman" w:hAnsi="Times New Roman"/>
          <w:sz w:val="24"/>
          <w:szCs w:val="24"/>
          <w:lang w:val="sl-SI"/>
        </w:rPr>
        <w:t>mikro</w:t>
      </w:r>
      <w:r w:rsidRPr="007C6C5F">
        <w:rPr>
          <w:rFonts w:ascii="Times New Roman" w:hAnsi="Times New Roman"/>
          <w:sz w:val="24"/>
          <w:szCs w:val="24"/>
          <w:lang w:val="sl-SI"/>
        </w:rPr>
        <w:t>podjetja</w:t>
      </w:r>
      <w:proofErr w:type="spellEnd"/>
      <w:r w:rsidRPr="007C6C5F">
        <w:rPr>
          <w:rFonts w:ascii="Times New Roman" w:hAnsi="Times New Roman"/>
          <w:sz w:val="24"/>
          <w:szCs w:val="24"/>
          <w:lang w:val="sl-SI"/>
        </w:rPr>
        <w:t xml:space="preserve"> ali malega podjetja ali srednjega podjetja v nacionalnem ali</w:t>
      </w:r>
      <w:r w:rsidR="007C203C">
        <w:rPr>
          <w:rFonts w:ascii="Times New Roman" w:hAnsi="Times New Roman"/>
          <w:sz w:val="24"/>
          <w:szCs w:val="24"/>
          <w:lang w:val="sl-SI"/>
        </w:rPr>
        <w:t xml:space="preserve"> regionalnem sektorju, ki so ga </w:t>
      </w:r>
      <w:r w:rsidRPr="007C6C5F">
        <w:rPr>
          <w:rFonts w:ascii="Times New Roman" w:hAnsi="Times New Roman"/>
          <w:sz w:val="24"/>
          <w:szCs w:val="24"/>
          <w:lang w:val="sl-SI"/>
        </w:rPr>
        <w:t>prizadel</w:t>
      </w:r>
      <w:r w:rsidR="007C203C">
        <w:rPr>
          <w:rFonts w:ascii="Times New Roman" w:hAnsi="Times New Roman"/>
          <w:sz w:val="24"/>
          <w:szCs w:val="24"/>
          <w:lang w:val="sl-SI"/>
        </w:rPr>
        <w:t>e</w:t>
      </w:r>
      <w:r w:rsidRPr="007C6C5F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7C203C" w:rsidRPr="007C203C">
        <w:rPr>
          <w:rFonts w:ascii="Times New Roman" w:hAnsi="Times New Roman"/>
          <w:sz w:val="24"/>
          <w:szCs w:val="24"/>
          <w:lang w:val="sl-SI"/>
        </w:rPr>
        <w:t>slab</w:t>
      </w:r>
      <w:r w:rsidR="007C203C">
        <w:rPr>
          <w:rFonts w:ascii="Times New Roman" w:hAnsi="Times New Roman"/>
          <w:sz w:val="24"/>
          <w:szCs w:val="24"/>
          <w:lang w:val="sl-SI"/>
        </w:rPr>
        <w:t>e</w:t>
      </w:r>
      <w:r w:rsidR="007C203C" w:rsidRPr="007C203C">
        <w:rPr>
          <w:rFonts w:ascii="Times New Roman" w:hAnsi="Times New Roman"/>
          <w:sz w:val="24"/>
          <w:szCs w:val="24"/>
          <w:lang w:val="sl-SI"/>
        </w:rPr>
        <w:t xml:space="preserve"> vremensk</w:t>
      </w:r>
      <w:r w:rsidR="007C203C">
        <w:rPr>
          <w:rFonts w:ascii="Times New Roman" w:hAnsi="Times New Roman"/>
          <w:sz w:val="24"/>
          <w:szCs w:val="24"/>
          <w:lang w:val="sl-SI"/>
        </w:rPr>
        <w:t>e</w:t>
      </w:r>
      <w:r w:rsidR="007C203C" w:rsidRPr="007C203C">
        <w:rPr>
          <w:rFonts w:ascii="Times New Roman" w:hAnsi="Times New Roman"/>
          <w:sz w:val="24"/>
          <w:szCs w:val="24"/>
          <w:lang w:val="sl-SI"/>
        </w:rPr>
        <w:t xml:space="preserve"> razmer</w:t>
      </w:r>
      <w:r w:rsidR="007C203C">
        <w:rPr>
          <w:rFonts w:ascii="Times New Roman" w:hAnsi="Times New Roman"/>
          <w:sz w:val="24"/>
          <w:szCs w:val="24"/>
          <w:lang w:val="sl-SI"/>
        </w:rPr>
        <w:t>e</w:t>
      </w:r>
      <w:r w:rsidR="007C203C" w:rsidRPr="007C203C">
        <w:rPr>
          <w:rFonts w:ascii="Times New Roman" w:hAnsi="Times New Roman"/>
          <w:sz w:val="24"/>
          <w:szCs w:val="24"/>
          <w:lang w:val="sl-SI"/>
        </w:rPr>
        <w:t>, ki jih je mogoče enačiti z naravnimi nesrečami</w:t>
      </w:r>
      <w:r w:rsidRPr="007C6C5F">
        <w:rPr>
          <w:rFonts w:ascii="Times New Roman" w:hAnsi="Times New Roman"/>
          <w:sz w:val="24"/>
          <w:szCs w:val="24"/>
          <w:lang w:val="sl-SI"/>
        </w:rPr>
        <w:t>.</w:t>
      </w:r>
      <w:r w:rsidR="007C203C">
        <w:rPr>
          <w:rFonts w:ascii="Times New Roman" w:hAnsi="Times New Roman"/>
          <w:sz w:val="24"/>
          <w:szCs w:val="24"/>
          <w:lang w:val="sl-SI"/>
        </w:rPr>
        <w:t xml:space="preserve"> Navedite določbo pravne podlage načrta pomoči v zvezi s tem pogojem:</w:t>
      </w:r>
    </w:p>
    <w:p w:rsidR="007C203C" w:rsidRPr="00560E6F" w:rsidRDefault="007C203C" w:rsidP="007C203C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96CDD" w:rsidRPr="00560E6F" w:rsidRDefault="00096CDD" w:rsidP="00096CD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7C203C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največjo intenzivnost pomoči</w:t>
      </w:r>
      <w:r w:rsidR="00096CDD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096CDD" w:rsidRPr="00560E6F" w:rsidRDefault="00096CDD" w:rsidP="00FE55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96CDD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C203C" w:rsidRPr="007C203C">
        <w:rPr>
          <w:rFonts w:ascii="Times New Roman" w:eastAsia="Times New Roman" w:hAnsi="Times New Roman"/>
          <w:sz w:val="24"/>
          <w:szCs w:val="24"/>
          <w:lang w:val="sl-SI" w:eastAsia="en-GB"/>
        </w:rPr>
        <w:t>80 % upravičenih stroškov</w:t>
      </w:r>
      <w:r w:rsidR="007C203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="007C203C" w:rsidRPr="007C203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vključno z vsemi drugimi prejetimi plačili za nadomestilo </w:t>
      </w:r>
      <w:r w:rsidR="007C203C">
        <w:rPr>
          <w:rFonts w:ascii="Times New Roman" w:eastAsia="Times New Roman" w:hAnsi="Times New Roman"/>
          <w:sz w:val="24"/>
          <w:szCs w:val="24"/>
          <w:lang w:val="sl-SI" w:eastAsia="en-GB"/>
        </w:rPr>
        <w:t>izgub</w:t>
      </w:r>
      <w:r w:rsidR="007C203C" w:rsidRPr="007C203C">
        <w:rPr>
          <w:rFonts w:ascii="Times New Roman" w:eastAsia="Times New Roman" w:hAnsi="Times New Roman"/>
          <w:sz w:val="24"/>
          <w:szCs w:val="24"/>
          <w:lang w:val="sl-SI" w:eastAsia="en-GB"/>
        </w:rPr>
        <w:t>, vključno s plačili na podlagi drugih nacio</w:t>
      </w:r>
      <w:r w:rsidR="007C203C">
        <w:rPr>
          <w:rFonts w:ascii="Times New Roman" w:eastAsia="Times New Roman" w:hAnsi="Times New Roman"/>
          <w:sz w:val="24"/>
          <w:szCs w:val="24"/>
          <w:lang w:val="sl-SI" w:eastAsia="en-GB"/>
        </w:rPr>
        <w:t>nalnih ukrepov ali ukrepov EU</w:t>
      </w:r>
      <w:r w:rsidR="007C203C" w:rsidRPr="007C203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zavarovalnih polic za škodo, za katero se prejema pomoč;</w:t>
      </w:r>
    </w:p>
    <w:p w:rsidR="00096CDD" w:rsidRPr="00560E6F" w:rsidRDefault="00096CDD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682447">
        <w:rPr>
          <w:rFonts w:ascii="Times New Roman" w:eastAsia="Times New Roman" w:hAnsi="Times New Roman"/>
          <w:sz w:val="24"/>
          <w:szCs w:val="24"/>
          <w:lang w:val="sl-SI" w:eastAsia="en-GB"/>
        </w:rPr>
        <w:t>9</w:t>
      </w:r>
      <w:r w:rsidR="00682447" w:rsidRPr="00682447">
        <w:rPr>
          <w:rFonts w:ascii="Times New Roman" w:eastAsia="Times New Roman" w:hAnsi="Times New Roman"/>
          <w:sz w:val="24"/>
          <w:szCs w:val="24"/>
          <w:lang w:val="sl-SI" w:eastAsia="en-GB"/>
        </w:rPr>
        <w:t>0 % upravičenih stroškov, vključno z vsemi drugimi prejetimi plačili za nadomestilo izgub, vključno s plačili na podlagi drugih nacionalnih ukrepov ali ukrepov EU ali zavarovalnih polic za škodo, za katero se prejema pomoč</w:t>
      </w:r>
      <w:r w:rsidR="00682447">
        <w:rPr>
          <w:rFonts w:ascii="Times New Roman" w:eastAsia="Times New Roman" w:hAnsi="Times New Roman"/>
          <w:sz w:val="24"/>
          <w:szCs w:val="24"/>
          <w:lang w:val="sl-SI" w:eastAsia="en-GB"/>
        </w:rPr>
        <w:t>, na območjih z naravnimi omejitvami</w:t>
      </w:r>
      <w:r w:rsidR="008B7EE6" w:rsidRPr="00560E6F">
        <w:rPr>
          <w:rFonts w:ascii="Times New Roman" w:hAnsi="Times New Roman"/>
          <w:sz w:val="24"/>
          <w:szCs w:val="24"/>
          <w:lang w:val="sl-SI"/>
        </w:rPr>
        <w:t>.</w:t>
      </w:r>
      <w:r w:rsidR="00096CDD" w:rsidRPr="00560E6F" w:rsidDel="00096C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682447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82447">
        <w:rPr>
          <w:rFonts w:ascii="Times New Roman" w:eastAsia="Times New Roman" w:hAnsi="Times New Roman"/>
          <w:sz w:val="24"/>
          <w:szCs w:val="24"/>
          <w:lang w:val="sl-SI" w:eastAsia="en-GB"/>
        </w:rPr>
        <w:t>Ali se znesek pomoči zmanjša za 50 %, če upravičenec ni sklenil zavarovanja, ki pokriva vsaj 50 % njegove povprečne letne proiz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vodnje ali dohodka od</w:t>
      </w:r>
      <w:r w:rsidRPr="0068244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proizvodnj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68244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statistično najpogostejša vremenska tveganja v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Sloveniji ali zadevni regiji, za katera je zagotovljeno zavarovalno kritje</w:t>
      </w:r>
      <w:r w:rsidRPr="00682447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="00682447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8710A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="00682447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Ne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682447" w:rsidRPr="00560E6F" w:rsidRDefault="00682447" w:rsidP="0068244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682447" w:rsidRPr="00560E6F" w:rsidRDefault="00682447" w:rsidP="00682447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682447" w:rsidRPr="00560E6F" w:rsidRDefault="00682447" w:rsidP="0068244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82447" w:rsidRDefault="00F84DFF" w:rsidP="0068244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682447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682447" w:rsidP="0099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82447" w:rsidRPr="004509CF" w:rsidRDefault="00682447" w:rsidP="00682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72464E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so pomembne za oceno zadevnega ukrepa v skladu s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2</w:t>
      </w:r>
      <w:r w:rsidR="004729F0">
        <w:rPr>
          <w:rFonts w:ascii="Times New Roman" w:eastAsia="Times New Roman" w:hAnsi="Times New Roman"/>
          <w:sz w:val="24"/>
          <w:szCs w:val="24"/>
          <w:lang w:val="sl-SI" w:eastAsia="en-GB"/>
        </w:rPr>
        <w:t>5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="004729F0"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tabs>
          <w:tab w:val="left" w:pos="7938"/>
        </w:tabs>
        <w:jc w:val="center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p w:rsidR="001A718E" w:rsidRPr="00560E6F" w:rsidRDefault="001A718E">
      <w:pPr>
        <w:rPr>
          <w:rFonts w:ascii="Times New Roman" w:hAnsi="Times New Roman"/>
          <w:sz w:val="24"/>
          <w:szCs w:val="24"/>
          <w:lang w:val="sl-SI"/>
        </w:rPr>
      </w:pPr>
    </w:p>
    <w:sectPr w:rsidR="001A718E" w:rsidRPr="00560E6F" w:rsidSect="00FE55A6">
      <w:headerReference w:type="default" r:id="rId12"/>
      <w:footerReference w:type="defaul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46" w:rsidRDefault="00124846">
      <w:pPr>
        <w:spacing w:after="0" w:line="240" w:lineRule="auto"/>
      </w:pPr>
      <w:r>
        <w:separator/>
      </w:r>
    </w:p>
  </w:endnote>
  <w:endnote w:type="continuationSeparator" w:id="0">
    <w:p w:rsidR="00124846" w:rsidRDefault="0012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46" w:rsidRDefault="00D82646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710A">
      <w:rPr>
        <w:noProof/>
      </w:rPr>
      <w:t>1</w:t>
    </w:r>
    <w:r>
      <w:rPr>
        <w:noProof/>
      </w:rPr>
      <w:fldChar w:fldCharType="end"/>
    </w:r>
  </w:p>
  <w:p w:rsidR="00D82646" w:rsidRDefault="00D826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46" w:rsidRDefault="00124846">
      <w:pPr>
        <w:spacing w:after="0" w:line="240" w:lineRule="auto"/>
      </w:pPr>
      <w:r>
        <w:separator/>
      </w:r>
    </w:p>
  </w:footnote>
  <w:footnote w:type="continuationSeparator" w:id="0">
    <w:p w:rsidR="00124846" w:rsidRDefault="00124846">
      <w:pPr>
        <w:spacing w:after="0" w:line="240" w:lineRule="auto"/>
      </w:pPr>
      <w:r>
        <w:continuationSeparator/>
      </w:r>
    </w:p>
  </w:footnote>
  <w:footnote w:id="1">
    <w:p w:rsidR="009002DC" w:rsidRPr="000A25E6" w:rsidRDefault="009002DC" w:rsidP="009002DC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68710A">
        <w:rPr>
          <w:rFonts w:ascii="Times New Roman" w:hAnsi="Times New Roman"/>
          <w:bCs/>
          <w:color w:val="000000"/>
          <w:lang w:val="sl-SI"/>
        </w:rPr>
        <w:t xml:space="preserve">, </w:t>
      </w:r>
      <w:r w:rsidR="0068710A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68710A">
        <w:rPr>
          <w:rFonts w:ascii="Times New Roman" w:hAnsi="Times New Roman"/>
          <w:bCs/>
          <w:color w:val="000000"/>
          <w:lang w:val="sl-SI"/>
        </w:rPr>
        <w:t>a</w:t>
      </w:r>
      <w:r w:rsidR="0068710A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F84DFF" w:rsidRPr="00F84DFF" w:rsidRDefault="00F84DF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F84DFF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F84DFF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46" w:rsidRDefault="00F84DFF" w:rsidP="00D82646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085"/>
    <w:multiLevelType w:val="hybridMultilevel"/>
    <w:tmpl w:val="AC0824B6"/>
    <w:lvl w:ilvl="0" w:tplc="0746822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306"/>
    <w:multiLevelType w:val="hybridMultilevel"/>
    <w:tmpl w:val="42923A7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3204F"/>
    <w:multiLevelType w:val="hybridMultilevel"/>
    <w:tmpl w:val="6ED41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6182"/>
    <w:multiLevelType w:val="hybridMultilevel"/>
    <w:tmpl w:val="4F249A7C"/>
    <w:lvl w:ilvl="0" w:tplc="3C4ED2BA">
      <w:start w:val="1"/>
      <w:numFmt w:val="decimal"/>
      <w:lvlText w:val="(%1)"/>
      <w:lvlJc w:val="left"/>
      <w:pPr>
        <w:ind w:left="2752" w:hanging="909"/>
      </w:pPr>
      <w:rPr>
        <w:rFonts w:hint="default"/>
      </w:rPr>
    </w:lvl>
    <w:lvl w:ilvl="1" w:tplc="567C3CBC">
      <w:start w:val="1"/>
      <w:numFmt w:val="lowerLetter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3B58"/>
    <w:multiLevelType w:val="hybridMultilevel"/>
    <w:tmpl w:val="B4B89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94B3A"/>
    <w:rsid w:val="00042876"/>
    <w:rsid w:val="00096CDD"/>
    <w:rsid w:val="00124846"/>
    <w:rsid w:val="001A4FBB"/>
    <w:rsid w:val="001A718E"/>
    <w:rsid w:val="001E2B41"/>
    <w:rsid w:val="001F06C6"/>
    <w:rsid w:val="00244B56"/>
    <w:rsid w:val="002E0BD9"/>
    <w:rsid w:val="003A1D12"/>
    <w:rsid w:val="003F1142"/>
    <w:rsid w:val="004729F0"/>
    <w:rsid w:val="00486374"/>
    <w:rsid w:val="00560E6F"/>
    <w:rsid w:val="00560E99"/>
    <w:rsid w:val="005F2D14"/>
    <w:rsid w:val="005F711B"/>
    <w:rsid w:val="00682447"/>
    <w:rsid w:val="0068710A"/>
    <w:rsid w:val="007C203C"/>
    <w:rsid w:val="007C6C5F"/>
    <w:rsid w:val="0081647C"/>
    <w:rsid w:val="008B7EE6"/>
    <w:rsid w:val="009002DC"/>
    <w:rsid w:val="009679DE"/>
    <w:rsid w:val="00994367"/>
    <w:rsid w:val="00994B3A"/>
    <w:rsid w:val="009A1126"/>
    <w:rsid w:val="00A526EE"/>
    <w:rsid w:val="00A74307"/>
    <w:rsid w:val="00AB5BBE"/>
    <w:rsid w:val="00B11320"/>
    <w:rsid w:val="00B92923"/>
    <w:rsid w:val="00BC6D94"/>
    <w:rsid w:val="00BF1FDD"/>
    <w:rsid w:val="00C0693B"/>
    <w:rsid w:val="00CB24FB"/>
    <w:rsid w:val="00D82646"/>
    <w:rsid w:val="00E13505"/>
    <w:rsid w:val="00F61A21"/>
    <w:rsid w:val="00F6660D"/>
    <w:rsid w:val="00F84DFF"/>
    <w:rsid w:val="00F958C9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CBBF"/>
  <w15:chartTrackingRefBased/>
  <w15:docId w15:val="{F2EBE844-DFA6-4E02-B899-F4ECA898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4B3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94B3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94B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94B3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0693B"/>
    <w:rPr>
      <w:rFonts w:ascii="Segoe UI" w:hAnsi="Segoe UI" w:cs="Segoe UI"/>
      <w:sz w:val="18"/>
      <w:szCs w:val="18"/>
      <w:lang w:eastAsia="en-US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C0693B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link w:val="Sprotnaopomba-besedilo"/>
    <w:uiPriority w:val="99"/>
    <w:rsid w:val="00C0693B"/>
    <w:rPr>
      <w:lang w:eastAsia="en-US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C0693B"/>
    <w:rPr>
      <w:shd w:val="clear" w:color="auto" w:fill="auto"/>
      <w:vertAlign w:val="superscript"/>
    </w:rPr>
  </w:style>
  <w:style w:type="paragraph" w:customStyle="1" w:styleId="Text1">
    <w:name w:val="Text 1"/>
    <w:basedOn w:val="Navaden"/>
    <w:rsid w:val="00C0693B"/>
    <w:pPr>
      <w:spacing w:after="0" w:line="240" w:lineRule="auto"/>
      <w:ind w:left="85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682E89-BA16-4347-922B-5876B410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D1DC9-1300-4E45-8543-465AA01300C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2B0FCC-667A-4535-9F61-2D80BB8E023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0d7ad0-5649-4733-b9d0-b459e047d264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18723C-7953-4A49-ABF3-C78455F414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5022B0-75EE-4985-B7F1-E5896BDD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1867</Words>
  <Characters>10644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8</cp:revision>
  <dcterms:created xsi:type="dcterms:W3CDTF">2023-04-11T13:59:00Z</dcterms:created>
  <dcterms:modified xsi:type="dcterms:W3CDTF">2024-02-02T10:45:00Z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COMPCOLLAB-474933883-435</vt:lpwstr>
  </property>
  <property fmtid="{D5CDD505-2E9C-101B-9397-08002B2CF9AE}" pid="3" name="_dlc_DocIdItemGuid">
    <vt:lpwstr>447853e2-ce72-4ca3-a7d0-e8c78bf42d27</vt:lpwstr>
  </property>
  <property fmtid="{D5CDD505-2E9C-101B-9397-08002B2CF9AE}" pid="4" name="_dlc_DocIdUrl">
    <vt:lpwstr>https://compcollab.ec.europa.eu/cases/HT.5788/_layouts/15/DocIdRedir.aspx?ID=COMPCOLLAB-474933883-435, COMPCOLLAB-474933883-435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