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6"/>
      </w:tblGrid>
      <w:tr w:rsidR="0060775D" w:rsidRPr="00E5301F" w:rsidTr="00FB7619">
        <w:trPr>
          <w:jc w:val="center"/>
        </w:trPr>
        <w:tc>
          <w:tcPr>
            <w:tcW w:w="8966" w:type="dxa"/>
            <w:shd w:val="pct15" w:color="auto" w:fill="FFFFFF"/>
          </w:tcPr>
          <w:p w:rsidR="0060775D" w:rsidRPr="00E5301F" w:rsidRDefault="00953B53" w:rsidP="00384AAE">
            <w:pPr>
              <w:pBdr>
                <w:top w:val="single" w:sz="4" w:space="1" w:color="auto"/>
                <w:left w:val="single" w:sz="4" w:space="23" w:color="auto"/>
                <w:bottom w:val="single" w:sz="4" w:space="1" w:color="auto"/>
                <w:right w:val="single" w:sz="4" w:space="4" w:color="auto"/>
              </w:pBdr>
              <w:shd w:val="pct20" w:color="auto" w:fill="FFFFFF"/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sz w:val="28"/>
                <w:szCs w:val="24"/>
                <w:lang w:val="sl-SI" w:eastAsia="en-GB"/>
              </w:rPr>
            </w:pPr>
            <w:r w:rsidRPr="00E5301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Obrazec za dodatne informacije o pomoči za naložbe v zvezi s predelavo in trženjem kmetijskih proizvodov</w:t>
            </w:r>
          </w:p>
        </w:tc>
      </w:tr>
    </w:tbl>
    <w:p w:rsidR="0060775D" w:rsidRPr="00E5301F" w:rsidRDefault="0060775D" w:rsidP="0060775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953B53" w:rsidP="0060775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</w:t>
      </w:r>
      <w:r w:rsidR="00BD6FEA" w:rsidRPr="00BD6FEA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naložbe v zvezi s predelavo in trženjem kmetijskih proizvodov</w:t>
      </w:r>
      <w:r w:rsidRPr="00E5301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kot je opisano v 17. členu Uredbe (EU) št. 2022/2472.</w:t>
      </w:r>
      <w:r w:rsidRPr="00E5301F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46686" w:rsidRDefault="00846686" w:rsidP="0084668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846686">
        <w:rPr>
          <w:rFonts w:ascii="Times New Roman" w:eastAsia="Times New Roman" w:hAnsi="Times New Roman"/>
          <w:sz w:val="24"/>
          <w:szCs w:val="24"/>
          <w:lang w:val="sl-SI" w:eastAsia="en-GB"/>
        </w:rPr>
        <w:t>Ali je pomoč omejena na mikro-, mala in srednja podjetja,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84668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ki se ukvarjajo s predelavo in/ali trženjem kmetijskih proizvodov</w:t>
      </w:r>
      <w:r w:rsidRPr="00846686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846686" w:rsidRPr="00564045" w:rsidRDefault="00846686" w:rsidP="00846686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46686" w:rsidRPr="00564045" w:rsidRDefault="00846686" w:rsidP="00846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846686" w:rsidRDefault="00846686" w:rsidP="00846686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846686" w:rsidRPr="00D26F26" w:rsidRDefault="00846686" w:rsidP="00846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846686" w:rsidRPr="00D26F26" w:rsidRDefault="00846686" w:rsidP="00846686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846686" w:rsidRPr="00D26F26" w:rsidRDefault="00846686" w:rsidP="008466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846686" w:rsidRPr="00D26F26" w:rsidRDefault="00846686" w:rsidP="008466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3581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846686" w:rsidRDefault="00846686" w:rsidP="0084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953B53" w:rsidP="009E7A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pri naložbah, za katere bo pomoč </w:t>
      </w:r>
      <w:r w:rsidR="00A47687">
        <w:rPr>
          <w:rFonts w:ascii="Times New Roman" w:eastAsia="Times New Roman" w:hAnsi="Times New Roman"/>
          <w:sz w:val="24"/>
          <w:szCs w:val="24"/>
          <w:lang w:val="sl-SI" w:eastAsia="en-GB"/>
        </w:rPr>
        <w:t>dodeljena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, upoštevajo prepovedi in omejitve iz Uredbe (EU) št. 1308/2013,</w:t>
      </w:r>
      <w:r w:rsidRPr="00E5301F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3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tudi če se te prepovedi in omejitve nanašajo samo na podporo EU iz navedene uredbe?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E5301F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5301F"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800BB" w:rsidRPr="00D26F26" w:rsidRDefault="00E800BB" w:rsidP="00E80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načrta pomoči v zvezi s tem pogojem:</w:t>
      </w:r>
    </w:p>
    <w:p w:rsidR="00E800BB" w:rsidRPr="00D26F26" w:rsidRDefault="00E800BB" w:rsidP="00E800BB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E800BB" w:rsidRPr="00D26F26" w:rsidRDefault="00E800BB" w:rsidP="00E800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5301F" w:rsidRPr="00E5301F" w:rsidRDefault="00846686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03581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="00E5301F"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5301F" w:rsidRPr="00E5301F" w:rsidRDefault="00E5301F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0775D" w:rsidRPr="00E5301F" w:rsidRDefault="00E5301F" w:rsidP="009E7A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Ali bo pomoč dodelje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 za biogoriva iz </w:t>
      </w:r>
      <w:r w:rsidR="0066005A">
        <w:rPr>
          <w:rFonts w:ascii="Times New Roman" w:eastAsia="Times New Roman" w:hAnsi="Times New Roman"/>
          <w:sz w:val="24"/>
          <w:szCs w:val="24"/>
          <w:lang w:val="sl-SI" w:eastAsia="en-GB"/>
        </w:rPr>
        <w:t>poljščin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 ki se uporabljajo za živila in krmo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E5301F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5301F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60775D" w:rsidRPr="00E5301F" w:rsidRDefault="00E5301F" w:rsidP="006077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upoštevajte, da pomoči ni mogoče razglasiti za združljivo z notranjim trgom.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E5301F" w:rsidP="009E7AB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bo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pomoč dodeljena za naložbe v opredmetena in neopredmetena sredstva v zvezi s predelavo </w:t>
      </w:r>
      <w:r w:rsidR="000148D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kmetijskih proizvodov, kot je opredeljena v 45. točki 2. člena Uredbe (EU) št. 2022/2472, 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ali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BC31A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trženjem kmetijskih proizvodov, kot je opredeljeno v 35. </w:t>
      </w:r>
      <w:r w:rsidR="000148D6">
        <w:rPr>
          <w:rFonts w:ascii="Times New Roman" w:eastAsia="Times New Roman" w:hAnsi="Times New Roman"/>
          <w:sz w:val="24"/>
          <w:szCs w:val="24"/>
          <w:lang w:val="sl-SI" w:eastAsia="en-GB"/>
        </w:rPr>
        <w:t>točki 2. člena Uredbe (EU) št. 2022/2472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0148D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148D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60775D" w:rsidRDefault="0060775D" w:rsidP="00607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D03B8" w:rsidRDefault="000D03B8" w:rsidP="0060775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D03B8" w:rsidRPr="00E5301F" w:rsidRDefault="000D03B8" w:rsidP="000D03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148D6">
        <w:rPr>
          <w:rFonts w:ascii="Times New Roman" w:eastAsia="Times New Roman" w:hAnsi="Times New Roman"/>
          <w:sz w:val="24"/>
          <w:szCs w:val="24"/>
          <w:lang w:val="sl-SI" w:eastAsia="en-GB"/>
        </w:rPr>
        <w:t>Ali bo pomoč za naložbe, v zvezi s katerimi mora biti opravljena presoja vplivov na okolje na podlagi Direktive 2011/92/EU,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4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0148D6">
        <w:rPr>
          <w:rFonts w:ascii="Times New Roman" w:eastAsia="Times New Roman" w:hAnsi="Times New Roman"/>
          <w:sz w:val="24"/>
          <w:szCs w:val="24"/>
          <w:lang w:val="sl-SI" w:eastAsia="en-GB"/>
        </w:rPr>
        <w:t>pogojena s tem, da bo še pred datumom dodelitve individualne pomoči opravljena navedena presoja in pridobljeno soglasje za zadevni naložbeni projekt?</w:t>
      </w:r>
    </w:p>
    <w:p w:rsidR="0060775D" w:rsidRDefault="0060775D" w:rsidP="0060775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0148D6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148D6" w:rsidRDefault="000148D6" w:rsidP="000148D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D01339" w:rsidRDefault="000148D6" w:rsidP="000148D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148D6" w:rsidRPr="005307F0" w:rsidRDefault="000148D6" w:rsidP="000148D6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0148D6" w:rsidRDefault="000148D6" w:rsidP="000148D6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148D6" w:rsidRPr="0006213A" w:rsidRDefault="000148D6" w:rsidP="000148D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03581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0148D6" w:rsidRDefault="000148D6" w:rsidP="0060775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03B8" w:rsidRPr="00E5301F" w:rsidRDefault="000D03B8" w:rsidP="000D03B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148D6"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</w:t>
      </w:r>
      <w:r w:rsidRPr="00785D07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148D6" w:rsidRPr="00564045" w:rsidRDefault="000148D6" w:rsidP="000148D6">
      <w:pPr>
        <w:spacing w:after="0" w:line="240" w:lineRule="auto"/>
        <w:ind w:left="1440" w:hanging="720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0148D6" w:rsidRPr="00564045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strošk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gradnje, nakupa, vključno z zakupom, ali izboljšanja nepremičnin, vključno z naložbami v pasivno hišno ožičenje ali strukturirano polaganje kablov za podatkovna omrežja in po potrebi pomožni del pasivnega omrežja 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 zasebni lastnini zunaj stavbe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148D6" w:rsidRPr="00564045" w:rsidRDefault="000148D6" w:rsidP="000148D6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0148D6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se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bo 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pomoč dodeli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la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stroške nakupa zemljišča, ali bo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kupljeno zemljišče upravičeno do pomoč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 le v obsegu, ki ne presega 10 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% skupnih upravičenih stroškov zadevne dejavnosti?</w:t>
      </w:r>
    </w:p>
    <w:p w:rsidR="000148D6" w:rsidRPr="00564045" w:rsidRDefault="000148D6" w:rsidP="000148D6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0148D6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148D6" w:rsidRPr="00564045" w:rsidRDefault="000148D6" w:rsidP="000148D6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148D6" w:rsidRPr="00D01339" w:rsidRDefault="000148D6" w:rsidP="000148D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148D6" w:rsidRPr="005307F0" w:rsidRDefault="000148D6" w:rsidP="000148D6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0148D6" w:rsidRDefault="000148D6" w:rsidP="000148D6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06213A" w:rsidRDefault="000148D6" w:rsidP="000148D6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 xml:space="preserve">Če je odgovor </w:t>
      </w:r>
      <w:r w:rsidR="00035815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0148D6" w:rsidRPr="00564045" w:rsidRDefault="000148D6" w:rsidP="000148D6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nakup ali zakup strojev in opreme do tržne vrednosti sredstva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148D6" w:rsidRPr="00564045" w:rsidRDefault="000148D6" w:rsidP="000148D6">
      <w:pPr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splošn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, povezan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odhodki iz točk (a) in (b), kot so plačila za storitve arhitektov, inženirjev in svetovalcev, plačila za storitve svetovanja v zvezi z okoljsko in ekonomsko trajnostjo, trajnostno energijo, energijsko učinkovitostjo ter proizvodnjo in uporabo energije iz obnovljivih virov, vključno s s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troški za študije izvedljivosti;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0148D6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7314E6">
      <w:pPr>
        <w:spacing w:after="0" w:line="240" w:lineRule="auto"/>
        <w:ind w:left="1440" w:hanging="2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študije izvedljivosti ostanejo upravičen izdatek tudi takrat, ko glede na njihove rezultate niso nastali nobeni izdatki v okviru točk (a) in (b)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148D6" w:rsidRPr="00564045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148D6" w:rsidRPr="00564045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pristojbine za pridobitev, razvoj ali uporabo računalniške programske opreme, računalniškega oblaka in podobnih rešitev ter pridobitev patentov, licenc, avtorskih pravic in blagovnih znamk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148D6" w:rsidRPr="00564045" w:rsidRDefault="000148D6" w:rsidP="000148D6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7314E6" w:rsidP="009E7ABA">
      <w:pPr>
        <w:numPr>
          <w:ilvl w:val="1"/>
          <w:numId w:val="2"/>
        </w:numPr>
        <w:spacing w:after="0" w:line="240" w:lineRule="auto"/>
        <w:ind w:left="350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7314E6">
        <w:rPr>
          <w:rFonts w:ascii="Times New Roman" w:eastAsia="Times New Roman" w:hAnsi="Times New Roman"/>
          <w:sz w:val="24"/>
          <w:szCs w:val="24"/>
          <w:lang w:val="sl-SI" w:eastAsia="en-GB"/>
        </w:rPr>
        <w:t>Ali upravičeni stroški vključujejo naslednje stroške?</w:t>
      </w:r>
    </w:p>
    <w:p w:rsidR="0060775D" w:rsidRPr="00E5301F" w:rsidRDefault="0060775D" w:rsidP="0060775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(a)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314E6" w:rsidRPr="007314E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stroški, ki ne spadajo med tiste iz točk (a) in (b) </w:t>
      </w:r>
      <w:r w:rsidR="007314E6">
        <w:rPr>
          <w:rFonts w:ascii="Times New Roman" w:eastAsia="Times New Roman" w:hAnsi="Times New Roman"/>
          <w:sz w:val="24"/>
          <w:szCs w:val="24"/>
          <w:lang w:val="sl-SI" w:eastAsia="en-GB"/>
        </w:rPr>
        <w:t>petega odstavka 17</w:t>
      </w:r>
      <w:r w:rsidR="007314E6" w:rsidRPr="007314E6">
        <w:rPr>
          <w:rFonts w:ascii="Times New Roman" w:eastAsia="Times New Roman" w:hAnsi="Times New Roman"/>
          <w:sz w:val="24"/>
          <w:szCs w:val="24"/>
          <w:lang w:val="sl-SI" w:eastAsia="en-GB"/>
        </w:rPr>
        <w:t>. člena Uredbe (EU) št. 2022/2472 ter so povezani z zakupnimi pogodbami, kot so marža zakupodajalca, stroški refinanciranja obresti, režijski stroški in stroški zavarovanja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60775D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(b)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314E6">
        <w:rPr>
          <w:rFonts w:ascii="Times New Roman" w:eastAsia="Times New Roman" w:hAnsi="Times New Roman"/>
          <w:sz w:val="24"/>
          <w:szCs w:val="24"/>
          <w:lang w:val="sl-SI" w:eastAsia="en-GB"/>
        </w:rPr>
        <w:t>obratna sredstva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60775D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1577E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(c)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7314E6" w:rsidRPr="007314E6">
        <w:rPr>
          <w:rFonts w:ascii="Times New Roman" w:hAnsi="Times New Roman"/>
          <w:sz w:val="24"/>
          <w:szCs w:val="24"/>
          <w:lang w:val="sl-SI"/>
        </w:rPr>
        <w:t>ožičenje ali polaganje kablov za podatkovna omrežja zunaj zasebne lastnine</w:t>
      </w:r>
      <w:r w:rsidR="0031577E" w:rsidRPr="00E5301F">
        <w:rPr>
          <w:rFonts w:ascii="Times New Roman" w:hAnsi="Times New Roman"/>
          <w:sz w:val="24"/>
          <w:szCs w:val="24"/>
          <w:lang w:val="sl-SI"/>
        </w:rPr>
        <w:t>;</w:t>
      </w:r>
    </w:p>
    <w:p w:rsidR="0031577E" w:rsidRPr="00E5301F" w:rsidRDefault="0031577E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31577E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8D50A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)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8D50A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v zvezi </w:t>
      </w:r>
      <w:r w:rsidR="008D50AF" w:rsidRPr="008D50AF">
        <w:rPr>
          <w:rFonts w:ascii="Times New Roman" w:eastAsia="Times New Roman" w:hAnsi="Times New Roman"/>
          <w:sz w:val="24"/>
          <w:szCs w:val="24"/>
          <w:lang w:val="sl-SI" w:eastAsia="en-GB"/>
        </w:rPr>
        <w:t>z</w:t>
      </w:r>
      <w:r w:rsidR="008D50A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naložbami</w:t>
      </w:r>
      <w:r w:rsidR="008D50AF" w:rsidRPr="008D50A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skladnost z veljavnimi standardi </w:t>
      </w:r>
      <w:r w:rsidR="008D50AF">
        <w:rPr>
          <w:rFonts w:ascii="Times New Roman" w:eastAsia="Times New Roman" w:hAnsi="Times New Roman"/>
          <w:sz w:val="24"/>
          <w:szCs w:val="24"/>
          <w:lang w:val="sl-SI" w:eastAsia="en-GB"/>
        </w:rPr>
        <w:t>EU, kot so opredeljeni v 60. točki 2. člena Uredbe (EU) št. 2022/2472</w:t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t>, in</w:t>
      </w:r>
      <w:bookmarkStart w:id="0" w:name="_GoBack"/>
      <w:bookmarkEnd w:id="0"/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nacionalnimi standardi.</w:t>
      </w:r>
    </w:p>
    <w:p w:rsidR="0060775D" w:rsidRPr="00E5301F" w:rsidRDefault="0060775D" w:rsidP="0060775D">
      <w:pPr>
        <w:widowControl w:val="0"/>
        <w:tabs>
          <w:tab w:val="left" w:pos="1843"/>
        </w:tabs>
        <w:adjustRightInd w:val="0"/>
        <w:spacing w:after="0" w:line="240" w:lineRule="auto"/>
        <w:ind w:left="1417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9E7ABA" w:rsidP="0060775D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E7ABA">
        <w:rPr>
          <w:rFonts w:ascii="Times New Roman" w:eastAsia="Times New Roman" w:hAnsi="Times New Roman"/>
          <w:sz w:val="24"/>
          <w:szCs w:val="24"/>
          <w:lang w:val="sl-SI" w:eastAsia="en-GB"/>
        </w:rPr>
        <w:t>Če je med upravičene stroške vključen kateri ko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li od stroškov iz točk (a) do (č</w:t>
      </w:r>
      <w:r w:rsidRPr="009E7ABA">
        <w:rPr>
          <w:rFonts w:ascii="Times New Roman" w:eastAsia="Times New Roman" w:hAnsi="Times New Roman"/>
          <w:sz w:val="24"/>
          <w:szCs w:val="24"/>
          <w:lang w:val="sl-SI" w:eastAsia="en-GB"/>
        </w:rPr>
        <w:t>), upoštevajte, da načrta pomoči ni mogoče priglasiti v skladu s pravili o državni pomoči po skupinski izjemi.</w:t>
      </w:r>
    </w:p>
    <w:p w:rsidR="0060775D" w:rsidRPr="00E5301F" w:rsidRDefault="0060775D" w:rsidP="0060775D">
      <w:pPr>
        <w:widowControl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9E7ABA" w:rsidP="009E7ABA">
      <w:pPr>
        <w:numPr>
          <w:ilvl w:val="1"/>
          <w:numId w:val="2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E7ABA">
        <w:rPr>
          <w:rFonts w:ascii="Times New Roman" w:eastAsia="Times New Roman" w:hAnsi="Times New Roman"/>
          <w:sz w:val="24"/>
          <w:szCs w:val="24"/>
          <w:lang w:val="sl-SI" w:eastAsia="en-GB"/>
        </w:rPr>
        <w:t>Potrdite, da je največja intenzivnost pomoči, izražena kot odstotek upravičenih stroškov naložbe, omejena na</w:t>
      </w:r>
      <w:r w:rsidR="0060775D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31577E" w:rsidRPr="00E5301F" w:rsidRDefault="0060775D" w:rsidP="0060775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br/>
      </w:r>
      <w:r w:rsidR="0031577E"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577E"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="0031577E" w:rsidRPr="00E5301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31577E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31577E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65</w:t>
      </w:r>
      <w:r w:rsidR="009E7AB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31577E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% </w:t>
      </w:r>
      <w:r w:rsidR="009E7ABA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</w:t>
      </w:r>
      <w:r w:rsidR="0031577E"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31577E" w:rsidRPr="00E5301F" w:rsidRDefault="0031577E" w:rsidP="0060775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1577E" w:rsidRPr="00E5301F" w:rsidRDefault="0031577E" w:rsidP="0031577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80% </w:t>
      </w:r>
      <w:r w:rsidR="009E7ABA" w:rsidRPr="009E7ABA">
        <w:rPr>
          <w:rFonts w:ascii="Times New Roman" w:eastAsia="Times New Roman" w:hAnsi="Times New Roman"/>
          <w:sz w:val="24"/>
          <w:szCs w:val="24"/>
          <w:lang w:val="sl-SI" w:eastAsia="en-GB"/>
        </w:rPr>
        <w:t>upravičenih stroškov v naslednjih primerih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31577E" w:rsidRPr="00E5301F" w:rsidRDefault="0031577E" w:rsidP="0031577E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31577E" w:rsidRPr="00E5301F" w:rsidRDefault="0031577E" w:rsidP="0031577E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  <w:lang w:val="sl-SI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9E7ABA" w:rsidRPr="009E7ABA">
        <w:rPr>
          <w:rFonts w:ascii="Times New Roman" w:hAnsi="Times New Roman"/>
          <w:sz w:val="24"/>
          <w:szCs w:val="24"/>
          <w:lang w:val="sl-SI"/>
        </w:rPr>
        <w:t>naložbe, povezane z enim ali več specifičnimi okoljskimi in podnebnimi cilji iz točk (e), (</w:t>
      </w:r>
      <w:r w:rsidR="009E7ABA">
        <w:rPr>
          <w:rFonts w:ascii="Times New Roman" w:hAnsi="Times New Roman"/>
          <w:sz w:val="24"/>
          <w:szCs w:val="24"/>
          <w:lang w:val="sl-SI"/>
        </w:rPr>
        <w:t>f) in (g) tretjega odstavka 14. člena Uredbe (EU) št. </w:t>
      </w:r>
      <w:r w:rsidR="009E7ABA" w:rsidRPr="009E7ABA">
        <w:rPr>
          <w:rFonts w:ascii="Times New Roman" w:hAnsi="Times New Roman"/>
          <w:sz w:val="24"/>
          <w:szCs w:val="24"/>
          <w:lang w:val="sl-SI"/>
        </w:rPr>
        <w:t>2022/2472, ali z dobrobitjo živali</w:t>
      </w:r>
      <w:r w:rsidRPr="00E5301F">
        <w:rPr>
          <w:rFonts w:ascii="Times New Roman" w:hAnsi="Times New Roman"/>
          <w:sz w:val="24"/>
          <w:szCs w:val="24"/>
          <w:lang w:val="sl-SI"/>
        </w:rPr>
        <w:t>;</w:t>
      </w:r>
    </w:p>
    <w:p w:rsidR="0031577E" w:rsidRPr="00E5301F" w:rsidRDefault="0031577E" w:rsidP="0031577E">
      <w:p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1577E" w:rsidRPr="00E5301F" w:rsidRDefault="0031577E" w:rsidP="0031577E">
      <w:pPr>
        <w:spacing w:after="0" w:line="240" w:lineRule="auto"/>
        <w:ind w:left="156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88610D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9E7ABA" w:rsidRPr="009E7ABA">
        <w:rPr>
          <w:rFonts w:ascii="Times New Roman" w:eastAsia="Times New Roman" w:hAnsi="Times New Roman"/>
          <w:sz w:val="24"/>
          <w:szCs w:val="24"/>
          <w:lang w:val="sl-SI" w:eastAsia="en-GB"/>
        </w:rPr>
        <w:t>naložbe mladih kmetov</w:t>
      </w: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9E7ABA" w:rsidP="00607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lastRenderedPageBreak/>
        <w:t>Druge informacije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E7ABA" w:rsidRPr="00564045" w:rsidRDefault="009E7ABA" w:rsidP="009E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05750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Navedite vse druge informacije, ki se štejejo za pomembne za oceno zadevnega ukrepa v skladu s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17</w:t>
      </w:r>
      <w:r w:rsidR="00785D07">
        <w:rPr>
          <w:rFonts w:ascii="Times New Roman" w:eastAsia="Times New Roman" w:hAnsi="Times New Roman"/>
          <w:sz w:val="24"/>
          <w:szCs w:val="24"/>
          <w:lang w:val="sl-SI" w:eastAsia="en-GB"/>
        </w:rPr>
        <w:t>.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členom </w:t>
      </w:r>
      <w:r>
        <w:rPr>
          <w:rFonts w:ascii="Times New Roman" w:hAnsi="Times New Roman"/>
          <w:sz w:val="24"/>
          <w:szCs w:val="24"/>
          <w:lang w:val="sl-SI"/>
        </w:rPr>
        <w:t>Uredbe (EU) št. </w:t>
      </w:r>
      <w:r w:rsidRPr="00314CA1">
        <w:rPr>
          <w:rFonts w:ascii="Times New Roman" w:hAnsi="Times New Roman"/>
          <w:sz w:val="24"/>
          <w:szCs w:val="24"/>
          <w:lang w:val="sl-SI"/>
        </w:rPr>
        <w:t>2022/2472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60775D" w:rsidRPr="00E5301F" w:rsidRDefault="0060775D" w:rsidP="006077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0775D" w:rsidRPr="00E5301F" w:rsidRDefault="0060775D" w:rsidP="0060775D">
      <w:pPr>
        <w:widowControl w:val="0"/>
        <w:numPr>
          <w:ilvl w:val="1"/>
          <w:numId w:val="0"/>
        </w:numPr>
        <w:tabs>
          <w:tab w:val="num" w:pos="993"/>
        </w:tabs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5301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60775D" w:rsidRPr="00E5301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2BC" w:rsidRDefault="005C02BC" w:rsidP="0060775D">
      <w:pPr>
        <w:spacing w:after="0" w:line="240" w:lineRule="auto"/>
      </w:pPr>
      <w:r>
        <w:separator/>
      </w:r>
    </w:p>
  </w:endnote>
  <w:endnote w:type="continuationSeparator" w:id="0">
    <w:p w:rsidR="005C02BC" w:rsidRDefault="005C02BC" w:rsidP="0060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9" w:rsidRDefault="00FB7619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10D">
      <w:rPr>
        <w:noProof/>
      </w:rPr>
      <w:t>3</w:t>
    </w:r>
    <w:r>
      <w:rPr>
        <w:noProof/>
      </w:rPr>
      <w:fldChar w:fldCharType="end"/>
    </w:r>
  </w:p>
  <w:p w:rsidR="00FB7619" w:rsidRDefault="00FB76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2BC" w:rsidRDefault="005C02BC" w:rsidP="0060775D">
      <w:pPr>
        <w:spacing w:after="0" w:line="240" w:lineRule="auto"/>
      </w:pPr>
      <w:r>
        <w:separator/>
      </w:r>
    </w:p>
  </w:footnote>
  <w:footnote w:type="continuationSeparator" w:id="0">
    <w:p w:rsidR="005C02BC" w:rsidRDefault="005C02BC" w:rsidP="0060775D">
      <w:pPr>
        <w:spacing w:after="0" w:line="240" w:lineRule="auto"/>
      </w:pPr>
      <w:r>
        <w:continuationSeparator/>
      </w:r>
    </w:p>
  </w:footnote>
  <w:footnote w:id="1">
    <w:p w:rsidR="00953B53" w:rsidRPr="000A25E6" w:rsidRDefault="00953B53" w:rsidP="00953B53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88610D">
        <w:rPr>
          <w:rFonts w:ascii="Times New Roman" w:hAnsi="Times New Roman"/>
          <w:bCs/>
          <w:color w:val="000000"/>
          <w:lang w:val="sl-SI"/>
        </w:rPr>
        <w:t xml:space="preserve">, zadnjič spremenjena z </w:t>
      </w:r>
      <w:r w:rsidR="0088610D" w:rsidRPr="0088610D">
        <w:rPr>
          <w:rFonts w:ascii="Times New Roman" w:hAnsi="Times New Roman"/>
          <w:bCs/>
          <w:color w:val="000000"/>
          <w:lang w:val="sl-SI"/>
        </w:rPr>
        <w:t>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846686" w:rsidRPr="00846686" w:rsidRDefault="00846686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846686">
        <w:rPr>
          <w:lang w:val="sl-SI"/>
        </w:rPr>
        <w:tab/>
      </w:r>
      <w:r w:rsidRPr="00846686">
        <w:rPr>
          <w:rFonts w:ascii="Times New Roman" w:hAnsi="Times New Roman"/>
          <w:bCs/>
          <w:color w:val="000000"/>
          <w:lang w:val="sl-SI"/>
        </w:rPr>
        <w:t>Mikro-, mala in srednja podjetja so subjekti, ki opravljajo gospodarsko dejavnost in izpolnjujejo merila iz priloge I Uredbe (EU) št. 2022/2472.</w:t>
      </w:r>
    </w:p>
  </w:footnote>
  <w:footnote w:id="3">
    <w:p w:rsidR="00953B53" w:rsidRPr="00953B53" w:rsidRDefault="00953B5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953B53">
        <w:rPr>
          <w:lang w:val="sl-SI"/>
        </w:rPr>
        <w:tab/>
      </w:r>
      <w:r w:rsidRPr="00953B53">
        <w:rPr>
          <w:rFonts w:ascii="Times New Roman" w:hAnsi="Times New Roman"/>
          <w:bCs/>
          <w:color w:val="000000"/>
          <w:lang w:val="sl-SI"/>
        </w:rPr>
        <w:t>Uredba (EU) št. 1308/2013 Evropskega parlamenta in Sveta z dne 17. decembra 2013 o vzpostavitvi skupne ureditve trgov kmetijskih proizvodov in razveljavitvi uredb Sveta (EGS) št. 922/72, (EGS) št. 234/79, (ES) št. 1037/2001 in (ES) št. 1234/2007</w:t>
      </w:r>
      <w:r>
        <w:rPr>
          <w:rFonts w:ascii="Times New Roman" w:hAnsi="Times New Roman"/>
          <w:bCs/>
          <w:color w:val="000000"/>
          <w:lang w:val="sl-SI"/>
        </w:rPr>
        <w:t xml:space="preserve"> (UL L št. 347 z dne 20. 12. 2013, str. 671), zadnjič spremenjena s </w:t>
      </w:r>
      <w:r w:rsidR="00E5301F">
        <w:rPr>
          <w:rFonts w:ascii="Times New Roman" w:hAnsi="Times New Roman"/>
          <w:bCs/>
          <w:color w:val="000000"/>
          <w:lang w:val="sl-SI"/>
        </w:rPr>
        <w:t>Poprav</w:t>
      </w:r>
      <w:r w:rsidR="00E5301F" w:rsidRPr="00E5301F">
        <w:rPr>
          <w:rFonts w:ascii="Times New Roman" w:hAnsi="Times New Roman"/>
          <w:bCs/>
          <w:color w:val="000000"/>
          <w:lang w:val="sl-SI"/>
        </w:rPr>
        <w:t>k</w:t>
      </w:r>
      <w:r w:rsidR="00E5301F">
        <w:rPr>
          <w:rFonts w:ascii="Times New Roman" w:hAnsi="Times New Roman"/>
          <w:bCs/>
          <w:color w:val="000000"/>
          <w:lang w:val="sl-SI"/>
        </w:rPr>
        <w:t>om</w:t>
      </w:r>
      <w:r w:rsidR="00E5301F" w:rsidRPr="00E5301F">
        <w:rPr>
          <w:rFonts w:ascii="Times New Roman" w:hAnsi="Times New Roman"/>
          <w:bCs/>
          <w:color w:val="000000"/>
          <w:lang w:val="sl-SI"/>
        </w:rPr>
        <w:t xml:space="preserve"> Uredbe (EU) 2021/2117 Evropskega parlamenta in Sveta z dne 2. decembra 2021 o spremembi uredb (EU) št. 1308/2013 o vzpostavitvi skupne ureditve trgov kmetijskih proizvodov, (EU) št. 1151/2012 o shemah kakovosti kmetijskih proizvodov in živil, (EU) št. 251/2014 o opredelitvi, opisu, predstavitvi, označevanju in zaščiti geografskih označb aromatiziranih vinskih proizvodov in (EU) št. 228/2013 o posebnih ukrepih za kmetijstvo v najbolj oddaljenih regijah Unije</w:t>
      </w:r>
      <w:r w:rsidR="00E5301F">
        <w:rPr>
          <w:rFonts w:ascii="Times New Roman" w:hAnsi="Times New Roman"/>
          <w:bCs/>
          <w:color w:val="000000"/>
          <w:lang w:val="sl-SI"/>
        </w:rPr>
        <w:t xml:space="preserve"> (UL L št. 210 z dne 11. 8. 2022, str. 19).</w:t>
      </w:r>
    </w:p>
  </w:footnote>
  <w:footnote w:id="4">
    <w:p w:rsidR="000D03B8" w:rsidRPr="000148D6" w:rsidRDefault="000D03B8" w:rsidP="000D03B8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 w:rsidRPr="000148D6">
        <w:rPr>
          <w:lang w:val="sl-SI"/>
        </w:rPr>
        <w:tab/>
      </w:r>
      <w:r w:rsidRPr="000148D6">
        <w:rPr>
          <w:rFonts w:ascii="Times New Roman" w:hAnsi="Times New Roman"/>
          <w:bCs/>
          <w:color w:val="000000"/>
          <w:lang w:val="sl-SI"/>
        </w:rPr>
        <w:t>Direktiva 2011/92/EU Evropskega parlamenta in Sveta z dne 13. decembra 2011 o presoji vplivov nekaterih javnih in zasebnih projektov na okolje (UL L št. 26 z dne 28. 1. 2011, str. 1), zadnjič spremenjena z Direktivo 2014/52/EU Evropskega parlamenta in Sveta z dne 16. aprila 2014 o spremembi Direktive 2011/92/EU o presoji vplivov nekaterih javnih in zasebnih projektov na okolje (UL L št. 124 z dne 25. 4. 2014,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19" w:rsidRDefault="0088610D" w:rsidP="00FB7619">
    <w:pPr>
      <w:pStyle w:val="Glava"/>
      <w:jc w:val="right"/>
    </w:pPr>
    <w:r>
      <w:t>r1.2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471"/>
    <w:multiLevelType w:val="multilevel"/>
    <w:tmpl w:val="1136A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C267AC"/>
    <w:multiLevelType w:val="multilevel"/>
    <w:tmpl w:val="120A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775D"/>
    <w:rsid w:val="000148D6"/>
    <w:rsid w:val="00035815"/>
    <w:rsid w:val="000D03B8"/>
    <w:rsid w:val="001227C6"/>
    <w:rsid w:val="001A718E"/>
    <w:rsid w:val="001C3C02"/>
    <w:rsid w:val="0031577E"/>
    <w:rsid w:val="00384AAE"/>
    <w:rsid w:val="004213B3"/>
    <w:rsid w:val="00497DBF"/>
    <w:rsid w:val="005C02BC"/>
    <w:rsid w:val="0060775D"/>
    <w:rsid w:val="0066005A"/>
    <w:rsid w:val="007314E6"/>
    <w:rsid w:val="00785D07"/>
    <w:rsid w:val="00846686"/>
    <w:rsid w:val="0088610D"/>
    <w:rsid w:val="008D50AF"/>
    <w:rsid w:val="00953B53"/>
    <w:rsid w:val="009B15BB"/>
    <w:rsid w:val="009E7ABA"/>
    <w:rsid w:val="00A47687"/>
    <w:rsid w:val="00AE7137"/>
    <w:rsid w:val="00BC31A0"/>
    <w:rsid w:val="00BD6FEA"/>
    <w:rsid w:val="00BF1668"/>
    <w:rsid w:val="00E5301F"/>
    <w:rsid w:val="00E800BB"/>
    <w:rsid w:val="00F2132F"/>
    <w:rsid w:val="00F633F3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73D8"/>
  <w15:chartTrackingRefBased/>
  <w15:docId w15:val="{E3655FA9-9303-4D72-AD85-0C0C4D9C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pis">
    <w:name w:val="Signature"/>
    <w:basedOn w:val="Navaden"/>
    <w:link w:val="PodpisZnak"/>
    <w:unhideWhenUsed/>
    <w:rsid w:val="0060775D"/>
    <w:pPr>
      <w:spacing w:after="0"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60775D"/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60775D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60775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60775D"/>
    <w:rPr>
      <w:shd w:val="clear" w:color="auto" w:fill="auto"/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077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775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077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775D"/>
    <w:rPr>
      <w:rFonts w:ascii="Calibri" w:eastAsia="Calibri" w:hAnsi="Calibri" w:cs="Times New Roman"/>
    </w:rPr>
  </w:style>
  <w:style w:type="character" w:styleId="Poudarek">
    <w:name w:val="Emphasis"/>
    <w:uiPriority w:val="20"/>
    <w:qFormat/>
    <w:rsid w:val="0060775D"/>
    <w:rPr>
      <w:rFonts w:cs="Times New Roman"/>
      <w:i/>
      <w:iCs/>
    </w:rPr>
  </w:style>
  <w:style w:type="character" w:styleId="Pripombasklic">
    <w:name w:val="annotation reference"/>
    <w:rsid w:val="0060775D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84A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92D3D2-8404-4F77-BF69-33B61A4B79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8E34AE-86F9-45C1-952D-7DF13F1BEC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A5CE19-C72C-4A2B-93E4-7B03D5835E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0d7ad0-5649-4733-b9d0-b459e047d2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1A06FE-A58A-4F42-A2DA-9394F113B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311E88-AF89-416B-9214-B4B9FEC5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2</cp:revision>
  <dcterms:created xsi:type="dcterms:W3CDTF">2024-01-31T15:16:00Z</dcterms:created>
  <dcterms:modified xsi:type="dcterms:W3CDTF">2024-01-31T15:16:00Z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COMPCOLLAB-474933883-425</vt:lpwstr>
  </property>
  <property fmtid="{D5CDD505-2E9C-101B-9397-08002B2CF9AE}" pid="3" name="_dlc_DocIdItemGuid">
    <vt:lpwstr>6d6ba91e-f564-4f0b-9ad3-7b8a7521b78b</vt:lpwstr>
  </property>
  <property fmtid="{D5CDD505-2E9C-101B-9397-08002B2CF9AE}" pid="4" name="_dlc_DocIdUrl">
    <vt:lpwstr>https://compcollab.ec.europa.eu/cases/HT.5788/_layouts/15/DocIdRedir.aspx?ID=COMPCOLLAB-474933883-425, COMPCOLLAB-474933883-425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