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54F2" w14:textId="4F5A25AE" w:rsidR="00B435D5" w:rsidRPr="00C01D58" w:rsidRDefault="00B435D5" w:rsidP="00B435D5">
      <w:pPr>
        <w:tabs>
          <w:tab w:val="left" w:pos="635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01D58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Ministrstvo za kmetijstvo, gozdarstvo in prehrano Republike Slovenije, Dunajska cesta 22, 1000 Ljubljana 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(v nadaljnjem besedilu: </w:t>
      </w:r>
      <w:r>
        <w:rPr>
          <w:rFonts w:ascii="Arial" w:eastAsia="Times New Roman" w:hAnsi="Arial" w:cs="Arial"/>
          <w:sz w:val="20"/>
          <w:szCs w:val="20"/>
          <w:lang w:eastAsia="sl-SI"/>
        </w:rPr>
        <w:t>ministrstvo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C01D58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, na podlagi 6.</w:t>
      </w:r>
      <w:r w:rsidR="00A0334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 </w:t>
      </w:r>
      <w:r w:rsidRPr="00C01D58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točke 16.</w:t>
      </w:r>
      <w:r w:rsidR="00A0334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 </w:t>
      </w:r>
      <w:r w:rsidRPr="00C01D58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člena </w:t>
      </w:r>
      <w:r w:rsidRPr="00C01D5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Zakona o voznikih (Uradni list RS, št. 92/22 – uradno prečiščeno besedilo in 153/22; v nadaljnjem besedilu: zakon) in prvega odstavka 21. člena Pravilnika o usposabljanju za varno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delo s traktorjem in traktorskimi priključki (Uradni list RS, št. 75/17, 2/20, 110/20 in 98/24; v nadaljnjem besedilu: pravilnik) objavlja</w:t>
      </w:r>
    </w:p>
    <w:p w14:paraId="6280B54F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4"/>
          <w:lang w:eastAsia="sl-SI"/>
        </w:rPr>
      </w:pPr>
    </w:p>
    <w:p w14:paraId="7EB87907" w14:textId="77777777" w:rsidR="00B435D5" w:rsidRPr="00C01D58" w:rsidRDefault="00B435D5" w:rsidP="00B435D5">
      <w:pPr>
        <w:tabs>
          <w:tab w:val="left" w:pos="720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</w:rPr>
      </w:pPr>
    </w:p>
    <w:p w14:paraId="0607FFE0" w14:textId="77777777" w:rsidR="00B435D5" w:rsidRPr="00C01D58" w:rsidRDefault="00B435D5" w:rsidP="00B435D5">
      <w:pPr>
        <w:widowControl w:val="0"/>
        <w:tabs>
          <w:tab w:val="left" w:pos="0"/>
          <w:tab w:val="left" w:pos="720"/>
          <w:tab w:val="left" w:pos="1985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</w:pPr>
      <w:r w:rsidRPr="00C01D58"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  <w:t xml:space="preserve">JAVNI RAZPIS </w:t>
      </w:r>
    </w:p>
    <w:p w14:paraId="7BEFF170" w14:textId="77777777" w:rsidR="00B435D5" w:rsidRPr="00C01D58" w:rsidRDefault="00B435D5" w:rsidP="00B435D5">
      <w:pPr>
        <w:widowControl w:val="0"/>
        <w:tabs>
          <w:tab w:val="left" w:pos="0"/>
          <w:tab w:val="left" w:pos="720"/>
          <w:tab w:val="left" w:pos="1985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</w:rPr>
      </w:pPr>
      <w:r w:rsidRPr="00C01D58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</w:rPr>
        <w:t>za izbiro izobraževalne ustanove s področja kmetijstva in gozdarstva za pripravo gradiv ter usposabljanje izvajalcev programa usposabljanja za varno delo s traktorjem in traktorskimi priključki</w:t>
      </w:r>
    </w:p>
    <w:p w14:paraId="3F0E5750" w14:textId="77777777" w:rsidR="00B435D5" w:rsidRPr="00C01D58" w:rsidRDefault="00B435D5" w:rsidP="00B435D5">
      <w:pPr>
        <w:spacing w:line="252" w:lineRule="auto"/>
        <w:rPr>
          <w:rFonts w:ascii="Arial" w:eastAsia="Times New Roman" w:hAnsi="Arial" w:cs="Arial"/>
          <w:b/>
          <w:sz w:val="20"/>
          <w:szCs w:val="20"/>
        </w:rPr>
      </w:pPr>
    </w:p>
    <w:p w14:paraId="24387B32" w14:textId="77777777" w:rsidR="00B435D5" w:rsidRPr="00C01D58" w:rsidRDefault="00B435D5" w:rsidP="00B435D5">
      <w:pPr>
        <w:numPr>
          <w:ilvl w:val="0"/>
          <w:numId w:val="1"/>
        </w:numPr>
        <w:spacing w:after="0" w:line="252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01D58">
        <w:rPr>
          <w:rFonts w:ascii="Arial" w:eastAsia="Times New Roman" w:hAnsi="Arial" w:cs="Arial"/>
          <w:b/>
          <w:sz w:val="20"/>
          <w:szCs w:val="20"/>
        </w:rPr>
        <w:t>OSNOVNI PODATKI O JAVNEM RAZPISU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35D5" w:rsidRPr="00C01D58" w14:paraId="729FC641" w14:textId="77777777" w:rsidTr="00295741">
        <w:tc>
          <w:tcPr>
            <w:tcW w:w="4531" w:type="dxa"/>
            <w:shd w:val="clear" w:color="auto" w:fill="auto"/>
          </w:tcPr>
          <w:p w14:paraId="25DAEC8E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4531" w:type="dxa"/>
            <w:shd w:val="clear" w:color="auto" w:fill="auto"/>
          </w:tcPr>
          <w:p w14:paraId="5AB1D0B0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Predmet javnega razpisa je izbira izobraževalne ustanove s področja kmetijstva in gozdarstva za pripravo gradiv ter usposabljanje izvajalcev programa usposabljanja za varno delo s traktorjem in traktorskimi priključki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435D5" w:rsidRPr="00C01D58" w14:paraId="70F4CAE6" w14:textId="77777777" w:rsidTr="00295741">
        <w:tc>
          <w:tcPr>
            <w:tcW w:w="4531" w:type="dxa"/>
            <w:shd w:val="clear" w:color="auto" w:fill="auto"/>
          </w:tcPr>
          <w:p w14:paraId="76858F0A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</w:rPr>
              <w:t>Vrsta javnega razpisa:</w:t>
            </w:r>
          </w:p>
        </w:tc>
        <w:tc>
          <w:tcPr>
            <w:tcW w:w="4531" w:type="dxa"/>
            <w:shd w:val="clear" w:color="auto" w:fill="auto"/>
          </w:tcPr>
          <w:p w14:paraId="7CCD7455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ZAPRTI</w:t>
            </w:r>
          </w:p>
        </w:tc>
      </w:tr>
      <w:tr w:rsidR="00B435D5" w:rsidRPr="00C01D58" w14:paraId="792996D3" w14:textId="77777777" w:rsidTr="00295741">
        <w:tc>
          <w:tcPr>
            <w:tcW w:w="4531" w:type="dxa"/>
            <w:shd w:val="clear" w:color="auto" w:fill="auto"/>
          </w:tcPr>
          <w:p w14:paraId="7A18DAA7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</w:rPr>
              <w:t>Obdobje vlaganja vlog na javni razpis:</w:t>
            </w:r>
          </w:p>
        </w:tc>
        <w:tc>
          <w:tcPr>
            <w:tcW w:w="4531" w:type="dxa"/>
            <w:shd w:val="clear" w:color="auto" w:fill="auto"/>
          </w:tcPr>
          <w:p w14:paraId="268937AC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</w:rPr>
              <w:t xml:space="preserve">Rok za oddajo vlog začne teči z naslednjim dnem po objavi javnega razpisa </w:t>
            </w:r>
            <w:r w:rsidRPr="00C51CAA">
              <w:rPr>
                <w:rFonts w:ascii="Arial" w:eastAsia="Times New Roman" w:hAnsi="Arial" w:cs="Arial"/>
                <w:sz w:val="20"/>
                <w:szCs w:val="20"/>
              </w:rPr>
              <w:t>v Uradnem listu Republike Slovenije do vključno 21. marca 2025 do 15. ure.</w:t>
            </w:r>
          </w:p>
        </w:tc>
      </w:tr>
      <w:tr w:rsidR="00B435D5" w:rsidRPr="00C01D58" w14:paraId="599A48D2" w14:textId="77777777" w:rsidTr="00295741">
        <w:tc>
          <w:tcPr>
            <w:tcW w:w="4531" w:type="dxa"/>
            <w:shd w:val="clear" w:color="auto" w:fill="auto"/>
          </w:tcPr>
          <w:p w14:paraId="4B8C1895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</w:rPr>
              <w:t>Informacije o javnem razpisu:</w:t>
            </w:r>
          </w:p>
        </w:tc>
        <w:tc>
          <w:tcPr>
            <w:tcW w:w="4531" w:type="dxa"/>
            <w:shd w:val="clear" w:color="auto" w:fill="auto"/>
          </w:tcPr>
          <w:p w14:paraId="5897F6C0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</w:rPr>
              <w:t xml:space="preserve">INFO točka: </w:t>
            </w:r>
          </w:p>
          <w:p w14:paraId="58E20FCC" w14:textId="77777777" w:rsidR="00B435D5" w:rsidRDefault="00B435D5" w:rsidP="0029574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Ministrstvo za kmetijstvo, gozdarstvo in prehrano, Dunajska cesta 22, 1000 Ljubljana</w:t>
            </w:r>
            <w:r w:rsidRPr="00C01D5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14:paraId="7384DC19" w14:textId="77777777" w:rsidR="00B435D5" w:rsidRDefault="00B435D5" w:rsidP="0029574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1D58">
              <w:rPr>
                <w:rFonts w:ascii="Arial" w:eastAsia="Times New Roman" w:hAnsi="Arial" w:cs="Arial"/>
                <w:sz w:val="20"/>
                <w:szCs w:val="20"/>
              </w:rPr>
              <w:t>tel</w:t>
            </w:r>
            <w:proofErr w:type="spellEnd"/>
            <w:r w:rsidRPr="00C01D58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51</w:t>
            </w: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4AFCA6DD" w14:textId="77777777" w:rsidR="00B435D5" w:rsidRPr="00C01D58" w:rsidRDefault="00B435D5" w:rsidP="0029574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elektronska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pošta: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8" w:history="1">
              <w:r w:rsidRPr="00C01D5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gp.mkgp@gov.si</w:t>
              </w:r>
            </w:hyperlink>
          </w:p>
        </w:tc>
      </w:tr>
    </w:tbl>
    <w:p w14:paraId="0EE886A5" w14:textId="77777777" w:rsidR="00B435D5" w:rsidRPr="00C01D58" w:rsidRDefault="00B435D5" w:rsidP="00B435D5">
      <w:pPr>
        <w:tabs>
          <w:tab w:val="left" w:pos="720"/>
          <w:tab w:val="left" w:pos="1985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3"/>
          <w:sz w:val="20"/>
          <w:szCs w:val="20"/>
        </w:rPr>
      </w:pPr>
    </w:p>
    <w:p w14:paraId="09822011" w14:textId="77777777" w:rsidR="00B435D5" w:rsidRPr="00C01D58" w:rsidRDefault="00B435D5" w:rsidP="00B435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014E186" w14:textId="33B233F4" w:rsidR="00B435D5" w:rsidRPr="00C01D58" w:rsidRDefault="00B435D5" w:rsidP="00B435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01D5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2.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C01D58">
        <w:rPr>
          <w:rFonts w:ascii="Arial" w:eastAsia="Times New Roman" w:hAnsi="Arial" w:cs="Arial"/>
          <w:b/>
          <w:sz w:val="20"/>
          <w:szCs w:val="20"/>
          <w:lang w:eastAsia="sl-SI"/>
        </w:rPr>
        <w:t>UPRAVIČENEC</w:t>
      </w:r>
    </w:p>
    <w:p w14:paraId="1C1CB81C" w14:textId="77777777" w:rsidR="00B435D5" w:rsidRPr="00C01D58" w:rsidRDefault="00B435D5" w:rsidP="00B435D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highlight w:val="yellow"/>
          <w:lang w:eastAsia="sl-SI"/>
        </w:rPr>
      </w:pPr>
    </w:p>
    <w:p w14:paraId="14CFC944" w14:textId="36674C19" w:rsidR="00B435D5" w:rsidRDefault="00B435D5" w:rsidP="00B435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sl-SI"/>
        </w:rPr>
      </w:pPr>
      <w:r w:rsidRPr="00C51CAA">
        <w:rPr>
          <w:rFonts w:ascii="Arial" w:eastAsia="Times New Roman" w:hAnsi="Arial" w:cs="Arial"/>
          <w:bCs/>
          <w:sz w:val="20"/>
          <w:szCs w:val="20"/>
          <w:lang w:eastAsia="sl-SI"/>
        </w:rPr>
        <w:t>Upravičenec</w:t>
      </w:r>
      <w:r w:rsidRPr="00C51C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</w:t>
      </w:r>
      <w:r w:rsidRPr="003A22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podelitve javnega pooblastila</w:t>
      </w:r>
      <w:r w:rsidRPr="003A221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3A221D">
        <w:rPr>
          <w:rFonts w:ascii="Arial" w:eastAsia="Times New Roman" w:hAnsi="Arial" w:cs="Arial"/>
          <w:sz w:val="20"/>
          <w:szCs w:val="20"/>
        </w:rPr>
        <w:t>je izobraževalna</w:t>
      </w:r>
      <w:r>
        <w:rPr>
          <w:rFonts w:ascii="Arial" w:eastAsia="Times New Roman" w:hAnsi="Arial" w:cs="Arial"/>
          <w:sz w:val="20"/>
          <w:szCs w:val="20"/>
        </w:rPr>
        <w:t xml:space="preserve"> ustanova</w:t>
      </w:r>
      <w:r w:rsidRPr="00C01D58">
        <w:rPr>
          <w:rFonts w:ascii="Arial" w:eastAsia="Times New Roman" w:hAnsi="Arial" w:cs="Arial"/>
          <w:sz w:val="20"/>
          <w:szCs w:val="20"/>
        </w:rPr>
        <w:t xml:space="preserve"> s področja kmetijstva in gozdarstva (v nadaljnjem besedilu: pooblaščena organizacija)</w:t>
      </w:r>
      <w:r>
        <w:rPr>
          <w:rFonts w:ascii="Arial" w:eastAsia="Times New Roman" w:hAnsi="Arial" w:cs="Arial"/>
          <w:sz w:val="20"/>
          <w:szCs w:val="20"/>
        </w:rPr>
        <w:t xml:space="preserve"> v skladu s </w:t>
      </w:r>
      <w:r w:rsidR="00A03343">
        <w:rPr>
          <w:rFonts w:ascii="Arial" w:eastAsia="Times New Roman" w:hAnsi="Arial" w:cs="Arial"/>
          <w:sz w:val="20"/>
          <w:szCs w:val="20"/>
        </w:rPr>
        <w:t xml:space="preserve">6. </w:t>
      </w:r>
      <w:r>
        <w:rPr>
          <w:rFonts w:ascii="Arial" w:eastAsia="Times New Roman" w:hAnsi="Arial" w:cs="Arial"/>
          <w:sz w:val="20"/>
          <w:szCs w:val="20"/>
        </w:rPr>
        <w:t>točko 16.</w:t>
      </w:r>
      <w:r w:rsidR="00A03343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člena zakona.</w:t>
      </w:r>
    </w:p>
    <w:p w14:paraId="0268E6EF" w14:textId="77777777" w:rsidR="00B435D5" w:rsidRDefault="00B435D5" w:rsidP="00B435D5">
      <w:pPr>
        <w:spacing w:after="0" w:line="240" w:lineRule="auto"/>
        <w:ind w:left="284"/>
        <w:rPr>
          <w:rFonts w:ascii="Arial" w:eastAsia="Times New Roman" w:hAnsi="Arial" w:cs="Arial"/>
          <w:bCs/>
          <w:sz w:val="20"/>
          <w:szCs w:val="20"/>
          <w:highlight w:val="yellow"/>
          <w:lang w:eastAsia="sl-SI"/>
        </w:rPr>
      </w:pPr>
    </w:p>
    <w:p w14:paraId="0D701F44" w14:textId="77777777" w:rsidR="00B435D5" w:rsidRPr="00C01D58" w:rsidRDefault="00B435D5" w:rsidP="00B435D5">
      <w:pPr>
        <w:spacing w:after="0" w:line="240" w:lineRule="auto"/>
        <w:ind w:left="284"/>
        <w:rPr>
          <w:rFonts w:ascii="Arial" w:eastAsia="Times New Roman" w:hAnsi="Arial" w:cs="Arial"/>
          <w:bCs/>
          <w:sz w:val="20"/>
          <w:szCs w:val="20"/>
          <w:highlight w:val="yellow"/>
          <w:lang w:eastAsia="sl-SI"/>
        </w:rPr>
      </w:pPr>
    </w:p>
    <w:p w14:paraId="216C2F47" w14:textId="77777777" w:rsidR="00B435D5" w:rsidRPr="00C01D58" w:rsidRDefault="00B435D5" w:rsidP="00B435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01D58">
        <w:rPr>
          <w:rFonts w:ascii="Arial" w:eastAsia="Times New Roman" w:hAnsi="Arial" w:cs="Arial"/>
          <w:b/>
          <w:sz w:val="20"/>
          <w:szCs w:val="20"/>
          <w:lang w:eastAsia="sl-SI"/>
        </w:rPr>
        <w:t>3. POGOJI ZA PRIDOBITEV JAVNEGA POOBLASTILA</w:t>
      </w:r>
    </w:p>
    <w:p w14:paraId="4E5E6A6B" w14:textId="77777777" w:rsidR="00B435D5" w:rsidRPr="00C01D58" w:rsidRDefault="00B435D5" w:rsidP="00B43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256A7B" w14:textId="77777777" w:rsidR="00B435D5" w:rsidRDefault="00B435D5" w:rsidP="00B43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3.1  Pogoji za pridobitev javnega pooblastila morajo biti izpolnjeni ob vložitvi vloge na javni razpis.</w:t>
      </w:r>
    </w:p>
    <w:p w14:paraId="1172C1D6" w14:textId="77777777" w:rsidR="00B435D5" w:rsidRDefault="00B435D5" w:rsidP="00B43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82D75A" w14:textId="4C22A30E" w:rsidR="00B435D5" w:rsidRPr="00C01D58" w:rsidRDefault="00B435D5" w:rsidP="00B43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3.2  Upravičenec 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mora izpolnjevati pogoje iz tretjega odstavka 21.</w:t>
      </w:r>
      <w:r w:rsidR="00A03343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člena pravilnika:</w:t>
      </w:r>
    </w:p>
    <w:p w14:paraId="088C82C6" w14:textId="1DA2448D" w:rsidR="00B435D5" w:rsidRPr="00C01D58" w:rsidRDefault="00B435D5" w:rsidP="00B435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01D58">
        <w:rPr>
          <w:rFonts w:ascii="Arial" w:eastAsia="Times New Roman" w:hAnsi="Arial" w:cs="Arial"/>
          <w:sz w:val="20"/>
          <w:szCs w:val="20"/>
          <w:lang w:eastAsia="sl-SI"/>
        </w:rPr>
        <w:t>za izpolnjevanje pogoja iz prve alineje tretjega odstavka 21.</w:t>
      </w:r>
      <w:r w:rsidR="00A03343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člena pravilnika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se vlogi na javni razpis priloži akt o ustanovitvi ali dokazilo iz katerega je razvidno delovanje na področju kmetijstva in gozdarstva;</w:t>
      </w:r>
    </w:p>
    <w:p w14:paraId="118188C6" w14:textId="6284F59A" w:rsidR="00B435D5" w:rsidRPr="00C01D58" w:rsidRDefault="00B435D5" w:rsidP="00B435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01D58">
        <w:rPr>
          <w:rFonts w:ascii="Arial" w:eastAsia="Times New Roman" w:hAnsi="Arial" w:cs="Arial"/>
          <w:sz w:val="20"/>
          <w:szCs w:val="20"/>
          <w:lang w:eastAsia="sl-SI"/>
        </w:rPr>
        <w:t>za izpolnjevanje pogoja iz druge alineje tretjega odstavka 21.</w:t>
      </w:r>
      <w:r w:rsidR="00A03343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člena pravilnika se vlogi na javni razpis priloži dokazilo iz katerega je razvidno, da </w:t>
      </w:r>
      <w:r>
        <w:rPr>
          <w:rFonts w:ascii="Arial" w:eastAsia="Times New Roman" w:hAnsi="Arial" w:cs="Arial"/>
          <w:sz w:val="20"/>
          <w:szCs w:val="20"/>
          <w:lang w:eastAsia="sl-SI"/>
        </w:rPr>
        <w:t>upravičenec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izdaja strokovne članke in literature na temo varnega dela s traktorjem in traktorskimi priključki, da </w:t>
      </w:r>
      <w:r>
        <w:rPr>
          <w:rFonts w:ascii="Arial" w:eastAsia="Times New Roman" w:hAnsi="Arial" w:cs="Arial"/>
          <w:sz w:val="20"/>
          <w:szCs w:val="20"/>
          <w:lang w:eastAsia="sl-SI"/>
        </w:rPr>
        <w:t>upravičenec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izvaja predavanja na temo varnega dela s traktorjem in traktorskimi priključki ter da </w:t>
      </w:r>
      <w:r>
        <w:rPr>
          <w:rFonts w:ascii="Arial" w:eastAsia="Times New Roman" w:hAnsi="Arial" w:cs="Arial"/>
          <w:sz w:val="20"/>
          <w:szCs w:val="20"/>
          <w:lang w:eastAsia="sl-SI"/>
        </w:rPr>
        <w:t>upravičenec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opravlja raziskave in prispeva k razvoju področja;</w:t>
      </w:r>
    </w:p>
    <w:p w14:paraId="3168D92A" w14:textId="43C1806F" w:rsidR="00B435D5" w:rsidRDefault="00B435D5" w:rsidP="00B435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01D58">
        <w:rPr>
          <w:rFonts w:ascii="Arial" w:eastAsia="Times New Roman" w:hAnsi="Arial" w:cs="Arial"/>
          <w:sz w:val="20"/>
          <w:szCs w:val="20"/>
          <w:lang w:eastAsia="sl-SI"/>
        </w:rPr>
        <w:t>za izpolnjevanje pogoja iz tretje alineje tretjega odstavka 21.</w:t>
      </w:r>
      <w:r w:rsidR="00A03343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člena pravilnika se vlogi na javni razpis priloži dokazilo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da </w:t>
      </w:r>
      <w:bookmarkStart w:id="0" w:name="_Hlk190853880"/>
      <w:r>
        <w:rPr>
          <w:rFonts w:ascii="Arial" w:eastAsia="Times New Roman" w:hAnsi="Arial" w:cs="Arial"/>
          <w:sz w:val="20"/>
          <w:szCs w:val="20"/>
          <w:lang w:eastAsia="sl-SI"/>
        </w:rPr>
        <w:t>zagotavlja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strokovnega sodelavca za področje varnega dela s traktorjem in traktorskimi priključki, ki ima za izvajanje usposabljanja predavateljev in članov komisije opravljen strokovni izpit v skladu s predpisi, ki urejajo varnost in zdravje pri delu.</w:t>
      </w:r>
    </w:p>
    <w:bookmarkEnd w:id="0"/>
    <w:p w14:paraId="1E5FF3CE" w14:textId="77777777" w:rsidR="00B435D5" w:rsidRDefault="00B435D5" w:rsidP="00B435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18ED9E" w14:textId="7F45EA4A" w:rsidR="00B435D5" w:rsidRPr="0076681D" w:rsidRDefault="00B435D5" w:rsidP="00B435D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3.3  Poleg pogojev iz prejšnje točke mora imeti upravičenec </w:t>
      </w:r>
      <w:r w:rsidRPr="003A221D">
        <w:rPr>
          <w:rFonts w:ascii="Arial" w:hAnsi="Arial" w:cs="Arial"/>
          <w:color w:val="000000"/>
          <w:sz w:val="20"/>
          <w:szCs w:val="20"/>
        </w:rPr>
        <w:t>poravnane zapadle finančne obveznosti do države ali lokalnih skupnosti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160A0AF" w14:textId="77777777" w:rsidR="00B435D5" w:rsidRDefault="00B435D5" w:rsidP="00B435D5">
      <w:pPr>
        <w:spacing w:after="0"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sl-SI"/>
        </w:rPr>
      </w:pPr>
    </w:p>
    <w:p w14:paraId="2301550F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sl-SI"/>
        </w:rPr>
      </w:pPr>
    </w:p>
    <w:p w14:paraId="0528E11E" w14:textId="77777777" w:rsidR="00B435D5" w:rsidRPr="00C01D58" w:rsidRDefault="00B435D5" w:rsidP="00B435D5">
      <w:pPr>
        <w:spacing w:after="0" w:line="240" w:lineRule="auto"/>
        <w:ind w:left="284" w:hanging="284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  <w:r w:rsidRPr="00C01D58"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  <w:lastRenderedPageBreak/>
        <w:t>4. MERILA ZA OCENJEVANJE VLOG</w:t>
      </w:r>
    </w:p>
    <w:p w14:paraId="0C50E603" w14:textId="77777777" w:rsidR="00B435D5" w:rsidRPr="00C01D58" w:rsidRDefault="00B435D5" w:rsidP="00B435D5">
      <w:pPr>
        <w:spacing w:after="0" w:line="240" w:lineRule="auto"/>
        <w:ind w:left="426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</w:p>
    <w:p w14:paraId="1694B7B7" w14:textId="3C2FEA9B" w:rsidR="00B435D5" w:rsidRPr="00C01D58" w:rsidRDefault="00B435D5" w:rsidP="00B435D5">
      <w:pPr>
        <w:spacing w:after="0" w:line="240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4.1 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Merila za ocenjevanje vlog so določena v četrtem odstavku 21.</w:t>
      </w:r>
      <w:r w:rsidR="00A03343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člena pravilnika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podrobneje       urejena v tem poglavju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258AAEA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A1BF20" w14:textId="77777777" w:rsidR="00B435D5" w:rsidRPr="00C01D58" w:rsidRDefault="00B435D5" w:rsidP="00B435D5">
      <w:pPr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4.2. 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Merila za ocenjevanje vlog in točkovnik:</w:t>
      </w:r>
    </w:p>
    <w:p w14:paraId="1E2E32F3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8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2172"/>
      </w:tblGrid>
      <w:tr w:rsidR="00B435D5" w:rsidRPr="00C01D58" w14:paraId="708C7B37" w14:textId="77777777" w:rsidTr="00295741">
        <w:trPr>
          <w:trHeight w:val="509"/>
        </w:trPr>
        <w:tc>
          <w:tcPr>
            <w:tcW w:w="6314" w:type="dxa"/>
            <w:tcBorders>
              <w:top w:val="single" w:sz="12" w:space="0" w:color="auto"/>
              <w:bottom w:val="nil"/>
            </w:tcBorders>
            <w:shd w:val="clear" w:color="auto" w:fill="BFBFBF"/>
          </w:tcPr>
          <w:p w14:paraId="6D6565B9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MERILO</w:t>
            </w:r>
          </w:p>
        </w:tc>
        <w:tc>
          <w:tcPr>
            <w:tcW w:w="2172" w:type="dxa"/>
            <w:tcBorders>
              <w:top w:val="single" w:sz="12" w:space="0" w:color="auto"/>
              <w:bottom w:val="nil"/>
            </w:tcBorders>
            <w:shd w:val="clear" w:color="auto" w:fill="BFBFBF"/>
          </w:tcPr>
          <w:p w14:paraId="65FC550E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Maksimalno število točk</w:t>
            </w:r>
          </w:p>
          <w:p w14:paraId="1C57D4D4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435D5" w:rsidRPr="00C01D58" w14:paraId="15F9A67D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D9D9D9"/>
          </w:tcPr>
          <w:p w14:paraId="585FE1A5" w14:textId="383A2779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Geografska pokritost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delovanja upravičenca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D9D9D9"/>
          </w:tcPr>
          <w:p w14:paraId="716049BC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</w:t>
            </w:r>
          </w:p>
        </w:tc>
      </w:tr>
      <w:tr w:rsidR="00B435D5" w:rsidRPr="00C01D58" w14:paraId="3E67A54B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auto"/>
          </w:tcPr>
          <w:p w14:paraId="2574C02F" w14:textId="3A33C807" w:rsidR="00B435D5" w:rsidRPr="00C01D58" w:rsidRDefault="00B435D5" w:rsidP="00295741">
            <w:pPr>
              <w:numPr>
                <w:ilvl w:val="12"/>
                <w:numId w:val="0"/>
              </w:num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sl-SI"/>
              </w:rPr>
              <w:t>upravičenec</w:t>
            </w:r>
            <w:r w:rsidRPr="00C01D58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sl-SI"/>
              </w:rPr>
              <w:t xml:space="preserve"> </w:t>
            </w:r>
            <w:r w:rsidRPr="00C01D5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deluje v več geografskih statističnih regijah v državi. Število točk, ki jih prinese delovanje v: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14:paraId="0AFD9C73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435D5" w:rsidRPr="00C01D58" w14:paraId="3C03070A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auto"/>
          </w:tcPr>
          <w:p w14:paraId="293D0CF5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 – 3 statističnih regijah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14:paraId="2626DD42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B435D5" w:rsidRPr="00C01D58" w14:paraId="53B7964A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auto"/>
          </w:tcPr>
          <w:p w14:paraId="5B31F135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4 </w:t>
            </w: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– 8 statističnih regijah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14:paraId="25FF71A5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B435D5" w:rsidRPr="00C01D58" w14:paraId="057BC31F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auto"/>
          </w:tcPr>
          <w:p w14:paraId="450D7C6F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9</w:t>
            </w: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12 statističnih regijah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14:paraId="316B8937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B435D5" w:rsidRPr="00C01D58" w14:paraId="23F3264E" w14:textId="77777777" w:rsidTr="00295741">
        <w:trPr>
          <w:trHeight w:val="532"/>
        </w:trPr>
        <w:tc>
          <w:tcPr>
            <w:tcW w:w="6314" w:type="dxa"/>
            <w:tcBorders>
              <w:top w:val="nil"/>
            </w:tcBorders>
            <w:shd w:val="clear" w:color="auto" w:fill="D9D9D9"/>
          </w:tcPr>
          <w:p w14:paraId="77F94251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Strokovni delavci na področju varnega dela s traktorji in traktorskimi priključki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D9D9D9"/>
          </w:tcPr>
          <w:p w14:paraId="30721743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30</w:t>
            </w:r>
          </w:p>
        </w:tc>
      </w:tr>
      <w:tr w:rsidR="00B435D5" w:rsidRPr="00C01D58" w14:paraId="073B642F" w14:textId="77777777" w:rsidTr="00295741">
        <w:trPr>
          <w:trHeight w:val="1662"/>
        </w:trPr>
        <w:tc>
          <w:tcPr>
            <w:tcW w:w="6314" w:type="dxa"/>
            <w:tcBorders>
              <w:top w:val="nil"/>
            </w:tcBorders>
            <w:shd w:val="clear" w:color="auto" w:fill="auto"/>
          </w:tcPr>
          <w:p w14:paraId="42114452" w14:textId="21887AB6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 tem merilu se vloga točkuje glede na strokovne delavce zaposlene pri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upravičencu</w:t>
            </w: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za nedoločen čas. Za zaposlenega strokovnega delavca, ki dela pri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upravičencu</w:t>
            </w: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 področju varnega dela s traktorjem in traktorskimi priključki, se dodeli do 10 točk, pri čemer se upošteva sorazmerni delež njegovega dela na področju varnega dela s traktorjem in traktorskimi priključki glede na obseg dela polno zaposlenega. Pri tem merilu se lahko dodeli skupaj največ 30 točk.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14:paraId="2B76CA4B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435D5" w:rsidRPr="00C01D58" w14:paraId="2DE66076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D9D9D9"/>
          </w:tcPr>
          <w:p w14:paraId="0C7F16C0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Aktivnosti na področju strokovnega delovanja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D9D9D9"/>
          </w:tcPr>
          <w:p w14:paraId="029875A8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</w:t>
            </w:r>
          </w:p>
        </w:tc>
      </w:tr>
      <w:tr w:rsidR="00B435D5" w:rsidRPr="00C01D58" w14:paraId="0346C8C0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auto"/>
          </w:tcPr>
          <w:p w14:paraId="7A0F4BB5" w14:textId="0645BBF6" w:rsidR="00B435D5" w:rsidRPr="00C01D58" w:rsidRDefault="00B435D5" w:rsidP="00295741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Upravičenec </w:t>
            </w:r>
            <w:r w:rsidRPr="00C01D58">
              <w:rPr>
                <w:rFonts w:ascii="Arial" w:eastAsia="Times New Roman" w:hAnsi="Arial" w:cs="Arial"/>
                <w:sz w:val="20"/>
                <w:szCs w:val="20"/>
              </w:rPr>
              <w:t>izvaja aktivnosti povezane z varnim delom s traktorjem in traktorskimi priključki za različne ciljne skupine. Točke se pri merilu seštevajo po naslednjih ciljnih skupinah: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14:paraId="37D8627B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435D5" w:rsidRPr="00C01D58" w14:paraId="556EA978" w14:textId="77777777" w:rsidTr="00295741">
        <w:trPr>
          <w:trHeight w:val="297"/>
        </w:trPr>
        <w:tc>
          <w:tcPr>
            <w:tcW w:w="6314" w:type="dxa"/>
            <w:tcBorders>
              <w:top w:val="nil"/>
            </w:tcBorders>
            <w:shd w:val="clear" w:color="auto" w:fill="auto"/>
          </w:tcPr>
          <w:p w14:paraId="4D902CD7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zunanji uporabniki oziroma širša javnost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14:paraId="2F150BB3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B435D5" w:rsidRPr="00C01D58" w14:paraId="1E0C0073" w14:textId="77777777" w:rsidTr="00295741">
        <w:trPr>
          <w:trHeight w:val="297"/>
        </w:trPr>
        <w:tc>
          <w:tcPr>
            <w:tcW w:w="6314" w:type="dxa"/>
            <w:tcBorders>
              <w:top w:val="nil"/>
            </w:tcBorders>
            <w:shd w:val="clear" w:color="auto" w:fill="auto"/>
          </w:tcPr>
          <w:p w14:paraId="11683976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dijaki in študenti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</w:tcPr>
          <w:p w14:paraId="667127AD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B435D5" w:rsidRPr="00C01D58" w14:paraId="3F042BFC" w14:textId="77777777" w:rsidTr="00295741">
        <w:trPr>
          <w:trHeight w:val="80"/>
        </w:trPr>
        <w:tc>
          <w:tcPr>
            <w:tcW w:w="6314" w:type="dxa"/>
            <w:tcBorders>
              <w:top w:val="nil"/>
            </w:tcBorders>
            <w:shd w:val="clear" w:color="auto" w:fill="D9D9D9"/>
          </w:tcPr>
          <w:p w14:paraId="4D7A0522" w14:textId="3C48779A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Reference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upravičenca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D9D9D9"/>
          </w:tcPr>
          <w:p w14:paraId="5D23BC85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40</w:t>
            </w:r>
          </w:p>
        </w:tc>
      </w:tr>
      <w:tr w:rsidR="00B435D5" w:rsidRPr="00C01D58" w14:paraId="56C480DC" w14:textId="77777777" w:rsidTr="00295741">
        <w:trPr>
          <w:trHeight w:val="255"/>
        </w:trPr>
        <w:tc>
          <w:tcPr>
            <w:tcW w:w="63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2B14" w14:textId="4321215E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 xml:space="preserve">Pri merilu se upošteva obdobje </w:t>
            </w:r>
            <w:r w:rsidR="00206BB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upravičenčevega</w:t>
            </w:r>
            <w:r w:rsidR="00206BB6" w:rsidRPr="00C01D5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 xml:space="preserve"> </w:t>
            </w:r>
            <w:r w:rsidRPr="00C01D5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delovanja od 1. januarja 2015. Točke se pri tem merilu seštevajo po naslednji razdelitvi:</w:t>
            </w:r>
          </w:p>
        </w:tc>
        <w:tc>
          <w:tcPr>
            <w:tcW w:w="21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397183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B435D5" w:rsidRPr="00C01D58" w14:paraId="60283144" w14:textId="77777777" w:rsidTr="00295741">
        <w:trPr>
          <w:trHeight w:val="255"/>
        </w:trPr>
        <w:tc>
          <w:tcPr>
            <w:tcW w:w="63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062B2" w14:textId="3BB60484" w:rsidR="00B435D5" w:rsidRPr="00C01D58" w:rsidRDefault="00206BB6" w:rsidP="0029574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upravičenec</w:t>
            </w: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izdaja vsebine za pedagoške namene, ki so namenjene dijakom in študentom (npr. skripta, katerega avtor je aktualni zaposleni strokovni delavec pri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upravičencu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271A48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B435D5" w:rsidRPr="00C01D58" w14:paraId="3C1A5548" w14:textId="77777777" w:rsidTr="00295741">
        <w:trPr>
          <w:trHeight w:val="255"/>
        </w:trPr>
        <w:tc>
          <w:tcPr>
            <w:tcW w:w="63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6FA50" w14:textId="0B3C3045" w:rsidR="00B435D5" w:rsidRPr="00C01D58" w:rsidRDefault="00206BB6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upravičenec 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objavlja članke o varnem delu s traktorjem in traktorskimi priključki v tiskanih izdajah oziroma spletne članke o varnem delu s traktorjem in traktorskimi priključki (vsak članek, katerega avtor je aktualni zaposleni strokovni delavec pri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upravičencu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prinese 1 točko) do največ skupaj 10 točk;</w:t>
            </w:r>
          </w:p>
        </w:tc>
        <w:tc>
          <w:tcPr>
            <w:tcW w:w="21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ED852A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B435D5" w:rsidRPr="00C01D58" w14:paraId="2C35E78F" w14:textId="77777777" w:rsidTr="00295741">
        <w:trPr>
          <w:trHeight w:val="255"/>
        </w:trPr>
        <w:tc>
          <w:tcPr>
            <w:tcW w:w="63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672E6" w14:textId="6E9A0495" w:rsidR="00B435D5" w:rsidRPr="00C01D58" w:rsidRDefault="00206BB6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upravičenec</w:t>
            </w: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izdaja strokovno literaturo o varnem delu s traktorjem in traktorskimi priključki v tiskanih izdajah za širšo javnost (izdana knjiga, katere avtor je aktualni zaposleni strokovni delavec pri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upravičencu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se točkuje tako, da vsaka stran knjige prinese 0,2 točke, vendar skupaj največ 10 točk)</w:t>
            </w:r>
          </w:p>
        </w:tc>
        <w:tc>
          <w:tcPr>
            <w:tcW w:w="21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B2CB80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B435D5" w:rsidRPr="00C01D58" w14:paraId="10203962" w14:textId="77777777" w:rsidTr="00295741">
        <w:trPr>
          <w:trHeight w:val="255"/>
        </w:trPr>
        <w:tc>
          <w:tcPr>
            <w:tcW w:w="631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012EBE" w14:textId="394324ED" w:rsidR="00B435D5" w:rsidRPr="00C01D58" w:rsidRDefault="00206BB6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upravičenec</w:t>
            </w: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je izdelal avdiovizualne vsebine o varnem delu s traktorjem in traktorskimi priključki. Vsaka minuta avdiovizualne vsebine, katerega avtor oziroma nosilec vsebine je aktualni zaposleni strokovni delavec pri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upravičencu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prinese 0,5 točk, vendar skupaj največ 10 točk. </w:t>
            </w:r>
          </w:p>
        </w:tc>
        <w:tc>
          <w:tcPr>
            <w:tcW w:w="217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B0809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B435D5" w:rsidRPr="00C01D58" w14:paraId="187E3511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D9D9D9"/>
          </w:tcPr>
          <w:p w14:paraId="3F461E99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Opremljenost za izvajanje nalog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D9D9D9"/>
          </w:tcPr>
          <w:p w14:paraId="00109DB1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</w:t>
            </w:r>
          </w:p>
        </w:tc>
      </w:tr>
      <w:tr w:rsidR="00B435D5" w:rsidRPr="00C01D58" w14:paraId="4728003C" w14:textId="77777777" w:rsidTr="00295741">
        <w:trPr>
          <w:trHeight w:val="255"/>
        </w:trPr>
        <w:tc>
          <w:tcPr>
            <w:tcW w:w="63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D1A3F" w14:textId="393771EA" w:rsidR="00B435D5" w:rsidRPr="00C01D58" w:rsidRDefault="00206BB6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upravičenec 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razpolaga s prostorom, kot je </w:t>
            </w:r>
            <w:r w:rsidR="00B435D5" w:rsidRPr="00C51CA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določeno s 4.</w:t>
            </w:r>
            <w:r w:rsidR="00A0334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 w:rsidR="00B435D5" w:rsidRPr="00C51CA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členom pravilnika</w:t>
            </w:r>
          </w:p>
        </w:tc>
        <w:tc>
          <w:tcPr>
            <w:tcW w:w="21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F495EA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B435D5" w:rsidRPr="00C01D58" w14:paraId="73DD6F68" w14:textId="77777777" w:rsidTr="00295741">
        <w:trPr>
          <w:trHeight w:val="255"/>
        </w:trPr>
        <w:tc>
          <w:tcPr>
            <w:tcW w:w="63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DC98C" w14:textId="10EAA25B" w:rsidR="00B435D5" w:rsidRPr="00C01D58" w:rsidRDefault="00206BB6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upravičenec</w:t>
            </w: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ima vso opremo</w:t>
            </w:r>
            <w:r w:rsidR="00B435D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kot je določeno v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prve</w:t>
            </w:r>
            <w:r w:rsidR="00B435D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odstavk</w:t>
            </w:r>
            <w:r w:rsidR="00B435D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5.</w:t>
            </w:r>
            <w:r w:rsidR="00A0334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člena pravilnika</w:t>
            </w:r>
          </w:p>
        </w:tc>
        <w:tc>
          <w:tcPr>
            <w:tcW w:w="21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49F234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B435D5" w:rsidRPr="00C01D58" w14:paraId="3689287F" w14:textId="77777777" w:rsidTr="00295741">
        <w:trPr>
          <w:trHeight w:val="1234"/>
        </w:trPr>
        <w:tc>
          <w:tcPr>
            <w:tcW w:w="631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07E3AB" w14:textId="10F088B3" w:rsidR="00B435D5" w:rsidRPr="00C01D58" w:rsidRDefault="00206BB6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upravičenec 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potrebe testiranja in prikaza varnosti traktorja in traktorskih priključkov razpolaga še s posebno namensko opremo, kot npr. testni poligon za preizkušanje dela s traktorjem, testirane naprave za preizkušanje varnosti, ipd.. Vsaka oprema, s katero dodatno razpolaga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upravičenec</w:t>
            </w:r>
            <w:r w:rsidR="00B435D5"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doprinese dodatno 2 točki, vendar skupno ne več kot 4 točke.</w:t>
            </w:r>
          </w:p>
        </w:tc>
        <w:tc>
          <w:tcPr>
            <w:tcW w:w="217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5C666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B435D5" w:rsidRPr="00C01D58" w14:paraId="103FFBBB" w14:textId="77777777" w:rsidTr="00295741">
        <w:trPr>
          <w:trHeight w:val="255"/>
        </w:trPr>
        <w:tc>
          <w:tcPr>
            <w:tcW w:w="6314" w:type="dxa"/>
            <w:tcBorders>
              <w:top w:val="nil"/>
            </w:tcBorders>
            <w:shd w:val="clear" w:color="auto" w:fill="D9D9D9"/>
          </w:tcPr>
          <w:p w14:paraId="46E36A46" w14:textId="77777777" w:rsidR="00B435D5" w:rsidRPr="00C01D58" w:rsidRDefault="00B435D5" w:rsidP="00295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D9D9D9"/>
          </w:tcPr>
          <w:p w14:paraId="1D70ECFA" w14:textId="77777777" w:rsidR="00B435D5" w:rsidRPr="00C01D58" w:rsidRDefault="00B435D5" w:rsidP="0029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01D5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100</w:t>
            </w:r>
          </w:p>
        </w:tc>
      </w:tr>
    </w:tbl>
    <w:p w14:paraId="01A8DE4C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sl-SI"/>
        </w:rPr>
      </w:pPr>
    </w:p>
    <w:p w14:paraId="4664C746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sl-SI"/>
        </w:rPr>
      </w:pPr>
    </w:p>
    <w:p w14:paraId="233DB514" w14:textId="77777777" w:rsidR="00B435D5" w:rsidRPr="00C01D58" w:rsidRDefault="00B435D5" w:rsidP="00B435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76681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5.  </w:t>
      </w:r>
      <w:r w:rsidRPr="003A221D">
        <w:rPr>
          <w:rFonts w:ascii="Arial" w:eastAsia="Times New Roman" w:hAnsi="Arial" w:cs="Arial"/>
          <w:b/>
          <w:sz w:val="20"/>
          <w:szCs w:val="20"/>
          <w:lang w:eastAsia="sl-SI"/>
        </w:rPr>
        <w:t>OBVEZNOSTI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C01D5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UPRAVIČENCA </w:t>
      </w:r>
    </w:p>
    <w:p w14:paraId="11588DBF" w14:textId="77777777" w:rsidR="00B435D5" w:rsidRPr="00C01D58" w:rsidRDefault="00B435D5" w:rsidP="00B435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D4284D3" w14:textId="05831149" w:rsidR="00B435D5" w:rsidRPr="003A221D" w:rsidRDefault="00B435D5" w:rsidP="00B435D5">
      <w:pPr>
        <w:spacing w:after="0" w:line="240" w:lineRule="auto"/>
        <w:jc w:val="both"/>
        <w:rPr>
          <w:rFonts w:ascii="Arial" w:eastAsia="MS Mincho" w:hAnsi="Arial" w:cs="Arial"/>
          <w:bCs/>
          <w:color w:val="000000"/>
          <w:sz w:val="20"/>
          <w:szCs w:val="20"/>
          <w:lang w:eastAsia="sl-SI"/>
        </w:rPr>
      </w:pPr>
      <w:r w:rsidRPr="003A221D">
        <w:rPr>
          <w:rFonts w:ascii="Arial" w:eastAsia="MS Mincho" w:hAnsi="Arial" w:cs="Arial"/>
          <w:bCs/>
          <w:color w:val="000000"/>
          <w:sz w:val="20"/>
          <w:szCs w:val="20"/>
          <w:lang w:eastAsia="sl-SI"/>
        </w:rPr>
        <w:t xml:space="preserve">Upravičenec mora izpolnjevati obveznosti iz </w:t>
      </w:r>
      <w:r w:rsidRPr="0076681D">
        <w:rPr>
          <w:rFonts w:ascii="Arial" w:eastAsia="Times New Roman" w:hAnsi="Arial" w:cs="Arial"/>
          <w:bCs/>
          <w:sz w:val="20"/>
          <w:szCs w:val="20"/>
          <w:lang w:eastAsia="sl-SI"/>
        </w:rPr>
        <w:t>šestega, sedmega in devetega odstavka 21.</w:t>
      </w:r>
      <w:r w:rsidR="00A03343">
        <w:rPr>
          <w:rFonts w:ascii="Arial" w:eastAsia="Times New Roman" w:hAnsi="Arial" w:cs="Arial"/>
          <w:bCs/>
          <w:sz w:val="20"/>
          <w:szCs w:val="20"/>
          <w:lang w:eastAsia="sl-SI"/>
        </w:rPr>
        <w:t> </w:t>
      </w:r>
      <w:r w:rsidRPr="0076681D">
        <w:rPr>
          <w:rFonts w:ascii="Arial" w:eastAsia="Times New Roman" w:hAnsi="Arial" w:cs="Arial"/>
          <w:bCs/>
          <w:sz w:val="20"/>
          <w:szCs w:val="20"/>
          <w:lang w:eastAsia="sl-SI"/>
        </w:rPr>
        <w:t>člena pravilnika.</w:t>
      </w:r>
    </w:p>
    <w:p w14:paraId="4BEE3B1D" w14:textId="1277D898" w:rsidR="00B435D5" w:rsidRDefault="00B435D5" w:rsidP="00B435D5">
      <w:pPr>
        <w:spacing w:after="0" w:line="240" w:lineRule="auto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</w:p>
    <w:p w14:paraId="1ABCEDAD" w14:textId="77777777" w:rsidR="00A03343" w:rsidRPr="00C01D58" w:rsidRDefault="00A03343" w:rsidP="00B435D5">
      <w:pPr>
        <w:spacing w:after="0" w:line="240" w:lineRule="auto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</w:p>
    <w:p w14:paraId="0D5EA4AD" w14:textId="77777777" w:rsidR="00B435D5" w:rsidRPr="00C01D58" w:rsidRDefault="00B435D5" w:rsidP="00B435D5">
      <w:pPr>
        <w:spacing w:after="0" w:line="240" w:lineRule="auto"/>
        <w:ind w:left="360" w:hanging="360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  <w:r w:rsidRPr="00C01D58"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  <w:t xml:space="preserve">6. VIŠINA SREDSTEV </w:t>
      </w:r>
    </w:p>
    <w:p w14:paraId="02E02BDC" w14:textId="77777777" w:rsidR="00B435D5" w:rsidRPr="00C01D58" w:rsidRDefault="00B435D5" w:rsidP="00B435D5">
      <w:pPr>
        <w:spacing w:after="0" w:line="240" w:lineRule="auto"/>
        <w:ind w:left="426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</w:p>
    <w:p w14:paraId="6CFF5470" w14:textId="77777777" w:rsidR="00B435D5" w:rsidRPr="00562B06" w:rsidRDefault="00B435D5" w:rsidP="00B435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lang w:eastAsia="sl-SI"/>
        </w:rPr>
      </w:pPr>
      <w:r w:rsidRPr="00C01D58">
        <w:rPr>
          <w:rFonts w:ascii="Arial" w:eastAsia="TimesNewRoman" w:hAnsi="Arial" w:cs="Arial"/>
          <w:sz w:val="20"/>
          <w:szCs w:val="20"/>
          <w:lang w:eastAsia="sl-SI"/>
        </w:rPr>
        <w:t xml:space="preserve">Višina sredstev za kritje stroškov </w:t>
      </w:r>
      <w:r>
        <w:rPr>
          <w:rFonts w:ascii="Arial" w:eastAsia="TimesNewRoman" w:hAnsi="Arial" w:cs="Arial"/>
          <w:sz w:val="20"/>
          <w:szCs w:val="20"/>
          <w:lang w:eastAsia="sl-SI"/>
        </w:rPr>
        <w:t>je</w:t>
      </w:r>
      <w:r w:rsidRPr="00C01D58">
        <w:rPr>
          <w:rFonts w:ascii="Arial" w:eastAsia="TimesNewRoman" w:hAnsi="Arial" w:cs="Arial"/>
          <w:sz w:val="20"/>
          <w:szCs w:val="20"/>
          <w:lang w:eastAsia="sl-SI"/>
        </w:rPr>
        <w:t xml:space="preserve"> določen</w:t>
      </w:r>
      <w:r>
        <w:rPr>
          <w:rFonts w:ascii="Arial" w:eastAsia="TimesNewRoman" w:hAnsi="Arial" w:cs="Arial"/>
          <w:sz w:val="20"/>
          <w:szCs w:val="20"/>
          <w:lang w:eastAsia="sl-SI"/>
        </w:rPr>
        <w:t>a</w:t>
      </w:r>
      <w:r w:rsidRPr="00C01D58">
        <w:rPr>
          <w:rFonts w:ascii="Arial" w:eastAsia="TimesNewRoman" w:hAnsi="Arial" w:cs="Arial"/>
          <w:sz w:val="20"/>
          <w:szCs w:val="20"/>
          <w:lang w:eastAsia="sl-SI"/>
        </w:rPr>
        <w:t xml:space="preserve"> v osmem odstavku 21. člena pravilnika.</w:t>
      </w:r>
    </w:p>
    <w:p w14:paraId="1A572B67" w14:textId="5CF6D100" w:rsidR="00B435D5" w:rsidRDefault="00B435D5" w:rsidP="00B435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BCCDF6" w14:textId="77777777" w:rsidR="00A03343" w:rsidRPr="00C01D58" w:rsidRDefault="00A03343" w:rsidP="00B435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28C964" w14:textId="77777777" w:rsidR="00B435D5" w:rsidRDefault="00B435D5" w:rsidP="00B435D5">
      <w:pPr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  <w:r w:rsidRPr="00C01D58"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  <w:t>VLOGA IN POSTOPEK ZA DODELITEV POOBLASTILA</w:t>
      </w:r>
    </w:p>
    <w:p w14:paraId="40C2B2EE" w14:textId="77777777" w:rsidR="00B435D5" w:rsidRPr="00C01D58" w:rsidRDefault="00B435D5" w:rsidP="00B435D5">
      <w:pPr>
        <w:spacing w:after="0" w:line="240" w:lineRule="auto"/>
        <w:ind w:left="284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</w:p>
    <w:p w14:paraId="085737BF" w14:textId="5064543C" w:rsidR="00B435D5" w:rsidRPr="00C01D58" w:rsidRDefault="00B435D5" w:rsidP="00B435D5">
      <w:pPr>
        <w:spacing w:after="0" w:line="240" w:lineRule="auto"/>
        <w:ind w:left="426" w:hanging="568"/>
        <w:jc w:val="both"/>
        <w:rPr>
          <w:rFonts w:ascii="Arial" w:eastAsia="MS Mincho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7.1  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Vloga mora biti izpolnjena na obrazcu, ki je sestavni del razpisne dokumentacije, in oddana z izpolnjenimi podatki o </w:t>
      </w:r>
      <w:r w:rsidR="00206BB6">
        <w:rPr>
          <w:rFonts w:ascii="Arial" w:eastAsia="Times New Roman" w:hAnsi="Arial" w:cs="Arial"/>
          <w:sz w:val="20"/>
          <w:szCs w:val="20"/>
          <w:lang w:eastAsia="sl-SI"/>
        </w:rPr>
        <w:t>upravičencu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, vključno s podpisano in žigosano izjavo </w:t>
      </w:r>
      <w:r w:rsidR="00206BB6">
        <w:rPr>
          <w:rFonts w:ascii="Arial" w:eastAsia="Times New Roman" w:hAnsi="Arial" w:cs="Arial"/>
          <w:sz w:val="20"/>
          <w:szCs w:val="20"/>
          <w:lang w:eastAsia="sl-SI"/>
        </w:rPr>
        <w:t>upravičenca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iz razpisne dokumentacije ter z vsemi potrebnimi prilogami in dokazili iz razpisne dokumentacije.</w:t>
      </w:r>
    </w:p>
    <w:p w14:paraId="1502415A" w14:textId="77777777" w:rsidR="00B435D5" w:rsidRPr="00C01D58" w:rsidRDefault="00B435D5" w:rsidP="00B435D5">
      <w:pPr>
        <w:spacing w:after="0" w:line="240" w:lineRule="auto"/>
        <w:ind w:left="284"/>
        <w:jc w:val="both"/>
        <w:rPr>
          <w:rFonts w:ascii="Arial" w:eastAsia="MS Mincho" w:hAnsi="Arial" w:cs="Arial"/>
          <w:color w:val="000000"/>
          <w:sz w:val="20"/>
          <w:szCs w:val="20"/>
          <w:lang w:eastAsia="sl-SI"/>
        </w:rPr>
      </w:pPr>
    </w:p>
    <w:p w14:paraId="0113C4A8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6C170D" w14:textId="0FBB9D67" w:rsidR="00B435D5" w:rsidRPr="00C01D58" w:rsidRDefault="00B435D5" w:rsidP="00B435D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7.</w:t>
      </w:r>
      <w:r w:rsidR="00F835F1">
        <w:rPr>
          <w:rFonts w:ascii="Arial" w:eastAsia="Times New Roman" w:hAnsi="Arial" w:cs="Arial"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Vlogo na javni razpis je potrebno poslati </w:t>
      </w:r>
      <w:r w:rsidRPr="00C01D58">
        <w:rPr>
          <w:rFonts w:ascii="Arial" w:eastAsia="Times New Roman" w:hAnsi="Arial" w:cs="Arial"/>
          <w:b/>
          <w:sz w:val="20"/>
          <w:szCs w:val="20"/>
          <w:lang w:eastAsia="sl-SI"/>
        </w:rPr>
        <w:t>s priporočeno poštno pošiljko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na naslov: </w:t>
      </w:r>
      <w:r w:rsidRPr="00C01D5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Ministrstvo za kmetijstvo, gozdarstvo in prehrano, Dunajska 22, 1000 Ljubljana, 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ali vložiti neposredno</w:t>
      </w:r>
      <w:r w:rsidRPr="00C01D58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v vložišču ministrstva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v času uradnih ur. </w:t>
      </w:r>
    </w:p>
    <w:p w14:paraId="43BD4C81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52851E" w14:textId="37FD6C47" w:rsidR="00B435D5" w:rsidRPr="00C01D58" w:rsidRDefault="00B435D5" w:rsidP="00B435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C9A889" w14:textId="1FD07734" w:rsidR="00B435D5" w:rsidRPr="00C01D58" w:rsidRDefault="00B435D5" w:rsidP="00B435D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>7.</w:t>
      </w:r>
      <w:r w:rsidR="00F835F1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C01D58">
        <w:rPr>
          <w:rFonts w:ascii="Arial" w:eastAsia="Times New Roman" w:hAnsi="Arial" w:cs="Arial"/>
          <w:sz w:val="20"/>
          <w:szCs w:val="20"/>
        </w:rPr>
        <w:t xml:space="preserve">Na ovojnici vloge morajo biti razvidni datum oddaje priporočene vloge, označen s strani izvajalca poštnih storitev, oziroma vložišča ministrstva, naziv in naslov </w:t>
      </w:r>
      <w:r w:rsidR="00206BB6">
        <w:rPr>
          <w:rFonts w:ascii="Arial" w:eastAsia="Times New Roman" w:hAnsi="Arial" w:cs="Arial"/>
          <w:sz w:val="20"/>
          <w:szCs w:val="20"/>
          <w:lang w:eastAsia="sl-SI"/>
        </w:rPr>
        <w:t>upravičenca</w:t>
      </w:r>
      <w:r w:rsidRPr="00C01D58">
        <w:rPr>
          <w:rFonts w:ascii="Arial" w:eastAsia="Times New Roman" w:hAnsi="Arial" w:cs="Arial"/>
          <w:sz w:val="20"/>
          <w:szCs w:val="20"/>
        </w:rPr>
        <w:t xml:space="preserve"> ter oznaka javnega razpisa, na katerega se prijavlja, na način: </w:t>
      </w:r>
    </w:p>
    <w:p w14:paraId="02538B68" w14:textId="77777777" w:rsidR="00B435D5" w:rsidRPr="00C01D58" w:rsidRDefault="00B435D5" w:rsidP="00B43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17BD2B" w14:textId="77777777" w:rsidR="00B435D5" w:rsidRPr="00C01D58" w:rsidRDefault="00B435D5" w:rsidP="00B435D5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01D58">
        <w:rPr>
          <w:rFonts w:ascii="Arial" w:eastAsia="Times New Roman" w:hAnsi="Arial" w:cs="Arial"/>
          <w:sz w:val="20"/>
          <w:szCs w:val="20"/>
        </w:rPr>
        <w:t>»</w:t>
      </w:r>
      <w:r w:rsidRPr="00C01D58"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NE ODPIRAJ - </w:t>
      </w:r>
      <w:r w:rsidRPr="00C01D58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Vloga za javni </w:t>
      </w:r>
      <w:r w:rsidRPr="00C01D58">
        <w:rPr>
          <w:rFonts w:ascii="Arial" w:eastAsia="Times New Roman" w:hAnsi="Arial" w:cs="Arial"/>
          <w:b/>
          <w:sz w:val="20"/>
          <w:szCs w:val="20"/>
          <w:lang w:eastAsia="sl-SI"/>
        </w:rPr>
        <w:t>razpis</w:t>
      </w:r>
      <w:r w:rsidRPr="00C01D58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za izbiro pooblaščene organizacije za področje varnega dela s traktorjem in traktorskimi priključki</w:t>
      </w:r>
      <w:r w:rsidRPr="00C01D58">
        <w:rPr>
          <w:rFonts w:ascii="Arial" w:eastAsia="Times New Roman" w:hAnsi="Arial" w:cs="Arial"/>
          <w:b/>
          <w:bCs/>
          <w:sz w:val="20"/>
          <w:szCs w:val="20"/>
        </w:rPr>
        <w:t>«</w:t>
      </w:r>
    </w:p>
    <w:p w14:paraId="5BC0F0CA" w14:textId="77777777" w:rsidR="00B435D5" w:rsidRPr="00C01D58" w:rsidRDefault="00B435D5" w:rsidP="00B435D5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ED1CF2D" w14:textId="2BE24D9E" w:rsidR="00B435D5" w:rsidRPr="00F835F1" w:rsidRDefault="00F835F1" w:rsidP="00F835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7.4</w:t>
      </w:r>
      <w:r w:rsidR="00B435D5" w:rsidRPr="00F835F1">
        <w:rPr>
          <w:rFonts w:ascii="Arial" w:eastAsia="Times New Roman" w:hAnsi="Arial" w:cs="Arial"/>
          <w:sz w:val="20"/>
          <w:szCs w:val="20"/>
          <w:lang w:eastAsia="sl-SI"/>
        </w:rPr>
        <w:t xml:space="preserve"> Rok za oddajo vloge na ta javni razpis je 21. marec 2025. </w:t>
      </w:r>
    </w:p>
    <w:p w14:paraId="34B2525A" w14:textId="77777777" w:rsidR="00B435D5" w:rsidRDefault="00B435D5" w:rsidP="00B43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0E25DB" w14:textId="77777777" w:rsidR="00B435D5" w:rsidRPr="00C01D58" w:rsidRDefault="00B435D5" w:rsidP="00B43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CF2744" w14:textId="77777777" w:rsidR="00B435D5" w:rsidRPr="004B620A" w:rsidRDefault="00B435D5" w:rsidP="00B435D5">
      <w:pPr>
        <w:spacing w:after="0" w:line="240" w:lineRule="auto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highlight w:val="cyan"/>
          <w:lang w:eastAsia="sl-SI"/>
        </w:rPr>
      </w:pPr>
      <w:r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  <w:t xml:space="preserve">8. </w:t>
      </w:r>
      <w:r w:rsidRPr="00C01D58"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  <w:t xml:space="preserve">IMENOVANJE POOBLAŠČENE ORGANIZACIJE </w:t>
      </w:r>
    </w:p>
    <w:p w14:paraId="532213F9" w14:textId="77777777" w:rsidR="00B435D5" w:rsidRPr="00C01D58" w:rsidRDefault="00B435D5" w:rsidP="00B435D5">
      <w:pPr>
        <w:spacing w:after="0" w:line="240" w:lineRule="auto"/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lang w:eastAsia="sl-SI"/>
        </w:rPr>
      </w:pPr>
    </w:p>
    <w:p w14:paraId="5D65211B" w14:textId="2BAF1E0C" w:rsidR="00B435D5" w:rsidRPr="004B620A" w:rsidRDefault="00B435D5" w:rsidP="00B435D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Javno p</w:t>
      </w:r>
      <w:r w:rsidRPr="004B620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ooblastilo podeli ministrica z odločbo v upravnem postopku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0BB3E6FF" w14:textId="06CA1E25" w:rsidR="00B435D5" w:rsidRDefault="00B435D5" w:rsidP="00B435D5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2F314F6" w14:textId="77777777" w:rsidR="00A03343" w:rsidRPr="00C01D58" w:rsidRDefault="00A03343" w:rsidP="00B435D5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0FB1847B" w14:textId="77777777" w:rsidR="00B435D5" w:rsidRPr="00C01D58" w:rsidRDefault="00B435D5" w:rsidP="00B435D5">
      <w:pPr>
        <w:spacing w:after="0" w:line="240" w:lineRule="auto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9. </w:t>
      </w:r>
      <w:r w:rsidRPr="00C01D58">
        <w:rPr>
          <w:rFonts w:ascii="Arial" w:eastAsia="MS Mincho" w:hAnsi="Arial" w:cs="Arial"/>
          <w:b/>
          <w:bCs/>
          <w:sz w:val="20"/>
          <w:szCs w:val="20"/>
          <w:lang w:eastAsia="sl-SI"/>
        </w:rPr>
        <w:t>SANKCIJE</w:t>
      </w:r>
    </w:p>
    <w:p w14:paraId="28340CDF" w14:textId="77777777" w:rsidR="00B435D5" w:rsidRPr="00C01D58" w:rsidRDefault="00B435D5" w:rsidP="00B435D5">
      <w:pPr>
        <w:spacing w:after="0" w:line="240" w:lineRule="auto"/>
        <w:ind w:left="720"/>
        <w:rPr>
          <w:rFonts w:ascii="Arial" w:eastAsia="MS Mincho" w:hAnsi="Arial" w:cs="Arial"/>
          <w:sz w:val="20"/>
          <w:szCs w:val="20"/>
          <w:lang w:eastAsia="sl-SI"/>
        </w:rPr>
      </w:pPr>
    </w:p>
    <w:p w14:paraId="6FDE849A" w14:textId="0CBCCE68" w:rsidR="00B435D5" w:rsidRDefault="00B435D5" w:rsidP="00B435D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Upravičencu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se odvzame pooblastilo, če ne izpolnjuje </w:t>
      </w:r>
      <w:r w:rsidRPr="00A03343">
        <w:rPr>
          <w:rFonts w:ascii="Arial" w:eastAsia="Times New Roman" w:hAnsi="Arial" w:cs="Arial"/>
          <w:sz w:val="20"/>
          <w:szCs w:val="20"/>
          <w:lang w:eastAsia="sl-SI"/>
        </w:rPr>
        <w:t>zahtev</w:t>
      </w:r>
      <w:r w:rsidRPr="00B435D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 xml:space="preserve"> ki so določeni v desetem odstavku 21.</w:t>
      </w:r>
      <w:r w:rsidR="00A03343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C01D58">
        <w:rPr>
          <w:rFonts w:ascii="Arial" w:eastAsia="Times New Roman" w:hAnsi="Arial" w:cs="Arial"/>
          <w:sz w:val="20"/>
          <w:szCs w:val="20"/>
          <w:lang w:eastAsia="sl-SI"/>
        </w:rPr>
        <w:t>člena pravilnika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691ED9F" w14:textId="42472F4B" w:rsidR="00B435D5" w:rsidRDefault="00B435D5" w:rsidP="00B435D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EE1CF9" w14:textId="2CDA564C" w:rsidR="00A03343" w:rsidRDefault="00A03343" w:rsidP="00B435D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2D7348" w14:textId="77777777" w:rsidR="00A03343" w:rsidRPr="005617E7" w:rsidRDefault="00A03343" w:rsidP="00B435D5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55D955" w14:textId="77777777" w:rsidR="00B435D5" w:rsidRPr="00C01D58" w:rsidRDefault="00B435D5" w:rsidP="00B435D5">
      <w:pPr>
        <w:spacing w:after="0" w:line="240" w:lineRule="auto"/>
        <w:ind w:left="5760"/>
        <w:jc w:val="center"/>
        <w:rPr>
          <w:rFonts w:ascii="Arial" w:eastAsia="MS Mincho" w:hAnsi="Arial" w:cs="Arial"/>
          <w:sz w:val="20"/>
          <w:szCs w:val="20"/>
          <w:lang w:eastAsia="sl-SI"/>
        </w:rPr>
      </w:pPr>
      <w:r w:rsidRPr="00C01D58">
        <w:rPr>
          <w:rFonts w:ascii="Arial" w:eastAsia="MS Mincho" w:hAnsi="Arial" w:cs="Arial"/>
          <w:sz w:val="20"/>
          <w:szCs w:val="20"/>
          <w:lang w:eastAsia="sl-SI"/>
        </w:rPr>
        <w:t xml:space="preserve">Mateja </w:t>
      </w:r>
      <w:proofErr w:type="spellStart"/>
      <w:r w:rsidRPr="00C01D58">
        <w:rPr>
          <w:rFonts w:ascii="Arial" w:eastAsia="MS Mincho" w:hAnsi="Arial" w:cs="Arial"/>
          <w:sz w:val="20"/>
          <w:szCs w:val="20"/>
          <w:lang w:eastAsia="sl-SI"/>
        </w:rPr>
        <w:t>Čalušić</w:t>
      </w:r>
      <w:proofErr w:type="spellEnd"/>
    </w:p>
    <w:p w14:paraId="637F7349" w14:textId="77777777" w:rsidR="00B435D5" w:rsidRPr="00562B06" w:rsidRDefault="00B435D5" w:rsidP="00B435D5">
      <w:pPr>
        <w:spacing w:after="0" w:line="240" w:lineRule="auto"/>
        <w:ind w:left="5760"/>
        <w:jc w:val="center"/>
        <w:rPr>
          <w:rFonts w:ascii="Arial" w:eastAsia="MS Mincho" w:hAnsi="Arial" w:cs="Arial"/>
          <w:sz w:val="20"/>
          <w:szCs w:val="20"/>
          <w:lang w:eastAsia="sl-SI"/>
        </w:rPr>
      </w:pPr>
      <w:r w:rsidRPr="00C01D58">
        <w:rPr>
          <w:rFonts w:ascii="Arial" w:eastAsia="MS Mincho" w:hAnsi="Arial" w:cs="Arial"/>
          <w:sz w:val="20"/>
          <w:szCs w:val="20"/>
          <w:lang w:eastAsia="sl-SI"/>
        </w:rPr>
        <w:t>ministrica</w:t>
      </w:r>
    </w:p>
    <w:p w14:paraId="287DF00D" w14:textId="77777777" w:rsidR="00F270C6" w:rsidRDefault="00F270C6"/>
    <w:sectPr w:rsidR="00F270C6" w:rsidSect="00C01D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B494" w14:textId="77777777" w:rsidR="00DD2177" w:rsidRDefault="00A03343">
      <w:pPr>
        <w:spacing w:after="0" w:line="240" w:lineRule="auto"/>
      </w:pPr>
      <w:r>
        <w:separator/>
      </w:r>
    </w:p>
  </w:endnote>
  <w:endnote w:type="continuationSeparator" w:id="0">
    <w:p w14:paraId="1CA605D0" w14:textId="77777777" w:rsidR="00DD2177" w:rsidRDefault="00A0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675" w14:textId="77777777" w:rsidR="002A2962" w:rsidRPr="00DB6D67" w:rsidRDefault="00206BB6">
    <w:pPr>
      <w:pStyle w:val="Noga"/>
      <w:jc w:val="center"/>
      <w:rPr>
        <w:rFonts w:ascii="Arial" w:hAnsi="Arial" w:cs="Arial"/>
        <w:sz w:val="20"/>
        <w:szCs w:val="20"/>
      </w:rPr>
    </w:pPr>
    <w:r w:rsidRPr="00DB6D67">
      <w:rPr>
        <w:rFonts w:ascii="Arial" w:hAnsi="Arial" w:cs="Arial"/>
        <w:sz w:val="20"/>
        <w:szCs w:val="20"/>
      </w:rPr>
      <w:fldChar w:fldCharType="begin"/>
    </w:r>
    <w:r w:rsidRPr="00DB6D67">
      <w:rPr>
        <w:rFonts w:ascii="Arial" w:hAnsi="Arial" w:cs="Arial"/>
        <w:sz w:val="20"/>
        <w:szCs w:val="20"/>
      </w:rPr>
      <w:instrText>PAGE   \* MERGEFORMAT</w:instrText>
    </w:r>
    <w:r w:rsidRPr="00DB6D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Pr="00DB6D67">
      <w:rPr>
        <w:rFonts w:ascii="Arial" w:hAnsi="Arial" w:cs="Arial"/>
        <w:sz w:val="20"/>
        <w:szCs w:val="20"/>
      </w:rPr>
      <w:fldChar w:fldCharType="end"/>
    </w:r>
  </w:p>
  <w:p w14:paraId="7F76BF4C" w14:textId="77777777" w:rsidR="002A2962" w:rsidRDefault="00F835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23C7" w14:textId="77777777" w:rsidR="00DD2177" w:rsidRDefault="00A03343">
      <w:pPr>
        <w:spacing w:after="0" w:line="240" w:lineRule="auto"/>
      </w:pPr>
      <w:r>
        <w:separator/>
      </w:r>
    </w:p>
  </w:footnote>
  <w:footnote w:type="continuationSeparator" w:id="0">
    <w:p w14:paraId="56D212B6" w14:textId="77777777" w:rsidR="00DD2177" w:rsidRDefault="00A0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5E7"/>
    <w:multiLevelType w:val="multilevel"/>
    <w:tmpl w:val="62A24D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433257"/>
    <w:multiLevelType w:val="hybridMultilevel"/>
    <w:tmpl w:val="362CC3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3B54"/>
    <w:multiLevelType w:val="multilevel"/>
    <w:tmpl w:val="91AACB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495F46"/>
    <w:multiLevelType w:val="hybridMultilevel"/>
    <w:tmpl w:val="FC6C6160"/>
    <w:lvl w:ilvl="0" w:tplc="49BAE33A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D5"/>
    <w:rsid w:val="00206BB6"/>
    <w:rsid w:val="00526A23"/>
    <w:rsid w:val="007E7852"/>
    <w:rsid w:val="00A03343"/>
    <w:rsid w:val="00B435D5"/>
    <w:rsid w:val="00C51CAA"/>
    <w:rsid w:val="00DD2177"/>
    <w:rsid w:val="00F270C6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1631"/>
  <w15:chartTrackingRefBased/>
  <w15:docId w15:val="{FCDFE3D9-43F9-467D-93B7-175BDB7D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35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B435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B435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4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kgp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550302-4254-428D-B14F-9C237506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Grum</dc:creator>
  <cp:keywords/>
  <dc:description/>
  <cp:lastModifiedBy>Svit Mal</cp:lastModifiedBy>
  <cp:revision>4</cp:revision>
  <dcterms:created xsi:type="dcterms:W3CDTF">2025-02-20T10:57:00Z</dcterms:created>
  <dcterms:modified xsi:type="dcterms:W3CDTF">2025-03-03T06:46:00Z</dcterms:modified>
</cp:coreProperties>
</file>