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547C1" w14:textId="77777777" w:rsidR="001B6D1C" w:rsidRDefault="001B6D1C" w:rsidP="00724FA5">
      <w:pPr>
        <w:autoSpaceDE w:val="0"/>
        <w:autoSpaceDN w:val="0"/>
        <w:adjustRightInd w:val="0"/>
        <w:spacing w:after="0" w:line="260" w:lineRule="exact"/>
        <w:rPr>
          <w:rFonts w:ascii="Arial" w:hAnsi="Arial" w:cs="Arial"/>
          <w:sz w:val="20"/>
          <w:szCs w:val="20"/>
        </w:rPr>
      </w:pPr>
      <w:r w:rsidRPr="001B6D1C">
        <w:rPr>
          <w:rFonts w:ascii="Arial" w:hAnsi="Arial" w:cs="Arial"/>
          <w:sz w:val="20"/>
          <w:szCs w:val="20"/>
        </w:rPr>
        <w:t xml:space="preserve">Regionalna karta pomoči - </w:t>
      </w:r>
      <w:r w:rsidRPr="001B6D1C">
        <w:rPr>
          <w:rFonts w:ascii="Arial" w:hAnsi="Arial" w:cs="Arial"/>
          <w:b/>
          <w:bCs/>
          <w:sz w:val="20"/>
          <w:szCs w:val="20"/>
          <w:lang w:val="pl-PL"/>
        </w:rPr>
        <w:t xml:space="preserve">Uredba o karti regionalne pomoči za obdobje 2022–2027 </w:t>
      </w:r>
      <w:r w:rsidRPr="001B6D1C">
        <w:rPr>
          <w:rFonts w:ascii="Arial" w:hAnsi="Arial" w:cs="Arial"/>
          <w:sz w:val="20"/>
          <w:szCs w:val="20"/>
        </w:rPr>
        <w:t>(Uradni list št. 15/22, 44/23 in 95/24)</w:t>
      </w:r>
    </w:p>
    <w:p w14:paraId="2BAE92C1" w14:textId="77777777" w:rsidR="00724FA5" w:rsidRPr="001B6D1C" w:rsidRDefault="00724FA5" w:rsidP="00724FA5">
      <w:pPr>
        <w:autoSpaceDE w:val="0"/>
        <w:autoSpaceDN w:val="0"/>
        <w:adjustRightInd w:val="0"/>
        <w:spacing w:after="0" w:line="260" w:lineRule="exact"/>
        <w:rPr>
          <w:rFonts w:ascii="Arial" w:hAnsi="Arial" w:cs="Arial"/>
          <w:sz w:val="20"/>
          <w:szCs w:val="20"/>
        </w:rPr>
      </w:pPr>
    </w:p>
    <w:p w14:paraId="6340AF35" w14:textId="77777777" w:rsidR="00724FA5" w:rsidRDefault="00724FA5">
      <w:pPr>
        <w:rPr>
          <w:rFonts w:ascii="Tms Rmn" w:hAnsi="Tms Rmn"/>
          <w:sz w:val="24"/>
          <w:szCs w:val="24"/>
        </w:rPr>
      </w:pPr>
      <w:r w:rsidRPr="00724FA5">
        <w:rPr>
          <w:noProof/>
        </w:rPr>
        <w:drawing>
          <wp:inline distT="0" distB="0" distL="0" distR="0" wp14:anchorId="72AA6EA5" wp14:editId="62754A71">
            <wp:extent cx="7381875" cy="5287672"/>
            <wp:effectExtent l="0" t="0" r="0" b="8255"/>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4"/>
                    <a:stretch>
                      <a:fillRect/>
                    </a:stretch>
                  </pic:blipFill>
                  <pic:spPr>
                    <a:xfrm>
                      <a:off x="0" y="0"/>
                      <a:ext cx="7395256" cy="5297257"/>
                    </a:xfrm>
                    <a:prstGeom prst="rect">
                      <a:avLst/>
                    </a:prstGeom>
                  </pic:spPr>
                </pic:pic>
              </a:graphicData>
            </a:graphic>
          </wp:inline>
        </w:drawing>
      </w:r>
    </w:p>
    <w:p w14:paraId="438E6DD4" w14:textId="77777777" w:rsidR="00724FA5" w:rsidRDefault="00724FA5" w:rsidP="00724FA5">
      <w:pPr>
        <w:autoSpaceDE w:val="0"/>
        <w:autoSpaceDN w:val="0"/>
        <w:adjustRightInd w:val="0"/>
        <w:spacing w:after="0" w:line="260" w:lineRule="exact"/>
        <w:rPr>
          <w:rFonts w:ascii="Tms Rmn" w:hAnsi="Tms Rmn"/>
          <w:sz w:val="24"/>
          <w:szCs w:val="24"/>
        </w:rPr>
      </w:pPr>
    </w:p>
    <w:tbl>
      <w:tblPr>
        <w:tblW w:w="0" w:type="auto"/>
        <w:tblInd w:w="-3" w:type="dxa"/>
        <w:tblLayout w:type="fixed"/>
        <w:tblLook w:val="00A0" w:firstRow="1" w:lastRow="0" w:firstColumn="1" w:lastColumn="0" w:noHBand="0" w:noVBand="0"/>
      </w:tblPr>
      <w:tblGrid>
        <w:gridCol w:w="9209"/>
        <w:gridCol w:w="1559"/>
        <w:gridCol w:w="1559"/>
        <w:gridCol w:w="1560"/>
      </w:tblGrid>
      <w:tr w:rsidR="00D82FF8" w:rsidRPr="00D82FF8" w14:paraId="43D99CA6" w14:textId="77777777" w:rsidTr="00724FA5">
        <w:tc>
          <w:tcPr>
            <w:tcW w:w="9209" w:type="dxa"/>
            <w:tcBorders>
              <w:top w:val="single" w:sz="6" w:space="0" w:color="000000"/>
              <w:left w:val="single" w:sz="6" w:space="0" w:color="000000"/>
              <w:bottom w:val="single" w:sz="6" w:space="0" w:color="000000"/>
              <w:right w:val="single" w:sz="6" w:space="0" w:color="000000"/>
            </w:tcBorders>
          </w:tcPr>
          <w:p w14:paraId="4A18353B" w14:textId="77777777" w:rsidR="00D82FF8" w:rsidRPr="00D82FF8" w:rsidRDefault="00D82FF8" w:rsidP="00724FA5">
            <w:pPr>
              <w:autoSpaceDE w:val="0"/>
              <w:autoSpaceDN w:val="0"/>
              <w:adjustRightInd w:val="0"/>
              <w:spacing w:after="0" w:line="260" w:lineRule="exact"/>
              <w:rPr>
                <w:rFonts w:ascii="Arial" w:hAnsi="Arial" w:cs="Arial"/>
                <w:sz w:val="20"/>
                <w:szCs w:val="20"/>
              </w:rPr>
            </w:pPr>
          </w:p>
        </w:tc>
        <w:tc>
          <w:tcPr>
            <w:tcW w:w="4678" w:type="dxa"/>
            <w:gridSpan w:val="3"/>
            <w:tcBorders>
              <w:top w:val="single" w:sz="6" w:space="0" w:color="000000"/>
              <w:left w:val="single" w:sz="6" w:space="0" w:color="000000"/>
              <w:bottom w:val="single" w:sz="6" w:space="0" w:color="000000"/>
              <w:right w:val="single" w:sz="6" w:space="0" w:color="000000"/>
            </w:tcBorders>
            <w:vAlign w:val="center"/>
          </w:tcPr>
          <w:p w14:paraId="1DBF02C2" w14:textId="77777777" w:rsidR="00D82FF8" w:rsidRPr="00D82FF8" w:rsidRDefault="00D82FF8" w:rsidP="00724FA5">
            <w:pPr>
              <w:autoSpaceDE w:val="0"/>
              <w:autoSpaceDN w:val="0"/>
              <w:adjustRightInd w:val="0"/>
              <w:spacing w:after="0" w:line="260" w:lineRule="exact"/>
              <w:jc w:val="center"/>
              <w:rPr>
                <w:rFonts w:ascii="Arial" w:hAnsi="Arial" w:cs="Arial"/>
                <w:color w:val="000000"/>
                <w:sz w:val="20"/>
                <w:szCs w:val="20"/>
              </w:rPr>
            </w:pPr>
            <w:r w:rsidRPr="00D82FF8">
              <w:rPr>
                <w:rFonts w:ascii="Arial" w:hAnsi="Arial" w:cs="Arial"/>
                <w:color w:val="000000"/>
                <w:sz w:val="20"/>
                <w:szCs w:val="20"/>
              </w:rPr>
              <w:t>Intenzivnost pomoči po regionalni shemi</w:t>
            </w:r>
          </w:p>
        </w:tc>
      </w:tr>
      <w:tr w:rsidR="00D82FF8" w:rsidRPr="00724FA5" w14:paraId="2484B310" w14:textId="77777777" w:rsidTr="00724FA5">
        <w:tc>
          <w:tcPr>
            <w:tcW w:w="9209" w:type="dxa"/>
            <w:tcBorders>
              <w:top w:val="single" w:sz="6" w:space="0" w:color="000000"/>
              <w:left w:val="single" w:sz="6" w:space="0" w:color="000000"/>
              <w:bottom w:val="single" w:sz="6" w:space="0" w:color="000000"/>
              <w:right w:val="single" w:sz="6" w:space="0" w:color="000000"/>
            </w:tcBorders>
            <w:vAlign w:val="center"/>
          </w:tcPr>
          <w:p w14:paraId="0E5B73C9" w14:textId="77777777" w:rsidR="00D82FF8" w:rsidRPr="00724FA5" w:rsidRDefault="00D82FF8" w:rsidP="00724FA5">
            <w:pPr>
              <w:autoSpaceDE w:val="0"/>
              <w:autoSpaceDN w:val="0"/>
              <w:adjustRightInd w:val="0"/>
              <w:spacing w:after="0" w:line="260" w:lineRule="exact"/>
              <w:jc w:val="center"/>
              <w:rPr>
                <w:rFonts w:ascii="Arial" w:hAnsi="Arial" w:cs="Arial"/>
                <w:b/>
                <w:color w:val="000000"/>
                <w:sz w:val="20"/>
                <w:szCs w:val="20"/>
              </w:rPr>
            </w:pPr>
            <w:r w:rsidRPr="00724FA5">
              <w:rPr>
                <w:rFonts w:ascii="Arial" w:hAnsi="Arial" w:cs="Arial"/>
                <w:b/>
                <w:color w:val="000000"/>
                <w:sz w:val="20"/>
                <w:szCs w:val="20"/>
              </w:rPr>
              <w:t>Občine</w:t>
            </w:r>
          </w:p>
        </w:tc>
        <w:tc>
          <w:tcPr>
            <w:tcW w:w="1559" w:type="dxa"/>
            <w:tcBorders>
              <w:top w:val="single" w:sz="6" w:space="0" w:color="000000"/>
              <w:left w:val="single" w:sz="6" w:space="0" w:color="000000"/>
              <w:bottom w:val="single" w:sz="6" w:space="0" w:color="000000"/>
              <w:right w:val="single" w:sz="6" w:space="0" w:color="000000"/>
            </w:tcBorders>
            <w:vAlign w:val="center"/>
          </w:tcPr>
          <w:p w14:paraId="65759393" w14:textId="77777777" w:rsidR="00D82FF8" w:rsidRPr="00724FA5" w:rsidRDefault="00D82FF8" w:rsidP="00724FA5">
            <w:pPr>
              <w:autoSpaceDE w:val="0"/>
              <w:autoSpaceDN w:val="0"/>
              <w:adjustRightInd w:val="0"/>
              <w:spacing w:after="0" w:line="260" w:lineRule="exact"/>
              <w:jc w:val="center"/>
              <w:rPr>
                <w:rFonts w:ascii="Arial" w:hAnsi="Arial" w:cs="Arial"/>
                <w:b/>
                <w:color w:val="000000"/>
                <w:sz w:val="20"/>
                <w:szCs w:val="20"/>
              </w:rPr>
            </w:pPr>
            <w:r w:rsidRPr="00724FA5">
              <w:rPr>
                <w:rFonts w:ascii="Arial" w:hAnsi="Arial" w:cs="Arial"/>
                <w:b/>
                <w:color w:val="000000"/>
                <w:sz w:val="20"/>
                <w:szCs w:val="20"/>
              </w:rPr>
              <w:t>Velika podjetja</w:t>
            </w:r>
          </w:p>
        </w:tc>
        <w:tc>
          <w:tcPr>
            <w:tcW w:w="1559" w:type="dxa"/>
            <w:tcBorders>
              <w:top w:val="single" w:sz="6" w:space="0" w:color="000000"/>
              <w:left w:val="single" w:sz="6" w:space="0" w:color="000000"/>
              <w:bottom w:val="single" w:sz="6" w:space="0" w:color="000000"/>
              <w:right w:val="single" w:sz="6" w:space="0" w:color="000000"/>
            </w:tcBorders>
            <w:vAlign w:val="center"/>
          </w:tcPr>
          <w:p w14:paraId="6AAB5906" w14:textId="77777777" w:rsidR="00D82FF8" w:rsidRPr="00724FA5" w:rsidRDefault="00D82FF8" w:rsidP="00724FA5">
            <w:pPr>
              <w:autoSpaceDE w:val="0"/>
              <w:autoSpaceDN w:val="0"/>
              <w:adjustRightInd w:val="0"/>
              <w:spacing w:after="0" w:line="260" w:lineRule="exact"/>
              <w:jc w:val="center"/>
              <w:rPr>
                <w:rFonts w:ascii="Arial" w:hAnsi="Arial" w:cs="Arial"/>
                <w:b/>
                <w:color w:val="000000"/>
                <w:sz w:val="20"/>
                <w:szCs w:val="20"/>
              </w:rPr>
            </w:pPr>
            <w:r w:rsidRPr="00724FA5">
              <w:rPr>
                <w:rFonts w:ascii="Arial" w:hAnsi="Arial" w:cs="Arial"/>
                <w:b/>
                <w:color w:val="000000"/>
                <w:sz w:val="20"/>
                <w:szCs w:val="20"/>
              </w:rPr>
              <w:t>Srednje velika podjetja</w:t>
            </w:r>
          </w:p>
        </w:tc>
        <w:tc>
          <w:tcPr>
            <w:tcW w:w="1560" w:type="dxa"/>
            <w:tcBorders>
              <w:top w:val="single" w:sz="6" w:space="0" w:color="000000"/>
              <w:left w:val="single" w:sz="6" w:space="0" w:color="000000"/>
              <w:bottom w:val="single" w:sz="6" w:space="0" w:color="000000"/>
              <w:right w:val="single" w:sz="6" w:space="0" w:color="000000"/>
            </w:tcBorders>
            <w:vAlign w:val="center"/>
          </w:tcPr>
          <w:p w14:paraId="4A83273A" w14:textId="77777777" w:rsidR="00D82FF8" w:rsidRPr="00724FA5" w:rsidRDefault="00D82FF8" w:rsidP="00724FA5">
            <w:pPr>
              <w:autoSpaceDE w:val="0"/>
              <w:autoSpaceDN w:val="0"/>
              <w:adjustRightInd w:val="0"/>
              <w:spacing w:after="0" w:line="260" w:lineRule="exact"/>
              <w:jc w:val="center"/>
              <w:rPr>
                <w:rFonts w:ascii="Arial" w:hAnsi="Arial" w:cs="Arial"/>
                <w:b/>
                <w:color w:val="000000"/>
                <w:sz w:val="20"/>
                <w:szCs w:val="20"/>
              </w:rPr>
            </w:pPr>
            <w:proofErr w:type="spellStart"/>
            <w:r w:rsidRPr="00724FA5">
              <w:rPr>
                <w:rFonts w:ascii="Arial" w:hAnsi="Arial" w:cs="Arial"/>
                <w:b/>
                <w:color w:val="000000"/>
                <w:sz w:val="20"/>
                <w:szCs w:val="20"/>
              </w:rPr>
              <w:t>Mikro</w:t>
            </w:r>
            <w:proofErr w:type="spellEnd"/>
            <w:r w:rsidRPr="00724FA5">
              <w:rPr>
                <w:rFonts w:ascii="Arial" w:hAnsi="Arial" w:cs="Arial"/>
                <w:b/>
                <w:color w:val="000000"/>
                <w:sz w:val="20"/>
                <w:szCs w:val="20"/>
              </w:rPr>
              <w:t xml:space="preserve"> in mala podjetja</w:t>
            </w:r>
          </w:p>
        </w:tc>
      </w:tr>
      <w:tr w:rsidR="00D82FF8" w:rsidRPr="00D82FF8" w14:paraId="3634A7CB" w14:textId="77777777" w:rsidTr="00724FA5">
        <w:tc>
          <w:tcPr>
            <w:tcW w:w="9209" w:type="dxa"/>
            <w:tcBorders>
              <w:top w:val="single" w:sz="6" w:space="0" w:color="000000"/>
              <w:left w:val="single" w:sz="6" w:space="0" w:color="000000"/>
              <w:bottom w:val="single" w:sz="6" w:space="0" w:color="000000"/>
              <w:right w:val="single" w:sz="6" w:space="0" w:color="000000"/>
            </w:tcBorders>
          </w:tcPr>
          <w:p w14:paraId="11D6423C" w14:textId="77777777" w:rsidR="00D82FF8" w:rsidRPr="00D82FF8" w:rsidRDefault="00D82FF8" w:rsidP="00724FA5">
            <w:pPr>
              <w:autoSpaceDE w:val="0"/>
              <w:autoSpaceDN w:val="0"/>
              <w:adjustRightInd w:val="0"/>
              <w:spacing w:after="0" w:line="260" w:lineRule="exact"/>
              <w:jc w:val="both"/>
              <w:rPr>
                <w:rFonts w:ascii="Arial" w:hAnsi="Arial" w:cs="Arial"/>
                <w:color w:val="000000"/>
                <w:sz w:val="20"/>
                <w:szCs w:val="20"/>
              </w:rPr>
            </w:pPr>
            <w:r w:rsidRPr="00D82FF8">
              <w:rPr>
                <w:rFonts w:ascii="Arial" w:hAnsi="Arial" w:cs="Arial"/>
                <w:b/>
                <w:bCs/>
                <w:color w:val="2F2F2F"/>
                <w:sz w:val="20"/>
                <w:szCs w:val="20"/>
              </w:rPr>
              <w:t>Območje »a«</w:t>
            </w:r>
            <w:r w:rsidRPr="00D82FF8">
              <w:rPr>
                <w:rFonts w:ascii="Arial" w:hAnsi="Arial" w:cs="Arial"/>
                <w:color w:val="2F2F2F"/>
                <w:sz w:val="20"/>
                <w:szCs w:val="20"/>
              </w:rPr>
              <w:t xml:space="preserve"> - </w:t>
            </w:r>
            <w:r w:rsidRPr="00D82FF8">
              <w:rPr>
                <w:rFonts w:ascii="Arial" w:hAnsi="Arial" w:cs="Arial"/>
                <w:color w:val="000000"/>
                <w:sz w:val="20"/>
                <w:szCs w:val="20"/>
              </w:rPr>
              <w:t>celotno ozemlje teritorialne enote NUTS 2 SI03 Vzhodna Slovenija, razen občin, ki se nahajajo na območju Savinjsko-šaleške premogovne regije ter Zasavske premogovne regije. V to območje sodijo naslednje občine (134):</w:t>
            </w:r>
          </w:p>
          <w:p w14:paraId="63B7ADF8" w14:textId="77777777" w:rsidR="00D82FF8" w:rsidRPr="00D82FF8" w:rsidRDefault="00D82FF8" w:rsidP="00724FA5">
            <w:pPr>
              <w:autoSpaceDE w:val="0"/>
              <w:autoSpaceDN w:val="0"/>
              <w:adjustRightInd w:val="0"/>
              <w:spacing w:after="0" w:line="260" w:lineRule="exact"/>
              <w:rPr>
                <w:rFonts w:ascii="Arial" w:hAnsi="Arial" w:cs="Arial"/>
                <w:color w:val="000000"/>
                <w:sz w:val="20"/>
                <w:szCs w:val="20"/>
              </w:rPr>
            </w:pPr>
          </w:p>
          <w:p w14:paraId="1899E973" w14:textId="77777777" w:rsidR="00D82FF8" w:rsidRDefault="00D82FF8" w:rsidP="00724FA5">
            <w:pPr>
              <w:autoSpaceDE w:val="0"/>
              <w:autoSpaceDN w:val="0"/>
              <w:adjustRightInd w:val="0"/>
              <w:spacing w:after="0" w:line="260" w:lineRule="exact"/>
              <w:jc w:val="both"/>
              <w:rPr>
                <w:rFonts w:ascii="Arial" w:hAnsi="Arial" w:cs="Arial"/>
                <w:b/>
                <w:bCs/>
                <w:color w:val="2F2F2F"/>
                <w:sz w:val="20"/>
                <w:szCs w:val="20"/>
              </w:rPr>
            </w:pPr>
            <w:r w:rsidRPr="00D82FF8">
              <w:rPr>
                <w:rFonts w:ascii="Arial" w:hAnsi="Arial" w:cs="Arial"/>
                <w:color w:val="2F2F2F"/>
                <w:sz w:val="20"/>
                <w:szCs w:val="20"/>
              </w:rPr>
              <w:t>Apače, Beltinci, Benedikt, Bistrica ob Sotli, Bloke, Braslovče, Brežice, Cankova, Mestna občina Celje, Cerknica, Cerkvenjak, Cirkulane, Črenšovci, Črna na Koroškem, Črnomelj, Destrnik, Dobje, Dobrna, Dobrovnik, Dolenjske Toplice, Dornava, Dravograd, Duplek, Gorišnica, Gornja Radgona, Gornji Petrovci, Grad, Hajdina, Hoče – Slivnica, Hodoš, Ilirska Bistrica, Juršinci, Kidričevo, Kobilje, Kočevje, Kostanjevica na Krki, Kostel, Kozje, Križevci, Mestna občina Krško, Kungota, Kuzma, Laško, Lenart, Lendava, Ljutomer, Loška dolina, Loški Potok, Lovrenc na Pohorju, Majšperk, Makole, Mestna občina Maribor, Markovci, Metlika, Mežica, Miklavž na Dravskem polju, Mirna, Mirna Peč, Mislinja, Mokronog – Trebelno, Moravske Toplice, Mestna občina Murska Sobota, Muta, Mestna občina Novo mesto, Odranci, Oplotnica, Ormož, Osilnica, Pesnica, Pivka, Podčetrtek, Podlehnik, Podvelka, Poljčane, Polzela, Postojna, Prebold, Prevalje, Mestna občina Ptuj, Puconci, Rače – Fram, Radeče, Radenci, Radlje ob Dravi, Ravne na Koroškem, Razkrižje, Ribnica, Ribnica na Pohorju, Rogaška Slatina, Rogašovci, Rogatec, Ruše, Selnica ob Dravi, Semič, Sevnica, Mestna občina Slovenj Gradec, Slovenska Bistrica, Slovenske Konjice, Sodražica, Središče ob Dravi, Starše, Straža, Sveta Ana, Sveta trojica v Slovenskih goricah, Sveti Andraž v Slovenskih goricah, Sveti Jurij ob Ščavnici, Sveti Jurij v Slovenskih goricah, Sveti Tomaž, Šalovci, Šentilj, Šentjernej, Šentjur, Šentrupert, Škocjan, Šmarje pri Jelšah, Šmarješke Toplice, Štore, Tabor, Tišina, Trebnje, Trnovska vas, Turnišče, , Velika Polana, Veržej, Videm, Vitanje, Vojnik, Vransko, Vuzenica, Zavrč, Žalec, Žetale, Zreče, Žužemberk</w:t>
            </w:r>
            <w:r w:rsidRPr="00D82FF8">
              <w:rPr>
                <w:rFonts w:ascii="Arial" w:hAnsi="Arial" w:cs="Arial"/>
                <w:b/>
                <w:bCs/>
                <w:color w:val="2F2F2F"/>
                <w:sz w:val="20"/>
                <w:szCs w:val="20"/>
              </w:rPr>
              <w:t xml:space="preserve"> </w:t>
            </w:r>
          </w:p>
          <w:p w14:paraId="639D98E6" w14:textId="77777777" w:rsidR="00724FA5" w:rsidRPr="00D82FF8" w:rsidRDefault="00724FA5" w:rsidP="00724FA5">
            <w:pPr>
              <w:autoSpaceDE w:val="0"/>
              <w:autoSpaceDN w:val="0"/>
              <w:adjustRightInd w:val="0"/>
              <w:spacing w:after="0" w:line="260" w:lineRule="exact"/>
              <w:jc w:val="both"/>
              <w:rPr>
                <w:rFonts w:ascii="Arial" w:hAnsi="Arial" w:cs="Arial"/>
                <w:b/>
                <w:bCs/>
                <w:color w:val="2F2F2F"/>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2FFF8B45" w14:textId="77777777" w:rsidR="00D82FF8" w:rsidRPr="00D82FF8" w:rsidRDefault="00D82FF8" w:rsidP="00724FA5">
            <w:pPr>
              <w:autoSpaceDE w:val="0"/>
              <w:autoSpaceDN w:val="0"/>
              <w:adjustRightInd w:val="0"/>
              <w:spacing w:after="0" w:line="260" w:lineRule="exact"/>
              <w:jc w:val="center"/>
              <w:rPr>
                <w:rFonts w:ascii="Arial" w:hAnsi="Arial" w:cs="Arial"/>
                <w:color w:val="000000"/>
                <w:sz w:val="20"/>
                <w:szCs w:val="20"/>
              </w:rPr>
            </w:pPr>
            <w:r w:rsidRPr="00D82FF8">
              <w:rPr>
                <w:rFonts w:ascii="Arial" w:hAnsi="Arial" w:cs="Arial"/>
                <w:color w:val="000000"/>
                <w:sz w:val="20"/>
                <w:szCs w:val="20"/>
              </w:rPr>
              <w:t>30 %</w:t>
            </w:r>
          </w:p>
        </w:tc>
        <w:tc>
          <w:tcPr>
            <w:tcW w:w="1559" w:type="dxa"/>
            <w:tcBorders>
              <w:top w:val="single" w:sz="6" w:space="0" w:color="000000"/>
              <w:left w:val="single" w:sz="6" w:space="0" w:color="000000"/>
              <w:bottom w:val="single" w:sz="6" w:space="0" w:color="000000"/>
              <w:right w:val="single" w:sz="6" w:space="0" w:color="000000"/>
            </w:tcBorders>
          </w:tcPr>
          <w:p w14:paraId="798E9620" w14:textId="77777777" w:rsidR="00D82FF8" w:rsidRPr="00D82FF8" w:rsidRDefault="00D82FF8" w:rsidP="00724FA5">
            <w:pPr>
              <w:autoSpaceDE w:val="0"/>
              <w:autoSpaceDN w:val="0"/>
              <w:adjustRightInd w:val="0"/>
              <w:spacing w:after="0" w:line="260" w:lineRule="exact"/>
              <w:jc w:val="center"/>
              <w:rPr>
                <w:rFonts w:ascii="Arial" w:hAnsi="Arial" w:cs="Arial"/>
                <w:color w:val="000000"/>
                <w:sz w:val="20"/>
                <w:szCs w:val="20"/>
              </w:rPr>
            </w:pPr>
            <w:r w:rsidRPr="00D82FF8">
              <w:rPr>
                <w:rFonts w:ascii="Arial" w:hAnsi="Arial" w:cs="Arial"/>
                <w:color w:val="000000"/>
                <w:sz w:val="20"/>
                <w:szCs w:val="20"/>
              </w:rPr>
              <w:t>40 %</w:t>
            </w:r>
          </w:p>
        </w:tc>
        <w:tc>
          <w:tcPr>
            <w:tcW w:w="1560" w:type="dxa"/>
            <w:tcBorders>
              <w:top w:val="single" w:sz="6" w:space="0" w:color="000000"/>
              <w:left w:val="single" w:sz="6" w:space="0" w:color="000000"/>
              <w:bottom w:val="single" w:sz="6" w:space="0" w:color="000000"/>
              <w:right w:val="single" w:sz="6" w:space="0" w:color="000000"/>
            </w:tcBorders>
          </w:tcPr>
          <w:p w14:paraId="6E225570" w14:textId="77777777" w:rsidR="00D82FF8" w:rsidRPr="00D82FF8" w:rsidRDefault="00D82FF8" w:rsidP="00724FA5">
            <w:pPr>
              <w:autoSpaceDE w:val="0"/>
              <w:autoSpaceDN w:val="0"/>
              <w:adjustRightInd w:val="0"/>
              <w:spacing w:after="0" w:line="260" w:lineRule="exact"/>
              <w:jc w:val="center"/>
              <w:rPr>
                <w:rFonts w:ascii="Arial" w:hAnsi="Arial" w:cs="Arial"/>
                <w:color w:val="000000"/>
                <w:sz w:val="20"/>
                <w:szCs w:val="20"/>
              </w:rPr>
            </w:pPr>
            <w:r w:rsidRPr="00D82FF8">
              <w:rPr>
                <w:rFonts w:ascii="Arial" w:hAnsi="Arial" w:cs="Arial"/>
                <w:color w:val="000000"/>
                <w:sz w:val="20"/>
                <w:szCs w:val="20"/>
              </w:rPr>
              <w:t>50 %</w:t>
            </w:r>
          </w:p>
        </w:tc>
      </w:tr>
      <w:tr w:rsidR="00D82FF8" w:rsidRPr="00D82FF8" w14:paraId="484D5EEB" w14:textId="77777777" w:rsidTr="00724FA5">
        <w:tc>
          <w:tcPr>
            <w:tcW w:w="9209" w:type="dxa"/>
            <w:tcBorders>
              <w:top w:val="single" w:sz="6" w:space="0" w:color="000000"/>
              <w:left w:val="single" w:sz="6" w:space="0" w:color="000000"/>
              <w:bottom w:val="single" w:sz="6" w:space="0" w:color="000000"/>
              <w:right w:val="single" w:sz="6" w:space="0" w:color="000000"/>
            </w:tcBorders>
          </w:tcPr>
          <w:p w14:paraId="1D15E533" w14:textId="77777777" w:rsidR="00D82FF8" w:rsidRPr="00D82FF8" w:rsidRDefault="00D82FF8" w:rsidP="00724FA5">
            <w:pPr>
              <w:autoSpaceDE w:val="0"/>
              <w:autoSpaceDN w:val="0"/>
              <w:adjustRightInd w:val="0"/>
              <w:spacing w:after="0" w:line="260" w:lineRule="exact"/>
              <w:jc w:val="both"/>
              <w:rPr>
                <w:rFonts w:ascii="Arial" w:hAnsi="Arial" w:cs="Arial"/>
                <w:b/>
                <w:bCs/>
                <w:color w:val="000000"/>
                <w:sz w:val="20"/>
                <w:szCs w:val="20"/>
              </w:rPr>
            </w:pPr>
            <w:r w:rsidRPr="00D82FF8">
              <w:rPr>
                <w:rFonts w:ascii="Arial" w:hAnsi="Arial" w:cs="Arial"/>
                <w:color w:val="000000"/>
                <w:sz w:val="20"/>
                <w:szCs w:val="20"/>
              </w:rPr>
              <w:t xml:space="preserve">Za občine iz območja »a«, ki se nahajajo na območju Savinjsko-šaleške premogovne regije ter Zasavske premogovne regije </w:t>
            </w:r>
            <w:r w:rsidRPr="00D82FF8">
              <w:rPr>
                <w:rFonts w:ascii="Arial" w:hAnsi="Arial" w:cs="Arial"/>
                <w:b/>
                <w:bCs/>
                <w:color w:val="000000"/>
                <w:sz w:val="20"/>
                <w:szCs w:val="20"/>
              </w:rPr>
              <w:t>veljajo povečane stopnje intenzivnosti pomoči.</w:t>
            </w:r>
          </w:p>
          <w:p w14:paraId="6C068FD2" w14:textId="77777777" w:rsidR="00D82FF8" w:rsidRPr="00D82FF8" w:rsidRDefault="00D82FF8" w:rsidP="00724FA5">
            <w:pPr>
              <w:autoSpaceDE w:val="0"/>
              <w:autoSpaceDN w:val="0"/>
              <w:adjustRightInd w:val="0"/>
              <w:spacing w:after="0" w:line="260" w:lineRule="exact"/>
              <w:jc w:val="both"/>
              <w:rPr>
                <w:rFonts w:ascii="Arial" w:hAnsi="Arial" w:cs="Arial"/>
                <w:color w:val="000000"/>
                <w:sz w:val="20"/>
                <w:szCs w:val="20"/>
              </w:rPr>
            </w:pPr>
            <w:r w:rsidRPr="00D82FF8">
              <w:rPr>
                <w:rFonts w:ascii="Arial" w:hAnsi="Arial" w:cs="Arial"/>
                <w:color w:val="000000"/>
                <w:sz w:val="20"/>
                <w:szCs w:val="20"/>
              </w:rPr>
              <w:t>Na območju občin</w:t>
            </w:r>
            <w:r w:rsidRPr="00D82FF8">
              <w:rPr>
                <w:rFonts w:ascii="Arial" w:hAnsi="Arial" w:cs="Arial"/>
                <w:b/>
                <w:bCs/>
                <w:color w:val="000000"/>
                <w:sz w:val="20"/>
                <w:szCs w:val="20"/>
              </w:rPr>
              <w:t xml:space="preserve"> Savinjsko-šaleške premogovne regije, </w:t>
            </w:r>
            <w:r w:rsidRPr="00D82FF8">
              <w:rPr>
                <w:rFonts w:ascii="Arial" w:hAnsi="Arial" w:cs="Arial"/>
                <w:color w:val="000000"/>
                <w:sz w:val="20"/>
                <w:szCs w:val="20"/>
              </w:rPr>
              <w:t xml:space="preserve">kamor sodijo občine (10): Gornji Grad, Ljubno, Luče, Mozirje, Nazarje, Rečica ob Savinji, Solčava, Šmartno ob Paki, Šoštanj in Mestna občina Velenje  </w:t>
            </w:r>
          </w:p>
          <w:p w14:paraId="52C85144" w14:textId="77777777" w:rsidR="00D82FF8" w:rsidRDefault="00D82FF8" w:rsidP="00724FA5">
            <w:pPr>
              <w:autoSpaceDE w:val="0"/>
              <w:autoSpaceDN w:val="0"/>
              <w:adjustRightInd w:val="0"/>
              <w:spacing w:after="0" w:line="260" w:lineRule="exact"/>
              <w:jc w:val="both"/>
              <w:rPr>
                <w:rFonts w:ascii="Arial" w:hAnsi="Arial" w:cs="Arial"/>
                <w:color w:val="000000"/>
                <w:sz w:val="20"/>
                <w:szCs w:val="20"/>
              </w:rPr>
            </w:pPr>
            <w:r w:rsidRPr="00D82FF8">
              <w:rPr>
                <w:rFonts w:ascii="Arial" w:hAnsi="Arial" w:cs="Arial"/>
                <w:color w:val="000000"/>
                <w:sz w:val="20"/>
                <w:szCs w:val="20"/>
              </w:rPr>
              <w:t>Na območju</w:t>
            </w:r>
            <w:r w:rsidRPr="00D82FF8">
              <w:rPr>
                <w:rFonts w:ascii="Arial" w:hAnsi="Arial" w:cs="Arial"/>
                <w:b/>
                <w:bCs/>
                <w:color w:val="000000"/>
                <w:sz w:val="20"/>
                <w:szCs w:val="20"/>
              </w:rPr>
              <w:t xml:space="preserve"> Zasavske premogovne regije</w:t>
            </w:r>
            <w:r w:rsidRPr="00D82FF8">
              <w:rPr>
                <w:rFonts w:ascii="Arial" w:hAnsi="Arial" w:cs="Arial"/>
                <w:color w:val="000000"/>
                <w:sz w:val="20"/>
                <w:szCs w:val="20"/>
              </w:rPr>
              <w:t>, kamor sodijo občine (4): Hrastnik, Litija, Trbovlje in Zagorje ob Savi</w:t>
            </w:r>
          </w:p>
          <w:p w14:paraId="69E27FC8" w14:textId="77777777" w:rsidR="00724FA5" w:rsidRPr="00D82FF8" w:rsidRDefault="00724FA5" w:rsidP="00724FA5">
            <w:pPr>
              <w:autoSpaceDE w:val="0"/>
              <w:autoSpaceDN w:val="0"/>
              <w:adjustRightInd w:val="0"/>
              <w:spacing w:after="0" w:line="260" w:lineRule="exact"/>
              <w:jc w:val="both"/>
              <w:rPr>
                <w:rFonts w:ascii="Arial" w:hAnsi="Arial" w:cs="Arial"/>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314D12F1" w14:textId="77777777" w:rsidR="00D82FF8" w:rsidRPr="00D82FF8" w:rsidRDefault="00D82FF8" w:rsidP="00724FA5">
            <w:pPr>
              <w:autoSpaceDE w:val="0"/>
              <w:autoSpaceDN w:val="0"/>
              <w:adjustRightInd w:val="0"/>
              <w:spacing w:after="0" w:line="260" w:lineRule="exact"/>
              <w:jc w:val="center"/>
              <w:rPr>
                <w:rFonts w:ascii="Arial" w:hAnsi="Arial" w:cs="Arial"/>
                <w:color w:val="000000"/>
                <w:sz w:val="20"/>
                <w:szCs w:val="20"/>
              </w:rPr>
            </w:pPr>
            <w:r w:rsidRPr="00D82FF8">
              <w:rPr>
                <w:rFonts w:ascii="Arial" w:hAnsi="Arial" w:cs="Arial"/>
                <w:color w:val="000000"/>
                <w:sz w:val="20"/>
                <w:szCs w:val="20"/>
              </w:rPr>
              <w:lastRenderedPageBreak/>
              <w:t>40 %</w:t>
            </w:r>
          </w:p>
        </w:tc>
        <w:tc>
          <w:tcPr>
            <w:tcW w:w="1559" w:type="dxa"/>
            <w:tcBorders>
              <w:top w:val="single" w:sz="6" w:space="0" w:color="000000"/>
              <w:left w:val="single" w:sz="6" w:space="0" w:color="000000"/>
              <w:bottom w:val="single" w:sz="6" w:space="0" w:color="000000"/>
              <w:right w:val="single" w:sz="6" w:space="0" w:color="000000"/>
            </w:tcBorders>
          </w:tcPr>
          <w:p w14:paraId="74DC87FB" w14:textId="77777777" w:rsidR="00D82FF8" w:rsidRPr="00D82FF8" w:rsidRDefault="00D82FF8" w:rsidP="00724FA5">
            <w:pPr>
              <w:autoSpaceDE w:val="0"/>
              <w:autoSpaceDN w:val="0"/>
              <w:adjustRightInd w:val="0"/>
              <w:spacing w:after="0" w:line="260" w:lineRule="exact"/>
              <w:jc w:val="center"/>
              <w:rPr>
                <w:rFonts w:ascii="Arial" w:hAnsi="Arial" w:cs="Arial"/>
                <w:color w:val="000000"/>
                <w:sz w:val="20"/>
                <w:szCs w:val="20"/>
              </w:rPr>
            </w:pPr>
            <w:r w:rsidRPr="00D82FF8">
              <w:rPr>
                <w:rFonts w:ascii="Arial" w:hAnsi="Arial" w:cs="Arial"/>
                <w:color w:val="000000"/>
                <w:sz w:val="20"/>
                <w:szCs w:val="20"/>
              </w:rPr>
              <w:t>50 %</w:t>
            </w:r>
          </w:p>
        </w:tc>
        <w:tc>
          <w:tcPr>
            <w:tcW w:w="1560" w:type="dxa"/>
            <w:tcBorders>
              <w:top w:val="single" w:sz="6" w:space="0" w:color="000000"/>
              <w:left w:val="single" w:sz="6" w:space="0" w:color="000000"/>
              <w:bottom w:val="single" w:sz="6" w:space="0" w:color="000000"/>
              <w:right w:val="single" w:sz="6" w:space="0" w:color="000000"/>
            </w:tcBorders>
          </w:tcPr>
          <w:p w14:paraId="4B599F9E" w14:textId="77777777" w:rsidR="00D82FF8" w:rsidRPr="00D82FF8" w:rsidRDefault="00D82FF8" w:rsidP="00724FA5">
            <w:pPr>
              <w:autoSpaceDE w:val="0"/>
              <w:autoSpaceDN w:val="0"/>
              <w:adjustRightInd w:val="0"/>
              <w:spacing w:after="0" w:line="260" w:lineRule="exact"/>
              <w:jc w:val="center"/>
              <w:rPr>
                <w:rFonts w:ascii="Arial" w:hAnsi="Arial" w:cs="Arial"/>
                <w:color w:val="000000"/>
                <w:sz w:val="20"/>
                <w:szCs w:val="20"/>
              </w:rPr>
            </w:pPr>
            <w:r w:rsidRPr="00D82FF8">
              <w:rPr>
                <w:rFonts w:ascii="Arial" w:hAnsi="Arial" w:cs="Arial"/>
                <w:color w:val="000000"/>
                <w:sz w:val="20"/>
                <w:szCs w:val="20"/>
              </w:rPr>
              <w:t>60 %</w:t>
            </w:r>
          </w:p>
        </w:tc>
      </w:tr>
      <w:tr w:rsidR="00D82FF8" w:rsidRPr="00D82FF8" w14:paraId="13A6ACFE" w14:textId="77777777" w:rsidTr="00724FA5">
        <w:tc>
          <w:tcPr>
            <w:tcW w:w="9209" w:type="dxa"/>
            <w:tcBorders>
              <w:top w:val="single" w:sz="6" w:space="0" w:color="000000"/>
              <w:left w:val="single" w:sz="6" w:space="0" w:color="000000"/>
              <w:bottom w:val="single" w:sz="6" w:space="0" w:color="000000"/>
              <w:right w:val="single" w:sz="6" w:space="0" w:color="000000"/>
            </w:tcBorders>
          </w:tcPr>
          <w:p w14:paraId="5B3F3423" w14:textId="77777777" w:rsidR="00D82FF8" w:rsidRPr="00D82FF8" w:rsidRDefault="00D82FF8" w:rsidP="00724FA5">
            <w:pPr>
              <w:autoSpaceDE w:val="0"/>
              <w:autoSpaceDN w:val="0"/>
              <w:adjustRightInd w:val="0"/>
              <w:spacing w:after="0" w:line="260" w:lineRule="exact"/>
              <w:rPr>
                <w:rFonts w:ascii="Arial" w:hAnsi="Arial" w:cs="Arial"/>
                <w:color w:val="000000"/>
                <w:sz w:val="20"/>
                <w:szCs w:val="20"/>
              </w:rPr>
            </w:pPr>
            <w:r w:rsidRPr="00D82FF8">
              <w:rPr>
                <w:rFonts w:ascii="Arial" w:hAnsi="Arial" w:cs="Arial"/>
                <w:b/>
                <w:bCs/>
                <w:color w:val="2F2F2F"/>
                <w:sz w:val="20"/>
                <w:szCs w:val="20"/>
              </w:rPr>
              <w:t>Območje »c«</w:t>
            </w:r>
            <w:r w:rsidRPr="00D82FF8">
              <w:rPr>
                <w:rFonts w:ascii="Arial" w:hAnsi="Arial" w:cs="Arial"/>
                <w:color w:val="2F2F2F"/>
                <w:sz w:val="20"/>
                <w:szCs w:val="20"/>
              </w:rPr>
              <w:t xml:space="preserve"> - </w:t>
            </w:r>
            <w:r w:rsidRPr="00D82FF8">
              <w:rPr>
                <w:rFonts w:ascii="Arial" w:hAnsi="Arial" w:cs="Arial"/>
                <w:color w:val="000000"/>
                <w:sz w:val="20"/>
                <w:szCs w:val="20"/>
              </w:rPr>
              <w:t>del ozemlja teritorialne enote NUTS 2 SI04 Zahodna Slovenija, ki vključuje ozemlje teritorialne enote NUTS 3 SI044 obalno-kraška statistična regija, kamor sodijo naslednje občine (6):</w:t>
            </w:r>
          </w:p>
          <w:p w14:paraId="22C00998" w14:textId="77777777" w:rsidR="00D82FF8" w:rsidRPr="00D82FF8" w:rsidRDefault="00D82FF8" w:rsidP="00724FA5">
            <w:pPr>
              <w:autoSpaceDE w:val="0"/>
              <w:autoSpaceDN w:val="0"/>
              <w:adjustRightInd w:val="0"/>
              <w:spacing w:after="0" w:line="260" w:lineRule="exact"/>
              <w:rPr>
                <w:rFonts w:ascii="Arial" w:hAnsi="Arial" w:cs="Arial"/>
                <w:color w:val="000000"/>
                <w:sz w:val="20"/>
                <w:szCs w:val="20"/>
              </w:rPr>
            </w:pPr>
          </w:p>
          <w:p w14:paraId="3C3CCEC1" w14:textId="77777777" w:rsidR="00D82FF8" w:rsidRDefault="00D82FF8" w:rsidP="00724FA5">
            <w:pPr>
              <w:autoSpaceDE w:val="0"/>
              <w:autoSpaceDN w:val="0"/>
              <w:adjustRightInd w:val="0"/>
              <w:spacing w:after="0" w:line="260" w:lineRule="exact"/>
              <w:rPr>
                <w:rFonts w:ascii="Arial" w:hAnsi="Arial" w:cs="Arial"/>
                <w:color w:val="000000"/>
                <w:sz w:val="20"/>
                <w:szCs w:val="20"/>
              </w:rPr>
            </w:pPr>
            <w:r w:rsidRPr="00D82FF8">
              <w:rPr>
                <w:rFonts w:ascii="Arial" w:hAnsi="Arial" w:cs="Arial"/>
                <w:color w:val="000000"/>
                <w:sz w:val="20"/>
                <w:szCs w:val="20"/>
              </w:rPr>
              <w:t>Divača, Hrpelje – Kozina, Izola, Komen, Piran, Sežana</w:t>
            </w:r>
          </w:p>
          <w:p w14:paraId="03D4A758" w14:textId="77777777" w:rsidR="00724FA5" w:rsidRPr="00D82FF8" w:rsidRDefault="00724FA5" w:rsidP="00724FA5">
            <w:pPr>
              <w:autoSpaceDE w:val="0"/>
              <w:autoSpaceDN w:val="0"/>
              <w:adjustRightInd w:val="0"/>
              <w:spacing w:after="0" w:line="260" w:lineRule="exact"/>
              <w:rPr>
                <w:rFonts w:ascii="Arial" w:hAnsi="Arial" w:cs="Arial"/>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10249DA8" w14:textId="77777777" w:rsidR="00D82FF8" w:rsidRPr="00D82FF8" w:rsidRDefault="00D82FF8" w:rsidP="00724FA5">
            <w:pPr>
              <w:autoSpaceDE w:val="0"/>
              <w:autoSpaceDN w:val="0"/>
              <w:adjustRightInd w:val="0"/>
              <w:spacing w:after="0" w:line="260" w:lineRule="exact"/>
              <w:jc w:val="center"/>
              <w:rPr>
                <w:rFonts w:ascii="Arial" w:hAnsi="Arial" w:cs="Arial"/>
                <w:color w:val="000000"/>
                <w:sz w:val="20"/>
                <w:szCs w:val="20"/>
              </w:rPr>
            </w:pPr>
            <w:r w:rsidRPr="00D82FF8">
              <w:rPr>
                <w:rFonts w:ascii="Arial" w:hAnsi="Arial" w:cs="Arial"/>
                <w:color w:val="000000"/>
                <w:sz w:val="20"/>
                <w:szCs w:val="20"/>
              </w:rPr>
              <w:t>25 %</w:t>
            </w:r>
          </w:p>
        </w:tc>
        <w:tc>
          <w:tcPr>
            <w:tcW w:w="1559" w:type="dxa"/>
            <w:tcBorders>
              <w:top w:val="single" w:sz="6" w:space="0" w:color="000000"/>
              <w:left w:val="single" w:sz="6" w:space="0" w:color="000000"/>
              <w:bottom w:val="single" w:sz="6" w:space="0" w:color="000000"/>
              <w:right w:val="single" w:sz="6" w:space="0" w:color="000000"/>
            </w:tcBorders>
          </w:tcPr>
          <w:p w14:paraId="67C102D5" w14:textId="77777777" w:rsidR="00D82FF8" w:rsidRPr="00D82FF8" w:rsidRDefault="00D82FF8" w:rsidP="00724FA5">
            <w:pPr>
              <w:autoSpaceDE w:val="0"/>
              <w:autoSpaceDN w:val="0"/>
              <w:adjustRightInd w:val="0"/>
              <w:spacing w:after="0" w:line="260" w:lineRule="exact"/>
              <w:jc w:val="center"/>
              <w:rPr>
                <w:rFonts w:ascii="Arial" w:hAnsi="Arial" w:cs="Arial"/>
                <w:color w:val="000000"/>
                <w:sz w:val="20"/>
                <w:szCs w:val="20"/>
              </w:rPr>
            </w:pPr>
            <w:r w:rsidRPr="00D82FF8">
              <w:rPr>
                <w:rFonts w:ascii="Arial" w:hAnsi="Arial" w:cs="Arial"/>
                <w:color w:val="000000"/>
                <w:sz w:val="20"/>
                <w:szCs w:val="20"/>
              </w:rPr>
              <w:t>35 %</w:t>
            </w:r>
          </w:p>
        </w:tc>
        <w:tc>
          <w:tcPr>
            <w:tcW w:w="1560" w:type="dxa"/>
            <w:tcBorders>
              <w:top w:val="single" w:sz="6" w:space="0" w:color="000000"/>
              <w:left w:val="single" w:sz="6" w:space="0" w:color="000000"/>
              <w:bottom w:val="single" w:sz="6" w:space="0" w:color="000000"/>
              <w:right w:val="single" w:sz="6" w:space="0" w:color="000000"/>
            </w:tcBorders>
          </w:tcPr>
          <w:p w14:paraId="7296862F" w14:textId="77777777" w:rsidR="00D82FF8" w:rsidRPr="00D82FF8" w:rsidRDefault="00D82FF8" w:rsidP="00724FA5">
            <w:pPr>
              <w:autoSpaceDE w:val="0"/>
              <w:autoSpaceDN w:val="0"/>
              <w:adjustRightInd w:val="0"/>
              <w:spacing w:after="0" w:line="260" w:lineRule="exact"/>
              <w:jc w:val="center"/>
              <w:rPr>
                <w:rFonts w:ascii="Arial" w:hAnsi="Arial" w:cs="Arial"/>
                <w:color w:val="000000"/>
                <w:sz w:val="20"/>
                <w:szCs w:val="20"/>
              </w:rPr>
            </w:pPr>
            <w:r w:rsidRPr="00D82FF8">
              <w:rPr>
                <w:rFonts w:ascii="Arial" w:hAnsi="Arial" w:cs="Arial"/>
                <w:color w:val="000000"/>
                <w:sz w:val="20"/>
                <w:szCs w:val="20"/>
              </w:rPr>
              <w:t>45 %</w:t>
            </w:r>
          </w:p>
        </w:tc>
      </w:tr>
      <w:tr w:rsidR="00D82FF8" w:rsidRPr="00D82FF8" w14:paraId="349E3CCF" w14:textId="77777777" w:rsidTr="00724FA5">
        <w:tc>
          <w:tcPr>
            <w:tcW w:w="9209" w:type="dxa"/>
            <w:tcBorders>
              <w:top w:val="single" w:sz="6" w:space="0" w:color="000000"/>
              <w:left w:val="single" w:sz="6" w:space="0" w:color="000000"/>
              <w:bottom w:val="single" w:sz="6" w:space="0" w:color="000000"/>
              <w:right w:val="single" w:sz="6" w:space="0" w:color="000000"/>
            </w:tcBorders>
          </w:tcPr>
          <w:p w14:paraId="7C473FBF" w14:textId="77777777" w:rsidR="00D82FF8" w:rsidRPr="00D82FF8" w:rsidRDefault="00D82FF8" w:rsidP="00724FA5">
            <w:pPr>
              <w:autoSpaceDE w:val="0"/>
              <w:autoSpaceDN w:val="0"/>
              <w:adjustRightInd w:val="0"/>
              <w:spacing w:after="0" w:line="260" w:lineRule="exact"/>
              <w:rPr>
                <w:rFonts w:ascii="Arial" w:hAnsi="Arial" w:cs="Arial"/>
                <w:color w:val="000000"/>
                <w:sz w:val="20"/>
                <w:szCs w:val="20"/>
              </w:rPr>
            </w:pPr>
            <w:r w:rsidRPr="00D82FF8">
              <w:rPr>
                <w:rFonts w:ascii="Arial" w:hAnsi="Arial" w:cs="Arial"/>
                <w:b/>
                <w:bCs/>
                <w:color w:val="2F2F2F"/>
                <w:sz w:val="20"/>
                <w:szCs w:val="20"/>
              </w:rPr>
              <w:t>Območje »c«</w:t>
            </w:r>
            <w:r w:rsidRPr="00D82FF8">
              <w:rPr>
                <w:rFonts w:ascii="Arial" w:hAnsi="Arial" w:cs="Arial"/>
                <w:color w:val="2F2F2F"/>
                <w:sz w:val="20"/>
                <w:szCs w:val="20"/>
              </w:rPr>
              <w:t xml:space="preserve"> - </w:t>
            </w:r>
            <w:r w:rsidRPr="00D82FF8">
              <w:rPr>
                <w:rFonts w:ascii="Arial" w:hAnsi="Arial" w:cs="Arial"/>
                <w:color w:val="000000"/>
                <w:sz w:val="20"/>
                <w:szCs w:val="20"/>
              </w:rPr>
              <w:t>del ozemlja teritorialne enote NUTS 2 SI04 Zahodna Slovenija, ki vključuje:</w:t>
            </w:r>
          </w:p>
          <w:p w14:paraId="54657A6C" w14:textId="77777777" w:rsidR="00D82FF8" w:rsidRPr="00D82FF8" w:rsidRDefault="00D82FF8" w:rsidP="00724FA5">
            <w:pPr>
              <w:autoSpaceDE w:val="0"/>
              <w:autoSpaceDN w:val="0"/>
              <w:adjustRightInd w:val="0"/>
              <w:spacing w:after="0" w:line="260" w:lineRule="exact"/>
              <w:rPr>
                <w:rFonts w:ascii="Arial" w:hAnsi="Arial" w:cs="Arial"/>
                <w:color w:val="000000"/>
                <w:sz w:val="20"/>
                <w:szCs w:val="20"/>
              </w:rPr>
            </w:pPr>
          </w:p>
          <w:p w14:paraId="54165AC6" w14:textId="77777777" w:rsidR="00D82FF8" w:rsidRPr="00D82FF8" w:rsidRDefault="00D82FF8" w:rsidP="00724FA5">
            <w:pPr>
              <w:autoSpaceDE w:val="0"/>
              <w:autoSpaceDN w:val="0"/>
              <w:adjustRightInd w:val="0"/>
              <w:spacing w:after="0" w:line="260" w:lineRule="exact"/>
              <w:rPr>
                <w:rFonts w:ascii="Arial" w:hAnsi="Arial" w:cs="Arial"/>
                <w:color w:val="2F2F2F"/>
                <w:sz w:val="20"/>
                <w:szCs w:val="20"/>
              </w:rPr>
            </w:pPr>
            <w:r w:rsidRPr="00D82FF8">
              <w:rPr>
                <w:rFonts w:ascii="Arial" w:hAnsi="Arial" w:cs="Arial"/>
                <w:color w:val="000000"/>
                <w:sz w:val="20"/>
                <w:szCs w:val="20"/>
              </w:rPr>
              <w:t>- celotno ozemlje teritorialne enote NUTS 3 SI043 goriška statistična regija</w:t>
            </w:r>
            <w:r w:rsidRPr="00D82FF8">
              <w:rPr>
                <w:rFonts w:ascii="Arial" w:hAnsi="Arial" w:cs="Arial"/>
                <w:color w:val="2F2F2F"/>
                <w:sz w:val="20"/>
                <w:szCs w:val="20"/>
              </w:rPr>
              <w:t>, kamor sodijo naslednje občine (13):</w:t>
            </w:r>
          </w:p>
          <w:p w14:paraId="78A53A17" w14:textId="77777777" w:rsidR="00D82FF8" w:rsidRPr="00D82FF8" w:rsidRDefault="00D82FF8" w:rsidP="00724FA5">
            <w:pPr>
              <w:autoSpaceDE w:val="0"/>
              <w:autoSpaceDN w:val="0"/>
              <w:adjustRightInd w:val="0"/>
              <w:spacing w:after="0" w:line="260" w:lineRule="exact"/>
              <w:rPr>
                <w:rFonts w:ascii="Arial" w:hAnsi="Arial" w:cs="Arial"/>
                <w:color w:val="2F2F2F"/>
                <w:sz w:val="20"/>
                <w:szCs w:val="20"/>
              </w:rPr>
            </w:pPr>
          </w:p>
          <w:p w14:paraId="75B26E3A" w14:textId="77777777" w:rsidR="00D82FF8" w:rsidRPr="00D82FF8" w:rsidRDefault="00D82FF8" w:rsidP="00724FA5">
            <w:pPr>
              <w:autoSpaceDE w:val="0"/>
              <w:autoSpaceDN w:val="0"/>
              <w:adjustRightInd w:val="0"/>
              <w:spacing w:after="0" w:line="260" w:lineRule="exact"/>
              <w:rPr>
                <w:rFonts w:ascii="Arial" w:hAnsi="Arial" w:cs="Arial"/>
                <w:color w:val="000000"/>
                <w:sz w:val="20"/>
                <w:szCs w:val="20"/>
              </w:rPr>
            </w:pPr>
            <w:r w:rsidRPr="00D82FF8">
              <w:rPr>
                <w:rFonts w:ascii="Arial" w:hAnsi="Arial" w:cs="Arial"/>
                <w:color w:val="000000"/>
                <w:sz w:val="20"/>
                <w:szCs w:val="20"/>
              </w:rPr>
              <w:t>Ajdovščina, Bovec, Brda, Cerkno, Idrija, Kanal, Kobarid, Miren – Kostanjevica, Mestna občina Nova Gorica, Renče – Vogrsko, Šempeter – Vrtojba, Tolmin, Vipava</w:t>
            </w:r>
          </w:p>
          <w:p w14:paraId="593B9A3C" w14:textId="77777777" w:rsidR="00D82FF8" w:rsidRPr="00D82FF8" w:rsidRDefault="00D82FF8" w:rsidP="00724FA5">
            <w:pPr>
              <w:autoSpaceDE w:val="0"/>
              <w:autoSpaceDN w:val="0"/>
              <w:adjustRightInd w:val="0"/>
              <w:spacing w:after="0" w:line="260" w:lineRule="exact"/>
              <w:rPr>
                <w:rFonts w:ascii="Arial" w:hAnsi="Arial" w:cs="Arial"/>
                <w:color w:val="2F2F2F"/>
                <w:sz w:val="20"/>
                <w:szCs w:val="20"/>
              </w:rPr>
            </w:pPr>
            <w:r w:rsidRPr="00D82FF8">
              <w:rPr>
                <w:rFonts w:ascii="Arial" w:hAnsi="Arial" w:cs="Arial"/>
                <w:color w:val="2F2F2F"/>
                <w:sz w:val="20"/>
                <w:szCs w:val="20"/>
              </w:rPr>
              <w:t xml:space="preserve"> </w:t>
            </w:r>
          </w:p>
          <w:p w14:paraId="5E98D0AD" w14:textId="77777777" w:rsidR="00D82FF8" w:rsidRPr="00D82FF8" w:rsidRDefault="00D82FF8" w:rsidP="00724FA5">
            <w:pPr>
              <w:autoSpaceDE w:val="0"/>
              <w:autoSpaceDN w:val="0"/>
              <w:adjustRightInd w:val="0"/>
              <w:spacing w:after="0" w:line="260" w:lineRule="exact"/>
              <w:rPr>
                <w:rFonts w:ascii="Arial" w:hAnsi="Arial" w:cs="Arial"/>
                <w:color w:val="000000"/>
                <w:sz w:val="20"/>
                <w:szCs w:val="20"/>
              </w:rPr>
            </w:pPr>
            <w:r w:rsidRPr="00D82FF8">
              <w:rPr>
                <w:rFonts w:ascii="Arial" w:hAnsi="Arial" w:cs="Arial"/>
                <w:color w:val="000000"/>
                <w:sz w:val="20"/>
                <w:szCs w:val="20"/>
              </w:rPr>
              <w:t>- ozemlje teritorialne enote NUTS 3 SI042 gorenjska statistična regija, kamor sodijo naslednje občine (17):</w:t>
            </w:r>
          </w:p>
          <w:p w14:paraId="278A77BB" w14:textId="77777777" w:rsidR="00D82FF8" w:rsidRPr="00D82FF8" w:rsidRDefault="00D82FF8" w:rsidP="00724FA5">
            <w:pPr>
              <w:autoSpaceDE w:val="0"/>
              <w:autoSpaceDN w:val="0"/>
              <w:adjustRightInd w:val="0"/>
              <w:spacing w:after="0" w:line="260" w:lineRule="exact"/>
              <w:rPr>
                <w:rFonts w:ascii="Arial" w:hAnsi="Arial" w:cs="Arial"/>
                <w:color w:val="000000"/>
                <w:sz w:val="20"/>
                <w:szCs w:val="20"/>
              </w:rPr>
            </w:pPr>
          </w:p>
          <w:p w14:paraId="06201695" w14:textId="77777777" w:rsidR="00D82FF8" w:rsidRPr="00D82FF8" w:rsidRDefault="00D82FF8" w:rsidP="00724FA5">
            <w:pPr>
              <w:autoSpaceDE w:val="0"/>
              <w:autoSpaceDN w:val="0"/>
              <w:adjustRightInd w:val="0"/>
              <w:spacing w:after="0" w:line="260" w:lineRule="exact"/>
              <w:rPr>
                <w:rFonts w:ascii="Arial" w:hAnsi="Arial" w:cs="Arial"/>
                <w:color w:val="000000"/>
                <w:sz w:val="20"/>
                <w:szCs w:val="20"/>
              </w:rPr>
            </w:pPr>
            <w:r w:rsidRPr="00D82FF8">
              <w:rPr>
                <w:rFonts w:ascii="Arial" w:hAnsi="Arial" w:cs="Arial"/>
                <w:color w:val="000000"/>
                <w:sz w:val="20"/>
                <w:szCs w:val="20"/>
              </w:rPr>
              <w:t>Bled, Bohinj, Cerklje na Gorenjskem, Gorenja vas – Poljane, Gorje, Jesenice, Jezersko, Kranjska Gora, Naklo, Preddvor, Radovljica, Šenčur, Škofja Loka, Tržič, Železniki, Žiri, Žirovnica</w:t>
            </w:r>
          </w:p>
          <w:p w14:paraId="180EF6D9" w14:textId="77777777" w:rsidR="00D82FF8" w:rsidRPr="00D82FF8" w:rsidRDefault="00D82FF8" w:rsidP="00724FA5">
            <w:pPr>
              <w:autoSpaceDE w:val="0"/>
              <w:autoSpaceDN w:val="0"/>
              <w:adjustRightInd w:val="0"/>
              <w:spacing w:after="0" w:line="260" w:lineRule="exact"/>
              <w:rPr>
                <w:rFonts w:ascii="Arial" w:hAnsi="Arial" w:cs="Arial"/>
                <w:color w:val="2F2F2F"/>
                <w:sz w:val="20"/>
                <w:szCs w:val="20"/>
              </w:rPr>
            </w:pPr>
            <w:r w:rsidRPr="00D82FF8">
              <w:rPr>
                <w:rFonts w:ascii="Arial" w:hAnsi="Arial" w:cs="Arial"/>
                <w:color w:val="2F2F2F"/>
                <w:sz w:val="20"/>
                <w:szCs w:val="20"/>
              </w:rPr>
              <w:t xml:space="preserve"> </w:t>
            </w:r>
          </w:p>
          <w:p w14:paraId="11209676" w14:textId="77777777" w:rsidR="00D82FF8" w:rsidRPr="00D82FF8" w:rsidRDefault="00D82FF8" w:rsidP="00724FA5">
            <w:pPr>
              <w:autoSpaceDE w:val="0"/>
              <w:autoSpaceDN w:val="0"/>
              <w:adjustRightInd w:val="0"/>
              <w:spacing w:after="0" w:line="260" w:lineRule="exact"/>
              <w:rPr>
                <w:rFonts w:ascii="Arial" w:hAnsi="Arial" w:cs="Arial"/>
                <w:color w:val="000000"/>
                <w:sz w:val="20"/>
                <w:szCs w:val="20"/>
              </w:rPr>
            </w:pPr>
            <w:r w:rsidRPr="00D82FF8">
              <w:rPr>
                <w:rFonts w:ascii="Arial" w:hAnsi="Arial" w:cs="Arial"/>
                <w:color w:val="000000"/>
                <w:sz w:val="20"/>
                <w:szCs w:val="20"/>
              </w:rPr>
              <w:t>- ozemlje teritorialne enote NUTS 3 SI041 osrednjeslovenska statistična regija občine (5)</w:t>
            </w:r>
          </w:p>
          <w:p w14:paraId="2A38E61D" w14:textId="77777777" w:rsidR="00D82FF8" w:rsidRPr="00D82FF8" w:rsidRDefault="00D82FF8" w:rsidP="00724FA5">
            <w:pPr>
              <w:autoSpaceDE w:val="0"/>
              <w:autoSpaceDN w:val="0"/>
              <w:adjustRightInd w:val="0"/>
              <w:spacing w:after="0" w:line="260" w:lineRule="exact"/>
              <w:rPr>
                <w:rFonts w:ascii="Arial" w:hAnsi="Arial" w:cs="Arial"/>
                <w:color w:val="000000"/>
                <w:sz w:val="20"/>
                <w:szCs w:val="20"/>
              </w:rPr>
            </w:pPr>
          </w:p>
          <w:p w14:paraId="63E0B7AE" w14:textId="77777777" w:rsidR="00D82FF8" w:rsidRDefault="00D82FF8" w:rsidP="00724FA5">
            <w:pPr>
              <w:autoSpaceDE w:val="0"/>
              <w:autoSpaceDN w:val="0"/>
              <w:adjustRightInd w:val="0"/>
              <w:spacing w:after="0" w:line="260" w:lineRule="exact"/>
              <w:rPr>
                <w:rFonts w:ascii="Arial" w:hAnsi="Arial" w:cs="Arial"/>
                <w:color w:val="000000"/>
                <w:sz w:val="20"/>
                <w:szCs w:val="20"/>
              </w:rPr>
            </w:pPr>
            <w:r w:rsidRPr="00D82FF8">
              <w:rPr>
                <w:rFonts w:ascii="Arial" w:hAnsi="Arial" w:cs="Arial"/>
                <w:color w:val="000000"/>
                <w:sz w:val="20"/>
                <w:szCs w:val="20"/>
              </w:rPr>
              <w:t>Borovnica, Dobrepolje, Ig, Šmartno pri Litiji in Velike Lašče.</w:t>
            </w:r>
          </w:p>
          <w:p w14:paraId="3EF3838D" w14:textId="77777777" w:rsidR="00724FA5" w:rsidRPr="00D82FF8" w:rsidRDefault="00724FA5" w:rsidP="00724FA5">
            <w:pPr>
              <w:autoSpaceDE w:val="0"/>
              <w:autoSpaceDN w:val="0"/>
              <w:adjustRightInd w:val="0"/>
              <w:spacing w:after="0" w:line="260" w:lineRule="exact"/>
              <w:rPr>
                <w:rFonts w:ascii="Arial" w:hAnsi="Arial" w:cs="Arial"/>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1F0A7CEF" w14:textId="77777777" w:rsidR="00D82FF8" w:rsidRPr="00D82FF8" w:rsidRDefault="00D82FF8" w:rsidP="00724FA5">
            <w:pPr>
              <w:autoSpaceDE w:val="0"/>
              <w:autoSpaceDN w:val="0"/>
              <w:adjustRightInd w:val="0"/>
              <w:spacing w:after="0" w:line="260" w:lineRule="exact"/>
              <w:jc w:val="center"/>
              <w:rPr>
                <w:rFonts w:ascii="Arial" w:hAnsi="Arial" w:cs="Arial"/>
                <w:color w:val="000000"/>
                <w:sz w:val="20"/>
                <w:szCs w:val="20"/>
              </w:rPr>
            </w:pPr>
            <w:r w:rsidRPr="00D82FF8">
              <w:rPr>
                <w:rFonts w:ascii="Arial" w:hAnsi="Arial" w:cs="Arial"/>
                <w:color w:val="000000"/>
                <w:sz w:val="20"/>
                <w:szCs w:val="20"/>
              </w:rPr>
              <w:t>15 %</w:t>
            </w:r>
          </w:p>
        </w:tc>
        <w:tc>
          <w:tcPr>
            <w:tcW w:w="1559" w:type="dxa"/>
            <w:tcBorders>
              <w:top w:val="single" w:sz="6" w:space="0" w:color="000000"/>
              <w:left w:val="single" w:sz="6" w:space="0" w:color="000000"/>
              <w:bottom w:val="single" w:sz="6" w:space="0" w:color="000000"/>
              <w:right w:val="single" w:sz="6" w:space="0" w:color="000000"/>
            </w:tcBorders>
          </w:tcPr>
          <w:p w14:paraId="7067A5F4" w14:textId="77777777" w:rsidR="00D82FF8" w:rsidRPr="00D82FF8" w:rsidRDefault="00D82FF8" w:rsidP="00724FA5">
            <w:pPr>
              <w:autoSpaceDE w:val="0"/>
              <w:autoSpaceDN w:val="0"/>
              <w:adjustRightInd w:val="0"/>
              <w:spacing w:after="0" w:line="260" w:lineRule="exact"/>
              <w:jc w:val="center"/>
              <w:rPr>
                <w:rFonts w:ascii="Arial" w:hAnsi="Arial" w:cs="Arial"/>
                <w:color w:val="000000"/>
                <w:sz w:val="20"/>
                <w:szCs w:val="20"/>
              </w:rPr>
            </w:pPr>
            <w:r w:rsidRPr="00D82FF8">
              <w:rPr>
                <w:rFonts w:ascii="Arial" w:hAnsi="Arial" w:cs="Arial"/>
                <w:color w:val="000000"/>
                <w:sz w:val="20"/>
                <w:szCs w:val="20"/>
              </w:rPr>
              <w:t>25 %</w:t>
            </w:r>
          </w:p>
        </w:tc>
        <w:tc>
          <w:tcPr>
            <w:tcW w:w="1560" w:type="dxa"/>
            <w:tcBorders>
              <w:top w:val="single" w:sz="6" w:space="0" w:color="000000"/>
              <w:left w:val="single" w:sz="6" w:space="0" w:color="000000"/>
              <w:bottom w:val="single" w:sz="6" w:space="0" w:color="000000"/>
              <w:right w:val="single" w:sz="6" w:space="0" w:color="000000"/>
            </w:tcBorders>
          </w:tcPr>
          <w:p w14:paraId="53566645" w14:textId="77777777" w:rsidR="00D82FF8" w:rsidRPr="00D82FF8" w:rsidRDefault="00D82FF8" w:rsidP="00724FA5">
            <w:pPr>
              <w:autoSpaceDE w:val="0"/>
              <w:autoSpaceDN w:val="0"/>
              <w:adjustRightInd w:val="0"/>
              <w:spacing w:after="0" w:line="260" w:lineRule="exact"/>
              <w:jc w:val="center"/>
              <w:rPr>
                <w:rFonts w:ascii="Arial" w:hAnsi="Arial" w:cs="Arial"/>
                <w:color w:val="000000"/>
                <w:sz w:val="20"/>
                <w:szCs w:val="20"/>
              </w:rPr>
            </w:pPr>
            <w:r w:rsidRPr="00D82FF8">
              <w:rPr>
                <w:rFonts w:ascii="Arial" w:hAnsi="Arial" w:cs="Arial"/>
                <w:color w:val="000000"/>
                <w:sz w:val="20"/>
                <w:szCs w:val="20"/>
              </w:rPr>
              <w:t>35 %</w:t>
            </w:r>
          </w:p>
        </w:tc>
      </w:tr>
      <w:tr w:rsidR="00D82FF8" w:rsidRPr="00D82FF8" w14:paraId="669E0497" w14:textId="77777777" w:rsidTr="00724FA5">
        <w:tc>
          <w:tcPr>
            <w:tcW w:w="9209" w:type="dxa"/>
            <w:tcBorders>
              <w:top w:val="single" w:sz="6" w:space="0" w:color="000000"/>
              <w:left w:val="single" w:sz="6" w:space="0" w:color="000000"/>
              <w:bottom w:val="single" w:sz="6" w:space="0" w:color="000000"/>
              <w:right w:val="single" w:sz="6" w:space="0" w:color="000000"/>
            </w:tcBorders>
          </w:tcPr>
          <w:p w14:paraId="358F9F93" w14:textId="77777777" w:rsidR="00D82FF8" w:rsidRPr="00724FA5" w:rsidRDefault="00D82FF8" w:rsidP="00724FA5">
            <w:pPr>
              <w:autoSpaceDE w:val="0"/>
              <w:autoSpaceDN w:val="0"/>
              <w:adjustRightInd w:val="0"/>
              <w:spacing w:after="0" w:line="260" w:lineRule="exact"/>
              <w:rPr>
                <w:rFonts w:ascii="Arial" w:hAnsi="Arial" w:cs="Arial"/>
                <w:b/>
                <w:color w:val="000000"/>
                <w:sz w:val="20"/>
                <w:szCs w:val="20"/>
                <w:u w:val="single"/>
              </w:rPr>
            </w:pPr>
            <w:r w:rsidRPr="00724FA5">
              <w:rPr>
                <w:rFonts w:ascii="Arial" w:hAnsi="Arial" w:cs="Arial"/>
                <w:b/>
                <w:color w:val="000000"/>
                <w:sz w:val="20"/>
                <w:szCs w:val="20"/>
                <w:u w:val="single"/>
              </w:rPr>
              <w:t>Neupravičene občine (23)</w:t>
            </w:r>
          </w:p>
          <w:p w14:paraId="61E9A417" w14:textId="77777777" w:rsidR="00D82FF8" w:rsidRDefault="00D82FF8" w:rsidP="00724FA5">
            <w:pPr>
              <w:autoSpaceDE w:val="0"/>
              <w:autoSpaceDN w:val="0"/>
              <w:adjustRightInd w:val="0"/>
              <w:spacing w:after="0" w:line="260" w:lineRule="exact"/>
              <w:rPr>
                <w:rFonts w:ascii="Arial" w:hAnsi="Arial" w:cs="Arial"/>
                <w:color w:val="000000"/>
                <w:sz w:val="20"/>
                <w:szCs w:val="20"/>
              </w:rPr>
            </w:pPr>
            <w:r w:rsidRPr="00D82FF8">
              <w:rPr>
                <w:rFonts w:ascii="Arial" w:hAnsi="Arial" w:cs="Arial"/>
                <w:color w:val="000000"/>
                <w:sz w:val="20"/>
                <w:szCs w:val="20"/>
              </w:rPr>
              <w:t>Ankaran, Brezovica, Dobrova - Polhov Gradec, Dol pri Ljubljani, Domžale, Grosuplje, Horjul, Ivančna Gorica, Kamnik, Komenda, Mestna občina Koper, Mestna občina Kranj, Mestna občina Ljubljana, Log – Dragomer, Logatec, Lukovica, Medvode, Mengeš, Moravče, Škofljica, Trzin, Vodice, Vrhnika</w:t>
            </w:r>
          </w:p>
          <w:p w14:paraId="5B48F074" w14:textId="77777777" w:rsidR="00724FA5" w:rsidRPr="00D82FF8" w:rsidRDefault="00724FA5" w:rsidP="00724FA5">
            <w:pPr>
              <w:autoSpaceDE w:val="0"/>
              <w:autoSpaceDN w:val="0"/>
              <w:adjustRightInd w:val="0"/>
              <w:spacing w:after="0" w:line="260" w:lineRule="exact"/>
              <w:rPr>
                <w:rFonts w:ascii="Arial" w:hAnsi="Arial" w:cs="Arial"/>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183D73C6" w14:textId="77777777" w:rsidR="00D82FF8" w:rsidRPr="00D82FF8" w:rsidRDefault="00D82FF8" w:rsidP="00724FA5">
            <w:pPr>
              <w:autoSpaceDE w:val="0"/>
              <w:autoSpaceDN w:val="0"/>
              <w:adjustRightInd w:val="0"/>
              <w:spacing w:after="0" w:line="260" w:lineRule="exact"/>
              <w:jc w:val="center"/>
              <w:rPr>
                <w:rFonts w:ascii="Arial" w:hAnsi="Arial" w:cs="Arial"/>
                <w:color w:val="000000"/>
                <w:sz w:val="20"/>
                <w:szCs w:val="20"/>
              </w:rPr>
            </w:pPr>
            <w:r w:rsidRPr="00D82FF8">
              <w:rPr>
                <w:rFonts w:ascii="Arial" w:hAnsi="Arial" w:cs="Arial"/>
                <w:color w:val="000000"/>
                <w:sz w:val="20"/>
                <w:szCs w:val="20"/>
              </w:rPr>
              <w:t>0</w:t>
            </w:r>
          </w:p>
        </w:tc>
        <w:tc>
          <w:tcPr>
            <w:tcW w:w="1559" w:type="dxa"/>
            <w:tcBorders>
              <w:top w:val="single" w:sz="6" w:space="0" w:color="000000"/>
              <w:left w:val="single" w:sz="6" w:space="0" w:color="000000"/>
              <w:bottom w:val="single" w:sz="6" w:space="0" w:color="000000"/>
              <w:right w:val="single" w:sz="6" w:space="0" w:color="000000"/>
            </w:tcBorders>
          </w:tcPr>
          <w:p w14:paraId="088F4069" w14:textId="77777777" w:rsidR="00D82FF8" w:rsidRPr="00D82FF8" w:rsidRDefault="00D82FF8" w:rsidP="00724FA5">
            <w:pPr>
              <w:autoSpaceDE w:val="0"/>
              <w:autoSpaceDN w:val="0"/>
              <w:adjustRightInd w:val="0"/>
              <w:spacing w:after="0" w:line="260" w:lineRule="exact"/>
              <w:jc w:val="center"/>
              <w:rPr>
                <w:rFonts w:ascii="Arial" w:hAnsi="Arial" w:cs="Arial"/>
                <w:color w:val="000000"/>
                <w:sz w:val="20"/>
                <w:szCs w:val="20"/>
              </w:rPr>
            </w:pPr>
            <w:r w:rsidRPr="00D82FF8">
              <w:rPr>
                <w:rFonts w:ascii="Arial" w:hAnsi="Arial" w:cs="Arial"/>
                <w:color w:val="000000"/>
                <w:sz w:val="20"/>
                <w:szCs w:val="20"/>
              </w:rPr>
              <w:t>0</w:t>
            </w:r>
          </w:p>
        </w:tc>
        <w:tc>
          <w:tcPr>
            <w:tcW w:w="1560" w:type="dxa"/>
            <w:tcBorders>
              <w:top w:val="single" w:sz="6" w:space="0" w:color="000000"/>
              <w:left w:val="single" w:sz="6" w:space="0" w:color="000000"/>
              <w:bottom w:val="single" w:sz="6" w:space="0" w:color="000000"/>
              <w:right w:val="single" w:sz="6" w:space="0" w:color="000000"/>
            </w:tcBorders>
          </w:tcPr>
          <w:p w14:paraId="7AA6A893" w14:textId="77777777" w:rsidR="00D82FF8" w:rsidRPr="00D82FF8" w:rsidRDefault="00D82FF8" w:rsidP="00724FA5">
            <w:pPr>
              <w:autoSpaceDE w:val="0"/>
              <w:autoSpaceDN w:val="0"/>
              <w:adjustRightInd w:val="0"/>
              <w:spacing w:after="0" w:line="260" w:lineRule="exact"/>
              <w:jc w:val="center"/>
              <w:rPr>
                <w:rFonts w:ascii="Arial" w:hAnsi="Arial" w:cs="Arial"/>
                <w:color w:val="000000"/>
                <w:sz w:val="20"/>
                <w:szCs w:val="20"/>
              </w:rPr>
            </w:pPr>
            <w:r w:rsidRPr="00D82FF8">
              <w:rPr>
                <w:rFonts w:ascii="Arial" w:hAnsi="Arial" w:cs="Arial"/>
                <w:color w:val="000000"/>
                <w:sz w:val="20"/>
                <w:szCs w:val="20"/>
              </w:rPr>
              <w:t>0</w:t>
            </w:r>
          </w:p>
        </w:tc>
      </w:tr>
    </w:tbl>
    <w:p w14:paraId="5722F1FE" w14:textId="77777777" w:rsidR="008E6A38" w:rsidRDefault="008E6A38" w:rsidP="00724FA5">
      <w:pPr>
        <w:spacing w:after="0" w:line="260" w:lineRule="exact"/>
      </w:pPr>
    </w:p>
    <w:sectPr w:rsidR="008E6A38" w:rsidSect="00A2139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39D"/>
    <w:rsid w:val="00080605"/>
    <w:rsid w:val="001B6D1C"/>
    <w:rsid w:val="00724FA5"/>
    <w:rsid w:val="008E6A38"/>
    <w:rsid w:val="00A2139D"/>
    <w:rsid w:val="00BF6F43"/>
    <w:rsid w:val="00C073D9"/>
    <w:rsid w:val="00D82F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39190"/>
  <w15:chartTrackingRefBased/>
  <w15:docId w15:val="{2F636247-9F27-47C0-B0BB-391B5FAC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A2139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213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12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607</Words>
  <Characters>3464</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MKGP</dc:creator>
  <cp:keywords/>
  <dc:description/>
  <cp:lastModifiedBy>Svit Mal</cp:lastModifiedBy>
  <cp:revision>5</cp:revision>
  <cp:lastPrinted>2025-04-03T05:44:00Z</cp:lastPrinted>
  <dcterms:created xsi:type="dcterms:W3CDTF">2025-04-03T05:44:00Z</dcterms:created>
  <dcterms:modified xsi:type="dcterms:W3CDTF">2025-08-13T12:35:00Z</dcterms:modified>
</cp:coreProperties>
</file>