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1C8D" w14:textId="77777777" w:rsidR="00036E88" w:rsidRPr="00036E88" w:rsidRDefault="00036E88" w:rsidP="008E1543">
      <w:r w:rsidRPr="00036E88">
        <w:t>Ministrstvo za kmetijstvo, gozdarstvo in prehrano, Dunajska 22, 1000 Ljubljana (v nadaljnjem besedilu: ministrstvo), na podlagi:</w:t>
      </w:r>
    </w:p>
    <w:p w14:paraId="73A516E0" w14:textId="77777777" w:rsidR="00036E88" w:rsidRPr="00036E88" w:rsidRDefault="00036E88" w:rsidP="008E1543">
      <w:pPr>
        <w:pStyle w:val="Odstavekseznama"/>
        <w:numPr>
          <w:ilvl w:val="0"/>
          <w:numId w:val="8"/>
        </w:numPr>
      </w:pPr>
      <w:r w:rsidRPr="00036E88">
        <w:t xml:space="preserve">Uredbe o pomoči ob nepredvidljivih dogodkih v kmetijstvu (Uradni list RS, št. 45/14, 65/14, 32/15, 84/15, 3/17, 4/17 – </w:t>
      </w:r>
      <w:proofErr w:type="spellStart"/>
      <w:r w:rsidRPr="00036E88">
        <w:t>popr</w:t>
      </w:r>
      <w:proofErr w:type="spellEnd"/>
      <w:r w:rsidRPr="00036E88">
        <w:t xml:space="preserve">., 30/19 in 61/21; v nadaljnjem besedilu: Uredba); </w:t>
      </w:r>
    </w:p>
    <w:p w14:paraId="1F6B7E6C" w14:textId="500E2FCF" w:rsidR="00036E88" w:rsidRPr="00036E88" w:rsidRDefault="00036E88" w:rsidP="008E1543">
      <w:pPr>
        <w:pStyle w:val="Odstavekseznama"/>
        <w:numPr>
          <w:ilvl w:val="0"/>
          <w:numId w:val="8"/>
        </w:numPr>
      </w:pPr>
      <w:r w:rsidRPr="008E1543">
        <w:rPr>
          <w:rFonts w:cs="Times New Roman"/>
          <w:szCs w:val="24"/>
        </w:rPr>
        <w:t xml:space="preserve">Zakona </w:t>
      </w:r>
      <w:r w:rsidR="00AC1549" w:rsidRPr="008E1543">
        <w:rPr>
          <w:rFonts w:cs="Times New Roman"/>
          <w:szCs w:val="24"/>
        </w:rPr>
        <w:t xml:space="preserve">o kmetijstvu (Uradni list RS, št. 45/08, 57/12, 90/12 – </w:t>
      </w:r>
      <w:proofErr w:type="spellStart"/>
      <w:r w:rsidR="00AC1549" w:rsidRPr="008E1543">
        <w:rPr>
          <w:rFonts w:cs="Times New Roman"/>
          <w:szCs w:val="24"/>
        </w:rPr>
        <w:t>ZdZPVHVVR</w:t>
      </w:r>
      <w:proofErr w:type="spellEnd"/>
      <w:r w:rsidR="00AC1549" w:rsidRPr="008E1543">
        <w:rPr>
          <w:rFonts w:cs="Times New Roman"/>
          <w:szCs w:val="24"/>
        </w:rPr>
        <w:t xml:space="preserve">, 26/14, 32/15, 27/17, 22/18, 86/21 – </w:t>
      </w:r>
      <w:proofErr w:type="spellStart"/>
      <w:r w:rsidR="00AC1549" w:rsidRPr="008E1543">
        <w:rPr>
          <w:rFonts w:cs="Times New Roman"/>
          <w:szCs w:val="24"/>
        </w:rPr>
        <w:t>odl</w:t>
      </w:r>
      <w:proofErr w:type="spellEnd"/>
      <w:r w:rsidR="00AC1549" w:rsidRPr="008E1543">
        <w:rPr>
          <w:rFonts w:cs="Times New Roman"/>
          <w:szCs w:val="24"/>
        </w:rPr>
        <w:t>. US, 123/21, 44/22, 130/22 – ZPOmK-2, 18/23 in 78/23</w:t>
      </w:r>
      <w:r w:rsidR="00511BC0" w:rsidRPr="008E1543">
        <w:rPr>
          <w:rFonts w:cs="Times New Roman"/>
          <w:szCs w:val="24"/>
        </w:rPr>
        <w:t>), (</w:t>
      </w:r>
      <w:r w:rsidRPr="00036E88">
        <w:rPr>
          <w:lang w:eastAsia="sl-SI"/>
        </w:rPr>
        <w:t>v nadaljnjem besedilu: Zakon o kmetijstvu);</w:t>
      </w:r>
    </w:p>
    <w:p w14:paraId="48BD92DB" w14:textId="3A64DBDC" w:rsidR="00036E88" w:rsidRPr="008E1543" w:rsidRDefault="00CF49E6" w:rsidP="008E1543">
      <w:pPr>
        <w:pStyle w:val="Odstavekseznama"/>
        <w:numPr>
          <w:ilvl w:val="0"/>
          <w:numId w:val="8"/>
        </w:numPr>
        <w:rPr>
          <w:lang w:eastAsia="sl-SI"/>
        </w:rPr>
      </w:pPr>
      <w:r w:rsidRPr="008E1543">
        <w:rPr>
          <w:szCs w:val="24"/>
        </w:rPr>
        <w:t>Uredb</w:t>
      </w:r>
      <w:r w:rsidR="00511BC0" w:rsidRPr="008E1543">
        <w:rPr>
          <w:szCs w:val="24"/>
        </w:rPr>
        <w:t>e Komisije (</w:t>
      </w:r>
      <w:r w:rsidR="008636D3" w:rsidRPr="008E1543">
        <w:rPr>
          <w:szCs w:val="24"/>
        </w:rPr>
        <w:t xml:space="preserve">(EU) št. 1408/2013 z dne 18. decembra 2013 o uporabi členov 107 in 108 Pogodbe o delovanju Evropske unije pri pomoči de </w:t>
      </w:r>
      <w:proofErr w:type="spellStart"/>
      <w:r w:rsidR="008636D3" w:rsidRPr="008E1543">
        <w:rPr>
          <w:szCs w:val="24"/>
        </w:rPr>
        <w:t>minimis</w:t>
      </w:r>
      <w:proofErr w:type="spellEnd"/>
      <w:r w:rsidR="008636D3" w:rsidRPr="008E1543">
        <w:rPr>
          <w:szCs w:val="24"/>
        </w:rPr>
        <w:t xml:space="preserve"> v kmetijskem sektorju (UL L št. 352 z dne 24. 12. 2013, str. 9), zadnjič spremenjena z Uredbo Komisije (EU) 2023/2391 z dne 4. oktobra 2023 o spremembi uredb (EU) št. 717/2014, (EU) št. 1407/2013, (EU) št. 1408/2013 in (EU) št. 360/2012 glede pomoči de </w:t>
      </w:r>
      <w:proofErr w:type="spellStart"/>
      <w:r w:rsidR="008636D3" w:rsidRPr="008E1543">
        <w:rPr>
          <w:szCs w:val="24"/>
        </w:rPr>
        <w:t>minimis</w:t>
      </w:r>
      <w:proofErr w:type="spellEnd"/>
      <w:r w:rsidR="008636D3" w:rsidRPr="008E1543">
        <w:rPr>
          <w:szCs w:val="24"/>
        </w:rPr>
        <w:t xml:space="preserve"> za predelavo in trženje ribiških proizvodov in proizvodov iz akvakulture ter Uredbe (EU) št. 717/2014 glede skupnega zneska pomoči de </w:t>
      </w:r>
      <w:proofErr w:type="spellStart"/>
      <w:r w:rsidR="008636D3" w:rsidRPr="008E1543">
        <w:rPr>
          <w:szCs w:val="24"/>
        </w:rPr>
        <w:t>minimis</w:t>
      </w:r>
      <w:proofErr w:type="spellEnd"/>
      <w:r w:rsidR="008636D3" w:rsidRPr="008E1543">
        <w:rPr>
          <w:szCs w:val="24"/>
        </w:rPr>
        <w:t xml:space="preserve">, dodeljene enemu podjetju, obdobja njene uporabe in drugih zadev (UL L št. 2023/2391 z dne 5. 10. 2023; </w:t>
      </w:r>
      <w:r w:rsidRPr="008E1543">
        <w:rPr>
          <w:szCs w:val="24"/>
        </w:rPr>
        <w:t xml:space="preserve">v nadaljnjem besedilu: Uredba 1408/2013/EU), </w:t>
      </w:r>
      <w:r w:rsidR="00036E88" w:rsidRPr="00036E88">
        <w:rPr>
          <w:lang w:eastAsia="sl-SI"/>
        </w:rPr>
        <w:t>objavlja</w:t>
      </w:r>
    </w:p>
    <w:p w14:paraId="4326CB2C" w14:textId="4EDBF123" w:rsidR="00036E88" w:rsidRPr="008E1543" w:rsidRDefault="00036E88" w:rsidP="0094213C">
      <w:pPr>
        <w:pStyle w:val="Naslov1"/>
        <w:jc w:val="center"/>
        <w:rPr>
          <w:rFonts w:eastAsia="Times New Roman"/>
        </w:rPr>
      </w:pPr>
      <w:r w:rsidRPr="00036E88">
        <w:rPr>
          <w:rFonts w:eastAsia="Times New Roman"/>
        </w:rPr>
        <w:t>JAVNI RAZPIS</w:t>
      </w:r>
      <w:r w:rsidR="008E1543">
        <w:rPr>
          <w:rFonts w:eastAsia="Times New Roman"/>
        </w:rPr>
        <w:t xml:space="preserve"> </w:t>
      </w:r>
      <w:r w:rsidRPr="00036E88">
        <w:rPr>
          <w:rFonts w:eastAsia="Times New Roman"/>
          <w:bCs/>
        </w:rPr>
        <w:t>za ukrep II: Finančna pomoč ob smrti, invalidnosti ali nezmožnosti za delo v letu 202</w:t>
      </w:r>
      <w:r w:rsidR="00AC1549">
        <w:rPr>
          <w:rFonts w:eastAsia="Times New Roman"/>
          <w:bCs/>
        </w:rPr>
        <w:t>4</w:t>
      </w:r>
    </w:p>
    <w:p w14:paraId="424D39F7" w14:textId="77777777" w:rsidR="00036E88" w:rsidRPr="00036E88" w:rsidRDefault="00036E88" w:rsidP="00B71FB1">
      <w:pPr>
        <w:spacing w:after="0" w:line="240" w:lineRule="auto"/>
        <w:rPr>
          <w:rFonts w:eastAsia="Times New Roman" w:cs="Arial"/>
          <w:b/>
          <w:bCs/>
          <w:szCs w:val="20"/>
        </w:rPr>
      </w:pPr>
    </w:p>
    <w:p w14:paraId="27B5908C" w14:textId="32432BEF" w:rsidR="00036E88" w:rsidRDefault="00036E88" w:rsidP="008E1543">
      <w:pPr>
        <w:pStyle w:val="Naslov2"/>
        <w:numPr>
          <w:ilvl w:val="0"/>
          <w:numId w:val="11"/>
        </w:numPr>
        <w:rPr>
          <w:rFonts w:eastAsia="Times New Roman"/>
        </w:rPr>
      </w:pPr>
      <w:r w:rsidRPr="00036E88">
        <w:rPr>
          <w:rFonts w:eastAsia="Times New Roman"/>
        </w:rPr>
        <w:t>OSNOVNI PODATKI O JAVNEM RAZPISU</w:t>
      </w:r>
    </w:p>
    <w:p w14:paraId="55F93FB2" w14:textId="77777777" w:rsidR="006617B5" w:rsidRPr="006617B5" w:rsidRDefault="006617B5" w:rsidP="006617B5"/>
    <w:tbl>
      <w:tblPr>
        <w:tblStyle w:val="Tabelamrea"/>
        <w:tblW w:w="0" w:type="auto"/>
        <w:tblLook w:val="04A0" w:firstRow="1" w:lastRow="0" w:firstColumn="1" w:lastColumn="0" w:noHBand="0" w:noVBand="1"/>
      </w:tblPr>
      <w:tblGrid>
        <w:gridCol w:w="2624"/>
        <w:gridCol w:w="5864"/>
      </w:tblGrid>
      <w:tr w:rsidR="00036E88" w:rsidRPr="00036E88" w14:paraId="4484B320" w14:textId="77777777" w:rsidTr="008E1543">
        <w:tc>
          <w:tcPr>
            <w:tcW w:w="2660" w:type="dxa"/>
          </w:tcPr>
          <w:p w14:paraId="7B772033" w14:textId="77777777" w:rsidR="00036E88" w:rsidRPr="00036E88" w:rsidRDefault="00036E88" w:rsidP="008E1543">
            <w:pPr>
              <w:rPr>
                <w:rFonts w:eastAsia="Times New Roman" w:cs="Arial"/>
                <w:szCs w:val="20"/>
              </w:rPr>
            </w:pPr>
            <w:r w:rsidRPr="00036E88">
              <w:rPr>
                <w:rFonts w:eastAsia="Times New Roman" w:cs="Arial"/>
                <w:b/>
                <w:bCs/>
                <w:szCs w:val="20"/>
              </w:rPr>
              <w:t>Predmet javnega razpisa:</w:t>
            </w:r>
          </w:p>
        </w:tc>
        <w:tc>
          <w:tcPr>
            <w:tcW w:w="5978" w:type="dxa"/>
          </w:tcPr>
          <w:p w14:paraId="241B4076" w14:textId="713AAB05" w:rsidR="00036E88" w:rsidRPr="00036E88" w:rsidRDefault="00036E88" w:rsidP="008E1543">
            <w:pPr>
              <w:rPr>
                <w:rFonts w:eastAsia="Times New Roman" w:cs="Arial"/>
                <w:szCs w:val="20"/>
              </w:rPr>
            </w:pPr>
            <w:r w:rsidRPr="00036E88">
              <w:rPr>
                <w:rFonts w:eastAsia="Times New Roman" w:cs="Arial"/>
                <w:bCs/>
                <w:szCs w:val="20"/>
              </w:rPr>
              <w:t xml:space="preserve">Predmet </w:t>
            </w:r>
            <w:bookmarkStart w:id="0" w:name="_Hlk158880779"/>
            <w:r w:rsidRPr="00036E88">
              <w:rPr>
                <w:rFonts w:eastAsia="Times New Roman" w:cs="Arial"/>
                <w:bCs/>
                <w:szCs w:val="20"/>
              </w:rPr>
              <w:t xml:space="preserve">javnega razpisa </w:t>
            </w:r>
            <w:r w:rsidRPr="00036E88">
              <w:rPr>
                <w:rFonts w:eastAsia="Times New Roman" w:cs="Arial"/>
                <w:szCs w:val="24"/>
              </w:rPr>
              <w:t xml:space="preserve">za ukrep II: </w:t>
            </w:r>
            <w:r w:rsidRPr="00036E88">
              <w:rPr>
                <w:rFonts w:eastAsia="Times New Roman" w:cs="Arial"/>
                <w:bCs/>
                <w:szCs w:val="24"/>
              </w:rPr>
              <w:t>Finančna pomoč ob smrti, invalidnosti ali nezmožnost za delo</w:t>
            </w:r>
            <w:r w:rsidRPr="00036E88">
              <w:rPr>
                <w:rFonts w:eastAsia="Times New Roman" w:cs="Arial"/>
                <w:szCs w:val="24"/>
              </w:rPr>
              <w:t xml:space="preserve"> v letu 202</w:t>
            </w:r>
            <w:r w:rsidR="00AC1549">
              <w:rPr>
                <w:rFonts w:eastAsia="Times New Roman" w:cs="Arial"/>
                <w:szCs w:val="24"/>
              </w:rPr>
              <w:t>4</w:t>
            </w:r>
            <w:r w:rsidRPr="00036E88">
              <w:rPr>
                <w:rFonts w:eastAsia="Times New Roman" w:cs="Arial"/>
                <w:szCs w:val="24"/>
              </w:rPr>
              <w:t xml:space="preserve"> </w:t>
            </w:r>
            <w:bookmarkEnd w:id="0"/>
            <w:r w:rsidRPr="00036E88">
              <w:rPr>
                <w:rFonts w:eastAsia="Times New Roman" w:cs="Arial"/>
                <w:szCs w:val="24"/>
              </w:rPr>
              <w:t xml:space="preserve">(v nadaljnjem besedilu: javni razpis) </w:t>
            </w:r>
            <w:r w:rsidRPr="00036E88">
              <w:rPr>
                <w:rFonts w:eastAsia="Times New Roman" w:cs="Arial"/>
                <w:bCs/>
                <w:szCs w:val="20"/>
              </w:rPr>
              <w:t>je finančna pomoč za blažitev poslabšanja ekonomskega položaja kmetijskih</w:t>
            </w:r>
            <w:r w:rsidRPr="00036E88">
              <w:rPr>
                <w:rFonts w:eastAsia="Times New Roman" w:cs="Arial"/>
                <w:szCs w:val="20"/>
              </w:rPr>
              <w:t xml:space="preserve"> gospodarstev, ki so organizirana kot kmetije, zaradi škodnega dogodka, ki prizadene nosilca ali člana kmetije.</w:t>
            </w:r>
          </w:p>
        </w:tc>
      </w:tr>
      <w:tr w:rsidR="00036E88" w:rsidRPr="00036E88" w14:paraId="71AAB332" w14:textId="77777777" w:rsidTr="008E1543">
        <w:tc>
          <w:tcPr>
            <w:tcW w:w="2660" w:type="dxa"/>
          </w:tcPr>
          <w:p w14:paraId="31D8BEAC" w14:textId="77777777" w:rsidR="00036E88" w:rsidRPr="00036E88" w:rsidRDefault="00036E88" w:rsidP="008E1543">
            <w:pPr>
              <w:rPr>
                <w:rFonts w:eastAsia="Times New Roman" w:cs="Arial"/>
                <w:szCs w:val="20"/>
              </w:rPr>
            </w:pPr>
            <w:r w:rsidRPr="00036E88">
              <w:rPr>
                <w:rFonts w:eastAsia="Times New Roman" w:cs="Arial"/>
                <w:b/>
                <w:bCs/>
                <w:szCs w:val="20"/>
              </w:rPr>
              <w:t>Razpisana sredstva:</w:t>
            </w:r>
          </w:p>
        </w:tc>
        <w:tc>
          <w:tcPr>
            <w:tcW w:w="5978" w:type="dxa"/>
          </w:tcPr>
          <w:p w14:paraId="6317A379" w14:textId="01FCD8D5" w:rsidR="00036E88" w:rsidRPr="00036E88" w:rsidRDefault="00036E88" w:rsidP="008E1543">
            <w:pPr>
              <w:rPr>
                <w:rFonts w:eastAsia="Times New Roman" w:cs="Arial"/>
                <w:iCs/>
                <w:szCs w:val="20"/>
              </w:rPr>
            </w:pPr>
            <w:r w:rsidRPr="00036E88">
              <w:rPr>
                <w:rFonts w:eastAsia="Times New Roman" w:cs="Arial"/>
                <w:szCs w:val="20"/>
              </w:rPr>
              <w:t xml:space="preserve">Višina nepovratnih sredstev, namenjenih za javni razpis, znaša </w:t>
            </w:r>
            <w:r w:rsidRPr="00BB6FC1">
              <w:rPr>
                <w:rFonts w:eastAsia="Times New Roman" w:cs="Arial"/>
                <w:szCs w:val="20"/>
              </w:rPr>
              <w:t xml:space="preserve">do </w:t>
            </w:r>
            <w:r w:rsidR="003D0583">
              <w:rPr>
                <w:rFonts w:eastAsia="Times New Roman" w:cs="Arial"/>
                <w:szCs w:val="20"/>
              </w:rPr>
              <w:t>6</w:t>
            </w:r>
            <w:r w:rsidR="00C51801">
              <w:rPr>
                <w:rFonts w:eastAsia="Times New Roman" w:cs="Arial"/>
                <w:szCs w:val="20"/>
              </w:rPr>
              <w:t>4</w:t>
            </w:r>
            <w:r w:rsidRPr="00BB6FC1">
              <w:rPr>
                <w:rFonts w:eastAsia="Times New Roman" w:cs="Arial"/>
                <w:szCs w:val="20"/>
              </w:rPr>
              <w:t>.</w:t>
            </w:r>
            <w:r w:rsidR="00C51801">
              <w:rPr>
                <w:rFonts w:eastAsia="Times New Roman" w:cs="Arial"/>
                <w:szCs w:val="20"/>
              </w:rPr>
              <w:t>8</w:t>
            </w:r>
            <w:r w:rsidRPr="00BB6FC1">
              <w:rPr>
                <w:rFonts w:eastAsia="Times New Roman" w:cs="Arial"/>
                <w:szCs w:val="20"/>
              </w:rPr>
              <w:t>00 eurov</w:t>
            </w:r>
            <w:r w:rsidRPr="00BB6FC1">
              <w:rPr>
                <w:rFonts w:eastAsia="Times New Roman" w:cs="Arial"/>
                <w:bCs/>
                <w:szCs w:val="20"/>
              </w:rPr>
              <w:t>.</w:t>
            </w:r>
            <w:r w:rsidRPr="00036E88">
              <w:rPr>
                <w:rFonts w:eastAsia="Times New Roman" w:cs="Arial"/>
                <w:iCs/>
                <w:szCs w:val="20"/>
              </w:rPr>
              <w:t xml:space="preserve"> </w:t>
            </w:r>
          </w:p>
          <w:p w14:paraId="1CE754BE" w14:textId="46880CCE" w:rsidR="00036E88" w:rsidRPr="00036E88" w:rsidRDefault="00036E88" w:rsidP="008E1543">
            <w:pPr>
              <w:rPr>
                <w:rFonts w:eastAsia="Times New Roman" w:cs="Arial"/>
                <w:iCs/>
                <w:szCs w:val="20"/>
              </w:rPr>
            </w:pPr>
            <w:r w:rsidRPr="00036E88">
              <w:rPr>
                <w:rFonts w:eastAsia="Times New Roman" w:cs="Arial"/>
                <w:iCs/>
                <w:szCs w:val="20"/>
              </w:rPr>
              <w:t>Sredstva bremenijo proračunsko postavko 553810</w:t>
            </w:r>
            <w:r w:rsidRPr="00036E88">
              <w:rPr>
                <w:rFonts w:eastAsia="Times New Roman" w:cs="Arial"/>
                <w:bCs/>
                <w:iCs/>
                <w:szCs w:val="20"/>
              </w:rPr>
              <w:t xml:space="preserve"> </w:t>
            </w:r>
            <w:r w:rsidRPr="00036E88">
              <w:rPr>
                <w:rFonts w:eastAsia="Times New Roman" w:cs="Arial"/>
                <w:szCs w:val="20"/>
              </w:rPr>
              <w:t>– Program podpor za prestrukturiranje kmetijstva</w:t>
            </w:r>
            <w:r w:rsidRPr="00036E88">
              <w:rPr>
                <w:rFonts w:eastAsia="Times New Roman" w:cs="Arial"/>
                <w:bCs/>
                <w:iCs/>
                <w:szCs w:val="20"/>
              </w:rPr>
              <w:t xml:space="preserve"> na ministrstvu za leto 202</w:t>
            </w:r>
            <w:r w:rsidR="00AC1549">
              <w:rPr>
                <w:rFonts w:eastAsia="Times New Roman" w:cs="Arial"/>
                <w:bCs/>
                <w:iCs/>
                <w:szCs w:val="20"/>
              </w:rPr>
              <w:t>4</w:t>
            </w:r>
            <w:r w:rsidRPr="00036E88">
              <w:rPr>
                <w:rFonts w:eastAsia="Times New Roman" w:cs="Arial"/>
                <w:bCs/>
                <w:iCs/>
                <w:szCs w:val="20"/>
              </w:rPr>
              <w:t>, NRP 2330-21-5108 nepredvidljivi dogodki v kmetijstvu 2023 – 2027</w:t>
            </w:r>
          </w:p>
        </w:tc>
      </w:tr>
      <w:tr w:rsidR="00036E88" w:rsidRPr="00036E88" w14:paraId="58A7B524" w14:textId="77777777" w:rsidTr="008E1543">
        <w:tc>
          <w:tcPr>
            <w:tcW w:w="2660" w:type="dxa"/>
          </w:tcPr>
          <w:p w14:paraId="3CA96B84" w14:textId="77777777" w:rsidR="00036E88" w:rsidRPr="00036E88" w:rsidRDefault="00036E88" w:rsidP="008E1543">
            <w:pPr>
              <w:rPr>
                <w:rFonts w:eastAsia="Times New Roman" w:cs="Arial"/>
                <w:szCs w:val="20"/>
              </w:rPr>
            </w:pPr>
            <w:r w:rsidRPr="00036E88">
              <w:rPr>
                <w:rFonts w:eastAsia="Times New Roman" w:cs="Arial"/>
                <w:b/>
                <w:bCs/>
                <w:szCs w:val="20"/>
              </w:rPr>
              <w:t>Vrsta javnega razpisa:</w:t>
            </w:r>
          </w:p>
        </w:tc>
        <w:tc>
          <w:tcPr>
            <w:tcW w:w="5978" w:type="dxa"/>
          </w:tcPr>
          <w:p w14:paraId="4A8E8596" w14:textId="77777777" w:rsidR="00036E88" w:rsidRPr="00036E88" w:rsidRDefault="00036E88" w:rsidP="008E1543">
            <w:pPr>
              <w:rPr>
                <w:rFonts w:eastAsia="Times New Roman" w:cs="Arial"/>
                <w:bCs/>
                <w:szCs w:val="20"/>
              </w:rPr>
            </w:pPr>
            <w:r w:rsidRPr="00036E88">
              <w:rPr>
                <w:rFonts w:eastAsia="Times New Roman" w:cs="Arial"/>
                <w:bCs/>
                <w:szCs w:val="20"/>
              </w:rPr>
              <w:t>ODPRTI</w:t>
            </w:r>
          </w:p>
        </w:tc>
      </w:tr>
      <w:tr w:rsidR="00036E88" w:rsidRPr="00036E88" w14:paraId="0392F90C" w14:textId="77777777" w:rsidTr="008E1543">
        <w:tc>
          <w:tcPr>
            <w:tcW w:w="2660" w:type="dxa"/>
          </w:tcPr>
          <w:p w14:paraId="34DD0444" w14:textId="77777777" w:rsidR="00036E88" w:rsidRPr="00036E88" w:rsidRDefault="00036E88" w:rsidP="008E1543">
            <w:pPr>
              <w:rPr>
                <w:rFonts w:eastAsia="Times New Roman" w:cs="Arial"/>
                <w:b/>
                <w:bCs/>
                <w:szCs w:val="20"/>
              </w:rPr>
            </w:pPr>
            <w:r w:rsidRPr="00036E88">
              <w:rPr>
                <w:rFonts w:eastAsia="Times New Roman" w:cs="Arial"/>
                <w:b/>
                <w:bCs/>
                <w:szCs w:val="20"/>
              </w:rPr>
              <w:t>Začetek vlaganja vlog in zaključek javnega razpisa:</w:t>
            </w:r>
          </w:p>
        </w:tc>
        <w:tc>
          <w:tcPr>
            <w:tcW w:w="5978" w:type="dxa"/>
          </w:tcPr>
          <w:p w14:paraId="1DF9648B" w14:textId="470793CA" w:rsidR="00036E88" w:rsidRPr="00036E88" w:rsidRDefault="00036E88" w:rsidP="008E1543">
            <w:pPr>
              <w:rPr>
                <w:rFonts w:eastAsia="Times New Roman" w:cs="Arial"/>
                <w:szCs w:val="20"/>
              </w:rPr>
            </w:pPr>
            <w:r w:rsidRPr="00036E88">
              <w:rPr>
                <w:rFonts w:eastAsia="Times New Roman" w:cs="Arial"/>
                <w:szCs w:val="20"/>
              </w:rPr>
              <w:t>Vlaganje vlog na javni razpis se začne peti dan po objavi javnega razpisa v Uradnem listu Republike Slovenije in traja vse do zaprtja javnega razpisa, ki se objavi na osrednjem spletnem mestu državne uprave</w:t>
            </w:r>
            <w:r w:rsidR="0090420A">
              <w:rPr>
                <w:rFonts w:eastAsia="Times New Roman" w:cs="Arial"/>
                <w:szCs w:val="20"/>
              </w:rPr>
              <w:t>.</w:t>
            </w:r>
          </w:p>
        </w:tc>
      </w:tr>
      <w:tr w:rsidR="00036E88" w:rsidRPr="00036E88" w14:paraId="1CA69AC6" w14:textId="77777777" w:rsidTr="008E1543">
        <w:tc>
          <w:tcPr>
            <w:tcW w:w="2660" w:type="dxa"/>
          </w:tcPr>
          <w:p w14:paraId="3868FEF4" w14:textId="77777777" w:rsidR="00036E88" w:rsidRPr="00036E88" w:rsidRDefault="00036E88" w:rsidP="008E1543">
            <w:pPr>
              <w:rPr>
                <w:rFonts w:eastAsia="Times New Roman" w:cs="Arial"/>
                <w:b/>
                <w:bCs/>
                <w:szCs w:val="20"/>
              </w:rPr>
            </w:pPr>
            <w:r w:rsidRPr="00036E88">
              <w:rPr>
                <w:rFonts w:eastAsia="Times New Roman" w:cs="Arial"/>
                <w:b/>
                <w:bCs/>
                <w:szCs w:val="20"/>
              </w:rPr>
              <w:t>Informacije o javnem razpisu:</w:t>
            </w:r>
          </w:p>
        </w:tc>
        <w:tc>
          <w:tcPr>
            <w:tcW w:w="5978" w:type="dxa"/>
          </w:tcPr>
          <w:p w14:paraId="2F0995F5" w14:textId="4084CF4D" w:rsidR="00036E88" w:rsidRPr="00036E88" w:rsidRDefault="00036E88" w:rsidP="008E1543">
            <w:pPr>
              <w:rPr>
                <w:rFonts w:eastAsia="Times New Roman" w:cs="Arial"/>
                <w:bCs/>
                <w:iCs/>
                <w:szCs w:val="20"/>
              </w:rPr>
            </w:pPr>
            <w:r w:rsidRPr="00036E88">
              <w:rPr>
                <w:rFonts w:eastAsia="Times New Roman" w:cs="Arial"/>
                <w:b/>
                <w:bCs/>
                <w:szCs w:val="20"/>
              </w:rPr>
              <w:t>I</w:t>
            </w:r>
            <w:r w:rsidRPr="00036E88">
              <w:rPr>
                <w:rFonts w:eastAsia="Times New Roman" w:cs="Arial"/>
                <w:bCs/>
                <w:szCs w:val="20"/>
              </w:rPr>
              <w:t xml:space="preserve">NFO točka </w:t>
            </w:r>
            <w:r w:rsidRPr="00036E88">
              <w:rPr>
                <w:rFonts w:eastAsia="Times New Roman" w:cs="Arial"/>
                <w:bCs/>
                <w:iCs/>
                <w:szCs w:val="20"/>
              </w:rPr>
              <w:t xml:space="preserve">Agencije Republike Slovenije za kmetijske trge in razvoj podeželja, Dunajska 160, 1000 Ljubljana (v nadaljnjem besedilu: </w:t>
            </w:r>
            <w:r w:rsidR="00EB4EBF">
              <w:rPr>
                <w:rFonts w:eastAsia="Times New Roman" w:cs="Arial"/>
                <w:bCs/>
                <w:iCs/>
                <w:szCs w:val="20"/>
              </w:rPr>
              <w:t>a</w:t>
            </w:r>
            <w:r w:rsidRPr="00036E88">
              <w:rPr>
                <w:rFonts w:eastAsia="Times New Roman" w:cs="Arial"/>
                <w:bCs/>
                <w:iCs/>
                <w:szCs w:val="20"/>
              </w:rPr>
              <w:t>gencija)</w:t>
            </w:r>
          </w:p>
          <w:p w14:paraId="1DCA9E24" w14:textId="77777777" w:rsidR="00036E88" w:rsidRPr="00036E88" w:rsidRDefault="00036E88" w:rsidP="008E1543">
            <w:pPr>
              <w:rPr>
                <w:rFonts w:eastAsia="Times New Roman" w:cs="Arial"/>
                <w:bCs/>
                <w:iCs/>
                <w:szCs w:val="20"/>
              </w:rPr>
            </w:pPr>
            <w:r w:rsidRPr="00036E88">
              <w:rPr>
                <w:rFonts w:eastAsia="Times New Roman" w:cs="Arial"/>
                <w:bCs/>
                <w:iCs/>
                <w:szCs w:val="20"/>
              </w:rPr>
              <w:t xml:space="preserve">Elektronska pošta: </w:t>
            </w:r>
            <w:hyperlink r:id="rId11" w:history="1">
              <w:r w:rsidRPr="00036E88">
                <w:rPr>
                  <w:rFonts w:eastAsia="Times New Roman" w:cs="Arial"/>
                  <w:bCs/>
                  <w:iCs/>
                  <w:color w:val="0000FF"/>
                  <w:szCs w:val="20"/>
                  <w:u w:val="single"/>
                </w:rPr>
                <w:t>aktrp@gov.si</w:t>
              </w:r>
            </w:hyperlink>
          </w:p>
          <w:p w14:paraId="01217F28" w14:textId="77777777" w:rsidR="00036E88" w:rsidRPr="00036E88" w:rsidRDefault="00036E88" w:rsidP="008E1543">
            <w:pPr>
              <w:rPr>
                <w:rFonts w:eastAsia="Times New Roman" w:cs="Arial"/>
                <w:bCs/>
                <w:iCs/>
                <w:szCs w:val="20"/>
              </w:rPr>
            </w:pPr>
            <w:r w:rsidRPr="00036E88">
              <w:rPr>
                <w:rFonts w:eastAsia="Times New Roman" w:cs="Arial"/>
                <w:bCs/>
                <w:iCs/>
                <w:szCs w:val="20"/>
              </w:rPr>
              <w:t>tel. 01/580 7792</w:t>
            </w:r>
          </w:p>
          <w:p w14:paraId="7D17DE38" w14:textId="77777777" w:rsidR="00036E88" w:rsidRPr="00036E88" w:rsidRDefault="00036E88" w:rsidP="008E1543">
            <w:pPr>
              <w:rPr>
                <w:rFonts w:eastAsia="Times New Roman" w:cs="Arial"/>
                <w:bCs/>
                <w:iCs/>
                <w:szCs w:val="20"/>
              </w:rPr>
            </w:pPr>
            <w:r w:rsidRPr="00036E88">
              <w:rPr>
                <w:rFonts w:eastAsia="Times New Roman" w:cs="Arial"/>
                <w:bCs/>
                <w:iCs/>
                <w:szCs w:val="20"/>
              </w:rPr>
              <w:t>Uradne ure:</w:t>
            </w:r>
          </w:p>
          <w:p w14:paraId="17B50F7F" w14:textId="77777777" w:rsidR="00036E88" w:rsidRPr="00036E88" w:rsidRDefault="00036E88" w:rsidP="008E1543">
            <w:pPr>
              <w:rPr>
                <w:rFonts w:eastAsia="Times New Roman" w:cs="Arial"/>
                <w:bCs/>
                <w:iCs/>
                <w:szCs w:val="20"/>
              </w:rPr>
            </w:pPr>
            <w:r w:rsidRPr="00036E88">
              <w:rPr>
                <w:rFonts w:eastAsia="Times New Roman" w:cs="Arial"/>
                <w:bCs/>
                <w:iCs/>
                <w:szCs w:val="20"/>
              </w:rPr>
              <w:t xml:space="preserve">ponedeljek od 8.30 do 12.00 ure, </w:t>
            </w:r>
          </w:p>
          <w:p w14:paraId="1820319D" w14:textId="77777777" w:rsidR="00036E88" w:rsidRPr="00036E88" w:rsidRDefault="00036E88" w:rsidP="008E1543">
            <w:pPr>
              <w:rPr>
                <w:rFonts w:eastAsia="Times New Roman" w:cs="Arial"/>
                <w:bCs/>
                <w:iCs/>
                <w:szCs w:val="20"/>
              </w:rPr>
            </w:pPr>
            <w:r w:rsidRPr="00036E88">
              <w:rPr>
                <w:rFonts w:eastAsia="Times New Roman" w:cs="Arial"/>
                <w:bCs/>
                <w:iCs/>
                <w:szCs w:val="20"/>
              </w:rPr>
              <w:t xml:space="preserve">sreda 8.30 do 12.00 ure in od 13.00 do 15.00 ure, </w:t>
            </w:r>
          </w:p>
          <w:p w14:paraId="261C0989" w14:textId="77777777" w:rsidR="00036E88" w:rsidRPr="00036E88" w:rsidRDefault="00036E88" w:rsidP="008E1543">
            <w:pPr>
              <w:rPr>
                <w:rFonts w:eastAsia="Times New Roman" w:cs="Arial"/>
                <w:bCs/>
                <w:iCs/>
                <w:szCs w:val="20"/>
              </w:rPr>
            </w:pPr>
            <w:r w:rsidRPr="00036E88">
              <w:rPr>
                <w:rFonts w:eastAsia="Times New Roman" w:cs="Arial"/>
                <w:bCs/>
                <w:iCs/>
                <w:szCs w:val="20"/>
              </w:rPr>
              <w:t xml:space="preserve">petek od 8.30 do 12.00 ure. </w:t>
            </w:r>
          </w:p>
        </w:tc>
      </w:tr>
    </w:tbl>
    <w:p w14:paraId="392962E5" w14:textId="2781B820" w:rsidR="008E1543" w:rsidRPr="00036E88" w:rsidRDefault="00BA10FC" w:rsidP="00B71FB1">
      <w:pPr>
        <w:spacing w:after="0" w:line="240" w:lineRule="auto"/>
        <w:rPr>
          <w:rFonts w:eastAsia="Times New Roman" w:cs="Arial"/>
          <w:bCs/>
          <w:szCs w:val="20"/>
        </w:rPr>
      </w:pPr>
      <w:r>
        <w:rPr>
          <w:rFonts w:eastAsia="Times New Roman" w:cs="Arial"/>
          <w:bCs/>
          <w:szCs w:val="20"/>
        </w:rPr>
        <w:br w:type="page"/>
      </w:r>
    </w:p>
    <w:p w14:paraId="068D6B0D" w14:textId="3B6DBAFF" w:rsidR="008E1543" w:rsidRPr="008E1543" w:rsidRDefault="00036E88" w:rsidP="008E1543">
      <w:pPr>
        <w:pStyle w:val="Naslov2"/>
        <w:numPr>
          <w:ilvl w:val="0"/>
          <w:numId w:val="9"/>
        </w:numPr>
        <w:rPr>
          <w:rFonts w:eastAsia="Times New Roman"/>
        </w:rPr>
      </w:pPr>
      <w:r w:rsidRPr="008E1543">
        <w:rPr>
          <w:rFonts w:eastAsia="Times New Roman"/>
        </w:rPr>
        <w:lastRenderedPageBreak/>
        <w:t>PREDMET JAVNEGA RAZPISA</w:t>
      </w:r>
    </w:p>
    <w:p w14:paraId="465444E9" w14:textId="77777777" w:rsidR="008E1543" w:rsidRDefault="00036E88" w:rsidP="008E1543">
      <w:pPr>
        <w:pStyle w:val="Odstavekseznama"/>
        <w:numPr>
          <w:ilvl w:val="1"/>
          <w:numId w:val="9"/>
        </w:numPr>
      </w:pPr>
      <w:r w:rsidRPr="00036E88">
        <w:t>Predmet podpore javnega razpisa je v skladu s prvim odstavkom 9. člena Uredbe finančna pomoč za blažitev poslabšanja ekonomskega položaja kmetijskih gospodarstev, ki so organizirana kot kmetije, zaradi škodnega dogodka, ki prizadene nosilca ali člana kmetije.</w:t>
      </w:r>
    </w:p>
    <w:p w14:paraId="3BA62BC2" w14:textId="2B03A817" w:rsidR="00036E88" w:rsidRPr="00036E88" w:rsidRDefault="00036E88" w:rsidP="008E1543">
      <w:pPr>
        <w:pStyle w:val="Odstavekseznama"/>
        <w:numPr>
          <w:ilvl w:val="1"/>
          <w:numId w:val="9"/>
        </w:numPr>
      </w:pPr>
      <w:r w:rsidRPr="00036E88">
        <w:t>Za škodni dogodek iz prejšnje točke se v skladu z drugim odstavkom 9. člena Uredbe šteje:</w:t>
      </w:r>
    </w:p>
    <w:p w14:paraId="70E97835" w14:textId="77777777" w:rsidR="00036E88" w:rsidRPr="00036E88" w:rsidRDefault="00036E88" w:rsidP="008E1543">
      <w:pPr>
        <w:pStyle w:val="Odstavekseznama"/>
        <w:numPr>
          <w:ilvl w:val="0"/>
          <w:numId w:val="10"/>
        </w:numPr>
      </w:pPr>
      <w:r w:rsidRPr="00036E88">
        <w:t>smrt,</w:t>
      </w:r>
    </w:p>
    <w:p w14:paraId="47B57513" w14:textId="77777777" w:rsidR="00036E88" w:rsidRPr="00036E88" w:rsidRDefault="00036E88" w:rsidP="008E1543">
      <w:pPr>
        <w:pStyle w:val="Odstavekseznama"/>
        <w:numPr>
          <w:ilvl w:val="0"/>
          <w:numId w:val="10"/>
        </w:numPr>
        <w:rPr>
          <w:lang w:eastAsia="x-none"/>
        </w:rPr>
      </w:pPr>
      <w:r w:rsidRPr="00036E88">
        <w:t xml:space="preserve">l. ali </w:t>
      </w:r>
      <w:proofErr w:type="spellStart"/>
      <w:r w:rsidRPr="00036E88">
        <w:t>ll</w:t>
      </w:r>
      <w:proofErr w:type="spellEnd"/>
      <w:r w:rsidRPr="00036E88">
        <w:t>. kategorija invalidnosti nosilca ali člana kmetije, kot ju določa predpis, ki ureja pokojninsko in invalidsko zavarovanje ali</w:t>
      </w:r>
    </w:p>
    <w:p w14:paraId="1759426E" w14:textId="77777777" w:rsidR="00036E88" w:rsidRPr="00036E88" w:rsidRDefault="00036E88" w:rsidP="008E1543">
      <w:pPr>
        <w:pStyle w:val="Odstavekseznama"/>
        <w:numPr>
          <w:ilvl w:val="0"/>
          <w:numId w:val="10"/>
        </w:numPr>
      </w:pPr>
      <w:r w:rsidRPr="00036E88">
        <w:rPr>
          <w:lang w:eastAsia="x-none"/>
        </w:rPr>
        <w:t>večmesečna neprekinjena nezmožnost za delo nosilca ali člana kmetije, ugotovljena v skladu s predpisom, ki ureja zdravstveno varstvo in zdravstveno zavarovanje.</w:t>
      </w:r>
    </w:p>
    <w:p w14:paraId="56563859" w14:textId="77777777" w:rsidR="00036E88" w:rsidRPr="00036E88" w:rsidRDefault="00036E88" w:rsidP="00B71FB1">
      <w:pPr>
        <w:spacing w:after="0" w:line="240" w:lineRule="auto"/>
        <w:rPr>
          <w:rFonts w:eastAsia="Times New Roman" w:cs="Arial"/>
          <w:szCs w:val="20"/>
        </w:rPr>
      </w:pPr>
    </w:p>
    <w:p w14:paraId="44BC85A0" w14:textId="19943189" w:rsidR="00036E88" w:rsidRPr="008E1543" w:rsidRDefault="00036E88" w:rsidP="008E1543">
      <w:pPr>
        <w:pStyle w:val="Naslov2"/>
        <w:numPr>
          <w:ilvl w:val="0"/>
          <w:numId w:val="9"/>
        </w:numPr>
        <w:rPr>
          <w:rFonts w:eastAsia="Times New Roman"/>
        </w:rPr>
      </w:pPr>
      <w:r w:rsidRPr="008E1543">
        <w:rPr>
          <w:rFonts w:eastAsia="Times New Roman"/>
        </w:rPr>
        <w:t>VLAGATELJ IN UPRAVIČENEC</w:t>
      </w:r>
    </w:p>
    <w:p w14:paraId="0DF92984" w14:textId="77777777" w:rsidR="008E1543" w:rsidRDefault="00036E88" w:rsidP="008E1543">
      <w:pPr>
        <w:pStyle w:val="Odstavekseznama"/>
        <w:numPr>
          <w:ilvl w:val="1"/>
          <w:numId w:val="9"/>
        </w:numPr>
      </w:pPr>
      <w:r w:rsidRPr="00036E88">
        <w:t>Vlagatelj je nosilec kmetijskega gospodarstva v skladu s 3. točko 3. člena Zakona o kmetijstvu, ki vlaga vlogo v skladu s tem javnim razpisom.</w:t>
      </w:r>
    </w:p>
    <w:p w14:paraId="4DDDE323" w14:textId="42DC06AE" w:rsidR="00036E88" w:rsidRPr="00036E88" w:rsidRDefault="00036E88" w:rsidP="008E1543">
      <w:pPr>
        <w:pStyle w:val="Odstavekseznama"/>
        <w:numPr>
          <w:ilvl w:val="1"/>
          <w:numId w:val="9"/>
        </w:numPr>
      </w:pPr>
      <w:r w:rsidRPr="00036E88">
        <w:t xml:space="preserve">Upravičenec do sredstev je nosilec kmetijskega gospodarstva v skladu s 3. točko 3.člena Zakona o kmetijstvu in ki izpolnjuje pogoje iz 4. poglavja tega javnega razpisa. </w:t>
      </w:r>
    </w:p>
    <w:p w14:paraId="545F9D91" w14:textId="77777777" w:rsidR="00036E88" w:rsidRPr="00036E88" w:rsidRDefault="00036E88" w:rsidP="00B71FB1">
      <w:pPr>
        <w:spacing w:after="0" w:line="240" w:lineRule="auto"/>
        <w:rPr>
          <w:rFonts w:eastAsia="Times New Roman" w:cs="Arial"/>
          <w:szCs w:val="20"/>
        </w:rPr>
      </w:pPr>
    </w:p>
    <w:p w14:paraId="732C9412" w14:textId="2EDF43CD" w:rsidR="00036E88" w:rsidRPr="008E1543" w:rsidRDefault="00036E88" w:rsidP="008E1543">
      <w:pPr>
        <w:pStyle w:val="Naslov2"/>
        <w:numPr>
          <w:ilvl w:val="0"/>
          <w:numId w:val="9"/>
        </w:numPr>
        <w:rPr>
          <w:rFonts w:eastAsia="Times New Roman"/>
        </w:rPr>
      </w:pPr>
      <w:r w:rsidRPr="008E1543">
        <w:rPr>
          <w:rFonts w:eastAsia="Times New Roman"/>
        </w:rPr>
        <w:t>POGOJI ZA PRIDOBITEV SREDSTEV</w:t>
      </w:r>
    </w:p>
    <w:p w14:paraId="72EB7429" w14:textId="77777777" w:rsidR="008E1543" w:rsidRDefault="00036E88" w:rsidP="008E1543">
      <w:pPr>
        <w:pStyle w:val="Odstavekseznama"/>
        <w:numPr>
          <w:ilvl w:val="1"/>
          <w:numId w:val="9"/>
        </w:numPr>
        <w:rPr>
          <w:lang w:eastAsia="sl-SI"/>
        </w:rPr>
      </w:pPr>
      <w:r w:rsidRPr="00036E88">
        <w:rPr>
          <w:lang w:eastAsia="sl-SI"/>
        </w:rPr>
        <w:t xml:space="preserve">Pogoji za pridobitev sredstev morajo biti izpolnjeni ob vložitvi vloge. </w:t>
      </w:r>
    </w:p>
    <w:p w14:paraId="6E003DCE" w14:textId="77777777" w:rsidR="008E1543" w:rsidRDefault="00036E88" w:rsidP="008E1543">
      <w:pPr>
        <w:pStyle w:val="Odstavekseznama"/>
        <w:numPr>
          <w:ilvl w:val="1"/>
          <w:numId w:val="9"/>
        </w:numPr>
        <w:rPr>
          <w:lang w:eastAsia="sl-SI"/>
        </w:rPr>
      </w:pPr>
      <w:r w:rsidRPr="00036E88">
        <w:rPr>
          <w:lang w:eastAsia="sl-SI"/>
        </w:rPr>
        <w:t xml:space="preserve">Vlagatelj izpolni in vloži vlogo v elektronski obliki v skladu z zahtevami iz tega javnega razpisa na obrazcih, ki so sestavni del razpisne dokumentacije tega javnega razpisa, vključno z vsemi zahtevanimi prilogami in dokazili, ki so v njej navedeni. Priloge se predložijo </w:t>
      </w:r>
      <w:r w:rsidR="0090420A" w:rsidRPr="0090420A">
        <w:rPr>
          <w:lang w:eastAsia="sl-SI"/>
        </w:rPr>
        <w:t xml:space="preserve">v informacijski sistem v obliki </w:t>
      </w:r>
      <w:proofErr w:type="spellStart"/>
      <w:r w:rsidR="0090420A" w:rsidRPr="0090420A">
        <w:rPr>
          <w:lang w:eastAsia="sl-SI"/>
        </w:rPr>
        <w:t>skenograma</w:t>
      </w:r>
      <w:proofErr w:type="spellEnd"/>
      <w:r w:rsidR="0090420A" w:rsidRPr="0090420A">
        <w:rPr>
          <w:lang w:eastAsia="sl-SI"/>
        </w:rPr>
        <w:t>.</w:t>
      </w:r>
    </w:p>
    <w:p w14:paraId="26498989" w14:textId="77777777" w:rsidR="008E1543" w:rsidRDefault="00036E88" w:rsidP="008E1543">
      <w:pPr>
        <w:pStyle w:val="Odstavekseznama"/>
        <w:numPr>
          <w:ilvl w:val="1"/>
          <w:numId w:val="9"/>
        </w:numPr>
        <w:rPr>
          <w:lang w:eastAsia="sl-SI"/>
        </w:rPr>
      </w:pPr>
      <w:r w:rsidRPr="00036E88">
        <w:rPr>
          <w:lang w:eastAsia="sl-SI"/>
        </w:rPr>
        <w:t>Vlagatelj mora biti na dan oddaje vloge na javni razpis vpisan v register kmetijskih gospodarstev.</w:t>
      </w:r>
    </w:p>
    <w:p w14:paraId="2A7702F9" w14:textId="5731A310" w:rsidR="00036E88" w:rsidRPr="00036E88" w:rsidRDefault="009101EB" w:rsidP="008E1543">
      <w:pPr>
        <w:pStyle w:val="Odstavekseznama"/>
        <w:numPr>
          <w:ilvl w:val="1"/>
          <w:numId w:val="9"/>
        </w:numPr>
        <w:rPr>
          <w:lang w:eastAsia="sl-SI"/>
        </w:rPr>
      </w:pPr>
      <w:r>
        <w:t>V</w:t>
      </w:r>
      <w:r w:rsidR="00036E88" w:rsidRPr="00036E88">
        <w:t xml:space="preserve"> skladu z 10. členom Uredbe</w:t>
      </w:r>
      <w:r>
        <w:t xml:space="preserve"> mora vlagatelj</w:t>
      </w:r>
      <w:r w:rsidR="00036E88" w:rsidRPr="00036E88">
        <w:t xml:space="preserve"> za pridobitev sredstev iz tega javnega razpisa izpolnjevati naslednje pogoje:</w:t>
      </w:r>
    </w:p>
    <w:p w14:paraId="32B9C9FF" w14:textId="12B5456E" w:rsidR="00036E88" w:rsidRPr="00036E88" w:rsidRDefault="00036E88" w:rsidP="006617B5">
      <w:pPr>
        <w:pStyle w:val="Odstavekseznama"/>
        <w:numPr>
          <w:ilvl w:val="0"/>
          <w:numId w:val="12"/>
        </w:numPr>
        <w:ind w:left="1134"/>
        <w:rPr>
          <w:lang w:eastAsia="sl-SI"/>
        </w:rPr>
      </w:pPr>
      <w:r w:rsidRPr="00036E88">
        <w:rPr>
          <w:lang w:eastAsia="sl-SI"/>
        </w:rPr>
        <w:t xml:space="preserve">oddati mora zbirno vlogo za ukrepe kmetijske politike (v nadaljnjem besedilu: zbirna vloga) v </w:t>
      </w:r>
      <w:r w:rsidR="00511BC0">
        <w:rPr>
          <w:lang w:eastAsia="sl-SI"/>
        </w:rPr>
        <w:t>letu 2024</w:t>
      </w:r>
      <w:r w:rsidRPr="00036E88">
        <w:rPr>
          <w:lang w:eastAsia="sl-SI"/>
        </w:rPr>
        <w:t xml:space="preserve">. Če v </w:t>
      </w:r>
      <w:r w:rsidR="00511BC0">
        <w:rPr>
          <w:lang w:eastAsia="sl-SI"/>
        </w:rPr>
        <w:t xml:space="preserve">letu 2024 </w:t>
      </w:r>
      <w:r w:rsidRPr="00036E88">
        <w:rPr>
          <w:lang w:eastAsia="sl-SI"/>
        </w:rPr>
        <w:t>zbirna vloga še ni bila oddana, se upošteva zbirna vloga iz preteklega koledarskega leta</w:t>
      </w:r>
      <w:r w:rsidR="00511BC0">
        <w:rPr>
          <w:lang w:eastAsia="sl-SI"/>
        </w:rPr>
        <w:t xml:space="preserve"> oziroma iz leta 2023;</w:t>
      </w:r>
    </w:p>
    <w:p w14:paraId="1C8716AD" w14:textId="77777777" w:rsidR="00036E88" w:rsidRPr="00036E88" w:rsidRDefault="00036E88" w:rsidP="006617B5">
      <w:pPr>
        <w:pStyle w:val="Odstavekseznama"/>
        <w:numPr>
          <w:ilvl w:val="0"/>
          <w:numId w:val="12"/>
        </w:numPr>
        <w:ind w:left="1134"/>
        <w:rPr>
          <w:lang w:eastAsia="sl-SI"/>
        </w:rPr>
      </w:pPr>
      <w:r w:rsidRPr="00036E88">
        <w:rPr>
          <w:lang w:eastAsia="sl-SI"/>
        </w:rPr>
        <w:t>škodni dogodek je prizadel nosilca ali člana kmetije, ki je ob nastanku škodnega dogodka pokojninsko in invalidsko zavarovan kot kmet ali iz naslova kmetijske dejavnosti, pri čemer so za vrsto zavarovanja upravičene šifre 007, 051, 052, 064 in 065, določene s predpisom, ki ureja pokojninsko in invalidsko zavarovanje ter predpisom, ki ureja zdravstveno zavarovanje.</w:t>
      </w:r>
      <w:r w:rsidRPr="00036E88">
        <w:t xml:space="preserve"> Kot član kmetije se šteje član kmetije v skladu s četrtim odstavkom 5. člena Zakona o kmetijstvu. V primeru smrti in invalidnosti mora biti oškodovanec pokojninsko in invalidsko zavarovan kot kmet ali iz naslova kmetijske dejavnosti na dan smrti oziroma na datum izdaje odločbe o priznani pravici do invalidnosti. V primeru začasne nezmožnosti za delo pa mora biti oškodovanec pokojninsko in invalidsko zavarovan kot kmet ali iz naslova kmetijske dejavnosti celotno obdobje, za katero uveljavlja finančno pomoč iz naslova tega javnega razpisa;</w:t>
      </w:r>
    </w:p>
    <w:p w14:paraId="057DB8ED" w14:textId="77777777" w:rsidR="00036E88" w:rsidRPr="00036E88" w:rsidRDefault="00036E88" w:rsidP="006617B5">
      <w:pPr>
        <w:pStyle w:val="Odstavekseznama"/>
        <w:numPr>
          <w:ilvl w:val="0"/>
          <w:numId w:val="12"/>
        </w:numPr>
        <w:ind w:left="1134"/>
      </w:pPr>
      <w:r w:rsidRPr="00036E88">
        <w:rPr>
          <w:lang w:eastAsia="sl-SI"/>
        </w:rPr>
        <w:t xml:space="preserve">škodni dogodek je nastal največ 24 mesecev pred oddajo vloge na javni razpis. </w:t>
      </w:r>
      <w:r w:rsidRPr="00036E88">
        <w:t>Dan škodnega dogodka je v primeru smrti datum smrti, v primeru invalidnosti datum izdaje odločbe o priznani pravici do invalidnosti, v primeru nezmožnosti za delo pa datum zadnje začasne nezmožnosti za delo, ki je razviden iz izreka odločbe o začasni nezmožnosti za delo;</w:t>
      </w:r>
    </w:p>
    <w:p w14:paraId="26B11EFE" w14:textId="29F4EB49" w:rsidR="00036E88" w:rsidRPr="008E1543" w:rsidRDefault="00036E88" w:rsidP="006617B5">
      <w:pPr>
        <w:pStyle w:val="Odstavekseznama"/>
        <w:numPr>
          <w:ilvl w:val="0"/>
          <w:numId w:val="12"/>
        </w:numPr>
        <w:ind w:left="1134"/>
      </w:pPr>
      <w:r w:rsidRPr="00036E88">
        <w:rPr>
          <w:lang w:eastAsia="sl-SI"/>
        </w:rPr>
        <w:t xml:space="preserve">dohodek nosilca ali člana kmetije, ki ga je prizadel škodni dogodek, ni presegal višine minimalne plače za delo s polnim delovnim časom v skladu s predpisom, ki določa minimalno plačo, pri čemer se upošteva dohodek iz zadnje </w:t>
      </w:r>
      <w:r w:rsidRPr="00036E88">
        <w:rPr>
          <w:iCs/>
          <w:lang w:eastAsia="sl-SI"/>
        </w:rPr>
        <w:t>odločbe</w:t>
      </w:r>
      <w:r w:rsidRPr="00036E88">
        <w:rPr>
          <w:lang w:eastAsia="sl-SI"/>
        </w:rPr>
        <w:t xml:space="preserve"> o odmeri </w:t>
      </w:r>
      <w:r w:rsidRPr="00036E88">
        <w:rPr>
          <w:iCs/>
          <w:lang w:eastAsia="sl-SI"/>
        </w:rPr>
        <w:t>dohodnine. Če</w:t>
      </w:r>
      <w:r w:rsidRPr="00036E88">
        <w:rPr>
          <w:rFonts w:ascii="Helv" w:hAnsi="Helv" w:cs="Helv"/>
          <w:color w:val="000000"/>
          <w:lang w:eastAsia="sl-SI"/>
        </w:rPr>
        <w:t xml:space="preserve"> oškodovanec ni zavezanec za plačilo dohodnine </w:t>
      </w:r>
      <w:r w:rsidRPr="00036E88">
        <w:rPr>
          <w:rFonts w:ascii="Helv" w:hAnsi="Helv" w:cs="Helv"/>
          <w:color w:val="000000"/>
          <w:lang w:eastAsia="sl-SI"/>
        </w:rPr>
        <w:lastRenderedPageBreak/>
        <w:t>(oškodovancu ni bila izdana odločba o dohodnini), se upošteva potrdilo o dohodku, ki ga izda Finančna uprava Republike Slovenije.</w:t>
      </w:r>
    </w:p>
    <w:p w14:paraId="0A8E6335" w14:textId="3E579F9B" w:rsidR="00036E88" w:rsidRPr="00036E88" w:rsidRDefault="00036E88" w:rsidP="008E1543">
      <w:pPr>
        <w:pStyle w:val="Naslov2"/>
        <w:numPr>
          <w:ilvl w:val="0"/>
          <w:numId w:val="9"/>
        </w:numPr>
        <w:rPr>
          <w:rFonts w:eastAsia="Times New Roman"/>
        </w:rPr>
      </w:pPr>
      <w:r w:rsidRPr="00036E88">
        <w:rPr>
          <w:rFonts w:eastAsia="Times New Roman"/>
        </w:rPr>
        <w:t>FINANČNE DOLOČBE</w:t>
      </w:r>
    </w:p>
    <w:p w14:paraId="3EF3A974" w14:textId="77777777" w:rsidR="008E1543" w:rsidRDefault="00036E88" w:rsidP="008E1543">
      <w:pPr>
        <w:pStyle w:val="Odstavekseznama"/>
        <w:numPr>
          <w:ilvl w:val="1"/>
          <w:numId w:val="9"/>
        </w:numPr>
      </w:pPr>
      <w:r w:rsidRPr="00036E88">
        <w:t xml:space="preserve">V skladu s prvim odstavkom 11. člena Uredbe se sredstva iz naslova tega javnega razpisa dodelijo upravičencu kot </w:t>
      </w:r>
      <w:r w:rsidR="002D1409">
        <w:t xml:space="preserve">finančna </w:t>
      </w:r>
      <w:r w:rsidRPr="00036E88">
        <w:t xml:space="preserve">pomoč v obliki nepovratnih sredstev. Osnova za izplačilo sta razdelilnik iz točke 5.2. tega poglavja in višina nepovratnih sredstev na uro iz točke 5.3. tega poglavja. </w:t>
      </w:r>
    </w:p>
    <w:p w14:paraId="482543A1" w14:textId="1ED3D088" w:rsidR="00036E88" w:rsidRPr="00036E88" w:rsidRDefault="00036E88" w:rsidP="008E1543">
      <w:pPr>
        <w:pStyle w:val="Odstavekseznama"/>
        <w:numPr>
          <w:ilvl w:val="1"/>
          <w:numId w:val="9"/>
        </w:numPr>
      </w:pPr>
      <w:r w:rsidRPr="00036E88">
        <w:t>V skladu z drugim odstavkom 11. člena Uredbe znaša višina nepovratnih sredstev za primer smrti ali ugotovljene kategorije invalidnosti:</w:t>
      </w:r>
    </w:p>
    <w:p w14:paraId="58A0652F" w14:textId="77777777" w:rsidR="00036E88" w:rsidRPr="00036E88" w:rsidRDefault="00036E88" w:rsidP="008E1543">
      <w:pPr>
        <w:pStyle w:val="Odstavekseznama"/>
        <w:numPr>
          <w:ilvl w:val="0"/>
          <w:numId w:val="13"/>
        </w:numPr>
        <w:rPr>
          <w:lang w:eastAsia="sl-SI"/>
        </w:rPr>
      </w:pPr>
      <w:r w:rsidRPr="00036E88">
        <w:rPr>
          <w:color w:val="000000"/>
          <w:lang w:eastAsia="sl-SI"/>
        </w:rPr>
        <w:t>3.000 eurov: smrt;</w:t>
      </w:r>
    </w:p>
    <w:p w14:paraId="1C5692EB" w14:textId="77777777" w:rsidR="00036E88" w:rsidRPr="00036E88" w:rsidRDefault="00036E88" w:rsidP="008E1543">
      <w:pPr>
        <w:pStyle w:val="Odstavekseznama"/>
        <w:numPr>
          <w:ilvl w:val="0"/>
          <w:numId w:val="13"/>
        </w:numPr>
        <w:rPr>
          <w:lang w:eastAsia="sl-SI"/>
        </w:rPr>
      </w:pPr>
      <w:r w:rsidRPr="00036E88">
        <w:rPr>
          <w:color w:val="000000"/>
          <w:lang w:eastAsia="sl-SI"/>
        </w:rPr>
        <w:t xml:space="preserve">3.000 eurov: l. kategorija invalidnosti; </w:t>
      </w:r>
    </w:p>
    <w:p w14:paraId="3343CBE8" w14:textId="77777777" w:rsidR="008E1543" w:rsidRPr="008E1543" w:rsidRDefault="00036E88" w:rsidP="008E1543">
      <w:pPr>
        <w:pStyle w:val="Odstavekseznama"/>
        <w:numPr>
          <w:ilvl w:val="0"/>
          <w:numId w:val="13"/>
        </w:numPr>
        <w:rPr>
          <w:lang w:eastAsia="sl-SI"/>
        </w:rPr>
      </w:pPr>
      <w:r w:rsidRPr="00036E88">
        <w:rPr>
          <w:color w:val="000000"/>
          <w:lang w:eastAsia="sl-SI"/>
        </w:rPr>
        <w:t xml:space="preserve">2.200 eurov: </w:t>
      </w:r>
      <w:proofErr w:type="spellStart"/>
      <w:r w:rsidRPr="00036E88">
        <w:rPr>
          <w:color w:val="000000"/>
          <w:lang w:eastAsia="sl-SI"/>
        </w:rPr>
        <w:t>ll</w:t>
      </w:r>
      <w:proofErr w:type="spellEnd"/>
      <w:r w:rsidRPr="00036E88">
        <w:rPr>
          <w:color w:val="000000"/>
          <w:lang w:eastAsia="sl-SI"/>
        </w:rPr>
        <w:t>. kategorija invalidnosti.</w:t>
      </w:r>
    </w:p>
    <w:p w14:paraId="34BD0F2D" w14:textId="77777777" w:rsidR="008E1543" w:rsidRDefault="00036E88" w:rsidP="008E1543">
      <w:pPr>
        <w:pStyle w:val="Odstavekseznama"/>
        <w:numPr>
          <w:ilvl w:val="1"/>
          <w:numId w:val="9"/>
        </w:numPr>
        <w:rPr>
          <w:lang w:eastAsia="sl-SI"/>
        </w:rPr>
      </w:pPr>
      <w:r w:rsidRPr="00036E88">
        <w:rPr>
          <w:lang w:eastAsia="sl-SI"/>
        </w:rPr>
        <w:t>V skladu s tretjim odstavkom 11. člena Uredbe znaša v primeru ugotovljene nezmožnosti za delo višina nepovratnih sredstev 0,40 eura na uro, za število priznanih ur nezmožnosti za delo in obdobje, določenih v zdravniških potrdilih o upravičeni zadržanosti od dela in odločbah o ugotovitvi začasne nezmožnosti za delo.</w:t>
      </w:r>
    </w:p>
    <w:p w14:paraId="6B733F9E" w14:textId="77777777" w:rsidR="008E1543" w:rsidRDefault="00036E88" w:rsidP="008E1543">
      <w:pPr>
        <w:pStyle w:val="Odstavekseznama"/>
        <w:numPr>
          <w:ilvl w:val="1"/>
          <w:numId w:val="9"/>
        </w:numPr>
        <w:rPr>
          <w:lang w:eastAsia="sl-SI"/>
        </w:rPr>
      </w:pPr>
      <w:r w:rsidRPr="00036E88">
        <w:rPr>
          <w:lang w:eastAsia="sl-SI"/>
        </w:rPr>
        <w:t>V skladu s četrtim odstavkom 11. člena Uredbe se nepovratna sredstva lahko dodelijo le za neprekinjeno obdobje ugotovljene nezmožnosti za delo, ki mora trajati od najmanj šest do najdlje dvanajst mesecev (šteto od nastanka škodnega dogodka), pri čemer mora število priznanih ur nezmožnosti za delo v tem obdobju znašati najmanj 1.460 ur. V primeru priznane začasne nezmožnosti za delo se prizna največ osem ur dnevne nezmožnosti za delo.</w:t>
      </w:r>
    </w:p>
    <w:p w14:paraId="2922EDDB" w14:textId="77777777" w:rsidR="008E1543" w:rsidRDefault="00036E88" w:rsidP="008E1543">
      <w:pPr>
        <w:pStyle w:val="Odstavekseznama"/>
        <w:numPr>
          <w:ilvl w:val="1"/>
          <w:numId w:val="9"/>
        </w:numPr>
        <w:rPr>
          <w:lang w:eastAsia="sl-SI"/>
        </w:rPr>
      </w:pPr>
      <w:r w:rsidRPr="00036E88">
        <w:rPr>
          <w:lang w:eastAsia="sl-SI"/>
        </w:rPr>
        <w:t>V skladu s šestim odstavkom 11. člena Uredbe se v število priznanih ur nezmožnosti za delo iz točke 5.3. tega poglavja vštevajo vsi dnevi priznanega obdobja.</w:t>
      </w:r>
    </w:p>
    <w:p w14:paraId="4BA4A636" w14:textId="06893E09" w:rsidR="008E1543" w:rsidRDefault="00036E88" w:rsidP="008E1543">
      <w:pPr>
        <w:pStyle w:val="Odstavekseznama"/>
        <w:numPr>
          <w:ilvl w:val="1"/>
          <w:numId w:val="9"/>
        </w:numPr>
        <w:rPr>
          <w:lang w:eastAsia="sl-SI"/>
        </w:rPr>
      </w:pPr>
      <w:r w:rsidRPr="00036E88">
        <w:t xml:space="preserve">V skladu z drugim odstavkom 1. člena Uredbe se sredstva iz tega javnega razpisa dodelijo </w:t>
      </w:r>
      <w:r w:rsidRPr="00036E88">
        <w:rPr>
          <w:lang w:eastAsia="sl-SI"/>
        </w:rPr>
        <w:t xml:space="preserve">po pravilih o dodeljevanju pomoči </w:t>
      </w:r>
      <w:r w:rsidRPr="008E1543">
        <w:rPr>
          <w:i/>
          <w:lang w:eastAsia="sl-SI"/>
        </w:rPr>
        <w:t xml:space="preserve">de </w:t>
      </w:r>
      <w:proofErr w:type="spellStart"/>
      <w:r w:rsidRPr="008E1543">
        <w:rPr>
          <w:i/>
          <w:lang w:eastAsia="sl-SI"/>
        </w:rPr>
        <w:t>minimis</w:t>
      </w:r>
      <w:proofErr w:type="spellEnd"/>
      <w:r w:rsidRPr="00036E88">
        <w:rPr>
          <w:lang w:eastAsia="sl-SI"/>
        </w:rPr>
        <w:t xml:space="preserve"> v skladu z Uredbo 1408/2013/EU</w:t>
      </w:r>
      <w:r w:rsidR="008E1543">
        <w:rPr>
          <w:lang w:eastAsia="sl-SI"/>
        </w:rPr>
        <w:t>.</w:t>
      </w:r>
    </w:p>
    <w:p w14:paraId="30F952B1" w14:textId="77777777" w:rsidR="008E1543" w:rsidRDefault="00036E88" w:rsidP="008E1543">
      <w:pPr>
        <w:pStyle w:val="Odstavekseznama"/>
        <w:numPr>
          <w:ilvl w:val="1"/>
          <w:numId w:val="9"/>
        </w:numPr>
        <w:rPr>
          <w:lang w:eastAsia="sl-SI"/>
        </w:rPr>
      </w:pPr>
      <w:r w:rsidRPr="00036E88">
        <w:t>Dodeljena sredstva se upravičencem nakažejo na transakcijski račun v skladu s 35. členom Zakona o kmetijstvu.</w:t>
      </w:r>
    </w:p>
    <w:p w14:paraId="19DAAAAE" w14:textId="6624E886" w:rsidR="00036E88" w:rsidRPr="008E1543" w:rsidRDefault="00036E88" w:rsidP="008E1543">
      <w:pPr>
        <w:pStyle w:val="Odstavekseznama"/>
        <w:numPr>
          <w:ilvl w:val="1"/>
          <w:numId w:val="9"/>
        </w:numPr>
        <w:rPr>
          <w:lang w:eastAsia="sl-SI"/>
        </w:rPr>
      </w:pPr>
      <w:r w:rsidRPr="00036E88">
        <w:rPr>
          <w:lang w:eastAsia="sl-SI"/>
        </w:rPr>
        <w:t>V skladu s prvim odstavkom 12. člena Uredbe se sredstva iz tega javnega razpisa dodelijo z odprtim javnim razpisom</w:t>
      </w:r>
      <w:r w:rsidR="00F26C40">
        <w:rPr>
          <w:lang w:eastAsia="sl-SI"/>
        </w:rPr>
        <w:t xml:space="preserve">. </w:t>
      </w:r>
    </w:p>
    <w:p w14:paraId="74D294AC" w14:textId="77777777" w:rsidR="00036E88" w:rsidRPr="00036E88" w:rsidRDefault="00036E88" w:rsidP="00B71FB1">
      <w:pPr>
        <w:suppressAutoHyphens/>
        <w:overflowPunct w:val="0"/>
        <w:autoSpaceDE w:val="0"/>
        <w:autoSpaceDN w:val="0"/>
        <w:adjustRightInd w:val="0"/>
        <w:spacing w:after="0" w:line="240" w:lineRule="auto"/>
        <w:ind w:left="360"/>
        <w:textAlignment w:val="baseline"/>
        <w:rPr>
          <w:rFonts w:eastAsia="Times New Roman" w:cs="Arial"/>
          <w:color w:val="000000"/>
          <w:szCs w:val="20"/>
          <w:lang w:eastAsia="sl-SI"/>
        </w:rPr>
      </w:pPr>
    </w:p>
    <w:p w14:paraId="4D9E84EB" w14:textId="752A2CA2" w:rsidR="00036E88" w:rsidRPr="00036E88" w:rsidRDefault="00036E88" w:rsidP="008E1543">
      <w:pPr>
        <w:pStyle w:val="Naslov2"/>
        <w:numPr>
          <w:ilvl w:val="0"/>
          <w:numId w:val="9"/>
        </w:numPr>
        <w:rPr>
          <w:rFonts w:eastAsia="Times New Roman"/>
          <w:color w:val="000000"/>
          <w:lang w:eastAsia="sl-SI"/>
        </w:rPr>
      </w:pPr>
      <w:r w:rsidRPr="00036E88">
        <w:rPr>
          <w:rFonts w:eastAsia="Times New Roman"/>
        </w:rPr>
        <w:t>OMEJITEV SREDSTEV</w:t>
      </w:r>
    </w:p>
    <w:p w14:paraId="39FFC9C4" w14:textId="77777777" w:rsidR="008E1543" w:rsidRPr="008E1543" w:rsidRDefault="00036E88" w:rsidP="008E1543">
      <w:pPr>
        <w:pStyle w:val="Odstavekseznama"/>
        <w:numPr>
          <w:ilvl w:val="1"/>
          <w:numId w:val="9"/>
        </w:numPr>
        <w:rPr>
          <w:color w:val="000000"/>
          <w:lang w:eastAsia="sl-SI"/>
        </w:rPr>
      </w:pPr>
      <w:r w:rsidRPr="00036E88">
        <w:t>V skladu s prvim odstavkom 16. člena Uredbe lahko vlagatelji pridobijo sredstva za isti namen samo iz enega ukrepa po Uredbi</w:t>
      </w:r>
      <w:r w:rsidR="00A40AF3">
        <w:t>.</w:t>
      </w:r>
    </w:p>
    <w:p w14:paraId="725EF2CB" w14:textId="77777777" w:rsidR="008E1543" w:rsidRPr="008E1543" w:rsidRDefault="00036E88" w:rsidP="008E1543">
      <w:pPr>
        <w:pStyle w:val="Odstavekseznama"/>
        <w:numPr>
          <w:ilvl w:val="1"/>
          <w:numId w:val="9"/>
        </w:numPr>
        <w:rPr>
          <w:color w:val="000000"/>
          <w:lang w:eastAsia="sl-SI"/>
        </w:rPr>
      </w:pPr>
      <w:r w:rsidRPr="00036E88">
        <w:t>V skladu z drugim odstavkom 16. člena Uredbe se sredstva ne dodelijo upravičencu, ki je za isti namen, kakršnega navaja v vlogi za pridobitev sredstev iz tega javnega razpisa, že prejel javna sredstva Republike Slovenije ali sredstva Evropske unije.</w:t>
      </w:r>
    </w:p>
    <w:p w14:paraId="11DE0F2F" w14:textId="77777777" w:rsidR="008E1543" w:rsidRPr="008E1543" w:rsidRDefault="00036E88" w:rsidP="008E1543">
      <w:pPr>
        <w:pStyle w:val="Odstavekseznama"/>
        <w:numPr>
          <w:ilvl w:val="1"/>
          <w:numId w:val="9"/>
        </w:numPr>
        <w:rPr>
          <w:color w:val="000000"/>
          <w:lang w:eastAsia="sl-SI"/>
        </w:rPr>
      </w:pPr>
      <w:r w:rsidRPr="00036E88">
        <w:t xml:space="preserve">V skladu s tretjim odstavkom 16. člena Uredbe se sredstva ne dodelijo za izvajanje ukrepa iz tega javnega razpisa zunaj Republike Slovenije. </w:t>
      </w:r>
    </w:p>
    <w:p w14:paraId="0FD6AEB4" w14:textId="77777777" w:rsidR="008E1543" w:rsidRPr="008E1543" w:rsidRDefault="00036E88" w:rsidP="008E1543">
      <w:pPr>
        <w:pStyle w:val="Odstavekseznama"/>
        <w:numPr>
          <w:ilvl w:val="1"/>
          <w:numId w:val="9"/>
        </w:numPr>
        <w:rPr>
          <w:color w:val="000000"/>
          <w:lang w:eastAsia="sl-SI"/>
        </w:rPr>
      </w:pPr>
      <w:r w:rsidRPr="00036E88">
        <w:t>V skladu s petim odstavkom 11. člena Uredbe lahko isti upravičenec pridobi podporo po ukrepu iz tega javnega razpisa le enkrat v treh letih od izdaje odločbe o pravici do sredstev.</w:t>
      </w:r>
    </w:p>
    <w:p w14:paraId="05B914B4" w14:textId="77777777" w:rsidR="008E1543" w:rsidRPr="008E1543" w:rsidRDefault="00036E88" w:rsidP="008E1543">
      <w:pPr>
        <w:pStyle w:val="Odstavekseznama"/>
        <w:numPr>
          <w:ilvl w:val="1"/>
          <w:numId w:val="9"/>
        </w:numPr>
        <w:rPr>
          <w:color w:val="000000"/>
          <w:lang w:eastAsia="sl-SI"/>
        </w:rPr>
      </w:pPr>
      <w:r w:rsidRPr="00036E88">
        <w:rPr>
          <w:lang w:eastAsia="sl-SI"/>
        </w:rPr>
        <w:t xml:space="preserve">V skladu s prvim odstavkom 4. člena Uredbe se poleg pomoči </w:t>
      </w:r>
      <w:r w:rsidRPr="008E1543">
        <w:rPr>
          <w:i/>
          <w:lang w:eastAsia="sl-SI"/>
        </w:rPr>
        <w:t xml:space="preserve">de </w:t>
      </w:r>
      <w:proofErr w:type="spellStart"/>
      <w:r w:rsidRPr="008E1543">
        <w:rPr>
          <w:i/>
          <w:lang w:eastAsia="sl-SI"/>
        </w:rPr>
        <w:t>minimis</w:t>
      </w:r>
      <w:proofErr w:type="spellEnd"/>
      <w:r w:rsidRPr="00036E88">
        <w:rPr>
          <w:lang w:eastAsia="sl-SI"/>
        </w:rPr>
        <w:t xml:space="preserve"> v zvezi z istimi upravičenimi stroški istemu kmetijskemu gospodarstvu ne sme dodeliti še državna pomoč, če bi takšno seštevanje povzročilo intenzivnost pomoči, ki bi presegala intenzivnost, določeno za posebne okoliščine vsakega primera v predpisih Evropske unije.</w:t>
      </w:r>
    </w:p>
    <w:p w14:paraId="22E4DD5A" w14:textId="77777777" w:rsidR="008E1543" w:rsidRPr="008E1543" w:rsidRDefault="00036E88" w:rsidP="008E1543">
      <w:pPr>
        <w:pStyle w:val="Odstavekseznama"/>
        <w:numPr>
          <w:ilvl w:val="1"/>
          <w:numId w:val="9"/>
        </w:numPr>
        <w:rPr>
          <w:color w:val="000000"/>
          <w:lang w:eastAsia="sl-SI"/>
        </w:rPr>
      </w:pPr>
      <w:r w:rsidRPr="00036E88">
        <w:rPr>
          <w:lang w:eastAsia="sl-SI"/>
        </w:rPr>
        <w:t xml:space="preserve">V skladu z drugim odstavkom 4. člena Uredbe skupni znesek vseh pomoči </w:t>
      </w:r>
      <w:r w:rsidRPr="008E1543">
        <w:rPr>
          <w:i/>
          <w:lang w:eastAsia="sl-SI"/>
        </w:rPr>
        <w:t xml:space="preserve">de </w:t>
      </w:r>
      <w:proofErr w:type="spellStart"/>
      <w:r w:rsidRPr="008E1543">
        <w:rPr>
          <w:i/>
          <w:lang w:eastAsia="sl-SI"/>
        </w:rPr>
        <w:t>minimis</w:t>
      </w:r>
      <w:proofErr w:type="spellEnd"/>
      <w:r w:rsidRPr="00036E88">
        <w:rPr>
          <w:lang w:eastAsia="sl-SI"/>
        </w:rPr>
        <w:t xml:space="preserve"> v kmetijstvu, ki se odobri in izplača enotnemu podjetju iz drugega odstavka 2. člena Uredbe 1408/2013/EU, ne sme presegati 25.000 eurov v katerem koli obdobju treh proračunskih let. Ne glede na določbe drugega, tretjega in četrtega odstavka 11. člena Uredbe se pomoč ustrezno zniža, če bi bila z odobreno pomočjo enotnemu podjetju za ukrepe po Uredbi presežena omejitev iz te točke.</w:t>
      </w:r>
    </w:p>
    <w:p w14:paraId="11994552" w14:textId="77777777" w:rsidR="008E1543" w:rsidRPr="008E1543" w:rsidRDefault="00036E88" w:rsidP="008E1543">
      <w:pPr>
        <w:pStyle w:val="Odstavekseznama"/>
        <w:numPr>
          <w:ilvl w:val="1"/>
          <w:numId w:val="9"/>
        </w:numPr>
        <w:rPr>
          <w:color w:val="000000"/>
          <w:lang w:eastAsia="sl-SI"/>
        </w:rPr>
      </w:pPr>
      <w:r w:rsidRPr="00036E88">
        <w:rPr>
          <w:lang w:eastAsia="sl-SI"/>
        </w:rPr>
        <w:lastRenderedPageBreak/>
        <w:t xml:space="preserve">V skladu s tretjim odstavkom 4. člena Uredbe kumulativni znesek vseh pomoči </w:t>
      </w:r>
      <w:r w:rsidRPr="008E1543">
        <w:rPr>
          <w:i/>
          <w:lang w:eastAsia="sl-SI"/>
        </w:rPr>
        <w:t xml:space="preserve">de </w:t>
      </w:r>
      <w:proofErr w:type="spellStart"/>
      <w:r w:rsidRPr="008E1543">
        <w:rPr>
          <w:i/>
          <w:lang w:eastAsia="sl-SI"/>
        </w:rPr>
        <w:t>minimis</w:t>
      </w:r>
      <w:proofErr w:type="spellEnd"/>
      <w:r w:rsidRPr="00036E88">
        <w:rPr>
          <w:lang w:eastAsia="sl-SI"/>
        </w:rPr>
        <w:t>, dodeljen kmetijskim gospodarstvom, v kateremkoli obdobju treh proračunskih let ne sme presegati nacionalne omejitve iz Priloge Uredbe 1408/2013/EU.</w:t>
      </w:r>
    </w:p>
    <w:p w14:paraId="65C57A3C" w14:textId="77777777" w:rsidR="008E1543" w:rsidRPr="008E1543" w:rsidRDefault="00036E88" w:rsidP="008E1543">
      <w:pPr>
        <w:pStyle w:val="Odstavekseznama"/>
        <w:numPr>
          <w:ilvl w:val="1"/>
          <w:numId w:val="9"/>
        </w:numPr>
        <w:rPr>
          <w:color w:val="000000"/>
          <w:lang w:eastAsia="sl-SI"/>
        </w:rPr>
      </w:pPr>
      <w:r w:rsidRPr="00CF49E6">
        <w:rPr>
          <w:lang w:eastAsia="sl-SI"/>
        </w:rPr>
        <w:t xml:space="preserve">V skladu s četrtim odstavkom 4. člena Uredbe se, če je vlagatelj, razen v kmetijski dejavnosti, dejaven v enem ali več sektorjih ali opravlja dejavnosti, </w:t>
      </w:r>
      <w:r w:rsidR="00E649E0" w:rsidRPr="00E649E0">
        <w:rPr>
          <w:lang w:eastAsia="sl-SI"/>
        </w:rPr>
        <w:t xml:space="preserve">ki spadajo na področje uporabe Uredba Komisije (EU) 2023/2831 z dne 13. decembra 2023 o uporabi členov 107 in 108 Pogodbe o delovanju Evropske unije pri pomoči de </w:t>
      </w:r>
      <w:proofErr w:type="spellStart"/>
      <w:r w:rsidR="00E649E0" w:rsidRPr="00E649E0">
        <w:rPr>
          <w:lang w:eastAsia="sl-SI"/>
        </w:rPr>
        <w:t>minimis</w:t>
      </w:r>
      <w:proofErr w:type="spellEnd"/>
      <w:r w:rsidR="00E649E0" w:rsidRPr="00E649E0">
        <w:rPr>
          <w:lang w:eastAsia="sl-SI"/>
        </w:rPr>
        <w:t xml:space="preserve"> (UL L št. 2023/2831 z dne 15. 12. 2023; v nadaljnjem besedilu: </w:t>
      </w:r>
      <w:bookmarkStart w:id="1" w:name="_Hlk160521904"/>
      <w:r w:rsidR="00E649E0" w:rsidRPr="00E649E0">
        <w:rPr>
          <w:lang w:eastAsia="sl-SI"/>
        </w:rPr>
        <w:t>Uredba 2023/2831/EU</w:t>
      </w:r>
      <w:bookmarkEnd w:id="1"/>
      <w:r w:rsidR="00E649E0" w:rsidRPr="00E649E0">
        <w:rPr>
          <w:lang w:eastAsia="sl-SI"/>
        </w:rPr>
        <w:t xml:space="preserve">), se pomoč de </w:t>
      </w:r>
      <w:proofErr w:type="spellStart"/>
      <w:r w:rsidR="00E649E0" w:rsidRPr="00E649E0">
        <w:rPr>
          <w:lang w:eastAsia="sl-SI"/>
        </w:rPr>
        <w:t>minimis</w:t>
      </w:r>
      <w:proofErr w:type="spellEnd"/>
      <w:r w:rsidR="00E649E0" w:rsidRPr="00E649E0">
        <w:rPr>
          <w:lang w:eastAsia="sl-SI"/>
        </w:rPr>
        <w:t xml:space="preserve">, dodeljena v skladu s to uredbo, lahko združuje s pomočjo de </w:t>
      </w:r>
      <w:proofErr w:type="spellStart"/>
      <w:r w:rsidR="00E649E0" w:rsidRPr="00E649E0">
        <w:rPr>
          <w:lang w:eastAsia="sl-SI"/>
        </w:rPr>
        <w:t>minimis</w:t>
      </w:r>
      <w:proofErr w:type="spellEnd"/>
      <w:r w:rsidR="00E649E0" w:rsidRPr="00E649E0">
        <w:rPr>
          <w:lang w:eastAsia="sl-SI"/>
        </w:rPr>
        <w:t xml:space="preserve">, dodeljeno sektorjem ali dejavnostim, ki spadajo na področje uporabe Uredbe 2023/2831/EU, do zgornje meje, določene v Uredbi 2023/2831/EU, če upravičenec z ločitvijo dejavnosti ali stroškov zagotovi, da primarna kmetijska proizvodnja ne prejema pomoči de </w:t>
      </w:r>
      <w:proofErr w:type="spellStart"/>
      <w:r w:rsidR="00E649E0" w:rsidRPr="00E649E0">
        <w:rPr>
          <w:lang w:eastAsia="sl-SI"/>
        </w:rPr>
        <w:t>minimis</w:t>
      </w:r>
      <w:proofErr w:type="spellEnd"/>
      <w:r w:rsidR="00E649E0" w:rsidRPr="00E649E0">
        <w:rPr>
          <w:lang w:eastAsia="sl-SI"/>
        </w:rPr>
        <w:t>, dodeljene v skladu z Uredbo 2023/2831/EU.</w:t>
      </w:r>
    </w:p>
    <w:p w14:paraId="7BB37B71" w14:textId="5EEA838C" w:rsidR="00651834" w:rsidRPr="008E1543" w:rsidRDefault="00036E88" w:rsidP="008E1543">
      <w:pPr>
        <w:pStyle w:val="Odstavekseznama"/>
        <w:numPr>
          <w:ilvl w:val="1"/>
          <w:numId w:val="9"/>
        </w:numPr>
        <w:rPr>
          <w:color w:val="000000"/>
          <w:lang w:eastAsia="sl-SI"/>
        </w:rPr>
      </w:pPr>
      <w:r w:rsidRPr="00AC1549">
        <w:rPr>
          <w:lang w:eastAsia="sl-SI"/>
        </w:rPr>
        <w:t xml:space="preserve">V skladu s petim odstavkom 4. člena Uredbe se, če je vlagatelj, razen v kmetijski dejavnosti, </w:t>
      </w:r>
      <w:r w:rsidR="00651834" w:rsidRPr="00651834">
        <w:rPr>
          <w:lang w:eastAsia="sl-SI"/>
        </w:rPr>
        <w:t xml:space="preserve">dejavno v primarni proizvodnji ribiških proizvodov in proizvodov iz akvakulture, se pomoč </w:t>
      </w:r>
      <w:r w:rsidR="00651834" w:rsidRPr="008E1543">
        <w:rPr>
          <w:i/>
          <w:iCs/>
          <w:lang w:eastAsia="sl-SI"/>
        </w:rPr>
        <w:t xml:space="preserve">de </w:t>
      </w:r>
      <w:proofErr w:type="spellStart"/>
      <w:r w:rsidR="00651834" w:rsidRPr="008E1543">
        <w:rPr>
          <w:i/>
          <w:iCs/>
          <w:lang w:eastAsia="sl-SI"/>
        </w:rPr>
        <w:t>minimis</w:t>
      </w:r>
      <w:proofErr w:type="spellEnd"/>
      <w:r w:rsidR="00651834" w:rsidRPr="00651834">
        <w:rPr>
          <w:lang w:eastAsia="sl-SI"/>
        </w:rPr>
        <w:t xml:space="preserve">, dodeljena v skladu s to uredbo, lahko združuje s pomočjo </w:t>
      </w:r>
      <w:r w:rsidR="00651834" w:rsidRPr="008E1543">
        <w:rPr>
          <w:i/>
          <w:iCs/>
          <w:lang w:eastAsia="sl-SI"/>
        </w:rPr>
        <w:t xml:space="preserve">de </w:t>
      </w:r>
      <w:proofErr w:type="spellStart"/>
      <w:r w:rsidR="00651834" w:rsidRPr="008E1543">
        <w:rPr>
          <w:i/>
          <w:iCs/>
          <w:lang w:eastAsia="sl-SI"/>
        </w:rPr>
        <w:t>minimis</w:t>
      </w:r>
      <w:proofErr w:type="spellEnd"/>
      <w:r w:rsidR="00651834" w:rsidRPr="00651834">
        <w:rPr>
          <w:lang w:eastAsia="sl-SI"/>
        </w:rPr>
        <w:t>, dodeljeno primarni proizvodnji ribiških proizvodov in proizvodov iz akvakulture, do zgornje meje, določene v Uredbi 717/2014/EU</w:t>
      </w:r>
      <w:r w:rsidR="008636D3" w:rsidRPr="008636D3">
        <w:rPr>
          <w:lang w:eastAsia="sl-SI"/>
        </w:rPr>
        <w:t xml:space="preserve"> št. 717/2014 z dne 27. junija 2014 o uporabi členov 107 in 108 Pogodbe o delovanju Evropske unije pri pomoči de </w:t>
      </w:r>
      <w:proofErr w:type="spellStart"/>
      <w:r w:rsidR="008636D3" w:rsidRPr="008636D3">
        <w:rPr>
          <w:lang w:eastAsia="sl-SI"/>
        </w:rPr>
        <w:t>minimis</w:t>
      </w:r>
      <w:proofErr w:type="spellEnd"/>
      <w:r w:rsidR="008636D3" w:rsidRPr="008636D3">
        <w:rPr>
          <w:lang w:eastAsia="sl-SI"/>
        </w:rPr>
        <w:t xml:space="preserve"> v sektorju ribištva in akvakulture (UL L št. 190 z dne 28. 6. 2014, str. 45), zadnjič spremenjena z Uredbo Komisije (EU) 2023/2391 z dne 4. oktobra 2023 o spremembi uredb (EU) št. 717/2014, (EU) št. 1407/2013, (EU) št. 1408/2013 in (EU) št. 360/2012 glede pomoči de </w:t>
      </w:r>
      <w:proofErr w:type="spellStart"/>
      <w:r w:rsidR="008636D3" w:rsidRPr="008636D3">
        <w:rPr>
          <w:lang w:eastAsia="sl-SI"/>
        </w:rPr>
        <w:t>minimis</w:t>
      </w:r>
      <w:proofErr w:type="spellEnd"/>
      <w:r w:rsidR="008636D3" w:rsidRPr="008636D3">
        <w:rPr>
          <w:lang w:eastAsia="sl-SI"/>
        </w:rPr>
        <w:t xml:space="preserve"> za predelavo in trženje ribiških proizvodov in proizvodov iz akvakulture ter Uredbe (EU) št. 717/2014 glede skupnega zneska pomoči de </w:t>
      </w:r>
      <w:proofErr w:type="spellStart"/>
      <w:r w:rsidR="008636D3" w:rsidRPr="008636D3">
        <w:rPr>
          <w:lang w:eastAsia="sl-SI"/>
        </w:rPr>
        <w:t>minimis</w:t>
      </w:r>
      <w:proofErr w:type="spellEnd"/>
      <w:r w:rsidR="008636D3" w:rsidRPr="008636D3">
        <w:rPr>
          <w:lang w:eastAsia="sl-SI"/>
        </w:rPr>
        <w:t>, dodeljene enemu podjetju, obdobja njene uporabe in drugih zadev (UL L št. 2023/2391 z dne 5. 10. 2023</w:t>
      </w:r>
      <w:r w:rsidR="008636D3">
        <w:rPr>
          <w:lang w:eastAsia="sl-SI"/>
        </w:rPr>
        <w:t>; v nadaljnjem besedilu:</w:t>
      </w:r>
      <w:r w:rsidR="008636D3" w:rsidRPr="008636D3">
        <w:t xml:space="preserve"> </w:t>
      </w:r>
      <w:r w:rsidR="008636D3" w:rsidRPr="008636D3">
        <w:rPr>
          <w:lang w:eastAsia="sl-SI"/>
        </w:rPr>
        <w:t xml:space="preserve">Uredba </w:t>
      </w:r>
      <w:r w:rsidR="008636D3">
        <w:rPr>
          <w:lang w:eastAsia="sl-SI"/>
        </w:rPr>
        <w:t>717</w:t>
      </w:r>
      <w:r w:rsidR="008636D3" w:rsidRPr="008636D3">
        <w:rPr>
          <w:lang w:eastAsia="sl-SI"/>
        </w:rPr>
        <w:t>/2</w:t>
      </w:r>
      <w:r w:rsidR="008636D3">
        <w:rPr>
          <w:lang w:eastAsia="sl-SI"/>
        </w:rPr>
        <w:t>014</w:t>
      </w:r>
      <w:r w:rsidR="008636D3" w:rsidRPr="008636D3">
        <w:rPr>
          <w:lang w:eastAsia="sl-SI"/>
        </w:rPr>
        <w:t>/EU)</w:t>
      </w:r>
      <w:r w:rsidR="008636D3">
        <w:rPr>
          <w:lang w:eastAsia="sl-SI"/>
        </w:rPr>
        <w:t xml:space="preserve">, </w:t>
      </w:r>
      <w:r w:rsidR="00651834" w:rsidRPr="008636D3">
        <w:rPr>
          <w:lang w:eastAsia="sl-SI"/>
        </w:rPr>
        <w:t xml:space="preserve">če upravičenec z ločitvijo dejavnosti ali stroškov zagotovi, da primarna kmetijska proizvodnja ne prejema pomoči </w:t>
      </w:r>
      <w:r w:rsidR="00651834" w:rsidRPr="008E1543">
        <w:rPr>
          <w:i/>
          <w:iCs/>
          <w:lang w:eastAsia="sl-SI"/>
        </w:rPr>
        <w:t xml:space="preserve">de </w:t>
      </w:r>
      <w:proofErr w:type="spellStart"/>
      <w:r w:rsidR="00651834" w:rsidRPr="008E1543">
        <w:rPr>
          <w:i/>
          <w:iCs/>
          <w:lang w:eastAsia="sl-SI"/>
        </w:rPr>
        <w:t>minimis</w:t>
      </w:r>
      <w:proofErr w:type="spellEnd"/>
      <w:r w:rsidR="00651834" w:rsidRPr="008636D3">
        <w:rPr>
          <w:lang w:eastAsia="sl-SI"/>
        </w:rPr>
        <w:t>, dodeljene v skladu z Uredbo 717/2014/EU.</w:t>
      </w:r>
    </w:p>
    <w:p w14:paraId="5CB5E7DF" w14:textId="77777777" w:rsidR="00036E88" w:rsidRPr="00AC1549" w:rsidRDefault="00036E88" w:rsidP="00B71FB1">
      <w:pPr>
        <w:suppressAutoHyphens/>
        <w:overflowPunct w:val="0"/>
        <w:autoSpaceDE w:val="0"/>
        <w:autoSpaceDN w:val="0"/>
        <w:adjustRightInd w:val="0"/>
        <w:spacing w:after="0" w:line="240" w:lineRule="auto"/>
        <w:textAlignment w:val="baseline"/>
        <w:rPr>
          <w:rFonts w:eastAsia="Times New Roman" w:cs="Arial"/>
          <w:szCs w:val="20"/>
        </w:rPr>
      </w:pPr>
    </w:p>
    <w:p w14:paraId="498D2E47" w14:textId="282C9207" w:rsidR="00036E88" w:rsidRPr="00AC1549" w:rsidRDefault="00036E88" w:rsidP="008E1543">
      <w:pPr>
        <w:pStyle w:val="Naslov2"/>
        <w:numPr>
          <w:ilvl w:val="0"/>
          <w:numId w:val="9"/>
        </w:numPr>
        <w:rPr>
          <w:rFonts w:eastAsia="Times New Roman"/>
          <w:lang w:eastAsia="sl-SI"/>
        </w:rPr>
      </w:pPr>
      <w:r w:rsidRPr="00AC1549">
        <w:rPr>
          <w:rFonts w:eastAsia="Times New Roman"/>
          <w:lang w:eastAsia="sl-SI"/>
        </w:rPr>
        <w:t>PREVERBA PRED ODOBRITVIJO POMOČI IN POROČANJE</w:t>
      </w:r>
    </w:p>
    <w:p w14:paraId="3EF2F83E" w14:textId="77777777" w:rsidR="008E1543" w:rsidRPr="008E1543" w:rsidRDefault="00036E88" w:rsidP="008E1543">
      <w:pPr>
        <w:pStyle w:val="Odstavekseznama"/>
        <w:numPr>
          <w:ilvl w:val="1"/>
          <w:numId w:val="9"/>
        </w:numPr>
        <w:rPr>
          <w:lang w:eastAsia="sl-SI"/>
        </w:rPr>
      </w:pPr>
      <w:r w:rsidRPr="008E1543">
        <w:rPr>
          <w:lang w:eastAsia="sl-SI"/>
        </w:rPr>
        <w:t>V skladu s prvim odstavkom 17. člena Uredbe mora</w:t>
      </w:r>
      <w:r w:rsidRPr="008E1543">
        <w:rPr>
          <w:szCs w:val="24"/>
        </w:rPr>
        <w:t xml:space="preserve"> </w:t>
      </w:r>
      <w:r w:rsidR="00A247A0" w:rsidRPr="008E1543">
        <w:rPr>
          <w:lang w:eastAsia="sl-SI"/>
        </w:rPr>
        <w:t>a</w:t>
      </w:r>
      <w:r w:rsidRPr="008E1543">
        <w:rPr>
          <w:lang w:eastAsia="sl-SI"/>
        </w:rPr>
        <w:t xml:space="preserve">gencija še pred odobritvijo pomoči preveriti višino že dodeljene pomoči </w:t>
      </w:r>
      <w:r w:rsidRPr="008E1543">
        <w:rPr>
          <w:i/>
          <w:lang w:eastAsia="sl-SI"/>
        </w:rPr>
        <w:t xml:space="preserve">de </w:t>
      </w:r>
      <w:proofErr w:type="spellStart"/>
      <w:r w:rsidRPr="008E1543">
        <w:rPr>
          <w:i/>
          <w:lang w:eastAsia="sl-SI"/>
        </w:rPr>
        <w:t>minimis</w:t>
      </w:r>
      <w:proofErr w:type="spellEnd"/>
      <w:r w:rsidRPr="008E1543">
        <w:rPr>
          <w:lang w:eastAsia="sl-SI"/>
        </w:rPr>
        <w:t xml:space="preserve"> za posameznega upravičenca v centralni evidenci pomoči </w:t>
      </w:r>
      <w:r w:rsidRPr="008E1543">
        <w:rPr>
          <w:i/>
          <w:lang w:eastAsia="sl-SI"/>
        </w:rPr>
        <w:t xml:space="preserve">de </w:t>
      </w:r>
      <w:proofErr w:type="spellStart"/>
      <w:r w:rsidRPr="008E1543">
        <w:rPr>
          <w:i/>
          <w:lang w:eastAsia="sl-SI"/>
        </w:rPr>
        <w:t>minim</w:t>
      </w:r>
      <w:r w:rsidRPr="008E1543">
        <w:rPr>
          <w:lang w:eastAsia="sl-SI"/>
        </w:rPr>
        <w:t>is</w:t>
      </w:r>
      <w:proofErr w:type="spellEnd"/>
      <w:r w:rsidRPr="008E1543">
        <w:rPr>
          <w:lang w:eastAsia="sl-SI"/>
        </w:rPr>
        <w:t xml:space="preserve"> za kmetijstvo in ribištvo, ki jo vodi ministrstvo</w:t>
      </w:r>
      <w:r w:rsidRPr="008E1543">
        <w:rPr>
          <w:szCs w:val="24"/>
        </w:rPr>
        <w:t xml:space="preserve">, za </w:t>
      </w:r>
      <w:r w:rsidRPr="008E1543">
        <w:rPr>
          <w:i/>
          <w:szCs w:val="24"/>
        </w:rPr>
        <w:t xml:space="preserve">de </w:t>
      </w:r>
      <w:proofErr w:type="spellStart"/>
      <w:r w:rsidRPr="008E1543">
        <w:rPr>
          <w:i/>
          <w:szCs w:val="24"/>
        </w:rPr>
        <w:t>minimis</w:t>
      </w:r>
      <w:proofErr w:type="spellEnd"/>
      <w:r w:rsidRPr="008E1543">
        <w:rPr>
          <w:i/>
          <w:szCs w:val="24"/>
        </w:rPr>
        <w:t xml:space="preserve"> </w:t>
      </w:r>
      <w:r w:rsidRPr="008E1543">
        <w:rPr>
          <w:szCs w:val="24"/>
        </w:rPr>
        <w:t>v gospodarskem sektorju, pa v evidenci državnih pomoči, ki jo vodi Sektor za spremljanje državnih pomoči na ministrstvu, pristojnem za finance.</w:t>
      </w:r>
    </w:p>
    <w:p w14:paraId="40D9664B" w14:textId="77777777" w:rsidR="008E1543" w:rsidRDefault="00036E88" w:rsidP="008E1543">
      <w:pPr>
        <w:pStyle w:val="Odstavekseznama"/>
        <w:numPr>
          <w:ilvl w:val="1"/>
          <w:numId w:val="9"/>
        </w:numPr>
        <w:rPr>
          <w:lang w:eastAsia="sl-SI"/>
        </w:rPr>
      </w:pPr>
      <w:r w:rsidRPr="00036E88">
        <w:rPr>
          <w:lang w:eastAsia="sl-SI"/>
        </w:rPr>
        <w:t>V skladu z drugim o</w:t>
      </w:r>
      <w:r w:rsidR="00A247A0">
        <w:rPr>
          <w:lang w:eastAsia="sl-SI"/>
        </w:rPr>
        <w:t>dstavkom 17. člena Uredbe mora a</w:t>
      </w:r>
      <w:r w:rsidRPr="00036E88">
        <w:rPr>
          <w:lang w:eastAsia="sl-SI"/>
        </w:rPr>
        <w:t xml:space="preserve">gencija za upravičence, ki so enotno podjetje, predhodno preveriti, da že dodeljena pomoč </w:t>
      </w:r>
      <w:r w:rsidRPr="008E1543">
        <w:rPr>
          <w:i/>
          <w:lang w:eastAsia="sl-SI"/>
        </w:rPr>
        <w:t xml:space="preserve">de </w:t>
      </w:r>
      <w:proofErr w:type="spellStart"/>
      <w:r w:rsidRPr="008E1543">
        <w:rPr>
          <w:i/>
          <w:lang w:eastAsia="sl-SI"/>
        </w:rPr>
        <w:t>minimis</w:t>
      </w:r>
      <w:proofErr w:type="spellEnd"/>
      <w:r w:rsidRPr="00036E88">
        <w:rPr>
          <w:lang w:eastAsia="sl-SI"/>
        </w:rPr>
        <w:t xml:space="preserve"> za vsa podjetja v okviru enotnega podjetja ne presega 25.000 eurov v katerem koli obdobju treh proračunskih let.</w:t>
      </w:r>
    </w:p>
    <w:p w14:paraId="76BCE699" w14:textId="2A169EDE" w:rsidR="00036E88" w:rsidRPr="00036E88" w:rsidRDefault="00036E88" w:rsidP="008E1543">
      <w:pPr>
        <w:pStyle w:val="Odstavekseznama"/>
        <w:numPr>
          <w:ilvl w:val="1"/>
          <w:numId w:val="9"/>
        </w:numPr>
        <w:rPr>
          <w:lang w:eastAsia="sl-SI"/>
        </w:rPr>
      </w:pPr>
      <w:r w:rsidRPr="00036E88">
        <w:rPr>
          <w:lang w:eastAsia="sl-SI"/>
        </w:rPr>
        <w:t>Enotno podjetje v skladu z drugim odstavkom 2. člena Uredbe 1408/2013/EU pomeni vsa podjetja, ki so med seboj najmanj v enem od naslednjih razmerij:</w:t>
      </w:r>
    </w:p>
    <w:p w14:paraId="47E76AED" w14:textId="77777777" w:rsidR="00036E88" w:rsidRPr="00036E88" w:rsidRDefault="00036E88" w:rsidP="008E1543">
      <w:pPr>
        <w:pStyle w:val="Odstavekseznama"/>
        <w:numPr>
          <w:ilvl w:val="0"/>
          <w:numId w:val="14"/>
        </w:numPr>
        <w:rPr>
          <w:lang w:eastAsia="sl-SI"/>
        </w:rPr>
      </w:pPr>
      <w:r w:rsidRPr="00036E88">
        <w:rPr>
          <w:lang w:eastAsia="sl-SI"/>
        </w:rPr>
        <w:t>podjetje ima večino glasovalnih pravic delničarjev ali družbenikov drugega podjetja;</w:t>
      </w:r>
    </w:p>
    <w:p w14:paraId="13FDDCF1" w14:textId="77777777" w:rsidR="00036E88" w:rsidRPr="00036E88" w:rsidRDefault="00036E88" w:rsidP="008E1543">
      <w:pPr>
        <w:pStyle w:val="Odstavekseznama"/>
        <w:numPr>
          <w:ilvl w:val="0"/>
          <w:numId w:val="14"/>
        </w:numPr>
        <w:rPr>
          <w:lang w:eastAsia="sl-SI"/>
        </w:rPr>
      </w:pPr>
      <w:r w:rsidRPr="00036E88">
        <w:rPr>
          <w:lang w:eastAsia="sl-SI"/>
        </w:rPr>
        <w:t>podjetje ima pravico imenovati ali odpoklicati večino članov upravnega, poslovodnega ali nadzornega organa drugega podjetja;</w:t>
      </w:r>
    </w:p>
    <w:p w14:paraId="0D11D109" w14:textId="77777777" w:rsidR="00036E88" w:rsidRPr="00036E88" w:rsidRDefault="00036E88" w:rsidP="008E1543">
      <w:pPr>
        <w:pStyle w:val="Odstavekseznama"/>
        <w:numPr>
          <w:ilvl w:val="0"/>
          <w:numId w:val="14"/>
        </w:numPr>
        <w:rPr>
          <w:lang w:eastAsia="sl-SI"/>
        </w:rPr>
      </w:pPr>
      <w:r w:rsidRPr="00036E88">
        <w:rPr>
          <w:lang w:eastAsia="sl-SI"/>
        </w:rPr>
        <w:t>podjetje ima pravico izvrševati prevladujoč vpliv na drugo podjetje na podlagi pogodbe, sklenjene z navedenim podjetjem, ali določbe v njegovi družbeni pogodbi ali statutu;</w:t>
      </w:r>
    </w:p>
    <w:p w14:paraId="7F8D04AE" w14:textId="77777777" w:rsidR="00036E88" w:rsidRPr="00036E88" w:rsidRDefault="00036E88" w:rsidP="008E1543">
      <w:pPr>
        <w:pStyle w:val="Odstavekseznama"/>
        <w:numPr>
          <w:ilvl w:val="0"/>
          <w:numId w:val="14"/>
        </w:numPr>
        <w:rPr>
          <w:lang w:eastAsia="sl-SI"/>
        </w:rPr>
      </w:pPr>
      <w:r w:rsidRPr="00036E88">
        <w:rPr>
          <w:lang w:eastAsia="sl-SI"/>
        </w:rPr>
        <w:t>podjetje, ki je delničar ali družbenik drugega podjetja, na podlagi dogovora z drugimi delničarji ali družbeniki navedenega podjetja sámo nadzoruje večino glasovalnih pravic delničarjev ali družbenikov navedenega podjetja.</w:t>
      </w:r>
    </w:p>
    <w:p w14:paraId="5FF9932D" w14:textId="77777777" w:rsidR="00036E88" w:rsidRPr="00036E88" w:rsidRDefault="00036E88" w:rsidP="008E1543">
      <w:pPr>
        <w:pStyle w:val="Odstavekseznama"/>
        <w:rPr>
          <w:lang w:eastAsia="sl-SI"/>
        </w:rPr>
      </w:pPr>
      <w:r w:rsidRPr="00036E88">
        <w:rPr>
          <w:lang w:eastAsia="sl-SI"/>
        </w:rPr>
        <w:t>Podjetja, ki so v katerem koli razmerju iz podtočk a) do d) te točke preko enega ali več drugih podjetij, prav tako veljajo za enotno podjetje.</w:t>
      </w:r>
    </w:p>
    <w:p w14:paraId="04900AE1" w14:textId="0BD696B0" w:rsidR="00036E88" w:rsidRPr="00036E88" w:rsidRDefault="00036E88" w:rsidP="008E1543">
      <w:pPr>
        <w:pStyle w:val="Odstavekseznama"/>
        <w:numPr>
          <w:ilvl w:val="1"/>
          <w:numId w:val="9"/>
        </w:numPr>
        <w:rPr>
          <w:lang w:eastAsia="sl-SI"/>
        </w:rPr>
      </w:pPr>
      <w:r w:rsidRPr="00036E88">
        <w:rPr>
          <w:lang w:eastAsia="sl-SI"/>
        </w:rPr>
        <w:t>V skladu s tretjim o</w:t>
      </w:r>
      <w:r w:rsidR="00A247A0">
        <w:rPr>
          <w:lang w:eastAsia="sl-SI"/>
        </w:rPr>
        <w:t>dstavkom 17. člena Uredbe mora a</w:t>
      </w:r>
      <w:r w:rsidRPr="00036E88">
        <w:rPr>
          <w:lang w:eastAsia="sl-SI"/>
        </w:rPr>
        <w:t xml:space="preserve">gencija v roku 15 dni po izplačilu pomoči </w:t>
      </w:r>
      <w:r w:rsidRPr="00036E88">
        <w:rPr>
          <w:i/>
          <w:lang w:eastAsia="sl-SI"/>
        </w:rPr>
        <w:t xml:space="preserve">de </w:t>
      </w:r>
      <w:proofErr w:type="spellStart"/>
      <w:r w:rsidRPr="00036E88">
        <w:rPr>
          <w:i/>
          <w:lang w:eastAsia="sl-SI"/>
        </w:rPr>
        <w:t>minimis</w:t>
      </w:r>
      <w:proofErr w:type="spellEnd"/>
      <w:r w:rsidRPr="00036E88">
        <w:rPr>
          <w:lang w:eastAsia="sl-SI"/>
        </w:rPr>
        <w:t xml:space="preserve"> posameznemu upravičencu poročati ministrstvu o dodeljenih </w:t>
      </w:r>
      <w:r w:rsidRPr="00036E88">
        <w:rPr>
          <w:lang w:eastAsia="sl-SI"/>
        </w:rPr>
        <w:lastRenderedPageBreak/>
        <w:t>pomočeh na obrazcu in na način, ki ga ministrstvo objavi na osrednjem spletnem mestu državne uprave</w:t>
      </w:r>
      <w:r w:rsidR="0090420A">
        <w:rPr>
          <w:lang w:eastAsia="sl-SI"/>
        </w:rPr>
        <w:t>.</w:t>
      </w:r>
    </w:p>
    <w:p w14:paraId="24FE11F0" w14:textId="77777777" w:rsidR="00036E88" w:rsidRPr="00036E88" w:rsidRDefault="00036E88" w:rsidP="008E1543">
      <w:pPr>
        <w:pStyle w:val="Odstavekseznama"/>
        <w:rPr>
          <w:b/>
        </w:rPr>
      </w:pPr>
    </w:p>
    <w:p w14:paraId="4202E081" w14:textId="31545A7D" w:rsidR="00036E88" w:rsidRPr="00036E88" w:rsidRDefault="00036E88" w:rsidP="008E1543">
      <w:pPr>
        <w:pStyle w:val="Naslov2"/>
        <w:numPr>
          <w:ilvl w:val="0"/>
          <w:numId w:val="9"/>
        </w:numPr>
        <w:rPr>
          <w:rFonts w:eastAsia="Times New Roman"/>
          <w:lang w:eastAsia="sl-SI"/>
        </w:rPr>
      </w:pPr>
      <w:r w:rsidRPr="00036E88">
        <w:rPr>
          <w:rFonts w:eastAsia="Times New Roman"/>
          <w:lang w:eastAsia="sl-SI"/>
        </w:rPr>
        <w:t xml:space="preserve">ROK IN NAČIN PRIJAVE </w:t>
      </w:r>
    </w:p>
    <w:p w14:paraId="3A778E0C" w14:textId="77777777" w:rsidR="008E1543" w:rsidRDefault="00036E88" w:rsidP="008E1543">
      <w:pPr>
        <w:pStyle w:val="Odstavekseznama"/>
        <w:numPr>
          <w:ilvl w:val="1"/>
          <w:numId w:val="9"/>
        </w:numPr>
        <w:rPr>
          <w:lang w:eastAsia="sl-SI"/>
        </w:rPr>
      </w:pPr>
      <w:r w:rsidRPr="00036E88">
        <w:rPr>
          <w:lang w:eastAsia="sl-SI"/>
        </w:rPr>
        <w:t xml:space="preserve">V skladu s tretjim odstavkom 12. člena Uredbe, se vloge na javni razpis začnejo vlagati peti dan po objavi javnega razpisa v Uradnem listu Republike Slovenije. Vloge se lahko vlagajo do zaprtja javnega razpisa, ki se objavi na osrednjem spletnem mestu državne uprave. </w:t>
      </w:r>
    </w:p>
    <w:p w14:paraId="28A63AC4" w14:textId="77777777" w:rsidR="008E1543" w:rsidRDefault="00036E88" w:rsidP="008E1543">
      <w:pPr>
        <w:pStyle w:val="Odstavekseznama"/>
        <w:numPr>
          <w:ilvl w:val="1"/>
          <w:numId w:val="9"/>
        </w:numPr>
        <w:rPr>
          <w:lang w:eastAsia="sl-SI"/>
        </w:rPr>
      </w:pPr>
      <w:r w:rsidRPr="00036E88">
        <w:rPr>
          <w:lang w:eastAsia="sl-SI"/>
        </w:rPr>
        <w:t>V skladu s četrtim</w:t>
      </w:r>
      <w:r w:rsidR="00CF49E6">
        <w:rPr>
          <w:lang w:eastAsia="sl-SI"/>
        </w:rPr>
        <w:t xml:space="preserve"> in šestim</w:t>
      </w:r>
      <w:r w:rsidRPr="00036E88">
        <w:rPr>
          <w:lang w:eastAsia="sl-SI"/>
        </w:rPr>
        <w:t xml:space="preserve"> odstavkom 13. člena Uredbe se vloga na javni razpis izpolni i</w:t>
      </w:r>
      <w:r w:rsidR="00A247A0">
        <w:rPr>
          <w:lang w:eastAsia="sl-SI"/>
        </w:rPr>
        <w:t>n vloži v informacijski sistem a</w:t>
      </w:r>
      <w:r w:rsidRPr="00036E88">
        <w:rPr>
          <w:lang w:eastAsia="sl-SI"/>
        </w:rPr>
        <w:t xml:space="preserve">gencije, ki se nahaja na vstopnem spletnem mestu na naslovu https://e-kmetija.gov.si, v elektronski obliki, podpisana s kvalificiranim elektronskim podpisom. Priloge se predložijo </w:t>
      </w:r>
      <w:r w:rsidR="0090420A" w:rsidRPr="0090420A">
        <w:rPr>
          <w:lang w:eastAsia="sl-SI"/>
        </w:rPr>
        <w:t xml:space="preserve">v informacijski sistem v obliki </w:t>
      </w:r>
      <w:proofErr w:type="spellStart"/>
      <w:r w:rsidR="0090420A" w:rsidRPr="0090420A">
        <w:rPr>
          <w:lang w:eastAsia="sl-SI"/>
        </w:rPr>
        <w:t>skenograma</w:t>
      </w:r>
      <w:proofErr w:type="spellEnd"/>
      <w:r w:rsidR="0090420A" w:rsidRPr="0090420A">
        <w:rPr>
          <w:lang w:eastAsia="sl-SI"/>
        </w:rPr>
        <w:t>.</w:t>
      </w:r>
      <w:r w:rsidR="0090420A">
        <w:rPr>
          <w:lang w:eastAsia="sl-SI"/>
        </w:rPr>
        <w:t xml:space="preserve"> </w:t>
      </w:r>
    </w:p>
    <w:p w14:paraId="43BF653B" w14:textId="77777777" w:rsidR="008E1543" w:rsidRDefault="00036E88" w:rsidP="008E1543">
      <w:pPr>
        <w:pStyle w:val="Odstavekseznama"/>
        <w:numPr>
          <w:ilvl w:val="1"/>
          <w:numId w:val="9"/>
        </w:numPr>
        <w:rPr>
          <w:lang w:eastAsia="sl-SI"/>
        </w:rPr>
      </w:pPr>
      <w:r w:rsidRPr="00036E88">
        <w:rPr>
          <w:lang w:eastAsia="sl-SI"/>
        </w:rPr>
        <w:t xml:space="preserve">V skladu s petim odstavkom 13. člena Uredbe vlogo na javni razpis vlagatelj ali njegov pooblaščenec za elektronsko vložitev izpolni in vloži na </w:t>
      </w:r>
      <w:r w:rsidR="00A247A0">
        <w:rPr>
          <w:lang w:eastAsia="sl-SI"/>
        </w:rPr>
        <w:t>a</w:t>
      </w:r>
      <w:r w:rsidRPr="00036E88">
        <w:rPr>
          <w:lang w:eastAsia="sl-SI"/>
        </w:rPr>
        <w:t>gencijo v elektronski obliki, podpisano s kvalificiranim elektronskim podpisom.</w:t>
      </w:r>
    </w:p>
    <w:p w14:paraId="7CDAA4B8" w14:textId="77777777" w:rsidR="008E1543" w:rsidRDefault="00036E88" w:rsidP="008E1543">
      <w:pPr>
        <w:pStyle w:val="Odstavekseznama"/>
        <w:numPr>
          <w:ilvl w:val="1"/>
          <w:numId w:val="9"/>
        </w:numPr>
        <w:rPr>
          <w:lang w:eastAsia="sl-SI"/>
        </w:rPr>
      </w:pPr>
      <w:r w:rsidRPr="00036E88">
        <w:rPr>
          <w:lang w:eastAsia="sl-SI"/>
        </w:rPr>
        <w:t>Če vlogo na javni razpis vlaga pooblaščenec za elektronsko vložitev, se v skladu s sedmim odstavkom 13. člena Uredbe pred elektronsko vl</w:t>
      </w:r>
      <w:r w:rsidR="00A247A0">
        <w:rPr>
          <w:lang w:eastAsia="sl-SI"/>
        </w:rPr>
        <w:t>ožitvijo vloge, registrira pri a</w:t>
      </w:r>
      <w:r w:rsidRPr="00036E88">
        <w:rPr>
          <w:lang w:eastAsia="sl-SI"/>
        </w:rPr>
        <w:t>genciji. Pooblaščenec za elektronsko vložitev pri vnosu vloge izpolni pooblastilo za dostop in u</w:t>
      </w:r>
      <w:r w:rsidR="00A247A0">
        <w:rPr>
          <w:lang w:eastAsia="sl-SI"/>
        </w:rPr>
        <w:t>porabo informacijskega sistema a</w:t>
      </w:r>
      <w:r w:rsidRPr="00036E88">
        <w:rPr>
          <w:lang w:eastAsia="sl-SI"/>
        </w:rPr>
        <w:t>gencije. S podpisom na vlogi vlagatelj ali njegov pooblaščenec za elektronsko vložitev potrdi pravilnost vnosa podatkov</w:t>
      </w:r>
    </w:p>
    <w:p w14:paraId="71CF0C07" w14:textId="12DB29AE" w:rsidR="00036E88" w:rsidRPr="00036E88" w:rsidRDefault="00036E88" w:rsidP="008E1543">
      <w:pPr>
        <w:pStyle w:val="Odstavekseznama"/>
        <w:numPr>
          <w:ilvl w:val="1"/>
          <w:numId w:val="9"/>
        </w:numPr>
        <w:rPr>
          <w:lang w:eastAsia="sl-SI"/>
        </w:rPr>
      </w:pPr>
      <w:r w:rsidRPr="00036E88">
        <w:rPr>
          <w:lang w:eastAsia="sl-SI"/>
        </w:rPr>
        <w:t>Podrobna navodila o prijavi v informacijski sistem in izpolnjevanju vloge v njem ter vlaganju vloge se objavijo na osrednjem spletnem mestu državne uprave</w:t>
      </w:r>
      <w:r w:rsidR="0090420A">
        <w:rPr>
          <w:lang w:eastAsia="sl-SI"/>
        </w:rPr>
        <w:t>.</w:t>
      </w:r>
    </w:p>
    <w:p w14:paraId="2F0D4C59" w14:textId="77777777" w:rsidR="00036E88" w:rsidRPr="00036E88" w:rsidRDefault="00036E88" w:rsidP="00B71FB1">
      <w:pPr>
        <w:overflowPunct w:val="0"/>
        <w:autoSpaceDE w:val="0"/>
        <w:autoSpaceDN w:val="0"/>
        <w:adjustRightInd w:val="0"/>
        <w:spacing w:after="0" w:line="240" w:lineRule="auto"/>
        <w:ind w:left="360"/>
        <w:textAlignment w:val="baseline"/>
        <w:rPr>
          <w:rFonts w:eastAsia="Times New Roman" w:cs="Arial"/>
          <w:szCs w:val="20"/>
          <w:lang w:eastAsia="sl-SI"/>
        </w:rPr>
      </w:pPr>
    </w:p>
    <w:p w14:paraId="2C36CA13" w14:textId="5A6339AA" w:rsidR="00036E88" w:rsidRPr="00036E88" w:rsidRDefault="00036E88" w:rsidP="008E1543">
      <w:pPr>
        <w:pStyle w:val="Naslov2"/>
        <w:numPr>
          <w:ilvl w:val="0"/>
          <w:numId w:val="9"/>
        </w:numPr>
        <w:rPr>
          <w:rFonts w:eastAsia="Times New Roman"/>
        </w:rPr>
      </w:pPr>
      <w:r w:rsidRPr="00036E88">
        <w:rPr>
          <w:rFonts w:eastAsia="Times New Roman"/>
        </w:rPr>
        <w:t>OBRAVNAVA IN POSTOPEK ODOBRITVE VLOG</w:t>
      </w:r>
    </w:p>
    <w:p w14:paraId="02BCDB9B" w14:textId="77777777" w:rsidR="008E1543" w:rsidRDefault="0035120E" w:rsidP="008E1543">
      <w:pPr>
        <w:pStyle w:val="Odstavekseznama"/>
        <w:numPr>
          <w:ilvl w:val="1"/>
          <w:numId w:val="9"/>
        </w:numPr>
      </w:pPr>
      <w:r w:rsidRPr="0035120E">
        <w:t>Odpiranje in obravnavo vlog, ter odpravo njihovih pomanjkljivosti po vrstnem redu oddaje vlog na javni razpis ureja deveti in deseti odstavek 13. člena Uredbe.</w:t>
      </w:r>
    </w:p>
    <w:p w14:paraId="6F1E8035" w14:textId="7FF2B1EE" w:rsidR="008E1543" w:rsidRDefault="0035120E" w:rsidP="008E1543">
      <w:pPr>
        <w:pStyle w:val="Odstavekseznama"/>
        <w:numPr>
          <w:ilvl w:val="1"/>
          <w:numId w:val="9"/>
        </w:numPr>
      </w:pPr>
      <w:r w:rsidRPr="0035120E">
        <w:t>V skladu z enajstim odstavkom 13. člena Uredbe, se vloga, ki je popolna in izpolnjuje predpisane pogoje, vendar razpoložljiva sredstva ne zadoščajo za dodelitev sredstev v celoti, lahko odobri do višine razpoložljivih sredstev, če se vlagatelj s tem strinj</w:t>
      </w:r>
      <w:r w:rsidR="008E1543">
        <w:t>a.</w:t>
      </w:r>
    </w:p>
    <w:p w14:paraId="4419C9BB" w14:textId="77777777" w:rsidR="008E1543" w:rsidRDefault="0035120E" w:rsidP="008E1543">
      <w:pPr>
        <w:pStyle w:val="Odstavekseznama"/>
        <w:numPr>
          <w:ilvl w:val="1"/>
          <w:numId w:val="9"/>
        </w:numPr>
      </w:pPr>
      <w:r w:rsidRPr="0035120E">
        <w:t>Vlagatelj mora v osmih dneh od vročitve obvestila poslati na agencijo izjavo, da se s tem strinja, sicer se šteje, da se ne strinja.</w:t>
      </w:r>
    </w:p>
    <w:p w14:paraId="7EACD2C7" w14:textId="59C3B594" w:rsidR="00036E88" w:rsidRPr="008E1543" w:rsidRDefault="00036E88" w:rsidP="008E1543">
      <w:pPr>
        <w:pStyle w:val="Odstavekseznama"/>
        <w:numPr>
          <w:ilvl w:val="1"/>
          <w:numId w:val="9"/>
        </w:numPr>
      </w:pPr>
      <w:r w:rsidRPr="008E1543">
        <w:rPr>
          <w:szCs w:val="20"/>
          <w:lang w:eastAsia="x-none"/>
        </w:rPr>
        <w:t>V skladu z 14. členom Uredbe, o izpolnjevanju pogoj</w:t>
      </w:r>
      <w:r w:rsidR="00A247A0" w:rsidRPr="008E1543">
        <w:rPr>
          <w:szCs w:val="20"/>
          <w:lang w:eastAsia="x-none"/>
        </w:rPr>
        <w:t>ev tega javnega razpisa odloči a</w:t>
      </w:r>
      <w:r w:rsidRPr="008E1543">
        <w:rPr>
          <w:szCs w:val="20"/>
          <w:lang w:eastAsia="x-none"/>
        </w:rPr>
        <w:t xml:space="preserve">gencija z odločbo o pravici do sredstev. V odločbi o pravici do sredstev se navede, da gre za pomoč </w:t>
      </w:r>
      <w:r w:rsidRPr="008E1543">
        <w:rPr>
          <w:i/>
          <w:szCs w:val="20"/>
          <w:lang w:eastAsia="x-none"/>
        </w:rPr>
        <w:t xml:space="preserve">de </w:t>
      </w:r>
      <w:proofErr w:type="spellStart"/>
      <w:r w:rsidRPr="008E1543">
        <w:rPr>
          <w:i/>
          <w:szCs w:val="20"/>
          <w:lang w:eastAsia="x-none"/>
        </w:rPr>
        <w:t>minimis</w:t>
      </w:r>
      <w:proofErr w:type="spellEnd"/>
      <w:r w:rsidRPr="008E1543">
        <w:rPr>
          <w:szCs w:val="20"/>
          <w:lang w:eastAsia="x-none"/>
        </w:rPr>
        <w:t xml:space="preserve"> v kmetijskem sektorju po Uredbi</w:t>
      </w:r>
      <w:r w:rsidRPr="008E1543">
        <w:rPr>
          <w:szCs w:val="20"/>
          <w:lang w:eastAsia="sl-SI"/>
        </w:rPr>
        <w:t xml:space="preserve"> 1408/2013/EU.</w:t>
      </w:r>
    </w:p>
    <w:p w14:paraId="471F244A" w14:textId="77777777" w:rsidR="00036E88" w:rsidRPr="00036E88" w:rsidRDefault="00036E88" w:rsidP="008E1543">
      <w:pPr>
        <w:pStyle w:val="Odstavekseznama"/>
        <w:rPr>
          <w:szCs w:val="20"/>
        </w:rPr>
      </w:pPr>
    </w:p>
    <w:p w14:paraId="10BFF870" w14:textId="44E4C456" w:rsidR="00036E88" w:rsidRPr="00036E88" w:rsidRDefault="00036E88" w:rsidP="008E1543">
      <w:pPr>
        <w:pStyle w:val="Naslov2"/>
        <w:numPr>
          <w:ilvl w:val="0"/>
          <w:numId w:val="9"/>
        </w:numPr>
        <w:rPr>
          <w:rFonts w:eastAsia="Times New Roman"/>
        </w:rPr>
      </w:pPr>
      <w:r w:rsidRPr="00036E88">
        <w:rPr>
          <w:rFonts w:eastAsia="Times New Roman"/>
        </w:rPr>
        <w:t>OBDELAVA OSEBNIH PODATKOV</w:t>
      </w:r>
    </w:p>
    <w:p w14:paraId="2FAA9417" w14:textId="207F4E4F" w:rsidR="00036E88" w:rsidRPr="00036E88" w:rsidRDefault="00036E88" w:rsidP="008E1543">
      <w:pPr>
        <w:pStyle w:val="Odstavekseznama"/>
      </w:pPr>
      <w:r w:rsidRPr="00036E88">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so informacije za posameznike, kateri</w:t>
      </w:r>
      <w:r w:rsidR="00A247A0">
        <w:t>h osebne podatke bo obdelovala a</w:t>
      </w:r>
      <w:r w:rsidRPr="00036E88">
        <w:t>gencija, objavljene na spletni strani</w:t>
      </w:r>
      <w:r w:rsidR="00A247A0">
        <w:t xml:space="preserve"> a</w:t>
      </w:r>
      <w:r w:rsidRPr="00036E88">
        <w:t>gencije.</w:t>
      </w:r>
    </w:p>
    <w:p w14:paraId="3E00010F" w14:textId="77777777" w:rsidR="00036E88" w:rsidRPr="00036E88" w:rsidRDefault="00036E88" w:rsidP="00B71FB1">
      <w:pPr>
        <w:tabs>
          <w:tab w:val="left" w:pos="567"/>
        </w:tabs>
        <w:spacing w:after="0" w:line="240" w:lineRule="auto"/>
        <w:rPr>
          <w:rFonts w:eastAsia="Times New Roman" w:cs="Arial"/>
          <w:szCs w:val="20"/>
        </w:rPr>
      </w:pPr>
    </w:p>
    <w:p w14:paraId="08C5B09D" w14:textId="3BE212D8" w:rsidR="00AC1549" w:rsidRPr="00AC1549" w:rsidRDefault="00AC1549" w:rsidP="00B71FB1">
      <w:pPr>
        <w:tabs>
          <w:tab w:val="center" w:pos="4536"/>
        </w:tabs>
        <w:spacing w:after="0" w:line="240" w:lineRule="auto"/>
        <w:rPr>
          <w:rFonts w:eastAsia="Times New Roman" w:cs="Arial"/>
          <w:szCs w:val="20"/>
        </w:rPr>
      </w:pPr>
    </w:p>
    <w:p w14:paraId="23153CB8" w14:textId="6A00FBD0" w:rsidR="00AC1549" w:rsidRPr="00AC1549" w:rsidRDefault="00AC1549" w:rsidP="00B71FB1">
      <w:pPr>
        <w:tabs>
          <w:tab w:val="center" w:pos="4536"/>
        </w:tabs>
        <w:spacing w:after="0" w:line="240" w:lineRule="auto"/>
        <w:rPr>
          <w:rFonts w:eastAsia="Times New Roman" w:cs="Arial"/>
          <w:szCs w:val="20"/>
        </w:rPr>
      </w:pPr>
      <w:r>
        <w:rPr>
          <w:rFonts w:eastAsia="Times New Roman" w:cs="Arial"/>
          <w:szCs w:val="20"/>
        </w:rPr>
        <w:tab/>
      </w:r>
      <w:r>
        <w:rPr>
          <w:rFonts w:eastAsia="Times New Roman" w:cs="Arial"/>
          <w:szCs w:val="20"/>
        </w:rPr>
        <w:tab/>
      </w:r>
      <w:r w:rsidR="00511BC0">
        <w:rPr>
          <w:rFonts w:eastAsia="Times New Roman" w:cs="Arial"/>
          <w:szCs w:val="20"/>
        </w:rPr>
        <w:t xml:space="preserve">Mateja </w:t>
      </w:r>
      <w:proofErr w:type="spellStart"/>
      <w:r w:rsidR="00511BC0">
        <w:rPr>
          <w:rFonts w:eastAsia="Times New Roman" w:cs="Arial"/>
          <w:szCs w:val="20"/>
        </w:rPr>
        <w:t>Čalušić</w:t>
      </w:r>
      <w:proofErr w:type="spellEnd"/>
    </w:p>
    <w:p w14:paraId="593BB4FB" w14:textId="203B6E62" w:rsidR="00036E88" w:rsidRPr="00036E88" w:rsidRDefault="00AC1549" w:rsidP="00B71FB1">
      <w:pPr>
        <w:tabs>
          <w:tab w:val="center" w:pos="4536"/>
        </w:tabs>
        <w:spacing w:after="0" w:line="240" w:lineRule="auto"/>
        <w:rPr>
          <w:rFonts w:eastAsia="Times New Roman" w:cs="Arial"/>
          <w:szCs w:val="20"/>
        </w:rPr>
      </w:pPr>
      <w:r>
        <w:rPr>
          <w:rFonts w:eastAsia="Times New Roman" w:cs="Arial"/>
          <w:szCs w:val="20"/>
        </w:rPr>
        <w:tab/>
      </w:r>
      <w:r w:rsidR="00511BC0">
        <w:rPr>
          <w:rFonts w:eastAsia="Times New Roman" w:cs="Arial"/>
          <w:szCs w:val="20"/>
        </w:rPr>
        <w:tab/>
        <w:t xml:space="preserve">   ministrica</w:t>
      </w:r>
    </w:p>
    <w:p w14:paraId="629AE031" w14:textId="77777777" w:rsidR="00343FF9" w:rsidRDefault="00343FF9" w:rsidP="00B71FB1"/>
    <w:sectPr w:rsidR="00343FF9" w:rsidSect="0076769A">
      <w:headerReference w:type="default" r:id="rId12"/>
      <w:footerReference w:type="default" r:id="rId13"/>
      <w:headerReference w:type="first" r:id="rId14"/>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20BF" w14:textId="77777777" w:rsidR="00742A43" w:rsidRDefault="00742A43">
      <w:pPr>
        <w:spacing w:after="0" w:line="240" w:lineRule="auto"/>
      </w:pPr>
      <w:r>
        <w:separator/>
      </w:r>
    </w:p>
  </w:endnote>
  <w:endnote w:type="continuationSeparator" w:id="0">
    <w:p w14:paraId="4746DC32" w14:textId="77777777" w:rsidR="00742A43" w:rsidRDefault="0074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EFC6" w14:textId="1F9463FE" w:rsidR="00D02D92" w:rsidRDefault="00036E88" w:rsidP="0076769A">
    <w:pPr>
      <w:pStyle w:val="Noga"/>
      <w:jc w:val="center"/>
    </w:pPr>
    <w:r>
      <w:fldChar w:fldCharType="begin"/>
    </w:r>
    <w:r>
      <w:instrText>PAGE   \* MERGEFORMAT</w:instrText>
    </w:r>
    <w:r>
      <w:fldChar w:fldCharType="separate"/>
    </w:r>
    <w:r w:rsidR="00DD77B6">
      <w:rPr>
        <w:noProof/>
      </w:rPr>
      <w:t>5</w:t>
    </w:r>
    <w:r>
      <w:fldChar w:fldCharType="end"/>
    </w:r>
  </w:p>
  <w:p w14:paraId="697450AD" w14:textId="77777777" w:rsidR="00D02D92" w:rsidRDefault="00D02D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946A" w14:textId="77777777" w:rsidR="00742A43" w:rsidRDefault="00742A43">
      <w:pPr>
        <w:spacing w:after="0" w:line="240" w:lineRule="auto"/>
      </w:pPr>
      <w:r>
        <w:separator/>
      </w:r>
    </w:p>
  </w:footnote>
  <w:footnote w:type="continuationSeparator" w:id="0">
    <w:p w14:paraId="1328D25F" w14:textId="77777777" w:rsidR="00742A43" w:rsidRDefault="00742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BF6B" w14:textId="77777777" w:rsidR="00D02D92" w:rsidRPr="00110CBD" w:rsidRDefault="00D02D9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D612EA" w:rsidRPr="008F3500" w14:paraId="7CCB078B" w14:textId="77777777" w:rsidTr="008E1543">
      <w:trPr>
        <w:trHeight w:hRule="exact" w:val="847"/>
      </w:trPr>
      <w:tc>
        <w:tcPr>
          <w:tcW w:w="567" w:type="dxa"/>
        </w:tcPr>
        <w:p w14:paraId="15FE045C" w14:textId="77777777" w:rsidR="00D02D92" w:rsidRDefault="00036E88" w:rsidP="00D248D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p w14:paraId="4CFA098C" w14:textId="77777777" w:rsidR="00D02D92" w:rsidRPr="006D42D9" w:rsidRDefault="00D02D92" w:rsidP="006D42D9">
          <w:pPr>
            <w:rPr>
              <w:rFonts w:ascii="Republika" w:hAnsi="Republika"/>
              <w:sz w:val="60"/>
              <w:szCs w:val="60"/>
            </w:rPr>
          </w:pPr>
        </w:p>
        <w:p w14:paraId="2F4D2EAE" w14:textId="77777777" w:rsidR="00D02D92" w:rsidRPr="006D42D9" w:rsidRDefault="00D02D92" w:rsidP="006D42D9">
          <w:pPr>
            <w:rPr>
              <w:rFonts w:ascii="Republika" w:hAnsi="Republika"/>
              <w:sz w:val="60"/>
              <w:szCs w:val="60"/>
            </w:rPr>
          </w:pPr>
        </w:p>
        <w:p w14:paraId="3F04957D" w14:textId="77777777" w:rsidR="00D02D92" w:rsidRPr="006D42D9" w:rsidRDefault="00D02D92" w:rsidP="006D42D9">
          <w:pPr>
            <w:rPr>
              <w:rFonts w:ascii="Republika" w:hAnsi="Republika"/>
              <w:sz w:val="60"/>
              <w:szCs w:val="60"/>
            </w:rPr>
          </w:pPr>
        </w:p>
        <w:p w14:paraId="2DE7B2CE" w14:textId="77777777" w:rsidR="00D02D92" w:rsidRPr="006D42D9" w:rsidRDefault="00D02D92" w:rsidP="006D42D9">
          <w:pPr>
            <w:rPr>
              <w:rFonts w:ascii="Republika" w:hAnsi="Republika"/>
              <w:sz w:val="60"/>
              <w:szCs w:val="60"/>
            </w:rPr>
          </w:pPr>
        </w:p>
        <w:p w14:paraId="2CC34CDF" w14:textId="77777777" w:rsidR="00D02D92" w:rsidRPr="006D42D9" w:rsidRDefault="00D02D92" w:rsidP="006D42D9">
          <w:pPr>
            <w:rPr>
              <w:rFonts w:ascii="Republika" w:hAnsi="Republika"/>
              <w:sz w:val="60"/>
              <w:szCs w:val="60"/>
            </w:rPr>
          </w:pPr>
        </w:p>
        <w:p w14:paraId="5B68DE27" w14:textId="77777777" w:rsidR="00D02D92" w:rsidRPr="006D42D9" w:rsidRDefault="00D02D92" w:rsidP="006D42D9">
          <w:pPr>
            <w:rPr>
              <w:rFonts w:ascii="Republika" w:hAnsi="Republika"/>
              <w:sz w:val="60"/>
              <w:szCs w:val="60"/>
            </w:rPr>
          </w:pPr>
        </w:p>
        <w:p w14:paraId="611F6185" w14:textId="77777777" w:rsidR="00D02D92" w:rsidRPr="006D42D9" w:rsidRDefault="00D02D92" w:rsidP="006D42D9">
          <w:pPr>
            <w:rPr>
              <w:rFonts w:ascii="Republika" w:hAnsi="Republika"/>
              <w:sz w:val="60"/>
              <w:szCs w:val="60"/>
            </w:rPr>
          </w:pPr>
        </w:p>
        <w:p w14:paraId="0BED25FA" w14:textId="77777777" w:rsidR="00D02D92" w:rsidRPr="006D42D9" w:rsidRDefault="00D02D92" w:rsidP="006D42D9">
          <w:pPr>
            <w:rPr>
              <w:rFonts w:ascii="Republika" w:hAnsi="Republika"/>
              <w:sz w:val="60"/>
              <w:szCs w:val="60"/>
            </w:rPr>
          </w:pPr>
        </w:p>
        <w:p w14:paraId="23D6A88F" w14:textId="77777777" w:rsidR="00D02D92" w:rsidRPr="006D42D9" w:rsidRDefault="00D02D92" w:rsidP="006D42D9">
          <w:pPr>
            <w:rPr>
              <w:rFonts w:ascii="Republika" w:hAnsi="Republika"/>
              <w:sz w:val="60"/>
              <w:szCs w:val="60"/>
            </w:rPr>
          </w:pPr>
        </w:p>
        <w:p w14:paraId="7D0D4D63" w14:textId="77777777" w:rsidR="00D02D92" w:rsidRPr="006D42D9" w:rsidRDefault="00D02D92" w:rsidP="006D42D9">
          <w:pPr>
            <w:rPr>
              <w:rFonts w:ascii="Republika" w:hAnsi="Republika"/>
              <w:sz w:val="60"/>
              <w:szCs w:val="60"/>
            </w:rPr>
          </w:pPr>
        </w:p>
        <w:p w14:paraId="025ECE32" w14:textId="77777777" w:rsidR="00D02D92" w:rsidRPr="006D42D9" w:rsidRDefault="00D02D92" w:rsidP="006D42D9">
          <w:pPr>
            <w:rPr>
              <w:rFonts w:ascii="Republika" w:hAnsi="Republika"/>
              <w:sz w:val="60"/>
              <w:szCs w:val="60"/>
            </w:rPr>
          </w:pPr>
        </w:p>
        <w:p w14:paraId="0A191821" w14:textId="77777777" w:rsidR="00D02D92" w:rsidRPr="006D42D9" w:rsidRDefault="00D02D92" w:rsidP="006D42D9">
          <w:pPr>
            <w:rPr>
              <w:rFonts w:ascii="Republika" w:hAnsi="Republika"/>
              <w:sz w:val="60"/>
              <w:szCs w:val="60"/>
            </w:rPr>
          </w:pPr>
        </w:p>
        <w:p w14:paraId="7FBF53CC" w14:textId="77777777" w:rsidR="00D02D92" w:rsidRPr="006D42D9" w:rsidRDefault="00D02D92" w:rsidP="006D42D9">
          <w:pPr>
            <w:rPr>
              <w:rFonts w:ascii="Republika" w:hAnsi="Republika"/>
              <w:sz w:val="60"/>
              <w:szCs w:val="60"/>
            </w:rPr>
          </w:pPr>
        </w:p>
        <w:p w14:paraId="69FEB794" w14:textId="77777777" w:rsidR="00D02D92" w:rsidRPr="006D42D9" w:rsidRDefault="00D02D92" w:rsidP="006D42D9">
          <w:pPr>
            <w:rPr>
              <w:rFonts w:ascii="Republika" w:hAnsi="Republika"/>
              <w:sz w:val="60"/>
              <w:szCs w:val="60"/>
            </w:rPr>
          </w:pPr>
        </w:p>
        <w:p w14:paraId="6BD58AD8" w14:textId="77777777" w:rsidR="00D02D92" w:rsidRPr="006D42D9" w:rsidRDefault="00D02D92" w:rsidP="006D42D9">
          <w:pPr>
            <w:rPr>
              <w:rFonts w:ascii="Republika" w:hAnsi="Republika"/>
              <w:sz w:val="60"/>
              <w:szCs w:val="60"/>
            </w:rPr>
          </w:pPr>
        </w:p>
        <w:p w14:paraId="7A3C77C0" w14:textId="77777777" w:rsidR="00D02D92" w:rsidRPr="006D42D9" w:rsidRDefault="00D02D92" w:rsidP="006D42D9">
          <w:pPr>
            <w:rPr>
              <w:rFonts w:ascii="Republika" w:hAnsi="Republika"/>
              <w:sz w:val="60"/>
              <w:szCs w:val="60"/>
            </w:rPr>
          </w:pPr>
        </w:p>
      </w:tc>
    </w:tr>
  </w:tbl>
  <w:p w14:paraId="13ED5702" w14:textId="3CA1D84A" w:rsidR="00D02D92" w:rsidRPr="008F3500" w:rsidRDefault="00036E88" w:rsidP="001F1EA2">
    <w:pPr>
      <w:autoSpaceDE w:val="0"/>
      <w:autoSpaceDN w:val="0"/>
      <w:adjustRightInd w:val="0"/>
      <w:spacing w:line="240" w:lineRule="auto"/>
      <w:rPr>
        <w:rFonts w:ascii="Republika" w:hAnsi="Republika"/>
      </w:rPr>
    </w:pPr>
    <w:r w:rsidRPr="008F3500">
      <w:rPr>
        <w:rFonts w:ascii="Republika" w:hAnsi="Republika"/>
      </w:rPr>
      <w:t>REPUBLIKA SLOVENIJA</w:t>
    </w:r>
  </w:p>
  <w:p w14:paraId="132FB6C7" w14:textId="77777777" w:rsidR="00D02D92" w:rsidRDefault="00036E88" w:rsidP="001F1EA2">
    <w:pPr>
      <w:pStyle w:val="Glava"/>
      <w:tabs>
        <w:tab w:val="left" w:pos="5112"/>
      </w:tabs>
      <w:rPr>
        <w:rFonts w:ascii="Republika Bold" w:hAnsi="Republika Bold"/>
        <w:b/>
        <w:caps/>
      </w:rPr>
    </w:pPr>
    <w:r>
      <w:rPr>
        <w:rFonts w:ascii="Republika Bold" w:hAnsi="Republika Bold"/>
        <w:b/>
        <w:caps/>
      </w:rPr>
      <w:t xml:space="preserve">Ministrstvo za kmetijstvo, </w:t>
    </w:r>
  </w:p>
  <w:p w14:paraId="2883BBF9" w14:textId="77777777" w:rsidR="00D02D92" w:rsidRPr="0003013A" w:rsidRDefault="00036E88" w:rsidP="001F1EA2">
    <w:pPr>
      <w:pStyle w:val="Glava"/>
      <w:tabs>
        <w:tab w:val="left" w:pos="5112"/>
      </w:tabs>
      <w:rPr>
        <w:rFonts w:ascii="Republika Bold" w:hAnsi="Republika Bold"/>
        <w:b/>
        <w:caps/>
      </w:rPr>
    </w:pPr>
    <w:r>
      <w:rPr>
        <w:rFonts w:ascii="Republika Bold" w:hAnsi="Republika Bold"/>
        <w:b/>
        <w:caps/>
      </w:rPr>
      <w:t>GOZDARSTVO IN PREHRANO</w:t>
    </w:r>
  </w:p>
  <w:p w14:paraId="00EB2E3D" w14:textId="0D7E4BD4" w:rsidR="00D02D92" w:rsidRPr="008F3500" w:rsidRDefault="00036E88" w:rsidP="00D150D7">
    <w:pPr>
      <w:pStyle w:val="Glava"/>
      <w:tabs>
        <w:tab w:val="left" w:pos="5112"/>
      </w:tabs>
      <w:spacing w:before="240" w:line="240" w:lineRule="exact"/>
      <w:rPr>
        <w:rFonts w:cs="Arial"/>
        <w:sz w:val="16"/>
      </w:rPr>
    </w:pPr>
    <w:r>
      <w:rPr>
        <w:rFonts w:cs="Arial"/>
        <w:sz w:val="16"/>
      </w:rPr>
      <w:t>Dunajska cesta 22, 1000 Ljubljana</w:t>
    </w:r>
    <w:r w:rsidRPr="008F3500">
      <w:rPr>
        <w:rFonts w:cs="Arial"/>
        <w:sz w:val="16"/>
      </w:rPr>
      <w:tab/>
      <w:t xml:space="preserve">T: </w:t>
    </w:r>
    <w:r>
      <w:rPr>
        <w:rFonts w:cs="Arial"/>
        <w:sz w:val="16"/>
      </w:rPr>
      <w:t>01 478 90 00</w:t>
    </w:r>
  </w:p>
  <w:p w14:paraId="595987F1" w14:textId="77777777" w:rsidR="00D02D92" w:rsidRPr="008F3500" w:rsidRDefault="00036E88" w:rsidP="007D75CF">
    <w:pPr>
      <w:pStyle w:val="Glava"/>
      <w:tabs>
        <w:tab w:val="left" w:pos="5112"/>
      </w:tabs>
      <w:spacing w:line="240" w:lineRule="exact"/>
      <w:rPr>
        <w:rFonts w:cs="Arial"/>
        <w:sz w:val="16"/>
      </w:rPr>
    </w:pPr>
    <w:r w:rsidRPr="008F3500">
      <w:rPr>
        <w:rFonts w:cs="Arial"/>
        <w:sz w:val="16"/>
      </w:rPr>
      <w:tab/>
      <w:t xml:space="preserve">E: </w:t>
    </w:r>
    <w:r>
      <w:rPr>
        <w:rFonts w:cs="Arial"/>
        <w:sz w:val="16"/>
      </w:rPr>
      <w:t>gp.mkgp@gov.si</w:t>
    </w:r>
  </w:p>
  <w:p w14:paraId="5AC101B7" w14:textId="77777777" w:rsidR="00D02D92" w:rsidRPr="008F3500" w:rsidRDefault="00036E88" w:rsidP="007D75CF">
    <w:pPr>
      <w:pStyle w:val="Glava"/>
      <w:tabs>
        <w:tab w:val="left" w:pos="5112"/>
      </w:tabs>
      <w:spacing w:line="240" w:lineRule="exact"/>
      <w:rPr>
        <w:rFonts w:cs="Arial"/>
        <w:sz w:val="16"/>
      </w:rPr>
    </w:pPr>
    <w:r w:rsidRPr="008F3500">
      <w:rPr>
        <w:rFonts w:cs="Arial"/>
        <w:sz w:val="16"/>
      </w:rPr>
      <w:tab/>
    </w:r>
    <w:r>
      <w:rPr>
        <w:rFonts w:cs="Arial"/>
        <w:sz w:val="16"/>
      </w:rPr>
      <w:t>www.mkgp.gov.si</w:t>
    </w:r>
  </w:p>
  <w:p w14:paraId="396BB4A1" w14:textId="77777777" w:rsidR="00D02D92" w:rsidRPr="008F3500" w:rsidRDefault="00D02D92"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59C"/>
    <w:multiLevelType w:val="hybridMultilevel"/>
    <w:tmpl w:val="75001BCC"/>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70151"/>
    <w:multiLevelType w:val="hybridMultilevel"/>
    <w:tmpl w:val="51861378"/>
    <w:lvl w:ilvl="0" w:tplc="0424000F">
      <w:start w:val="1"/>
      <w:numFmt w:val="decimal"/>
      <w:lvlText w:val="%1."/>
      <w:lvlJc w:val="left"/>
      <w:pPr>
        <w:ind w:left="720" w:hanging="360"/>
      </w:pPr>
      <w:rPr>
        <w:rFonts w:hint="default"/>
      </w:rPr>
    </w:lvl>
    <w:lvl w:ilvl="1" w:tplc="BC386788">
      <w:numFmt w:val="bullet"/>
      <w:lvlText w:val="-"/>
      <w:lvlJc w:val="left"/>
      <w:pPr>
        <w:ind w:left="1815" w:hanging="735"/>
      </w:pPr>
      <w:rPr>
        <w:rFonts w:ascii="Arial" w:eastAsia="Times New Roman" w:hAnsi="Arial" w:cs="Arial" w:hint="default"/>
      </w:rPr>
    </w:lvl>
    <w:lvl w:ilvl="2" w:tplc="BC386788">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B85940"/>
    <w:multiLevelType w:val="hybridMultilevel"/>
    <w:tmpl w:val="6268BC4E"/>
    <w:lvl w:ilvl="0" w:tplc="61E4E62C">
      <w:start w:val="5"/>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9E43B64"/>
    <w:multiLevelType w:val="hybridMultilevel"/>
    <w:tmpl w:val="67FE0042"/>
    <w:lvl w:ilvl="0" w:tplc="61E4E62C">
      <w:start w:val="5"/>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A54006A"/>
    <w:multiLevelType w:val="hybridMultilevel"/>
    <w:tmpl w:val="A81A5F2E"/>
    <w:lvl w:ilvl="0" w:tplc="065AFC8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476253"/>
    <w:multiLevelType w:val="multilevel"/>
    <w:tmpl w:val="E55ED20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2D7904"/>
    <w:multiLevelType w:val="hybridMultilevel"/>
    <w:tmpl w:val="B2248F82"/>
    <w:lvl w:ilvl="0" w:tplc="61E4E62C">
      <w:start w:val="5"/>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6EDB17A9"/>
    <w:multiLevelType w:val="hybridMultilevel"/>
    <w:tmpl w:val="D37A75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F3508D8"/>
    <w:multiLevelType w:val="hybridMultilevel"/>
    <w:tmpl w:val="CFA45A5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74CB5F5C"/>
    <w:multiLevelType w:val="multilevel"/>
    <w:tmpl w:val="A398A8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6E500C"/>
    <w:multiLevelType w:val="hybridMultilevel"/>
    <w:tmpl w:val="500EC2F2"/>
    <w:lvl w:ilvl="0" w:tplc="61E4E6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6"/>
  </w:num>
  <w:num w:numId="6">
    <w:abstractNumId w:val="10"/>
  </w:num>
  <w:num w:numId="7">
    <w:abstractNumId w:val="12"/>
  </w:num>
  <w:num w:numId="8">
    <w:abstractNumId w:val="13"/>
  </w:num>
  <w:num w:numId="9">
    <w:abstractNumId w:val="8"/>
  </w:num>
  <w:num w:numId="10">
    <w:abstractNumId w:val="4"/>
  </w:num>
  <w:num w:numId="11">
    <w:abstractNumId w:val="5"/>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88"/>
    <w:rsid w:val="00036E88"/>
    <w:rsid w:val="002D1409"/>
    <w:rsid w:val="00343FF9"/>
    <w:rsid w:val="0035120E"/>
    <w:rsid w:val="003D0583"/>
    <w:rsid w:val="003F5A7B"/>
    <w:rsid w:val="00511BC0"/>
    <w:rsid w:val="005A3153"/>
    <w:rsid w:val="00651834"/>
    <w:rsid w:val="006617B5"/>
    <w:rsid w:val="006B75D4"/>
    <w:rsid w:val="00721D09"/>
    <w:rsid w:val="00742A43"/>
    <w:rsid w:val="008636D3"/>
    <w:rsid w:val="008E1543"/>
    <w:rsid w:val="0090420A"/>
    <w:rsid w:val="009101EB"/>
    <w:rsid w:val="0094213C"/>
    <w:rsid w:val="00A247A0"/>
    <w:rsid w:val="00A40AF3"/>
    <w:rsid w:val="00AC1549"/>
    <w:rsid w:val="00B55EDD"/>
    <w:rsid w:val="00B71FB1"/>
    <w:rsid w:val="00BA10FC"/>
    <w:rsid w:val="00BB6FC1"/>
    <w:rsid w:val="00C51801"/>
    <w:rsid w:val="00CF49E6"/>
    <w:rsid w:val="00D02D92"/>
    <w:rsid w:val="00D150D7"/>
    <w:rsid w:val="00DD77B6"/>
    <w:rsid w:val="00E649E0"/>
    <w:rsid w:val="00EB4EBF"/>
    <w:rsid w:val="00F26C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CEAA60"/>
  <w15:chartTrackingRefBased/>
  <w15:docId w15:val="{F968AD5F-252B-48D6-9443-A3692EF3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1543"/>
    <w:rPr>
      <w:rFonts w:ascii="Arial" w:hAnsi="Arial"/>
      <w:sz w:val="20"/>
    </w:rPr>
  </w:style>
  <w:style w:type="paragraph" w:styleId="Naslov1">
    <w:name w:val="heading 1"/>
    <w:basedOn w:val="Navaden"/>
    <w:next w:val="Navaden"/>
    <w:link w:val="Naslov1Znak"/>
    <w:uiPriority w:val="9"/>
    <w:qFormat/>
    <w:rsid w:val="008E1543"/>
    <w:pPr>
      <w:keepNext/>
      <w:keepLines/>
      <w:spacing w:before="240" w:after="0"/>
      <w:outlineLvl w:val="0"/>
    </w:pPr>
    <w:rPr>
      <w:rFonts w:eastAsiaTheme="majorEastAsia" w:cstheme="majorBidi"/>
      <w:b/>
      <w:sz w:val="28"/>
      <w:szCs w:val="32"/>
    </w:rPr>
  </w:style>
  <w:style w:type="paragraph" w:styleId="Naslov2">
    <w:name w:val="heading 2"/>
    <w:basedOn w:val="Navaden"/>
    <w:next w:val="Navaden"/>
    <w:link w:val="Naslov2Znak"/>
    <w:uiPriority w:val="9"/>
    <w:unhideWhenUsed/>
    <w:qFormat/>
    <w:rsid w:val="008E1543"/>
    <w:pPr>
      <w:keepNext/>
      <w:keepLines/>
      <w:spacing w:before="40" w:after="0"/>
      <w:outlineLvl w:val="1"/>
    </w:pPr>
    <w:rPr>
      <w:rFonts w:eastAsiaTheme="majorEastAsia" w:cstheme="majorBidi"/>
      <w:b/>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36E88"/>
    <w:pPr>
      <w:tabs>
        <w:tab w:val="center" w:pos="4536"/>
        <w:tab w:val="right" w:pos="9072"/>
      </w:tabs>
      <w:spacing w:after="0" w:line="240" w:lineRule="auto"/>
    </w:pPr>
  </w:style>
  <w:style w:type="character" w:customStyle="1" w:styleId="GlavaZnak">
    <w:name w:val="Glava Znak"/>
    <w:basedOn w:val="Privzetapisavaodstavka"/>
    <w:link w:val="Glava"/>
    <w:uiPriority w:val="99"/>
    <w:rsid w:val="00036E88"/>
  </w:style>
  <w:style w:type="paragraph" w:styleId="Noga">
    <w:name w:val="footer"/>
    <w:basedOn w:val="Navaden"/>
    <w:link w:val="NogaZnak"/>
    <w:uiPriority w:val="99"/>
    <w:unhideWhenUsed/>
    <w:rsid w:val="00036E88"/>
    <w:pPr>
      <w:tabs>
        <w:tab w:val="center" w:pos="4536"/>
        <w:tab w:val="right" w:pos="9072"/>
      </w:tabs>
      <w:spacing w:after="0" w:line="240" w:lineRule="auto"/>
    </w:pPr>
  </w:style>
  <w:style w:type="character" w:customStyle="1" w:styleId="NogaZnak">
    <w:name w:val="Noga Znak"/>
    <w:basedOn w:val="Privzetapisavaodstavka"/>
    <w:link w:val="Noga"/>
    <w:uiPriority w:val="99"/>
    <w:rsid w:val="00036E88"/>
  </w:style>
  <w:style w:type="character" w:styleId="Pripombasklic">
    <w:name w:val="annotation reference"/>
    <w:basedOn w:val="Privzetapisavaodstavka"/>
    <w:uiPriority w:val="99"/>
    <w:semiHidden/>
    <w:unhideWhenUsed/>
    <w:rsid w:val="00EB4EBF"/>
    <w:rPr>
      <w:sz w:val="16"/>
      <w:szCs w:val="16"/>
    </w:rPr>
  </w:style>
  <w:style w:type="paragraph" w:styleId="Pripombabesedilo">
    <w:name w:val="annotation text"/>
    <w:basedOn w:val="Navaden"/>
    <w:link w:val="PripombabesediloZnak"/>
    <w:uiPriority w:val="99"/>
    <w:unhideWhenUsed/>
    <w:rsid w:val="00EB4EBF"/>
    <w:pPr>
      <w:spacing w:line="240" w:lineRule="auto"/>
    </w:pPr>
    <w:rPr>
      <w:szCs w:val="20"/>
    </w:rPr>
  </w:style>
  <w:style w:type="character" w:customStyle="1" w:styleId="PripombabesediloZnak">
    <w:name w:val="Pripomba – besedilo Znak"/>
    <w:basedOn w:val="Privzetapisavaodstavka"/>
    <w:link w:val="Pripombabesedilo"/>
    <w:uiPriority w:val="99"/>
    <w:rsid w:val="00EB4EBF"/>
    <w:rPr>
      <w:sz w:val="20"/>
      <w:szCs w:val="20"/>
    </w:rPr>
  </w:style>
  <w:style w:type="paragraph" w:styleId="Zadevapripombe">
    <w:name w:val="annotation subject"/>
    <w:basedOn w:val="Pripombabesedilo"/>
    <w:next w:val="Pripombabesedilo"/>
    <w:link w:val="ZadevapripombeZnak"/>
    <w:uiPriority w:val="99"/>
    <w:semiHidden/>
    <w:unhideWhenUsed/>
    <w:rsid w:val="00EB4EBF"/>
    <w:rPr>
      <w:b/>
      <w:bCs/>
    </w:rPr>
  </w:style>
  <w:style w:type="character" w:customStyle="1" w:styleId="ZadevapripombeZnak">
    <w:name w:val="Zadeva pripombe Znak"/>
    <w:basedOn w:val="PripombabesediloZnak"/>
    <w:link w:val="Zadevapripombe"/>
    <w:uiPriority w:val="99"/>
    <w:semiHidden/>
    <w:rsid w:val="00EB4EBF"/>
    <w:rPr>
      <w:b/>
      <w:bCs/>
      <w:sz w:val="20"/>
      <w:szCs w:val="20"/>
    </w:rPr>
  </w:style>
  <w:style w:type="paragraph" w:styleId="Besedilooblaka">
    <w:name w:val="Balloon Text"/>
    <w:basedOn w:val="Navaden"/>
    <w:link w:val="BesedilooblakaZnak"/>
    <w:uiPriority w:val="99"/>
    <w:semiHidden/>
    <w:unhideWhenUsed/>
    <w:rsid w:val="00EB4E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4EBF"/>
    <w:rPr>
      <w:rFonts w:ascii="Segoe UI" w:hAnsi="Segoe UI" w:cs="Segoe UI"/>
      <w:sz w:val="18"/>
      <w:szCs w:val="18"/>
    </w:rPr>
  </w:style>
  <w:style w:type="paragraph" w:styleId="Odstavekseznama">
    <w:name w:val="List Paragraph"/>
    <w:basedOn w:val="Navaden"/>
    <w:uiPriority w:val="34"/>
    <w:qFormat/>
    <w:rsid w:val="008E1543"/>
    <w:pPr>
      <w:ind w:left="720"/>
      <w:contextualSpacing/>
    </w:pPr>
  </w:style>
  <w:style w:type="character" w:customStyle="1" w:styleId="Naslov1Znak">
    <w:name w:val="Naslov 1 Znak"/>
    <w:basedOn w:val="Privzetapisavaodstavka"/>
    <w:link w:val="Naslov1"/>
    <w:uiPriority w:val="9"/>
    <w:rsid w:val="008E1543"/>
    <w:rPr>
      <w:rFonts w:ascii="Arial" w:eastAsiaTheme="majorEastAsia" w:hAnsi="Arial" w:cstheme="majorBidi"/>
      <w:b/>
      <w:sz w:val="28"/>
      <w:szCs w:val="32"/>
    </w:rPr>
  </w:style>
  <w:style w:type="character" w:customStyle="1" w:styleId="Naslov2Znak">
    <w:name w:val="Naslov 2 Znak"/>
    <w:basedOn w:val="Privzetapisavaodstavka"/>
    <w:link w:val="Naslov2"/>
    <w:uiPriority w:val="9"/>
    <w:rsid w:val="008E1543"/>
    <w:rPr>
      <w:rFonts w:ascii="Arial" w:eastAsiaTheme="majorEastAsia" w:hAnsi="Arial" w:cstheme="majorBidi"/>
      <w:b/>
      <w:szCs w:val="26"/>
    </w:rPr>
  </w:style>
  <w:style w:type="table" w:styleId="Tabelamrea">
    <w:name w:val="Table Grid"/>
    <w:basedOn w:val="Navadnatabela"/>
    <w:uiPriority w:val="39"/>
    <w:rsid w:val="008E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trp@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CD2FA-40F4-4424-B476-209CBDE51C65}">
  <ds:schemaRefs>
    <ds:schemaRef ds:uri="http://schemas.microsoft.com/sharepoint/v3/contenttype/forms"/>
  </ds:schemaRefs>
</ds:datastoreItem>
</file>

<file path=customXml/itemProps2.xml><?xml version="1.0" encoding="utf-8"?>
<ds:datastoreItem xmlns:ds="http://schemas.openxmlformats.org/officeDocument/2006/customXml" ds:itemID="{7298C2F8-88A7-4449-B4BB-01AF4D81F4E7}">
  <ds:schemaRefs>
    <ds:schemaRef ds:uri="http://schemas.openxmlformats.org/officeDocument/2006/bibliography"/>
  </ds:schemaRefs>
</ds:datastoreItem>
</file>

<file path=customXml/itemProps3.xml><?xml version="1.0" encoding="utf-8"?>
<ds:datastoreItem xmlns:ds="http://schemas.openxmlformats.org/officeDocument/2006/customXml" ds:itemID="{B912FCB2-3C09-4042-8446-39962C6617D3}">
  <ds:schemaRefs>
    <ds:schemaRef ds:uri="a85eaccb-c8c4-4a52-bb8a-83c683b7618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6449D7F-C723-4159-AA97-B8C259B5B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2482</Words>
  <Characters>14151</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Grum</dc:creator>
  <cp:keywords/>
  <dc:description/>
  <cp:lastModifiedBy>Vesna Stradar</cp:lastModifiedBy>
  <cp:revision>13</cp:revision>
  <dcterms:created xsi:type="dcterms:W3CDTF">2024-02-15T08:14:00Z</dcterms:created>
  <dcterms:modified xsi:type="dcterms:W3CDTF">2024-03-19T13:50:00Z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