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1747" w14:textId="2F0425D8" w:rsidR="000B76A2" w:rsidRPr="003F1F7B" w:rsidRDefault="000B76A2" w:rsidP="001B6C01">
      <w:pPr>
        <w:pStyle w:val="datumtevilka"/>
        <w:jc w:val="both"/>
      </w:pPr>
      <w:r w:rsidRPr="003F1F7B">
        <w:rPr>
          <w:rFonts w:ascii="Times New Roman" w:hAnsi="Times New Roman" w:cs="Arial"/>
          <w:b/>
          <w:i/>
          <w:noProof/>
        </w:rPr>
        <w:t> </w:t>
      </w:r>
      <w:r w:rsidRPr="003F1F7B">
        <w:rPr>
          <w:rFonts w:ascii="Times New Roman" w:hAnsi="Times New Roman" w:cs="Arial"/>
          <w:b/>
          <w:i/>
          <w:noProof/>
        </w:rPr>
        <w:t> </w:t>
      </w:r>
      <w:r w:rsidRPr="003F1F7B">
        <w:rPr>
          <w:rFonts w:ascii="Times New Roman" w:hAnsi="Times New Roman" w:cs="Arial"/>
          <w:b/>
          <w:i/>
          <w:noProof/>
        </w:rPr>
        <w:t> </w:t>
      </w:r>
      <w:r w:rsidRPr="003F1F7B">
        <w:rPr>
          <w:rFonts w:ascii="Times New Roman" w:hAnsi="Times New Roman" w:cs="Arial"/>
          <w:b/>
          <w:i/>
          <w:noProof/>
        </w:rPr>
        <w:t> </w:t>
      </w:r>
      <w:r w:rsidRPr="003F1F7B">
        <w:rPr>
          <w:rFonts w:ascii="Times New Roman" w:hAnsi="Times New Roman" w:cs="Arial"/>
          <w:b/>
          <w:i/>
          <w:noProof/>
        </w:rPr>
        <w:t> </w:t>
      </w:r>
    </w:p>
    <w:p w14:paraId="7DF5A71A" w14:textId="7373EFF7" w:rsidR="00FC73B1" w:rsidRPr="003F1F7B" w:rsidRDefault="00FC73B1" w:rsidP="00FC73B1">
      <w:pPr>
        <w:autoSpaceDE w:val="0"/>
        <w:autoSpaceDN w:val="0"/>
        <w:adjustRightInd w:val="0"/>
        <w:jc w:val="both"/>
        <w:outlineLvl w:val="0"/>
        <w:rPr>
          <w:rFonts w:cs="Arial"/>
          <w:szCs w:val="20"/>
          <w:lang w:val="sl-SI"/>
        </w:rPr>
      </w:pPr>
      <w:r w:rsidRPr="003F1F7B">
        <w:rPr>
          <w:rFonts w:cs="Arial"/>
          <w:szCs w:val="20"/>
          <w:lang w:val="sl-SI"/>
        </w:rPr>
        <w:t>Ministrstvo za kmetijstvo, gozdarstvo in prehrano Republike Slovenije, Dunajska 22, 1000 Ljubljana</w:t>
      </w:r>
      <w:r w:rsidR="000E70A6">
        <w:rPr>
          <w:rFonts w:cs="Arial"/>
          <w:szCs w:val="20"/>
          <w:lang w:val="sl-SI"/>
        </w:rPr>
        <w:t xml:space="preserve"> (v nadaljnjem besedilu: MKGP)</w:t>
      </w:r>
      <w:r w:rsidRPr="003F1F7B">
        <w:rPr>
          <w:rFonts w:cs="Arial"/>
          <w:szCs w:val="20"/>
          <w:lang w:val="sl-SI"/>
        </w:rPr>
        <w:t>, na podlagi 5. člena Uredbe o skupnih določbah za izvajanje intervencij razvoja podeželja, ki niso vezane na površino ali živali, iz strateškega načrta skupne kmetijske politike 2023–2027 (Uradni list RS, št. 77/23</w:t>
      </w:r>
      <w:r w:rsidR="007B401A">
        <w:rPr>
          <w:rFonts w:cs="Arial"/>
          <w:szCs w:val="20"/>
          <w:lang w:val="sl-SI"/>
        </w:rPr>
        <w:t xml:space="preserve"> in 19/24</w:t>
      </w:r>
      <w:r w:rsidRPr="003F1F7B">
        <w:rPr>
          <w:rFonts w:cs="Arial"/>
          <w:szCs w:val="20"/>
          <w:lang w:val="sl-SI"/>
        </w:rPr>
        <w:t xml:space="preserve">; v nadaljnjem besedilu: </w:t>
      </w:r>
      <w:r w:rsidR="005B3E96">
        <w:rPr>
          <w:rFonts w:cs="Arial"/>
          <w:szCs w:val="20"/>
          <w:lang w:val="sl-SI"/>
        </w:rPr>
        <w:t>uredba o skupnih določbah za izvajanje intervencij</w:t>
      </w:r>
      <w:r w:rsidRPr="003F1F7B">
        <w:rPr>
          <w:rFonts w:cs="Arial"/>
          <w:szCs w:val="20"/>
          <w:lang w:val="sl-SI"/>
        </w:rPr>
        <w:t>)</w:t>
      </w:r>
      <w:r w:rsidR="000E70A6">
        <w:rPr>
          <w:rFonts w:cs="Arial"/>
          <w:szCs w:val="20"/>
          <w:lang w:val="sl-SI"/>
        </w:rPr>
        <w:t xml:space="preserve"> in 60. člena </w:t>
      </w:r>
      <w:r w:rsidR="000E70A6" w:rsidRPr="003F1F7B">
        <w:rPr>
          <w:rFonts w:cs="Arial"/>
          <w:szCs w:val="20"/>
          <w:lang w:val="sl-SI"/>
        </w:rPr>
        <w:t>Uredbe o izvajanju intervencij s področja zemljiških operacij iz strateškega načrta skupne kmetijske politike 2023 – 2027 (</w:t>
      </w:r>
      <w:r w:rsidR="000E70A6">
        <w:rPr>
          <w:rFonts w:cs="Arial"/>
          <w:szCs w:val="20"/>
          <w:lang w:val="sl-SI"/>
        </w:rPr>
        <w:t xml:space="preserve">Uradni list RS, št. </w:t>
      </w:r>
      <w:r w:rsidR="00E51955">
        <w:rPr>
          <w:rFonts w:cs="Arial"/>
          <w:szCs w:val="20"/>
          <w:lang w:val="sl-SI"/>
        </w:rPr>
        <w:t>132</w:t>
      </w:r>
      <w:r w:rsidR="000E70A6">
        <w:rPr>
          <w:rFonts w:cs="Arial"/>
          <w:szCs w:val="20"/>
          <w:lang w:val="sl-SI"/>
        </w:rPr>
        <w:t xml:space="preserve">/23; </w:t>
      </w:r>
      <w:r w:rsidR="000E70A6" w:rsidRPr="003F1F7B">
        <w:rPr>
          <w:rFonts w:cs="Arial"/>
          <w:szCs w:val="20"/>
          <w:lang w:val="sl-SI"/>
        </w:rPr>
        <w:t>v nadaljnjem besedilu: uredba</w:t>
      </w:r>
      <w:r w:rsidR="000E70A6" w:rsidRPr="00261AF3">
        <w:rPr>
          <w:rFonts w:cs="Arial"/>
          <w:szCs w:val="20"/>
          <w:lang w:val="sl-SI"/>
        </w:rPr>
        <w:t xml:space="preserve"> </w:t>
      </w:r>
      <w:r w:rsidR="000E70A6" w:rsidRPr="003F1F7B">
        <w:rPr>
          <w:rFonts w:cs="Arial"/>
          <w:szCs w:val="20"/>
          <w:lang w:val="sl-SI"/>
        </w:rPr>
        <w:t>o izvajanju intervencij s področja zemljiških operacij)</w:t>
      </w:r>
      <w:r w:rsidRPr="003F1F7B">
        <w:rPr>
          <w:rFonts w:cs="Arial"/>
          <w:szCs w:val="20"/>
          <w:lang w:val="sl-SI"/>
        </w:rPr>
        <w:t>, objavlja</w:t>
      </w:r>
    </w:p>
    <w:p w14:paraId="54188602" w14:textId="595558B7" w:rsidR="00FC73B1" w:rsidRPr="003F1F7B" w:rsidRDefault="00AD0498" w:rsidP="00FC73B1">
      <w:pPr>
        <w:autoSpaceDE w:val="0"/>
        <w:autoSpaceDN w:val="0"/>
        <w:adjustRightInd w:val="0"/>
        <w:jc w:val="center"/>
        <w:outlineLvl w:val="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4BD9D46A" w14:textId="54110D30" w:rsidR="00FC73B1" w:rsidRPr="00B5036C" w:rsidRDefault="00B5036C" w:rsidP="00B5036C">
      <w:pPr>
        <w:autoSpaceDE w:val="0"/>
        <w:autoSpaceDN w:val="0"/>
        <w:adjustRightInd w:val="0"/>
        <w:jc w:val="center"/>
        <w:outlineLvl w:val="0"/>
        <w:rPr>
          <w:rFonts w:cs="Arial"/>
          <w:b/>
          <w:lang w:val="sl-SI"/>
        </w:rPr>
      </w:pPr>
      <w:r w:rsidRPr="00B5036C">
        <w:rPr>
          <w:rFonts w:cs="Arial"/>
          <w:b/>
          <w:lang w:val="sl-SI"/>
        </w:rPr>
        <w:t>1.</w:t>
      </w:r>
      <w:r>
        <w:rPr>
          <w:rFonts w:cs="Arial"/>
          <w:b/>
          <w:lang w:val="sl-SI"/>
        </w:rPr>
        <w:t xml:space="preserve"> </w:t>
      </w:r>
      <w:r w:rsidR="000E70A6" w:rsidRPr="00B5036C">
        <w:rPr>
          <w:rFonts w:cs="Arial"/>
          <w:b/>
          <w:lang w:val="sl-SI"/>
        </w:rPr>
        <w:t>Javni razpis za intervencijo</w:t>
      </w:r>
      <w:r w:rsidR="00FC73B1" w:rsidRPr="00B5036C">
        <w:rPr>
          <w:rFonts w:cs="Arial"/>
          <w:b/>
          <w:lang w:val="sl-SI"/>
        </w:rPr>
        <w:t xml:space="preserve"> </w:t>
      </w:r>
      <w:r w:rsidR="00D50DB6">
        <w:rPr>
          <w:rFonts w:cs="Arial"/>
          <w:b/>
          <w:lang w:val="sl-SI"/>
        </w:rPr>
        <w:t xml:space="preserve">tehnološke posodobitve namakalnih sistemov, ki so namenjeni več uporabnikom </w:t>
      </w:r>
    </w:p>
    <w:p w14:paraId="7EB6D09A" w14:textId="77777777" w:rsidR="009227B9" w:rsidRPr="003F1F7B" w:rsidRDefault="009227B9" w:rsidP="009227B9">
      <w:pPr>
        <w:rPr>
          <w:lang w:val="sl-SI"/>
        </w:rPr>
      </w:pPr>
    </w:p>
    <w:p w14:paraId="466DABF1" w14:textId="06E20FB7" w:rsidR="009227B9" w:rsidRPr="003F1F7B" w:rsidRDefault="009227B9" w:rsidP="009227B9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>1. OSNOVNI PODATKI O JAVNEM RAZPISU</w:t>
      </w:r>
      <w:r w:rsidR="00903B59">
        <w:rPr>
          <w:rFonts w:ascii="Arial" w:hAnsi="Arial" w:cs="Arial"/>
          <w:b/>
          <w:lang w:val="sl-SI"/>
        </w:rPr>
        <w:t xml:space="preserve"> </w:t>
      </w:r>
    </w:p>
    <w:tbl>
      <w:tblPr>
        <w:tblpPr w:leftFromText="141" w:rightFromText="141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552"/>
        <w:gridCol w:w="5828"/>
      </w:tblGrid>
      <w:tr w:rsidR="009227B9" w:rsidRPr="00E2773F" w14:paraId="194C2A0B" w14:textId="77777777" w:rsidTr="009227B9">
        <w:trPr>
          <w:trHeight w:val="672"/>
        </w:trPr>
        <w:tc>
          <w:tcPr>
            <w:tcW w:w="2552" w:type="dxa"/>
            <w:shd w:val="clear" w:color="auto" w:fill="F2F2F2"/>
            <w:vAlign w:val="center"/>
          </w:tcPr>
          <w:p w14:paraId="17126136" w14:textId="3E584C2D" w:rsidR="009227B9" w:rsidRPr="003F1F7B" w:rsidRDefault="00B5036C" w:rsidP="005E24D4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Predmet</w:t>
            </w:r>
            <w:r w:rsidR="00BE4A11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9227B9" w:rsidRPr="003F1F7B">
              <w:rPr>
                <w:rFonts w:cs="Arial"/>
                <w:b/>
                <w:szCs w:val="20"/>
                <w:lang w:val="sl-SI"/>
              </w:rPr>
              <w:t>javnega razpisa</w:t>
            </w:r>
          </w:p>
        </w:tc>
        <w:tc>
          <w:tcPr>
            <w:tcW w:w="5828" w:type="dxa"/>
            <w:shd w:val="clear" w:color="auto" w:fill="F2F2F2"/>
            <w:vAlign w:val="center"/>
          </w:tcPr>
          <w:p w14:paraId="68EB62E2" w14:textId="31D12C13" w:rsidR="00B5036C" w:rsidRDefault="00B5036C" w:rsidP="005E24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</w:t>
            </w:r>
            <w:r w:rsidR="001216B7">
              <w:rPr>
                <w:rFonts w:cs="Arial"/>
                <w:szCs w:val="20"/>
                <w:lang w:val="sl-SI"/>
              </w:rPr>
              <w:t>redmet javnega razpisa je dodelitev podpore vlagateljem iz prvega odstavka 27. člena</w:t>
            </w:r>
            <w:r w:rsidR="001216B7">
              <w:t xml:space="preserve"> </w:t>
            </w:r>
            <w:r w:rsidR="001216B7">
              <w:rPr>
                <w:rFonts w:cs="Arial"/>
                <w:szCs w:val="20"/>
                <w:lang w:val="sl-SI"/>
              </w:rPr>
              <w:t>uredbe</w:t>
            </w:r>
            <w:r w:rsidR="001216B7" w:rsidRPr="001216B7">
              <w:rPr>
                <w:rFonts w:cs="Arial"/>
                <w:szCs w:val="20"/>
                <w:lang w:val="sl-SI"/>
              </w:rPr>
              <w:t xml:space="preserve"> o izvajanju intervencij s področja zemljiških operacij </w:t>
            </w:r>
            <w:r w:rsidR="0025491D">
              <w:rPr>
                <w:rFonts w:cs="Arial"/>
                <w:szCs w:val="20"/>
                <w:lang w:val="sl-SI"/>
              </w:rPr>
              <w:t>za</w:t>
            </w:r>
            <w:r w:rsidR="00D50DB6">
              <w:rPr>
                <w:rFonts w:cs="Arial"/>
                <w:szCs w:val="20"/>
                <w:lang w:val="sl-SI"/>
              </w:rPr>
              <w:t xml:space="preserve"> </w:t>
            </w:r>
            <w:r w:rsidR="00D50DB6" w:rsidRPr="00D50DB6">
              <w:rPr>
                <w:rFonts w:cs="Arial"/>
                <w:szCs w:val="20"/>
                <w:lang w:val="sl-SI"/>
              </w:rPr>
              <w:t>tehnološk</w:t>
            </w:r>
            <w:r w:rsidR="0025491D">
              <w:rPr>
                <w:rFonts w:cs="Arial"/>
                <w:szCs w:val="20"/>
                <w:lang w:val="sl-SI"/>
              </w:rPr>
              <w:t>e</w:t>
            </w:r>
            <w:r w:rsidR="00D50DB6" w:rsidRPr="00D50DB6">
              <w:rPr>
                <w:rFonts w:cs="Arial"/>
                <w:szCs w:val="20"/>
                <w:lang w:val="sl-SI"/>
              </w:rPr>
              <w:t xml:space="preserve"> posodobitv</w:t>
            </w:r>
            <w:r w:rsidR="0025491D">
              <w:rPr>
                <w:rFonts w:cs="Arial"/>
                <w:szCs w:val="20"/>
                <w:lang w:val="sl-SI"/>
              </w:rPr>
              <w:t>e</w:t>
            </w:r>
            <w:r w:rsidR="00D50DB6" w:rsidRPr="00D50DB6">
              <w:rPr>
                <w:rFonts w:cs="Arial"/>
                <w:szCs w:val="20"/>
                <w:lang w:val="sl-SI"/>
              </w:rPr>
              <w:t xml:space="preserve"> namakalnih sistemov, ki so namenjeni več uporabnikom, ter oroševalnih sistemov za protislansko zaščito, vključno z ureditvijo vodnega vira v skladu s predpisi, ki urejajo kmetijska zemljišča, in s predpisi, ki urejajo gradnjo objektov.</w:t>
            </w:r>
          </w:p>
          <w:p w14:paraId="37281F79" w14:textId="507FBB6A" w:rsidR="009227B9" w:rsidRPr="003F1F7B" w:rsidRDefault="009227B9" w:rsidP="005E24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5E24D4" w:rsidRPr="00E2773F" w14:paraId="7165D01F" w14:textId="77777777" w:rsidTr="009227B9">
        <w:trPr>
          <w:trHeight w:val="672"/>
        </w:trPr>
        <w:tc>
          <w:tcPr>
            <w:tcW w:w="2552" w:type="dxa"/>
            <w:shd w:val="clear" w:color="auto" w:fill="F2F2F2"/>
            <w:vAlign w:val="center"/>
          </w:tcPr>
          <w:p w14:paraId="359A0E95" w14:textId="10A6870D" w:rsidR="005E24D4" w:rsidRDefault="005E24D4" w:rsidP="0025491D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 xml:space="preserve">Cilj </w:t>
            </w:r>
            <w:r w:rsidR="0025491D">
              <w:rPr>
                <w:rFonts w:cs="Arial"/>
                <w:b/>
                <w:szCs w:val="20"/>
                <w:lang w:val="sl-SI"/>
              </w:rPr>
              <w:t>intervencije</w:t>
            </w:r>
          </w:p>
        </w:tc>
        <w:tc>
          <w:tcPr>
            <w:tcW w:w="5828" w:type="dxa"/>
            <w:shd w:val="clear" w:color="auto" w:fill="F2F2F2"/>
            <w:vAlign w:val="center"/>
          </w:tcPr>
          <w:p w14:paraId="722E32F5" w14:textId="17D93497" w:rsidR="005E24D4" w:rsidRPr="00B567C7" w:rsidRDefault="005E24D4" w:rsidP="002563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sl-SI"/>
              </w:rPr>
            </w:pPr>
            <w:r w:rsidRPr="00B567C7">
              <w:rPr>
                <w:rFonts w:cs="Arial"/>
                <w:szCs w:val="20"/>
                <w:lang w:val="sl-SI"/>
              </w:rPr>
              <w:t xml:space="preserve">Cilj </w:t>
            </w:r>
            <w:r w:rsidR="0025491D">
              <w:rPr>
                <w:rFonts w:cs="Arial"/>
                <w:szCs w:val="20"/>
                <w:lang w:val="sl-SI"/>
              </w:rPr>
              <w:t>intervencije</w:t>
            </w:r>
            <w:r w:rsidR="0025491D" w:rsidRPr="0025491D">
              <w:rPr>
                <w:rFonts w:cs="Arial"/>
                <w:szCs w:val="20"/>
                <w:lang w:val="sl-SI"/>
              </w:rPr>
              <w:t xml:space="preserve"> tehnološke posodobitve namakalnih sistemov, ki so namenjeni več uporabnikom</w:t>
            </w:r>
            <w:r w:rsidR="00B357B1">
              <w:rPr>
                <w:rFonts w:cs="Arial"/>
                <w:szCs w:val="20"/>
                <w:lang w:val="sl-SI"/>
              </w:rPr>
              <w:t>,</w:t>
            </w:r>
            <w:r w:rsidR="0025491D" w:rsidRPr="0025491D">
              <w:rPr>
                <w:rFonts w:cs="Arial"/>
                <w:szCs w:val="20"/>
                <w:lang w:val="sl-SI"/>
              </w:rPr>
              <w:t xml:space="preserve"> </w:t>
            </w:r>
            <w:r w:rsidRPr="00B567C7">
              <w:rPr>
                <w:rFonts w:cs="Arial"/>
                <w:szCs w:val="20"/>
                <w:lang w:val="sl-SI"/>
              </w:rPr>
              <w:t xml:space="preserve">je </w:t>
            </w:r>
            <w:r w:rsidR="00D50DB6" w:rsidRPr="00B567C7">
              <w:rPr>
                <w:rFonts w:cs="Arial"/>
                <w:szCs w:val="20"/>
                <w:lang w:val="sl-SI"/>
              </w:rPr>
              <w:t>zmanjšanje porabe vode za namakanje kmetijskih zemljišč.</w:t>
            </w:r>
          </w:p>
        </w:tc>
      </w:tr>
      <w:tr w:rsidR="009227B9" w:rsidRPr="00E2773F" w14:paraId="284E9E09" w14:textId="77777777" w:rsidTr="009227B9">
        <w:trPr>
          <w:cantSplit/>
          <w:trHeight w:val="94"/>
        </w:trPr>
        <w:tc>
          <w:tcPr>
            <w:tcW w:w="2552" w:type="dxa"/>
            <w:vMerge w:val="restart"/>
            <w:shd w:val="clear" w:color="auto" w:fill="F2F2F2"/>
            <w:vAlign w:val="center"/>
          </w:tcPr>
          <w:p w14:paraId="0111E356" w14:textId="52211C81" w:rsidR="009227B9" w:rsidRPr="003F1F7B" w:rsidRDefault="009227B9" w:rsidP="009227B9">
            <w:pPr>
              <w:rPr>
                <w:rFonts w:cs="Arial"/>
                <w:b/>
                <w:szCs w:val="20"/>
                <w:lang w:val="sl-SI"/>
              </w:rPr>
            </w:pPr>
            <w:r w:rsidRPr="003F1F7B">
              <w:rPr>
                <w:rFonts w:cs="Arial"/>
                <w:b/>
                <w:szCs w:val="20"/>
                <w:lang w:val="sl-SI"/>
              </w:rPr>
              <w:t>Razpisana sredstva</w:t>
            </w:r>
          </w:p>
        </w:tc>
        <w:tc>
          <w:tcPr>
            <w:tcW w:w="5828" w:type="dxa"/>
            <w:shd w:val="clear" w:color="auto" w:fill="F2F2F2"/>
            <w:vAlign w:val="center"/>
          </w:tcPr>
          <w:p w14:paraId="264B0D6C" w14:textId="6B00790E" w:rsidR="009227B9" w:rsidRPr="00B567C7" w:rsidRDefault="009227B9" w:rsidP="00F92675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B567C7">
              <w:rPr>
                <w:rFonts w:ascii="Arial" w:hAnsi="Arial" w:cs="Arial"/>
                <w:sz w:val="20"/>
                <w:lang w:val="sl-SI"/>
              </w:rPr>
              <w:t xml:space="preserve">Višina razpisanih nepovratnih </w:t>
            </w:r>
            <w:r w:rsidRPr="00B567C7">
              <w:rPr>
                <w:rFonts w:ascii="Arial" w:eastAsiaTheme="minorHAnsi" w:hAnsi="Arial" w:cs="Arial"/>
                <w:sz w:val="20"/>
                <w:lang w:val="sl-SI" w:eastAsia="en-US"/>
              </w:rPr>
              <w:t xml:space="preserve">sredstev znaša </w:t>
            </w:r>
            <w:r w:rsidR="00B567C7" w:rsidRPr="00B567C7">
              <w:rPr>
                <w:rFonts w:ascii="Arial" w:eastAsiaTheme="minorHAnsi" w:hAnsi="Arial" w:cs="Arial"/>
                <w:sz w:val="20"/>
                <w:lang w:val="sl-SI" w:eastAsia="en-US"/>
              </w:rPr>
              <w:t>5</w:t>
            </w:r>
            <w:r w:rsidRPr="00B567C7">
              <w:rPr>
                <w:rFonts w:ascii="Arial" w:eastAsiaTheme="minorHAnsi" w:hAnsi="Arial" w:cs="Arial"/>
                <w:sz w:val="20"/>
                <w:lang w:val="sl-SI" w:eastAsia="en-US"/>
              </w:rPr>
              <w:t xml:space="preserve">.000.000 </w:t>
            </w:r>
            <w:r w:rsidR="00F92675" w:rsidRPr="00B567C7">
              <w:rPr>
                <w:rFonts w:ascii="Arial" w:eastAsiaTheme="minorHAnsi" w:hAnsi="Arial" w:cs="Arial"/>
                <w:sz w:val="20"/>
                <w:lang w:val="sl-SI" w:eastAsia="en-US"/>
              </w:rPr>
              <w:t>eurov</w:t>
            </w:r>
            <w:r w:rsidRPr="00B567C7">
              <w:rPr>
                <w:rFonts w:ascii="Arial" w:hAnsi="Arial" w:cs="Arial"/>
                <w:sz w:val="20"/>
                <w:lang w:val="sl-SI"/>
              </w:rPr>
              <w:t xml:space="preserve"> </w:t>
            </w:r>
          </w:p>
        </w:tc>
      </w:tr>
      <w:tr w:rsidR="009227B9" w:rsidRPr="00E2773F" w14:paraId="5297B158" w14:textId="77777777" w:rsidTr="009227B9">
        <w:trPr>
          <w:cantSplit/>
          <w:trHeight w:val="1557"/>
        </w:trPr>
        <w:tc>
          <w:tcPr>
            <w:tcW w:w="2552" w:type="dxa"/>
            <w:vMerge/>
            <w:shd w:val="clear" w:color="auto" w:fill="F2F2F2"/>
            <w:vAlign w:val="center"/>
          </w:tcPr>
          <w:p w14:paraId="6B118E47" w14:textId="77777777" w:rsidR="009227B9" w:rsidRPr="003F1F7B" w:rsidRDefault="009227B9" w:rsidP="009227B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5828" w:type="dxa"/>
            <w:shd w:val="clear" w:color="auto" w:fill="F2F2F2"/>
            <w:vAlign w:val="center"/>
          </w:tcPr>
          <w:p w14:paraId="1B8C3B89" w14:textId="1D8C6054" w:rsidR="009227B9" w:rsidRPr="00B567C7" w:rsidRDefault="009227B9" w:rsidP="009227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sl-SI"/>
              </w:rPr>
            </w:pPr>
            <w:r w:rsidRPr="00B567C7">
              <w:rPr>
                <w:rFonts w:cs="Arial"/>
                <w:szCs w:val="20"/>
                <w:lang w:val="sl-SI"/>
              </w:rPr>
              <w:t>Sredstva se zagot</w:t>
            </w:r>
            <w:r w:rsidR="0025491D">
              <w:rPr>
                <w:rFonts w:cs="Arial"/>
                <w:szCs w:val="20"/>
                <w:lang w:val="sl-SI"/>
              </w:rPr>
              <w:t>ovijo</w:t>
            </w:r>
            <w:r w:rsidRPr="00B567C7">
              <w:rPr>
                <w:rFonts w:cs="Arial"/>
                <w:szCs w:val="20"/>
                <w:lang w:val="sl-SI"/>
              </w:rPr>
              <w:t xml:space="preserve"> iz proračunskih postavk MKGP, in sicer: </w:t>
            </w:r>
          </w:p>
          <w:p w14:paraId="6DD4AAB1" w14:textId="2D582DD0" w:rsidR="009227B9" w:rsidRPr="00B567C7" w:rsidRDefault="009227B9" w:rsidP="00D05D0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B567C7">
              <w:rPr>
                <w:rFonts w:cs="Arial"/>
                <w:szCs w:val="20"/>
                <w:lang w:val="sl-SI"/>
              </w:rPr>
              <w:t>1.</w:t>
            </w:r>
            <w:r w:rsidR="00B567C7" w:rsidRPr="00B567C7">
              <w:rPr>
                <w:rFonts w:cs="Arial"/>
                <w:szCs w:val="20"/>
                <w:lang w:val="sl-SI"/>
              </w:rPr>
              <w:t>695</w:t>
            </w:r>
            <w:r w:rsidRPr="00B567C7">
              <w:rPr>
                <w:rFonts w:cs="Arial"/>
                <w:szCs w:val="20"/>
                <w:lang w:val="sl-SI"/>
              </w:rPr>
              <w:t xml:space="preserve">.000 </w:t>
            </w:r>
            <w:r w:rsidR="00F92675" w:rsidRPr="00B567C7">
              <w:rPr>
                <w:rFonts w:cs="Arial"/>
                <w:szCs w:val="20"/>
                <w:lang w:val="sl-SI"/>
              </w:rPr>
              <w:t xml:space="preserve">eurov </w:t>
            </w:r>
            <w:r w:rsidRPr="00B567C7">
              <w:rPr>
                <w:rFonts w:cs="Arial"/>
                <w:szCs w:val="20"/>
                <w:lang w:val="sl-SI"/>
              </w:rPr>
              <w:t xml:space="preserve">iz proračunske postavke </w:t>
            </w:r>
            <w:r w:rsidR="00D05D06" w:rsidRPr="00B567C7">
              <w:rPr>
                <w:rFonts w:cs="Arial"/>
                <w:szCs w:val="20"/>
                <w:lang w:val="sl-SI"/>
              </w:rPr>
              <w:t>221064 Skupni strateški načrt 2023-2027 – EKSRP – EU</w:t>
            </w:r>
            <w:r w:rsidRPr="00B567C7">
              <w:rPr>
                <w:rFonts w:cs="Arial"/>
                <w:szCs w:val="20"/>
                <w:lang w:val="sl-SI"/>
              </w:rPr>
              <w:t>,</w:t>
            </w:r>
          </w:p>
          <w:p w14:paraId="12A543C9" w14:textId="760B6722" w:rsidR="009227B9" w:rsidRPr="00B567C7" w:rsidRDefault="00B567C7" w:rsidP="00D05D0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B567C7">
              <w:rPr>
                <w:rFonts w:cs="Arial"/>
                <w:szCs w:val="20"/>
                <w:lang w:val="sl-SI"/>
              </w:rPr>
              <w:t>3.305</w:t>
            </w:r>
            <w:r w:rsidR="009227B9" w:rsidRPr="00B567C7">
              <w:rPr>
                <w:rFonts w:cs="Arial"/>
                <w:szCs w:val="20"/>
                <w:lang w:val="sl-SI"/>
              </w:rPr>
              <w:t xml:space="preserve">.000 </w:t>
            </w:r>
            <w:r w:rsidR="00F92675" w:rsidRPr="00B567C7">
              <w:rPr>
                <w:rFonts w:cs="Arial"/>
                <w:szCs w:val="20"/>
                <w:lang w:val="sl-SI"/>
              </w:rPr>
              <w:t xml:space="preserve">eurov </w:t>
            </w:r>
            <w:r w:rsidR="00D05D06" w:rsidRPr="00B567C7">
              <w:rPr>
                <w:rFonts w:cs="Arial"/>
                <w:szCs w:val="20"/>
                <w:lang w:val="sl-SI"/>
              </w:rPr>
              <w:t>iz proračunske postavke 221065 Skupni strateški načrt 2023-2027 – EKSRP – slovenska udeležba</w:t>
            </w:r>
            <w:r w:rsidR="009227B9" w:rsidRPr="00B567C7">
              <w:rPr>
                <w:rFonts w:cs="Arial"/>
                <w:szCs w:val="20"/>
                <w:lang w:val="sl-SI"/>
              </w:rPr>
              <w:t xml:space="preserve">. </w:t>
            </w:r>
          </w:p>
          <w:p w14:paraId="692636AE" w14:textId="77777777" w:rsidR="009227B9" w:rsidRPr="00B567C7" w:rsidRDefault="009227B9" w:rsidP="009227B9">
            <w:pPr>
              <w:autoSpaceDE w:val="0"/>
              <w:autoSpaceDN w:val="0"/>
              <w:adjustRightInd w:val="0"/>
              <w:ind w:left="312"/>
              <w:jc w:val="both"/>
              <w:rPr>
                <w:rFonts w:cs="Arial"/>
                <w:szCs w:val="20"/>
                <w:lang w:val="sl-SI"/>
              </w:rPr>
            </w:pPr>
          </w:p>
          <w:p w14:paraId="7A0CA80B" w14:textId="499723BA" w:rsidR="009227B9" w:rsidRPr="00B567C7" w:rsidRDefault="009227B9" w:rsidP="009227B9">
            <w:pPr>
              <w:autoSpaceDE w:val="0"/>
              <w:autoSpaceDN w:val="0"/>
              <w:adjustRightInd w:val="0"/>
              <w:ind w:left="27"/>
              <w:jc w:val="both"/>
              <w:rPr>
                <w:rFonts w:cs="Arial"/>
                <w:szCs w:val="20"/>
                <w:lang w:val="sl-SI" w:eastAsia="sl-SI"/>
              </w:rPr>
            </w:pPr>
            <w:r w:rsidRPr="00B567C7">
              <w:rPr>
                <w:rFonts w:cs="Arial"/>
                <w:szCs w:val="20"/>
                <w:lang w:val="sl-SI"/>
              </w:rPr>
              <w:t xml:space="preserve">Delež sredstev </w:t>
            </w:r>
            <w:r w:rsidR="0025491D">
              <w:rPr>
                <w:rFonts w:cs="Arial"/>
                <w:szCs w:val="20"/>
                <w:lang w:val="sl-SI"/>
              </w:rPr>
              <w:t xml:space="preserve">iz </w:t>
            </w:r>
            <w:r w:rsidRPr="00B567C7">
              <w:rPr>
                <w:rFonts w:cs="Arial"/>
                <w:szCs w:val="20"/>
                <w:lang w:val="sl-SI"/>
              </w:rPr>
              <w:t>Evropskega kmetijskega sklada za razvoj podeželja znaša 33,9</w:t>
            </w:r>
            <w:r w:rsidRPr="00B567C7">
              <w:rPr>
                <w:lang w:val="sl-SI"/>
              </w:rPr>
              <w:t xml:space="preserve"> </w:t>
            </w:r>
            <w:r w:rsidR="00F92675" w:rsidRPr="00B567C7">
              <w:rPr>
                <w:rFonts w:cs="Arial"/>
                <w:szCs w:val="20"/>
                <w:lang w:val="sl-SI"/>
              </w:rPr>
              <w:t>%</w:t>
            </w:r>
            <w:r w:rsidRPr="00B567C7">
              <w:rPr>
                <w:rFonts w:cs="Arial"/>
                <w:szCs w:val="20"/>
                <w:lang w:val="sl-SI"/>
              </w:rPr>
              <w:t>, delež sredstev iz proračuna Republike Slovenije pa</w:t>
            </w:r>
            <w:r w:rsidR="0025491D">
              <w:rPr>
                <w:rFonts w:cs="Arial"/>
                <w:szCs w:val="20"/>
                <w:lang w:val="sl-SI"/>
              </w:rPr>
              <w:t xml:space="preserve"> znaša</w:t>
            </w:r>
            <w:r w:rsidRPr="00B567C7">
              <w:rPr>
                <w:rFonts w:cs="Arial"/>
                <w:szCs w:val="20"/>
                <w:lang w:val="sl-SI"/>
              </w:rPr>
              <w:t xml:space="preserve"> 66,1 </w:t>
            </w:r>
            <w:r w:rsidR="00F92675" w:rsidRPr="00B567C7">
              <w:rPr>
                <w:rFonts w:cs="Arial"/>
                <w:szCs w:val="20"/>
                <w:lang w:val="sl-SI"/>
              </w:rPr>
              <w:t>%</w:t>
            </w:r>
            <w:r w:rsidRPr="00B567C7">
              <w:rPr>
                <w:rFonts w:cs="Arial"/>
                <w:szCs w:val="20"/>
                <w:lang w:val="sl-SI"/>
              </w:rPr>
              <w:t>.</w:t>
            </w:r>
          </w:p>
        </w:tc>
      </w:tr>
      <w:tr w:rsidR="009227B9" w:rsidRPr="003F1F7B" w14:paraId="64100D00" w14:textId="77777777" w:rsidTr="009227B9">
        <w:trPr>
          <w:trHeight w:val="445"/>
        </w:trPr>
        <w:tc>
          <w:tcPr>
            <w:tcW w:w="2552" w:type="dxa"/>
            <w:shd w:val="clear" w:color="auto" w:fill="F2F2F2"/>
            <w:vAlign w:val="center"/>
          </w:tcPr>
          <w:p w14:paraId="207B66D8" w14:textId="5C6F3F20" w:rsidR="009227B9" w:rsidRPr="003F1F7B" w:rsidRDefault="009227B9" w:rsidP="009227B9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  <w:lang w:val="sl-SI"/>
              </w:rPr>
            </w:pPr>
            <w:r w:rsidRPr="003F1F7B">
              <w:rPr>
                <w:rFonts w:cs="Arial"/>
                <w:b/>
                <w:szCs w:val="20"/>
                <w:lang w:val="sl-SI"/>
              </w:rPr>
              <w:t>Vrsta javnega razpisa</w:t>
            </w:r>
          </w:p>
        </w:tc>
        <w:tc>
          <w:tcPr>
            <w:tcW w:w="5828" w:type="dxa"/>
            <w:shd w:val="clear" w:color="auto" w:fill="F2F2F2"/>
            <w:vAlign w:val="center"/>
          </w:tcPr>
          <w:p w14:paraId="39253932" w14:textId="77777777" w:rsidR="009227B9" w:rsidRPr="00034C24" w:rsidRDefault="00F92675" w:rsidP="009227B9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034C24">
              <w:rPr>
                <w:rFonts w:ascii="Arial" w:hAnsi="Arial" w:cs="Arial"/>
                <w:sz w:val="20"/>
                <w:szCs w:val="22"/>
                <w:lang w:val="sl-SI"/>
              </w:rPr>
              <w:t>Zaprti.</w:t>
            </w:r>
            <w:r w:rsidR="009227B9" w:rsidRPr="00034C24">
              <w:rPr>
                <w:rFonts w:ascii="Arial" w:hAnsi="Arial" w:cs="Arial"/>
                <w:sz w:val="20"/>
                <w:szCs w:val="22"/>
                <w:lang w:val="sl-SI"/>
              </w:rPr>
              <w:t xml:space="preserve">                                              </w:t>
            </w:r>
          </w:p>
        </w:tc>
      </w:tr>
      <w:tr w:rsidR="00034C24" w:rsidRPr="00E2773F" w14:paraId="1879449F" w14:textId="77777777" w:rsidTr="009227B9">
        <w:trPr>
          <w:trHeight w:val="445"/>
        </w:trPr>
        <w:tc>
          <w:tcPr>
            <w:tcW w:w="2552" w:type="dxa"/>
            <w:shd w:val="clear" w:color="auto" w:fill="F2F2F2"/>
            <w:vAlign w:val="center"/>
          </w:tcPr>
          <w:p w14:paraId="56CFB109" w14:textId="4A361D0F" w:rsidR="00034C24" w:rsidRPr="00034C24" w:rsidRDefault="00034C24" w:rsidP="009227B9">
            <w:pPr>
              <w:autoSpaceDE w:val="0"/>
              <w:autoSpaceDN w:val="0"/>
              <w:adjustRightInd w:val="0"/>
              <w:rPr>
                <w:rFonts w:cs="Arial"/>
                <w:b/>
                <w:strike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Vložitev</w:t>
            </w:r>
            <w:r w:rsidRPr="003F1F7B">
              <w:rPr>
                <w:rFonts w:cs="Arial"/>
                <w:b/>
                <w:szCs w:val="20"/>
                <w:lang w:val="sl-SI"/>
              </w:rPr>
              <w:t xml:space="preserve"> vloge na javni razpis </w:t>
            </w:r>
          </w:p>
        </w:tc>
        <w:tc>
          <w:tcPr>
            <w:tcW w:w="5828" w:type="dxa"/>
            <w:shd w:val="clear" w:color="auto" w:fill="F2F2F2"/>
            <w:vAlign w:val="center"/>
          </w:tcPr>
          <w:p w14:paraId="78C77FA8" w14:textId="4D59B868" w:rsidR="00034C24" w:rsidRPr="00034C24" w:rsidRDefault="00034C24" w:rsidP="00C56074">
            <w:pPr>
              <w:pStyle w:val="Telobesedila23"/>
              <w:rPr>
                <w:rFonts w:ascii="Arial" w:hAnsi="Arial" w:cs="Arial"/>
                <w:strike/>
                <w:sz w:val="20"/>
                <w:szCs w:val="22"/>
                <w:lang w:val="sl-SI"/>
              </w:rPr>
            </w:pPr>
            <w:r w:rsidRPr="00034C24">
              <w:rPr>
                <w:rFonts w:ascii="Arial" w:hAnsi="Arial" w:cs="Arial"/>
                <w:sz w:val="20"/>
                <w:szCs w:val="22"/>
                <w:lang w:val="sl-SI"/>
              </w:rPr>
              <w:t xml:space="preserve">Vložitev vloge na javni razpis </w:t>
            </w:r>
            <w:r w:rsidRPr="00C56074">
              <w:rPr>
                <w:rFonts w:ascii="Arial" w:hAnsi="Arial" w:cs="Arial"/>
                <w:sz w:val="20"/>
                <w:szCs w:val="22"/>
                <w:lang w:val="sl-SI"/>
              </w:rPr>
              <w:t xml:space="preserve">poteka od </w:t>
            </w:r>
            <w:r w:rsidR="006C0F8E">
              <w:rPr>
                <w:rFonts w:ascii="Arial" w:hAnsi="Arial" w:cs="Arial"/>
                <w:sz w:val="20"/>
                <w:szCs w:val="22"/>
                <w:lang w:val="sl-SI"/>
              </w:rPr>
              <w:t>22</w:t>
            </w:r>
            <w:r w:rsidRPr="00C56074">
              <w:rPr>
                <w:rFonts w:ascii="Arial" w:hAnsi="Arial" w:cs="Arial"/>
                <w:sz w:val="20"/>
                <w:szCs w:val="22"/>
              </w:rPr>
              <w:t xml:space="preserve">. </w:t>
            </w:r>
            <w:r w:rsidR="00C56074" w:rsidRPr="00C56074">
              <w:rPr>
                <w:rFonts w:ascii="Arial" w:hAnsi="Arial" w:cs="Arial"/>
                <w:sz w:val="20"/>
                <w:szCs w:val="22"/>
              </w:rPr>
              <w:t>julija</w:t>
            </w:r>
            <w:r w:rsidRPr="00C56074">
              <w:rPr>
                <w:rFonts w:ascii="Arial" w:hAnsi="Arial" w:cs="Arial"/>
                <w:sz w:val="20"/>
                <w:szCs w:val="22"/>
              </w:rPr>
              <w:t xml:space="preserve"> 2024 od 8.00 ure</w:t>
            </w:r>
            <w:r w:rsidR="00C56074" w:rsidRPr="00C56074">
              <w:rPr>
                <w:rFonts w:ascii="Arial" w:hAnsi="Arial" w:cs="Arial"/>
                <w:sz w:val="20"/>
                <w:szCs w:val="22"/>
              </w:rPr>
              <w:t xml:space="preserve"> do vključno 20</w:t>
            </w:r>
            <w:r w:rsidRPr="00C56074">
              <w:rPr>
                <w:rFonts w:ascii="Arial" w:hAnsi="Arial" w:cs="Arial"/>
                <w:sz w:val="20"/>
                <w:szCs w:val="22"/>
              </w:rPr>
              <w:t xml:space="preserve">. </w:t>
            </w:r>
            <w:r w:rsidR="00C56074" w:rsidRPr="00C56074">
              <w:rPr>
                <w:rFonts w:ascii="Arial" w:hAnsi="Arial" w:cs="Arial"/>
                <w:sz w:val="20"/>
                <w:szCs w:val="22"/>
              </w:rPr>
              <w:t>septembra</w:t>
            </w:r>
            <w:r w:rsidRPr="00C56074">
              <w:rPr>
                <w:rFonts w:ascii="Arial" w:hAnsi="Arial" w:cs="Arial"/>
                <w:sz w:val="20"/>
                <w:szCs w:val="22"/>
              </w:rPr>
              <w:t xml:space="preserve"> 2024 do 14.</w:t>
            </w:r>
            <w:r w:rsidRPr="00C56074" w:rsidDel="0025491D">
              <w:rPr>
                <w:rFonts w:ascii="Arial" w:hAnsi="Arial" w:cs="Arial"/>
                <w:sz w:val="20"/>
                <w:szCs w:val="22"/>
              </w:rPr>
              <w:t>00</w:t>
            </w:r>
            <w:r w:rsidRPr="00C56074">
              <w:rPr>
                <w:rFonts w:ascii="Arial" w:hAnsi="Arial" w:cs="Arial"/>
                <w:sz w:val="20"/>
                <w:szCs w:val="22"/>
              </w:rPr>
              <w:t xml:space="preserve"> ure.</w:t>
            </w:r>
          </w:p>
        </w:tc>
      </w:tr>
      <w:tr w:rsidR="00034C24" w:rsidRPr="00E2773F" w14:paraId="097A1D7F" w14:textId="77777777" w:rsidTr="009227B9">
        <w:trPr>
          <w:trHeight w:val="445"/>
        </w:trPr>
        <w:tc>
          <w:tcPr>
            <w:tcW w:w="2552" w:type="dxa"/>
            <w:shd w:val="clear" w:color="auto" w:fill="F2F2F2"/>
            <w:vAlign w:val="center"/>
          </w:tcPr>
          <w:p w14:paraId="7F4A5383" w14:textId="5F103CC7" w:rsidR="00034C24" w:rsidRPr="00034C24" w:rsidRDefault="00034C24" w:rsidP="009227B9">
            <w:pPr>
              <w:autoSpaceDE w:val="0"/>
              <w:autoSpaceDN w:val="0"/>
              <w:adjustRightInd w:val="0"/>
              <w:rPr>
                <w:rFonts w:cs="Arial"/>
                <w:b/>
                <w:strike/>
                <w:szCs w:val="20"/>
                <w:lang w:val="sl-SI"/>
              </w:rPr>
            </w:pPr>
            <w:r w:rsidRPr="003F1F7B">
              <w:rPr>
                <w:rFonts w:cs="Arial"/>
                <w:b/>
                <w:szCs w:val="20"/>
                <w:lang w:val="sl-SI"/>
              </w:rPr>
              <w:t>Informacije o razpisu:</w:t>
            </w:r>
          </w:p>
        </w:tc>
        <w:tc>
          <w:tcPr>
            <w:tcW w:w="5828" w:type="dxa"/>
            <w:shd w:val="clear" w:color="auto" w:fill="F2F2F2"/>
            <w:vAlign w:val="center"/>
          </w:tcPr>
          <w:p w14:paraId="6172BAEE" w14:textId="186B8E80" w:rsidR="00034C24" w:rsidRPr="00034C24" w:rsidRDefault="00034C24" w:rsidP="009227B9">
            <w:pPr>
              <w:pStyle w:val="Telobesedila23"/>
              <w:widowControl/>
              <w:spacing w:after="0"/>
              <w:rPr>
                <w:rFonts w:ascii="Arial" w:hAnsi="Arial" w:cs="Arial"/>
                <w:strike/>
                <w:sz w:val="20"/>
                <w:lang w:val="sl-SI"/>
              </w:rPr>
            </w:pPr>
            <w:r w:rsidRPr="00034C24">
              <w:rPr>
                <w:rFonts w:ascii="Arial" w:hAnsi="Arial" w:cs="Arial"/>
                <w:bCs/>
                <w:color w:val="000000"/>
                <w:sz w:val="20"/>
                <w:lang w:val="sl-SI"/>
              </w:rPr>
              <w:t xml:space="preserve">Informacije o javnem razpisu so dostopne na naslednji povezavi: </w:t>
            </w:r>
            <w:r w:rsidRPr="00034C24">
              <w:rPr>
                <w:rFonts w:ascii="Arial" w:hAnsi="Arial" w:cs="Arial"/>
                <w:bCs/>
                <w:sz w:val="20"/>
                <w:lang w:val="sl-SI"/>
              </w:rPr>
              <w:t>https://skp.si/aktualno/info-tocke</w:t>
            </w:r>
            <w:r w:rsidRPr="00034C24">
              <w:rPr>
                <w:rFonts w:ascii="Arial" w:hAnsi="Arial" w:cs="Arial"/>
                <w:bCs/>
                <w:color w:val="000000"/>
                <w:sz w:val="20"/>
                <w:lang w:val="sl-SI"/>
              </w:rPr>
              <w:t>.</w:t>
            </w:r>
          </w:p>
        </w:tc>
      </w:tr>
    </w:tbl>
    <w:p w14:paraId="59F30876" w14:textId="77777777" w:rsidR="00C174A4" w:rsidRPr="003F1F7B" w:rsidRDefault="00C174A4" w:rsidP="00C174A4">
      <w:pPr>
        <w:pStyle w:val="Odstavekseznama"/>
        <w:jc w:val="both"/>
        <w:rPr>
          <w:rFonts w:ascii="Arial" w:hAnsi="Arial" w:cs="Arial"/>
          <w:b/>
          <w:sz w:val="22"/>
          <w:szCs w:val="22"/>
          <w:lang w:val="sl-SI" w:eastAsia="sl-SI"/>
        </w:rPr>
      </w:pPr>
    </w:p>
    <w:p w14:paraId="5B9885D6" w14:textId="1B1D3D9D" w:rsid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>2. NAMEN</w:t>
      </w:r>
      <w:r w:rsidR="00F92675">
        <w:rPr>
          <w:rFonts w:ascii="Arial" w:hAnsi="Arial" w:cs="Arial"/>
          <w:b/>
          <w:lang w:val="sl-SI"/>
        </w:rPr>
        <w:t xml:space="preserve"> IN CILJ</w:t>
      </w:r>
      <w:r w:rsidRPr="003F1F7B">
        <w:rPr>
          <w:rFonts w:ascii="Arial" w:hAnsi="Arial" w:cs="Arial"/>
          <w:b/>
          <w:lang w:val="sl-SI"/>
        </w:rPr>
        <w:t xml:space="preserve"> PODPORE </w:t>
      </w:r>
    </w:p>
    <w:p w14:paraId="4BD17C03" w14:textId="77777777" w:rsidR="00CA25F5" w:rsidRPr="003F1F7B" w:rsidRDefault="00CA25F5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</w:p>
    <w:p w14:paraId="05533CF6" w14:textId="54A9C6A3" w:rsidR="003F1F7B" w:rsidRPr="003F1F7B" w:rsidRDefault="003F1F7B" w:rsidP="003F1F7B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cs="Arial"/>
          <w:szCs w:val="20"/>
          <w:lang w:val="sl-SI"/>
        </w:rPr>
      </w:pPr>
      <w:r w:rsidRPr="003F1F7B">
        <w:rPr>
          <w:rFonts w:cs="Arial"/>
          <w:szCs w:val="20"/>
          <w:lang w:val="sl-SI"/>
        </w:rPr>
        <w:t>Namen</w:t>
      </w:r>
      <w:r w:rsidR="00F92675">
        <w:rPr>
          <w:rFonts w:cs="Arial"/>
          <w:szCs w:val="20"/>
          <w:lang w:val="sl-SI"/>
        </w:rPr>
        <w:t xml:space="preserve"> in cilj</w:t>
      </w:r>
      <w:r w:rsidRPr="003F1F7B">
        <w:rPr>
          <w:rFonts w:cs="Arial"/>
          <w:szCs w:val="20"/>
          <w:lang w:val="sl-SI"/>
        </w:rPr>
        <w:t xml:space="preserve"> podpore </w:t>
      </w:r>
      <w:r w:rsidR="00F92675">
        <w:rPr>
          <w:rFonts w:cs="Arial"/>
          <w:szCs w:val="20"/>
          <w:lang w:val="sl-SI"/>
        </w:rPr>
        <w:t>sta</w:t>
      </w:r>
      <w:r w:rsidRPr="003F1F7B">
        <w:rPr>
          <w:rFonts w:cs="Arial"/>
          <w:szCs w:val="20"/>
          <w:lang w:val="sl-SI"/>
        </w:rPr>
        <w:t xml:space="preserve"> določen</w:t>
      </w:r>
      <w:r w:rsidR="00F92675">
        <w:rPr>
          <w:rFonts w:cs="Arial"/>
          <w:szCs w:val="20"/>
          <w:lang w:val="sl-SI"/>
        </w:rPr>
        <w:t>a</w:t>
      </w:r>
      <w:r w:rsidRPr="003F1F7B">
        <w:rPr>
          <w:rFonts w:cs="Arial"/>
          <w:szCs w:val="20"/>
          <w:lang w:val="sl-SI"/>
        </w:rPr>
        <w:t xml:space="preserve"> v </w:t>
      </w:r>
      <w:r w:rsidR="000C0596">
        <w:rPr>
          <w:rFonts w:cs="Arial"/>
          <w:szCs w:val="20"/>
          <w:lang w:val="sl-SI"/>
        </w:rPr>
        <w:t>26.</w:t>
      </w:r>
      <w:r w:rsidRPr="003F1F7B">
        <w:rPr>
          <w:rFonts w:cs="Arial"/>
          <w:szCs w:val="20"/>
          <w:lang w:val="sl-SI"/>
        </w:rPr>
        <w:t xml:space="preserve"> členu uredb</w:t>
      </w:r>
      <w:r w:rsidR="00B26CD0">
        <w:rPr>
          <w:rFonts w:cs="Arial"/>
          <w:szCs w:val="20"/>
          <w:lang w:val="sl-SI"/>
        </w:rPr>
        <w:t>e</w:t>
      </w:r>
      <w:r w:rsidR="00261AF3" w:rsidRPr="00261AF3">
        <w:rPr>
          <w:rFonts w:cs="Arial"/>
          <w:szCs w:val="20"/>
          <w:lang w:val="sl-SI"/>
        </w:rPr>
        <w:t xml:space="preserve"> </w:t>
      </w:r>
      <w:r w:rsidR="00261AF3" w:rsidRPr="003F1F7B">
        <w:rPr>
          <w:rFonts w:cs="Arial"/>
          <w:szCs w:val="20"/>
          <w:lang w:val="sl-SI"/>
        </w:rPr>
        <w:t>o izvajanju intervencij s področja zemljiških operacij</w:t>
      </w:r>
      <w:r w:rsidRPr="003F1F7B">
        <w:rPr>
          <w:rFonts w:cs="Arial"/>
          <w:szCs w:val="20"/>
          <w:lang w:val="sl-SI"/>
        </w:rPr>
        <w:t>.</w:t>
      </w:r>
    </w:p>
    <w:p w14:paraId="65565127" w14:textId="77777777" w:rsidR="003F1F7B" w:rsidRPr="003F1F7B" w:rsidRDefault="003F1F7B" w:rsidP="003F1F7B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3B743051" w14:textId="3E8F5FF9" w:rsid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>3. VLAGATELJ IN UPRAVIČENEC</w:t>
      </w:r>
    </w:p>
    <w:p w14:paraId="1D61A7FB" w14:textId="77777777" w:rsidR="00CA25F5" w:rsidRPr="003F1F7B" w:rsidRDefault="00CA25F5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</w:p>
    <w:p w14:paraId="736E6385" w14:textId="7F8A99E8" w:rsidR="003F1F7B" w:rsidRDefault="00B26CD0" w:rsidP="003F1F7B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(1) </w:t>
      </w:r>
      <w:r w:rsidR="003F1F7B">
        <w:rPr>
          <w:rFonts w:cs="Arial"/>
          <w:szCs w:val="20"/>
          <w:lang w:val="sl-SI"/>
        </w:rPr>
        <w:t xml:space="preserve">Vlagatelj </w:t>
      </w:r>
      <w:r>
        <w:rPr>
          <w:rFonts w:cs="Arial"/>
          <w:szCs w:val="20"/>
          <w:lang w:val="sl-SI"/>
        </w:rPr>
        <w:t>je</w:t>
      </w:r>
      <w:r w:rsidR="003F1F7B" w:rsidRPr="003F1F7B">
        <w:rPr>
          <w:rFonts w:cs="Arial"/>
          <w:szCs w:val="20"/>
          <w:lang w:val="sl-SI"/>
        </w:rPr>
        <w:t xml:space="preserve"> določen v </w:t>
      </w:r>
      <w:r>
        <w:rPr>
          <w:rFonts w:cs="Arial"/>
          <w:szCs w:val="20"/>
          <w:lang w:val="sl-SI"/>
        </w:rPr>
        <w:t xml:space="preserve">prvem odstavku </w:t>
      </w:r>
      <w:r w:rsidR="000C0596">
        <w:rPr>
          <w:rFonts w:cs="Arial"/>
          <w:szCs w:val="20"/>
          <w:lang w:val="sl-SI"/>
        </w:rPr>
        <w:t>27.</w:t>
      </w:r>
      <w:r w:rsidR="003F1F7B" w:rsidRPr="003F1F7B">
        <w:rPr>
          <w:rFonts w:cs="Arial"/>
          <w:szCs w:val="20"/>
          <w:lang w:val="sl-SI"/>
        </w:rPr>
        <w:t xml:space="preserve"> člen</w:t>
      </w:r>
      <w:r>
        <w:rPr>
          <w:rFonts w:cs="Arial"/>
          <w:szCs w:val="20"/>
          <w:lang w:val="sl-SI"/>
        </w:rPr>
        <w:t>a</w:t>
      </w:r>
      <w:r w:rsidR="003F1F7B">
        <w:rPr>
          <w:rFonts w:cs="Arial"/>
          <w:szCs w:val="20"/>
          <w:lang w:val="sl-SI"/>
        </w:rPr>
        <w:t xml:space="preserve"> u</w:t>
      </w:r>
      <w:r w:rsidR="003F1F7B" w:rsidRPr="003F1F7B">
        <w:rPr>
          <w:rFonts w:cs="Arial"/>
          <w:szCs w:val="20"/>
          <w:lang w:val="sl-SI"/>
        </w:rPr>
        <w:t>redbe</w:t>
      </w:r>
      <w:r w:rsidR="00261AF3">
        <w:rPr>
          <w:rFonts w:cs="Arial"/>
          <w:szCs w:val="20"/>
          <w:lang w:val="sl-SI"/>
        </w:rPr>
        <w:t xml:space="preserve"> </w:t>
      </w:r>
      <w:r w:rsidR="00261AF3" w:rsidRPr="003F1F7B">
        <w:rPr>
          <w:rFonts w:cs="Arial"/>
          <w:szCs w:val="20"/>
          <w:lang w:val="sl-SI"/>
        </w:rPr>
        <w:t>o izvajanju intervencij s področja zemljiških operacij</w:t>
      </w:r>
      <w:r w:rsidR="003F1F7B" w:rsidRPr="003F1F7B">
        <w:rPr>
          <w:rFonts w:cs="Arial"/>
          <w:szCs w:val="20"/>
          <w:lang w:val="sl-SI"/>
        </w:rPr>
        <w:t>.</w:t>
      </w:r>
    </w:p>
    <w:p w14:paraId="6CECEC2F" w14:textId="10F4451E" w:rsidR="00B26CD0" w:rsidRDefault="00B26CD0" w:rsidP="00B26CD0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(2) U</w:t>
      </w:r>
      <w:r w:rsidRPr="003F1F7B">
        <w:rPr>
          <w:rFonts w:cs="Arial"/>
          <w:szCs w:val="20"/>
          <w:lang w:val="sl-SI"/>
        </w:rPr>
        <w:t xml:space="preserve">pravičenec </w:t>
      </w:r>
      <w:r>
        <w:rPr>
          <w:rFonts w:cs="Arial"/>
          <w:szCs w:val="20"/>
          <w:lang w:val="sl-SI"/>
        </w:rPr>
        <w:t>je</w:t>
      </w:r>
      <w:r w:rsidRPr="003F1F7B">
        <w:rPr>
          <w:rFonts w:cs="Arial"/>
          <w:szCs w:val="20"/>
          <w:lang w:val="sl-SI"/>
        </w:rPr>
        <w:t xml:space="preserve"> določen v </w:t>
      </w:r>
      <w:r>
        <w:rPr>
          <w:rFonts w:cs="Arial"/>
          <w:szCs w:val="20"/>
          <w:lang w:val="sl-SI"/>
        </w:rPr>
        <w:t xml:space="preserve">drugem odstavku </w:t>
      </w:r>
      <w:r w:rsidR="000C0596">
        <w:rPr>
          <w:rFonts w:cs="Arial"/>
          <w:szCs w:val="20"/>
          <w:lang w:val="sl-SI"/>
        </w:rPr>
        <w:t>27.</w:t>
      </w:r>
      <w:r w:rsidRPr="003F1F7B">
        <w:rPr>
          <w:rFonts w:cs="Arial"/>
          <w:szCs w:val="20"/>
          <w:lang w:val="sl-SI"/>
        </w:rPr>
        <w:t xml:space="preserve"> člen</w:t>
      </w:r>
      <w:r>
        <w:rPr>
          <w:rFonts w:cs="Arial"/>
          <w:szCs w:val="20"/>
          <w:lang w:val="sl-SI"/>
        </w:rPr>
        <w:t>a u</w:t>
      </w:r>
      <w:r w:rsidRPr="003F1F7B">
        <w:rPr>
          <w:rFonts w:cs="Arial"/>
          <w:szCs w:val="20"/>
          <w:lang w:val="sl-SI"/>
        </w:rPr>
        <w:t>redbe</w:t>
      </w:r>
      <w:r>
        <w:rPr>
          <w:rFonts w:cs="Arial"/>
          <w:szCs w:val="20"/>
          <w:lang w:val="sl-SI"/>
        </w:rPr>
        <w:t xml:space="preserve"> </w:t>
      </w:r>
      <w:r w:rsidRPr="003F1F7B">
        <w:rPr>
          <w:rFonts w:cs="Arial"/>
          <w:szCs w:val="20"/>
          <w:lang w:val="sl-SI"/>
        </w:rPr>
        <w:t>o izvajanju intervencij s področja zemljiških operacij.</w:t>
      </w:r>
    </w:p>
    <w:p w14:paraId="5CB47A16" w14:textId="77777777" w:rsidR="0009537C" w:rsidRDefault="0009537C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</w:p>
    <w:p w14:paraId="1847611E" w14:textId="3DF4357B" w:rsidR="003F1F7B" w:rsidRP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 xml:space="preserve">4. POGOJI </w:t>
      </w:r>
      <w:r w:rsidR="00AD3C8C">
        <w:rPr>
          <w:rFonts w:ascii="Arial" w:hAnsi="Arial" w:cs="Arial"/>
          <w:b/>
          <w:lang w:val="sl-SI"/>
        </w:rPr>
        <w:t>ZA DODELITEV PODPORE</w:t>
      </w:r>
    </w:p>
    <w:p w14:paraId="05657D2A" w14:textId="77777777" w:rsidR="003F1F7B" w:rsidRPr="003F1F7B" w:rsidRDefault="003F1F7B" w:rsidP="003F1F7B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6EA55A90" w14:textId="2597F6DB" w:rsidR="00901F10" w:rsidRDefault="00721805" w:rsidP="00E71511">
      <w:pPr>
        <w:pStyle w:val="Golobesedilo"/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(1)</w:t>
      </w:r>
      <w:r w:rsidR="003F1F7B">
        <w:rPr>
          <w:rFonts w:ascii="Arial" w:hAnsi="Arial" w:cs="Arial"/>
          <w:lang w:val="sl-SI"/>
        </w:rPr>
        <w:t xml:space="preserve"> </w:t>
      </w:r>
      <w:r w:rsidR="00920645" w:rsidRPr="00920645">
        <w:rPr>
          <w:rFonts w:ascii="Arial" w:hAnsi="Arial" w:cs="Arial"/>
          <w:lang w:val="sl-SI"/>
        </w:rPr>
        <w:t>Vlagatelj mora ob</w:t>
      </w:r>
      <w:r w:rsidR="007250C8">
        <w:rPr>
          <w:rFonts w:ascii="Arial" w:hAnsi="Arial" w:cs="Arial"/>
          <w:lang w:val="sl-SI"/>
        </w:rPr>
        <w:t xml:space="preserve"> vložitvi vloge na javni razpis </w:t>
      </w:r>
      <w:r w:rsidR="00920645" w:rsidRPr="00920645">
        <w:rPr>
          <w:rFonts w:ascii="Arial" w:hAnsi="Arial" w:cs="Arial"/>
          <w:lang w:val="sl-SI"/>
        </w:rPr>
        <w:t>izpolnjevati pogoje iz 9.</w:t>
      </w:r>
      <w:r w:rsidR="00CA488E">
        <w:rPr>
          <w:rFonts w:ascii="Arial" w:hAnsi="Arial" w:cs="Arial"/>
          <w:lang w:val="sl-SI"/>
        </w:rPr>
        <w:t xml:space="preserve"> člena</w:t>
      </w:r>
      <w:r w:rsidR="007250C8">
        <w:rPr>
          <w:rFonts w:ascii="Arial" w:hAnsi="Arial" w:cs="Arial"/>
          <w:lang w:val="sl-SI"/>
        </w:rPr>
        <w:t>,</w:t>
      </w:r>
      <w:r w:rsidR="00034C24">
        <w:rPr>
          <w:rFonts w:ascii="Arial" w:hAnsi="Arial" w:cs="Arial"/>
          <w:lang w:val="sl-SI"/>
        </w:rPr>
        <w:t xml:space="preserve"> prvega in drugega odstavka</w:t>
      </w:r>
      <w:r w:rsidR="007250C8">
        <w:rPr>
          <w:rFonts w:ascii="Arial" w:hAnsi="Arial" w:cs="Arial"/>
          <w:lang w:val="sl-SI"/>
        </w:rPr>
        <w:t xml:space="preserve"> 10. </w:t>
      </w:r>
      <w:r w:rsidR="00CA488E">
        <w:rPr>
          <w:rFonts w:ascii="Arial" w:hAnsi="Arial" w:cs="Arial"/>
          <w:lang w:val="sl-SI"/>
        </w:rPr>
        <w:t>člena ter</w:t>
      </w:r>
      <w:r w:rsidR="007250C8">
        <w:rPr>
          <w:rFonts w:ascii="Arial" w:hAnsi="Arial" w:cs="Arial"/>
          <w:lang w:val="sl-SI"/>
        </w:rPr>
        <w:t xml:space="preserve"> 11.</w:t>
      </w:r>
      <w:r w:rsidR="00920645" w:rsidRPr="00920645">
        <w:rPr>
          <w:rFonts w:ascii="Arial" w:hAnsi="Arial" w:cs="Arial"/>
          <w:lang w:val="sl-SI"/>
        </w:rPr>
        <w:t xml:space="preserve"> člena uredbe o skupnih</w:t>
      </w:r>
      <w:r w:rsidR="007250C8">
        <w:rPr>
          <w:rFonts w:ascii="Arial" w:hAnsi="Arial" w:cs="Arial"/>
          <w:lang w:val="sl-SI"/>
        </w:rPr>
        <w:t xml:space="preserve"> </w:t>
      </w:r>
      <w:r w:rsidR="00920645" w:rsidRPr="00920645">
        <w:rPr>
          <w:rFonts w:ascii="Arial" w:hAnsi="Arial" w:cs="Arial"/>
          <w:lang w:val="sl-SI"/>
        </w:rPr>
        <w:t>določbah za izvajanje intervencij.</w:t>
      </w:r>
    </w:p>
    <w:p w14:paraId="76CEA7A9" w14:textId="50D61860" w:rsidR="003F1F7B" w:rsidRDefault="00901F10" w:rsidP="001B6C01">
      <w:pPr>
        <w:pStyle w:val="Golobesedilo"/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332F3B">
        <w:rPr>
          <w:rFonts w:ascii="Arial" w:hAnsi="Arial" w:cs="Arial"/>
          <w:lang w:val="sl-SI"/>
        </w:rPr>
        <w:t>2</w:t>
      </w:r>
      <w:r>
        <w:rPr>
          <w:rFonts w:ascii="Arial" w:hAnsi="Arial" w:cs="Arial"/>
          <w:lang w:val="sl-SI"/>
        </w:rPr>
        <w:t xml:space="preserve">) </w:t>
      </w:r>
      <w:r w:rsidRPr="00901F10">
        <w:rPr>
          <w:rFonts w:ascii="Arial" w:hAnsi="Arial" w:cs="Arial"/>
          <w:lang w:val="sl-SI"/>
        </w:rPr>
        <w:t>Poleg pogojev i</w:t>
      </w:r>
      <w:r>
        <w:rPr>
          <w:rFonts w:ascii="Arial" w:hAnsi="Arial" w:cs="Arial"/>
          <w:lang w:val="sl-SI"/>
        </w:rPr>
        <w:t xml:space="preserve">z </w:t>
      </w:r>
      <w:r w:rsidR="00332F3B">
        <w:rPr>
          <w:rFonts w:ascii="Arial" w:hAnsi="Arial" w:cs="Arial"/>
          <w:lang w:val="sl-SI"/>
        </w:rPr>
        <w:t>prejšnjega odstavka</w:t>
      </w:r>
      <w:r w:rsidR="00FE06AC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mora vlagatelj </w:t>
      </w:r>
      <w:r w:rsidRPr="00901F10">
        <w:rPr>
          <w:rFonts w:ascii="Arial" w:hAnsi="Arial" w:cs="Arial"/>
          <w:lang w:val="sl-SI"/>
        </w:rPr>
        <w:t xml:space="preserve">ob vložitvi vloge na javni </w:t>
      </w:r>
      <w:r>
        <w:rPr>
          <w:rFonts w:ascii="Arial" w:hAnsi="Arial" w:cs="Arial"/>
          <w:lang w:val="sl-SI"/>
        </w:rPr>
        <w:t xml:space="preserve">razpis izpolnjevati tudi pogoje iz </w:t>
      </w:r>
      <w:r w:rsidR="002E3DAA">
        <w:rPr>
          <w:rFonts w:ascii="Arial" w:hAnsi="Arial" w:cs="Arial"/>
          <w:lang w:val="sl-SI"/>
        </w:rPr>
        <w:t xml:space="preserve">30. </w:t>
      </w:r>
      <w:r w:rsidR="003F1F7B">
        <w:rPr>
          <w:rFonts w:ascii="Arial" w:hAnsi="Arial" w:cs="Arial"/>
          <w:lang w:val="sl-SI"/>
        </w:rPr>
        <w:t>člena uredbe</w:t>
      </w:r>
      <w:r w:rsidR="00261AF3" w:rsidRPr="00194120">
        <w:rPr>
          <w:rFonts w:ascii="Arial" w:hAnsi="Arial" w:cs="Arial"/>
          <w:lang w:val="sl-SI"/>
        </w:rPr>
        <w:t xml:space="preserve"> </w:t>
      </w:r>
      <w:r w:rsidR="00261AF3" w:rsidRPr="00261AF3">
        <w:rPr>
          <w:rFonts w:ascii="Arial" w:hAnsi="Arial" w:cs="Arial"/>
          <w:lang w:val="sl-SI"/>
        </w:rPr>
        <w:t>o izvajanju intervencij s področja zemljiških operacij</w:t>
      </w:r>
      <w:r w:rsidR="007D2908">
        <w:rPr>
          <w:rFonts w:ascii="Arial" w:hAnsi="Arial" w:cs="Arial"/>
          <w:lang w:val="sl-SI"/>
        </w:rPr>
        <w:t>:</w:t>
      </w:r>
    </w:p>
    <w:p w14:paraId="780D7BFA" w14:textId="18E9E3CD" w:rsidR="007270EE" w:rsidRDefault="00B357B1" w:rsidP="003F1F7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a</w:t>
      </w:r>
      <w:r w:rsidR="00186828">
        <w:rPr>
          <w:rFonts w:ascii="Arial" w:hAnsi="Arial" w:cs="Arial"/>
          <w:lang w:val="sl-SI"/>
        </w:rPr>
        <w:t xml:space="preserve">) </w:t>
      </w:r>
      <w:r w:rsidR="00312B9B">
        <w:rPr>
          <w:rFonts w:ascii="Arial" w:hAnsi="Arial" w:cs="Arial"/>
          <w:lang w:val="sl-SI"/>
        </w:rPr>
        <w:t xml:space="preserve">glede </w:t>
      </w:r>
      <w:r w:rsidR="003F1F7B">
        <w:rPr>
          <w:rFonts w:ascii="Arial" w:hAnsi="Arial" w:cs="Arial"/>
          <w:lang w:val="sl-SI"/>
        </w:rPr>
        <w:t>izpolnjevanj</w:t>
      </w:r>
      <w:r w:rsidR="00312B9B">
        <w:rPr>
          <w:rFonts w:ascii="Arial" w:hAnsi="Arial" w:cs="Arial"/>
          <w:lang w:val="sl-SI"/>
        </w:rPr>
        <w:t>a</w:t>
      </w:r>
      <w:r w:rsidR="003F1F7B">
        <w:rPr>
          <w:rFonts w:ascii="Arial" w:hAnsi="Arial" w:cs="Arial"/>
          <w:lang w:val="sl-SI"/>
        </w:rPr>
        <w:t xml:space="preserve"> pogoja iz </w:t>
      </w:r>
      <w:r w:rsidR="002152A6">
        <w:rPr>
          <w:rFonts w:ascii="Arial" w:hAnsi="Arial" w:cs="Arial"/>
          <w:lang w:val="sl-SI"/>
        </w:rPr>
        <w:t>7.</w:t>
      </w:r>
      <w:r w:rsidR="004C739A">
        <w:rPr>
          <w:rFonts w:ascii="Arial" w:hAnsi="Arial" w:cs="Arial"/>
          <w:lang w:val="sl-SI"/>
        </w:rPr>
        <w:t xml:space="preserve"> točke prvega odstavka 30. člena</w:t>
      </w:r>
      <w:r w:rsidR="003F1F7B">
        <w:rPr>
          <w:rFonts w:ascii="Arial" w:hAnsi="Arial" w:cs="Arial"/>
          <w:lang w:val="sl-SI"/>
        </w:rPr>
        <w:t xml:space="preserve"> uredbe</w:t>
      </w:r>
      <w:r w:rsidR="00261AF3" w:rsidRPr="00261AF3">
        <w:t xml:space="preserve"> </w:t>
      </w:r>
      <w:r w:rsidR="00261AF3" w:rsidRPr="00261AF3">
        <w:rPr>
          <w:rFonts w:ascii="Arial" w:hAnsi="Arial" w:cs="Arial"/>
          <w:lang w:val="sl-SI"/>
        </w:rPr>
        <w:t>o izvajanju intervencij s področja zemljiških operacij</w:t>
      </w:r>
      <w:r w:rsidR="003F1F7B">
        <w:rPr>
          <w:rFonts w:ascii="Arial" w:hAnsi="Arial" w:cs="Arial"/>
          <w:lang w:val="sl-SI"/>
        </w:rPr>
        <w:t xml:space="preserve"> </w:t>
      </w:r>
      <w:r w:rsidR="00284CA0" w:rsidRPr="00284CA0">
        <w:rPr>
          <w:rFonts w:ascii="Arial" w:hAnsi="Arial" w:cs="Arial"/>
          <w:lang w:val="sl-SI"/>
        </w:rPr>
        <w:t xml:space="preserve">se vlogi na javni razpis priloži prilogo »Faznost </w:t>
      </w:r>
      <w:r w:rsidR="00284CA0">
        <w:rPr>
          <w:rFonts w:ascii="Arial" w:hAnsi="Arial" w:cs="Arial"/>
          <w:lang w:val="sl-SI"/>
        </w:rPr>
        <w:t>tehnološke posodobitve</w:t>
      </w:r>
      <w:r w:rsidR="00284CA0" w:rsidRPr="00284CA0">
        <w:rPr>
          <w:rFonts w:ascii="Arial" w:hAnsi="Arial" w:cs="Arial"/>
          <w:lang w:val="sl-SI"/>
        </w:rPr>
        <w:t xml:space="preserve"> namakalnega sistema«, ki je v prilogi razpisne dokumentacije</w:t>
      </w:r>
      <w:r w:rsidR="007270EE" w:rsidRPr="007270EE">
        <w:rPr>
          <w:rFonts w:ascii="Arial" w:hAnsi="Arial" w:cs="Arial"/>
          <w:lang w:val="sl-SI"/>
        </w:rPr>
        <w:t>;</w:t>
      </w:r>
    </w:p>
    <w:p w14:paraId="55B6CC8B" w14:textId="78B8C1B0" w:rsidR="005C159C" w:rsidRDefault="00B357B1" w:rsidP="005C159C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b</w:t>
      </w:r>
      <w:r w:rsidR="005C159C">
        <w:rPr>
          <w:rFonts w:ascii="Arial" w:hAnsi="Arial" w:cs="Arial"/>
          <w:lang w:val="sl-SI"/>
        </w:rPr>
        <w:t xml:space="preserve">) </w:t>
      </w:r>
      <w:r w:rsidR="00D06BDF">
        <w:rPr>
          <w:rFonts w:ascii="Arial" w:hAnsi="Arial" w:cs="Arial"/>
          <w:lang w:val="sl-SI"/>
        </w:rPr>
        <w:t>terminski načrt</w:t>
      </w:r>
      <w:r w:rsidR="005C159C">
        <w:rPr>
          <w:rFonts w:ascii="Arial" w:hAnsi="Arial" w:cs="Arial"/>
          <w:lang w:val="sl-SI"/>
        </w:rPr>
        <w:t xml:space="preserve"> iz 8. točke prvega odstavka 30. člena uredbe</w:t>
      </w:r>
      <w:r w:rsidR="005C159C" w:rsidRPr="00261AF3">
        <w:t xml:space="preserve"> </w:t>
      </w:r>
      <w:r w:rsidR="005C159C" w:rsidRPr="00261AF3">
        <w:rPr>
          <w:rFonts w:ascii="Arial" w:hAnsi="Arial" w:cs="Arial"/>
          <w:lang w:val="sl-SI"/>
        </w:rPr>
        <w:t>o izvajanju intervencij s področja zemljiških operacij</w:t>
      </w:r>
      <w:r w:rsidR="005C159C">
        <w:rPr>
          <w:rFonts w:ascii="Arial" w:hAnsi="Arial" w:cs="Arial"/>
          <w:lang w:val="sl-SI"/>
        </w:rPr>
        <w:t xml:space="preserve"> se vlogi na javni razpis priloži </w:t>
      </w:r>
      <w:r w:rsidR="00D06BDF">
        <w:rPr>
          <w:rFonts w:ascii="Arial" w:hAnsi="Arial" w:cs="Arial"/>
          <w:lang w:val="sl-SI"/>
        </w:rPr>
        <w:t xml:space="preserve">na </w:t>
      </w:r>
      <w:r w:rsidR="005C159C">
        <w:rPr>
          <w:rFonts w:ascii="Arial" w:hAnsi="Arial" w:cs="Arial"/>
          <w:lang w:val="sl-SI"/>
        </w:rPr>
        <w:t>prilog</w:t>
      </w:r>
      <w:r w:rsidR="00D06BDF">
        <w:rPr>
          <w:rFonts w:ascii="Arial" w:hAnsi="Arial" w:cs="Arial"/>
          <w:lang w:val="sl-SI"/>
        </w:rPr>
        <w:t>i</w:t>
      </w:r>
      <w:r w:rsidR="005C159C">
        <w:rPr>
          <w:rFonts w:ascii="Arial" w:hAnsi="Arial" w:cs="Arial"/>
          <w:lang w:val="sl-SI"/>
        </w:rPr>
        <w:t xml:space="preserve"> »Terminski načrt tehnološke posodobitve namakalnega sistema, ki je namenjen več uporabnikom«, ki je v prilogi razpisne dokumentacije;</w:t>
      </w:r>
    </w:p>
    <w:p w14:paraId="702AF7C9" w14:textId="51E603C7" w:rsidR="007D2908" w:rsidRDefault="00B357B1" w:rsidP="003F1F7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c</w:t>
      </w:r>
      <w:r w:rsidR="008750E7">
        <w:rPr>
          <w:rFonts w:ascii="Arial" w:hAnsi="Arial" w:cs="Arial"/>
          <w:lang w:val="sl-SI"/>
        </w:rPr>
        <w:t>)</w:t>
      </w:r>
      <w:r w:rsidR="007D2908">
        <w:rPr>
          <w:rFonts w:ascii="Arial" w:hAnsi="Arial" w:cs="Arial"/>
          <w:lang w:val="sl-SI"/>
        </w:rPr>
        <w:t xml:space="preserve"> </w:t>
      </w:r>
      <w:r w:rsidR="00D06BDF">
        <w:rPr>
          <w:rFonts w:ascii="Arial" w:hAnsi="Arial" w:cs="Arial"/>
          <w:lang w:val="sl-SI"/>
        </w:rPr>
        <w:t>elaborat</w:t>
      </w:r>
      <w:r w:rsidR="007D2908">
        <w:rPr>
          <w:rFonts w:ascii="Arial" w:hAnsi="Arial" w:cs="Arial"/>
          <w:lang w:val="sl-SI"/>
        </w:rPr>
        <w:t xml:space="preserve"> iz </w:t>
      </w:r>
      <w:r w:rsidR="00245E40">
        <w:rPr>
          <w:rFonts w:ascii="Arial" w:hAnsi="Arial" w:cs="Arial"/>
          <w:lang w:val="sl-SI"/>
        </w:rPr>
        <w:t>9.</w:t>
      </w:r>
      <w:r w:rsidR="00FD223E">
        <w:rPr>
          <w:rFonts w:ascii="Arial" w:hAnsi="Arial" w:cs="Arial"/>
          <w:lang w:val="sl-SI"/>
        </w:rPr>
        <w:t xml:space="preserve"> točke prvega odstavka 30. člena</w:t>
      </w:r>
      <w:r w:rsidR="007D2908">
        <w:rPr>
          <w:rFonts w:ascii="Arial" w:hAnsi="Arial" w:cs="Arial"/>
          <w:lang w:val="sl-SI"/>
        </w:rPr>
        <w:t xml:space="preserve"> uredbe</w:t>
      </w:r>
      <w:r w:rsidR="00261AF3" w:rsidRPr="00261AF3">
        <w:t xml:space="preserve"> </w:t>
      </w:r>
      <w:r w:rsidR="00261AF3" w:rsidRPr="00261AF3">
        <w:rPr>
          <w:rFonts w:ascii="Arial" w:hAnsi="Arial" w:cs="Arial"/>
          <w:lang w:val="sl-SI"/>
        </w:rPr>
        <w:t>o izvajanju intervencij s področja zemljiških operacij</w:t>
      </w:r>
      <w:r w:rsidR="00D06BDF">
        <w:rPr>
          <w:rFonts w:ascii="Arial" w:hAnsi="Arial" w:cs="Arial"/>
          <w:lang w:val="sl-SI"/>
        </w:rPr>
        <w:t>, ki</w:t>
      </w:r>
      <w:r w:rsidR="007B685E">
        <w:rPr>
          <w:rFonts w:ascii="Arial" w:hAnsi="Arial" w:cs="Arial"/>
          <w:lang w:val="sl-SI"/>
        </w:rPr>
        <w:t xml:space="preserve"> se </w:t>
      </w:r>
      <w:r w:rsidR="00D06BDF">
        <w:rPr>
          <w:rFonts w:ascii="Arial" w:hAnsi="Arial" w:cs="Arial"/>
          <w:lang w:val="sl-SI"/>
        </w:rPr>
        <w:t xml:space="preserve">priloži </w:t>
      </w:r>
      <w:r w:rsidR="007B685E">
        <w:rPr>
          <w:rFonts w:ascii="Arial" w:hAnsi="Arial" w:cs="Arial"/>
          <w:lang w:val="sl-SI"/>
        </w:rPr>
        <w:t xml:space="preserve">vlogi na javni razpis </w:t>
      </w:r>
      <w:r w:rsidR="00D06BDF">
        <w:rPr>
          <w:rFonts w:ascii="Arial" w:hAnsi="Arial" w:cs="Arial"/>
          <w:lang w:val="sl-SI"/>
        </w:rPr>
        <w:t>mora vsebovati</w:t>
      </w:r>
      <w:r w:rsidR="00957899" w:rsidRPr="00957899">
        <w:rPr>
          <w:rFonts w:ascii="Arial" w:hAnsi="Arial" w:cs="Arial"/>
          <w:lang w:val="sl-SI"/>
        </w:rPr>
        <w:t xml:space="preserve"> obvezne </w:t>
      </w:r>
      <w:r w:rsidR="00957899">
        <w:rPr>
          <w:rFonts w:ascii="Arial" w:hAnsi="Arial" w:cs="Arial"/>
          <w:lang w:val="sl-SI"/>
        </w:rPr>
        <w:t>sestavine</w:t>
      </w:r>
      <w:r w:rsidR="00957899" w:rsidRPr="00957899">
        <w:rPr>
          <w:rFonts w:ascii="Arial" w:hAnsi="Arial" w:cs="Arial"/>
          <w:lang w:val="sl-SI"/>
        </w:rPr>
        <w:t xml:space="preserve"> iz Priloge, ki je sestavni del tega javnega razpisa.</w:t>
      </w:r>
    </w:p>
    <w:p w14:paraId="656D3F9B" w14:textId="77777777" w:rsidR="0009537C" w:rsidRDefault="0009537C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</w:p>
    <w:p w14:paraId="1D139CD2" w14:textId="12BC85FF" w:rsidR="003F1F7B" w:rsidRP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>5. UPRAVIČENI IN NEUPRAVIČENI STROŠKI</w:t>
      </w:r>
    </w:p>
    <w:p w14:paraId="1473F1FE" w14:textId="77777777" w:rsidR="003F1F7B" w:rsidRPr="003F1F7B" w:rsidRDefault="003F1F7B" w:rsidP="003F1F7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5E33966" w14:textId="20546B9C" w:rsidR="00313B62" w:rsidRDefault="008750E7" w:rsidP="008750E7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8750E7">
        <w:rPr>
          <w:rFonts w:ascii="Arial" w:hAnsi="Arial" w:cs="Arial"/>
          <w:lang w:val="sl-SI"/>
        </w:rPr>
        <w:t>(1</w:t>
      </w:r>
      <w:r>
        <w:rPr>
          <w:rFonts w:ascii="Arial" w:hAnsi="Arial" w:cs="Arial"/>
          <w:lang w:val="sl-SI"/>
        </w:rPr>
        <w:t xml:space="preserve">) </w:t>
      </w:r>
      <w:r w:rsidR="003F1F7B" w:rsidRPr="003F1F7B">
        <w:rPr>
          <w:rFonts w:ascii="Arial" w:hAnsi="Arial" w:cs="Arial"/>
          <w:lang w:val="sl-SI"/>
        </w:rPr>
        <w:t xml:space="preserve">Upravičeni stroški so določeni v </w:t>
      </w:r>
      <w:r w:rsidR="00357A1A">
        <w:rPr>
          <w:rFonts w:ascii="Arial" w:hAnsi="Arial" w:cs="Arial"/>
          <w:lang w:val="sl-SI"/>
        </w:rPr>
        <w:t>28.</w:t>
      </w:r>
      <w:r w:rsidR="003F1F7B" w:rsidRPr="003F1F7B">
        <w:rPr>
          <w:rFonts w:ascii="Arial" w:hAnsi="Arial" w:cs="Arial"/>
          <w:lang w:val="sl-SI"/>
        </w:rPr>
        <w:t xml:space="preserve"> </w:t>
      </w:r>
      <w:r w:rsidR="00CA18FD">
        <w:rPr>
          <w:rFonts w:ascii="Arial" w:hAnsi="Arial" w:cs="Arial"/>
          <w:lang w:val="sl-SI"/>
        </w:rPr>
        <w:t xml:space="preserve">in 58. </w:t>
      </w:r>
      <w:r w:rsidR="003F1F7B" w:rsidRPr="003F1F7B">
        <w:rPr>
          <w:rFonts w:ascii="Arial" w:hAnsi="Arial" w:cs="Arial"/>
          <w:lang w:val="sl-SI"/>
        </w:rPr>
        <w:t xml:space="preserve">členu </w:t>
      </w:r>
      <w:r w:rsidR="00F631BD">
        <w:rPr>
          <w:rFonts w:ascii="Arial" w:hAnsi="Arial" w:cs="Arial"/>
          <w:lang w:val="sl-SI"/>
        </w:rPr>
        <w:t>u</w:t>
      </w:r>
      <w:r w:rsidR="003F1F7B" w:rsidRPr="003F1F7B">
        <w:rPr>
          <w:rFonts w:ascii="Arial" w:hAnsi="Arial" w:cs="Arial"/>
          <w:lang w:val="sl-SI"/>
        </w:rPr>
        <w:t>redbe</w:t>
      </w:r>
      <w:r w:rsidR="00261AF3" w:rsidRPr="00261AF3">
        <w:t xml:space="preserve"> </w:t>
      </w:r>
      <w:r w:rsidR="00261AF3" w:rsidRPr="00261AF3">
        <w:rPr>
          <w:rFonts w:ascii="Arial" w:hAnsi="Arial" w:cs="Arial"/>
          <w:lang w:val="sl-SI"/>
        </w:rPr>
        <w:t>o izvajanju intervencij s področja zemljiških operacij</w:t>
      </w:r>
      <w:r w:rsidR="00CA18FD">
        <w:rPr>
          <w:rFonts w:ascii="Arial" w:hAnsi="Arial" w:cs="Arial"/>
          <w:lang w:val="sl-SI"/>
        </w:rPr>
        <w:t xml:space="preserve"> ter v </w:t>
      </w:r>
      <w:r w:rsidR="00E35015">
        <w:rPr>
          <w:rFonts w:ascii="Arial" w:hAnsi="Arial" w:cs="Arial"/>
          <w:lang w:val="sl-SI"/>
        </w:rPr>
        <w:t xml:space="preserve">prvem do petem in sedmem odstavku 19. člena in v </w:t>
      </w:r>
      <w:r w:rsidR="00CA18FD">
        <w:rPr>
          <w:rFonts w:ascii="Arial" w:hAnsi="Arial" w:cs="Arial"/>
          <w:lang w:val="sl-SI"/>
        </w:rPr>
        <w:t>20. členu uredbe</w:t>
      </w:r>
      <w:r w:rsidR="00CA18FD" w:rsidRPr="005B3E96">
        <w:rPr>
          <w:rFonts w:ascii="Arial" w:hAnsi="Arial" w:cs="Arial"/>
          <w:lang w:val="sl-SI"/>
        </w:rPr>
        <w:t xml:space="preserve"> o skupnih določbah za izvajanje intervencij</w:t>
      </w:r>
      <w:r w:rsidR="003F1F7B" w:rsidRPr="003F1F7B">
        <w:rPr>
          <w:rFonts w:ascii="Arial" w:hAnsi="Arial" w:cs="Arial"/>
          <w:lang w:val="sl-SI"/>
        </w:rPr>
        <w:t xml:space="preserve">. </w:t>
      </w:r>
      <w:r w:rsidR="00313B62">
        <w:rPr>
          <w:rFonts w:ascii="Arial" w:hAnsi="Arial" w:cs="Arial"/>
          <w:lang w:val="sl-SI"/>
        </w:rPr>
        <w:t xml:space="preserve">Določitev višine upravičenih stroškov je </w:t>
      </w:r>
      <w:r w:rsidR="00CA18FD">
        <w:rPr>
          <w:rFonts w:ascii="Arial" w:hAnsi="Arial" w:cs="Arial"/>
          <w:lang w:val="sl-SI"/>
        </w:rPr>
        <w:t xml:space="preserve">določena </w:t>
      </w:r>
      <w:r w:rsidR="00313B62">
        <w:rPr>
          <w:rFonts w:ascii="Arial" w:hAnsi="Arial" w:cs="Arial"/>
          <w:lang w:val="sl-SI"/>
        </w:rPr>
        <w:t xml:space="preserve">v 19. členu </w:t>
      </w:r>
      <w:r w:rsidR="005B3E96">
        <w:rPr>
          <w:rFonts w:ascii="Arial" w:hAnsi="Arial" w:cs="Arial"/>
          <w:lang w:val="sl-SI"/>
        </w:rPr>
        <w:t>uredbe</w:t>
      </w:r>
      <w:r w:rsidR="005B3E96" w:rsidRPr="005B3E96">
        <w:rPr>
          <w:rFonts w:ascii="Arial" w:hAnsi="Arial" w:cs="Arial"/>
          <w:lang w:val="sl-SI"/>
        </w:rPr>
        <w:t xml:space="preserve"> o skupnih določbah za izvajanje intervencij</w:t>
      </w:r>
      <w:r w:rsidR="00CA18FD">
        <w:rPr>
          <w:rFonts w:ascii="Arial" w:hAnsi="Arial" w:cs="Arial"/>
          <w:lang w:val="sl-SI"/>
        </w:rPr>
        <w:t>, razen v šestem odstavku 19. členu uredbe</w:t>
      </w:r>
      <w:r w:rsidR="00CA18FD" w:rsidRPr="005B3E96">
        <w:rPr>
          <w:rFonts w:ascii="Arial" w:hAnsi="Arial" w:cs="Arial"/>
          <w:lang w:val="sl-SI"/>
        </w:rPr>
        <w:t xml:space="preserve"> o skupnih določbah za izvajanje intervencij</w:t>
      </w:r>
      <w:r w:rsidR="00313B62">
        <w:rPr>
          <w:rFonts w:ascii="Arial" w:hAnsi="Arial" w:cs="Arial"/>
          <w:lang w:val="sl-SI"/>
        </w:rPr>
        <w:t>.</w:t>
      </w:r>
    </w:p>
    <w:p w14:paraId="68FEF614" w14:textId="0695D89E" w:rsidR="008750E7" w:rsidRDefault="008750E7" w:rsidP="008750E7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A4CF626" w14:textId="169BD01D" w:rsidR="00354B95" w:rsidRDefault="00354B95" w:rsidP="00354B9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(2)</w:t>
      </w:r>
      <w:r w:rsidRPr="003F1F7B">
        <w:rPr>
          <w:rFonts w:ascii="Arial" w:hAnsi="Arial" w:cs="Arial"/>
          <w:lang w:val="sl-SI"/>
        </w:rPr>
        <w:t xml:space="preserve"> </w:t>
      </w:r>
      <w:r w:rsidRPr="000751CC">
        <w:rPr>
          <w:rFonts w:ascii="Arial" w:hAnsi="Arial" w:cs="Arial"/>
          <w:lang w:val="sl-SI"/>
        </w:rPr>
        <w:t>Upravičeni stroški so določeni v Pravilniku o katalogu stroškov in njihovih vrednostih na enoto (Uradni list RS, št. 34/24).</w:t>
      </w:r>
    </w:p>
    <w:p w14:paraId="0155EA06" w14:textId="77777777" w:rsidR="00354B95" w:rsidRDefault="00354B95" w:rsidP="00354B9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DA3CE62" w14:textId="6302F4CC" w:rsidR="008750E7" w:rsidRDefault="008750E7" w:rsidP="00354B9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354B95">
        <w:rPr>
          <w:rFonts w:ascii="Arial" w:hAnsi="Arial" w:cs="Arial"/>
          <w:lang w:val="sl-SI"/>
        </w:rPr>
        <w:t>3</w:t>
      </w:r>
      <w:r>
        <w:rPr>
          <w:rFonts w:ascii="Arial" w:hAnsi="Arial" w:cs="Arial"/>
          <w:lang w:val="sl-SI"/>
        </w:rPr>
        <w:t xml:space="preserve">) </w:t>
      </w:r>
      <w:r w:rsidR="00CA18FD">
        <w:rPr>
          <w:rFonts w:ascii="Arial" w:hAnsi="Arial" w:cs="Arial"/>
          <w:lang w:val="sl-SI"/>
        </w:rPr>
        <w:t xml:space="preserve">Če </w:t>
      </w:r>
      <w:r w:rsidR="0058370C">
        <w:rPr>
          <w:rFonts w:ascii="Arial" w:hAnsi="Arial" w:cs="Arial"/>
          <w:lang w:val="sl-SI"/>
        </w:rPr>
        <w:t>upravičenec</w:t>
      </w:r>
      <w:r>
        <w:rPr>
          <w:rFonts w:ascii="Arial" w:hAnsi="Arial" w:cs="Arial"/>
          <w:lang w:val="sl-SI"/>
        </w:rPr>
        <w:t xml:space="preserve"> v skladu s tretjim odstavkom 28. člena u</w:t>
      </w:r>
      <w:r w:rsidRPr="003F1F7B">
        <w:rPr>
          <w:rFonts w:ascii="Arial" w:hAnsi="Arial" w:cs="Arial"/>
          <w:lang w:val="sl-SI"/>
        </w:rPr>
        <w:t>redbe</w:t>
      </w:r>
      <w:r w:rsidRPr="00261AF3">
        <w:t xml:space="preserve"> </w:t>
      </w:r>
      <w:r w:rsidRPr="00261AF3">
        <w:rPr>
          <w:rFonts w:ascii="Arial" w:hAnsi="Arial" w:cs="Arial"/>
          <w:lang w:val="sl-SI"/>
        </w:rPr>
        <w:t>o izvajanju intervencij s področja zemljiških operacij</w:t>
      </w:r>
      <w:r>
        <w:rPr>
          <w:rFonts w:ascii="Arial" w:hAnsi="Arial" w:cs="Arial"/>
          <w:lang w:val="sl-SI"/>
        </w:rPr>
        <w:t xml:space="preserve"> uveljavlja stroške za tehnološko posodobitev namakalnega sistema ali namakalnega območja, ki je bil v zadnjih desetih letih pred vložitvijo vloge na javni razpis predmet tehnološke posodobitve</w:t>
      </w:r>
      <w:r w:rsidR="00354B95">
        <w:rPr>
          <w:rFonts w:ascii="Arial" w:hAnsi="Arial" w:cs="Arial"/>
          <w:lang w:val="sl-SI"/>
        </w:rPr>
        <w:t>,</w:t>
      </w:r>
      <w:r w:rsidR="00CF7ACA">
        <w:rPr>
          <w:rFonts w:ascii="Arial" w:hAnsi="Arial" w:cs="Arial"/>
          <w:lang w:val="sl-SI"/>
        </w:rPr>
        <w:t xml:space="preserve"> se vlogi na javni razpis priloži</w:t>
      </w:r>
      <w:r>
        <w:rPr>
          <w:rFonts w:ascii="Arial" w:hAnsi="Arial" w:cs="Arial"/>
          <w:lang w:val="sl-SI"/>
        </w:rPr>
        <w:t xml:space="preserve"> prilog</w:t>
      </w:r>
      <w:r w:rsidR="00CF7ACA">
        <w:rPr>
          <w:rFonts w:ascii="Arial" w:hAnsi="Arial" w:cs="Arial"/>
          <w:lang w:val="sl-SI"/>
        </w:rPr>
        <w:t>a</w:t>
      </w:r>
      <w:r>
        <w:rPr>
          <w:rFonts w:ascii="Arial" w:hAnsi="Arial" w:cs="Arial"/>
          <w:lang w:val="sl-SI"/>
        </w:rPr>
        <w:t xml:space="preserve"> »</w:t>
      </w:r>
      <w:r w:rsidR="00D3248D">
        <w:rPr>
          <w:rFonts w:ascii="Arial" w:hAnsi="Arial" w:cs="Arial"/>
          <w:lang w:val="sl-SI"/>
        </w:rPr>
        <w:t>Izplačana sredstva za tehnološko posodobitev namakalnega sistema«, ki je v prilogi razpisne dokumentacije.</w:t>
      </w:r>
    </w:p>
    <w:p w14:paraId="391DC503" w14:textId="77777777" w:rsidR="00DF2590" w:rsidRDefault="00DF2590" w:rsidP="00DF2590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61BDE74" w14:textId="3B80DB4F" w:rsidR="00DF2590" w:rsidRPr="003F1F7B" w:rsidRDefault="00721805" w:rsidP="00DF2590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D3248D">
        <w:rPr>
          <w:rFonts w:ascii="Arial" w:hAnsi="Arial" w:cs="Arial"/>
          <w:lang w:val="sl-SI"/>
        </w:rPr>
        <w:t>4</w:t>
      </w:r>
      <w:r>
        <w:rPr>
          <w:rFonts w:ascii="Arial" w:hAnsi="Arial" w:cs="Arial"/>
          <w:lang w:val="sl-SI"/>
        </w:rPr>
        <w:t xml:space="preserve">) </w:t>
      </w:r>
      <w:r w:rsidR="00B357B1" w:rsidRPr="003F1F7B">
        <w:rPr>
          <w:rFonts w:ascii="Arial" w:hAnsi="Arial" w:cs="Arial"/>
          <w:lang w:val="sl-SI"/>
        </w:rPr>
        <w:t xml:space="preserve">Za uveljavljanje splošnih stroškov iz </w:t>
      </w:r>
      <w:r w:rsidR="00B357B1">
        <w:rPr>
          <w:rFonts w:ascii="Arial" w:hAnsi="Arial" w:cs="Arial"/>
          <w:lang w:val="sl-SI"/>
        </w:rPr>
        <w:t>20</w:t>
      </w:r>
      <w:r w:rsidR="00B357B1" w:rsidRPr="003F1F7B">
        <w:rPr>
          <w:rFonts w:ascii="Arial" w:hAnsi="Arial" w:cs="Arial"/>
          <w:lang w:val="sl-SI"/>
        </w:rPr>
        <w:t xml:space="preserve">. člena </w:t>
      </w:r>
      <w:r w:rsidR="00B357B1">
        <w:rPr>
          <w:rFonts w:ascii="Arial" w:hAnsi="Arial" w:cs="Arial"/>
          <w:lang w:val="sl-SI"/>
        </w:rPr>
        <w:t>uredbe</w:t>
      </w:r>
      <w:r w:rsidR="00B357B1" w:rsidRPr="005B3E96">
        <w:rPr>
          <w:rFonts w:ascii="Arial" w:hAnsi="Arial" w:cs="Arial"/>
          <w:lang w:val="sl-SI"/>
        </w:rPr>
        <w:t xml:space="preserve"> o skupnih določbah za izvajanje intervencij </w:t>
      </w:r>
      <w:r w:rsidR="00B357B1">
        <w:rPr>
          <w:rFonts w:ascii="Arial" w:hAnsi="Arial" w:cs="Arial"/>
          <w:lang w:val="sl-SI"/>
        </w:rPr>
        <w:t>vlagatelj</w:t>
      </w:r>
      <w:r w:rsidR="00B357B1" w:rsidRPr="003F1F7B">
        <w:rPr>
          <w:rFonts w:ascii="Arial" w:hAnsi="Arial" w:cs="Arial"/>
          <w:lang w:val="sl-SI"/>
        </w:rPr>
        <w:t xml:space="preserve"> </w:t>
      </w:r>
      <w:r w:rsidR="00B357B1">
        <w:rPr>
          <w:rFonts w:ascii="Arial" w:hAnsi="Arial" w:cs="Arial"/>
          <w:lang w:val="sl-SI"/>
        </w:rPr>
        <w:t>zahtevku za izplačilo</w:t>
      </w:r>
      <w:r w:rsidR="00B357B1" w:rsidRPr="003F1F7B">
        <w:rPr>
          <w:rFonts w:ascii="Arial" w:hAnsi="Arial" w:cs="Arial"/>
          <w:lang w:val="sl-SI"/>
        </w:rPr>
        <w:t xml:space="preserve"> priloži račune</w:t>
      </w:r>
      <w:r w:rsidR="00B357B1">
        <w:rPr>
          <w:rFonts w:ascii="Arial" w:hAnsi="Arial" w:cs="Arial"/>
          <w:lang w:val="sl-SI"/>
        </w:rPr>
        <w:t xml:space="preserve">, </w:t>
      </w:r>
      <w:r w:rsidR="00B357B1" w:rsidRPr="003F1F7B">
        <w:rPr>
          <w:rFonts w:ascii="Arial" w:hAnsi="Arial" w:cs="Arial"/>
          <w:lang w:val="sl-SI"/>
        </w:rPr>
        <w:t>predračune</w:t>
      </w:r>
      <w:r w:rsidR="00B357B1">
        <w:rPr>
          <w:rFonts w:ascii="Arial" w:hAnsi="Arial" w:cs="Arial"/>
          <w:lang w:val="sl-SI"/>
        </w:rPr>
        <w:t>, ponudbe ali projektantske predračune</w:t>
      </w:r>
      <w:r w:rsidR="00B357B1" w:rsidRPr="003F1F7B">
        <w:rPr>
          <w:rFonts w:ascii="Arial" w:hAnsi="Arial" w:cs="Arial"/>
          <w:lang w:val="sl-SI" w:eastAsia="sl-SI"/>
        </w:rPr>
        <w:t>.</w:t>
      </w:r>
      <w:r w:rsidR="00B357B1">
        <w:rPr>
          <w:rFonts w:ascii="Arial" w:hAnsi="Arial" w:cs="Arial"/>
          <w:lang w:val="sl-SI" w:eastAsia="sl-SI"/>
        </w:rPr>
        <w:t xml:space="preserve"> </w:t>
      </w:r>
      <w:r w:rsidR="00B357B1">
        <w:rPr>
          <w:rFonts w:ascii="Arial" w:hAnsi="Arial" w:cs="Arial"/>
          <w:lang w:val="sl-SI"/>
        </w:rPr>
        <w:t xml:space="preserve">Višina splošnih stroškov je določena v 58. členu uredbe </w:t>
      </w:r>
      <w:r w:rsidR="00B357B1" w:rsidRPr="00261AF3">
        <w:rPr>
          <w:rFonts w:ascii="Arial" w:hAnsi="Arial" w:cs="Arial"/>
          <w:lang w:val="sl-SI"/>
        </w:rPr>
        <w:t>o izvajanju intervencij s področja zemljiških operacij</w:t>
      </w:r>
      <w:r w:rsidR="00B357B1">
        <w:rPr>
          <w:rFonts w:ascii="Arial" w:hAnsi="Arial" w:cs="Arial"/>
          <w:lang w:val="sl-SI"/>
        </w:rPr>
        <w:t>.</w:t>
      </w:r>
    </w:p>
    <w:p w14:paraId="3631E43A" w14:textId="77777777" w:rsidR="003F1F7B" w:rsidRPr="003F1F7B" w:rsidRDefault="003F1F7B" w:rsidP="003F1F7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30D67FA" w14:textId="6FD1C39D" w:rsidR="003F1F7B" w:rsidRDefault="00721805" w:rsidP="003F1F7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FB50D1">
        <w:rPr>
          <w:rFonts w:ascii="Arial" w:hAnsi="Arial" w:cs="Arial"/>
          <w:lang w:val="sl-SI"/>
        </w:rPr>
        <w:t>5</w:t>
      </w:r>
      <w:r>
        <w:rPr>
          <w:rFonts w:ascii="Arial" w:hAnsi="Arial" w:cs="Arial"/>
          <w:lang w:val="sl-SI"/>
        </w:rPr>
        <w:t>)</w:t>
      </w:r>
      <w:r w:rsidR="003F1F7B" w:rsidRPr="003F1F7B">
        <w:rPr>
          <w:rFonts w:ascii="Arial" w:hAnsi="Arial" w:cs="Arial"/>
          <w:lang w:val="sl-SI"/>
        </w:rPr>
        <w:t xml:space="preserve"> </w:t>
      </w:r>
      <w:r w:rsidR="00420E96" w:rsidRPr="003F1F7B">
        <w:rPr>
          <w:rFonts w:ascii="Arial" w:hAnsi="Arial" w:cs="Arial"/>
          <w:lang w:val="sl-SI"/>
        </w:rPr>
        <w:t xml:space="preserve">Neupravičeni stroški so določeni v </w:t>
      </w:r>
      <w:r w:rsidR="00357A1A">
        <w:rPr>
          <w:rFonts w:ascii="Arial" w:hAnsi="Arial" w:cs="Arial"/>
          <w:lang w:val="sl-SI"/>
        </w:rPr>
        <w:t>29.</w:t>
      </w:r>
      <w:r w:rsidR="00420E96">
        <w:rPr>
          <w:rFonts w:ascii="Arial" w:hAnsi="Arial" w:cs="Arial"/>
          <w:lang w:val="sl-SI"/>
        </w:rPr>
        <w:t xml:space="preserve"> členu u</w:t>
      </w:r>
      <w:r w:rsidR="00420E96" w:rsidRPr="003F1F7B">
        <w:rPr>
          <w:rFonts w:ascii="Arial" w:hAnsi="Arial" w:cs="Arial"/>
          <w:lang w:val="sl-SI"/>
        </w:rPr>
        <w:t>redbe</w:t>
      </w:r>
      <w:r w:rsidR="00420E96" w:rsidRPr="00261AF3">
        <w:t xml:space="preserve"> </w:t>
      </w:r>
      <w:r w:rsidR="00420E96" w:rsidRPr="00261AF3">
        <w:rPr>
          <w:rFonts w:ascii="Arial" w:hAnsi="Arial" w:cs="Arial"/>
          <w:lang w:val="sl-SI"/>
        </w:rPr>
        <w:t>o izvajanju intervencij s področja zemljiških operacij</w:t>
      </w:r>
      <w:r w:rsidR="00420E96" w:rsidRPr="003F1F7B">
        <w:rPr>
          <w:rFonts w:ascii="Arial" w:hAnsi="Arial" w:cs="Arial"/>
          <w:lang w:val="sl-SI"/>
        </w:rPr>
        <w:t>.</w:t>
      </w:r>
    </w:p>
    <w:p w14:paraId="6A3E7915" w14:textId="77777777" w:rsidR="003F1F7B" w:rsidRPr="003F1F7B" w:rsidRDefault="003F1F7B" w:rsidP="001B6C01">
      <w:pPr>
        <w:rPr>
          <w:u w:val="single"/>
          <w:lang w:val="sl-SI"/>
        </w:rPr>
      </w:pPr>
    </w:p>
    <w:p w14:paraId="79B81462" w14:textId="77777777" w:rsidR="003F1F7B" w:rsidRP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 xml:space="preserve">6. MERILA ZA OCENJEVANJE VLOG </w:t>
      </w:r>
    </w:p>
    <w:p w14:paraId="25F2FA2D" w14:textId="77777777" w:rsidR="003F1F7B" w:rsidRPr="003F1F7B" w:rsidRDefault="003F1F7B" w:rsidP="003F1F7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7B8D571" w14:textId="0ACF25E9" w:rsidR="00F352E3" w:rsidRPr="00F352E3" w:rsidRDefault="00721805" w:rsidP="00F352E3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3F1F7B" w:rsidRPr="003F1F7B">
        <w:rPr>
          <w:rFonts w:ascii="Arial" w:hAnsi="Arial" w:cs="Arial"/>
          <w:lang w:val="sl-SI"/>
        </w:rPr>
        <w:t>1</w:t>
      </w:r>
      <w:r>
        <w:rPr>
          <w:rFonts w:ascii="Arial" w:hAnsi="Arial" w:cs="Arial"/>
          <w:lang w:val="sl-SI"/>
        </w:rPr>
        <w:t>)</w:t>
      </w:r>
      <w:r w:rsidR="003F1F7B" w:rsidRPr="003F1F7B">
        <w:rPr>
          <w:rFonts w:ascii="Arial" w:hAnsi="Arial" w:cs="Arial"/>
          <w:lang w:val="sl-SI"/>
        </w:rPr>
        <w:t xml:space="preserve"> Merila za ocenjevanje vlog </w:t>
      </w:r>
      <w:r w:rsidR="00E35015">
        <w:rPr>
          <w:rFonts w:ascii="Arial" w:hAnsi="Arial" w:cs="Arial"/>
          <w:lang w:val="sl-SI"/>
        </w:rPr>
        <w:t>na javni razpis</w:t>
      </w:r>
      <w:r w:rsidR="00F352E3">
        <w:rPr>
          <w:rFonts w:ascii="Arial" w:hAnsi="Arial" w:cs="Arial"/>
          <w:lang w:val="sl-SI"/>
        </w:rPr>
        <w:t xml:space="preserve"> </w:t>
      </w:r>
      <w:r w:rsidR="003F1F7B" w:rsidRPr="003F1F7B">
        <w:rPr>
          <w:rFonts w:ascii="Arial" w:hAnsi="Arial" w:cs="Arial"/>
          <w:lang w:val="sl-SI"/>
        </w:rPr>
        <w:t xml:space="preserve">so določena v </w:t>
      </w:r>
      <w:r w:rsidR="00C84633">
        <w:rPr>
          <w:rFonts w:ascii="Arial" w:hAnsi="Arial" w:cs="Arial"/>
          <w:lang w:val="sl-SI"/>
        </w:rPr>
        <w:t>3</w:t>
      </w:r>
      <w:r w:rsidR="0050701C">
        <w:rPr>
          <w:rFonts w:ascii="Arial" w:hAnsi="Arial" w:cs="Arial"/>
          <w:lang w:val="sl-SI"/>
        </w:rPr>
        <w:t>1.</w:t>
      </w:r>
      <w:r w:rsidR="003F1F7B" w:rsidRPr="003F1F7B">
        <w:rPr>
          <w:rFonts w:ascii="Arial" w:hAnsi="Arial" w:cs="Arial"/>
          <w:lang w:val="sl-SI"/>
        </w:rPr>
        <w:t xml:space="preserve"> člen</w:t>
      </w:r>
      <w:r w:rsidR="001026B7">
        <w:rPr>
          <w:rFonts w:ascii="Arial" w:hAnsi="Arial" w:cs="Arial"/>
          <w:lang w:val="sl-SI"/>
        </w:rPr>
        <w:t>u</w:t>
      </w:r>
      <w:r w:rsidR="003F1F7B" w:rsidRPr="003F1F7B">
        <w:rPr>
          <w:rFonts w:ascii="Arial" w:hAnsi="Arial" w:cs="Arial"/>
          <w:lang w:val="sl-SI"/>
        </w:rPr>
        <w:t xml:space="preserve"> </w:t>
      </w:r>
      <w:r w:rsidR="004678A4">
        <w:rPr>
          <w:rFonts w:ascii="Arial" w:hAnsi="Arial" w:cs="Arial"/>
          <w:lang w:val="sl-SI"/>
        </w:rPr>
        <w:t>u</w:t>
      </w:r>
      <w:r w:rsidR="003F1F7B" w:rsidRPr="003F1F7B">
        <w:rPr>
          <w:rFonts w:ascii="Arial" w:hAnsi="Arial" w:cs="Arial"/>
          <w:lang w:val="sl-SI"/>
        </w:rPr>
        <w:t>redbe</w:t>
      </w:r>
      <w:r w:rsidR="00261AF3" w:rsidRPr="00261AF3">
        <w:t xml:space="preserve"> </w:t>
      </w:r>
      <w:r w:rsidR="00261AF3" w:rsidRPr="00261AF3">
        <w:rPr>
          <w:rFonts w:ascii="Arial" w:hAnsi="Arial" w:cs="Arial"/>
          <w:lang w:val="sl-SI"/>
        </w:rPr>
        <w:t xml:space="preserve">o izvajanju intervencij s področja zemljiških </w:t>
      </w:r>
      <w:r w:rsidR="00261AF3" w:rsidRPr="00420E96">
        <w:rPr>
          <w:rFonts w:ascii="Arial" w:hAnsi="Arial" w:cs="Arial"/>
          <w:lang w:val="sl-SI"/>
        </w:rPr>
        <w:t>operacij</w:t>
      </w:r>
      <w:r w:rsidR="00F352E3">
        <w:rPr>
          <w:rFonts w:ascii="Arial" w:hAnsi="Arial" w:cs="Arial"/>
          <w:lang w:val="sl-SI"/>
        </w:rPr>
        <w:t xml:space="preserve"> </w:t>
      </w:r>
      <w:r w:rsidR="00F352E3" w:rsidRPr="00F352E3">
        <w:rPr>
          <w:rFonts w:ascii="Arial" w:hAnsi="Arial" w:cs="Arial"/>
          <w:lang w:val="sl-SI"/>
        </w:rPr>
        <w:t>ter v dokumentu »Merila za izbor operacij v okviru SN 2023-2027«, ki je dostopen na spletni strani</w:t>
      </w:r>
      <w:r w:rsidR="00F352E3">
        <w:rPr>
          <w:rFonts w:ascii="Arial" w:hAnsi="Arial" w:cs="Arial"/>
          <w:lang w:val="sl-SI"/>
        </w:rPr>
        <w:t xml:space="preserve"> programa razvoja podeželja: </w:t>
      </w:r>
      <w:r w:rsidR="00F352E3" w:rsidRPr="00F352E3">
        <w:rPr>
          <w:rFonts w:ascii="Arial" w:hAnsi="Arial" w:cs="Arial"/>
          <w:lang w:val="sl-SI"/>
        </w:rPr>
        <w:t>https://skp.si/wp-content/uploads/2024/04/Predlog-Meril-za-izbor-operacij-SN2023-</w:t>
      </w:r>
    </w:p>
    <w:p w14:paraId="75744C83" w14:textId="1F05F6A3" w:rsidR="003F1F7B" w:rsidRPr="003F1F7B" w:rsidRDefault="00F352E3" w:rsidP="00F352E3">
      <w:pPr>
        <w:pStyle w:val="Golobesedilo"/>
        <w:jc w:val="both"/>
        <w:rPr>
          <w:rFonts w:ascii="Arial" w:hAnsi="Arial" w:cs="Arial"/>
          <w:lang w:val="sl-SI"/>
        </w:rPr>
      </w:pPr>
      <w:r w:rsidRPr="00F352E3">
        <w:rPr>
          <w:rFonts w:ascii="Arial" w:hAnsi="Arial" w:cs="Arial"/>
          <w:lang w:val="sl-SI"/>
        </w:rPr>
        <w:t>2027_EKSRP_3.sprememba_P.pdf,</w:t>
      </w:r>
      <w:r w:rsidR="00805644">
        <w:rPr>
          <w:rFonts w:ascii="Arial" w:hAnsi="Arial" w:cs="Arial"/>
          <w:lang w:val="sl-SI"/>
        </w:rPr>
        <w:t xml:space="preserve"> in</w:t>
      </w:r>
      <w:r>
        <w:rPr>
          <w:rFonts w:ascii="Arial" w:hAnsi="Arial" w:cs="Arial"/>
          <w:lang w:val="sl-SI"/>
        </w:rPr>
        <w:t xml:space="preserve"> so</w:t>
      </w:r>
      <w:r w:rsidR="003F1F7B" w:rsidRPr="00420E96">
        <w:rPr>
          <w:rFonts w:ascii="Arial" w:hAnsi="Arial" w:cs="Arial"/>
          <w:lang w:val="sl-SI"/>
        </w:rPr>
        <w:t xml:space="preserve"> </w:t>
      </w:r>
      <w:hyperlink w:history="1"/>
      <w:r w:rsidR="001026B7">
        <w:rPr>
          <w:rFonts w:ascii="Arial" w:hAnsi="Arial" w:cs="Arial"/>
          <w:lang w:val="sl-SI"/>
        </w:rPr>
        <w:t xml:space="preserve">podrobneje </w:t>
      </w:r>
      <w:r w:rsidR="004701D5">
        <w:rPr>
          <w:rFonts w:ascii="Arial" w:hAnsi="Arial" w:cs="Arial"/>
          <w:lang w:val="sl-SI"/>
        </w:rPr>
        <w:t>opredeljena</w:t>
      </w:r>
      <w:r w:rsidR="001026B7">
        <w:rPr>
          <w:rFonts w:ascii="Arial" w:hAnsi="Arial" w:cs="Arial"/>
          <w:lang w:val="sl-SI"/>
        </w:rPr>
        <w:t xml:space="preserve"> v tem poglavju</w:t>
      </w:r>
      <w:r w:rsidR="003F1F7B" w:rsidRPr="003F1F7B">
        <w:rPr>
          <w:rFonts w:ascii="Arial" w:hAnsi="Arial" w:cs="Arial"/>
          <w:lang w:val="sl-SI"/>
        </w:rPr>
        <w:t>.</w:t>
      </w:r>
    </w:p>
    <w:p w14:paraId="09A83853" w14:textId="77777777" w:rsidR="003F1F7B" w:rsidRPr="003F1F7B" w:rsidRDefault="003F1F7B" w:rsidP="003F1F7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5859003" w14:textId="1BF148EB" w:rsidR="003F1F7B" w:rsidRPr="003F1F7B" w:rsidRDefault="00721805" w:rsidP="003F1F7B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(2)</w:t>
      </w:r>
      <w:r w:rsidR="003F1F7B" w:rsidRPr="003F1F7B">
        <w:rPr>
          <w:rFonts w:ascii="Arial" w:hAnsi="Arial" w:cs="Arial"/>
          <w:lang w:val="sl-SI"/>
        </w:rPr>
        <w:t xml:space="preserve"> </w:t>
      </w:r>
      <w:r w:rsidR="001026B7">
        <w:rPr>
          <w:rFonts w:ascii="Arial" w:hAnsi="Arial" w:cs="Arial"/>
          <w:lang w:val="sl-SI"/>
        </w:rPr>
        <w:t xml:space="preserve">V skladu </w:t>
      </w:r>
      <w:r w:rsidR="004701D5">
        <w:rPr>
          <w:rFonts w:ascii="Arial" w:hAnsi="Arial" w:cs="Arial"/>
          <w:lang w:val="sl-SI"/>
        </w:rPr>
        <w:t>s četrtim odstavkom 60. člena u</w:t>
      </w:r>
      <w:r w:rsidR="004701D5" w:rsidRPr="003F1F7B">
        <w:rPr>
          <w:rFonts w:ascii="Arial" w:hAnsi="Arial" w:cs="Arial"/>
          <w:lang w:val="sl-SI"/>
        </w:rPr>
        <w:t>redbe</w:t>
      </w:r>
      <w:r w:rsidR="004701D5" w:rsidRPr="00261AF3">
        <w:t xml:space="preserve"> </w:t>
      </w:r>
      <w:r w:rsidR="004701D5" w:rsidRPr="00261AF3">
        <w:rPr>
          <w:rFonts w:ascii="Arial" w:hAnsi="Arial" w:cs="Arial"/>
          <w:lang w:val="sl-SI"/>
        </w:rPr>
        <w:t>o izvajanju intervencij s področja zemljiških operacij</w:t>
      </w:r>
      <w:r w:rsidR="004701D5" w:rsidRPr="003F1F7B">
        <w:rPr>
          <w:rFonts w:ascii="Arial" w:hAnsi="Arial" w:cs="Arial"/>
          <w:lang w:val="sl-SI"/>
        </w:rPr>
        <w:t xml:space="preserve"> </w:t>
      </w:r>
      <w:r w:rsidR="004701D5">
        <w:rPr>
          <w:rFonts w:ascii="Arial" w:hAnsi="Arial" w:cs="Arial"/>
          <w:lang w:val="sl-SI"/>
        </w:rPr>
        <w:t>se m</w:t>
      </w:r>
      <w:r w:rsidR="003F1F7B" w:rsidRPr="003F1F7B">
        <w:rPr>
          <w:rFonts w:ascii="Arial" w:hAnsi="Arial" w:cs="Arial"/>
          <w:lang w:val="sl-SI"/>
        </w:rPr>
        <w:t xml:space="preserve">ed vlogami, ki dosežejo vstopni prag 30 </w:t>
      </w:r>
      <w:r w:rsidR="004701D5">
        <w:rPr>
          <w:rFonts w:ascii="Arial" w:hAnsi="Arial" w:cs="Arial"/>
          <w:lang w:val="sl-SI"/>
        </w:rPr>
        <w:t>%</w:t>
      </w:r>
      <w:r w:rsidR="007B26A0">
        <w:rPr>
          <w:rFonts w:ascii="Arial" w:hAnsi="Arial" w:cs="Arial"/>
          <w:lang w:val="sl-SI"/>
        </w:rPr>
        <w:t xml:space="preserve"> </w:t>
      </w:r>
      <w:r w:rsidR="003F1F7B" w:rsidRPr="003F1F7B">
        <w:rPr>
          <w:rFonts w:ascii="Arial" w:hAnsi="Arial" w:cs="Arial"/>
          <w:lang w:val="sl-SI"/>
        </w:rPr>
        <w:t>možn</w:t>
      </w:r>
      <w:r w:rsidR="00F352E3">
        <w:rPr>
          <w:rFonts w:ascii="Arial" w:hAnsi="Arial" w:cs="Arial"/>
          <w:lang w:val="sl-SI"/>
        </w:rPr>
        <w:t>ega</w:t>
      </w:r>
      <w:r w:rsidR="004701D5">
        <w:rPr>
          <w:rFonts w:ascii="Arial" w:hAnsi="Arial" w:cs="Arial"/>
          <w:lang w:val="sl-SI"/>
        </w:rPr>
        <w:t xml:space="preserve"> </w:t>
      </w:r>
      <w:r w:rsidR="00F352E3">
        <w:rPr>
          <w:rFonts w:ascii="Arial" w:hAnsi="Arial" w:cs="Arial"/>
          <w:lang w:val="sl-SI"/>
        </w:rPr>
        <w:t xml:space="preserve">števila </w:t>
      </w:r>
      <w:r w:rsidR="003F1F7B" w:rsidRPr="003F1F7B">
        <w:rPr>
          <w:rFonts w:ascii="Arial" w:hAnsi="Arial" w:cs="Arial"/>
          <w:lang w:val="sl-SI"/>
        </w:rPr>
        <w:t>točk,</w:t>
      </w:r>
      <w:r w:rsidR="00F352E3">
        <w:rPr>
          <w:rFonts w:ascii="Arial" w:hAnsi="Arial" w:cs="Arial"/>
          <w:lang w:val="sl-SI"/>
        </w:rPr>
        <w:t xml:space="preserve"> ki znaša </w:t>
      </w:r>
      <w:r w:rsidR="00F66C81">
        <w:rPr>
          <w:rFonts w:ascii="Arial" w:hAnsi="Arial" w:cs="Arial"/>
          <w:lang w:val="sl-SI"/>
        </w:rPr>
        <w:t>100</w:t>
      </w:r>
      <w:r w:rsidR="00F352E3">
        <w:rPr>
          <w:rFonts w:ascii="Arial" w:hAnsi="Arial" w:cs="Arial"/>
          <w:lang w:val="sl-SI"/>
        </w:rPr>
        <w:t xml:space="preserve"> točk,</w:t>
      </w:r>
      <w:r w:rsidR="004701D5">
        <w:rPr>
          <w:rFonts w:ascii="Arial" w:hAnsi="Arial" w:cs="Arial"/>
          <w:lang w:val="sl-SI"/>
        </w:rPr>
        <w:t xml:space="preserve"> </w:t>
      </w:r>
      <w:r w:rsidR="003F1F7B" w:rsidRPr="003F1F7B">
        <w:rPr>
          <w:rFonts w:ascii="Arial" w:hAnsi="Arial" w:cs="Arial"/>
          <w:lang w:val="sl-SI"/>
        </w:rPr>
        <w:t xml:space="preserve">izberejo tiste, ki dosežejo višje število točk, do porabe razpisanih sredstev. </w:t>
      </w:r>
    </w:p>
    <w:p w14:paraId="7D26A4E5" w14:textId="77777777" w:rsidR="003F1F7B" w:rsidRPr="003F1F7B" w:rsidRDefault="003F1F7B" w:rsidP="003F1F7B">
      <w:pPr>
        <w:pStyle w:val="Golobesedilo"/>
        <w:jc w:val="both"/>
        <w:rPr>
          <w:rFonts w:ascii="Arial" w:hAnsi="Arial" w:cs="Arial"/>
          <w:lang w:val="sl-SI"/>
        </w:rPr>
      </w:pPr>
    </w:p>
    <w:p w14:paraId="4E90D881" w14:textId="6CD5E37D" w:rsidR="003F1F7B" w:rsidRDefault="00DD6965" w:rsidP="003F1F7B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1B6C01">
        <w:rPr>
          <w:rFonts w:ascii="Arial" w:hAnsi="Arial" w:cs="Arial"/>
          <w:lang w:val="sl-SI"/>
        </w:rPr>
        <w:t>3</w:t>
      </w:r>
      <w:r>
        <w:rPr>
          <w:rFonts w:ascii="Arial" w:hAnsi="Arial" w:cs="Arial"/>
          <w:lang w:val="sl-SI"/>
        </w:rPr>
        <w:t xml:space="preserve">) Merila za </w:t>
      </w:r>
      <w:r w:rsidR="00805644">
        <w:rPr>
          <w:rFonts w:ascii="Arial" w:hAnsi="Arial" w:cs="Arial"/>
          <w:lang w:val="sl-SI"/>
        </w:rPr>
        <w:t xml:space="preserve">ocenjevanje </w:t>
      </w:r>
      <w:r>
        <w:rPr>
          <w:rFonts w:ascii="Arial" w:hAnsi="Arial" w:cs="Arial"/>
          <w:lang w:val="sl-SI"/>
        </w:rPr>
        <w:t>vlog in točkovnik</w:t>
      </w:r>
      <w:r w:rsidR="00805644">
        <w:rPr>
          <w:rFonts w:ascii="Arial" w:hAnsi="Arial" w:cs="Arial"/>
          <w:lang w:val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1"/>
        <w:gridCol w:w="1459"/>
      </w:tblGrid>
      <w:tr w:rsidR="00106923" w:rsidRPr="006021DF" w14:paraId="68769F1D" w14:textId="77777777" w:rsidTr="001216B7">
        <w:tc>
          <w:tcPr>
            <w:tcW w:w="6921" w:type="dxa"/>
            <w:shd w:val="clear" w:color="auto" w:fill="BFBFBF"/>
          </w:tcPr>
          <w:p w14:paraId="560D1813" w14:textId="77777777" w:rsidR="00106923" w:rsidRPr="006021DF" w:rsidRDefault="0010692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Merila</w:t>
            </w:r>
          </w:p>
        </w:tc>
        <w:tc>
          <w:tcPr>
            <w:tcW w:w="1459" w:type="dxa"/>
            <w:shd w:val="clear" w:color="auto" w:fill="BFBFBF"/>
          </w:tcPr>
          <w:p w14:paraId="4F61729C" w14:textId="77777777" w:rsidR="00106923" w:rsidRPr="006021DF" w:rsidRDefault="0010692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maksimalno št. točk</w:t>
            </w:r>
          </w:p>
        </w:tc>
      </w:tr>
      <w:tr w:rsidR="00106923" w:rsidRPr="006021DF" w14:paraId="5F873B8F" w14:textId="77777777" w:rsidTr="001216B7">
        <w:tc>
          <w:tcPr>
            <w:tcW w:w="6921" w:type="dxa"/>
            <w:shd w:val="clear" w:color="auto" w:fill="auto"/>
          </w:tcPr>
          <w:p w14:paraId="29C31093" w14:textId="77777777" w:rsidR="00106923" w:rsidRPr="006021DF" w:rsidRDefault="00106923" w:rsidP="001216B7">
            <w:pPr>
              <w:pStyle w:val="Odstavekseznama"/>
              <w:numPr>
                <w:ilvl w:val="1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 w:rsidRPr="006021DF">
              <w:rPr>
                <w:rFonts w:ascii="Arial" w:hAnsi="Arial" w:cs="Arial"/>
                <w:b/>
                <w:sz w:val="20"/>
                <w:lang w:val="sl-SI"/>
              </w:rPr>
              <w:t>EKONOMSKI VIDIK NALOŽBE</w:t>
            </w:r>
          </w:p>
        </w:tc>
        <w:tc>
          <w:tcPr>
            <w:tcW w:w="1459" w:type="dxa"/>
            <w:shd w:val="clear" w:color="auto" w:fill="auto"/>
          </w:tcPr>
          <w:p w14:paraId="3B5FA69A" w14:textId="77777777" w:rsidR="00106923" w:rsidRPr="006021DF" w:rsidRDefault="0010692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60</w:t>
            </w:r>
          </w:p>
        </w:tc>
      </w:tr>
      <w:tr w:rsidR="00106923" w:rsidRPr="006021DF" w14:paraId="034C7DEC" w14:textId="77777777" w:rsidTr="001216B7">
        <w:tc>
          <w:tcPr>
            <w:tcW w:w="6921" w:type="dxa"/>
            <w:shd w:val="clear" w:color="auto" w:fill="auto"/>
          </w:tcPr>
          <w:p w14:paraId="6204C014" w14:textId="4FF94EF9" w:rsidR="00106923" w:rsidRPr="006021DF" w:rsidRDefault="00106923" w:rsidP="00106923">
            <w:pPr>
              <w:pStyle w:val="Odstavekseznama"/>
              <w:numPr>
                <w:ilvl w:val="1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 xml:space="preserve"> Velikost namakalnega območja</w:t>
            </w:r>
          </w:p>
        </w:tc>
        <w:tc>
          <w:tcPr>
            <w:tcW w:w="1459" w:type="dxa"/>
            <w:shd w:val="clear" w:color="auto" w:fill="auto"/>
          </w:tcPr>
          <w:p w14:paraId="6B49A504" w14:textId="4E83EAA6" w:rsidR="00106923" w:rsidRPr="006021DF" w:rsidRDefault="0010692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25</w:t>
            </w:r>
          </w:p>
        </w:tc>
      </w:tr>
      <w:tr w:rsidR="00106923" w:rsidRPr="006021DF" w14:paraId="3570771F" w14:textId="77777777" w:rsidTr="001216B7">
        <w:tc>
          <w:tcPr>
            <w:tcW w:w="6921" w:type="dxa"/>
            <w:shd w:val="clear" w:color="auto" w:fill="auto"/>
          </w:tcPr>
          <w:p w14:paraId="59C309D0" w14:textId="39F8EB72" w:rsidR="00106923" w:rsidRPr="006021DF" w:rsidRDefault="00714D00" w:rsidP="00D3248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N</w:t>
            </w:r>
            <w:r w:rsidR="00106923">
              <w:rPr>
                <w:rFonts w:cs="Arial"/>
                <w:lang w:val="sl-SI"/>
              </w:rPr>
              <w:t>amakaln</w:t>
            </w:r>
            <w:r>
              <w:rPr>
                <w:rFonts w:cs="Arial"/>
                <w:lang w:val="sl-SI"/>
              </w:rPr>
              <w:t>o</w:t>
            </w:r>
            <w:r w:rsidR="00106923">
              <w:rPr>
                <w:rFonts w:cs="Arial"/>
                <w:lang w:val="sl-SI"/>
              </w:rPr>
              <w:t xml:space="preserve"> območj</w:t>
            </w:r>
            <w:r w:rsidR="00926EB7">
              <w:rPr>
                <w:rFonts w:cs="Arial"/>
                <w:lang w:val="sl-SI"/>
              </w:rPr>
              <w:t>e</w:t>
            </w:r>
            <w:r w:rsidR="00106923">
              <w:rPr>
                <w:rFonts w:cs="Arial"/>
                <w:lang w:val="sl-SI"/>
              </w:rPr>
              <w:t xml:space="preserve"> je </w:t>
            </w:r>
            <w:r>
              <w:rPr>
                <w:rFonts w:cs="Arial"/>
                <w:lang w:val="sl-SI"/>
              </w:rPr>
              <w:t xml:space="preserve">veliko </w:t>
            </w:r>
            <w:r w:rsidR="00106923">
              <w:rPr>
                <w:rFonts w:cs="Arial"/>
                <w:lang w:val="sl-SI"/>
              </w:rPr>
              <w:t>150 ha</w:t>
            </w:r>
            <w:r w:rsidR="00D3248D">
              <w:rPr>
                <w:rFonts w:cs="Arial"/>
                <w:lang w:val="sl-SI"/>
              </w:rPr>
              <w:t xml:space="preserve"> ali več</w:t>
            </w:r>
            <w:r w:rsidR="00106923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2A5C63E1" w14:textId="400CCB45" w:rsidR="00106923" w:rsidRPr="006021DF" w:rsidRDefault="0010692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25</w:t>
            </w:r>
          </w:p>
        </w:tc>
      </w:tr>
      <w:tr w:rsidR="00106923" w:rsidRPr="006021DF" w14:paraId="19106F4F" w14:textId="77777777" w:rsidTr="001216B7">
        <w:tc>
          <w:tcPr>
            <w:tcW w:w="6921" w:type="dxa"/>
            <w:shd w:val="clear" w:color="auto" w:fill="auto"/>
          </w:tcPr>
          <w:p w14:paraId="288776C4" w14:textId="27CFCC6A" w:rsidR="00106923" w:rsidRPr="006021DF" w:rsidRDefault="00714D00" w:rsidP="00D3248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N</w:t>
            </w:r>
            <w:r w:rsidR="00106923">
              <w:rPr>
                <w:rFonts w:cs="Arial"/>
                <w:lang w:val="sl-SI"/>
              </w:rPr>
              <w:t>amakaln</w:t>
            </w:r>
            <w:r>
              <w:rPr>
                <w:rFonts w:cs="Arial"/>
                <w:lang w:val="sl-SI"/>
              </w:rPr>
              <w:t>o</w:t>
            </w:r>
            <w:r w:rsidR="00106923">
              <w:rPr>
                <w:rFonts w:cs="Arial"/>
                <w:lang w:val="sl-SI"/>
              </w:rPr>
              <w:t xml:space="preserve"> območj</w:t>
            </w:r>
            <w:r w:rsidR="00926EB7">
              <w:rPr>
                <w:rFonts w:cs="Arial"/>
                <w:lang w:val="sl-SI"/>
              </w:rPr>
              <w:t>e</w:t>
            </w:r>
            <w:r w:rsidR="00106923">
              <w:rPr>
                <w:rFonts w:cs="Arial"/>
                <w:lang w:val="sl-SI"/>
              </w:rPr>
              <w:t xml:space="preserve"> je ve</w:t>
            </w:r>
            <w:r>
              <w:rPr>
                <w:rFonts w:cs="Arial"/>
                <w:lang w:val="sl-SI"/>
              </w:rPr>
              <w:t>liko</w:t>
            </w:r>
            <w:r w:rsidR="00106923">
              <w:rPr>
                <w:rFonts w:cs="Arial"/>
                <w:lang w:val="sl-SI"/>
              </w:rPr>
              <w:t xml:space="preserve"> od </w:t>
            </w:r>
            <w:r w:rsidR="00F352E3">
              <w:rPr>
                <w:rFonts w:cs="Arial"/>
                <w:lang w:val="sl-SI"/>
              </w:rPr>
              <w:t xml:space="preserve">vključno </w:t>
            </w:r>
            <w:r w:rsidR="00106923">
              <w:rPr>
                <w:rFonts w:cs="Arial"/>
                <w:lang w:val="sl-SI"/>
              </w:rPr>
              <w:t xml:space="preserve">100 ha do </w:t>
            </w:r>
            <w:r w:rsidR="00D3248D">
              <w:rPr>
                <w:rFonts w:cs="Arial"/>
                <w:lang w:val="sl-SI"/>
              </w:rPr>
              <w:t>manj kot 150</w:t>
            </w:r>
            <w:r w:rsidR="00106923">
              <w:rPr>
                <w:rFonts w:cs="Arial"/>
                <w:lang w:val="sl-SI"/>
              </w:rPr>
              <w:t xml:space="preserve"> ha.</w:t>
            </w:r>
          </w:p>
        </w:tc>
        <w:tc>
          <w:tcPr>
            <w:tcW w:w="1459" w:type="dxa"/>
            <w:shd w:val="clear" w:color="auto" w:fill="auto"/>
          </w:tcPr>
          <w:p w14:paraId="6FE4013D" w14:textId="77777777" w:rsidR="00106923" w:rsidRPr="006021DF" w:rsidRDefault="0010692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20</w:t>
            </w:r>
          </w:p>
        </w:tc>
      </w:tr>
      <w:tr w:rsidR="00106923" w:rsidRPr="006021DF" w14:paraId="75ECBD54" w14:textId="77777777" w:rsidTr="001216B7">
        <w:tc>
          <w:tcPr>
            <w:tcW w:w="6921" w:type="dxa"/>
            <w:shd w:val="clear" w:color="auto" w:fill="auto"/>
          </w:tcPr>
          <w:p w14:paraId="268ADDC7" w14:textId="65B5AA8D" w:rsidR="00106923" w:rsidRPr="006021DF" w:rsidRDefault="00926EB7" w:rsidP="00D3248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N</w:t>
            </w:r>
            <w:r w:rsidR="00106923">
              <w:rPr>
                <w:rFonts w:cs="Arial"/>
                <w:lang w:val="sl-SI"/>
              </w:rPr>
              <w:t>amakaln</w:t>
            </w:r>
            <w:r>
              <w:rPr>
                <w:rFonts w:cs="Arial"/>
                <w:lang w:val="sl-SI"/>
              </w:rPr>
              <w:t>o</w:t>
            </w:r>
            <w:r w:rsidR="00106923">
              <w:rPr>
                <w:rFonts w:cs="Arial"/>
                <w:lang w:val="sl-SI"/>
              </w:rPr>
              <w:t xml:space="preserve"> območj</w:t>
            </w:r>
            <w:r>
              <w:rPr>
                <w:rFonts w:cs="Arial"/>
                <w:lang w:val="sl-SI"/>
              </w:rPr>
              <w:t>e</w:t>
            </w:r>
            <w:r w:rsidR="00106923">
              <w:rPr>
                <w:rFonts w:cs="Arial"/>
                <w:lang w:val="sl-SI"/>
              </w:rPr>
              <w:t xml:space="preserve"> je ve</w:t>
            </w:r>
            <w:r>
              <w:rPr>
                <w:rFonts w:cs="Arial"/>
                <w:lang w:val="sl-SI"/>
              </w:rPr>
              <w:t>liko</w:t>
            </w:r>
            <w:r w:rsidR="00106923">
              <w:rPr>
                <w:rFonts w:cs="Arial"/>
                <w:lang w:val="sl-SI"/>
              </w:rPr>
              <w:t xml:space="preserve"> od </w:t>
            </w:r>
            <w:r w:rsidR="00F352E3">
              <w:rPr>
                <w:rFonts w:cs="Arial"/>
                <w:lang w:val="sl-SI"/>
              </w:rPr>
              <w:t xml:space="preserve">vključno </w:t>
            </w:r>
            <w:r w:rsidR="00106923">
              <w:rPr>
                <w:rFonts w:cs="Arial"/>
                <w:lang w:val="sl-SI"/>
              </w:rPr>
              <w:t xml:space="preserve">75 ha do </w:t>
            </w:r>
            <w:r w:rsidR="00D3248D">
              <w:rPr>
                <w:rFonts w:cs="Arial"/>
                <w:lang w:val="sl-SI"/>
              </w:rPr>
              <w:t>manj kot 100</w:t>
            </w:r>
            <w:r w:rsidR="00106923">
              <w:rPr>
                <w:rFonts w:cs="Arial"/>
                <w:lang w:val="sl-SI"/>
              </w:rPr>
              <w:t xml:space="preserve"> ha.</w:t>
            </w:r>
          </w:p>
        </w:tc>
        <w:tc>
          <w:tcPr>
            <w:tcW w:w="1459" w:type="dxa"/>
            <w:shd w:val="clear" w:color="auto" w:fill="auto"/>
          </w:tcPr>
          <w:p w14:paraId="386AD7FC" w14:textId="77777777" w:rsidR="00106923" w:rsidRPr="006021DF" w:rsidRDefault="00106923" w:rsidP="0010692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15</w:t>
            </w:r>
          </w:p>
        </w:tc>
      </w:tr>
      <w:tr w:rsidR="00106923" w:rsidRPr="006021DF" w14:paraId="0B1FDAEB" w14:textId="77777777" w:rsidTr="001216B7">
        <w:tc>
          <w:tcPr>
            <w:tcW w:w="6921" w:type="dxa"/>
            <w:shd w:val="clear" w:color="auto" w:fill="auto"/>
          </w:tcPr>
          <w:p w14:paraId="1628371B" w14:textId="3851D8CA" w:rsidR="00106923" w:rsidRPr="006021DF" w:rsidRDefault="00926EB7" w:rsidP="00D3248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N</w:t>
            </w:r>
            <w:r w:rsidR="00106923">
              <w:rPr>
                <w:rFonts w:cs="Arial"/>
                <w:lang w:val="sl-SI"/>
              </w:rPr>
              <w:t>amakaln</w:t>
            </w:r>
            <w:r>
              <w:rPr>
                <w:rFonts w:cs="Arial"/>
                <w:lang w:val="sl-SI"/>
              </w:rPr>
              <w:t>o</w:t>
            </w:r>
            <w:r w:rsidR="00106923">
              <w:rPr>
                <w:rFonts w:cs="Arial"/>
                <w:lang w:val="sl-SI"/>
              </w:rPr>
              <w:t xml:space="preserve"> območj</w:t>
            </w:r>
            <w:r>
              <w:rPr>
                <w:rFonts w:cs="Arial"/>
                <w:lang w:val="sl-SI"/>
              </w:rPr>
              <w:t>e</w:t>
            </w:r>
            <w:r w:rsidR="00106923">
              <w:rPr>
                <w:rFonts w:cs="Arial"/>
                <w:lang w:val="sl-SI"/>
              </w:rPr>
              <w:t xml:space="preserve"> je</w:t>
            </w:r>
            <w:r w:rsidR="00D3248D">
              <w:rPr>
                <w:rFonts w:cs="Arial"/>
                <w:lang w:val="sl-SI"/>
              </w:rPr>
              <w:t xml:space="preserve"> ve</w:t>
            </w:r>
            <w:r>
              <w:rPr>
                <w:rFonts w:cs="Arial"/>
                <w:lang w:val="sl-SI"/>
              </w:rPr>
              <w:t>liko</w:t>
            </w:r>
            <w:r w:rsidR="00D3248D">
              <w:rPr>
                <w:rFonts w:cs="Arial"/>
                <w:lang w:val="sl-SI"/>
              </w:rPr>
              <w:t xml:space="preserve"> od </w:t>
            </w:r>
            <w:r w:rsidR="00F352E3">
              <w:rPr>
                <w:rFonts w:cs="Arial"/>
                <w:lang w:val="sl-SI"/>
              </w:rPr>
              <w:t xml:space="preserve">vključno </w:t>
            </w:r>
            <w:r w:rsidR="00D3248D">
              <w:rPr>
                <w:rFonts w:cs="Arial"/>
                <w:lang w:val="sl-SI"/>
              </w:rPr>
              <w:t>50 ha do manj kot 75</w:t>
            </w:r>
            <w:r w:rsidR="00106923">
              <w:rPr>
                <w:rFonts w:cs="Arial"/>
                <w:lang w:val="sl-SI"/>
              </w:rPr>
              <w:t xml:space="preserve"> ha.</w:t>
            </w:r>
          </w:p>
        </w:tc>
        <w:tc>
          <w:tcPr>
            <w:tcW w:w="1459" w:type="dxa"/>
            <w:shd w:val="clear" w:color="auto" w:fill="auto"/>
          </w:tcPr>
          <w:p w14:paraId="1FD6B664" w14:textId="77777777" w:rsidR="00106923" w:rsidRPr="006021DF" w:rsidRDefault="00106923" w:rsidP="0010692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10</w:t>
            </w:r>
          </w:p>
        </w:tc>
      </w:tr>
      <w:tr w:rsidR="00106923" w:rsidRPr="006021DF" w14:paraId="708A041B" w14:textId="77777777" w:rsidTr="001216B7">
        <w:tc>
          <w:tcPr>
            <w:tcW w:w="6921" w:type="dxa"/>
            <w:shd w:val="clear" w:color="auto" w:fill="auto"/>
          </w:tcPr>
          <w:p w14:paraId="601E32E0" w14:textId="69470B60" w:rsidR="00106923" w:rsidRPr="006021DF" w:rsidRDefault="00926EB7" w:rsidP="00D3248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N</w:t>
            </w:r>
            <w:r w:rsidR="00106923">
              <w:rPr>
                <w:rFonts w:cs="Arial"/>
                <w:lang w:val="sl-SI"/>
              </w:rPr>
              <w:t>amakaln</w:t>
            </w:r>
            <w:r>
              <w:rPr>
                <w:rFonts w:cs="Arial"/>
                <w:lang w:val="sl-SI"/>
              </w:rPr>
              <w:t>o</w:t>
            </w:r>
            <w:r w:rsidR="00106923">
              <w:rPr>
                <w:rFonts w:cs="Arial"/>
                <w:lang w:val="sl-SI"/>
              </w:rPr>
              <w:t xml:space="preserve"> območj</w:t>
            </w:r>
            <w:r>
              <w:rPr>
                <w:rFonts w:cs="Arial"/>
                <w:lang w:val="sl-SI"/>
              </w:rPr>
              <w:t>e</w:t>
            </w:r>
            <w:r w:rsidR="00106923">
              <w:rPr>
                <w:rFonts w:cs="Arial"/>
                <w:lang w:val="sl-SI"/>
              </w:rPr>
              <w:t xml:space="preserve"> je </w:t>
            </w:r>
            <w:r w:rsidR="00D3248D">
              <w:rPr>
                <w:rFonts w:cs="Arial"/>
                <w:lang w:val="sl-SI"/>
              </w:rPr>
              <w:t>manjše od 50</w:t>
            </w:r>
            <w:r w:rsidR="00106923">
              <w:rPr>
                <w:rFonts w:cs="Arial"/>
                <w:lang w:val="sl-SI"/>
              </w:rPr>
              <w:t xml:space="preserve"> ha.</w:t>
            </w:r>
          </w:p>
        </w:tc>
        <w:tc>
          <w:tcPr>
            <w:tcW w:w="1459" w:type="dxa"/>
            <w:shd w:val="clear" w:color="auto" w:fill="auto"/>
          </w:tcPr>
          <w:p w14:paraId="01929C7C" w14:textId="77777777" w:rsidR="00106923" w:rsidRPr="006021DF" w:rsidRDefault="00106923" w:rsidP="0010692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5</w:t>
            </w:r>
          </w:p>
        </w:tc>
      </w:tr>
      <w:tr w:rsidR="00106923" w:rsidRPr="006021DF" w14:paraId="5215888D" w14:textId="77777777" w:rsidTr="001216B7">
        <w:tc>
          <w:tcPr>
            <w:tcW w:w="6921" w:type="dxa"/>
            <w:shd w:val="clear" w:color="auto" w:fill="auto"/>
          </w:tcPr>
          <w:p w14:paraId="7A115478" w14:textId="77777777" w:rsidR="00106923" w:rsidRDefault="00106923" w:rsidP="00106923">
            <w:pPr>
              <w:pStyle w:val="Odstavekseznama"/>
              <w:numPr>
                <w:ilvl w:val="1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 xml:space="preserve"> Površina namakalnega območja, za katero so sklenjene pogodbe o namakanju v skladu z zakonom, ki ureja kmetijska zemljišča, ali pridobljena soglasja lastnikov kmetijskih zemljišč k tehnološki posodobitvi namakalnega sistema</w:t>
            </w:r>
          </w:p>
          <w:p w14:paraId="601A8F2A" w14:textId="77777777" w:rsidR="0058370C" w:rsidRDefault="00354B95" w:rsidP="0054440E">
            <w:pPr>
              <w:pStyle w:val="Golobesedilo"/>
              <w:spacing w:after="120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Točke na podlagi tega merila se dodelijo upravičenc</w:t>
            </w:r>
            <w:r w:rsidR="00753018">
              <w:rPr>
                <w:rFonts w:ascii="Arial" w:hAnsi="Arial" w:cs="Arial"/>
                <w:lang w:val="sl-SI"/>
              </w:rPr>
              <w:t xml:space="preserve">u pri katerem so za več kot 50 </w:t>
            </w:r>
            <w:r>
              <w:rPr>
                <w:rFonts w:ascii="Arial" w:hAnsi="Arial" w:cs="Arial"/>
                <w:lang w:val="sl-SI"/>
              </w:rPr>
              <w:t>% površin</w:t>
            </w:r>
            <w:r w:rsidR="00753018">
              <w:rPr>
                <w:rFonts w:ascii="Arial" w:hAnsi="Arial" w:cs="Arial"/>
                <w:lang w:val="sl-SI"/>
              </w:rPr>
              <w:t>e</w:t>
            </w:r>
            <w:r>
              <w:rPr>
                <w:rFonts w:ascii="Arial" w:hAnsi="Arial" w:cs="Arial"/>
                <w:lang w:val="sl-SI"/>
              </w:rPr>
              <w:t xml:space="preserve"> namakalnega območja </w:t>
            </w:r>
            <w:r w:rsidR="00753018">
              <w:rPr>
                <w:rFonts w:ascii="Arial" w:hAnsi="Arial" w:cs="Arial"/>
                <w:lang w:val="sl-SI"/>
              </w:rPr>
              <w:t xml:space="preserve">sklenjene pogodbe o namakanju </w:t>
            </w:r>
            <w:r w:rsidR="00753018" w:rsidRPr="008D6C3C">
              <w:rPr>
                <w:rFonts w:ascii="Arial" w:hAnsi="Arial" w:cs="Arial"/>
                <w:lang w:val="sl-SI"/>
              </w:rPr>
              <w:t>v skladu z zakonom, ki ureja kmetijska zemljišča</w:t>
            </w:r>
            <w:r w:rsidR="00753018">
              <w:rPr>
                <w:rFonts w:ascii="Arial" w:hAnsi="Arial" w:cs="Arial"/>
                <w:lang w:val="sl-SI"/>
              </w:rPr>
              <w:t xml:space="preserve"> (če gre za državni ali lokalni namakalni sistem)</w:t>
            </w:r>
            <w:r w:rsidR="0054440E">
              <w:rPr>
                <w:rFonts w:ascii="Arial" w:hAnsi="Arial" w:cs="Arial"/>
                <w:lang w:val="sl-SI"/>
              </w:rPr>
              <w:t>, oziroma</w:t>
            </w:r>
            <w:r w:rsidR="00753018">
              <w:rPr>
                <w:rFonts w:ascii="Arial" w:hAnsi="Arial" w:cs="Arial"/>
                <w:lang w:val="sl-SI"/>
              </w:rPr>
              <w:t xml:space="preserve"> pridobljena </w:t>
            </w:r>
            <w:r w:rsidR="00753018" w:rsidRPr="008D6C3C">
              <w:rPr>
                <w:rFonts w:ascii="Arial" w:hAnsi="Arial" w:cs="Arial"/>
                <w:lang w:val="sl-SI"/>
              </w:rPr>
              <w:t>soglasja lastnikov kmetijskih zemljišč k tehnološki</w:t>
            </w:r>
            <w:r w:rsidR="00753018">
              <w:rPr>
                <w:rFonts w:ascii="Arial" w:hAnsi="Arial" w:cs="Arial"/>
                <w:lang w:val="sl-SI"/>
              </w:rPr>
              <w:t xml:space="preserve"> posodobitvi namakalnega sistema (če gre za zasebni namakalni sistem)</w:t>
            </w:r>
            <w:r w:rsidR="0054440E">
              <w:rPr>
                <w:rFonts w:ascii="Arial" w:hAnsi="Arial" w:cs="Arial"/>
                <w:lang w:val="sl-SI"/>
              </w:rPr>
              <w:t xml:space="preserve">. </w:t>
            </w:r>
          </w:p>
          <w:p w14:paraId="5FB53474" w14:textId="12263DB9" w:rsidR="007270EE" w:rsidRDefault="00195A39" w:rsidP="0054440E">
            <w:pPr>
              <w:pStyle w:val="Golobesedilo"/>
              <w:spacing w:after="120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Vlagatelj vlogi na javni razpis priloži</w:t>
            </w:r>
            <w:r w:rsidR="007270EE" w:rsidRPr="008D6C3C">
              <w:rPr>
                <w:rFonts w:ascii="Arial" w:hAnsi="Arial" w:cs="Arial"/>
                <w:lang w:val="sl-SI"/>
              </w:rPr>
              <w:t xml:space="preserve"> sklenjene pogodbe o</w:t>
            </w:r>
            <w:r w:rsidR="007270EE">
              <w:rPr>
                <w:rFonts w:ascii="Arial" w:hAnsi="Arial" w:cs="Arial"/>
                <w:lang w:val="sl-SI"/>
              </w:rPr>
              <w:t xml:space="preserve"> </w:t>
            </w:r>
            <w:r w:rsidR="007270EE" w:rsidRPr="008D6C3C">
              <w:rPr>
                <w:rFonts w:ascii="Arial" w:hAnsi="Arial" w:cs="Arial"/>
                <w:lang w:val="sl-SI"/>
              </w:rPr>
              <w:t>namakanju v skladu z zakonom, ki ureja kmetijska zemljišča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="007270EE" w:rsidRPr="008D6C3C">
              <w:rPr>
                <w:rFonts w:ascii="Arial" w:hAnsi="Arial" w:cs="Arial"/>
                <w:lang w:val="sl-SI"/>
              </w:rPr>
              <w:t>oziroma</w:t>
            </w:r>
            <w:r w:rsidR="007270EE">
              <w:rPr>
                <w:rFonts w:ascii="Arial" w:hAnsi="Arial" w:cs="Arial"/>
                <w:lang w:val="sl-SI"/>
              </w:rPr>
              <w:t xml:space="preserve"> </w:t>
            </w:r>
            <w:r w:rsidR="007270EE" w:rsidRPr="008D6C3C">
              <w:rPr>
                <w:rFonts w:ascii="Arial" w:hAnsi="Arial" w:cs="Arial"/>
                <w:lang w:val="sl-SI"/>
              </w:rPr>
              <w:t>soglasja lastnikov kmetijskih zemljišč k tehnološki</w:t>
            </w:r>
            <w:r w:rsidR="007270EE">
              <w:rPr>
                <w:rFonts w:ascii="Arial" w:hAnsi="Arial" w:cs="Arial"/>
                <w:lang w:val="sl-SI"/>
              </w:rPr>
              <w:t xml:space="preserve"> posodobitvi namakalnega sistema</w:t>
            </w:r>
            <w:r>
              <w:rPr>
                <w:rFonts w:ascii="Arial" w:hAnsi="Arial" w:cs="Arial"/>
                <w:lang w:val="sl-SI"/>
              </w:rPr>
              <w:t>.</w:t>
            </w:r>
          </w:p>
          <w:p w14:paraId="79CC6F73" w14:textId="2E09556D" w:rsidR="0054440E" w:rsidRPr="0054440E" w:rsidRDefault="0054440E" w:rsidP="0054440E">
            <w:pPr>
              <w:pStyle w:val="Golobesedilo"/>
              <w:spacing w:after="120"/>
              <w:jc w:val="both"/>
              <w:rPr>
                <w:rFonts w:ascii="Arial" w:hAnsi="Arial" w:cs="Arial"/>
                <w:lang w:val="sl-SI"/>
              </w:rPr>
            </w:pPr>
            <w:r w:rsidRPr="0058370C">
              <w:rPr>
                <w:rFonts w:ascii="Arial" w:hAnsi="Arial" w:cs="Arial"/>
                <w:lang w:val="sl-SI"/>
              </w:rPr>
              <w:t xml:space="preserve">Površina namakalnega območja za katerega so sklenjene pogodbe o namakanju </w:t>
            </w:r>
            <w:r w:rsidRPr="0054440E">
              <w:rPr>
                <w:rFonts w:ascii="Arial" w:hAnsi="Arial" w:cs="Arial"/>
                <w:lang w:val="sl-SI"/>
              </w:rPr>
              <w:t xml:space="preserve">v skladu z zakonom, ki ureja kmetijska zemljišča oziroma pridobljena soglasja lastnikov kmetijskih zemljišč k tehnološki posodobitvi namakalnega sistema </w:t>
            </w:r>
            <w:r>
              <w:rPr>
                <w:rFonts w:ascii="Arial" w:hAnsi="Arial" w:cs="Arial"/>
                <w:lang w:val="sl-SI"/>
              </w:rPr>
              <w:t>je:</w:t>
            </w:r>
          </w:p>
        </w:tc>
        <w:tc>
          <w:tcPr>
            <w:tcW w:w="1459" w:type="dxa"/>
            <w:shd w:val="clear" w:color="auto" w:fill="auto"/>
          </w:tcPr>
          <w:p w14:paraId="32DC8CE2" w14:textId="55C98BD1" w:rsidR="00106923" w:rsidRPr="00106923" w:rsidRDefault="00055B7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35</w:t>
            </w:r>
          </w:p>
        </w:tc>
      </w:tr>
      <w:tr w:rsidR="00106923" w:rsidRPr="006021DF" w14:paraId="1280C87D" w14:textId="77777777" w:rsidTr="001216B7">
        <w:tc>
          <w:tcPr>
            <w:tcW w:w="6921" w:type="dxa"/>
            <w:shd w:val="clear" w:color="auto" w:fill="auto"/>
          </w:tcPr>
          <w:p w14:paraId="1F2469E2" w14:textId="75F3177F" w:rsidR="00106923" w:rsidRPr="006021DF" w:rsidRDefault="00055B73" w:rsidP="00926EB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80 </w:t>
            </w:r>
            <w:r w:rsidR="00926EB7">
              <w:rPr>
                <w:rFonts w:cs="Arial"/>
                <w:lang w:val="sl-SI"/>
              </w:rPr>
              <w:t xml:space="preserve">% </w:t>
            </w:r>
            <w:r w:rsidR="00D3248D">
              <w:rPr>
                <w:rFonts w:cs="Arial"/>
                <w:lang w:val="sl-SI"/>
              </w:rPr>
              <w:t>ali več</w:t>
            </w:r>
            <w:r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52FEC2B7" w14:textId="51247A0D" w:rsidR="00106923" w:rsidRPr="006021DF" w:rsidRDefault="00055B7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35</w:t>
            </w:r>
          </w:p>
        </w:tc>
      </w:tr>
      <w:tr w:rsidR="00106923" w:rsidRPr="006021DF" w14:paraId="0C053375" w14:textId="77777777" w:rsidTr="001216B7">
        <w:tc>
          <w:tcPr>
            <w:tcW w:w="6921" w:type="dxa"/>
            <w:shd w:val="clear" w:color="auto" w:fill="auto"/>
          </w:tcPr>
          <w:p w14:paraId="71982D5D" w14:textId="7CFE7A34" w:rsidR="00106923" w:rsidRPr="006021DF" w:rsidRDefault="00055B73" w:rsidP="00926EB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77 </w:t>
            </w:r>
            <w:r w:rsidR="006C1D89">
              <w:rPr>
                <w:rFonts w:cs="Arial"/>
                <w:lang w:val="sl-SI"/>
              </w:rPr>
              <w:t>% in</w:t>
            </w:r>
            <w:r>
              <w:rPr>
                <w:rFonts w:cs="Arial"/>
                <w:lang w:val="sl-SI"/>
              </w:rPr>
              <w:t xml:space="preserve"> </w:t>
            </w:r>
            <w:r w:rsidR="00D3248D">
              <w:rPr>
                <w:rFonts w:cs="Arial"/>
                <w:lang w:val="sl-SI"/>
              </w:rPr>
              <w:t>manj kot 80</w:t>
            </w:r>
            <w:r>
              <w:rPr>
                <w:rFonts w:cs="Arial"/>
                <w:lang w:val="sl-SI"/>
              </w:rPr>
              <w:t xml:space="preserve"> </w:t>
            </w:r>
            <w:r w:rsidR="00926EB7">
              <w:rPr>
                <w:rFonts w:cs="Arial"/>
                <w:lang w:val="sl-SI"/>
              </w:rPr>
              <w:t>%</w:t>
            </w:r>
            <w:r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76112D56" w14:textId="34C53105" w:rsidR="00106923" w:rsidRPr="006021DF" w:rsidRDefault="00055B7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30</w:t>
            </w:r>
          </w:p>
        </w:tc>
      </w:tr>
      <w:tr w:rsidR="00106923" w:rsidRPr="006021DF" w14:paraId="35F74B63" w14:textId="77777777" w:rsidTr="001216B7">
        <w:tc>
          <w:tcPr>
            <w:tcW w:w="6921" w:type="dxa"/>
            <w:shd w:val="clear" w:color="auto" w:fill="auto"/>
          </w:tcPr>
          <w:p w14:paraId="3E93C2AE" w14:textId="49A32316" w:rsidR="00106923" w:rsidRPr="006021DF" w:rsidRDefault="00055B73" w:rsidP="006C1D8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73 </w:t>
            </w:r>
            <w:r w:rsidR="00926EB7">
              <w:rPr>
                <w:rFonts w:cs="Arial"/>
                <w:lang w:val="sl-SI"/>
              </w:rPr>
              <w:t xml:space="preserve">% in </w:t>
            </w:r>
            <w:r w:rsidR="00D3248D">
              <w:rPr>
                <w:rFonts w:cs="Arial"/>
                <w:lang w:val="sl-SI"/>
              </w:rPr>
              <w:t>manj kot 77</w:t>
            </w:r>
            <w:r>
              <w:rPr>
                <w:rFonts w:cs="Arial"/>
                <w:lang w:val="sl-SI"/>
              </w:rPr>
              <w:t xml:space="preserve"> </w:t>
            </w:r>
            <w:r w:rsidR="006C1D89">
              <w:rPr>
                <w:rFonts w:cs="Arial"/>
                <w:lang w:val="sl-SI"/>
              </w:rPr>
              <w:t>%</w:t>
            </w:r>
            <w:r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45A0695F" w14:textId="526FE42D" w:rsidR="00106923" w:rsidRPr="006021DF" w:rsidRDefault="00055B7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25</w:t>
            </w:r>
          </w:p>
        </w:tc>
      </w:tr>
      <w:tr w:rsidR="00106923" w:rsidRPr="006021DF" w14:paraId="6F58BFD3" w14:textId="77777777" w:rsidTr="001216B7">
        <w:tc>
          <w:tcPr>
            <w:tcW w:w="6921" w:type="dxa"/>
            <w:shd w:val="clear" w:color="auto" w:fill="auto"/>
          </w:tcPr>
          <w:p w14:paraId="6B13E1B0" w14:textId="1285E91F" w:rsidR="00106923" w:rsidRPr="006021DF" w:rsidRDefault="00055B73" w:rsidP="006C1D8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69 </w:t>
            </w:r>
            <w:r w:rsidR="006C1D89">
              <w:rPr>
                <w:rFonts w:cs="Arial"/>
                <w:lang w:val="sl-SI"/>
              </w:rPr>
              <w:t xml:space="preserve">% in </w:t>
            </w:r>
            <w:r w:rsidR="00D3248D">
              <w:rPr>
                <w:rFonts w:cs="Arial"/>
                <w:lang w:val="sl-SI"/>
              </w:rPr>
              <w:t>manj kot 73</w:t>
            </w:r>
            <w:r>
              <w:rPr>
                <w:rFonts w:cs="Arial"/>
                <w:lang w:val="sl-SI"/>
              </w:rPr>
              <w:t xml:space="preserve"> </w:t>
            </w:r>
            <w:r w:rsidR="006C1D89">
              <w:rPr>
                <w:rFonts w:cs="Arial"/>
                <w:lang w:val="sl-SI"/>
              </w:rPr>
              <w:t>%</w:t>
            </w:r>
            <w:r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74C61D23" w14:textId="1D122EB2" w:rsidR="00106923" w:rsidRPr="006021DF" w:rsidRDefault="00055B7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20</w:t>
            </w:r>
          </w:p>
        </w:tc>
      </w:tr>
      <w:tr w:rsidR="00106923" w:rsidRPr="006021DF" w14:paraId="742D7C78" w14:textId="77777777" w:rsidTr="001216B7">
        <w:tc>
          <w:tcPr>
            <w:tcW w:w="6921" w:type="dxa"/>
            <w:shd w:val="clear" w:color="auto" w:fill="auto"/>
          </w:tcPr>
          <w:p w14:paraId="1F57ED4F" w14:textId="364D13D8" w:rsidR="00106923" w:rsidRPr="006021DF" w:rsidRDefault="00055B73" w:rsidP="006C1D8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 60 </w:t>
            </w:r>
            <w:r w:rsidR="006C1D89">
              <w:rPr>
                <w:rFonts w:cs="Arial"/>
                <w:lang w:val="sl-SI"/>
              </w:rPr>
              <w:t>%</w:t>
            </w:r>
            <w:r>
              <w:rPr>
                <w:rFonts w:cs="Arial"/>
                <w:lang w:val="sl-SI"/>
              </w:rPr>
              <w:t xml:space="preserve"> </w:t>
            </w:r>
            <w:r w:rsidR="006C1D89">
              <w:rPr>
                <w:rFonts w:cs="Arial"/>
                <w:lang w:val="sl-SI"/>
              </w:rPr>
              <w:t>in</w:t>
            </w:r>
            <w:r>
              <w:rPr>
                <w:rFonts w:cs="Arial"/>
                <w:lang w:val="sl-SI"/>
              </w:rPr>
              <w:t xml:space="preserve"> </w:t>
            </w:r>
            <w:r w:rsidR="00D3248D">
              <w:rPr>
                <w:rFonts w:cs="Arial"/>
                <w:lang w:val="sl-SI"/>
              </w:rPr>
              <w:t>manj kot 69</w:t>
            </w:r>
            <w:r>
              <w:rPr>
                <w:rFonts w:cs="Arial"/>
                <w:lang w:val="sl-SI"/>
              </w:rPr>
              <w:t xml:space="preserve"> </w:t>
            </w:r>
            <w:r w:rsidR="006C1D89">
              <w:rPr>
                <w:rFonts w:cs="Arial"/>
                <w:lang w:val="sl-SI"/>
              </w:rPr>
              <w:t>%</w:t>
            </w:r>
            <w:r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0B37BBD4" w14:textId="7D0223E0" w:rsidR="00106923" w:rsidRPr="006021DF" w:rsidRDefault="00055B7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15</w:t>
            </w:r>
          </w:p>
        </w:tc>
      </w:tr>
      <w:tr w:rsidR="00106923" w:rsidRPr="006021DF" w14:paraId="4F7B1ADD" w14:textId="77777777" w:rsidTr="0082093B">
        <w:trPr>
          <w:trHeight w:val="284"/>
        </w:trPr>
        <w:tc>
          <w:tcPr>
            <w:tcW w:w="6921" w:type="dxa"/>
            <w:shd w:val="clear" w:color="auto" w:fill="auto"/>
          </w:tcPr>
          <w:p w14:paraId="64422993" w14:textId="4B9BCD44" w:rsidR="00106923" w:rsidRPr="006021DF" w:rsidRDefault="00055B73" w:rsidP="000C6D7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več </w:t>
            </w:r>
            <w:r w:rsidR="0054440E">
              <w:rPr>
                <w:rFonts w:cs="Arial"/>
                <w:lang w:val="sl-SI"/>
              </w:rPr>
              <w:t xml:space="preserve">kot </w:t>
            </w:r>
            <w:r>
              <w:rPr>
                <w:rFonts w:cs="Arial"/>
                <w:lang w:val="sl-SI"/>
              </w:rPr>
              <w:t xml:space="preserve">50 </w:t>
            </w:r>
            <w:r w:rsidR="00926EB7">
              <w:rPr>
                <w:rFonts w:cs="Arial"/>
                <w:lang w:val="sl-SI"/>
              </w:rPr>
              <w:t xml:space="preserve">% in manj </w:t>
            </w:r>
            <w:r w:rsidR="000C6D74">
              <w:rPr>
                <w:rFonts w:cs="Arial"/>
                <w:lang w:val="sl-SI"/>
              </w:rPr>
              <w:t xml:space="preserve">kot </w:t>
            </w:r>
            <w:r w:rsidR="00D3248D">
              <w:rPr>
                <w:rFonts w:cs="Arial"/>
                <w:lang w:val="sl-SI"/>
              </w:rPr>
              <w:t>60</w:t>
            </w:r>
            <w:r>
              <w:rPr>
                <w:rFonts w:cs="Arial"/>
                <w:lang w:val="sl-SI"/>
              </w:rPr>
              <w:t xml:space="preserve"> </w:t>
            </w:r>
            <w:r w:rsidR="00926EB7">
              <w:rPr>
                <w:rFonts w:cs="Arial"/>
                <w:lang w:val="sl-SI"/>
              </w:rPr>
              <w:t>%</w:t>
            </w:r>
            <w:r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5941E1AA" w14:textId="6F89139C" w:rsidR="00106923" w:rsidRPr="006021DF" w:rsidRDefault="00055B7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10</w:t>
            </w:r>
          </w:p>
        </w:tc>
      </w:tr>
      <w:tr w:rsidR="00106923" w:rsidRPr="006021DF" w14:paraId="33E12F0E" w14:textId="77777777" w:rsidTr="0082093B">
        <w:trPr>
          <w:trHeight w:val="273"/>
        </w:trPr>
        <w:tc>
          <w:tcPr>
            <w:tcW w:w="6921" w:type="dxa"/>
            <w:shd w:val="clear" w:color="auto" w:fill="auto"/>
          </w:tcPr>
          <w:p w14:paraId="3AC3E216" w14:textId="57A64523" w:rsidR="00106923" w:rsidRPr="006021DF" w:rsidRDefault="00106923" w:rsidP="00106923">
            <w:pPr>
              <w:pStyle w:val="Odstavekseznama"/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 w:rsidRPr="006021DF">
              <w:rPr>
                <w:rFonts w:ascii="Arial" w:hAnsi="Arial" w:cs="Arial"/>
                <w:b/>
                <w:sz w:val="20"/>
                <w:lang w:val="sl-SI"/>
              </w:rPr>
              <w:t>GEOGRAFSKI VIDIK NALOŽBE</w:t>
            </w:r>
          </w:p>
        </w:tc>
        <w:tc>
          <w:tcPr>
            <w:tcW w:w="1459" w:type="dxa"/>
            <w:shd w:val="clear" w:color="auto" w:fill="auto"/>
          </w:tcPr>
          <w:p w14:paraId="07C53725" w14:textId="53C2C2BB" w:rsidR="00106923" w:rsidRPr="006021DF" w:rsidRDefault="0010692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10</w:t>
            </w:r>
          </w:p>
        </w:tc>
      </w:tr>
      <w:tr w:rsidR="00106923" w:rsidRPr="006021DF" w14:paraId="314A87CA" w14:textId="77777777" w:rsidTr="001216B7">
        <w:tc>
          <w:tcPr>
            <w:tcW w:w="6921" w:type="dxa"/>
            <w:shd w:val="clear" w:color="auto" w:fill="auto"/>
          </w:tcPr>
          <w:p w14:paraId="06EAF575" w14:textId="77777777" w:rsidR="00106923" w:rsidRDefault="0010692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2.1. Koeficient razvitosti občin</w:t>
            </w:r>
          </w:p>
          <w:p w14:paraId="60D6F0CB" w14:textId="04060363" w:rsidR="006C1D89" w:rsidRPr="006021DF" w:rsidRDefault="000C6D74" w:rsidP="006C1D8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903211">
              <w:rPr>
                <w:rFonts w:cs="Arial"/>
                <w:lang w:val="sl-SI"/>
              </w:rPr>
              <w:t>Koeficient</w:t>
            </w:r>
            <w:r>
              <w:rPr>
                <w:rFonts w:cs="Arial"/>
                <w:lang w:val="sl-SI"/>
              </w:rPr>
              <w:t>i</w:t>
            </w:r>
            <w:r w:rsidRPr="00903211">
              <w:rPr>
                <w:rFonts w:cs="Arial"/>
                <w:lang w:val="sl-SI"/>
              </w:rPr>
              <w:t xml:space="preserve"> razvitosti občin </w:t>
            </w:r>
            <w:r>
              <w:rPr>
                <w:rFonts w:cs="Arial"/>
                <w:lang w:val="sl-SI"/>
              </w:rPr>
              <w:t>so določeni</w:t>
            </w:r>
            <w:r w:rsidRPr="00903211">
              <w:rPr>
                <w:rFonts w:cs="Arial"/>
                <w:lang w:val="sl-SI"/>
              </w:rPr>
              <w:t xml:space="preserve"> v prilogi razpisne dokumentacije</w:t>
            </w:r>
            <w:r>
              <w:rPr>
                <w:rFonts w:cs="Arial"/>
                <w:lang w:val="sl-SI"/>
              </w:rPr>
              <w:t xml:space="preserve">, pri čemer se upošteva </w:t>
            </w:r>
            <w:r w:rsidR="006C1D89" w:rsidRPr="00903211">
              <w:rPr>
                <w:rFonts w:cs="Arial"/>
                <w:lang w:val="sl-SI"/>
              </w:rPr>
              <w:t>občina, v kateri se nahajajo zemljišča, na katerih se bo izvajala</w:t>
            </w:r>
            <w:r w:rsidR="007270EE">
              <w:rPr>
                <w:rFonts w:cs="Arial"/>
                <w:lang w:val="sl-SI"/>
              </w:rPr>
              <w:t xml:space="preserve"> tehnološka posodobitev namakalnega sistema, ki je namenjen več uporabnikom.</w:t>
            </w:r>
            <w:r w:rsidR="006C1D89">
              <w:rPr>
                <w:rFonts w:cs="Arial"/>
                <w:lang w:val="sl-SI"/>
              </w:rPr>
              <w:t xml:space="preserve"> Če se </w:t>
            </w:r>
            <w:r w:rsidR="007270EE">
              <w:rPr>
                <w:rFonts w:cs="Arial"/>
                <w:lang w:val="sl-SI"/>
              </w:rPr>
              <w:t>namakalni sistem</w:t>
            </w:r>
            <w:r w:rsidR="006C1D89">
              <w:rPr>
                <w:rFonts w:cs="Arial"/>
                <w:lang w:val="sl-SI"/>
              </w:rPr>
              <w:t xml:space="preserve"> </w:t>
            </w:r>
            <w:r w:rsidR="00F66C81">
              <w:rPr>
                <w:rFonts w:cs="Arial"/>
                <w:lang w:val="sl-SI"/>
              </w:rPr>
              <w:t xml:space="preserve">nahaja </w:t>
            </w:r>
            <w:r w:rsidR="006C1D89">
              <w:rPr>
                <w:rFonts w:cs="Arial"/>
                <w:lang w:val="sl-SI"/>
              </w:rPr>
              <w:t>v več občinah, se za določitev koeficienta šteje občina, v kateri leži večji del na</w:t>
            </w:r>
            <w:r w:rsidR="007270EE">
              <w:rPr>
                <w:rFonts w:cs="Arial"/>
                <w:lang w:val="sl-SI"/>
              </w:rPr>
              <w:t>makalnega sistema</w:t>
            </w:r>
            <w:r w:rsidR="006C1D89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30E08B3E" w14:textId="377EBB0B" w:rsidR="00106923" w:rsidRPr="006021DF" w:rsidRDefault="00055B7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>10</w:t>
            </w:r>
          </w:p>
        </w:tc>
      </w:tr>
      <w:tr w:rsidR="00106923" w:rsidRPr="006021DF" w14:paraId="6036C9CC" w14:textId="77777777" w:rsidTr="001216B7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280D" w14:textId="5D816C6C" w:rsidR="00106923" w:rsidRPr="006021DF" w:rsidRDefault="0010692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Koeficient razvitosti občine je 0,8 ali manjši</w:t>
            </w:r>
            <w:r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4221" w14:textId="67834E76" w:rsidR="00106923" w:rsidRPr="006021DF" w:rsidRDefault="00055B7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10</w:t>
            </w:r>
          </w:p>
        </w:tc>
      </w:tr>
      <w:tr w:rsidR="00055B73" w:rsidRPr="006021DF" w14:paraId="66BA9D31" w14:textId="77777777" w:rsidTr="001216B7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E9E7" w14:textId="69C7A0C9" w:rsidR="00055B73" w:rsidRPr="006021DF" w:rsidRDefault="00055B7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Koeficient razvitosti občine je večji od 0,8 do vključno 1,00.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3A47" w14:textId="2A702539" w:rsidR="00055B73" w:rsidRPr="006021DF" w:rsidRDefault="00055B7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5</w:t>
            </w:r>
          </w:p>
        </w:tc>
      </w:tr>
      <w:tr w:rsidR="00055B73" w:rsidRPr="006021DF" w14:paraId="64D5A83D" w14:textId="77777777" w:rsidTr="001216B7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495B" w14:textId="5DF4A7EE" w:rsidR="00055B73" w:rsidRDefault="00055B7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Koeficient razvitosti občine je večji od 1,00.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EE31" w14:textId="0DDB3CA4" w:rsidR="00055B73" w:rsidRDefault="00055B73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</w:t>
            </w:r>
          </w:p>
        </w:tc>
      </w:tr>
      <w:tr w:rsidR="00106923" w:rsidRPr="00106923" w14:paraId="1DA4DC9F" w14:textId="77777777" w:rsidTr="001216B7">
        <w:tc>
          <w:tcPr>
            <w:tcW w:w="6921" w:type="dxa"/>
            <w:shd w:val="clear" w:color="auto" w:fill="auto"/>
          </w:tcPr>
          <w:p w14:paraId="76FCB885" w14:textId="2C5AE653" w:rsidR="00106923" w:rsidRPr="00106923" w:rsidRDefault="00106923" w:rsidP="00106923">
            <w:pPr>
              <w:pStyle w:val="Odstavekseznama"/>
              <w:numPr>
                <w:ilvl w:val="0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06923">
              <w:rPr>
                <w:rFonts w:ascii="Arial" w:hAnsi="Arial" w:cs="Arial"/>
                <w:b/>
                <w:sz w:val="20"/>
                <w:szCs w:val="20"/>
                <w:lang w:val="sl-SI"/>
              </w:rPr>
              <w:t>PRISPEVEK K HORIZONTALNIM CILJEM</w:t>
            </w:r>
          </w:p>
        </w:tc>
        <w:tc>
          <w:tcPr>
            <w:tcW w:w="1459" w:type="dxa"/>
            <w:shd w:val="clear" w:color="auto" w:fill="auto"/>
          </w:tcPr>
          <w:p w14:paraId="583FAB8B" w14:textId="0FB14C32" w:rsidR="00106923" w:rsidRPr="00106923" w:rsidRDefault="00106923" w:rsidP="001216B7">
            <w:pPr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30</w:t>
            </w:r>
          </w:p>
        </w:tc>
      </w:tr>
      <w:tr w:rsidR="00106923" w:rsidRPr="006021DF" w14:paraId="118257A6" w14:textId="77777777" w:rsidTr="001216B7">
        <w:tc>
          <w:tcPr>
            <w:tcW w:w="6921" w:type="dxa"/>
            <w:shd w:val="clear" w:color="auto" w:fill="auto"/>
          </w:tcPr>
          <w:p w14:paraId="4EE26CAC" w14:textId="77777777" w:rsidR="00106923" w:rsidRDefault="00106923" w:rsidP="0010692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 xml:space="preserve">3.1. </w:t>
            </w:r>
            <w:r>
              <w:rPr>
                <w:rFonts w:cs="Arial"/>
                <w:b/>
                <w:lang w:val="sl-SI"/>
              </w:rPr>
              <w:t>Potencialni prihranek vode</w:t>
            </w:r>
          </w:p>
          <w:p w14:paraId="58B09388" w14:textId="2ADB3629" w:rsidR="007270EE" w:rsidRPr="006021DF" w:rsidRDefault="0058370C" w:rsidP="0055716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B357B1">
              <w:rPr>
                <w:lang w:val="sl-SI"/>
              </w:rPr>
              <w:lastRenderedPageBreak/>
              <w:t xml:space="preserve">Upošteva se potencialni prihranek vode, ki je razviden iz </w:t>
            </w:r>
            <w:r w:rsidR="00F205A4" w:rsidRPr="00B357B1">
              <w:rPr>
                <w:lang w:val="sl-SI"/>
              </w:rPr>
              <w:t>elaborata</w:t>
            </w:r>
            <w:r w:rsidRPr="00B357B1">
              <w:rPr>
                <w:lang w:val="sl-SI"/>
              </w:rPr>
              <w:t xml:space="preserve">, </w:t>
            </w:r>
            <w:r w:rsidR="007270EE" w:rsidRPr="00B357B1">
              <w:rPr>
                <w:rFonts w:cs="Arial"/>
                <w:lang w:val="sl-SI"/>
              </w:rPr>
              <w:t>ki</w:t>
            </w:r>
            <w:r w:rsidR="007270EE">
              <w:rPr>
                <w:rFonts w:cs="Arial"/>
                <w:lang w:val="sl-SI"/>
              </w:rPr>
              <w:t xml:space="preserve"> </w:t>
            </w:r>
            <w:r w:rsidR="0055716E">
              <w:rPr>
                <w:rFonts w:cs="Arial"/>
                <w:lang w:val="sl-SI"/>
              </w:rPr>
              <w:t>vsebuje</w:t>
            </w:r>
            <w:r w:rsidR="0055716E" w:rsidRPr="0055716E">
              <w:rPr>
                <w:rFonts w:cs="Arial"/>
                <w:lang w:val="sl-SI"/>
              </w:rPr>
              <w:t xml:space="preserve"> obvezne sestavine iz Priloge</w:t>
            </w:r>
            <w:r w:rsidR="00F205A4">
              <w:rPr>
                <w:rFonts w:cs="Arial"/>
                <w:lang w:val="sl-SI"/>
              </w:rPr>
              <w:t xml:space="preserve"> </w:t>
            </w:r>
            <w:r w:rsidR="007270EE">
              <w:rPr>
                <w:rFonts w:cs="Arial"/>
                <w:lang w:val="sl-SI"/>
              </w:rPr>
              <w:t>tega javnega razpisa</w:t>
            </w:r>
            <w:r w:rsidR="007270EE" w:rsidRPr="00903211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0918A519" w14:textId="1183C71D" w:rsidR="004A6FE7" w:rsidRPr="00D3248D" w:rsidRDefault="004A6FE7" w:rsidP="004A6FE7">
            <w:pPr>
              <w:jc w:val="center"/>
              <w:rPr>
                <w:rFonts w:cs="Arial"/>
                <w:b/>
                <w:lang w:val="sl-SI"/>
              </w:rPr>
            </w:pPr>
            <w:r w:rsidRPr="00D3248D">
              <w:rPr>
                <w:rFonts w:cs="Arial"/>
                <w:b/>
                <w:lang w:val="sl-SI"/>
              </w:rPr>
              <w:lastRenderedPageBreak/>
              <w:t>30</w:t>
            </w:r>
          </w:p>
        </w:tc>
      </w:tr>
      <w:tr w:rsidR="00106923" w:rsidRPr="006021DF" w14:paraId="41F81527" w14:textId="77777777" w:rsidTr="001216B7">
        <w:tc>
          <w:tcPr>
            <w:tcW w:w="6921" w:type="dxa"/>
            <w:shd w:val="clear" w:color="auto" w:fill="auto"/>
          </w:tcPr>
          <w:p w14:paraId="50692B2F" w14:textId="5ECE92F5" w:rsidR="00106923" w:rsidRPr="004A6FE7" w:rsidRDefault="00055B73" w:rsidP="00F352E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4A6FE7">
              <w:rPr>
                <w:lang w:val="sl-SI"/>
              </w:rPr>
              <w:t xml:space="preserve">Potencialni prihranek vode bo 25 </w:t>
            </w:r>
            <w:r w:rsidR="00F352E3">
              <w:rPr>
                <w:lang w:val="sl-SI"/>
              </w:rPr>
              <w:t>%</w:t>
            </w:r>
            <w:r w:rsidR="00F352E3" w:rsidRPr="004A6FE7">
              <w:rPr>
                <w:lang w:val="sl-SI"/>
              </w:rPr>
              <w:t xml:space="preserve"> </w:t>
            </w:r>
            <w:r w:rsidRPr="004A6FE7">
              <w:rPr>
                <w:lang w:val="sl-SI"/>
              </w:rPr>
              <w:t>ali več</w:t>
            </w:r>
            <w:r w:rsidR="004A6FE7">
              <w:rPr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6DAA8689" w14:textId="32DB2C8A" w:rsidR="00106923" w:rsidRPr="006021DF" w:rsidRDefault="004A6FE7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30</w:t>
            </w:r>
          </w:p>
        </w:tc>
      </w:tr>
      <w:tr w:rsidR="00106923" w:rsidRPr="006021DF" w14:paraId="7C21028A" w14:textId="77777777" w:rsidTr="001216B7">
        <w:tc>
          <w:tcPr>
            <w:tcW w:w="6921" w:type="dxa"/>
            <w:shd w:val="clear" w:color="auto" w:fill="auto"/>
          </w:tcPr>
          <w:p w14:paraId="65505BD9" w14:textId="38525917" w:rsidR="00106923" w:rsidRPr="004A6FE7" w:rsidRDefault="00055B73" w:rsidP="00F352E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b/>
                <w:lang w:val="sl-SI"/>
              </w:rPr>
            </w:pPr>
            <w:r w:rsidRPr="004A6FE7">
              <w:rPr>
                <w:lang w:val="sl-SI"/>
              </w:rPr>
              <w:t xml:space="preserve">Potencialni prihranek vode bo od 23 </w:t>
            </w:r>
            <w:r w:rsidR="00F352E3">
              <w:rPr>
                <w:lang w:val="sl-SI"/>
              </w:rPr>
              <w:t>%</w:t>
            </w:r>
            <w:r w:rsidR="00F352E3" w:rsidRPr="004A6FE7">
              <w:rPr>
                <w:lang w:val="sl-SI"/>
              </w:rPr>
              <w:t xml:space="preserve"> </w:t>
            </w:r>
            <w:r w:rsidRPr="004A6FE7">
              <w:rPr>
                <w:lang w:val="sl-SI"/>
              </w:rPr>
              <w:t xml:space="preserve">do </w:t>
            </w:r>
            <w:r w:rsidR="00D3248D">
              <w:rPr>
                <w:lang w:val="sl-SI"/>
              </w:rPr>
              <w:t>manj kot 25</w:t>
            </w:r>
            <w:r w:rsidRPr="004A6FE7">
              <w:rPr>
                <w:lang w:val="sl-SI"/>
              </w:rPr>
              <w:t xml:space="preserve"> </w:t>
            </w:r>
            <w:r w:rsidR="00F352E3">
              <w:rPr>
                <w:lang w:val="sl-SI"/>
              </w:rPr>
              <w:t>%</w:t>
            </w:r>
            <w:r w:rsidR="004A6FE7">
              <w:rPr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56E07623" w14:textId="5EE889C5" w:rsidR="00106923" w:rsidRPr="006021DF" w:rsidRDefault="004A6FE7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>
              <w:rPr>
                <w:rFonts w:cs="Arial"/>
                <w:lang w:val="sl-SI"/>
              </w:rPr>
              <w:t>25</w:t>
            </w:r>
          </w:p>
        </w:tc>
      </w:tr>
      <w:tr w:rsidR="00106923" w:rsidRPr="006021DF" w14:paraId="7232DC8E" w14:textId="77777777" w:rsidTr="001216B7">
        <w:tc>
          <w:tcPr>
            <w:tcW w:w="6921" w:type="dxa"/>
            <w:shd w:val="clear" w:color="auto" w:fill="auto"/>
          </w:tcPr>
          <w:p w14:paraId="196B6291" w14:textId="4396F003" w:rsidR="00106923" w:rsidRPr="004A6FE7" w:rsidRDefault="00055B73" w:rsidP="00F352E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b/>
                <w:lang w:val="sl-SI"/>
              </w:rPr>
            </w:pPr>
            <w:r w:rsidRPr="004A6FE7">
              <w:rPr>
                <w:lang w:val="sl-SI"/>
              </w:rPr>
              <w:t>Potencialni prihranek vode bo od 2</w:t>
            </w:r>
            <w:r w:rsidR="00D3248D">
              <w:rPr>
                <w:lang w:val="sl-SI"/>
              </w:rPr>
              <w:t>0</w:t>
            </w:r>
            <w:r w:rsidRPr="004A6FE7">
              <w:rPr>
                <w:lang w:val="sl-SI"/>
              </w:rPr>
              <w:t xml:space="preserve"> </w:t>
            </w:r>
            <w:r w:rsidR="00F352E3">
              <w:rPr>
                <w:lang w:val="sl-SI"/>
              </w:rPr>
              <w:t>%</w:t>
            </w:r>
            <w:r w:rsidR="00F352E3" w:rsidRPr="004A6FE7">
              <w:rPr>
                <w:lang w:val="sl-SI"/>
              </w:rPr>
              <w:t xml:space="preserve"> </w:t>
            </w:r>
            <w:r w:rsidRPr="004A6FE7">
              <w:rPr>
                <w:lang w:val="sl-SI"/>
              </w:rPr>
              <w:t xml:space="preserve">do </w:t>
            </w:r>
            <w:r w:rsidR="00D3248D">
              <w:rPr>
                <w:lang w:val="sl-SI"/>
              </w:rPr>
              <w:t>manj kot 23</w:t>
            </w:r>
            <w:r w:rsidRPr="004A6FE7">
              <w:rPr>
                <w:lang w:val="sl-SI"/>
              </w:rPr>
              <w:t xml:space="preserve"> </w:t>
            </w:r>
            <w:r w:rsidR="00F352E3">
              <w:rPr>
                <w:lang w:val="sl-SI"/>
              </w:rPr>
              <w:t>%</w:t>
            </w:r>
            <w:r w:rsidR="004A6FE7">
              <w:rPr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47B12706" w14:textId="5C500669" w:rsidR="00106923" w:rsidRPr="006021DF" w:rsidRDefault="004A6FE7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>
              <w:rPr>
                <w:rFonts w:cs="Arial"/>
                <w:lang w:val="sl-SI"/>
              </w:rPr>
              <w:t>20</w:t>
            </w:r>
          </w:p>
        </w:tc>
      </w:tr>
      <w:tr w:rsidR="00106923" w:rsidRPr="006021DF" w14:paraId="4D61236F" w14:textId="77777777" w:rsidTr="001216B7">
        <w:tc>
          <w:tcPr>
            <w:tcW w:w="6921" w:type="dxa"/>
            <w:shd w:val="clear" w:color="auto" w:fill="auto"/>
          </w:tcPr>
          <w:p w14:paraId="24442973" w14:textId="7A303A6C" w:rsidR="00106923" w:rsidRPr="004A6FE7" w:rsidRDefault="00055B73" w:rsidP="00F352E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4A6FE7">
              <w:rPr>
                <w:lang w:val="sl-SI"/>
              </w:rPr>
              <w:t xml:space="preserve">Potencialni prihranek vode bo od </w:t>
            </w:r>
            <w:r w:rsidR="00D3248D">
              <w:rPr>
                <w:lang w:val="sl-SI"/>
              </w:rPr>
              <w:t>17</w:t>
            </w:r>
            <w:r w:rsidRPr="004A6FE7">
              <w:rPr>
                <w:lang w:val="sl-SI"/>
              </w:rPr>
              <w:t xml:space="preserve"> </w:t>
            </w:r>
            <w:r w:rsidR="00F352E3">
              <w:rPr>
                <w:lang w:val="sl-SI"/>
              </w:rPr>
              <w:t>%</w:t>
            </w:r>
            <w:r w:rsidR="00F352E3" w:rsidRPr="004A6FE7">
              <w:rPr>
                <w:lang w:val="sl-SI"/>
              </w:rPr>
              <w:t xml:space="preserve"> </w:t>
            </w:r>
            <w:r w:rsidRPr="004A6FE7">
              <w:rPr>
                <w:lang w:val="sl-SI"/>
              </w:rPr>
              <w:t xml:space="preserve">do </w:t>
            </w:r>
            <w:r w:rsidR="00D3248D">
              <w:rPr>
                <w:lang w:val="sl-SI"/>
              </w:rPr>
              <w:t>manj kot 20</w:t>
            </w:r>
            <w:r w:rsidRPr="004A6FE7">
              <w:rPr>
                <w:lang w:val="sl-SI"/>
              </w:rPr>
              <w:t xml:space="preserve"> </w:t>
            </w:r>
            <w:r w:rsidR="00F352E3">
              <w:rPr>
                <w:lang w:val="sl-SI"/>
              </w:rPr>
              <w:t>%</w:t>
            </w:r>
            <w:r w:rsidR="004A6FE7">
              <w:rPr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65F6EFF9" w14:textId="0512D6F2" w:rsidR="00106923" w:rsidRPr="006021DF" w:rsidRDefault="004A6FE7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</w:t>
            </w:r>
            <w:r w:rsidR="00106923" w:rsidRPr="006021DF">
              <w:rPr>
                <w:rFonts w:cs="Arial"/>
                <w:lang w:val="sl-SI"/>
              </w:rPr>
              <w:t>5</w:t>
            </w:r>
          </w:p>
        </w:tc>
      </w:tr>
      <w:tr w:rsidR="00106923" w:rsidRPr="006021DF" w14:paraId="0355054C" w14:textId="77777777" w:rsidTr="001216B7">
        <w:tc>
          <w:tcPr>
            <w:tcW w:w="6921" w:type="dxa"/>
            <w:shd w:val="clear" w:color="auto" w:fill="auto"/>
          </w:tcPr>
          <w:p w14:paraId="22993C75" w14:textId="1816D1D2" w:rsidR="00106923" w:rsidRPr="004A6FE7" w:rsidRDefault="00055B73" w:rsidP="007D78A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4A6FE7">
              <w:rPr>
                <w:lang w:val="sl-SI"/>
              </w:rPr>
              <w:t xml:space="preserve">Potencialni prihranek vode bo od </w:t>
            </w:r>
            <w:r w:rsidR="00D3248D">
              <w:rPr>
                <w:lang w:val="sl-SI"/>
              </w:rPr>
              <w:t>15</w:t>
            </w:r>
            <w:r w:rsidRPr="004A6FE7">
              <w:rPr>
                <w:lang w:val="sl-SI"/>
              </w:rPr>
              <w:t xml:space="preserve"> </w:t>
            </w:r>
            <w:r w:rsidR="007D78A4">
              <w:rPr>
                <w:lang w:val="sl-SI"/>
              </w:rPr>
              <w:t>%</w:t>
            </w:r>
            <w:r w:rsidR="007D78A4" w:rsidRPr="004A6FE7">
              <w:rPr>
                <w:lang w:val="sl-SI"/>
              </w:rPr>
              <w:t xml:space="preserve"> </w:t>
            </w:r>
            <w:r w:rsidRPr="004A6FE7">
              <w:rPr>
                <w:lang w:val="sl-SI"/>
              </w:rPr>
              <w:t xml:space="preserve">do </w:t>
            </w:r>
            <w:r w:rsidR="00D3248D">
              <w:rPr>
                <w:lang w:val="sl-SI"/>
              </w:rPr>
              <w:t>manj kot 17</w:t>
            </w:r>
            <w:r w:rsidRPr="004A6FE7">
              <w:rPr>
                <w:lang w:val="sl-SI"/>
              </w:rPr>
              <w:t xml:space="preserve"> </w:t>
            </w:r>
            <w:r w:rsidR="007D78A4">
              <w:rPr>
                <w:lang w:val="sl-SI"/>
              </w:rPr>
              <w:t>%</w:t>
            </w:r>
            <w:r w:rsidR="004A6FE7">
              <w:rPr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6BB113E4" w14:textId="4CDC2012" w:rsidR="00106923" w:rsidRPr="006021DF" w:rsidRDefault="004A6FE7" w:rsidP="001216B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10</w:t>
            </w:r>
          </w:p>
        </w:tc>
      </w:tr>
    </w:tbl>
    <w:p w14:paraId="70B97904" w14:textId="35729D60" w:rsidR="00020879" w:rsidRDefault="00020879" w:rsidP="00D3248D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A4FCB2C" w14:textId="77777777" w:rsidR="00034DC3" w:rsidRPr="003F1F7B" w:rsidRDefault="00034DC3" w:rsidP="00034DC3">
      <w:pPr>
        <w:pStyle w:val="Golobesedilo"/>
        <w:jc w:val="both"/>
        <w:rPr>
          <w:rFonts w:ascii="Arial" w:hAnsi="Arial" w:cs="Arial"/>
          <w:lang w:val="sl-SI"/>
        </w:rPr>
      </w:pPr>
    </w:p>
    <w:p w14:paraId="25CEBBAF" w14:textId="77777777" w:rsidR="003F1F7B" w:rsidRP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>7. FINANČNE DOLOČBE</w:t>
      </w:r>
    </w:p>
    <w:p w14:paraId="0702F4DB" w14:textId="77777777" w:rsidR="003F1F7B" w:rsidRPr="003F1F7B" w:rsidRDefault="003F1F7B" w:rsidP="003F1F7B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17782597" w14:textId="05F5A364" w:rsidR="003F1F7B" w:rsidRDefault="00822D14" w:rsidP="003F1F7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(1) </w:t>
      </w:r>
      <w:r w:rsidR="003F1F7B" w:rsidRPr="003F1F7B">
        <w:rPr>
          <w:rFonts w:ascii="Arial" w:hAnsi="Arial" w:cs="Arial"/>
          <w:lang w:val="sl-SI"/>
        </w:rPr>
        <w:t xml:space="preserve">Finančne določbe so določene v </w:t>
      </w:r>
      <w:r w:rsidR="004678A4">
        <w:rPr>
          <w:rFonts w:ascii="Arial" w:hAnsi="Arial" w:cs="Arial"/>
          <w:lang w:val="sl-SI"/>
        </w:rPr>
        <w:t>3</w:t>
      </w:r>
      <w:r w:rsidR="003F1F7B" w:rsidRPr="003F1F7B">
        <w:rPr>
          <w:rFonts w:ascii="Arial" w:hAnsi="Arial" w:cs="Arial"/>
          <w:lang w:val="sl-SI"/>
        </w:rPr>
        <w:t>. členu</w:t>
      </w:r>
      <w:r w:rsidR="004678A4">
        <w:rPr>
          <w:rFonts w:ascii="Arial" w:hAnsi="Arial" w:cs="Arial"/>
          <w:lang w:val="sl-SI"/>
        </w:rPr>
        <w:t xml:space="preserve"> u</w:t>
      </w:r>
      <w:r w:rsidR="003F1F7B" w:rsidRPr="003F1F7B">
        <w:rPr>
          <w:rFonts w:ascii="Arial" w:hAnsi="Arial" w:cs="Arial"/>
          <w:lang w:val="sl-SI"/>
        </w:rPr>
        <w:t>redbe</w:t>
      </w:r>
      <w:r w:rsidR="00261AF3" w:rsidRPr="00261AF3">
        <w:t xml:space="preserve"> </w:t>
      </w:r>
      <w:r w:rsidR="00261AF3" w:rsidRPr="00261AF3">
        <w:rPr>
          <w:rFonts w:ascii="Arial" w:hAnsi="Arial" w:cs="Arial"/>
          <w:lang w:val="sl-SI"/>
        </w:rPr>
        <w:t>o izvajanju intervencij s področja zemljiških operacij</w:t>
      </w:r>
      <w:r w:rsidR="00813A07">
        <w:rPr>
          <w:rFonts w:ascii="Arial" w:hAnsi="Arial" w:cs="Arial"/>
          <w:lang w:val="sl-SI"/>
        </w:rPr>
        <w:t xml:space="preserve">, razen v tretjem in petem odstavku 3. člena </w:t>
      </w:r>
      <w:r w:rsidR="00813A07" w:rsidRPr="0095065C">
        <w:rPr>
          <w:rFonts w:ascii="Arial" w:hAnsi="Arial" w:cs="Arial"/>
          <w:lang w:val="sl-SI"/>
        </w:rPr>
        <w:t>uredbe o izvajanju intervencij s področja zemljiških operacij</w:t>
      </w:r>
      <w:r w:rsidR="003F1F7B" w:rsidRPr="003F1F7B">
        <w:rPr>
          <w:rFonts w:ascii="Arial" w:hAnsi="Arial" w:cs="Arial"/>
          <w:lang w:val="sl-SI"/>
        </w:rPr>
        <w:t>.</w:t>
      </w:r>
      <w:r w:rsidR="003F1F7B" w:rsidRPr="003F1F7B" w:rsidDel="001250C0">
        <w:rPr>
          <w:rFonts w:ascii="Arial" w:hAnsi="Arial" w:cs="Arial"/>
          <w:lang w:val="sl-SI"/>
        </w:rPr>
        <w:t xml:space="preserve"> </w:t>
      </w:r>
    </w:p>
    <w:p w14:paraId="3262E9F7" w14:textId="22ACD2A2" w:rsidR="00822D14" w:rsidRPr="003F1F7B" w:rsidRDefault="00822D14" w:rsidP="00822D14">
      <w:pPr>
        <w:pStyle w:val="Golobesedilo"/>
        <w:spacing w:line="260" w:lineRule="atLeast"/>
        <w:jc w:val="both"/>
        <w:rPr>
          <w:rFonts w:ascii="Arial" w:hAnsi="Arial" w:cs="Arial"/>
          <w:u w:val="single"/>
          <w:lang w:val="sl-SI"/>
        </w:rPr>
      </w:pPr>
      <w:r>
        <w:rPr>
          <w:rFonts w:ascii="Arial" w:hAnsi="Arial" w:cs="Arial"/>
          <w:lang w:val="sl-SI"/>
        </w:rPr>
        <w:t xml:space="preserve">(2) </w:t>
      </w:r>
      <w:r w:rsidRPr="00A17EA3">
        <w:rPr>
          <w:rFonts w:ascii="Arial" w:hAnsi="Arial" w:cs="Arial"/>
          <w:lang w:val="sl-SI"/>
        </w:rPr>
        <w:t xml:space="preserve">Če vlagatelj uveljavlja davek na dodano vrednosti kot upravičen strošek v skladu z osmim, devetim in desetim odstavkom 3. člena </w:t>
      </w:r>
      <w:r>
        <w:rPr>
          <w:rFonts w:ascii="Arial" w:hAnsi="Arial" w:cs="Arial"/>
          <w:lang w:val="sl-SI"/>
        </w:rPr>
        <w:t>u</w:t>
      </w:r>
      <w:r w:rsidRPr="00A17EA3">
        <w:rPr>
          <w:rFonts w:ascii="Arial" w:hAnsi="Arial" w:cs="Arial"/>
          <w:lang w:val="sl-SI"/>
        </w:rPr>
        <w:t>redbe o izvajanju intervencij s področja zemljiških operacij</w:t>
      </w:r>
      <w:r>
        <w:rPr>
          <w:rFonts w:ascii="Arial" w:hAnsi="Arial" w:cs="Arial"/>
          <w:lang w:val="sl-SI"/>
        </w:rPr>
        <w:t xml:space="preserve"> mora izpolniti »Izjavo o upravičenosti stroška davka na dodano </w:t>
      </w:r>
      <w:r w:rsidR="007B1A09">
        <w:rPr>
          <w:rFonts w:ascii="Arial" w:hAnsi="Arial" w:cs="Arial"/>
          <w:lang w:val="sl-SI"/>
        </w:rPr>
        <w:t>vrednost</w:t>
      </w:r>
      <w:r>
        <w:rPr>
          <w:rFonts w:ascii="Arial" w:hAnsi="Arial" w:cs="Arial"/>
          <w:lang w:val="sl-SI"/>
        </w:rPr>
        <w:t xml:space="preserve">«, ki je v prilogi razpisne dokumentacije. </w:t>
      </w:r>
    </w:p>
    <w:p w14:paraId="37437817" w14:textId="77777777" w:rsidR="00822D14" w:rsidRPr="003F1F7B" w:rsidRDefault="00822D14" w:rsidP="003F1F7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38862F8" w14:textId="694A2196" w:rsid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 xml:space="preserve">8. </w:t>
      </w:r>
      <w:r w:rsidR="003F4C33">
        <w:rPr>
          <w:rFonts w:ascii="Arial" w:hAnsi="Arial" w:cs="Arial"/>
          <w:b/>
          <w:lang w:val="sl-SI"/>
        </w:rPr>
        <w:t xml:space="preserve">VLAGANJE </w:t>
      </w:r>
      <w:r w:rsidRPr="003F1F7B">
        <w:rPr>
          <w:rFonts w:ascii="Arial" w:hAnsi="Arial" w:cs="Arial"/>
          <w:b/>
          <w:lang w:val="sl-SI"/>
        </w:rPr>
        <w:t>VLOG</w:t>
      </w:r>
      <w:r w:rsidR="003F4C33">
        <w:rPr>
          <w:rFonts w:ascii="Arial" w:hAnsi="Arial" w:cs="Arial"/>
          <w:b/>
          <w:lang w:val="sl-SI"/>
        </w:rPr>
        <w:t>E</w:t>
      </w:r>
      <w:r w:rsidR="007A75E0">
        <w:rPr>
          <w:rFonts w:ascii="Arial" w:hAnsi="Arial" w:cs="Arial"/>
          <w:b/>
          <w:lang w:val="sl-SI"/>
        </w:rPr>
        <w:t>, OBRAVNAVA VLOGE</w:t>
      </w:r>
      <w:r w:rsidRPr="003F1F7B">
        <w:rPr>
          <w:rFonts w:ascii="Arial" w:hAnsi="Arial" w:cs="Arial"/>
          <w:b/>
          <w:lang w:val="sl-SI"/>
        </w:rPr>
        <w:t xml:space="preserve"> IN POSTOPEK ZA DODELITEV SREDSTEV </w:t>
      </w:r>
    </w:p>
    <w:p w14:paraId="5BF77213" w14:textId="77777777" w:rsidR="007A75E0" w:rsidRPr="003F1F7B" w:rsidRDefault="007A75E0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</w:p>
    <w:p w14:paraId="6EAC9B04" w14:textId="76199CC2" w:rsidR="003F1F7B" w:rsidRDefault="00721805" w:rsidP="0072180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Pr="00721805">
        <w:rPr>
          <w:rFonts w:ascii="Arial" w:hAnsi="Arial" w:cs="Arial"/>
          <w:lang w:val="sl-SI"/>
        </w:rPr>
        <w:t>1</w:t>
      </w:r>
      <w:r>
        <w:rPr>
          <w:rFonts w:ascii="Arial" w:hAnsi="Arial" w:cs="Arial"/>
          <w:lang w:val="sl-SI"/>
        </w:rPr>
        <w:t>) Vl</w:t>
      </w:r>
      <w:r w:rsidR="003F4C33">
        <w:rPr>
          <w:rFonts w:ascii="Arial" w:hAnsi="Arial" w:cs="Arial"/>
          <w:lang w:val="sl-SI"/>
        </w:rPr>
        <w:t>aganje</w:t>
      </w:r>
      <w:r>
        <w:rPr>
          <w:rFonts w:ascii="Arial" w:hAnsi="Arial" w:cs="Arial"/>
          <w:lang w:val="sl-SI"/>
        </w:rPr>
        <w:t xml:space="preserve"> vloge na javni razpis</w:t>
      </w:r>
      <w:r w:rsidR="00813A07">
        <w:rPr>
          <w:rFonts w:ascii="Arial" w:hAnsi="Arial" w:cs="Arial"/>
          <w:lang w:val="sl-SI"/>
        </w:rPr>
        <w:t>, obravnava vloge</w:t>
      </w:r>
      <w:r w:rsidR="003F4C33">
        <w:rPr>
          <w:rFonts w:ascii="Arial" w:hAnsi="Arial" w:cs="Arial"/>
          <w:lang w:val="sl-SI"/>
        </w:rPr>
        <w:t xml:space="preserve"> in postopek za dodelitev sredstev s</w:t>
      </w:r>
      <w:r w:rsidR="00813A07">
        <w:rPr>
          <w:rFonts w:ascii="Arial" w:hAnsi="Arial" w:cs="Arial"/>
          <w:lang w:val="sl-SI"/>
        </w:rPr>
        <w:t>o</w:t>
      </w:r>
      <w:r>
        <w:rPr>
          <w:rFonts w:ascii="Arial" w:hAnsi="Arial" w:cs="Arial"/>
          <w:lang w:val="sl-SI"/>
        </w:rPr>
        <w:t xml:space="preserve"> določen</w:t>
      </w:r>
      <w:r w:rsidR="00813A07">
        <w:rPr>
          <w:rFonts w:ascii="Arial" w:hAnsi="Arial" w:cs="Arial"/>
          <w:lang w:val="sl-SI"/>
        </w:rPr>
        <w:t>i</w:t>
      </w:r>
      <w:r>
        <w:rPr>
          <w:rFonts w:ascii="Arial" w:hAnsi="Arial" w:cs="Arial"/>
          <w:lang w:val="sl-SI"/>
        </w:rPr>
        <w:t xml:space="preserve"> v </w:t>
      </w:r>
      <w:r w:rsidR="003F4C33">
        <w:rPr>
          <w:rFonts w:ascii="Arial" w:hAnsi="Arial" w:cs="Arial"/>
          <w:lang w:val="sl-SI"/>
        </w:rPr>
        <w:t xml:space="preserve">5., </w:t>
      </w:r>
      <w:r>
        <w:rPr>
          <w:rFonts w:ascii="Arial" w:hAnsi="Arial" w:cs="Arial"/>
          <w:lang w:val="sl-SI"/>
        </w:rPr>
        <w:t xml:space="preserve">6. </w:t>
      </w:r>
      <w:r w:rsidR="003F4C33">
        <w:rPr>
          <w:rFonts w:ascii="Arial" w:hAnsi="Arial" w:cs="Arial"/>
          <w:lang w:val="sl-SI"/>
        </w:rPr>
        <w:t xml:space="preserve">in 7. </w:t>
      </w:r>
      <w:r>
        <w:rPr>
          <w:rFonts w:ascii="Arial" w:hAnsi="Arial" w:cs="Arial"/>
          <w:lang w:val="sl-SI"/>
        </w:rPr>
        <w:t xml:space="preserve">členu </w:t>
      </w:r>
      <w:r w:rsidR="005B3E96">
        <w:rPr>
          <w:rFonts w:ascii="Arial" w:hAnsi="Arial" w:cs="Arial"/>
          <w:lang w:val="sl-SI"/>
        </w:rPr>
        <w:t>uredbe</w:t>
      </w:r>
      <w:r w:rsidR="005B3E96" w:rsidRPr="005B3E96">
        <w:rPr>
          <w:rFonts w:ascii="Arial" w:hAnsi="Arial" w:cs="Arial"/>
          <w:lang w:val="sl-SI"/>
        </w:rPr>
        <w:t xml:space="preserve"> o skupnih določbah za izvajanje intervencij</w:t>
      </w:r>
      <w:r w:rsidR="003F4C33">
        <w:rPr>
          <w:rFonts w:ascii="Arial" w:hAnsi="Arial" w:cs="Arial"/>
          <w:lang w:val="sl-SI"/>
        </w:rPr>
        <w:t xml:space="preserve"> ter</w:t>
      </w:r>
      <w:r w:rsidR="00813A07">
        <w:rPr>
          <w:rFonts w:ascii="Arial" w:hAnsi="Arial" w:cs="Arial"/>
          <w:lang w:val="sl-SI"/>
        </w:rPr>
        <w:t xml:space="preserve"> v</w:t>
      </w:r>
      <w:r w:rsidR="003F4C33">
        <w:rPr>
          <w:rFonts w:ascii="Arial" w:hAnsi="Arial" w:cs="Arial"/>
          <w:lang w:val="sl-SI"/>
        </w:rPr>
        <w:t xml:space="preserve"> 60. členu uredbe</w:t>
      </w:r>
      <w:r w:rsidR="003F4C33" w:rsidRPr="00261AF3">
        <w:t xml:space="preserve"> </w:t>
      </w:r>
      <w:r w:rsidR="003F4C33" w:rsidRPr="00261AF3">
        <w:rPr>
          <w:rFonts w:ascii="Arial" w:hAnsi="Arial" w:cs="Arial"/>
          <w:lang w:val="sl-SI"/>
        </w:rPr>
        <w:t>o izvajanju intervencij s področja zemljiških operacij</w:t>
      </w:r>
      <w:r w:rsidR="003F1F7B" w:rsidRPr="003F1F7B">
        <w:rPr>
          <w:rFonts w:ascii="Arial" w:hAnsi="Arial" w:cs="Arial"/>
          <w:lang w:val="sl-SI"/>
        </w:rPr>
        <w:t>.</w:t>
      </w:r>
    </w:p>
    <w:p w14:paraId="6EC3D266" w14:textId="77777777" w:rsidR="00721805" w:rsidRDefault="00721805" w:rsidP="0072180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696B8D43" w14:textId="6B2362C4" w:rsidR="003F4C33" w:rsidRDefault="00721805" w:rsidP="007A75E0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7270EE">
        <w:rPr>
          <w:rFonts w:ascii="Arial" w:hAnsi="Arial" w:cs="Arial"/>
          <w:lang w:val="sl-SI"/>
        </w:rPr>
        <w:t>2</w:t>
      </w:r>
      <w:r>
        <w:rPr>
          <w:rFonts w:ascii="Arial" w:hAnsi="Arial" w:cs="Arial"/>
          <w:lang w:val="sl-SI"/>
        </w:rPr>
        <w:t xml:space="preserve">) </w:t>
      </w:r>
      <w:r w:rsidR="003F4C33">
        <w:rPr>
          <w:rFonts w:ascii="Arial" w:hAnsi="Arial" w:cs="Arial"/>
          <w:lang w:val="sl-SI"/>
        </w:rPr>
        <w:t>Javna o</w:t>
      </w:r>
      <w:r w:rsidR="003F4C33" w:rsidRPr="003F1F7B">
        <w:rPr>
          <w:rFonts w:ascii="Arial" w:hAnsi="Arial" w:cs="Arial"/>
          <w:lang w:val="sl-SI"/>
        </w:rPr>
        <w:t xml:space="preserve">bjava </w:t>
      </w:r>
      <w:r w:rsidR="003F4C33">
        <w:rPr>
          <w:rFonts w:ascii="Arial" w:hAnsi="Arial" w:cs="Arial"/>
          <w:lang w:val="sl-SI"/>
        </w:rPr>
        <w:t>upravičencev</w:t>
      </w:r>
      <w:r w:rsidR="003F4C33" w:rsidRPr="003F1F7B">
        <w:rPr>
          <w:rFonts w:ascii="Arial" w:hAnsi="Arial" w:cs="Arial"/>
          <w:lang w:val="sl-SI"/>
        </w:rPr>
        <w:t xml:space="preserve"> je določena v </w:t>
      </w:r>
      <w:r w:rsidR="003F4C33">
        <w:rPr>
          <w:rFonts w:ascii="Arial" w:hAnsi="Arial" w:cs="Arial"/>
          <w:lang w:val="sl-SI"/>
        </w:rPr>
        <w:t>8</w:t>
      </w:r>
      <w:r w:rsidR="003F4C33" w:rsidRPr="003F1F7B">
        <w:rPr>
          <w:rFonts w:ascii="Arial" w:hAnsi="Arial" w:cs="Arial"/>
          <w:lang w:val="sl-SI"/>
        </w:rPr>
        <w:t xml:space="preserve">. členu </w:t>
      </w:r>
      <w:r w:rsidR="003F4C33">
        <w:rPr>
          <w:rFonts w:ascii="Arial" w:hAnsi="Arial" w:cs="Arial"/>
          <w:lang w:val="sl-SI"/>
        </w:rPr>
        <w:t>uredbe o skupnih določbah za izvajanje intervencij</w:t>
      </w:r>
      <w:r w:rsidR="003F4C33" w:rsidRPr="003F1F7B">
        <w:rPr>
          <w:rFonts w:ascii="Arial" w:hAnsi="Arial" w:cs="Arial"/>
          <w:lang w:val="sl-SI"/>
        </w:rPr>
        <w:t>.</w:t>
      </w:r>
    </w:p>
    <w:p w14:paraId="5A535D56" w14:textId="4B3098F6" w:rsidR="007A75E0" w:rsidRDefault="007A75E0" w:rsidP="003F4C33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54A68C58" w14:textId="6F384659" w:rsidR="007A75E0" w:rsidRDefault="007270EE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(3</w:t>
      </w:r>
      <w:r w:rsidR="007A75E0">
        <w:rPr>
          <w:rFonts w:ascii="Arial" w:hAnsi="Arial" w:cs="Arial"/>
          <w:lang w:val="sl-SI"/>
        </w:rPr>
        <w:t>) Odrek pravici do sredstev je določen v 62. členu uredbe</w:t>
      </w:r>
      <w:r w:rsidR="007A75E0">
        <w:t xml:space="preserve"> </w:t>
      </w:r>
      <w:r w:rsidR="007A75E0" w:rsidRPr="00261AF3">
        <w:rPr>
          <w:rFonts w:ascii="Arial" w:hAnsi="Arial" w:cs="Arial"/>
          <w:lang w:val="sl-SI"/>
        </w:rPr>
        <w:t>o izvajanju intervencij s področja zemljiških operacij</w:t>
      </w:r>
      <w:r w:rsidR="007A75E0">
        <w:rPr>
          <w:rFonts w:ascii="Arial" w:hAnsi="Arial" w:cs="Arial"/>
          <w:lang w:val="sl-SI"/>
        </w:rPr>
        <w:t xml:space="preserve"> </w:t>
      </w:r>
    </w:p>
    <w:p w14:paraId="6B635620" w14:textId="7AFCBA1F" w:rsidR="003F1F7B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6B29956" w14:textId="6B6D3207" w:rsidR="00C66D8F" w:rsidRPr="00CA25F5" w:rsidRDefault="00C66D8F" w:rsidP="00CA25F5">
      <w:pPr>
        <w:pStyle w:val="Golobesedilo"/>
        <w:spacing w:line="260" w:lineRule="atLeast"/>
        <w:jc w:val="both"/>
        <w:rPr>
          <w:rFonts w:ascii="Arial" w:hAnsi="Arial" w:cs="Arial"/>
          <w:b/>
          <w:lang w:val="sl-SI"/>
        </w:rPr>
      </w:pPr>
      <w:r w:rsidRPr="00CA25F5">
        <w:rPr>
          <w:rFonts w:ascii="Arial" w:hAnsi="Arial" w:cs="Arial"/>
          <w:b/>
          <w:lang w:val="sl-SI"/>
        </w:rPr>
        <w:t>9. PREDPLAČILO</w:t>
      </w:r>
    </w:p>
    <w:p w14:paraId="4C7D1E36" w14:textId="1C38592E" w:rsidR="00C66D8F" w:rsidRDefault="00C66D8F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06A60EB8" w14:textId="4020450A" w:rsidR="00C66D8F" w:rsidRDefault="00580B6D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Pravica do predplačila je določena v 24. členu </w:t>
      </w:r>
      <w:r w:rsidRPr="00580B6D">
        <w:rPr>
          <w:rFonts w:ascii="Arial" w:hAnsi="Arial" w:cs="Arial"/>
          <w:lang w:val="sl-SI"/>
        </w:rPr>
        <w:t>uredbe o skupnih določbah za izvajanje intervencij in</w:t>
      </w:r>
      <w:r>
        <w:rPr>
          <w:rFonts w:ascii="Arial" w:hAnsi="Arial" w:cs="Arial"/>
          <w:lang w:val="sl-SI"/>
        </w:rPr>
        <w:t xml:space="preserve"> </w:t>
      </w:r>
      <w:r w:rsidR="00C66D8F">
        <w:rPr>
          <w:rFonts w:ascii="Arial" w:hAnsi="Arial" w:cs="Arial"/>
          <w:lang w:val="sl-SI"/>
        </w:rPr>
        <w:t>šest</w:t>
      </w:r>
      <w:r>
        <w:rPr>
          <w:rFonts w:ascii="Arial" w:hAnsi="Arial" w:cs="Arial"/>
          <w:lang w:val="sl-SI"/>
        </w:rPr>
        <w:t>em</w:t>
      </w:r>
      <w:r w:rsidR="00C66D8F">
        <w:rPr>
          <w:rFonts w:ascii="Arial" w:hAnsi="Arial" w:cs="Arial"/>
          <w:lang w:val="sl-SI"/>
        </w:rPr>
        <w:t xml:space="preserve"> odstavk</w:t>
      </w:r>
      <w:r>
        <w:rPr>
          <w:rFonts w:ascii="Arial" w:hAnsi="Arial" w:cs="Arial"/>
          <w:lang w:val="sl-SI"/>
        </w:rPr>
        <w:t>u</w:t>
      </w:r>
      <w:r w:rsidR="00C66D8F">
        <w:rPr>
          <w:rFonts w:ascii="Arial" w:hAnsi="Arial" w:cs="Arial"/>
          <w:lang w:val="sl-SI"/>
        </w:rPr>
        <w:t xml:space="preserve"> 3. člena uredbe o izvajanju intervencij s področja zemljiških operacij</w:t>
      </w:r>
      <w:r>
        <w:rPr>
          <w:rFonts w:ascii="Arial" w:hAnsi="Arial" w:cs="Arial"/>
          <w:lang w:val="sl-SI"/>
        </w:rPr>
        <w:t>.</w:t>
      </w:r>
      <w:r w:rsidR="00C66D8F">
        <w:rPr>
          <w:rFonts w:ascii="Arial" w:hAnsi="Arial" w:cs="Arial"/>
          <w:lang w:val="sl-SI"/>
        </w:rPr>
        <w:t xml:space="preserve"> </w:t>
      </w:r>
      <w:r w:rsidR="00D528D0">
        <w:rPr>
          <w:rFonts w:ascii="Arial" w:hAnsi="Arial" w:cs="Arial"/>
          <w:lang w:val="sl-SI"/>
        </w:rPr>
        <w:t>Za uveljavljanje pravice do predplačila, mora upravičence izpolniti pogoje iz 24. člena uredbe o skupnih določbah za izvajanje intervencij</w:t>
      </w:r>
      <w:r w:rsidR="00C12F8F">
        <w:rPr>
          <w:rFonts w:ascii="Arial" w:hAnsi="Arial" w:cs="Arial"/>
          <w:lang w:val="sl-SI"/>
        </w:rPr>
        <w:t>.</w:t>
      </w:r>
      <w:r w:rsidR="00D25B25">
        <w:rPr>
          <w:rFonts w:ascii="Arial" w:hAnsi="Arial" w:cs="Arial"/>
          <w:lang w:val="sl-SI"/>
        </w:rPr>
        <w:t xml:space="preserve"> </w:t>
      </w:r>
      <w:r w:rsidR="00D25B25" w:rsidRPr="003F1F7B" w:rsidDel="001250C0">
        <w:rPr>
          <w:rFonts w:ascii="Arial" w:hAnsi="Arial" w:cs="Arial"/>
          <w:lang w:val="sl-SI"/>
        </w:rPr>
        <w:t xml:space="preserve"> </w:t>
      </w:r>
      <w:r w:rsidR="00D25B25" w:rsidRPr="003F1F7B">
        <w:rPr>
          <w:rFonts w:ascii="Arial" w:hAnsi="Arial" w:cs="Arial"/>
          <w:lang w:val="sl-SI"/>
        </w:rPr>
        <w:t xml:space="preserve"> </w:t>
      </w:r>
    </w:p>
    <w:p w14:paraId="07499862" w14:textId="77777777" w:rsidR="00CF2827" w:rsidRPr="003F1F7B" w:rsidRDefault="00CF2827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CEBEE07" w14:textId="373B38E2" w:rsidR="003F1F7B" w:rsidRPr="00CA25F5" w:rsidRDefault="00C66D8F" w:rsidP="00CA25F5">
      <w:pPr>
        <w:pStyle w:val="Golobesedilo"/>
        <w:spacing w:line="260" w:lineRule="atLeast"/>
        <w:jc w:val="both"/>
        <w:rPr>
          <w:rFonts w:ascii="Arial" w:hAnsi="Arial" w:cs="Arial"/>
          <w:b/>
          <w:lang w:val="sl-SI"/>
        </w:rPr>
      </w:pPr>
      <w:r w:rsidRPr="00CA25F5">
        <w:rPr>
          <w:rFonts w:ascii="Arial" w:hAnsi="Arial" w:cs="Arial"/>
          <w:b/>
          <w:lang w:val="sl-SI"/>
        </w:rPr>
        <w:t>10</w:t>
      </w:r>
      <w:r w:rsidR="003F1F7B" w:rsidRPr="00CA25F5">
        <w:rPr>
          <w:rFonts w:ascii="Arial" w:hAnsi="Arial" w:cs="Arial"/>
          <w:b/>
          <w:lang w:val="sl-SI"/>
        </w:rPr>
        <w:t>. ZAHTEV</w:t>
      </w:r>
      <w:r w:rsidR="00DA63D1" w:rsidRPr="00CA25F5">
        <w:rPr>
          <w:rFonts w:ascii="Arial" w:hAnsi="Arial" w:cs="Arial"/>
          <w:b/>
          <w:lang w:val="sl-SI"/>
        </w:rPr>
        <w:t>E</w:t>
      </w:r>
      <w:r w:rsidR="003F1F7B" w:rsidRPr="00CA25F5">
        <w:rPr>
          <w:rFonts w:ascii="Arial" w:hAnsi="Arial" w:cs="Arial"/>
          <w:b/>
          <w:lang w:val="sl-SI"/>
        </w:rPr>
        <w:t xml:space="preserve">K ZA IZPLAČILO SREDSTEV </w:t>
      </w:r>
    </w:p>
    <w:p w14:paraId="62176BAA" w14:textId="77777777" w:rsidR="003F1F7B" w:rsidRPr="003F1F7B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7A8CFAB9" w14:textId="78CB9D26" w:rsidR="009B7627" w:rsidRDefault="00C66D8F" w:rsidP="00C66D8F">
      <w:pPr>
        <w:pStyle w:val="Golobesedilo"/>
        <w:spacing w:after="120"/>
        <w:jc w:val="both"/>
        <w:rPr>
          <w:rFonts w:ascii="Arial" w:hAnsi="Arial" w:cs="Arial"/>
          <w:lang w:val="sl-SI"/>
        </w:rPr>
      </w:pPr>
      <w:r w:rsidRPr="00656534">
        <w:rPr>
          <w:rFonts w:ascii="Arial" w:hAnsi="Arial" w:cs="Arial"/>
          <w:lang w:val="sl-SI"/>
        </w:rPr>
        <w:t>(</w:t>
      </w:r>
      <w:r w:rsidR="00C12F8F">
        <w:rPr>
          <w:rFonts w:ascii="Arial" w:hAnsi="Arial" w:cs="Arial"/>
          <w:lang w:val="sl-SI"/>
        </w:rPr>
        <w:t>1</w:t>
      </w:r>
      <w:r w:rsidRPr="00656534">
        <w:rPr>
          <w:rFonts w:ascii="Arial" w:hAnsi="Arial" w:cs="Arial"/>
          <w:lang w:val="sl-SI"/>
        </w:rPr>
        <w:t>) Upravičenec mora izpolniti pogoje iz 1. do 6. točke prvega odstavka, pogoj</w:t>
      </w:r>
      <w:r w:rsidR="00580B6D">
        <w:rPr>
          <w:rFonts w:ascii="Arial" w:hAnsi="Arial" w:cs="Arial"/>
          <w:lang w:val="sl-SI"/>
        </w:rPr>
        <w:t>a</w:t>
      </w:r>
      <w:r w:rsidRPr="00656534">
        <w:rPr>
          <w:rFonts w:ascii="Arial" w:hAnsi="Arial" w:cs="Arial"/>
          <w:lang w:val="sl-SI"/>
        </w:rPr>
        <w:t xml:space="preserve"> iz 2. točke drugega odstavka,</w:t>
      </w:r>
      <w:r w:rsidRPr="0016644B">
        <w:rPr>
          <w:rFonts w:ascii="Arial" w:hAnsi="Arial" w:cs="Arial"/>
          <w:lang w:val="sl-SI"/>
        </w:rPr>
        <w:t xml:space="preserve"> pogoj iz četrtega odstavka 9. člena, pogoje iz prvega, drugega in </w:t>
      </w:r>
      <w:r w:rsidR="00580B6D">
        <w:rPr>
          <w:rFonts w:ascii="Arial" w:hAnsi="Arial" w:cs="Arial"/>
          <w:lang w:val="sl-SI"/>
        </w:rPr>
        <w:t xml:space="preserve">četrtega </w:t>
      </w:r>
      <w:r w:rsidRPr="0016644B">
        <w:rPr>
          <w:rFonts w:ascii="Arial" w:hAnsi="Arial" w:cs="Arial"/>
          <w:lang w:val="sl-SI"/>
        </w:rPr>
        <w:t>odstavka 22. člena</w:t>
      </w:r>
      <w:r w:rsidRPr="00A06D5C">
        <w:rPr>
          <w:rFonts w:ascii="Arial" w:hAnsi="Arial" w:cs="Arial"/>
          <w:lang w:val="sl-SI"/>
        </w:rPr>
        <w:t xml:space="preserve"> ter</w:t>
      </w:r>
      <w:r w:rsidRPr="003D6770">
        <w:rPr>
          <w:rFonts w:ascii="Arial" w:hAnsi="Arial" w:cs="Arial"/>
          <w:lang w:val="sl-SI"/>
        </w:rPr>
        <w:t xml:space="preserve"> pogoje iz 23. člena</w:t>
      </w:r>
      <w:r w:rsidRPr="005376F6">
        <w:rPr>
          <w:rFonts w:ascii="Arial" w:hAnsi="Arial" w:cs="Arial"/>
          <w:lang w:val="sl-SI"/>
        </w:rPr>
        <w:t xml:space="preserve"> uredbe o skupnih določbah za izvajanje intervencij.</w:t>
      </w:r>
      <w:r w:rsidR="000C3A71" w:rsidRPr="005376F6">
        <w:rPr>
          <w:rFonts w:ascii="Arial" w:hAnsi="Arial" w:cs="Arial"/>
          <w:lang w:val="sl-SI"/>
        </w:rPr>
        <w:t xml:space="preserve"> </w:t>
      </w:r>
    </w:p>
    <w:p w14:paraId="509AD184" w14:textId="36B99B63" w:rsidR="00815242" w:rsidRDefault="00815242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C12F8F">
        <w:rPr>
          <w:rFonts w:ascii="Arial" w:hAnsi="Arial" w:cs="Arial"/>
          <w:lang w:val="sl-SI"/>
        </w:rPr>
        <w:t>2</w:t>
      </w:r>
      <w:r w:rsidR="00F66C81">
        <w:rPr>
          <w:rFonts w:ascii="Arial" w:hAnsi="Arial" w:cs="Arial"/>
          <w:lang w:val="sl-SI"/>
        </w:rPr>
        <w:t>)</w:t>
      </w:r>
      <w:r w:rsidR="00E07531" w:rsidRPr="00E07531">
        <w:rPr>
          <w:rFonts w:ascii="Arial" w:hAnsi="Arial" w:cs="Arial"/>
          <w:lang w:val="sl-SI"/>
        </w:rPr>
        <w:t xml:space="preserve"> </w:t>
      </w:r>
      <w:r w:rsidR="00E07531">
        <w:rPr>
          <w:rFonts w:ascii="Arial" w:hAnsi="Arial" w:cs="Arial"/>
          <w:lang w:val="sl-SI"/>
        </w:rPr>
        <w:t>Poleg pogojev iz prejšnje</w:t>
      </w:r>
      <w:r w:rsidR="008E2C01">
        <w:rPr>
          <w:rFonts w:ascii="Arial" w:hAnsi="Arial" w:cs="Arial"/>
          <w:lang w:val="sl-SI"/>
        </w:rPr>
        <w:t>ga</w:t>
      </w:r>
      <w:r w:rsidR="00E07531">
        <w:rPr>
          <w:rFonts w:ascii="Arial" w:hAnsi="Arial" w:cs="Arial"/>
          <w:lang w:val="sl-SI"/>
        </w:rPr>
        <w:t xml:space="preserve"> </w:t>
      </w:r>
      <w:r w:rsidR="008E2C01">
        <w:rPr>
          <w:rFonts w:ascii="Arial" w:hAnsi="Arial" w:cs="Arial"/>
          <w:lang w:val="sl-SI"/>
        </w:rPr>
        <w:t>odstavka</w:t>
      </w:r>
      <w:r w:rsidR="00E07531">
        <w:rPr>
          <w:rFonts w:ascii="Arial" w:hAnsi="Arial" w:cs="Arial"/>
          <w:lang w:val="sl-SI"/>
        </w:rPr>
        <w:t xml:space="preserve"> mora upravičenec izpolniti tudi pogoje iz </w:t>
      </w:r>
      <w:r w:rsidR="00743843">
        <w:rPr>
          <w:rFonts w:ascii="Arial" w:hAnsi="Arial" w:cs="Arial"/>
          <w:lang w:val="sl-SI"/>
        </w:rPr>
        <w:t>32.</w:t>
      </w:r>
      <w:r>
        <w:rPr>
          <w:rFonts w:ascii="Arial" w:hAnsi="Arial" w:cs="Arial"/>
          <w:lang w:val="sl-SI"/>
        </w:rPr>
        <w:t xml:space="preserve"> člen</w:t>
      </w:r>
      <w:r w:rsidR="00A94B52">
        <w:rPr>
          <w:rFonts w:ascii="Arial" w:hAnsi="Arial" w:cs="Arial"/>
          <w:lang w:val="sl-SI"/>
        </w:rPr>
        <w:t>a</w:t>
      </w:r>
      <w:r>
        <w:rPr>
          <w:rFonts w:ascii="Arial" w:hAnsi="Arial" w:cs="Arial"/>
          <w:lang w:val="sl-SI"/>
        </w:rPr>
        <w:t xml:space="preserve"> uredbe o izvajanju intervencij s področja zemljiških operacij</w:t>
      </w:r>
      <w:r w:rsidR="00E07531">
        <w:rPr>
          <w:rFonts w:ascii="Arial" w:hAnsi="Arial" w:cs="Arial"/>
          <w:lang w:val="sl-SI"/>
        </w:rPr>
        <w:t xml:space="preserve">. </w:t>
      </w:r>
    </w:p>
    <w:p w14:paraId="50FDC7FB" w14:textId="77777777" w:rsidR="003F1F7B" w:rsidRPr="00CA25F5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2EDC4A5" w14:textId="7A61D00B" w:rsidR="003F1F7B" w:rsidRPr="00CA25F5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b/>
          <w:lang w:val="sl-SI"/>
        </w:rPr>
      </w:pPr>
      <w:r w:rsidRPr="00CA25F5">
        <w:rPr>
          <w:rFonts w:ascii="Arial" w:hAnsi="Arial" w:cs="Arial"/>
          <w:b/>
          <w:lang w:val="sl-SI"/>
        </w:rPr>
        <w:t>1</w:t>
      </w:r>
      <w:r w:rsidR="00C66D8F" w:rsidRPr="00CA25F5">
        <w:rPr>
          <w:rFonts w:ascii="Arial" w:hAnsi="Arial" w:cs="Arial"/>
          <w:b/>
          <w:lang w:val="sl-SI"/>
        </w:rPr>
        <w:t>1</w:t>
      </w:r>
      <w:r w:rsidRPr="00CA25F5">
        <w:rPr>
          <w:rFonts w:ascii="Arial" w:hAnsi="Arial" w:cs="Arial"/>
          <w:b/>
          <w:lang w:val="sl-SI"/>
        </w:rPr>
        <w:t xml:space="preserve">. OBVEZNOSTI UPRAVIČENCA </w:t>
      </w:r>
    </w:p>
    <w:p w14:paraId="669DCD53" w14:textId="77777777" w:rsidR="003F1F7B" w:rsidRPr="003F1F7B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EDACBC2" w14:textId="043EF3C1" w:rsidR="003F1F7B" w:rsidRPr="003F1F7B" w:rsidRDefault="0055453E" w:rsidP="003F1F7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</w:t>
      </w:r>
      <w:r w:rsidR="003F1F7B" w:rsidRPr="003F1F7B">
        <w:rPr>
          <w:rFonts w:ascii="Arial" w:hAnsi="Arial" w:cs="Arial"/>
          <w:lang w:val="sl-SI"/>
        </w:rPr>
        <w:t>pravičen</w:t>
      </w:r>
      <w:r>
        <w:rPr>
          <w:rFonts w:ascii="Arial" w:hAnsi="Arial" w:cs="Arial"/>
          <w:lang w:val="sl-SI"/>
        </w:rPr>
        <w:t>e</w:t>
      </w:r>
      <w:r w:rsidR="003F1F7B" w:rsidRPr="003F1F7B">
        <w:rPr>
          <w:rFonts w:ascii="Arial" w:hAnsi="Arial" w:cs="Arial"/>
          <w:lang w:val="sl-SI"/>
        </w:rPr>
        <w:t xml:space="preserve">c </w:t>
      </w:r>
      <w:r>
        <w:rPr>
          <w:rFonts w:ascii="Arial" w:hAnsi="Arial" w:cs="Arial"/>
          <w:lang w:val="sl-SI"/>
        </w:rPr>
        <w:t xml:space="preserve">mora </w:t>
      </w:r>
      <w:r w:rsidR="007431C5">
        <w:rPr>
          <w:rFonts w:ascii="Arial" w:hAnsi="Arial" w:cs="Arial"/>
          <w:lang w:val="sl-SI"/>
        </w:rPr>
        <w:t>izpolnjevati obveznosti</w:t>
      </w:r>
      <w:r w:rsidR="005E1271">
        <w:rPr>
          <w:rFonts w:ascii="Arial" w:hAnsi="Arial" w:cs="Arial"/>
          <w:lang w:val="sl-SI"/>
        </w:rPr>
        <w:t xml:space="preserve"> iz</w:t>
      </w:r>
      <w:r w:rsidR="007431C5">
        <w:rPr>
          <w:rFonts w:ascii="Arial" w:hAnsi="Arial" w:cs="Arial"/>
          <w:lang w:val="sl-SI"/>
        </w:rPr>
        <w:t xml:space="preserve"> </w:t>
      </w:r>
      <w:r w:rsidR="00243857">
        <w:rPr>
          <w:rFonts w:ascii="Arial" w:hAnsi="Arial" w:cs="Arial"/>
          <w:lang w:val="sl-SI"/>
        </w:rPr>
        <w:t>25</w:t>
      </w:r>
      <w:r>
        <w:rPr>
          <w:rFonts w:ascii="Arial" w:hAnsi="Arial" w:cs="Arial"/>
          <w:lang w:val="sl-SI"/>
        </w:rPr>
        <w:t>. člena ur</w:t>
      </w:r>
      <w:r w:rsidR="007431C5">
        <w:rPr>
          <w:rFonts w:ascii="Arial" w:hAnsi="Arial" w:cs="Arial"/>
          <w:lang w:val="sl-SI"/>
        </w:rPr>
        <w:t>edbe o skupnih določbah za izvaj</w:t>
      </w:r>
      <w:r>
        <w:rPr>
          <w:rFonts w:ascii="Arial" w:hAnsi="Arial" w:cs="Arial"/>
          <w:lang w:val="sl-SI"/>
        </w:rPr>
        <w:t xml:space="preserve">anje intervencij in obveznosti iz </w:t>
      </w:r>
      <w:r w:rsidR="00087A2A">
        <w:rPr>
          <w:rFonts w:ascii="Arial" w:hAnsi="Arial" w:cs="Arial"/>
          <w:lang w:val="sl-SI"/>
        </w:rPr>
        <w:t>33.</w:t>
      </w:r>
      <w:r w:rsidR="007431C5">
        <w:rPr>
          <w:rFonts w:ascii="Arial" w:hAnsi="Arial" w:cs="Arial"/>
          <w:lang w:val="sl-SI"/>
        </w:rPr>
        <w:t xml:space="preserve"> člena </w:t>
      </w:r>
      <w:r w:rsidR="00384B2B">
        <w:rPr>
          <w:rFonts w:ascii="Arial" w:hAnsi="Arial" w:cs="Arial"/>
          <w:lang w:val="sl-SI"/>
        </w:rPr>
        <w:t xml:space="preserve">ter </w:t>
      </w:r>
      <w:r w:rsidR="00D67D3C">
        <w:rPr>
          <w:rFonts w:ascii="Arial" w:hAnsi="Arial" w:cs="Arial"/>
          <w:lang w:val="sl-SI"/>
        </w:rPr>
        <w:t>4.</w:t>
      </w:r>
      <w:r w:rsidR="00384B2B">
        <w:rPr>
          <w:rFonts w:ascii="Arial" w:hAnsi="Arial" w:cs="Arial"/>
          <w:lang w:val="sl-SI"/>
        </w:rPr>
        <w:t xml:space="preserve"> točke</w:t>
      </w:r>
      <w:r w:rsidR="00E46DD2">
        <w:rPr>
          <w:rFonts w:ascii="Arial" w:hAnsi="Arial" w:cs="Arial"/>
          <w:lang w:val="sl-SI"/>
        </w:rPr>
        <w:t xml:space="preserve"> 64. </w:t>
      </w:r>
      <w:r w:rsidR="007431C5">
        <w:rPr>
          <w:rFonts w:ascii="Arial" w:hAnsi="Arial" w:cs="Arial"/>
          <w:lang w:val="sl-SI"/>
        </w:rPr>
        <w:t xml:space="preserve">člena </w:t>
      </w:r>
      <w:r w:rsidR="00E46DD2">
        <w:rPr>
          <w:rFonts w:ascii="Arial" w:hAnsi="Arial" w:cs="Arial"/>
          <w:lang w:val="sl-SI"/>
        </w:rPr>
        <w:t>uredbe o izvajanju intervencij s področja zemljiških operacij</w:t>
      </w:r>
      <w:r w:rsidR="007431C5">
        <w:rPr>
          <w:rFonts w:ascii="Arial" w:hAnsi="Arial" w:cs="Arial"/>
          <w:lang w:val="sl-SI"/>
        </w:rPr>
        <w:t>.</w:t>
      </w:r>
      <w:r w:rsidR="00E46DD2">
        <w:rPr>
          <w:rFonts w:ascii="Arial" w:hAnsi="Arial" w:cs="Arial"/>
          <w:lang w:val="sl-SI"/>
        </w:rPr>
        <w:t xml:space="preserve"> </w:t>
      </w:r>
    </w:p>
    <w:p w14:paraId="22759635" w14:textId="77777777" w:rsidR="003F1F7B" w:rsidRPr="003F1F7B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4104520" w14:textId="6D3FF7E6" w:rsidR="003F1F7B" w:rsidRPr="00CA25F5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b/>
          <w:lang w:val="sl-SI"/>
        </w:rPr>
      </w:pPr>
      <w:r w:rsidRPr="00CA25F5">
        <w:rPr>
          <w:rFonts w:ascii="Arial" w:hAnsi="Arial" w:cs="Arial"/>
          <w:b/>
          <w:lang w:val="sl-SI"/>
        </w:rPr>
        <w:t xml:space="preserve">12. </w:t>
      </w:r>
      <w:r w:rsidR="00AD3C8C" w:rsidRPr="00CA25F5">
        <w:rPr>
          <w:rFonts w:ascii="Arial" w:hAnsi="Arial" w:cs="Arial"/>
          <w:b/>
          <w:lang w:val="sl-SI"/>
        </w:rPr>
        <w:t xml:space="preserve">SISTEM </w:t>
      </w:r>
      <w:r w:rsidR="00E46DD2" w:rsidRPr="00CA25F5">
        <w:rPr>
          <w:rFonts w:ascii="Arial" w:hAnsi="Arial" w:cs="Arial"/>
          <w:b/>
          <w:lang w:val="sl-SI"/>
        </w:rPr>
        <w:t>KONTROL</w:t>
      </w:r>
    </w:p>
    <w:p w14:paraId="4F38963F" w14:textId="77777777" w:rsidR="003F1F7B" w:rsidRPr="003F1F7B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8E8BC83" w14:textId="61278110" w:rsidR="00E46DD2" w:rsidRDefault="008E01B5" w:rsidP="008E01B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8E01B5">
        <w:rPr>
          <w:rFonts w:ascii="Arial" w:hAnsi="Arial" w:cs="Arial"/>
          <w:lang w:val="sl-SI"/>
        </w:rPr>
        <w:t>(1</w:t>
      </w:r>
      <w:r>
        <w:rPr>
          <w:rFonts w:ascii="Arial" w:hAnsi="Arial" w:cs="Arial"/>
          <w:lang w:val="sl-SI"/>
        </w:rPr>
        <w:t xml:space="preserve">) </w:t>
      </w:r>
      <w:r w:rsidR="00E46DD2">
        <w:rPr>
          <w:rFonts w:ascii="Arial" w:hAnsi="Arial" w:cs="Arial"/>
          <w:lang w:val="sl-SI"/>
        </w:rPr>
        <w:t xml:space="preserve">Sistem kontrol je </w:t>
      </w:r>
      <w:r w:rsidR="00AD3C8C">
        <w:rPr>
          <w:rFonts w:ascii="Arial" w:hAnsi="Arial" w:cs="Arial"/>
          <w:lang w:val="sl-SI"/>
        </w:rPr>
        <w:t xml:space="preserve">določen </w:t>
      </w:r>
      <w:r w:rsidR="00E46DD2">
        <w:rPr>
          <w:rFonts w:ascii="Arial" w:hAnsi="Arial" w:cs="Arial"/>
          <w:lang w:val="sl-SI"/>
        </w:rPr>
        <w:t xml:space="preserve">v 26. do </w:t>
      </w:r>
      <w:r w:rsidR="000D79DA" w:rsidRPr="000D79DA">
        <w:rPr>
          <w:rFonts w:ascii="Arial" w:hAnsi="Arial" w:cs="Arial"/>
          <w:lang w:val="sl-SI"/>
        </w:rPr>
        <w:t xml:space="preserve">32. členu </w:t>
      </w:r>
      <w:r w:rsidR="00E46DD2">
        <w:rPr>
          <w:rFonts w:ascii="Arial" w:hAnsi="Arial" w:cs="Arial"/>
          <w:lang w:val="sl-SI"/>
        </w:rPr>
        <w:t>uredbe o skupnih določbah za izvajanje intervencij.</w:t>
      </w:r>
    </w:p>
    <w:p w14:paraId="6EF94505" w14:textId="77777777" w:rsidR="008E01B5" w:rsidRDefault="008E01B5" w:rsidP="008E01B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A6CF191" w14:textId="64E659D9" w:rsidR="008E01B5" w:rsidRPr="003F1F7B" w:rsidRDefault="008E01B5" w:rsidP="008E01B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(2) </w:t>
      </w:r>
      <w:r w:rsidR="000D79DA">
        <w:rPr>
          <w:rFonts w:ascii="Arial" w:hAnsi="Arial" w:cs="Arial"/>
          <w:lang w:val="sl-SI"/>
        </w:rPr>
        <w:t>M</w:t>
      </w:r>
      <w:r>
        <w:rPr>
          <w:rFonts w:ascii="Arial" w:hAnsi="Arial" w:cs="Arial"/>
          <w:lang w:val="sl-SI"/>
        </w:rPr>
        <w:t xml:space="preserve">ajhna naložba in majhno tveganje </w:t>
      </w:r>
      <w:r w:rsidR="000D79DA">
        <w:rPr>
          <w:rFonts w:ascii="Arial" w:hAnsi="Arial" w:cs="Arial"/>
          <w:lang w:val="sl-SI"/>
        </w:rPr>
        <w:t>sta določena</w:t>
      </w:r>
      <w:r>
        <w:rPr>
          <w:rFonts w:ascii="Arial" w:hAnsi="Arial" w:cs="Arial"/>
          <w:lang w:val="sl-SI"/>
        </w:rPr>
        <w:t xml:space="preserve"> </w:t>
      </w:r>
      <w:r w:rsidR="000D79DA">
        <w:rPr>
          <w:rFonts w:ascii="Arial" w:hAnsi="Arial" w:cs="Arial"/>
          <w:lang w:val="sl-SI"/>
        </w:rPr>
        <w:t xml:space="preserve">v prvem odstavku </w:t>
      </w:r>
      <w:r>
        <w:rPr>
          <w:rFonts w:ascii="Arial" w:hAnsi="Arial" w:cs="Arial"/>
          <w:lang w:val="sl-SI"/>
        </w:rPr>
        <w:t>61. členom uredbe</w:t>
      </w:r>
      <w:r w:rsidRPr="00261AF3">
        <w:t xml:space="preserve"> </w:t>
      </w:r>
      <w:r w:rsidRPr="00261AF3">
        <w:rPr>
          <w:rFonts w:ascii="Arial" w:hAnsi="Arial" w:cs="Arial"/>
          <w:lang w:val="sl-SI"/>
        </w:rPr>
        <w:t>o izvajanju intervencij s področja zemljiških operacij</w:t>
      </w:r>
      <w:r>
        <w:rPr>
          <w:rFonts w:ascii="Arial" w:hAnsi="Arial" w:cs="Arial"/>
          <w:lang w:val="sl-SI"/>
        </w:rPr>
        <w:t>.</w:t>
      </w:r>
    </w:p>
    <w:p w14:paraId="207C1D19" w14:textId="77777777" w:rsidR="008E01B5" w:rsidRPr="003F1F7B" w:rsidRDefault="008E01B5" w:rsidP="008E01B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7AF9E366" w14:textId="77777777" w:rsidR="00D05D06" w:rsidRPr="00CA25F5" w:rsidRDefault="00026385" w:rsidP="00CA25F5">
      <w:pPr>
        <w:pStyle w:val="Golobesedilo"/>
        <w:spacing w:line="260" w:lineRule="atLeast"/>
        <w:jc w:val="both"/>
        <w:rPr>
          <w:rFonts w:ascii="Arial" w:hAnsi="Arial" w:cs="Arial"/>
          <w:b/>
          <w:lang w:val="sl-SI"/>
        </w:rPr>
      </w:pPr>
      <w:r w:rsidRPr="00CA25F5">
        <w:rPr>
          <w:rFonts w:ascii="Arial" w:hAnsi="Arial" w:cs="Arial"/>
          <w:b/>
          <w:lang w:val="sl-SI"/>
        </w:rPr>
        <w:t>13. UPRAVNE SANKCIJE</w:t>
      </w:r>
      <w:r w:rsidR="00AD3C8C" w:rsidRPr="00CA25F5">
        <w:rPr>
          <w:rFonts w:ascii="Arial" w:hAnsi="Arial" w:cs="Arial"/>
          <w:b/>
          <w:lang w:val="sl-SI"/>
        </w:rPr>
        <w:t xml:space="preserve"> IN VIŠJA SILA</w:t>
      </w:r>
    </w:p>
    <w:p w14:paraId="5F95C773" w14:textId="77777777" w:rsidR="00D05D06" w:rsidRPr="00CA25F5" w:rsidRDefault="00D05D06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0116950" w14:textId="77777777" w:rsidR="00026385" w:rsidRDefault="00AD3C8C" w:rsidP="00026385">
      <w:pPr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(1) </w:t>
      </w:r>
      <w:r w:rsidR="00026385">
        <w:rPr>
          <w:rFonts w:cs="Arial"/>
          <w:lang w:val="sl-SI"/>
        </w:rPr>
        <w:t>Upravne sankcije so določene v 33. členu uredbe o skupnih določbah za izvajanje intervencij in 63. členu uredbe o izvajanju intervencij s področja zemljiških operacij.</w:t>
      </w:r>
    </w:p>
    <w:p w14:paraId="0701D013" w14:textId="77777777" w:rsidR="00AD3C8C" w:rsidRDefault="00AD3C8C" w:rsidP="00026385">
      <w:pPr>
        <w:jc w:val="both"/>
        <w:rPr>
          <w:rFonts w:cs="Arial"/>
          <w:lang w:val="sl-SI"/>
        </w:rPr>
      </w:pPr>
    </w:p>
    <w:p w14:paraId="6B980A3E" w14:textId="78A9F779" w:rsidR="00AD3C8C" w:rsidRDefault="00AD3C8C" w:rsidP="00026385">
      <w:pPr>
        <w:jc w:val="both"/>
        <w:rPr>
          <w:rFonts w:cs="Arial"/>
          <w:lang w:val="sl-SI"/>
        </w:rPr>
      </w:pPr>
      <w:r>
        <w:rPr>
          <w:rFonts w:cs="Arial"/>
          <w:lang w:val="sl-SI"/>
        </w:rPr>
        <w:t>(2) Višja sila ali izjemne okoliščine so določene v 34. členu uredbe o skupnih določbah za izvajanje intervencij.</w:t>
      </w:r>
    </w:p>
    <w:p w14:paraId="2B87CB7A" w14:textId="77777777" w:rsidR="00CF2827" w:rsidRDefault="00CF2827" w:rsidP="00026385">
      <w:pPr>
        <w:jc w:val="both"/>
        <w:rPr>
          <w:rFonts w:cs="Arial"/>
          <w:lang w:val="sl-SI"/>
        </w:rPr>
      </w:pPr>
    </w:p>
    <w:p w14:paraId="42CDE635" w14:textId="117FFC11" w:rsidR="003B4727" w:rsidRDefault="003B4727">
      <w:pPr>
        <w:spacing w:line="240" w:lineRule="auto"/>
        <w:rPr>
          <w:rFonts w:cs="Arial"/>
          <w:lang w:val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47"/>
        <w:gridCol w:w="4351"/>
      </w:tblGrid>
      <w:tr w:rsidR="003B4727" w:rsidRPr="00E2773F" w14:paraId="5210CC1F" w14:textId="77777777" w:rsidTr="001216B7">
        <w:tc>
          <w:tcPr>
            <w:tcW w:w="4634" w:type="dxa"/>
            <w:shd w:val="clear" w:color="auto" w:fill="auto"/>
          </w:tcPr>
          <w:p w14:paraId="7005587E" w14:textId="77777777" w:rsidR="003B4727" w:rsidRPr="00124FF3" w:rsidRDefault="003B4727" w:rsidP="001216B7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</w:tcPr>
          <w:p w14:paraId="3B82E9BE" w14:textId="380224B7" w:rsidR="003B4727" w:rsidRDefault="003F273D" w:rsidP="001216B7">
            <w:pPr>
              <w:pStyle w:val="Sprotnaopomba-besedil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Mateja Čalušić</w:t>
            </w:r>
          </w:p>
          <w:p w14:paraId="284DF731" w14:textId="3AF77BC0" w:rsidR="003B4727" w:rsidRPr="00CB0206" w:rsidRDefault="003F273D" w:rsidP="003F273D">
            <w:pPr>
              <w:pStyle w:val="Sprotnaopomba-besedil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</w:t>
            </w:r>
            <w:r w:rsidR="0055716E">
              <w:rPr>
                <w:rFonts w:ascii="Arial" w:hAnsi="Arial" w:cs="Arial"/>
                <w:szCs w:val="22"/>
              </w:rPr>
              <w:t>m</w:t>
            </w:r>
            <w:r w:rsidR="003B4727">
              <w:rPr>
                <w:rFonts w:ascii="Arial" w:hAnsi="Arial" w:cs="Arial"/>
                <w:szCs w:val="22"/>
              </w:rPr>
              <w:t>inist</w:t>
            </w:r>
            <w:r>
              <w:rPr>
                <w:rFonts w:ascii="Arial" w:hAnsi="Arial" w:cs="Arial"/>
                <w:szCs w:val="22"/>
              </w:rPr>
              <w:t>rica za kmetijstvo, gozdarstvo in prehrano</w:t>
            </w:r>
          </w:p>
        </w:tc>
      </w:tr>
    </w:tbl>
    <w:p w14:paraId="69739960" w14:textId="53A6ED8F" w:rsidR="00C956BE" w:rsidRDefault="00C956BE" w:rsidP="00026385">
      <w:pPr>
        <w:jc w:val="both"/>
        <w:rPr>
          <w:rFonts w:cs="Arial"/>
          <w:b/>
          <w:sz w:val="18"/>
          <w:szCs w:val="22"/>
          <w:lang w:val="sl-SI" w:eastAsia="sl-SI"/>
        </w:rPr>
      </w:pPr>
    </w:p>
    <w:p w14:paraId="6E4DEFC6" w14:textId="77777777" w:rsidR="00C956BE" w:rsidRPr="00C956BE" w:rsidRDefault="00C956BE" w:rsidP="00C956BE">
      <w:pPr>
        <w:rPr>
          <w:rFonts w:cs="Arial"/>
          <w:sz w:val="18"/>
          <w:szCs w:val="22"/>
          <w:lang w:val="sl-SI" w:eastAsia="sl-SI"/>
        </w:rPr>
      </w:pPr>
    </w:p>
    <w:p w14:paraId="43429E2B" w14:textId="77777777" w:rsidR="00C956BE" w:rsidRPr="00C956BE" w:rsidRDefault="00C956BE" w:rsidP="00C956BE">
      <w:pPr>
        <w:rPr>
          <w:rFonts w:cs="Arial"/>
          <w:sz w:val="18"/>
          <w:szCs w:val="22"/>
          <w:lang w:val="sl-SI" w:eastAsia="sl-SI"/>
        </w:rPr>
      </w:pPr>
    </w:p>
    <w:p w14:paraId="30395664" w14:textId="77777777" w:rsidR="00C956BE" w:rsidRPr="00C956BE" w:rsidRDefault="00C956BE" w:rsidP="00C956BE">
      <w:pPr>
        <w:rPr>
          <w:rFonts w:cs="Arial"/>
          <w:sz w:val="18"/>
          <w:szCs w:val="22"/>
          <w:lang w:val="sl-SI" w:eastAsia="sl-SI"/>
        </w:rPr>
      </w:pPr>
    </w:p>
    <w:p w14:paraId="7017D711" w14:textId="77777777" w:rsidR="00C956BE" w:rsidRPr="00C956BE" w:rsidRDefault="00C956BE" w:rsidP="00C956BE">
      <w:pPr>
        <w:rPr>
          <w:rFonts w:cs="Arial"/>
          <w:sz w:val="18"/>
          <w:szCs w:val="22"/>
          <w:lang w:val="sl-SI" w:eastAsia="sl-SI"/>
        </w:rPr>
      </w:pPr>
    </w:p>
    <w:p w14:paraId="4485FFC7" w14:textId="77777777" w:rsidR="00C956BE" w:rsidRPr="00C956BE" w:rsidRDefault="00C956BE" w:rsidP="00C956BE">
      <w:pPr>
        <w:rPr>
          <w:rFonts w:cs="Arial"/>
          <w:sz w:val="18"/>
          <w:szCs w:val="22"/>
          <w:lang w:val="sl-SI" w:eastAsia="sl-SI"/>
        </w:rPr>
      </w:pPr>
    </w:p>
    <w:p w14:paraId="4AA6BC1E" w14:textId="77777777" w:rsidR="00C956BE" w:rsidRPr="00C956BE" w:rsidRDefault="00C956BE" w:rsidP="00C956BE">
      <w:pPr>
        <w:rPr>
          <w:rFonts w:cs="Arial"/>
          <w:sz w:val="18"/>
          <w:szCs w:val="22"/>
          <w:lang w:val="sl-SI" w:eastAsia="sl-SI"/>
        </w:rPr>
      </w:pPr>
    </w:p>
    <w:p w14:paraId="7E9788AE" w14:textId="77777777" w:rsidR="00C956BE" w:rsidRPr="00C956BE" w:rsidRDefault="00C956BE" w:rsidP="00C956BE">
      <w:pPr>
        <w:rPr>
          <w:rFonts w:cs="Arial"/>
          <w:sz w:val="18"/>
          <w:szCs w:val="22"/>
          <w:lang w:val="sl-SI" w:eastAsia="sl-SI"/>
        </w:rPr>
      </w:pPr>
    </w:p>
    <w:p w14:paraId="0176E3C7" w14:textId="77777777" w:rsidR="00C956BE" w:rsidRPr="00C956BE" w:rsidRDefault="00C956BE" w:rsidP="00C956BE">
      <w:pPr>
        <w:rPr>
          <w:rFonts w:cs="Arial"/>
          <w:sz w:val="18"/>
          <w:szCs w:val="22"/>
          <w:lang w:val="sl-SI" w:eastAsia="sl-SI"/>
        </w:rPr>
      </w:pPr>
    </w:p>
    <w:p w14:paraId="0FFC9DC1" w14:textId="77777777" w:rsidR="00C956BE" w:rsidRPr="00C956BE" w:rsidRDefault="00C956BE" w:rsidP="00C956BE">
      <w:pPr>
        <w:rPr>
          <w:rFonts w:cs="Arial"/>
          <w:sz w:val="18"/>
          <w:szCs w:val="22"/>
          <w:lang w:val="sl-SI" w:eastAsia="sl-SI"/>
        </w:rPr>
      </w:pPr>
    </w:p>
    <w:p w14:paraId="58E2A618" w14:textId="77777777" w:rsidR="00C956BE" w:rsidRPr="00C956BE" w:rsidRDefault="00C956BE" w:rsidP="00C956BE">
      <w:pPr>
        <w:rPr>
          <w:rFonts w:cs="Arial"/>
          <w:sz w:val="18"/>
          <w:szCs w:val="22"/>
          <w:lang w:val="sl-SI" w:eastAsia="sl-SI"/>
        </w:rPr>
      </w:pPr>
    </w:p>
    <w:p w14:paraId="59A0FE96" w14:textId="77777777" w:rsidR="00C956BE" w:rsidRPr="00C956BE" w:rsidRDefault="00C956BE" w:rsidP="00C956BE">
      <w:pPr>
        <w:rPr>
          <w:rFonts w:cs="Arial"/>
          <w:sz w:val="18"/>
          <w:szCs w:val="22"/>
          <w:lang w:val="sl-SI" w:eastAsia="sl-SI"/>
        </w:rPr>
      </w:pPr>
    </w:p>
    <w:p w14:paraId="73123803" w14:textId="77777777" w:rsidR="00C956BE" w:rsidRPr="00C956BE" w:rsidRDefault="00C956BE" w:rsidP="00C956BE">
      <w:pPr>
        <w:rPr>
          <w:rFonts w:cs="Arial"/>
          <w:sz w:val="18"/>
          <w:szCs w:val="22"/>
          <w:lang w:val="sl-SI" w:eastAsia="sl-SI"/>
        </w:rPr>
      </w:pPr>
    </w:p>
    <w:p w14:paraId="021D54B9" w14:textId="77777777" w:rsidR="00C956BE" w:rsidRPr="00C956BE" w:rsidRDefault="00C956BE" w:rsidP="00C956BE">
      <w:pPr>
        <w:rPr>
          <w:rFonts w:cs="Arial"/>
          <w:sz w:val="18"/>
          <w:szCs w:val="22"/>
          <w:lang w:val="sl-SI" w:eastAsia="sl-SI"/>
        </w:rPr>
      </w:pPr>
    </w:p>
    <w:p w14:paraId="7381EB69" w14:textId="77777777" w:rsidR="00C956BE" w:rsidRPr="00C956BE" w:rsidRDefault="00C956BE" w:rsidP="00C956BE">
      <w:pPr>
        <w:rPr>
          <w:rFonts w:cs="Arial"/>
          <w:sz w:val="18"/>
          <w:szCs w:val="22"/>
          <w:lang w:val="sl-SI" w:eastAsia="sl-SI"/>
        </w:rPr>
      </w:pPr>
    </w:p>
    <w:p w14:paraId="2909F60C" w14:textId="77777777" w:rsidR="00C956BE" w:rsidRPr="00C956BE" w:rsidRDefault="00C956BE" w:rsidP="00C956BE">
      <w:pPr>
        <w:rPr>
          <w:rFonts w:cs="Arial"/>
          <w:sz w:val="18"/>
          <w:szCs w:val="22"/>
          <w:lang w:val="sl-SI" w:eastAsia="sl-SI"/>
        </w:rPr>
      </w:pPr>
    </w:p>
    <w:p w14:paraId="358437DA" w14:textId="77777777" w:rsidR="00C956BE" w:rsidRPr="00C956BE" w:rsidRDefault="00C956BE" w:rsidP="00C956BE">
      <w:pPr>
        <w:rPr>
          <w:rFonts w:cs="Arial"/>
          <w:sz w:val="18"/>
          <w:szCs w:val="22"/>
          <w:lang w:val="sl-SI" w:eastAsia="sl-SI"/>
        </w:rPr>
      </w:pPr>
    </w:p>
    <w:p w14:paraId="45F468CE" w14:textId="2C5F7C97" w:rsidR="00C956BE" w:rsidRDefault="00C956BE" w:rsidP="00C956BE">
      <w:pPr>
        <w:rPr>
          <w:rFonts w:cs="Arial"/>
          <w:sz w:val="18"/>
          <w:szCs w:val="22"/>
          <w:lang w:val="sl-SI" w:eastAsia="sl-SI"/>
        </w:rPr>
      </w:pPr>
    </w:p>
    <w:p w14:paraId="663B70E3" w14:textId="1166B1F9" w:rsidR="00C956BE" w:rsidRDefault="00C956BE" w:rsidP="00C956BE">
      <w:pPr>
        <w:rPr>
          <w:rFonts w:cs="Arial"/>
          <w:sz w:val="18"/>
          <w:szCs w:val="22"/>
          <w:lang w:val="sl-SI" w:eastAsia="sl-SI"/>
        </w:rPr>
      </w:pPr>
    </w:p>
    <w:p w14:paraId="2BC65A73" w14:textId="608A13A4" w:rsidR="003B4727" w:rsidRDefault="00C956BE" w:rsidP="00C956BE">
      <w:pPr>
        <w:tabs>
          <w:tab w:val="left" w:pos="2051"/>
        </w:tabs>
        <w:rPr>
          <w:rFonts w:cs="Arial"/>
          <w:sz w:val="18"/>
          <w:szCs w:val="22"/>
          <w:lang w:val="sl-SI" w:eastAsia="sl-SI"/>
        </w:rPr>
      </w:pPr>
      <w:r>
        <w:rPr>
          <w:rFonts w:cs="Arial"/>
          <w:sz w:val="18"/>
          <w:szCs w:val="22"/>
          <w:lang w:val="sl-SI" w:eastAsia="sl-SI"/>
        </w:rPr>
        <w:tab/>
      </w:r>
    </w:p>
    <w:p w14:paraId="2C205205" w14:textId="6EF762AE" w:rsidR="00C956BE" w:rsidRDefault="00C956BE" w:rsidP="00C956BE">
      <w:pPr>
        <w:tabs>
          <w:tab w:val="left" w:pos="2051"/>
        </w:tabs>
        <w:rPr>
          <w:rFonts w:cs="Arial"/>
          <w:sz w:val="18"/>
          <w:szCs w:val="22"/>
          <w:lang w:val="sl-SI" w:eastAsia="sl-SI"/>
        </w:rPr>
      </w:pPr>
    </w:p>
    <w:p w14:paraId="23919763" w14:textId="23697347" w:rsidR="00C956BE" w:rsidRDefault="00C956BE" w:rsidP="00C956BE">
      <w:pPr>
        <w:tabs>
          <w:tab w:val="left" w:pos="2051"/>
        </w:tabs>
        <w:rPr>
          <w:rFonts w:cs="Arial"/>
          <w:sz w:val="18"/>
          <w:szCs w:val="22"/>
          <w:lang w:val="sl-SI" w:eastAsia="sl-SI"/>
        </w:rPr>
      </w:pPr>
    </w:p>
    <w:p w14:paraId="1F783B1E" w14:textId="6280BCF2" w:rsidR="00C956BE" w:rsidRDefault="00C956BE" w:rsidP="00C956BE">
      <w:pPr>
        <w:tabs>
          <w:tab w:val="left" w:pos="2051"/>
        </w:tabs>
        <w:rPr>
          <w:rFonts w:cs="Arial"/>
          <w:sz w:val="18"/>
          <w:szCs w:val="22"/>
          <w:lang w:val="sl-SI" w:eastAsia="sl-SI"/>
        </w:rPr>
      </w:pPr>
    </w:p>
    <w:p w14:paraId="7FDD81F4" w14:textId="6FCF5903" w:rsidR="00C956BE" w:rsidRDefault="00C956BE" w:rsidP="00C956BE">
      <w:pPr>
        <w:tabs>
          <w:tab w:val="left" w:pos="2051"/>
        </w:tabs>
        <w:rPr>
          <w:rFonts w:cs="Arial"/>
          <w:sz w:val="18"/>
          <w:szCs w:val="22"/>
          <w:lang w:val="sl-SI" w:eastAsia="sl-SI"/>
        </w:rPr>
      </w:pPr>
    </w:p>
    <w:p w14:paraId="0096AD2C" w14:textId="2F7E25CF" w:rsidR="00C956BE" w:rsidRDefault="00C956BE" w:rsidP="00C956BE">
      <w:pPr>
        <w:tabs>
          <w:tab w:val="left" w:pos="2051"/>
        </w:tabs>
        <w:rPr>
          <w:rFonts w:cs="Arial"/>
          <w:sz w:val="18"/>
          <w:szCs w:val="22"/>
          <w:lang w:val="sl-SI" w:eastAsia="sl-SI"/>
        </w:rPr>
      </w:pPr>
    </w:p>
    <w:p w14:paraId="157D5237" w14:textId="03C7C90F" w:rsidR="00C956BE" w:rsidRDefault="00C956BE" w:rsidP="00C956BE">
      <w:pPr>
        <w:tabs>
          <w:tab w:val="left" w:pos="2051"/>
        </w:tabs>
        <w:rPr>
          <w:rFonts w:cs="Arial"/>
          <w:sz w:val="18"/>
          <w:szCs w:val="22"/>
          <w:lang w:val="sl-SI" w:eastAsia="sl-SI"/>
        </w:rPr>
      </w:pPr>
    </w:p>
    <w:p w14:paraId="227901B5" w14:textId="17432FE5" w:rsidR="00C956BE" w:rsidRDefault="00C956BE" w:rsidP="00C956BE">
      <w:pPr>
        <w:tabs>
          <w:tab w:val="left" w:pos="2051"/>
        </w:tabs>
        <w:rPr>
          <w:rFonts w:cs="Arial"/>
          <w:sz w:val="18"/>
          <w:szCs w:val="22"/>
          <w:lang w:val="sl-SI" w:eastAsia="sl-SI"/>
        </w:rPr>
      </w:pPr>
    </w:p>
    <w:p w14:paraId="079129B1" w14:textId="66F91DB0" w:rsidR="00C956BE" w:rsidRDefault="00C956BE" w:rsidP="00C956BE">
      <w:pPr>
        <w:tabs>
          <w:tab w:val="left" w:pos="2051"/>
        </w:tabs>
        <w:rPr>
          <w:rFonts w:cs="Arial"/>
          <w:sz w:val="18"/>
          <w:szCs w:val="22"/>
          <w:lang w:val="sl-SI" w:eastAsia="sl-SI"/>
        </w:rPr>
      </w:pPr>
    </w:p>
    <w:p w14:paraId="7DF4DBD6" w14:textId="35A2A2AB" w:rsidR="00C956BE" w:rsidRDefault="00C956BE" w:rsidP="00C956BE">
      <w:pPr>
        <w:tabs>
          <w:tab w:val="left" w:pos="2051"/>
        </w:tabs>
        <w:rPr>
          <w:rFonts w:cs="Arial"/>
          <w:sz w:val="18"/>
          <w:szCs w:val="22"/>
          <w:lang w:val="sl-SI" w:eastAsia="sl-SI"/>
        </w:rPr>
      </w:pPr>
    </w:p>
    <w:p w14:paraId="4C1AF08F" w14:textId="77777777" w:rsidR="00332F3B" w:rsidRDefault="00332F3B">
      <w:pPr>
        <w:spacing w:line="240" w:lineRule="auto"/>
        <w:rPr>
          <w:rFonts w:cs="Arial"/>
          <w:b/>
          <w:sz w:val="18"/>
          <w:szCs w:val="22"/>
          <w:lang w:val="sl-SI" w:eastAsia="sl-SI"/>
        </w:rPr>
      </w:pPr>
      <w:r>
        <w:rPr>
          <w:rFonts w:cs="Arial"/>
          <w:b/>
          <w:sz w:val="18"/>
          <w:szCs w:val="22"/>
          <w:lang w:val="sl-SI" w:eastAsia="sl-SI"/>
        </w:rPr>
        <w:br w:type="page"/>
      </w:r>
    </w:p>
    <w:p w14:paraId="3E312BFD" w14:textId="33BFDD9F" w:rsidR="00C956BE" w:rsidRDefault="008B5448" w:rsidP="00C956BE">
      <w:pPr>
        <w:jc w:val="both"/>
        <w:rPr>
          <w:rFonts w:cs="Arial"/>
          <w:b/>
          <w:sz w:val="18"/>
          <w:szCs w:val="22"/>
          <w:lang w:val="sl-SI" w:eastAsia="sl-SI"/>
        </w:rPr>
      </w:pPr>
      <w:r>
        <w:rPr>
          <w:rFonts w:cs="Arial"/>
          <w:b/>
          <w:sz w:val="18"/>
          <w:szCs w:val="22"/>
          <w:lang w:val="sl-SI" w:eastAsia="sl-SI"/>
        </w:rPr>
        <w:lastRenderedPageBreak/>
        <w:t>P</w:t>
      </w:r>
      <w:r w:rsidR="00C956BE">
        <w:rPr>
          <w:rFonts w:cs="Arial"/>
          <w:b/>
          <w:sz w:val="18"/>
          <w:szCs w:val="22"/>
          <w:lang w:val="sl-SI" w:eastAsia="sl-SI"/>
        </w:rPr>
        <w:t>RILOGA</w:t>
      </w:r>
    </w:p>
    <w:p w14:paraId="7F71630C" w14:textId="77777777" w:rsidR="00C956BE" w:rsidRDefault="00C956BE" w:rsidP="00C956BE">
      <w:pPr>
        <w:jc w:val="both"/>
        <w:rPr>
          <w:rFonts w:cs="Arial"/>
          <w:b/>
          <w:sz w:val="18"/>
          <w:szCs w:val="22"/>
          <w:lang w:val="sl-SI" w:eastAsia="sl-SI"/>
        </w:rPr>
      </w:pPr>
    </w:p>
    <w:p w14:paraId="3BF1B0E8" w14:textId="77777777" w:rsidR="00C956BE" w:rsidRDefault="00C956BE" w:rsidP="00C956BE">
      <w:pPr>
        <w:jc w:val="center"/>
        <w:rPr>
          <w:b/>
          <w:bCs/>
          <w:szCs w:val="20"/>
        </w:rPr>
      </w:pPr>
      <w:r w:rsidRPr="25A620BE">
        <w:rPr>
          <w:b/>
          <w:bCs/>
          <w:szCs w:val="20"/>
        </w:rPr>
        <w:t>Elaborat namakanja</w:t>
      </w:r>
    </w:p>
    <w:p w14:paraId="421C7D56" w14:textId="77777777" w:rsidR="00C956BE" w:rsidRDefault="00C956BE" w:rsidP="00C956BE">
      <w:pPr>
        <w:jc w:val="both"/>
        <w:rPr>
          <w:b/>
          <w:szCs w:val="20"/>
        </w:rPr>
      </w:pPr>
    </w:p>
    <w:p w14:paraId="79B15EB4" w14:textId="3E7C1BFD" w:rsidR="00C956BE" w:rsidRDefault="00C956BE" w:rsidP="00C956BE">
      <w:pPr>
        <w:jc w:val="both"/>
        <w:rPr>
          <w:szCs w:val="20"/>
        </w:rPr>
      </w:pPr>
      <w:r>
        <w:rPr>
          <w:szCs w:val="20"/>
        </w:rPr>
        <w:t>E</w:t>
      </w:r>
      <w:r w:rsidRPr="25A620BE">
        <w:rPr>
          <w:szCs w:val="20"/>
        </w:rPr>
        <w:t>laborat</w:t>
      </w:r>
      <w:r>
        <w:rPr>
          <w:szCs w:val="20"/>
        </w:rPr>
        <w:t xml:space="preserve"> namakanja</w:t>
      </w:r>
      <w:r w:rsidRPr="25A620BE">
        <w:rPr>
          <w:szCs w:val="20"/>
        </w:rPr>
        <w:t xml:space="preserve"> mora vsebovati:</w:t>
      </w:r>
    </w:p>
    <w:p w14:paraId="440C1FC3" w14:textId="4353472C" w:rsidR="00C956BE" w:rsidRPr="00E05B04" w:rsidRDefault="00212802" w:rsidP="00C956BE">
      <w:pPr>
        <w:spacing w:before="120" w:after="120"/>
        <w:jc w:val="both"/>
        <w:rPr>
          <w:szCs w:val="20"/>
          <w:lang w:val="pl-PL"/>
        </w:rPr>
      </w:pPr>
      <w:r>
        <w:rPr>
          <w:szCs w:val="20"/>
          <w:lang w:val="pl-PL"/>
        </w:rPr>
        <w:t>–</w:t>
      </w:r>
      <w:r w:rsidR="00C956BE">
        <w:rPr>
          <w:szCs w:val="20"/>
          <w:lang w:val="pl-PL"/>
        </w:rPr>
        <w:t xml:space="preserve"> podatke o</w:t>
      </w:r>
      <w:r w:rsidR="00C956BE" w:rsidRPr="00E05B04">
        <w:rPr>
          <w:szCs w:val="20"/>
          <w:lang w:val="pl-PL"/>
        </w:rPr>
        <w:t xml:space="preserve"> </w:t>
      </w:r>
      <w:r w:rsidR="00C956BE">
        <w:rPr>
          <w:szCs w:val="20"/>
          <w:lang w:val="pl-PL"/>
        </w:rPr>
        <w:t xml:space="preserve">predvideni </w:t>
      </w:r>
      <w:r w:rsidR="00C956BE" w:rsidRPr="00E05B04">
        <w:rPr>
          <w:szCs w:val="20"/>
          <w:lang w:val="pl-PL"/>
        </w:rPr>
        <w:t>kultur</w:t>
      </w:r>
      <w:r w:rsidR="00C956BE">
        <w:rPr>
          <w:szCs w:val="20"/>
          <w:lang w:val="pl-PL"/>
        </w:rPr>
        <w:t>i</w:t>
      </w:r>
      <w:r w:rsidR="00C956BE" w:rsidRPr="00E05B04">
        <w:rPr>
          <w:szCs w:val="20"/>
          <w:lang w:val="pl-PL"/>
        </w:rPr>
        <w:t xml:space="preserve"> in površin</w:t>
      </w:r>
      <w:r w:rsidR="00C956BE">
        <w:rPr>
          <w:szCs w:val="20"/>
          <w:lang w:val="pl-PL"/>
        </w:rPr>
        <w:t>i</w:t>
      </w:r>
      <w:r w:rsidR="00D775B6">
        <w:rPr>
          <w:szCs w:val="20"/>
          <w:lang w:val="pl-PL"/>
        </w:rPr>
        <w:t>;</w:t>
      </w:r>
    </w:p>
    <w:p w14:paraId="202B5F46" w14:textId="6CDE3554" w:rsidR="00C956BE" w:rsidRPr="00E05B04" w:rsidRDefault="00212802" w:rsidP="00C956BE">
      <w:pPr>
        <w:spacing w:before="120" w:after="120"/>
        <w:jc w:val="both"/>
        <w:rPr>
          <w:szCs w:val="20"/>
          <w:lang w:val="pl-PL"/>
        </w:rPr>
      </w:pPr>
      <w:r>
        <w:rPr>
          <w:szCs w:val="20"/>
          <w:lang w:val="pl-PL"/>
        </w:rPr>
        <w:t>–</w:t>
      </w:r>
      <w:r w:rsidR="00C956BE" w:rsidRPr="00E05B04">
        <w:rPr>
          <w:szCs w:val="20"/>
          <w:lang w:val="pl-PL"/>
        </w:rPr>
        <w:t xml:space="preserve"> </w:t>
      </w:r>
      <w:r w:rsidR="00C956BE">
        <w:rPr>
          <w:szCs w:val="20"/>
          <w:lang w:val="pl-PL"/>
        </w:rPr>
        <w:t>podatke o tipu črpalk in kapacitetah</w:t>
      </w:r>
      <w:r w:rsidR="00C956BE" w:rsidRPr="00E05B04">
        <w:rPr>
          <w:szCs w:val="20"/>
          <w:lang w:val="pl-PL"/>
        </w:rPr>
        <w:t xml:space="preserve"> črpalk v l/s</w:t>
      </w:r>
      <w:r w:rsidR="00D775B6">
        <w:rPr>
          <w:szCs w:val="20"/>
          <w:lang w:val="pl-PL"/>
        </w:rPr>
        <w:t>;</w:t>
      </w:r>
    </w:p>
    <w:p w14:paraId="3AF2B554" w14:textId="23B0C942" w:rsidR="00C956BE" w:rsidRPr="00E05B04" w:rsidRDefault="00212802" w:rsidP="00C956BE">
      <w:pPr>
        <w:spacing w:before="120" w:after="120"/>
        <w:jc w:val="both"/>
        <w:rPr>
          <w:szCs w:val="20"/>
          <w:lang w:val="pl-PL"/>
        </w:rPr>
      </w:pPr>
      <w:r>
        <w:rPr>
          <w:szCs w:val="20"/>
          <w:lang w:val="pl-PL"/>
        </w:rPr>
        <w:t>–</w:t>
      </w:r>
      <w:r w:rsidR="00C956BE" w:rsidRPr="00E05B04">
        <w:rPr>
          <w:szCs w:val="20"/>
          <w:lang w:val="pl-PL"/>
        </w:rPr>
        <w:t xml:space="preserve"> </w:t>
      </w:r>
      <w:r w:rsidR="00C956BE">
        <w:rPr>
          <w:szCs w:val="20"/>
          <w:lang w:val="pl-PL"/>
        </w:rPr>
        <w:t>podatke o razvodnem omrežju</w:t>
      </w:r>
      <w:r w:rsidR="00C956BE" w:rsidRPr="00E05B04">
        <w:rPr>
          <w:szCs w:val="20"/>
          <w:lang w:val="pl-PL"/>
        </w:rPr>
        <w:t xml:space="preserve"> – dolžina razvoda s premeri cevi za primarni in sekundarni razvod</w:t>
      </w:r>
      <w:r w:rsidR="00D775B6">
        <w:rPr>
          <w:szCs w:val="20"/>
          <w:lang w:val="pl-PL"/>
        </w:rPr>
        <w:t>;</w:t>
      </w:r>
    </w:p>
    <w:p w14:paraId="0C233A80" w14:textId="5025B8A0" w:rsidR="00C956BE" w:rsidRDefault="00212802" w:rsidP="00C956BE">
      <w:pPr>
        <w:spacing w:before="120" w:after="120"/>
        <w:jc w:val="both"/>
        <w:rPr>
          <w:szCs w:val="20"/>
          <w:lang w:val="pl-PL"/>
        </w:rPr>
      </w:pPr>
      <w:r>
        <w:rPr>
          <w:szCs w:val="20"/>
          <w:lang w:val="pl-PL"/>
        </w:rPr>
        <w:t>–</w:t>
      </w:r>
      <w:r w:rsidR="00C956BE" w:rsidRPr="00E05B04">
        <w:rPr>
          <w:szCs w:val="20"/>
          <w:lang w:val="pl-PL"/>
        </w:rPr>
        <w:t xml:space="preserve"> režim namakanja – površine in število naprav za nizkotlač</w:t>
      </w:r>
      <w:r w:rsidR="00C956BE">
        <w:rPr>
          <w:szCs w:val="20"/>
          <w:lang w:val="pl-PL"/>
        </w:rPr>
        <w:t>ni režim (kapljični sistem, mkrorazpršilci</w:t>
      </w:r>
      <w:r w:rsidR="00C956BE" w:rsidRPr="00E05B04">
        <w:rPr>
          <w:szCs w:val="20"/>
          <w:lang w:val="pl-PL"/>
        </w:rPr>
        <w:t>) ter visokotlačni režim (razpršilci, bobenski namakalniki)</w:t>
      </w:r>
      <w:r w:rsidR="00D775B6">
        <w:rPr>
          <w:szCs w:val="20"/>
          <w:lang w:val="pl-PL"/>
        </w:rPr>
        <w:t>;</w:t>
      </w:r>
    </w:p>
    <w:p w14:paraId="15CB831E" w14:textId="5228AF2F" w:rsidR="00C956BE" w:rsidRDefault="00212802" w:rsidP="00C956BE">
      <w:pPr>
        <w:spacing w:before="120" w:after="120"/>
        <w:jc w:val="both"/>
        <w:rPr>
          <w:szCs w:val="20"/>
          <w:lang w:val="pl-PL"/>
        </w:rPr>
      </w:pPr>
      <w:r>
        <w:rPr>
          <w:szCs w:val="20"/>
          <w:lang w:val="pl-PL"/>
        </w:rPr>
        <w:t>–</w:t>
      </w:r>
      <w:r w:rsidR="00C956BE" w:rsidRPr="00E05B04">
        <w:rPr>
          <w:szCs w:val="20"/>
          <w:lang w:val="pl-PL"/>
        </w:rPr>
        <w:t xml:space="preserve"> način me</w:t>
      </w:r>
      <w:r w:rsidR="00C956BE">
        <w:rPr>
          <w:szCs w:val="20"/>
          <w:lang w:val="pl-PL"/>
        </w:rPr>
        <w:t>rjenja količine porabljene vode;</w:t>
      </w:r>
    </w:p>
    <w:p w14:paraId="3B71DA03" w14:textId="7DD58ED6" w:rsidR="00C956BE" w:rsidRDefault="00212802" w:rsidP="00C956BE">
      <w:pPr>
        <w:spacing w:before="120" w:after="120"/>
        <w:jc w:val="both"/>
        <w:rPr>
          <w:szCs w:val="20"/>
          <w:lang w:val="pl-PL"/>
        </w:rPr>
      </w:pPr>
      <w:r>
        <w:rPr>
          <w:szCs w:val="20"/>
          <w:lang w:val="pl-PL"/>
        </w:rPr>
        <w:t>–</w:t>
      </w:r>
      <w:r w:rsidR="00C956BE">
        <w:rPr>
          <w:szCs w:val="20"/>
          <w:lang w:val="pl-PL"/>
        </w:rPr>
        <w:t xml:space="preserve"> lokacija glavnega števca v črpališču, ki meri dobavljeno vodo v namakalni sistem;</w:t>
      </w:r>
    </w:p>
    <w:p w14:paraId="19C56B35" w14:textId="04D5B61C" w:rsidR="00C956BE" w:rsidRDefault="00212802" w:rsidP="00C956BE">
      <w:pPr>
        <w:spacing w:before="120" w:after="120"/>
        <w:jc w:val="both"/>
        <w:rPr>
          <w:szCs w:val="20"/>
          <w:lang w:val="pl-PL"/>
        </w:rPr>
      </w:pPr>
      <w:r>
        <w:rPr>
          <w:szCs w:val="20"/>
          <w:lang w:val="pl-PL"/>
        </w:rPr>
        <w:t>–</w:t>
      </w:r>
      <w:r w:rsidR="00C956BE">
        <w:rPr>
          <w:szCs w:val="20"/>
          <w:lang w:val="pl-PL"/>
        </w:rPr>
        <w:t xml:space="preserve"> lokacije vseh števcev na ravni vsakega uporabnika namakalnega sistema;</w:t>
      </w:r>
    </w:p>
    <w:p w14:paraId="45AE8C32" w14:textId="13F5C539" w:rsidR="00C956BE" w:rsidRDefault="00212802" w:rsidP="00C956BE">
      <w:pPr>
        <w:spacing w:before="120" w:after="120"/>
        <w:jc w:val="both"/>
        <w:rPr>
          <w:szCs w:val="20"/>
          <w:lang w:val="pl-PL"/>
        </w:rPr>
      </w:pPr>
      <w:r>
        <w:rPr>
          <w:szCs w:val="20"/>
          <w:lang w:val="pl-PL"/>
        </w:rPr>
        <w:t>–</w:t>
      </w:r>
      <w:r w:rsidR="00C956BE">
        <w:rPr>
          <w:szCs w:val="20"/>
          <w:lang w:val="pl-PL"/>
        </w:rPr>
        <w:t xml:space="preserve"> izračun potencialnega prihranka vode v skladu z 59. členom </w:t>
      </w:r>
      <w:r w:rsidR="00332F3B">
        <w:rPr>
          <w:rFonts w:cs="Arial"/>
          <w:szCs w:val="20"/>
          <w:lang w:val="sl-SI"/>
        </w:rPr>
        <w:t>uredbe o skupnih določbah za izvajanje intervencij</w:t>
      </w:r>
      <w:r w:rsidR="00C956BE">
        <w:rPr>
          <w:szCs w:val="20"/>
          <w:lang w:val="sl-SI"/>
        </w:rPr>
        <w:t>.</w:t>
      </w:r>
    </w:p>
    <w:p w14:paraId="76434245" w14:textId="77777777" w:rsidR="0058370C" w:rsidRPr="00C956BE" w:rsidRDefault="0058370C" w:rsidP="00D74D72">
      <w:pPr>
        <w:spacing w:line="240" w:lineRule="auto"/>
        <w:rPr>
          <w:rFonts w:cs="Arial"/>
          <w:sz w:val="18"/>
          <w:szCs w:val="22"/>
          <w:lang w:val="sl-SI" w:eastAsia="sl-SI"/>
        </w:rPr>
      </w:pPr>
    </w:p>
    <w:sectPr w:rsidR="0058370C" w:rsidRPr="00C956BE" w:rsidSect="00A0789E">
      <w:head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3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B373" w14:textId="77777777" w:rsidR="00A25A3A" w:rsidRDefault="00A25A3A">
      <w:r>
        <w:separator/>
      </w:r>
    </w:p>
  </w:endnote>
  <w:endnote w:type="continuationSeparator" w:id="0">
    <w:p w14:paraId="7C6B7A37" w14:textId="77777777" w:rsidR="00A25A3A" w:rsidRDefault="00A25A3A">
      <w:r>
        <w:continuationSeparator/>
      </w:r>
    </w:p>
  </w:endnote>
  <w:endnote w:type="continuationNotice" w:id="1">
    <w:p w14:paraId="2A59F6E4" w14:textId="77777777" w:rsidR="00A25A3A" w:rsidRDefault="00A25A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Republik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8696" w14:textId="5D7EBDF3" w:rsidR="001216B7" w:rsidRDefault="0035477A" w:rsidP="002036DF">
    <w:pPr>
      <w:pStyle w:val="Noga"/>
      <w:jc w:val="right"/>
    </w:pPr>
    <w:r>
      <w:rPr>
        <w:noProof/>
      </w:rPr>
      <w:drawing>
        <wp:inline distT="0" distB="0" distL="0" distR="0" wp14:anchorId="7A5D8C21" wp14:editId="43E594F1">
          <wp:extent cx="3604846" cy="353146"/>
          <wp:effectExtent l="0" t="0" r="0" b="8890"/>
          <wp:docPr id="2" name="Slika 2" descr="komplet logotipov za Strateški načrt skupne kmetijske politike 2023-2027 za Slovenijo, ki je sestavljen iz emblema Evropske unije, zastave Republike Slovenije in logotipa Skupna kmetijska politi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komplet logotipov za Strateški načrt skupne kmetijske politike 2023-2027 za Slovenijo, ki je sestavljen iz emblema Evropske unije, zastave Republike Slovenije in logotipa Skupna kmetijska politik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522" cy="355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C6AF5" w14:textId="77777777" w:rsidR="00A25A3A" w:rsidRDefault="00A25A3A">
      <w:r>
        <w:separator/>
      </w:r>
    </w:p>
  </w:footnote>
  <w:footnote w:type="continuationSeparator" w:id="0">
    <w:p w14:paraId="14C642E2" w14:textId="77777777" w:rsidR="00A25A3A" w:rsidRDefault="00A25A3A">
      <w:r>
        <w:continuationSeparator/>
      </w:r>
    </w:p>
  </w:footnote>
  <w:footnote w:type="continuationNotice" w:id="1">
    <w:p w14:paraId="4FF7A9F2" w14:textId="77777777" w:rsidR="00A25A3A" w:rsidRDefault="00A25A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E5F2" w14:textId="77777777" w:rsidR="001216B7" w:rsidRPr="00110CBD" w:rsidRDefault="001216B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1216B7" w:rsidRPr="008F3500" w14:paraId="3F7609D8" w14:textId="77777777">
      <w:trPr>
        <w:cantSplit/>
        <w:trHeight w:hRule="exact" w:val="847"/>
      </w:trPr>
      <w:tc>
        <w:tcPr>
          <w:tcW w:w="567" w:type="dxa"/>
        </w:tcPr>
        <w:p w14:paraId="62B80953" w14:textId="77777777" w:rsidR="001216B7" w:rsidRDefault="001216B7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494AA0AD" w14:textId="77777777" w:rsidR="001216B7" w:rsidRPr="006D42D9" w:rsidRDefault="001216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F02D96C" w14:textId="77777777" w:rsidR="001216B7" w:rsidRPr="006D42D9" w:rsidRDefault="001216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5BF680" w14:textId="77777777" w:rsidR="001216B7" w:rsidRPr="006D42D9" w:rsidRDefault="001216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20C666A" w14:textId="77777777" w:rsidR="001216B7" w:rsidRPr="006D42D9" w:rsidRDefault="001216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0C1C926" w14:textId="77777777" w:rsidR="001216B7" w:rsidRPr="006D42D9" w:rsidRDefault="001216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54E8C12" w14:textId="77777777" w:rsidR="001216B7" w:rsidRPr="006D42D9" w:rsidRDefault="001216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1608381" w14:textId="77777777" w:rsidR="001216B7" w:rsidRPr="006D42D9" w:rsidRDefault="001216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A1B418" w14:textId="77777777" w:rsidR="001216B7" w:rsidRPr="006D42D9" w:rsidRDefault="001216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86DA74" w14:textId="77777777" w:rsidR="001216B7" w:rsidRPr="006D42D9" w:rsidRDefault="001216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7776E6" w14:textId="77777777" w:rsidR="001216B7" w:rsidRPr="006D42D9" w:rsidRDefault="001216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E191877" w14:textId="77777777" w:rsidR="001216B7" w:rsidRPr="006D42D9" w:rsidRDefault="001216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C6EF0" w14:textId="77777777" w:rsidR="001216B7" w:rsidRPr="006D42D9" w:rsidRDefault="001216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4C8C1A2" w14:textId="77777777" w:rsidR="001216B7" w:rsidRPr="006D42D9" w:rsidRDefault="001216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4B93286" w14:textId="77777777" w:rsidR="001216B7" w:rsidRPr="006D42D9" w:rsidRDefault="001216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D4343E" w14:textId="77777777" w:rsidR="001216B7" w:rsidRPr="006D42D9" w:rsidRDefault="001216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E50822" w14:textId="77777777" w:rsidR="001216B7" w:rsidRPr="006D42D9" w:rsidRDefault="001216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E64894C" w14:textId="6141083C" w:rsidR="001216B7" w:rsidRPr="008F3500" w:rsidRDefault="001216B7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61F3FCAD" w14:textId="77777777" w:rsidR="001216B7" w:rsidRPr="008F3500" w:rsidRDefault="001216B7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Ministrstvo za kmetijstvo, </w:t>
    </w:r>
    <w:r>
      <w:rPr>
        <w:rFonts w:ascii="Republika Bold" w:hAnsi="Republika Bold"/>
        <w:b/>
        <w:caps/>
        <w:lang w:val="sl-SI"/>
      </w:rPr>
      <w:br/>
      <w:t>gozdarstvo in prehrano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84E9FEA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0247C"/>
    <w:multiLevelType w:val="hybridMultilevel"/>
    <w:tmpl w:val="65F868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F0443"/>
    <w:multiLevelType w:val="hybridMultilevel"/>
    <w:tmpl w:val="D4C88E6A"/>
    <w:lvl w:ilvl="0" w:tplc="8CCA9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8767F"/>
    <w:multiLevelType w:val="hybridMultilevel"/>
    <w:tmpl w:val="0A8E5E88"/>
    <w:lvl w:ilvl="0" w:tplc="005E9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0F14ED"/>
    <w:multiLevelType w:val="hybridMultilevel"/>
    <w:tmpl w:val="219CD63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47AA4"/>
    <w:multiLevelType w:val="hybridMultilevel"/>
    <w:tmpl w:val="83D4FF82"/>
    <w:lvl w:ilvl="0" w:tplc="26ACEF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1D9F0FA0"/>
    <w:multiLevelType w:val="hybridMultilevel"/>
    <w:tmpl w:val="BAA259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74BA1"/>
    <w:multiLevelType w:val="hybridMultilevel"/>
    <w:tmpl w:val="26FAB760"/>
    <w:lvl w:ilvl="0" w:tplc="C81ED9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A114C"/>
    <w:multiLevelType w:val="hybridMultilevel"/>
    <w:tmpl w:val="7570AC92"/>
    <w:lvl w:ilvl="0" w:tplc="28FE21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EB0FEC"/>
    <w:multiLevelType w:val="hybridMultilevel"/>
    <w:tmpl w:val="E78A198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94183"/>
    <w:multiLevelType w:val="hybridMultilevel"/>
    <w:tmpl w:val="E78A198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300EB"/>
    <w:multiLevelType w:val="hybridMultilevel"/>
    <w:tmpl w:val="114002CC"/>
    <w:lvl w:ilvl="0" w:tplc="BEF2F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F358D"/>
    <w:multiLevelType w:val="hybridMultilevel"/>
    <w:tmpl w:val="45B23E9E"/>
    <w:lvl w:ilvl="0" w:tplc="3A6A84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076C74"/>
    <w:multiLevelType w:val="multilevel"/>
    <w:tmpl w:val="90A23962"/>
    <w:name w:val="0,6135157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9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6D5B6B"/>
    <w:multiLevelType w:val="hybridMultilevel"/>
    <w:tmpl w:val="22849D46"/>
    <w:lvl w:ilvl="0" w:tplc="B13CEF2C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FA40FE"/>
    <w:multiLevelType w:val="hybridMultilevel"/>
    <w:tmpl w:val="9B5A63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8763E"/>
    <w:multiLevelType w:val="hybridMultilevel"/>
    <w:tmpl w:val="B6E86C7E"/>
    <w:lvl w:ilvl="0" w:tplc="7EC82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0083C"/>
    <w:multiLevelType w:val="hybridMultilevel"/>
    <w:tmpl w:val="D92283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3516C"/>
    <w:multiLevelType w:val="multilevel"/>
    <w:tmpl w:val="CBC2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D61D5"/>
    <w:multiLevelType w:val="hybridMultilevel"/>
    <w:tmpl w:val="CEEA6F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377"/>
    <w:multiLevelType w:val="hybridMultilevel"/>
    <w:tmpl w:val="FC8C528E"/>
    <w:lvl w:ilvl="0" w:tplc="EC1C9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DD70896"/>
    <w:multiLevelType w:val="hybridMultilevel"/>
    <w:tmpl w:val="254085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E16CE"/>
    <w:multiLevelType w:val="hybridMultilevel"/>
    <w:tmpl w:val="17B02C0A"/>
    <w:lvl w:ilvl="0" w:tplc="E58CF04E">
      <w:start w:val="1"/>
      <w:numFmt w:val="upperLetter"/>
      <w:lvlText w:val="%1)"/>
      <w:lvlJc w:val="left"/>
      <w:pPr>
        <w:ind w:left="1080" w:hanging="360"/>
      </w:pPr>
    </w:lvl>
    <w:lvl w:ilvl="1" w:tplc="A51A8AA6">
      <w:start w:val="1"/>
      <w:numFmt w:val="upperLetter"/>
      <w:lvlText w:val="%2)"/>
      <w:lvlJc w:val="left"/>
      <w:pPr>
        <w:ind w:left="1080" w:hanging="360"/>
      </w:pPr>
    </w:lvl>
    <w:lvl w:ilvl="2" w:tplc="A1F4B2D4">
      <w:start w:val="1"/>
      <w:numFmt w:val="upperLetter"/>
      <w:lvlText w:val="%3)"/>
      <w:lvlJc w:val="left"/>
      <w:pPr>
        <w:ind w:left="1080" w:hanging="360"/>
      </w:pPr>
    </w:lvl>
    <w:lvl w:ilvl="3" w:tplc="F510F422">
      <w:start w:val="1"/>
      <w:numFmt w:val="upperLetter"/>
      <w:lvlText w:val="%4)"/>
      <w:lvlJc w:val="left"/>
      <w:pPr>
        <w:ind w:left="1080" w:hanging="360"/>
      </w:pPr>
    </w:lvl>
    <w:lvl w:ilvl="4" w:tplc="5F0E2B0C">
      <w:start w:val="1"/>
      <w:numFmt w:val="upperLetter"/>
      <w:lvlText w:val="%5)"/>
      <w:lvlJc w:val="left"/>
      <w:pPr>
        <w:ind w:left="1080" w:hanging="360"/>
      </w:pPr>
    </w:lvl>
    <w:lvl w:ilvl="5" w:tplc="F24269B0">
      <w:start w:val="1"/>
      <w:numFmt w:val="upperLetter"/>
      <w:lvlText w:val="%6)"/>
      <w:lvlJc w:val="left"/>
      <w:pPr>
        <w:ind w:left="1080" w:hanging="360"/>
      </w:pPr>
    </w:lvl>
    <w:lvl w:ilvl="6" w:tplc="F1620048">
      <w:start w:val="1"/>
      <w:numFmt w:val="upperLetter"/>
      <w:lvlText w:val="%7)"/>
      <w:lvlJc w:val="left"/>
      <w:pPr>
        <w:ind w:left="1080" w:hanging="360"/>
      </w:pPr>
    </w:lvl>
    <w:lvl w:ilvl="7" w:tplc="32789E86">
      <w:start w:val="1"/>
      <w:numFmt w:val="upperLetter"/>
      <w:lvlText w:val="%8)"/>
      <w:lvlJc w:val="left"/>
      <w:pPr>
        <w:ind w:left="1080" w:hanging="360"/>
      </w:pPr>
    </w:lvl>
    <w:lvl w:ilvl="8" w:tplc="080E43FA">
      <w:start w:val="1"/>
      <w:numFmt w:val="upperLetter"/>
      <w:lvlText w:val="%9)"/>
      <w:lvlJc w:val="left"/>
      <w:pPr>
        <w:ind w:left="1080" w:hanging="360"/>
      </w:pPr>
    </w:lvl>
  </w:abstractNum>
  <w:abstractNum w:abstractNumId="30" w15:restartNumberingAfterBreak="0">
    <w:nsid w:val="509D4DD2"/>
    <w:multiLevelType w:val="hybridMultilevel"/>
    <w:tmpl w:val="D2D4A50A"/>
    <w:lvl w:ilvl="0" w:tplc="D7D83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2" w15:restartNumberingAfterBreak="0">
    <w:nsid w:val="5CC42540"/>
    <w:multiLevelType w:val="multilevel"/>
    <w:tmpl w:val="14602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EDC6CBD"/>
    <w:multiLevelType w:val="hybridMultilevel"/>
    <w:tmpl w:val="3924AB66"/>
    <w:lvl w:ilvl="0" w:tplc="99FCC904">
      <w:start w:val="1"/>
      <w:numFmt w:val="decimal"/>
      <w:lvlText w:val="%1."/>
      <w:lvlJc w:val="left"/>
      <w:pPr>
        <w:ind w:left="4440" w:hanging="4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60143"/>
    <w:multiLevelType w:val="hybridMultilevel"/>
    <w:tmpl w:val="93524870"/>
    <w:lvl w:ilvl="0" w:tplc="73945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2F5EB6"/>
    <w:multiLevelType w:val="hybridMultilevel"/>
    <w:tmpl w:val="FC8C528E"/>
    <w:lvl w:ilvl="0" w:tplc="EC1C9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15586"/>
    <w:multiLevelType w:val="hybridMultilevel"/>
    <w:tmpl w:val="406E256C"/>
    <w:lvl w:ilvl="0" w:tplc="7BD2B4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06A60"/>
    <w:multiLevelType w:val="hybridMultilevel"/>
    <w:tmpl w:val="24CC07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71D01"/>
    <w:multiLevelType w:val="hybridMultilevel"/>
    <w:tmpl w:val="FC724B96"/>
    <w:lvl w:ilvl="0" w:tplc="0424000F">
      <w:start w:val="1"/>
      <w:numFmt w:val="decimal"/>
      <w:lvlText w:val="%1."/>
      <w:lvlJc w:val="left"/>
      <w:pPr>
        <w:ind w:left="33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A6C9A"/>
    <w:multiLevelType w:val="hybridMultilevel"/>
    <w:tmpl w:val="BA26FE02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22981"/>
    <w:multiLevelType w:val="hybridMultilevel"/>
    <w:tmpl w:val="49443DBA"/>
    <w:lvl w:ilvl="0" w:tplc="327C39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82D32"/>
    <w:multiLevelType w:val="hybridMultilevel"/>
    <w:tmpl w:val="39225CC6"/>
    <w:lvl w:ilvl="0" w:tplc="C81ED9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3127D"/>
    <w:multiLevelType w:val="hybridMultilevel"/>
    <w:tmpl w:val="219CD63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52517"/>
    <w:multiLevelType w:val="hybridMultilevel"/>
    <w:tmpl w:val="7DC220BA"/>
    <w:lvl w:ilvl="0" w:tplc="1D84C1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33FAB"/>
    <w:multiLevelType w:val="hybridMultilevel"/>
    <w:tmpl w:val="B6A0C694"/>
    <w:lvl w:ilvl="0" w:tplc="F0E655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25"/>
  </w:num>
  <w:num w:numId="4">
    <w:abstractNumId w:val="5"/>
  </w:num>
  <w:num w:numId="5">
    <w:abstractNumId w:val="8"/>
  </w:num>
  <w:num w:numId="6">
    <w:abstractNumId w:val="39"/>
  </w:num>
  <w:num w:numId="7">
    <w:abstractNumId w:val="14"/>
  </w:num>
  <w:num w:numId="8">
    <w:abstractNumId w:val="13"/>
  </w:num>
  <w:num w:numId="9">
    <w:abstractNumId w:val="11"/>
  </w:num>
  <w:num w:numId="10">
    <w:abstractNumId w:val="4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35"/>
  </w:num>
  <w:num w:numId="15">
    <w:abstractNumId w:val="20"/>
  </w:num>
  <w:num w:numId="16">
    <w:abstractNumId w:val="22"/>
  </w:num>
  <w:num w:numId="17">
    <w:abstractNumId w:val="16"/>
  </w:num>
  <w:num w:numId="18">
    <w:abstractNumId w:val="30"/>
  </w:num>
  <w:num w:numId="19">
    <w:abstractNumId w:val="7"/>
  </w:num>
  <w:num w:numId="20">
    <w:abstractNumId w:val="27"/>
  </w:num>
  <w:num w:numId="21">
    <w:abstractNumId w:val="12"/>
  </w:num>
  <w:num w:numId="22">
    <w:abstractNumId w:val="43"/>
  </w:num>
  <w:num w:numId="23">
    <w:abstractNumId w:val="34"/>
  </w:num>
  <w:num w:numId="24">
    <w:abstractNumId w:val="44"/>
  </w:num>
  <w:num w:numId="25">
    <w:abstractNumId w:val="45"/>
  </w:num>
  <w:num w:numId="26">
    <w:abstractNumId w:val="6"/>
  </w:num>
  <w:num w:numId="27">
    <w:abstractNumId w:val="23"/>
  </w:num>
  <w:num w:numId="28">
    <w:abstractNumId w:val="31"/>
  </w:num>
  <w:num w:numId="29">
    <w:abstractNumId w:val="19"/>
  </w:num>
  <w:num w:numId="30">
    <w:abstractNumId w:val="18"/>
  </w:num>
  <w:num w:numId="31">
    <w:abstractNumId w:val="28"/>
  </w:num>
  <w:num w:numId="32">
    <w:abstractNumId w:val="1"/>
  </w:num>
  <w:num w:numId="33">
    <w:abstractNumId w:val="26"/>
  </w:num>
  <w:num w:numId="34">
    <w:abstractNumId w:val="38"/>
  </w:num>
  <w:num w:numId="35">
    <w:abstractNumId w:val="33"/>
  </w:num>
  <w:num w:numId="36">
    <w:abstractNumId w:val="2"/>
  </w:num>
  <w:num w:numId="37">
    <w:abstractNumId w:val="21"/>
  </w:num>
  <w:num w:numId="38">
    <w:abstractNumId w:val="10"/>
  </w:num>
  <w:num w:numId="39">
    <w:abstractNumId w:val="41"/>
  </w:num>
  <w:num w:numId="40">
    <w:abstractNumId w:val="15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37"/>
  </w:num>
  <w:num w:numId="44">
    <w:abstractNumId w:val="29"/>
  </w:num>
  <w:num w:numId="45">
    <w:abstractNumId w:val="4"/>
  </w:num>
  <w:num w:numId="46">
    <w:abstractNumId w:val="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6150"/>
    <w:rsid w:val="00007A39"/>
    <w:rsid w:val="000114DD"/>
    <w:rsid w:val="00011CB7"/>
    <w:rsid w:val="00011D93"/>
    <w:rsid w:val="00015417"/>
    <w:rsid w:val="00020879"/>
    <w:rsid w:val="00023A88"/>
    <w:rsid w:val="00026385"/>
    <w:rsid w:val="000321A1"/>
    <w:rsid w:val="000332DD"/>
    <w:rsid w:val="00034C24"/>
    <w:rsid w:val="00034DC3"/>
    <w:rsid w:val="00041471"/>
    <w:rsid w:val="00043662"/>
    <w:rsid w:val="00045D0A"/>
    <w:rsid w:val="00050120"/>
    <w:rsid w:val="0005392B"/>
    <w:rsid w:val="00055B73"/>
    <w:rsid w:val="000805C7"/>
    <w:rsid w:val="00087A2A"/>
    <w:rsid w:val="000951FE"/>
    <w:rsid w:val="0009537C"/>
    <w:rsid w:val="000A11C3"/>
    <w:rsid w:val="000A5663"/>
    <w:rsid w:val="000A7238"/>
    <w:rsid w:val="000B555F"/>
    <w:rsid w:val="000B76A2"/>
    <w:rsid w:val="000C0596"/>
    <w:rsid w:val="000C3A71"/>
    <w:rsid w:val="000C6D74"/>
    <w:rsid w:val="000D2D80"/>
    <w:rsid w:val="000D43D3"/>
    <w:rsid w:val="000D79DA"/>
    <w:rsid w:val="000E66C8"/>
    <w:rsid w:val="000E70A6"/>
    <w:rsid w:val="000F7FFB"/>
    <w:rsid w:val="001000E9"/>
    <w:rsid w:val="001026B7"/>
    <w:rsid w:val="00106923"/>
    <w:rsid w:val="00117317"/>
    <w:rsid w:val="001216B7"/>
    <w:rsid w:val="0012281C"/>
    <w:rsid w:val="001357B2"/>
    <w:rsid w:val="00140203"/>
    <w:rsid w:val="00143B73"/>
    <w:rsid w:val="001531D9"/>
    <w:rsid w:val="00160D4E"/>
    <w:rsid w:val="00163C77"/>
    <w:rsid w:val="001648EF"/>
    <w:rsid w:val="00164BE3"/>
    <w:rsid w:val="001651D5"/>
    <w:rsid w:val="0016644B"/>
    <w:rsid w:val="001706BA"/>
    <w:rsid w:val="00177CDF"/>
    <w:rsid w:val="00186828"/>
    <w:rsid w:val="00194120"/>
    <w:rsid w:val="00195A39"/>
    <w:rsid w:val="001B07DD"/>
    <w:rsid w:val="001B6C01"/>
    <w:rsid w:val="001D23B0"/>
    <w:rsid w:val="001D4CD3"/>
    <w:rsid w:val="001F6B16"/>
    <w:rsid w:val="00202A77"/>
    <w:rsid w:val="002036DF"/>
    <w:rsid w:val="00207DFA"/>
    <w:rsid w:val="00212802"/>
    <w:rsid w:val="002152A6"/>
    <w:rsid w:val="00217A88"/>
    <w:rsid w:val="00227B0F"/>
    <w:rsid w:val="002345E1"/>
    <w:rsid w:val="002353EA"/>
    <w:rsid w:val="00236C23"/>
    <w:rsid w:val="00241311"/>
    <w:rsid w:val="00243857"/>
    <w:rsid w:val="00245499"/>
    <w:rsid w:val="00245E40"/>
    <w:rsid w:val="0025491D"/>
    <w:rsid w:val="0025637C"/>
    <w:rsid w:val="00261AF3"/>
    <w:rsid w:val="00262AB7"/>
    <w:rsid w:val="00271CE5"/>
    <w:rsid w:val="00272A53"/>
    <w:rsid w:val="00274225"/>
    <w:rsid w:val="00282020"/>
    <w:rsid w:val="00284CA0"/>
    <w:rsid w:val="00294B07"/>
    <w:rsid w:val="00295172"/>
    <w:rsid w:val="002B6957"/>
    <w:rsid w:val="002D7481"/>
    <w:rsid w:val="002E3DAA"/>
    <w:rsid w:val="002E5C10"/>
    <w:rsid w:val="002E69ED"/>
    <w:rsid w:val="002E7ED3"/>
    <w:rsid w:val="00302679"/>
    <w:rsid w:val="00302921"/>
    <w:rsid w:val="00304012"/>
    <w:rsid w:val="00310E4D"/>
    <w:rsid w:val="003125F9"/>
    <w:rsid w:val="00312B9B"/>
    <w:rsid w:val="003135E0"/>
    <w:rsid w:val="00313B62"/>
    <w:rsid w:val="00315EF0"/>
    <w:rsid w:val="00316649"/>
    <w:rsid w:val="00332F3B"/>
    <w:rsid w:val="003429FD"/>
    <w:rsid w:val="0034786B"/>
    <w:rsid w:val="00350154"/>
    <w:rsid w:val="003516D0"/>
    <w:rsid w:val="0035263F"/>
    <w:rsid w:val="0035477A"/>
    <w:rsid w:val="00354B95"/>
    <w:rsid w:val="003569DB"/>
    <w:rsid w:val="0035749A"/>
    <w:rsid w:val="00357A1A"/>
    <w:rsid w:val="00360605"/>
    <w:rsid w:val="0036219F"/>
    <w:rsid w:val="003636BF"/>
    <w:rsid w:val="00364673"/>
    <w:rsid w:val="0036609F"/>
    <w:rsid w:val="00372332"/>
    <w:rsid w:val="0037479F"/>
    <w:rsid w:val="00380307"/>
    <w:rsid w:val="003845B4"/>
    <w:rsid w:val="00384B2B"/>
    <w:rsid w:val="00387B1A"/>
    <w:rsid w:val="0039289F"/>
    <w:rsid w:val="003B4727"/>
    <w:rsid w:val="003C25FD"/>
    <w:rsid w:val="003C273C"/>
    <w:rsid w:val="003D02F6"/>
    <w:rsid w:val="003D2527"/>
    <w:rsid w:val="003D316F"/>
    <w:rsid w:val="003D608B"/>
    <w:rsid w:val="003D6770"/>
    <w:rsid w:val="003E0CCE"/>
    <w:rsid w:val="003E1C74"/>
    <w:rsid w:val="003E5D6B"/>
    <w:rsid w:val="003F1F7B"/>
    <w:rsid w:val="003F273D"/>
    <w:rsid w:val="003F345D"/>
    <w:rsid w:val="003F3603"/>
    <w:rsid w:val="003F4C33"/>
    <w:rsid w:val="004007ED"/>
    <w:rsid w:val="004007F8"/>
    <w:rsid w:val="00403443"/>
    <w:rsid w:val="00420E96"/>
    <w:rsid w:val="004241C4"/>
    <w:rsid w:val="00441D79"/>
    <w:rsid w:val="00447351"/>
    <w:rsid w:val="004515F1"/>
    <w:rsid w:val="004569AB"/>
    <w:rsid w:val="004678A4"/>
    <w:rsid w:val="00467E8C"/>
    <w:rsid w:val="004701D5"/>
    <w:rsid w:val="00470AF2"/>
    <w:rsid w:val="00472021"/>
    <w:rsid w:val="00492005"/>
    <w:rsid w:val="00493710"/>
    <w:rsid w:val="00495FEA"/>
    <w:rsid w:val="004A11B1"/>
    <w:rsid w:val="004A5090"/>
    <w:rsid w:val="004A6EBB"/>
    <w:rsid w:val="004A6FE7"/>
    <w:rsid w:val="004C252C"/>
    <w:rsid w:val="004C5857"/>
    <w:rsid w:val="004C739A"/>
    <w:rsid w:val="004D26F4"/>
    <w:rsid w:val="004D7161"/>
    <w:rsid w:val="004E7AFC"/>
    <w:rsid w:val="004F1F02"/>
    <w:rsid w:val="0050024C"/>
    <w:rsid w:val="0050167A"/>
    <w:rsid w:val="00504F3C"/>
    <w:rsid w:val="0050701C"/>
    <w:rsid w:val="005148B4"/>
    <w:rsid w:val="00526246"/>
    <w:rsid w:val="00534CE0"/>
    <w:rsid w:val="005361F2"/>
    <w:rsid w:val="005369F1"/>
    <w:rsid w:val="005376F6"/>
    <w:rsid w:val="00543201"/>
    <w:rsid w:val="0054440E"/>
    <w:rsid w:val="0055453E"/>
    <w:rsid w:val="00554699"/>
    <w:rsid w:val="005547BC"/>
    <w:rsid w:val="0055716E"/>
    <w:rsid w:val="005662E5"/>
    <w:rsid w:val="00566F88"/>
    <w:rsid w:val="00567106"/>
    <w:rsid w:val="005770D7"/>
    <w:rsid w:val="00580B6D"/>
    <w:rsid w:val="0058370C"/>
    <w:rsid w:val="00585CE4"/>
    <w:rsid w:val="005B3E96"/>
    <w:rsid w:val="005B5B36"/>
    <w:rsid w:val="005B5B52"/>
    <w:rsid w:val="005C12DD"/>
    <w:rsid w:val="005C159C"/>
    <w:rsid w:val="005D5198"/>
    <w:rsid w:val="005E034F"/>
    <w:rsid w:val="005E1271"/>
    <w:rsid w:val="005E1D3C"/>
    <w:rsid w:val="005E24D4"/>
    <w:rsid w:val="005F2296"/>
    <w:rsid w:val="00601DD4"/>
    <w:rsid w:val="00606393"/>
    <w:rsid w:val="00616CCD"/>
    <w:rsid w:val="0062648E"/>
    <w:rsid w:val="00631E7C"/>
    <w:rsid w:val="00632253"/>
    <w:rsid w:val="00632C50"/>
    <w:rsid w:val="00633622"/>
    <w:rsid w:val="0064250D"/>
    <w:rsid w:val="00642714"/>
    <w:rsid w:val="006450F4"/>
    <w:rsid w:val="006455CE"/>
    <w:rsid w:val="00654A4E"/>
    <w:rsid w:val="00654FFF"/>
    <w:rsid w:val="00656534"/>
    <w:rsid w:val="00661F91"/>
    <w:rsid w:val="00670E4A"/>
    <w:rsid w:val="0067205F"/>
    <w:rsid w:val="00681DCC"/>
    <w:rsid w:val="00685DEA"/>
    <w:rsid w:val="006901D3"/>
    <w:rsid w:val="00693338"/>
    <w:rsid w:val="00693CE3"/>
    <w:rsid w:val="00695F24"/>
    <w:rsid w:val="006A5F38"/>
    <w:rsid w:val="006B7979"/>
    <w:rsid w:val="006C0F8E"/>
    <w:rsid w:val="006C1D89"/>
    <w:rsid w:val="006C36A8"/>
    <w:rsid w:val="006D2688"/>
    <w:rsid w:val="006D42D9"/>
    <w:rsid w:val="006D4986"/>
    <w:rsid w:val="006D6DC6"/>
    <w:rsid w:val="006F2399"/>
    <w:rsid w:val="006F2812"/>
    <w:rsid w:val="006F3F9E"/>
    <w:rsid w:val="006F5FA4"/>
    <w:rsid w:val="007107D6"/>
    <w:rsid w:val="00712DE4"/>
    <w:rsid w:val="00714D00"/>
    <w:rsid w:val="007161FC"/>
    <w:rsid w:val="00721805"/>
    <w:rsid w:val="007230C6"/>
    <w:rsid w:val="00723342"/>
    <w:rsid w:val="007250C8"/>
    <w:rsid w:val="007270EE"/>
    <w:rsid w:val="007277C8"/>
    <w:rsid w:val="0072783C"/>
    <w:rsid w:val="00731ADE"/>
    <w:rsid w:val="00733017"/>
    <w:rsid w:val="007366A0"/>
    <w:rsid w:val="00742630"/>
    <w:rsid w:val="007431C5"/>
    <w:rsid w:val="00743843"/>
    <w:rsid w:val="00743EFF"/>
    <w:rsid w:val="00745C68"/>
    <w:rsid w:val="00753018"/>
    <w:rsid w:val="007544B4"/>
    <w:rsid w:val="0075559F"/>
    <w:rsid w:val="007714CF"/>
    <w:rsid w:val="00776C8C"/>
    <w:rsid w:val="00777F4E"/>
    <w:rsid w:val="00783310"/>
    <w:rsid w:val="007A1784"/>
    <w:rsid w:val="007A4145"/>
    <w:rsid w:val="007A4A6D"/>
    <w:rsid w:val="007A7201"/>
    <w:rsid w:val="007A74F9"/>
    <w:rsid w:val="007A75E0"/>
    <w:rsid w:val="007B1A09"/>
    <w:rsid w:val="007B26A0"/>
    <w:rsid w:val="007B28CD"/>
    <w:rsid w:val="007B401A"/>
    <w:rsid w:val="007B56D0"/>
    <w:rsid w:val="007B685E"/>
    <w:rsid w:val="007B6D37"/>
    <w:rsid w:val="007C119C"/>
    <w:rsid w:val="007C5739"/>
    <w:rsid w:val="007C5A8B"/>
    <w:rsid w:val="007C64C6"/>
    <w:rsid w:val="007C71CF"/>
    <w:rsid w:val="007D1119"/>
    <w:rsid w:val="007D1BCF"/>
    <w:rsid w:val="007D2908"/>
    <w:rsid w:val="007D4FC0"/>
    <w:rsid w:val="007D75CF"/>
    <w:rsid w:val="007D78A4"/>
    <w:rsid w:val="007E5D04"/>
    <w:rsid w:val="007E6A06"/>
    <w:rsid w:val="007E6DC5"/>
    <w:rsid w:val="00805644"/>
    <w:rsid w:val="00813A07"/>
    <w:rsid w:val="0081499F"/>
    <w:rsid w:val="00815242"/>
    <w:rsid w:val="008204C7"/>
    <w:rsid w:val="0082093B"/>
    <w:rsid w:val="00822D14"/>
    <w:rsid w:val="00825A2A"/>
    <w:rsid w:val="00842FCF"/>
    <w:rsid w:val="00845A13"/>
    <w:rsid w:val="00864B91"/>
    <w:rsid w:val="00866870"/>
    <w:rsid w:val="008746C7"/>
    <w:rsid w:val="008750E7"/>
    <w:rsid w:val="0088043C"/>
    <w:rsid w:val="00883776"/>
    <w:rsid w:val="00884539"/>
    <w:rsid w:val="008906C9"/>
    <w:rsid w:val="008931DB"/>
    <w:rsid w:val="00897E40"/>
    <w:rsid w:val="008A191C"/>
    <w:rsid w:val="008A3415"/>
    <w:rsid w:val="008A4E0E"/>
    <w:rsid w:val="008A63A4"/>
    <w:rsid w:val="008B4C6F"/>
    <w:rsid w:val="008B5448"/>
    <w:rsid w:val="008B5B4D"/>
    <w:rsid w:val="008C4B3D"/>
    <w:rsid w:val="008C5738"/>
    <w:rsid w:val="008D04F0"/>
    <w:rsid w:val="008D6C3C"/>
    <w:rsid w:val="008E01B5"/>
    <w:rsid w:val="008E2C01"/>
    <w:rsid w:val="008E7472"/>
    <w:rsid w:val="008F3500"/>
    <w:rsid w:val="008F63F0"/>
    <w:rsid w:val="00901381"/>
    <w:rsid w:val="00901F10"/>
    <w:rsid w:val="00903B59"/>
    <w:rsid w:val="009041A1"/>
    <w:rsid w:val="00912393"/>
    <w:rsid w:val="00914E38"/>
    <w:rsid w:val="00917F2D"/>
    <w:rsid w:val="00920645"/>
    <w:rsid w:val="009227B9"/>
    <w:rsid w:val="0092304B"/>
    <w:rsid w:val="00924E3C"/>
    <w:rsid w:val="00926EB7"/>
    <w:rsid w:val="00930317"/>
    <w:rsid w:val="009310F6"/>
    <w:rsid w:val="009364C0"/>
    <w:rsid w:val="00936A65"/>
    <w:rsid w:val="009417A7"/>
    <w:rsid w:val="009479B7"/>
    <w:rsid w:val="00953485"/>
    <w:rsid w:val="00957899"/>
    <w:rsid w:val="009612BB"/>
    <w:rsid w:val="00961C7E"/>
    <w:rsid w:val="00966E11"/>
    <w:rsid w:val="00967095"/>
    <w:rsid w:val="0097111C"/>
    <w:rsid w:val="009721C1"/>
    <w:rsid w:val="00972590"/>
    <w:rsid w:val="00991AD6"/>
    <w:rsid w:val="00996687"/>
    <w:rsid w:val="009A6915"/>
    <w:rsid w:val="009B7627"/>
    <w:rsid w:val="009C39D8"/>
    <w:rsid w:val="009C6F61"/>
    <w:rsid w:val="009D5BCC"/>
    <w:rsid w:val="009E3C01"/>
    <w:rsid w:val="009F0866"/>
    <w:rsid w:val="009F1C6E"/>
    <w:rsid w:val="009F3DEF"/>
    <w:rsid w:val="009F5CFF"/>
    <w:rsid w:val="00A06D5C"/>
    <w:rsid w:val="00A0789E"/>
    <w:rsid w:val="00A125C5"/>
    <w:rsid w:val="00A135F0"/>
    <w:rsid w:val="00A13F8E"/>
    <w:rsid w:val="00A165AE"/>
    <w:rsid w:val="00A17EA3"/>
    <w:rsid w:val="00A25A3A"/>
    <w:rsid w:val="00A2796B"/>
    <w:rsid w:val="00A35299"/>
    <w:rsid w:val="00A413B5"/>
    <w:rsid w:val="00A415F2"/>
    <w:rsid w:val="00A439C2"/>
    <w:rsid w:val="00A44E19"/>
    <w:rsid w:val="00A5039D"/>
    <w:rsid w:val="00A5169F"/>
    <w:rsid w:val="00A65EE7"/>
    <w:rsid w:val="00A70133"/>
    <w:rsid w:val="00A701F5"/>
    <w:rsid w:val="00A7266B"/>
    <w:rsid w:val="00A84389"/>
    <w:rsid w:val="00A864F6"/>
    <w:rsid w:val="00A94B52"/>
    <w:rsid w:val="00AA0D85"/>
    <w:rsid w:val="00AA0E21"/>
    <w:rsid w:val="00AA610E"/>
    <w:rsid w:val="00AB425A"/>
    <w:rsid w:val="00AC6B7A"/>
    <w:rsid w:val="00AC7D21"/>
    <w:rsid w:val="00AD0498"/>
    <w:rsid w:val="00AD3C8C"/>
    <w:rsid w:val="00AF1CC9"/>
    <w:rsid w:val="00AF269A"/>
    <w:rsid w:val="00B00F27"/>
    <w:rsid w:val="00B14D09"/>
    <w:rsid w:val="00B17141"/>
    <w:rsid w:val="00B26CD0"/>
    <w:rsid w:val="00B30B5F"/>
    <w:rsid w:val="00B31575"/>
    <w:rsid w:val="00B31CD5"/>
    <w:rsid w:val="00B357B1"/>
    <w:rsid w:val="00B36D3A"/>
    <w:rsid w:val="00B41F41"/>
    <w:rsid w:val="00B4455F"/>
    <w:rsid w:val="00B476D9"/>
    <w:rsid w:val="00B5036C"/>
    <w:rsid w:val="00B567C7"/>
    <w:rsid w:val="00B608AF"/>
    <w:rsid w:val="00B66CA1"/>
    <w:rsid w:val="00B70B31"/>
    <w:rsid w:val="00B8547D"/>
    <w:rsid w:val="00B87909"/>
    <w:rsid w:val="00B95A59"/>
    <w:rsid w:val="00B96D1E"/>
    <w:rsid w:val="00BA1113"/>
    <w:rsid w:val="00BB29E1"/>
    <w:rsid w:val="00BB6194"/>
    <w:rsid w:val="00BC2769"/>
    <w:rsid w:val="00BD6D9F"/>
    <w:rsid w:val="00BE4A11"/>
    <w:rsid w:val="00BE4A92"/>
    <w:rsid w:val="00BE4C2A"/>
    <w:rsid w:val="00BE7033"/>
    <w:rsid w:val="00BE71C0"/>
    <w:rsid w:val="00BF05A3"/>
    <w:rsid w:val="00BF1FE0"/>
    <w:rsid w:val="00BF606F"/>
    <w:rsid w:val="00C0668D"/>
    <w:rsid w:val="00C12F8F"/>
    <w:rsid w:val="00C15C4D"/>
    <w:rsid w:val="00C174A4"/>
    <w:rsid w:val="00C250D5"/>
    <w:rsid w:val="00C2717A"/>
    <w:rsid w:val="00C30250"/>
    <w:rsid w:val="00C31308"/>
    <w:rsid w:val="00C4682C"/>
    <w:rsid w:val="00C5187D"/>
    <w:rsid w:val="00C52B32"/>
    <w:rsid w:val="00C54F3E"/>
    <w:rsid w:val="00C56074"/>
    <w:rsid w:val="00C60C84"/>
    <w:rsid w:val="00C634E8"/>
    <w:rsid w:val="00C66D8F"/>
    <w:rsid w:val="00C67AA5"/>
    <w:rsid w:val="00C75FEE"/>
    <w:rsid w:val="00C82B9F"/>
    <w:rsid w:val="00C84633"/>
    <w:rsid w:val="00C87015"/>
    <w:rsid w:val="00C90C13"/>
    <w:rsid w:val="00C91CE5"/>
    <w:rsid w:val="00C92898"/>
    <w:rsid w:val="00C94D62"/>
    <w:rsid w:val="00C956BE"/>
    <w:rsid w:val="00C97DCB"/>
    <w:rsid w:val="00CA18FD"/>
    <w:rsid w:val="00CA25F5"/>
    <w:rsid w:val="00CA488E"/>
    <w:rsid w:val="00CB6462"/>
    <w:rsid w:val="00CC383F"/>
    <w:rsid w:val="00CC48B6"/>
    <w:rsid w:val="00CD2775"/>
    <w:rsid w:val="00CE2A2E"/>
    <w:rsid w:val="00CE7514"/>
    <w:rsid w:val="00CF2827"/>
    <w:rsid w:val="00CF7ACA"/>
    <w:rsid w:val="00D044E6"/>
    <w:rsid w:val="00D04605"/>
    <w:rsid w:val="00D0487E"/>
    <w:rsid w:val="00D05748"/>
    <w:rsid w:val="00D05D06"/>
    <w:rsid w:val="00D06BDF"/>
    <w:rsid w:val="00D07B8D"/>
    <w:rsid w:val="00D246E1"/>
    <w:rsid w:val="00D248DE"/>
    <w:rsid w:val="00D25B25"/>
    <w:rsid w:val="00D3248D"/>
    <w:rsid w:val="00D3265C"/>
    <w:rsid w:val="00D34371"/>
    <w:rsid w:val="00D3718D"/>
    <w:rsid w:val="00D455BF"/>
    <w:rsid w:val="00D50DB6"/>
    <w:rsid w:val="00D528D0"/>
    <w:rsid w:val="00D67D3C"/>
    <w:rsid w:val="00D71EEC"/>
    <w:rsid w:val="00D74D72"/>
    <w:rsid w:val="00D775B6"/>
    <w:rsid w:val="00D843B6"/>
    <w:rsid w:val="00D8542D"/>
    <w:rsid w:val="00D877C9"/>
    <w:rsid w:val="00D90654"/>
    <w:rsid w:val="00D90FFF"/>
    <w:rsid w:val="00D9604A"/>
    <w:rsid w:val="00DA30E9"/>
    <w:rsid w:val="00DA5B15"/>
    <w:rsid w:val="00DA63D1"/>
    <w:rsid w:val="00DA672A"/>
    <w:rsid w:val="00DB7E6A"/>
    <w:rsid w:val="00DC0044"/>
    <w:rsid w:val="00DC2A27"/>
    <w:rsid w:val="00DC4224"/>
    <w:rsid w:val="00DC52B8"/>
    <w:rsid w:val="00DC6A71"/>
    <w:rsid w:val="00DD09AF"/>
    <w:rsid w:val="00DD6965"/>
    <w:rsid w:val="00DE5B46"/>
    <w:rsid w:val="00DE5CBA"/>
    <w:rsid w:val="00DF0C3C"/>
    <w:rsid w:val="00DF14E8"/>
    <w:rsid w:val="00DF2590"/>
    <w:rsid w:val="00E02D31"/>
    <w:rsid w:val="00E0357D"/>
    <w:rsid w:val="00E07531"/>
    <w:rsid w:val="00E2295D"/>
    <w:rsid w:val="00E24EC2"/>
    <w:rsid w:val="00E2773F"/>
    <w:rsid w:val="00E33774"/>
    <w:rsid w:val="00E35015"/>
    <w:rsid w:val="00E4177C"/>
    <w:rsid w:val="00E46DD2"/>
    <w:rsid w:val="00E51955"/>
    <w:rsid w:val="00E537A3"/>
    <w:rsid w:val="00E54822"/>
    <w:rsid w:val="00E5586C"/>
    <w:rsid w:val="00E640EE"/>
    <w:rsid w:val="00E71511"/>
    <w:rsid w:val="00E82AA7"/>
    <w:rsid w:val="00E863F9"/>
    <w:rsid w:val="00E91AB4"/>
    <w:rsid w:val="00E95AA9"/>
    <w:rsid w:val="00E97D75"/>
    <w:rsid w:val="00EA4EAA"/>
    <w:rsid w:val="00EC207F"/>
    <w:rsid w:val="00EC286D"/>
    <w:rsid w:val="00EC729E"/>
    <w:rsid w:val="00ED0F28"/>
    <w:rsid w:val="00ED624E"/>
    <w:rsid w:val="00EE7098"/>
    <w:rsid w:val="00EF07BE"/>
    <w:rsid w:val="00EF114A"/>
    <w:rsid w:val="00EF6FBE"/>
    <w:rsid w:val="00EF7292"/>
    <w:rsid w:val="00F17EA4"/>
    <w:rsid w:val="00F205A4"/>
    <w:rsid w:val="00F23209"/>
    <w:rsid w:val="00F240BB"/>
    <w:rsid w:val="00F25603"/>
    <w:rsid w:val="00F27503"/>
    <w:rsid w:val="00F352E3"/>
    <w:rsid w:val="00F41F68"/>
    <w:rsid w:val="00F43601"/>
    <w:rsid w:val="00F46724"/>
    <w:rsid w:val="00F57FED"/>
    <w:rsid w:val="00F631BD"/>
    <w:rsid w:val="00F65736"/>
    <w:rsid w:val="00F66C81"/>
    <w:rsid w:val="00F71DB8"/>
    <w:rsid w:val="00F83C73"/>
    <w:rsid w:val="00F85A14"/>
    <w:rsid w:val="00F92675"/>
    <w:rsid w:val="00FB21C1"/>
    <w:rsid w:val="00FB3618"/>
    <w:rsid w:val="00FB50D1"/>
    <w:rsid w:val="00FB7D42"/>
    <w:rsid w:val="00FC61DC"/>
    <w:rsid w:val="00FC73B1"/>
    <w:rsid w:val="00FD223E"/>
    <w:rsid w:val="00FE06AC"/>
    <w:rsid w:val="00FF490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5C6ED3D"/>
  <w15:chartTrackingRefBased/>
  <w15:docId w15:val="{FEABC10E-D0A8-4F17-B98C-40D7E68B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007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D74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2D7481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rsid w:val="00EF6FBE"/>
    <w:rPr>
      <w:rFonts w:ascii="Arial" w:hAnsi="Arial"/>
      <w:szCs w:val="24"/>
      <w:lang w:val="en-US" w:eastAsia="en-US"/>
    </w:rPr>
  </w:style>
  <w:style w:type="paragraph" w:styleId="Telobesedila">
    <w:name w:val="Body Text"/>
    <w:basedOn w:val="Navaden"/>
    <w:link w:val="TelobesedilaZnak"/>
    <w:rsid w:val="00EF6FBE"/>
    <w:pPr>
      <w:spacing w:after="120" w:line="240" w:lineRule="auto"/>
    </w:pPr>
    <w:rPr>
      <w:rFonts w:ascii="SSUniversCond" w:hAnsi="SSUniversCond"/>
      <w:i/>
      <w:sz w:val="18"/>
      <w:szCs w:val="20"/>
      <w:lang w:eastAsia="sl-SI"/>
    </w:rPr>
  </w:style>
  <w:style w:type="character" w:customStyle="1" w:styleId="TelobesedilaZnak">
    <w:name w:val="Telo besedila Znak"/>
    <w:link w:val="Telobesedila"/>
    <w:rsid w:val="00EF6FBE"/>
    <w:rPr>
      <w:rFonts w:ascii="SSUniversCond" w:hAnsi="SSUniversCond"/>
      <w:i/>
      <w:sz w:val="18"/>
      <w:lang w:val="en-US"/>
    </w:rPr>
  </w:style>
  <w:style w:type="paragraph" w:customStyle="1" w:styleId="1">
    <w:name w:val="1"/>
    <w:basedOn w:val="Navaden"/>
    <w:rsid w:val="00EF6FBE"/>
    <w:pPr>
      <w:spacing w:after="160" w:line="240" w:lineRule="exact"/>
    </w:pPr>
    <w:rPr>
      <w:rFonts w:ascii="Tahoma" w:hAnsi="Tahoma"/>
      <w:szCs w:val="20"/>
    </w:rPr>
  </w:style>
  <w:style w:type="paragraph" w:customStyle="1" w:styleId="Nav">
    <w:name w:val="Navđ"/>
    <w:basedOn w:val="Navaden"/>
    <w:rsid w:val="00EF6FBE"/>
    <w:pPr>
      <w:tabs>
        <w:tab w:val="left" w:pos="1418"/>
      </w:tabs>
      <w:jc w:val="both"/>
    </w:pPr>
    <w:rPr>
      <w:rFonts w:cs="Arial"/>
      <w:szCs w:val="20"/>
      <w:lang w:val="sl-SI"/>
    </w:rPr>
  </w:style>
  <w:style w:type="paragraph" w:customStyle="1" w:styleId="ZnakCharCharZnak">
    <w:name w:val="Znak Char Char Znak"/>
    <w:basedOn w:val="Navaden"/>
    <w:rsid w:val="00EF6FBE"/>
    <w:pPr>
      <w:spacing w:after="160" w:line="240" w:lineRule="exact"/>
    </w:pPr>
    <w:rPr>
      <w:rFonts w:ascii="Tahoma" w:hAnsi="Tahoma" w:cs="Tahoma"/>
      <w:szCs w:val="20"/>
    </w:rPr>
  </w:style>
  <w:style w:type="paragraph" w:customStyle="1" w:styleId="Znak1ZnakZnak">
    <w:name w:val="Znak1 Znak Znak"/>
    <w:basedOn w:val="Navaden"/>
    <w:rsid w:val="00EF6FBE"/>
    <w:pPr>
      <w:spacing w:after="160" w:line="240" w:lineRule="exact"/>
    </w:pPr>
    <w:rPr>
      <w:rFonts w:ascii="Tahoma" w:hAnsi="Tahoma" w:cs="Tahoma"/>
      <w:szCs w:val="20"/>
    </w:rPr>
  </w:style>
  <w:style w:type="paragraph" w:styleId="Odstavekseznama">
    <w:name w:val="List Paragraph"/>
    <w:basedOn w:val="Navaden"/>
    <w:link w:val="OdstavekseznamaZnak"/>
    <w:uiPriority w:val="34"/>
    <w:qFormat/>
    <w:rsid w:val="00A7266B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4D26F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Pripombasklic">
    <w:name w:val="annotation reference"/>
    <w:rsid w:val="004D26F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D26F4"/>
    <w:rPr>
      <w:szCs w:val="20"/>
    </w:rPr>
  </w:style>
  <w:style w:type="character" w:customStyle="1" w:styleId="PripombabesediloZnak">
    <w:name w:val="Pripomba – besedilo Znak"/>
    <w:link w:val="Pripombabesedilo"/>
    <w:rsid w:val="004D26F4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D26F4"/>
    <w:rPr>
      <w:b/>
      <w:bCs/>
    </w:rPr>
  </w:style>
  <w:style w:type="character" w:customStyle="1" w:styleId="ZadevapripombeZnak">
    <w:name w:val="Zadeva pripombe Znak"/>
    <w:link w:val="Zadevapripombe"/>
    <w:rsid w:val="004D26F4"/>
    <w:rPr>
      <w:rFonts w:ascii="Arial" w:hAnsi="Arial"/>
      <w:b/>
      <w:bCs/>
      <w:lang w:val="en-US" w:eastAsia="en-US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nhideWhenUsed/>
    <w:rsid w:val="0062648E"/>
    <w:pPr>
      <w:spacing w:line="240" w:lineRule="auto"/>
      <w:ind w:left="720" w:hanging="720"/>
      <w:jc w:val="both"/>
    </w:pPr>
    <w:rPr>
      <w:rFonts w:ascii="Times New Roman" w:eastAsia="Calibri" w:hAnsi="Times New Roman"/>
      <w:szCs w:val="20"/>
      <w:lang w:val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rsid w:val="0062648E"/>
    <w:rPr>
      <w:rFonts w:eastAsia="Calibri"/>
      <w:lang w:eastAsia="en-US"/>
    </w:rPr>
  </w:style>
  <w:style w:type="character" w:styleId="Sprotnaopomba-sklic">
    <w:name w:val="footnote reference"/>
    <w:uiPriority w:val="99"/>
    <w:unhideWhenUsed/>
    <w:rsid w:val="0062648E"/>
    <w:rPr>
      <w:shd w:val="clear" w:color="auto" w:fill="auto"/>
      <w:vertAlign w:val="superscript"/>
    </w:rPr>
  </w:style>
  <w:style w:type="paragraph" w:customStyle="1" w:styleId="Point0number">
    <w:name w:val="Point 0 (number)"/>
    <w:basedOn w:val="Navaden"/>
    <w:rsid w:val="0062648E"/>
    <w:pPr>
      <w:numPr>
        <w:numId w:val="11"/>
      </w:numPr>
      <w:tabs>
        <w:tab w:val="clear" w:pos="850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1number">
    <w:name w:val="Point 1 (number)"/>
    <w:basedOn w:val="Navaden"/>
    <w:rsid w:val="0062648E"/>
    <w:pPr>
      <w:numPr>
        <w:ilvl w:val="2"/>
        <w:numId w:val="11"/>
      </w:numPr>
      <w:tabs>
        <w:tab w:val="clear" w:pos="1417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2number">
    <w:name w:val="Point 2 (number)"/>
    <w:basedOn w:val="Navaden"/>
    <w:rsid w:val="0062648E"/>
    <w:pPr>
      <w:numPr>
        <w:ilvl w:val="4"/>
        <w:numId w:val="11"/>
      </w:numPr>
      <w:tabs>
        <w:tab w:val="clear" w:pos="1984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3number">
    <w:name w:val="Point 3 (number)"/>
    <w:basedOn w:val="Navaden"/>
    <w:rsid w:val="0062648E"/>
    <w:pPr>
      <w:numPr>
        <w:ilvl w:val="6"/>
        <w:numId w:val="11"/>
      </w:numPr>
      <w:tabs>
        <w:tab w:val="clear" w:pos="2551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0letter">
    <w:name w:val="Point 0 (letter)"/>
    <w:basedOn w:val="Navaden"/>
    <w:rsid w:val="0062648E"/>
    <w:pPr>
      <w:numPr>
        <w:ilvl w:val="1"/>
        <w:numId w:val="11"/>
      </w:numPr>
      <w:tabs>
        <w:tab w:val="clear" w:pos="850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1letter">
    <w:name w:val="Point 1 (letter)"/>
    <w:basedOn w:val="Navaden"/>
    <w:rsid w:val="0062648E"/>
    <w:pPr>
      <w:numPr>
        <w:ilvl w:val="3"/>
        <w:numId w:val="11"/>
      </w:numPr>
      <w:tabs>
        <w:tab w:val="clear" w:pos="1417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2letter">
    <w:name w:val="Point 2 (letter)"/>
    <w:basedOn w:val="Navaden"/>
    <w:rsid w:val="0062648E"/>
    <w:pPr>
      <w:numPr>
        <w:ilvl w:val="5"/>
        <w:numId w:val="11"/>
      </w:numPr>
      <w:tabs>
        <w:tab w:val="clear" w:pos="1984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3letter">
    <w:name w:val="Point 3 (letter)"/>
    <w:basedOn w:val="Navaden"/>
    <w:rsid w:val="0062648E"/>
    <w:pPr>
      <w:numPr>
        <w:ilvl w:val="7"/>
        <w:numId w:val="11"/>
      </w:numPr>
      <w:tabs>
        <w:tab w:val="clear" w:pos="2551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4letter">
    <w:name w:val="Point 4 (letter)"/>
    <w:basedOn w:val="Navaden"/>
    <w:rsid w:val="0062648E"/>
    <w:pPr>
      <w:numPr>
        <w:ilvl w:val="8"/>
        <w:numId w:val="11"/>
      </w:numPr>
      <w:tabs>
        <w:tab w:val="clear" w:pos="3118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styleId="Otevilenseznam">
    <w:name w:val="List Number"/>
    <w:basedOn w:val="Navaden"/>
    <w:uiPriority w:val="99"/>
    <w:unhideWhenUsed/>
    <w:rsid w:val="0062648E"/>
    <w:pPr>
      <w:numPr>
        <w:numId w:val="13"/>
      </w:numPr>
      <w:tabs>
        <w:tab w:val="clear" w:pos="360"/>
        <w:tab w:val="num" w:pos="720"/>
      </w:tabs>
      <w:spacing w:before="120" w:after="12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styleId="Revizija">
    <w:name w:val="Revision"/>
    <w:hidden/>
    <w:uiPriority w:val="99"/>
    <w:semiHidden/>
    <w:rsid w:val="00825A2A"/>
    <w:rPr>
      <w:rFonts w:ascii="Arial" w:hAnsi="Arial"/>
      <w:szCs w:val="24"/>
      <w:lang w:val="en-US" w:eastAsia="en-US"/>
    </w:rPr>
  </w:style>
  <w:style w:type="paragraph" w:styleId="Konnaopomba-besedilo">
    <w:name w:val="endnote text"/>
    <w:basedOn w:val="Navaden"/>
    <w:link w:val="Konnaopomba-besediloZnak"/>
    <w:rsid w:val="00011CB7"/>
    <w:rPr>
      <w:szCs w:val="20"/>
    </w:rPr>
  </w:style>
  <w:style w:type="character" w:customStyle="1" w:styleId="Konnaopomba-besediloZnak">
    <w:name w:val="Končna opomba - besedilo Znak"/>
    <w:link w:val="Konnaopomba-besedilo"/>
    <w:rsid w:val="00011CB7"/>
    <w:rPr>
      <w:rFonts w:ascii="Arial" w:hAnsi="Arial"/>
      <w:lang w:val="en-US" w:eastAsia="en-US"/>
    </w:rPr>
  </w:style>
  <w:style w:type="character" w:styleId="Konnaopomba-sklic">
    <w:name w:val="endnote reference"/>
    <w:rsid w:val="00011CB7"/>
    <w:rPr>
      <w:vertAlign w:val="superscript"/>
    </w:rPr>
  </w:style>
  <w:style w:type="character" w:customStyle="1" w:styleId="Naslov3Znak">
    <w:name w:val="Naslov 3 Znak"/>
    <w:basedOn w:val="Privzetapisavaodstavka"/>
    <w:link w:val="Naslov3"/>
    <w:semiHidden/>
    <w:rsid w:val="004007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Golobesedilo">
    <w:name w:val="Plain Text"/>
    <w:basedOn w:val="Navaden"/>
    <w:link w:val="GolobesediloZnak"/>
    <w:rsid w:val="00FC73B1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FC73B1"/>
    <w:rPr>
      <w:rFonts w:ascii="Courier New" w:hAnsi="Courier New"/>
      <w:lang w:val="x-none" w:eastAsia="x-none"/>
    </w:rPr>
  </w:style>
  <w:style w:type="paragraph" w:customStyle="1" w:styleId="Telobesedila21">
    <w:name w:val="Telo besedila 21"/>
    <w:basedOn w:val="Navaden"/>
    <w:rsid w:val="00FC73B1"/>
    <w:pPr>
      <w:widowControl w:val="0"/>
      <w:spacing w:after="120"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paragraph" w:customStyle="1" w:styleId="Telobesedila23">
    <w:name w:val="Telo besedila 23"/>
    <w:basedOn w:val="Navaden"/>
    <w:rsid w:val="00FC73B1"/>
    <w:pPr>
      <w:widowControl w:val="0"/>
      <w:spacing w:after="120"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paragraph" w:styleId="Brezrazmikov">
    <w:name w:val="No Spacing"/>
    <w:link w:val="BrezrazmikovZnak"/>
    <w:uiPriority w:val="1"/>
    <w:qFormat/>
    <w:rsid w:val="003F1F7B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3F1F7B"/>
    <w:rPr>
      <w:rFonts w:ascii="Calibri" w:hAnsi="Calibri"/>
      <w:sz w:val="22"/>
      <w:szCs w:val="22"/>
      <w:lang w:eastAsia="en-US"/>
    </w:rPr>
  </w:style>
  <w:style w:type="character" w:customStyle="1" w:styleId="OdstavekseznamaZnak">
    <w:name w:val="Odstavek seznama Znak"/>
    <w:link w:val="Odstavekseznama"/>
    <w:uiPriority w:val="34"/>
    <w:rsid w:val="003F1F7B"/>
    <w:rPr>
      <w:sz w:val="24"/>
      <w:szCs w:val="24"/>
      <w:lang w:val="en-US" w:eastAsia="en-US"/>
    </w:rPr>
  </w:style>
  <w:style w:type="paragraph" w:styleId="Oznaenseznam">
    <w:name w:val="List Bullet"/>
    <w:basedOn w:val="Navaden"/>
    <w:rsid w:val="003F1F7B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val="sl-SI"/>
    </w:rPr>
  </w:style>
  <w:style w:type="paragraph" w:styleId="Naslov">
    <w:name w:val="Title"/>
    <w:basedOn w:val="Navaden"/>
    <w:next w:val="Navaden"/>
    <w:link w:val="NaslovZnak"/>
    <w:qFormat/>
    <w:rsid w:val="0010692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10692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B567C7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6D672BB670F46907B1CF952D79B27" ma:contentTypeVersion="2" ma:contentTypeDescription="Ustvari nov dokument." ma:contentTypeScope="" ma:versionID="b09c4ee97118f2e73ba3da7da03e60d8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AAA3B-630A-4EEF-8277-6D910CFC8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D808F-8CDF-49EF-B934-3CB5D0555042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ca1889-42b5-42b4-bbe6-936a0a133ec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AA9191-7277-4AAC-AA39-D1DD69BC39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11FDB1-17D1-403D-BA20-9B018D1B6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6</Pages>
  <Words>1830</Words>
  <Characters>10675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12481</CharactersWithSpaces>
  <SharedDoc>false</SharedDoc>
  <HLinks>
    <vt:vector size="30" baseType="variant">
      <vt:variant>
        <vt:i4>6094932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https://eur-lex.europa.eu/legal-content/SL/TXT/PDF/?uri=CELEX:32021R2116&amp;from=SL</vt:lpwstr>
      </vt:variant>
      <vt:variant>
        <vt:lpwstr/>
      </vt:variant>
      <vt:variant>
        <vt:i4>6946914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https://eur-lex.europa.eu/legal-content/SL/TXT/?uri=CELEX%3A32021R1060</vt:lpwstr>
      </vt:variant>
      <vt:variant>
        <vt:lpwstr/>
      </vt:variant>
      <vt:variant>
        <vt:i4>5046338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https://eur-lex.europa.eu/legal-content/SL/TXT/PDF/?uri=CELEX:32013R1308&amp;from=ES</vt:lpwstr>
      </vt:variant>
      <vt:variant>
        <vt:lpwstr/>
      </vt:variant>
      <vt:variant>
        <vt:i4>1507411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https://eur-lex.europa.eu/legal-content/SL/TXT/?uri=CELEX:32023R0370</vt:lpwstr>
      </vt:variant>
      <vt:variant>
        <vt:lpwstr/>
      </vt:variant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https://eur-lex.europa.eu/legal-content/SL/TXT/PDF/?uri=CELEX:32021R2115&amp;from=SL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Šetina</cp:lastModifiedBy>
  <cp:revision>5</cp:revision>
  <cp:lastPrinted>2024-04-12T05:19:00Z</cp:lastPrinted>
  <dcterms:created xsi:type="dcterms:W3CDTF">2024-06-12T12:09:00Z</dcterms:created>
  <dcterms:modified xsi:type="dcterms:W3CDTF">2024-06-28T13:34:00Z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6c7e9dc02a712185b0c31d6428895831bf4e566872b4f13ea74488383ad5d966</vt:lpwstr>
  </property>
  <property fmtid="{D5CDD505-2E9C-101B-9397-08002B2CF9AE}" pid="3" name="ContentTypeId">
    <vt:lpwstr>0x010100A186D672BB670F46907B1CF952D79B27</vt:lpwstr>
  </property>
</Properties>
</file>