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A71A" w14:textId="6DBDCADD" w:rsidR="00FC73B1" w:rsidRPr="003F1F7B" w:rsidRDefault="00FC73B1" w:rsidP="00FC73B1">
      <w:pPr>
        <w:autoSpaceDE w:val="0"/>
        <w:autoSpaceDN w:val="0"/>
        <w:adjustRightInd w:val="0"/>
        <w:jc w:val="both"/>
        <w:outlineLvl w:val="0"/>
        <w:rPr>
          <w:rFonts w:cs="Arial"/>
          <w:szCs w:val="20"/>
          <w:lang w:val="sl-SI"/>
        </w:rPr>
      </w:pPr>
      <w:r w:rsidRPr="003F1F7B">
        <w:rPr>
          <w:rFonts w:cs="Arial"/>
          <w:szCs w:val="20"/>
          <w:lang w:val="sl-SI"/>
        </w:rPr>
        <w:t>Ministrstvo za kmetijstvo, gozdarstvo in prehrano Republike Slovenije, Dunajska 22, 1000 Ljubljana</w:t>
      </w:r>
      <w:r w:rsidR="000E70A6">
        <w:rPr>
          <w:rFonts w:cs="Arial"/>
          <w:szCs w:val="20"/>
          <w:lang w:val="sl-SI"/>
        </w:rPr>
        <w:t xml:space="preserve"> (v nadaljnjem besedilu: MKGP)</w:t>
      </w:r>
      <w:r w:rsidRPr="003F1F7B">
        <w:rPr>
          <w:rFonts w:cs="Arial"/>
          <w:szCs w:val="20"/>
          <w:lang w:val="sl-SI"/>
        </w:rPr>
        <w:t>, na podlagi 5. člena Uredbe o skupnih določbah za izvajanje intervencij razvoja podeželja, ki niso vezane na površino ali živali, iz strateškega načrta skupne kmetijske politike 2023–2027 (Uradni list RS, št. 77/23</w:t>
      </w:r>
      <w:r w:rsidR="00CD6FF3">
        <w:rPr>
          <w:rFonts w:cs="Arial"/>
          <w:szCs w:val="20"/>
          <w:lang w:val="sl-SI"/>
        </w:rPr>
        <w:t xml:space="preserve"> in 19/24</w:t>
      </w:r>
      <w:r w:rsidRPr="003F1F7B">
        <w:rPr>
          <w:rFonts w:cs="Arial"/>
          <w:szCs w:val="20"/>
          <w:lang w:val="sl-SI"/>
        </w:rPr>
        <w:t xml:space="preserve">; v nadaljnjem besedilu: </w:t>
      </w:r>
      <w:r w:rsidR="005B3E96">
        <w:rPr>
          <w:rFonts w:cs="Arial"/>
          <w:szCs w:val="20"/>
          <w:lang w:val="sl-SI"/>
        </w:rPr>
        <w:t>uredba o skupnih določbah za izvajanje intervencij</w:t>
      </w:r>
      <w:r w:rsidRPr="003F1F7B">
        <w:rPr>
          <w:rFonts w:cs="Arial"/>
          <w:szCs w:val="20"/>
          <w:lang w:val="sl-SI"/>
        </w:rPr>
        <w:t>)</w:t>
      </w:r>
      <w:r w:rsidR="000E70A6">
        <w:rPr>
          <w:rFonts w:cs="Arial"/>
          <w:szCs w:val="20"/>
          <w:lang w:val="sl-SI"/>
        </w:rPr>
        <w:t xml:space="preserve"> in 60. člena </w:t>
      </w:r>
      <w:r w:rsidR="000E70A6" w:rsidRPr="003F1F7B">
        <w:rPr>
          <w:rFonts w:cs="Arial"/>
          <w:szCs w:val="20"/>
          <w:lang w:val="sl-SI"/>
        </w:rPr>
        <w:t>Uredbe o izvajanju intervencij s področja zemljiških operacij iz strateškega načrta skupne kmetijske politike 2023 – 2027 (</w:t>
      </w:r>
      <w:r w:rsidR="000E70A6">
        <w:rPr>
          <w:rFonts w:cs="Arial"/>
          <w:szCs w:val="20"/>
          <w:lang w:val="sl-SI"/>
        </w:rPr>
        <w:t xml:space="preserve">Uradni list RS, št. </w:t>
      </w:r>
      <w:r w:rsidR="00E51955">
        <w:rPr>
          <w:rFonts w:cs="Arial"/>
          <w:szCs w:val="20"/>
          <w:lang w:val="sl-SI"/>
        </w:rPr>
        <w:t>132</w:t>
      </w:r>
      <w:r w:rsidR="000E70A6">
        <w:rPr>
          <w:rFonts w:cs="Arial"/>
          <w:szCs w:val="20"/>
          <w:lang w:val="sl-SI"/>
        </w:rPr>
        <w:t xml:space="preserve">/23; </w:t>
      </w:r>
      <w:r w:rsidR="000E70A6" w:rsidRPr="003F1F7B">
        <w:rPr>
          <w:rFonts w:cs="Arial"/>
          <w:szCs w:val="20"/>
          <w:lang w:val="sl-SI"/>
        </w:rPr>
        <w:t>v nadaljnjem besedilu: uredba</w:t>
      </w:r>
      <w:r w:rsidR="000E70A6" w:rsidRPr="00261AF3">
        <w:rPr>
          <w:rFonts w:cs="Arial"/>
          <w:szCs w:val="20"/>
          <w:lang w:val="sl-SI"/>
        </w:rPr>
        <w:t xml:space="preserve"> </w:t>
      </w:r>
      <w:r w:rsidR="000E70A6" w:rsidRPr="003F1F7B">
        <w:rPr>
          <w:rFonts w:cs="Arial"/>
          <w:szCs w:val="20"/>
          <w:lang w:val="sl-SI"/>
        </w:rPr>
        <w:t>o izvajanju intervencij s področja zemljiških operacij)</w:t>
      </w:r>
      <w:r w:rsidRPr="003F1F7B">
        <w:rPr>
          <w:rFonts w:cs="Arial"/>
          <w:szCs w:val="20"/>
          <w:lang w:val="sl-SI"/>
        </w:rPr>
        <w:t>, objavlja</w:t>
      </w:r>
    </w:p>
    <w:p w14:paraId="54188602" w14:textId="77777777" w:rsidR="00FC73B1" w:rsidRPr="003F1F7B" w:rsidRDefault="00FC73B1" w:rsidP="00FC73B1">
      <w:pPr>
        <w:autoSpaceDE w:val="0"/>
        <w:autoSpaceDN w:val="0"/>
        <w:adjustRightInd w:val="0"/>
        <w:jc w:val="center"/>
        <w:outlineLvl w:val="0"/>
        <w:rPr>
          <w:rFonts w:cs="Arial"/>
          <w:szCs w:val="20"/>
          <w:lang w:val="sl-SI"/>
        </w:rPr>
      </w:pPr>
    </w:p>
    <w:p w14:paraId="4BD9D46A" w14:textId="4BC1BB0F" w:rsidR="00FC73B1" w:rsidRPr="00B5036C" w:rsidRDefault="00B5036C" w:rsidP="00B5036C">
      <w:pPr>
        <w:autoSpaceDE w:val="0"/>
        <w:autoSpaceDN w:val="0"/>
        <w:adjustRightInd w:val="0"/>
        <w:jc w:val="center"/>
        <w:outlineLvl w:val="0"/>
        <w:rPr>
          <w:rFonts w:cs="Arial"/>
          <w:b/>
          <w:lang w:val="sl-SI"/>
        </w:rPr>
      </w:pPr>
      <w:r w:rsidRPr="00B5036C">
        <w:rPr>
          <w:rFonts w:cs="Arial"/>
          <w:b/>
          <w:lang w:val="sl-SI"/>
        </w:rPr>
        <w:t>1.</w:t>
      </w:r>
      <w:r>
        <w:rPr>
          <w:rFonts w:cs="Arial"/>
          <w:b/>
          <w:lang w:val="sl-SI"/>
        </w:rPr>
        <w:t xml:space="preserve"> </w:t>
      </w:r>
      <w:r w:rsidR="000E70A6" w:rsidRPr="00B5036C">
        <w:rPr>
          <w:rFonts w:cs="Arial"/>
          <w:b/>
          <w:lang w:val="sl-SI"/>
        </w:rPr>
        <w:t>Javni razpis za intervencijo</w:t>
      </w:r>
      <w:r w:rsidR="00FC73B1" w:rsidRPr="00B5036C">
        <w:rPr>
          <w:rFonts w:cs="Arial"/>
          <w:b/>
          <w:lang w:val="sl-SI"/>
        </w:rPr>
        <w:t xml:space="preserve"> </w:t>
      </w:r>
      <w:r w:rsidR="000E70A6" w:rsidRPr="00B5036C">
        <w:rPr>
          <w:rFonts w:cs="Arial"/>
          <w:b/>
          <w:lang w:val="sl-SI"/>
        </w:rPr>
        <w:t>i</w:t>
      </w:r>
      <w:r w:rsidR="00FC73B1" w:rsidRPr="00B5036C">
        <w:rPr>
          <w:rFonts w:cs="Arial"/>
          <w:b/>
          <w:lang w:val="sl-SI"/>
        </w:rPr>
        <w:t>zgradnja namakalnih sistemov, ki so namenjeni več uporabnikom</w:t>
      </w:r>
    </w:p>
    <w:p w14:paraId="7EB6D09A" w14:textId="77777777" w:rsidR="009227B9" w:rsidRPr="003F1F7B" w:rsidRDefault="009227B9" w:rsidP="009227B9">
      <w:pPr>
        <w:rPr>
          <w:lang w:val="sl-SI"/>
        </w:rPr>
      </w:pPr>
    </w:p>
    <w:p w14:paraId="466DABF1" w14:textId="243899AE" w:rsidR="009227B9" w:rsidRPr="003F1F7B" w:rsidRDefault="009227B9" w:rsidP="009227B9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1. OSNOVNI PODATKI O JAVNEM RAZPISU</w:t>
      </w:r>
    </w:p>
    <w:tbl>
      <w:tblPr>
        <w:tblpPr w:leftFromText="141" w:rightFromText="141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552"/>
        <w:gridCol w:w="5828"/>
      </w:tblGrid>
      <w:tr w:rsidR="009227B9" w:rsidRPr="00E2773F" w14:paraId="194C2A0B" w14:textId="77777777" w:rsidTr="009227B9">
        <w:trPr>
          <w:trHeight w:val="672"/>
        </w:trPr>
        <w:tc>
          <w:tcPr>
            <w:tcW w:w="2552" w:type="dxa"/>
            <w:shd w:val="clear" w:color="auto" w:fill="F2F2F2"/>
            <w:vAlign w:val="center"/>
          </w:tcPr>
          <w:p w14:paraId="17126136" w14:textId="3E584C2D" w:rsidR="009227B9" w:rsidRPr="003F1F7B" w:rsidRDefault="00B5036C" w:rsidP="005E24D4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Predmet</w:t>
            </w:r>
            <w:r w:rsidR="00BE4A11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9227B9" w:rsidRPr="003F1F7B">
              <w:rPr>
                <w:rFonts w:cs="Arial"/>
                <w:b/>
                <w:szCs w:val="20"/>
                <w:lang w:val="sl-SI"/>
              </w:rPr>
              <w:t>javnega razpisa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68EB62E2" w14:textId="4CE1E1C8" w:rsidR="00B5036C" w:rsidRDefault="00B5036C" w:rsidP="005E24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64107B">
              <w:rPr>
                <w:rFonts w:cs="Arial"/>
                <w:szCs w:val="20"/>
                <w:lang w:val="sl-SI"/>
              </w:rPr>
              <w:t>redmet javnega razpisa je dodelitev p</w:t>
            </w:r>
            <w:r>
              <w:rPr>
                <w:rFonts w:cs="Arial"/>
                <w:szCs w:val="20"/>
                <w:lang w:val="sl-SI"/>
              </w:rPr>
              <w:t>odpor</w:t>
            </w:r>
            <w:r w:rsidR="0064107B">
              <w:rPr>
                <w:rFonts w:cs="Arial"/>
                <w:szCs w:val="20"/>
                <w:lang w:val="sl-SI"/>
              </w:rPr>
              <w:t>e vlagateljem iz prvega odstavka 19. člena uredbe</w:t>
            </w:r>
            <w:r w:rsidR="0064107B" w:rsidRPr="0064107B">
              <w:rPr>
                <w:rFonts w:cs="Arial"/>
                <w:szCs w:val="20"/>
                <w:lang w:val="sl-SI"/>
              </w:rPr>
              <w:t xml:space="preserve"> o izvajanju intervencij s področja zemljiških operacij</w:t>
            </w:r>
            <w:r w:rsidR="0064107B" w:rsidRPr="0064107B" w:rsidDel="0064107B">
              <w:rPr>
                <w:rFonts w:cs="Arial"/>
                <w:szCs w:val="20"/>
                <w:lang w:val="sl-SI"/>
              </w:rPr>
              <w:t xml:space="preserve"> </w:t>
            </w:r>
            <w:r w:rsidR="0064107B">
              <w:rPr>
                <w:rFonts w:cs="Arial"/>
                <w:szCs w:val="20"/>
                <w:lang w:val="sl-SI"/>
              </w:rPr>
              <w:t>za</w:t>
            </w:r>
            <w:r>
              <w:rPr>
                <w:rFonts w:cs="Arial"/>
                <w:szCs w:val="20"/>
                <w:lang w:val="sl-SI"/>
              </w:rPr>
              <w:t xml:space="preserve"> izgradnj</w:t>
            </w:r>
            <w:r w:rsidR="0064107B">
              <w:rPr>
                <w:rFonts w:cs="Arial"/>
                <w:szCs w:val="20"/>
                <w:lang w:val="sl-SI"/>
              </w:rPr>
              <w:t>o</w:t>
            </w:r>
            <w:r>
              <w:rPr>
                <w:rFonts w:cs="Arial"/>
                <w:szCs w:val="20"/>
                <w:lang w:val="sl-SI"/>
              </w:rPr>
              <w:t xml:space="preserve"> novih namakalnih sistemov in </w:t>
            </w:r>
            <w:proofErr w:type="spellStart"/>
            <w:r>
              <w:rPr>
                <w:rFonts w:cs="Arial"/>
                <w:szCs w:val="20"/>
                <w:lang w:val="sl-SI"/>
              </w:rPr>
              <w:t>oroševalnih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sistemov za </w:t>
            </w:r>
            <w:proofErr w:type="spellStart"/>
            <w:r>
              <w:rPr>
                <w:rFonts w:cs="Arial"/>
                <w:szCs w:val="20"/>
                <w:lang w:val="sl-SI"/>
              </w:rPr>
              <w:t>protislansko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zaščito, ki so namenjeni dvema ali več uporabnikom, s čimer se bo povečala neto površina namakanih kmetijskih zemljišč.</w:t>
            </w:r>
          </w:p>
          <w:p w14:paraId="37281F79" w14:textId="507FBB6A" w:rsidR="009227B9" w:rsidRPr="003F1F7B" w:rsidRDefault="009227B9" w:rsidP="005E24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5E24D4" w:rsidRPr="00E2773F" w14:paraId="7165D01F" w14:textId="77777777" w:rsidTr="009227B9">
        <w:trPr>
          <w:trHeight w:val="672"/>
        </w:trPr>
        <w:tc>
          <w:tcPr>
            <w:tcW w:w="2552" w:type="dxa"/>
            <w:shd w:val="clear" w:color="auto" w:fill="F2F2F2"/>
            <w:vAlign w:val="center"/>
          </w:tcPr>
          <w:p w14:paraId="359A0E95" w14:textId="04E90D86" w:rsidR="005E24D4" w:rsidRDefault="005E24D4" w:rsidP="001E24BB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Cilj </w:t>
            </w:r>
            <w:r w:rsidR="001E24BB">
              <w:rPr>
                <w:rFonts w:cs="Arial"/>
                <w:b/>
                <w:szCs w:val="20"/>
                <w:lang w:val="sl-SI"/>
              </w:rPr>
              <w:t>intervencije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722E32F5" w14:textId="210BD02A" w:rsidR="005E24D4" w:rsidRDefault="005E24D4" w:rsidP="006410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 w:rsidRPr="005E24D4">
              <w:rPr>
                <w:rFonts w:cs="Arial"/>
                <w:szCs w:val="20"/>
                <w:lang w:val="sl-SI"/>
              </w:rPr>
              <w:t xml:space="preserve">Cilj </w:t>
            </w:r>
            <w:r w:rsidR="0064107B">
              <w:rPr>
                <w:rFonts w:cs="Arial"/>
                <w:szCs w:val="20"/>
                <w:lang w:val="sl-SI"/>
              </w:rPr>
              <w:t>intervencije izgradnja namakalnih sistemov, ki so namenjeni več uporabnikom</w:t>
            </w:r>
            <w:r w:rsidRPr="005E24D4">
              <w:rPr>
                <w:rFonts w:cs="Arial"/>
                <w:szCs w:val="20"/>
                <w:lang w:val="sl-SI"/>
              </w:rPr>
              <w:t xml:space="preserve"> je zagotoviti optimalne pogoje za kmetijsko pridelavo in kakovostne kmetijske pridelke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9227B9" w:rsidRPr="00E2773F" w14:paraId="284E9E09" w14:textId="77777777" w:rsidTr="009227B9">
        <w:trPr>
          <w:cantSplit/>
          <w:trHeight w:val="94"/>
        </w:trPr>
        <w:tc>
          <w:tcPr>
            <w:tcW w:w="2552" w:type="dxa"/>
            <w:vMerge w:val="restart"/>
            <w:shd w:val="clear" w:color="auto" w:fill="F2F2F2"/>
            <w:vAlign w:val="center"/>
          </w:tcPr>
          <w:p w14:paraId="0111E356" w14:textId="52211C81" w:rsidR="009227B9" w:rsidRPr="003F1F7B" w:rsidRDefault="009227B9" w:rsidP="009227B9">
            <w:pPr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Razpisana sredstva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264B0D6C" w14:textId="46561881" w:rsidR="009227B9" w:rsidRPr="003F1F7B" w:rsidRDefault="009227B9" w:rsidP="00F92675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F1F7B">
              <w:rPr>
                <w:rFonts w:ascii="Arial" w:hAnsi="Arial" w:cs="Arial"/>
                <w:sz w:val="20"/>
                <w:lang w:val="sl-SI"/>
              </w:rPr>
              <w:t xml:space="preserve">Višina razpisanih nepovratnih </w:t>
            </w:r>
            <w:r w:rsidRPr="002D157E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sredstev znaša </w:t>
            </w:r>
            <w:r w:rsidR="002D157E" w:rsidRPr="002D157E">
              <w:rPr>
                <w:rFonts w:ascii="Arial" w:eastAsiaTheme="minorHAnsi" w:hAnsi="Arial" w:cs="Arial"/>
                <w:sz w:val="20"/>
                <w:lang w:val="sl-SI" w:eastAsia="en-US"/>
              </w:rPr>
              <w:t>5</w:t>
            </w:r>
            <w:r w:rsidRPr="002D157E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.000.000 </w:t>
            </w:r>
            <w:r w:rsidR="00F92675" w:rsidRPr="002D157E">
              <w:rPr>
                <w:rFonts w:ascii="Arial" w:eastAsiaTheme="minorHAnsi" w:hAnsi="Arial" w:cs="Arial"/>
                <w:sz w:val="20"/>
                <w:lang w:val="sl-SI" w:eastAsia="en-US"/>
              </w:rPr>
              <w:t>eurov</w:t>
            </w:r>
            <w:r w:rsidRPr="003F1F7B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9227B9" w:rsidRPr="00E2773F" w14:paraId="5297B158" w14:textId="77777777" w:rsidTr="009227B9">
        <w:trPr>
          <w:cantSplit/>
          <w:trHeight w:val="1557"/>
        </w:trPr>
        <w:tc>
          <w:tcPr>
            <w:tcW w:w="2552" w:type="dxa"/>
            <w:vMerge/>
            <w:shd w:val="clear" w:color="auto" w:fill="F2F2F2"/>
            <w:vAlign w:val="center"/>
          </w:tcPr>
          <w:p w14:paraId="6B118E47" w14:textId="77777777" w:rsidR="009227B9" w:rsidRPr="003F1F7B" w:rsidRDefault="009227B9" w:rsidP="009227B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5828" w:type="dxa"/>
            <w:shd w:val="clear" w:color="auto" w:fill="F2F2F2"/>
            <w:vAlign w:val="center"/>
          </w:tcPr>
          <w:p w14:paraId="1B8C3B89" w14:textId="5D3DA31D" w:rsidR="009227B9" w:rsidRPr="003F1F7B" w:rsidRDefault="009227B9" w:rsidP="009227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/>
              </w:rPr>
            </w:pPr>
            <w:r w:rsidRPr="003F1F7B">
              <w:rPr>
                <w:rFonts w:cs="Arial"/>
                <w:szCs w:val="20"/>
                <w:lang w:val="sl-SI"/>
              </w:rPr>
              <w:t>Sredstva se zagot</w:t>
            </w:r>
            <w:r w:rsidR="0064107B">
              <w:rPr>
                <w:rFonts w:cs="Arial"/>
                <w:szCs w:val="20"/>
                <w:lang w:val="sl-SI"/>
              </w:rPr>
              <w:t>ovijo</w:t>
            </w:r>
            <w:r w:rsidRPr="003F1F7B">
              <w:rPr>
                <w:rFonts w:cs="Arial"/>
                <w:szCs w:val="20"/>
                <w:lang w:val="sl-SI"/>
              </w:rPr>
              <w:t xml:space="preserve"> iz proračunskih postavk MKGP, in sicer: </w:t>
            </w:r>
          </w:p>
          <w:p w14:paraId="6DD4AAB1" w14:textId="109F8888" w:rsidR="009227B9" w:rsidRPr="003F1F7B" w:rsidRDefault="009227B9" w:rsidP="00D05D0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D157E">
              <w:rPr>
                <w:rFonts w:cs="Arial"/>
                <w:szCs w:val="20"/>
                <w:lang w:val="sl-SI"/>
              </w:rPr>
              <w:t>1.</w:t>
            </w:r>
            <w:r w:rsidR="002D157E" w:rsidRPr="002D157E">
              <w:rPr>
                <w:rFonts w:cs="Arial"/>
                <w:szCs w:val="20"/>
                <w:lang w:val="sl-SI"/>
              </w:rPr>
              <w:t>695</w:t>
            </w:r>
            <w:r w:rsidRPr="002D157E">
              <w:rPr>
                <w:rFonts w:cs="Arial"/>
                <w:szCs w:val="20"/>
                <w:lang w:val="sl-SI"/>
              </w:rPr>
              <w:t>.000</w:t>
            </w:r>
            <w:r w:rsidRPr="003F1F7B">
              <w:rPr>
                <w:rFonts w:cs="Arial"/>
                <w:szCs w:val="20"/>
                <w:lang w:val="sl-SI"/>
              </w:rPr>
              <w:t xml:space="preserve"> </w:t>
            </w:r>
            <w:r w:rsidR="00F92675">
              <w:rPr>
                <w:rFonts w:cs="Arial"/>
                <w:szCs w:val="20"/>
                <w:lang w:val="sl-SI"/>
              </w:rPr>
              <w:t>eurov</w:t>
            </w:r>
            <w:r w:rsidR="00F92675" w:rsidRPr="003F1F7B">
              <w:rPr>
                <w:rFonts w:cs="Arial"/>
                <w:szCs w:val="20"/>
                <w:lang w:val="sl-SI"/>
              </w:rPr>
              <w:t xml:space="preserve"> </w:t>
            </w:r>
            <w:r w:rsidRPr="003F1F7B">
              <w:rPr>
                <w:rFonts w:cs="Arial"/>
                <w:szCs w:val="20"/>
                <w:lang w:val="sl-SI"/>
              </w:rPr>
              <w:t xml:space="preserve">iz proračunske postavke </w:t>
            </w:r>
            <w:r w:rsidR="00D05D06" w:rsidRPr="003F1F7B">
              <w:rPr>
                <w:rFonts w:cs="Arial"/>
                <w:szCs w:val="20"/>
                <w:lang w:val="sl-SI"/>
              </w:rPr>
              <w:t>221064 Skupni strateški načrt 2023-2027 – EKSRP – EU</w:t>
            </w:r>
            <w:r w:rsidRPr="003F1F7B">
              <w:rPr>
                <w:rFonts w:cs="Arial"/>
                <w:szCs w:val="20"/>
                <w:lang w:val="sl-SI"/>
              </w:rPr>
              <w:t>,</w:t>
            </w:r>
          </w:p>
          <w:p w14:paraId="12A543C9" w14:textId="734889FC" w:rsidR="009227B9" w:rsidRPr="003F1F7B" w:rsidRDefault="002D157E" w:rsidP="00D05D0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D157E">
              <w:rPr>
                <w:rFonts w:cs="Arial"/>
                <w:szCs w:val="20"/>
                <w:lang w:val="sl-SI"/>
              </w:rPr>
              <w:t>3.305</w:t>
            </w:r>
            <w:r w:rsidR="009227B9" w:rsidRPr="002D157E">
              <w:rPr>
                <w:rFonts w:cs="Arial"/>
                <w:szCs w:val="20"/>
                <w:lang w:val="sl-SI"/>
              </w:rPr>
              <w:t>.000</w:t>
            </w:r>
            <w:r w:rsidR="009227B9" w:rsidRPr="003F1F7B">
              <w:rPr>
                <w:rFonts w:cs="Arial"/>
                <w:szCs w:val="20"/>
                <w:lang w:val="sl-SI"/>
              </w:rPr>
              <w:t xml:space="preserve"> </w:t>
            </w:r>
            <w:r w:rsidR="00F92675">
              <w:rPr>
                <w:rFonts w:cs="Arial"/>
                <w:szCs w:val="20"/>
                <w:lang w:val="sl-SI"/>
              </w:rPr>
              <w:t>eurov</w:t>
            </w:r>
            <w:r w:rsidR="00F92675" w:rsidRPr="003F1F7B">
              <w:rPr>
                <w:rFonts w:cs="Arial"/>
                <w:szCs w:val="20"/>
                <w:lang w:val="sl-SI"/>
              </w:rPr>
              <w:t xml:space="preserve"> </w:t>
            </w:r>
            <w:r w:rsidR="00D05D06" w:rsidRPr="003F1F7B">
              <w:rPr>
                <w:rFonts w:cs="Arial"/>
                <w:szCs w:val="20"/>
                <w:lang w:val="sl-SI"/>
              </w:rPr>
              <w:t>iz proračunske postavke 221065 Skupni strateški načrt 2023-2027 – EKSRP – slovenska udeležba</w:t>
            </w:r>
            <w:r w:rsidR="009227B9" w:rsidRPr="003F1F7B">
              <w:rPr>
                <w:rFonts w:cs="Arial"/>
                <w:szCs w:val="20"/>
                <w:lang w:val="sl-SI"/>
              </w:rPr>
              <w:t xml:space="preserve">. </w:t>
            </w:r>
          </w:p>
          <w:p w14:paraId="692636AE" w14:textId="77777777" w:rsidR="009227B9" w:rsidRPr="003F1F7B" w:rsidRDefault="009227B9" w:rsidP="009227B9">
            <w:pPr>
              <w:autoSpaceDE w:val="0"/>
              <w:autoSpaceDN w:val="0"/>
              <w:adjustRightInd w:val="0"/>
              <w:ind w:left="312"/>
              <w:jc w:val="both"/>
              <w:rPr>
                <w:rFonts w:cs="Arial"/>
                <w:szCs w:val="20"/>
                <w:lang w:val="sl-SI"/>
              </w:rPr>
            </w:pPr>
          </w:p>
          <w:p w14:paraId="7A0CA80B" w14:textId="529EECBE" w:rsidR="009227B9" w:rsidRPr="003F1F7B" w:rsidRDefault="009227B9" w:rsidP="009227B9">
            <w:pPr>
              <w:autoSpaceDE w:val="0"/>
              <w:autoSpaceDN w:val="0"/>
              <w:adjustRightInd w:val="0"/>
              <w:ind w:left="27"/>
              <w:jc w:val="both"/>
              <w:rPr>
                <w:rFonts w:cs="Arial"/>
                <w:szCs w:val="20"/>
                <w:lang w:val="sl-SI" w:eastAsia="sl-SI"/>
              </w:rPr>
            </w:pPr>
            <w:r w:rsidRPr="003F1F7B">
              <w:rPr>
                <w:rFonts w:cs="Arial"/>
                <w:szCs w:val="20"/>
                <w:lang w:val="sl-SI"/>
              </w:rPr>
              <w:t>Delež sredstev Evropskega kmetijskega sklada za razvoj podeželja znaša 33,9</w:t>
            </w:r>
            <w:r w:rsidRPr="00654A4E">
              <w:rPr>
                <w:lang w:val="sl-SI"/>
              </w:rPr>
              <w:t xml:space="preserve"> </w:t>
            </w:r>
            <w:r w:rsidR="00F92675">
              <w:rPr>
                <w:rFonts w:cs="Arial"/>
                <w:szCs w:val="20"/>
                <w:lang w:val="sl-SI"/>
              </w:rPr>
              <w:t>%</w:t>
            </w:r>
            <w:r w:rsidRPr="003F1F7B">
              <w:rPr>
                <w:rFonts w:cs="Arial"/>
                <w:szCs w:val="20"/>
                <w:lang w:val="sl-SI"/>
              </w:rPr>
              <w:t xml:space="preserve">, delež sredstev iz proračuna Republike Slovenije pa 66,1 </w:t>
            </w:r>
            <w:r w:rsidR="00F92675">
              <w:rPr>
                <w:rFonts w:cs="Arial"/>
                <w:szCs w:val="20"/>
                <w:lang w:val="sl-SI"/>
              </w:rPr>
              <w:t>%</w:t>
            </w:r>
            <w:r w:rsidRPr="003F1F7B"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9227B9" w:rsidRPr="003F1F7B" w14:paraId="64100D00" w14:textId="77777777" w:rsidTr="009227B9">
        <w:trPr>
          <w:trHeight w:val="445"/>
        </w:trPr>
        <w:tc>
          <w:tcPr>
            <w:tcW w:w="2552" w:type="dxa"/>
            <w:shd w:val="clear" w:color="auto" w:fill="F2F2F2"/>
            <w:vAlign w:val="center"/>
          </w:tcPr>
          <w:p w14:paraId="207B66D8" w14:textId="5C6F3F20" w:rsidR="009227B9" w:rsidRPr="003F1F7B" w:rsidRDefault="009227B9" w:rsidP="009227B9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Vrsta javnega razpisa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39253932" w14:textId="77777777" w:rsidR="009227B9" w:rsidRPr="003F1F7B" w:rsidRDefault="00F92675" w:rsidP="009227B9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3F1F7B">
              <w:rPr>
                <w:rFonts w:ascii="Arial" w:hAnsi="Arial" w:cs="Arial"/>
                <w:sz w:val="20"/>
                <w:lang w:val="sl-SI"/>
              </w:rPr>
              <w:t>Zaprti</w:t>
            </w:r>
            <w:r>
              <w:rPr>
                <w:rFonts w:ascii="Arial" w:hAnsi="Arial" w:cs="Arial"/>
                <w:sz w:val="20"/>
                <w:lang w:val="sl-SI"/>
              </w:rPr>
              <w:t>.</w:t>
            </w:r>
            <w:r w:rsidR="009227B9" w:rsidRPr="003F1F7B">
              <w:rPr>
                <w:rFonts w:ascii="Arial" w:hAnsi="Arial" w:cs="Arial"/>
                <w:sz w:val="20"/>
                <w:lang w:val="sl-SI"/>
              </w:rPr>
              <w:t xml:space="preserve">                                              </w:t>
            </w:r>
          </w:p>
        </w:tc>
      </w:tr>
      <w:tr w:rsidR="009227B9" w:rsidRPr="00E2773F" w14:paraId="12749DFE" w14:textId="77777777" w:rsidTr="009227B9">
        <w:trPr>
          <w:trHeight w:val="744"/>
        </w:trPr>
        <w:tc>
          <w:tcPr>
            <w:tcW w:w="2552" w:type="dxa"/>
            <w:shd w:val="clear" w:color="auto" w:fill="F2F2F2"/>
            <w:vAlign w:val="center"/>
          </w:tcPr>
          <w:p w14:paraId="6F369D56" w14:textId="4F45A859" w:rsidR="009227B9" w:rsidRPr="003F1F7B" w:rsidRDefault="00F92675" w:rsidP="009227B9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Vložitev</w:t>
            </w:r>
            <w:r w:rsidR="009227B9" w:rsidRPr="003F1F7B">
              <w:rPr>
                <w:rFonts w:cs="Arial"/>
                <w:b/>
                <w:szCs w:val="20"/>
                <w:lang w:val="sl-SI"/>
              </w:rPr>
              <w:t xml:space="preserve"> vloge na javni razpis 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1D3EEF72" w14:textId="50C273ED" w:rsidR="009227B9" w:rsidRPr="003F1F7B" w:rsidRDefault="009227B9" w:rsidP="004C5C57">
            <w:pPr>
              <w:jc w:val="both"/>
              <w:rPr>
                <w:rFonts w:cs="Arial"/>
                <w:szCs w:val="20"/>
                <w:lang w:val="sl-SI"/>
              </w:rPr>
            </w:pPr>
            <w:r w:rsidRPr="003F1F7B">
              <w:rPr>
                <w:rFonts w:cs="Arial"/>
                <w:szCs w:val="20"/>
                <w:lang w:val="sl-SI"/>
              </w:rPr>
              <w:t xml:space="preserve">Vložitev vloge na javni razpis </w:t>
            </w:r>
            <w:r w:rsidRPr="002D157E">
              <w:rPr>
                <w:rFonts w:cs="Arial"/>
                <w:szCs w:val="20"/>
                <w:lang w:val="sl-SI"/>
              </w:rPr>
              <w:t xml:space="preserve">poteka od </w:t>
            </w:r>
            <w:r w:rsidR="002D157E" w:rsidRPr="002D157E">
              <w:rPr>
                <w:rFonts w:cs="Arial"/>
                <w:szCs w:val="20"/>
                <w:lang w:val="sl-SI"/>
              </w:rPr>
              <w:t>2</w:t>
            </w:r>
            <w:r w:rsidR="004C5C57">
              <w:rPr>
                <w:rFonts w:cs="Arial"/>
                <w:szCs w:val="20"/>
                <w:lang w:val="sl-SI"/>
              </w:rPr>
              <w:t>0</w:t>
            </w:r>
            <w:r w:rsidRPr="002D157E">
              <w:rPr>
                <w:rFonts w:cs="Arial"/>
                <w:szCs w:val="20"/>
                <w:lang w:val="sl-SI"/>
              </w:rPr>
              <w:t xml:space="preserve">. </w:t>
            </w:r>
            <w:r w:rsidR="00356C92">
              <w:rPr>
                <w:rFonts w:cs="Arial"/>
                <w:szCs w:val="20"/>
                <w:lang w:val="sl-SI"/>
              </w:rPr>
              <w:t>maja</w:t>
            </w:r>
            <w:r w:rsidRPr="002D157E">
              <w:rPr>
                <w:rFonts w:cs="Arial"/>
                <w:szCs w:val="20"/>
                <w:lang w:val="sl-SI"/>
              </w:rPr>
              <w:t xml:space="preserve"> 202</w:t>
            </w:r>
            <w:r w:rsidR="002D157E" w:rsidRPr="002D157E">
              <w:rPr>
                <w:rFonts w:cs="Arial"/>
                <w:szCs w:val="20"/>
                <w:lang w:val="sl-SI"/>
              </w:rPr>
              <w:t>4</w:t>
            </w:r>
            <w:r w:rsidR="00CD6FF3">
              <w:rPr>
                <w:rFonts w:cs="Arial"/>
                <w:szCs w:val="20"/>
                <w:lang w:val="sl-SI"/>
              </w:rPr>
              <w:t xml:space="preserve"> od 8. ure</w:t>
            </w:r>
            <w:r w:rsidR="002D157E" w:rsidRPr="002D157E">
              <w:rPr>
                <w:rFonts w:cs="Arial"/>
                <w:szCs w:val="20"/>
                <w:lang w:val="sl-SI"/>
              </w:rPr>
              <w:t xml:space="preserve"> do vključno </w:t>
            </w:r>
            <w:r w:rsidR="00356C92">
              <w:rPr>
                <w:rFonts w:cs="Arial"/>
                <w:szCs w:val="20"/>
                <w:lang w:val="sl-SI"/>
              </w:rPr>
              <w:t>2</w:t>
            </w:r>
            <w:r w:rsidRPr="002D157E">
              <w:rPr>
                <w:rFonts w:cs="Arial"/>
                <w:szCs w:val="20"/>
                <w:lang w:val="sl-SI"/>
              </w:rPr>
              <w:t xml:space="preserve">. </w:t>
            </w:r>
            <w:r w:rsidR="00356C92">
              <w:rPr>
                <w:rFonts w:cs="Arial"/>
                <w:szCs w:val="20"/>
                <w:lang w:val="sl-SI"/>
              </w:rPr>
              <w:t>avgusta</w:t>
            </w:r>
            <w:r w:rsidRPr="002D157E">
              <w:rPr>
                <w:rFonts w:cs="Arial"/>
                <w:szCs w:val="20"/>
                <w:lang w:val="sl-SI"/>
              </w:rPr>
              <w:t xml:space="preserve"> 202</w:t>
            </w:r>
            <w:r w:rsidR="002D157E" w:rsidRPr="002D157E">
              <w:rPr>
                <w:rFonts w:cs="Arial"/>
                <w:szCs w:val="20"/>
                <w:lang w:val="sl-SI"/>
              </w:rPr>
              <w:t>4</w:t>
            </w:r>
            <w:r w:rsidRPr="002D157E">
              <w:rPr>
                <w:rFonts w:cs="Arial"/>
                <w:szCs w:val="20"/>
                <w:lang w:val="sl-SI"/>
              </w:rPr>
              <w:t xml:space="preserve"> do 14. ure.</w:t>
            </w:r>
          </w:p>
        </w:tc>
      </w:tr>
      <w:tr w:rsidR="003F1F7B" w:rsidRPr="00E2773F" w14:paraId="55832CBB" w14:textId="77777777" w:rsidTr="00460204">
        <w:trPr>
          <w:trHeight w:val="1068"/>
        </w:trPr>
        <w:tc>
          <w:tcPr>
            <w:tcW w:w="2552" w:type="dxa"/>
            <w:shd w:val="clear" w:color="auto" w:fill="F2F2F2"/>
            <w:vAlign w:val="center"/>
          </w:tcPr>
          <w:p w14:paraId="1EDDC7E2" w14:textId="77777777" w:rsidR="003F1F7B" w:rsidRPr="003F1F7B" w:rsidRDefault="003F1F7B" w:rsidP="0092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  <w:lang w:val="sl-SI"/>
              </w:rPr>
            </w:pPr>
            <w:r w:rsidRPr="003F1F7B">
              <w:rPr>
                <w:rFonts w:cs="Arial"/>
                <w:b/>
                <w:szCs w:val="20"/>
                <w:lang w:val="sl-SI"/>
              </w:rPr>
              <w:t>Informacije o razpisu:</w:t>
            </w:r>
          </w:p>
        </w:tc>
        <w:tc>
          <w:tcPr>
            <w:tcW w:w="5828" w:type="dxa"/>
            <w:shd w:val="clear" w:color="auto" w:fill="F2F2F2"/>
            <w:vAlign w:val="center"/>
          </w:tcPr>
          <w:p w14:paraId="3D49DBD4" w14:textId="09AB646A" w:rsidR="003F1F7B" w:rsidRPr="003F1F7B" w:rsidRDefault="003F1F7B" w:rsidP="003F1F7B">
            <w:pPr>
              <w:tabs>
                <w:tab w:val="num" w:pos="1440"/>
              </w:tabs>
              <w:suppressAutoHyphens/>
              <w:jc w:val="both"/>
              <w:rPr>
                <w:rFonts w:cs="Arial"/>
                <w:szCs w:val="20"/>
                <w:lang w:val="sl-SI"/>
              </w:rPr>
            </w:pPr>
            <w:r w:rsidRPr="003F1F7B">
              <w:rPr>
                <w:rFonts w:cs="Arial"/>
                <w:bCs/>
                <w:color w:val="000000"/>
                <w:szCs w:val="20"/>
                <w:lang w:val="sl-SI"/>
              </w:rPr>
              <w:t xml:space="preserve">Informacije o javnem razpisu so dostopne na naslednji povezavi: </w:t>
            </w:r>
            <w:r w:rsidRPr="00654A4E">
              <w:rPr>
                <w:rFonts w:cs="Arial"/>
                <w:bCs/>
                <w:szCs w:val="20"/>
                <w:lang w:val="sl-SI"/>
              </w:rPr>
              <w:t>https://skp.si/aktualno/info-tocke</w:t>
            </w:r>
            <w:r w:rsidRPr="003F1F7B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</w:p>
        </w:tc>
      </w:tr>
    </w:tbl>
    <w:p w14:paraId="59F30876" w14:textId="77777777" w:rsidR="00C174A4" w:rsidRPr="003F1F7B" w:rsidRDefault="00C174A4" w:rsidP="00C174A4">
      <w:pPr>
        <w:pStyle w:val="Odstavekseznama"/>
        <w:jc w:val="both"/>
        <w:rPr>
          <w:rFonts w:ascii="Arial" w:hAnsi="Arial" w:cs="Arial"/>
          <w:b/>
          <w:sz w:val="22"/>
          <w:szCs w:val="22"/>
          <w:lang w:val="sl-SI" w:eastAsia="sl-SI"/>
        </w:rPr>
      </w:pPr>
    </w:p>
    <w:p w14:paraId="5B9885D6" w14:textId="1B1D3D9D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2. NAMEN</w:t>
      </w:r>
      <w:r w:rsidR="00F92675">
        <w:rPr>
          <w:rFonts w:ascii="Arial" w:hAnsi="Arial" w:cs="Arial"/>
          <w:b/>
          <w:lang w:val="sl-SI"/>
        </w:rPr>
        <w:t xml:space="preserve"> IN CILJ</w:t>
      </w:r>
      <w:r w:rsidRPr="003F1F7B">
        <w:rPr>
          <w:rFonts w:ascii="Arial" w:hAnsi="Arial" w:cs="Arial"/>
          <w:b/>
          <w:lang w:val="sl-SI"/>
        </w:rPr>
        <w:t xml:space="preserve"> PODPORE </w:t>
      </w:r>
    </w:p>
    <w:p w14:paraId="4BD17C03" w14:textId="77777777" w:rsidR="00CA25F5" w:rsidRPr="003F1F7B" w:rsidRDefault="00CA25F5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05533CF6" w14:textId="0D4F99AA" w:rsidR="003F1F7B" w:rsidRPr="003F1F7B" w:rsidRDefault="003F1F7B" w:rsidP="003F1F7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 w:rsidRPr="003F1F7B">
        <w:rPr>
          <w:rFonts w:cs="Arial"/>
          <w:szCs w:val="20"/>
          <w:lang w:val="sl-SI"/>
        </w:rPr>
        <w:t>Namen</w:t>
      </w:r>
      <w:r w:rsidR="00F92675">
        <w:rPr>
          <w:rFonts w:cs="Arial"/>
          <w:szCs w:val="20"/>
          <w:lang w:val="sl-SI"/>
        </w:rPr>
        <w:t xml:space="preserve"> in cilj</w:t>
      </w:r>
      <w:r w:rsidRPr="003F1F7B">
        <w:rPr>
          <w:rFonts w:cs="Arial"/>
          <w:szCs w:val="20"/>
          <w:lang w:val="sl-SI"/>
        </w:rPr>
        <w:t xml:space="preserve"> podpore </w:t>
      </w:r>
      <w:r w:rsidR="00F92675">
        <w:rPr>
          <w:rFonts w:cs="Arial"/>
          <w:szCs w:val="20"/>
          <w:lang w:val="sl-SI"/>
        </w:rPr>
        <w:t>sta</w:t>
      </w:r>
      <w:r w:rsidRPr="003F1F7B">
        <w:rPr>
          <w:rFonts w:cs="Arial"/>
          <w:szCs w:val="20"/>
          <w:lang w:val="sl-SI"/>
        </w:rPr>
        <w:t xml:space="preserve"> določen</w:t>
      </w:r>
      <w:r w:rsidR="00F92675">
        <w:rPr>
          <w:rFonts w:cs="Arial"/>
          <w:szCs w:val="20"/>
          <w:lang w:val="sl-SI"/>
        </w:rPr>
        <w:t>a</w:t>
      </w:r>
      <w:r w:rsidRPr="003F1F7B">
        <w:rPr>
          <w:rFonts w:cs="Arial"/>
          <w:szCs w:val="20"/>
          <w:lang w:val="sl-SI"/>
        </w:rPr>
        <w:t xml:space="preserve"> v 18. členu uredb</w:t>
      </w:r>
      <w:r w:rsidR="00B26CD0">
        <w:rPr>
          <w:rFonts w:cs="Arial"/>
          <w:szCs w:val="20"/>
          <w:lang w:val="sl-SI"/>
        </w:rPr>
        <w:t>e</w:t>
      </w:r>
      <w:r w:rsidR="00261AF3" w:rsidRPr="00261AF3">
        <w:rPr>
          <w:rFonts w:cs="Arial"/>
          <w:szCs w:val="20"/>
          <w:lang w:val="sl-SI"/>
        </w:rPr>
        <w:t xml:space="preserve"> </w:t>
      </w:r>
      <w:r w:rsidR="00261AF3" w:rsidRPr="003F1F7B">
        <w:rPr>
          <w:rFonts w:cs="Arial"/>
          <w:szCs w:val="20"/>
          <w:lang w:val="sl-SI"/>
        </w:rPr>
        <w:t>o izvajanju intervencij s področja zemljiških operacij</w:t>
      </w:r>
      <w:r w:rsidRPr="003F1F7B">
        <w:rPr>
          <w:rFonts w:cs="Arial"/>
          <w:szCs w:val="20"/>
          <w:lang w:val="sl-SI"/>
        </w:rPr>
        <w:t>.</w:t>
      </w:r>
    </w:p>
    <w:p w14:paraId="65565127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3B743051" w14:textId="3E8F5FF9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3. VLAGATELJ IN UPRAVIČENEC</w:t>
      </w:r>
    </w:p>
    <w:p w14:paraId="1D61A7FB" w14:textId="77777777" w:rsidR="00CA25F5" w:rsidRPr="003F1F7B" w:rsidRDefault="00CA25F5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736E6385" w14:textId="6C8004F1" w:rsidR="003F1F7B" w:rsidRDefault="00B26CD0" w:rsidP="003F1F7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(1) </w:t>
      </w:r>
      <w:r w:rsidR="003F1F7B">
        <w:rPr>
          <w:rFonts w:cs="Arial"/>
          <w:szCs w:val="20"/>
          <w:lang w:val="sl-SI"/>
        </w:rPr>
        <w:t xml:space="preserve">Vlagatelj </w:t>
      </w:r>
      <w:r>
        <w:rPr>
          <w:rFonts w:cs="Arial"/>
          <w:szCs w:val="20"/>
          <w:lang w:val="sl-SI"/>
        </w:rPr>
        <w:t>je</w:t>
      </w:r>
      <w:r w:rsidR="003F1F7B" w:rsidRPr="003F1F7B">
        <w:rPr>
          <w:rFonts w:cs="Arial"/>
          <w:szCs w:val="20"/>
          <w:lang w:val="sl-SI"/>
        </w:rPr>
        <w:t xml:space="preserve"> določen v </w:t>
      </w:r>
      <w:r>
        <w:rPr>
          <w:rFonts w:cs="Arial"/>
          <w:szCs w:val="20"/>
          <w:lang w:val="sl-SI"/>
        </w:rPr>
        <w:t xml:space="preserve">prvem odstavku </w:t>
      </w:r>
      <w:r w:rsidR="003F1F7B" w:rsidRPr="003F1F7B">
        <w:rPr>
          <w:rFonts w:cs="Arial"/>
          <w:szCs w:val="20"/>
          <w:lang w:val="sl-SI"/>
        </w:rPr>
        <w:t>19. člen</w:t>
      </w:r>
      <w:r>
        <w:rPr>
          <w:rFonts w:cs="Arial"/>
          <w:szCs w:val="20"/>
          <w:lang w:val="sl-SI"/>
        </w:rPr>
        <w:t>a</w:t>
      </w:r>
      <w:r w:rsidR="003F1F7B">
        <w:rPr>
          <w:rFonts w:cs="Arial"/>
          <w:szCs w:val="20"/>
          <w:lang w:val="sl-SI"/>
        </w:rPr>
        <w:t xml:space="preserve"> u</w:t>
      </w:r>
      <w:r w:rsidR="003F1F7B" w:rsidRPr="003F1F7B">
        <w:rPr>
          <w:rFonts w:cs="Arial"/>
          <w:szCs w:val="20"/>
          <w:lang w:val="sl-SI"/>
        </w:rPr>
        <w:t>redbe</w:t>
      </w:r>
      <w:r w:rsidR="00261AF3">
        <w:rPr>
          <w:rFonts w:cs="Arial"/>
          <w:szCs w:val="20"/>
          <w:lang w:val="sl-SI"/>
        </w:rPr>
        <w:t xml:space="preserve"> </w:t>
      </w:r>
      <w:r w:rsidR="00261AF3" w:rsidRPr="003F1F7B">
        <w:rPr>
          <w:rFonts w:cs="Arial"/>
          <w:szCs w:val="20"/>
          <w:lang w:val="sl-SI"/>
        </w:rPr>
        <w:t>o izvajanju intervencij s področja zemljiških operacij</w:t>
      </w:r>
      <w:r w:rsidR="003F1F7B" w:rsidRPr="003F1F7B">
        <w:rPr>
          <w:rFonts w:cs="Arial"/>
          <w:szCs w:val="20"/>
          <w:lang w:val="sl-SI"/>
        </w:rPr>
        <w:t>.</w:t>
      </w:r>
    </w:p>
    <w:p w14:paraId="6CECEC2F" w14:textId="77777777" w:rsidR="00B26CD0" w:rsidRDefault="00B26CD0" w:rsidP="00B26CD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(2) U</w:t>
      </w:r>
      <w:r w:rsidRPr="003F1F7B">
        <w:rPr>
          <w:rFonts w:cs="Arial"/>
          <w:szCs w:val="20"/>
          <w:lang w:val="sl-SI"/>
        </w:rPr>
        <w:t xml:space="preserve">pravičenec </w:t>
      </w:r>
      <w:r>
        <w:rPr>
          <w:rFonts w:cs="Arial"/>
          <w:szCs w:val="20"/>
          <w:lang w:val="sl-SI"/>
        </w:rPr>
        <w:t>je</w:t>
      </w:r>
      <w:r w:rsidRPr="003F1F7B">
        <w:rPr>
          <w:rFonts w:cs="Arial"/>
          <w:szCs w:val="20"/>
          <w:lang w:val="sl-SI"/>
        </w:rPr>
        <w:t xml:space="preserve"> določen v </w:t>
      </w:r>
      <w:r>
        <w:rPr>
          <w:rFonts w:cs="Arial"/>
          <w:szCs w:val="20"/>
          <w:lang w:val="sl-SI"/>
        </w:rPr>
        <w:t xml:space="preserve">drugem odstavku </w:t>
      </w:r>
      <w:r w:rsidRPr="003F1F7B">
        <w:rPr>
          <w:rFonts w:cs="Arial"/>
          <w:szCs w:val="20"/>
          <w:lang w:val="sl-SI"/>
        </w:rPr>
        <w:t>19. člen</w:t>
      </w:r>
      <w:r>
        <w:rPr>
          <w:rFonts w:cs="Arial"/>
          <w:szCs w:val="20"/>
          <w:lang w:val="sl-SI"/>
        </w:rPr>
        <w:t>a u</w:t>
      </w:r>
      <w:r w:rsidRPr="003F1F7B">
        <w:rPr>
          <w:rFonts w:cs="Arial"/>
          <w:szCs w:val="20"/>
          <w:lang w:val="sl-SI"/>
        </w:rPr>
        <w:t>redbe</w:t>
      </w:r>
      <w:r>
        <w:rPr>
          <w:rFonts w:cs="Arial"/>
          <w:szCs w:val="20"/>
          <w:lang w:val="sl-SI"/>
        </w:rPr>
        <w:t xml:space="preserve"> </w:t>
      </w:r>
      <w:r w:rsidRPr="003F1F7B">
        <w:rPr>
          <w:rFonts w:cs="Arial"/>
          <w:szCs w:val="20"/>
          <w:lang w:val="sl-SI"/>
        </w:rPr>
        <w:t>o izvajanju intervencij s področja zemljiških operacij.</w:t>
      </w:r>
    </w:p>
    <w:p w14:paraId="5CB47A16" w14:textId="77777777" w:rsidR="0009537C" w:rsidRDefault="0009537C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1847611E" w14:textId="3DF4357B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4. POGOJI </w:t>
      </w:r>
      <w:r w:rsidR="00AD3C8C">
        <w:rPr>
          <w:rFonts w:ascii="Arial" w:hAnsi="Arial" w:cs="Arial"/>
          <w:b/>
          <w:lang w:val="sl-SI"/>
        </w:rPr>
        <w:t>ZA DODELITEV PODPORE</w:t>
      </w:r>
    </w:p>
    <w:p w14:paraId="05657D2A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6EA55A90" w14:textId="4C925097" w:rsidR="00901F10" w:rsidRDefault="00721805" w:rsidP="00E71511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(1)</w:t>
      </w:r>
      <w:r w:rsidR="003F1F7B">
        <w:rPr>
          <w:rFonts w:ascii="Arial" w:hAnsi="Arial" w:cs="Arial"/>
          <w:lang w:val="sl-SI"/>
        </w:rPr>
        <w:t xml:space="preserve"> </w:t>
      </w:r>
      <w:r w:rsidR="00920645" w:rsidRPr="00920645">
        <w:rPr>
          <w:rFonts w:ascii="Arial" w:hAnsi="Arial" w:cs="Arial"/>
          <w:lang w:val="sl-SI"/>
        </w:rPr>
        <w:t>Vlagatelj mora ob</w:t>
      </w:r>
      <w:r w:rsidR="007250C8">
        <w:rPr>
          <w:rFonts w:ascii="Arial" w:hAnsi="Arial" w:cs="Arial"/>
          <w:lang w:val="sl-SI"/>
        </w:rPr>
        <w:t xml:space="preserve"> vložitvi vloge na javni razpis </w:t>
      </w:r>
      <w:r w:rsidR="00920645" w:rsidRPr="00920645">
        <w:rPr>
          <w:rFonts w:ascii="Arial" w:hAnsi="Arial" w:cs="Arial"/>
          <w:lang w:val="sl-SI"/>
        </w:rPr>
        <w:t>izpolnjevati pogoje iz 9.</w:t>
      </w:r>
      <w:r w:rsidR="007250C8">
        <w:rPr>
          <w:rFonts w:ascii="Arial" w:hAnsi="Arial" w:cs="Arial"/>
          <w:lang w:val="sl-SI"/>
        </w:rPr>
        <w:t xml:space="preserve"> in 11.</w:t>
      </w:r>
      <w:r w:rsidR="00920645" w:rsidRPr="00920645">
        <w:rPr>
          <w:rFonts w:ascii="Arial" w:hAnsi="Arial" w:cs="Arial"/>
          <w:lang w:val="sl-SI"/>
        </w:rPr>
        <w:t xml:space="preserve"> člena</w:t>
      </w:r>
      <w:r w:rsidR="00CD6FF3">
        <w:rPr>
          <w:rFonts w:ascii="Arial" w:hAnsi="Arial" w:cs="Arial"/>
          <w:lang w:val="sl-SI"/>
        </w:rPr>
        <w:t xml:space="preserve"> ter prvega in drugega odstavka 10. člena</w:t>
      </w:r>
      <w:r w:rsidR="00920645" w:rsidRPr="00920645">
        <w:rPr>
          <w:rFonts w:ascii="Arial" w:hAnsi="Arial" w:cs="Arial"/>
          <w:lang w:val="sl-SI"/>
        </w:rPr>
        <w:t xml:space="preserve"> uredbe o skupnih</w:t>
      </w:r>
      <w:r w:rsidR="007250C8">
        <w:rPr>
          <w:rFonts w:ascii="Arial" w:hAnsi="Arial" w:cs="Arial"/>
          <w:lang w:val="sl-SI"/>
        </w:rPr>
        <w:t xml:space="preserve"> </w:t>
      </w:r>
      <w:r w:rsidR="00920645" w:rsidRPr="00920645">
        <w:rPr>
          <w:rFonts w:ascii="Arial" w:hAnsi="Arial" w:cs="Arial"/>
          <w:lang w:val="sl-SI"/>
        </w:rPr>
        <w:t>določbah za izvajanje intervencij.</w:t>
      </w:r>
    </w:p>
    <w:p w14:paraId="30EEFB22" w14:textId="386DD812" w:rsidR="00E71511" w:rsidRPr="004569AB" w:rsidRDefault="00BE7033" w:rsidP="00143B73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="00E71511">
        <w:rPr>
          <w:rFonts w:ascii="Arial" w:hAnsi="Arial" w:cs="Arial"/>
          <w:lang w:val="sl-SI"/>
        </w:rPr>
        <w:t>I</w:t>
      </w:r>
      <w:r w:rsidR="00E71511" w:rsidRPr="004569AB">
        <w:rPr>
          <w:rFonts w:ascii="Arial" w:hAnsi="Arial" w:cs="Arial"/>
          <w:lang w:val="sl-SI"/>
        </w:rPr>
        <w:t xml:space="preserve">zpolnjevanje pogoja iz </w:t>
      </w:r>
      <w:r w:rsidR="00E71511">
        <w:rPr>
          <w:rFonts w:ascii="Arial" w:hAnsi="Arial" w:cs="Arial"/>
          <w:lang w:val="sl-SI"/>
        </w:rPr>
        <w:t>4</w:t>
      </w:r>
      <w:r w:rsidR="00E71511" w:rsidRPr="004569AB">
        <w:rPr>
          <w:rFonts w:ascii="Arial" w:hAnsi="Arial" w:cs="Arial"/>
          <w:lang w:val="sl-SI"/>
        </w:rPr>
        <w:t xml:space="preserve">. točke </w:t>
      </w:r>
      <w:r w:rsidR="00E71511">
        <w:rPr>
          <w:rFonts w:ascii="Arial" w:hAnsi="Arial" w:cs="Arial"/>
          <w:lang w:val="sl-SI"/>
        </w:rPr>
        <w:t>drugega odstavka 9</w:t>
      </w:r>
      <w:r w:rsidR="00E71511" w:rsidRPr="004569AB">
        <w:rPr>
          <w:rFonts w:ascii="Arial" w:hAnsi="Arial" w:cs="Arial"/>
          <w:lang w:val="sl-SI"/>
        </w:rPr>
        <w:t xml:space="preserve">. člena </w:t>
      </w:r>
      <w:r w:rsidR="00E71511">
        <w:rPr>
          <w:rFonts w:ascii="Arial" w:hAnsi="Arial" w:cs="Arial"/>
          <w:lang w:val="sl-SI"/>
        </w:rPr>
        <w:t>uredbe</w:t>
      </w:r>
      <w:r w:rsidR="00E71511" w:rsidRPr="005B3E96">
        <w:rPr>
          <w:rFonts w:ascii="Arial" w:hAnsi="Arial" w:cs="Arial"/>
          <w:lang w:val="sl-SI"/>
        </w:rPr>
        <w:t xml:space="preserve"> o skupnih določbah za izvajanje intervencij </w:t>
      </w:r>
      <w:r w:rsidR="00E71511">
        <w:rPr>
          <w:rFonts w:ascii="Arial" w:hAnsi="Arial" w:cs="Arial"/>
          <w:lang w:val="sl-SI"/>
        </w:rPr>
        <w:t xml:space="preserve">se izkazuje </w:t>
      </w:r>
      <w:r w:rsidR="00E71511" w:rsidRPr="004569AB">
        <w:rPr>
          <w:rFonts w:ascii="Arial" w:hAnsi="Arial" w:cs="Arial"/>
          <w:lang w:val="sl-SI"/>
        </w:rPr>
        <w:t>s prilogo »Sklep</w:t>
      </w:r>
      <w:r w:rsidR="00805644">
        <w:rPr>
          <w:rFonts w:ascii="Arial" w:hAnsi="Arial" w:cs="Arial"/>
          <w:lang w:val="sl-SI"/>
        </w:rPr>
        <w:t xml:space="preserve"> občinskega sveta</w:t>
      </w:r>
      <w:r w:rsidR="00E71511" w:rsidRPr="004569AB">
        <w:rPr>
          <w:rFonts w:ascii="Arial" w:hAnsi="Arial" w:cs="Arial"/>
          <w:lang w:val="sl-SI"/>
        </w:rPr>
        <w:t xml:space="preserve"> o potrditvi dokumenta identifikacije investicijskega projekta (DIIP) oziroma</w:t>
      </w:r>
      <w:r w:rsidR="00EE7098">
        <w:rPr>
          <w:rFonts w:ascii="Arial" w:hAnsi="Arial" w:cs="Arial"/>
          <w:lang w:val="sl-SI"/>
        </w:rPr>
        <w:t xml:space="preserve"> investicijskega programa (IP)«,</w:t>
      </w:r>
      <w:r w:rsidR="00143B73">
        <w:rPr>
          <w:rFonts w:ascii="Arial" w:hAnsi="Arial" w:cs="Arial"/>
          <w:lang w:val="sl-SI"/>
        </w:rPr>
        <w:t xml:space="preserve"> </w:t>
      </w:r>
      <w:r w:rsidR="00143B73" w:rsidRPr="00143B73">
        <w:rPr>
          <w:rFonts w:ascii="Arial" w:hAnsi="Arial" w:cs="Arial"/>
          <w:lang w:val="sl-SI"/>
        </w:rPr>
        <w:t xml:space="preserve">ki </w:t>
      </w:r>
      <w:r w:rsidR="00143B73">
        <w:rPr>
          <w:rFonts w:ascii="Arial" w:hAnsi="Arial" w:cs="Arial"/>
          <w:lang w:val="sl-SI"/>
        </w:rPr>
        <w:t xml:space="preserve">je </w:t>
      </w:r>
      <w:r w:rsidR="00143B73" w:rsidRPr="00143B73">
        <w:rPr>
          <w:rFonts w:ascii="Arial" w:hAnsi="Arial" w:cs="Arial"/>
          <w:lang w:val="sl-SI"/>
        </w:rPr>
        <w:t>v prilogi razpisne dokumentacije.</w:t>
      </w:r>
    </w:p>
    <w:p w14:paraId="5B250DC8" w14:textId="7ECF8916" w:rsidR="00E71511" w:rsidRDefault="00BE7033" w:rsidP="00194120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(3) </w:t>
      </w:r>
      <w:r w:rsidR="00E71511">
        <w:rPr>
          <w:rFonts w:ascii="Arial" w:hAnsi="Arial" w:cs="Arial"/>
          <w:lang w:val="sl-SI"/>
        </w:rPr>
        <w:t>Če je vlagatelj naročnik v skladu z zakonom, ki ureja javno naročanje, mora v skladu s tretjim odstavkom 9. člena uredbe</w:t>
      </w:r>
      <w:r w:rsidR="00E71511" w:rsidRPr="005B3E96">
        <w:rPr>
          <w:rFonts w:ascii="Arial" w:hAnsi="Arial" w:cs="Arial"/>
          <w:lang w:val="sl-SI"/>
        </w:rPr>
        <w:t xml:space="preserve"> o skupnih določbah za izvajanje intervencij</w:t>
      </w:r>
      <w:r w:rsidR="00042310">
        <w:rPr>
          <w:rFonts w:ascii="Arial" w:hAnsi="Arial" w:cs="Arial"/>
          <w:lang w:val="sl-SI"/>
        </w:rPr>
        <w:t xml:space="preserve"> vlogi na javni razpis</w:t>
      </w:r>
      <w:r w:rsidR="00E71511" w:rsidRPr="005B3E96">
        <w:rPr>
          <w:rFonts w:ascii="Arial" w:hAnsi="Arial" w:cs="Arial"/>
          <w:lang w:val="sl-SI"/>
        </w:rPr>
        <w:t xml:space="preserve"> </w:t>
      </w:r>
      <w:r w:rsidR="00E71511">
        <w:rPr>
          <w:rFonts w:ascii="Arial" w:hAnsi="Arial" w:cs="Arial"/>
          <w:lang w:val="sl-SI"/>
        </w:rPr>
        <w:t>priložiti »Izjavo</w:t>
      </w:r>
      <w:r w:rsidR="00E71511" w:rsidRPr="00F631BD">
        <w:rPr>
          <w:rFonts w:ascii="Arial" w:hAnsi="Arial" w:cs="Arial"/>
          <w:lang w:val="sl-SI"/>
        </w:rPr>
        <w:t xml:space="preserve"> o izbiri izvajalca v skladu z Zakonom o javnem naročanju</w:t>
      </w:r>
      <w:r w:rsidR="00E71511">
        <w:rPr>
          <w:rFonts w:ascii="Arial" w:hAnsi="Arial" w:cs="Arial"/>
          <w:lang w:val="sl-SI"/>
        </w:rPr>
        <w:t>«</w:t>
      </w:r>
      <w:r w:rsidR="00EE7098">
        <w:rPr>
          <w:rFonts w:ascii="Arial" w:hAnsi="Arial" w:cs="Arial"/>
          <w:lang w:val="sl-SI"/>
        </w:rPr>
        <w:t>,</w:t>
      </w:r>
      <w:r w:rsidR="00EE7098" w:rsidRPr="00EE7098">
        <w:rPr>
          <w:rFonts w:ascii="Arial" w:hAnsi="Arial" w:cs="Arial"/>
          <w:lang w:val="sl-SI"/>
        </w:rPr>
        <w:t xml:space="preserve"> </w:t>
      </w:r>
      <w:r w:rsidR="00EE7098" w:rsidRPr="00143B73">
        <w:rPr>
          <w:rFonts w:ascii="Arial" w:hAnsi="Arial" w:cs="Arial"/>
          <w:lang w:val="sl-SI"/>
        </w:rPr>
        <w:t xml:space="preserve">ki </w:t>
      </w:r>
      <w:r w:rsidR="00EE7098">
        <w:rPr>
          <w:rFonts w:ascii="Arial" w:hAnsi="Arial" w:cs="Arial"/>
          <w:lang w:val="sl-SI"/>
        </w:rPr>
        <w:t xml:space="preserve">je </w:t>
      </w:r>
      <w:r w:rsidR="00EE7098" w:rsidRPr="00143B73">
        <w:rPr>
          <w:rFonts w:ascii="Arial" w:hAnsi="Arial" w:cs="Arial"/>
          <w:lang w:val="sl-SI"/>
        </w:rPr>
        <w:t>v prilogi razpisne dokumentacije.</w:t>
      </w:r>
    </w:p>
    <w:p w14:paraId="7F89F331" w14:textId="3D532D2C" w:rsidR="00BE7033" w:rsidRDefault="00BE7033" w:rsidP="00194120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2B39E2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 xml:space="preserve">) Če vlagatelj </w:t>
      </w:r>
      <w:r w:rsidRPr="00BE7033">
        <w:rPr>
          <w:rFonts w:ascii="Arial" w:hAnsi="Arial" w:cs="Arial"/>
          <w:lang w:val="sl-SI"/>
        </w:rPr>
        <w:t xml:space="preserve">kandidira za pridobitev sredstev za naložbo v ureditev objekta, pri kateri so že nastali stroški do vložitve vloge na javni razpis, mora vlogi na javni razpis </w:t>
      </w:r>
      <w:r>
        <w:rPr>
          <w:rFonts w:ascii="Arial" w:hAnsi="Arial" w:cs="Arial"/>
          <w:lang w:val="sl-SI"/>
        </w:rPr>
        <w:t xml:space="preserve">v skladu s 6. točko prvega odstavka 10. člena uredbe o skupnih določbah za izvajanje intervencij </w:t>
      </w:r>
      <w:r w:rsidRPr="00BE7033">
        <w:rPr>
          <w:rFonts w:ascii="Arial" w:hAnsi="Arial" w:cs="Arial"/>
          <w:lang w:val="sl-SI"/>
        </w:rPr>
        <w:t>priložiti</w:t>
      </w:r>
      <w:r>
        <w:rPr>
          <w:rFonts w:ascii="Arial" w:hAnsi="Arial" w:cs="Arial"/>
          <w:lang w:val="sl-SI"/>
        </w:rPr>
        <w:t xml:space="preserve"> »Izjavo o nastanku del«, ki je v prilogi razpisne dokumentacije.</w:t>
      </w:r>
    </w:p>
    <w:p w14:paraId="708A3084" w14:textId="3DFF3EAC" w:rsidR="00BE7033" w:rsidRDefault="00BE7033" w:rsidP="00194120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2B39E2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 xml:space="preserve">) </w:t>
      </w:r>
      <w:r w:rsidR="00CF15B0">
        <w:rPr>
          <w:rFonts w:ascii="Arial" w:hAnsi="Arial" w:cs="Arial"/>
          <w:lang w:val="sl-SI"/>
        </w:rPr>
        <w:t>Izpo</w:t>
      </w:r>
      <w:r w:rsidR="00CD6FF3">
        <w:rPr>
          <w:rFonts w:ascii="Arial" w:hAnsi="Arial" w:cs="Arial"/>
          <w:lang w:val="sl-SI"/>
        </w:rPr>
        <w:t>l</w:t>
      </w:r>
      <w:r w:rsidR="00CF15B0">
        <w:rPr>
          <w:rFonts w:ascii="Arial" w:hAnsi="Arial" w:cs="Arial"/>
          <w:lang w:val="sl-SI"/>
        </w:rPr>
        <w:t>njevanje pogoja iz 1. točke drugega odstavka 9</w:t>
      </w:r>
      <w:r w:rsidRPr="00BE7033">
        <w:rPr>
          <w:rFonts w:ascii="Arial" w:hAnsi="Arial" w:cs="Arial"/>
          <w:lang w:val="sl-SI"/>
        </w:rPr>
        <w:t>. člen</w:t>
      </w:r>
      <w:r w:rsidR="00CF15B0">
        <w:rPr>
          <w:rFonts w:ascii="Arial" w:hAnsi="Arial" w:cs="Arial"/>
          <w:lang w:val="sl-SI"/>
        </w:rPr>
        <w:t>a</w:t>
      </w:r>
      <w:r w:rsidRPr="00BE7033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u</w:t>
      </w:r>
      <w:r w:rsidRPr="00BE7033">
        <w:rPr>
          <w:rFonts w:ascii="Arial" w:hAnsi="Arial" w:cs="Arial"/>
          <w:lang w:val="sl-SI"/>
        </w:rPr>
        <w:t xml:space="preserve">redbe o skupnih določbah za izvajanje intervencij </w:t>
      </w:r>
      <w:r w:rsidR="0067205F">
        <w:rPr>
          <w:rFonts w:ascii="Arial" w:hAnsi="Arial" w:cs="Arial"/>
          <w:lang w:val="sl-SI"/>
        </w:rPr>
        <w:t>in izpolnjevanje pogoja</w:t>
      </w:r>
      <w:r w:rsidR="00CF15B0">
        <w:rPr>
          <w:rFonts w:ascii="Arial" w:hAnsi="Arial" w:cs="Arial"/>
          <w:lang w:val="sl-SI"/>
        </w:rPr>
        <w:t xml:space="preserve"> se izkazuje </w:t>
      </w:r>
      <w:r w:rsidR="00CF15B0" w:rsidRPr="00CF15B0">
        <w:rPr>
          <w:rFonts w:ascii="Arial" w:hAnsi="Arial" w:cs="Arial"/>
          <w:lang w:val="sl-SI"/>
        </w:rPr>
        <w:t>z izjavo »Zaprtost finančne konstrukcije«, ki je v prilogi razpisne dokumentacije</w:t>
      </w:r>
      <w:r w:rsidR="00CF15B0">
        <w:rPr>
          <w:rFonts w:ascii="Arial" w:hAnsi="Arial" w:cs="Arial"/>
          <w:lang w:val="sl-SI"/>
        </w:rPr>
        <w:t>.</w:t>
      </w:r>
      <w:r w:rsidR="0067205F">
        <w:rPr>
          <w:rFonts w:ascii="Arial" w:hAnsi="Arial" w:cs="Arial"/>
          <w:lang w:val="sl-SI"/>
        </w:rPr>
        <w:t xml:space="preserve"> </w:t>
      </w:r>
    </w:p>
    <w:p w14:paraId="76CEA7A9" w14:textId="44905179" w:rsidR="003F1F7B" w:rsidRDefault="00901F10" w:rsidP="001B6C01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2B39E2">
        <w:rPr>
          <w:rFonts w:ascii="Arial" w:hAnsi="Arial" w:cs="Arial"/>
          <w:lang w:val="sl-SI"/>
        </w:rPr>
        <w:t>6</w:t>
      </w:r>
      <w:r>
        <w:rPr>
          <w:rFonts w:ascii="Arial" w:hAnsi="Arial" w:cs="Arial"/>
          <w:lang w:val="sl-SI"/>
        </w:rPr>
        <w:t xml:space="preserve">) </w:t>
      </w:r>
      <w:r w:rsidRPr="00901F10">
        <w:rPr>
          <w:rFonts w:ascii="Arial" w:hAnsi="Arial" w:cs="Arial"/>
          <w:lang w:val="sl-SI"/>
        </w:rPr>
        <w:t>Poleg pogojev i</w:t>
      </w:r>
      <w:r>
        <w:rPr>
          <w:rFonts w:ascii="Arial" w:hAnsi="Arial" w:cs="Arial"/>
          <w:lang w:val="sl-SI"/>
        </w:rPr>
        <w:t xml:space="preserve">z </w:t>
      </w:r>
      <w:r w:rsidR="00D25B25">
        <w:rPr>
          <w:rFonts w:ascii="Arial" w:hAnsi="Arial" w:cs="Arial"/>
          <w:lang w:val="sl-SI"/>
        </w:rPr>
        <w:t xml:space="preserve">prve do šeste </w:t>
      </w:r>
      <w:r w:rsidR="00042310">
        <w:rPr>
          <w:rFonts w:ascii="Arial" w:hAnsi="Arial" w:cs="Arial"/>
          <w:lang w:val="sl-SI"/>
        </w:rPr>
        <w:t>točke tega poglavja</w:t>
      </w:r>
      <w:r>
        <w:rPr>
          <w:rFonts w:ascii="Arial" w:hAnsi="Arial" w:cs="Arial"/>
          <w:lang w:val="sl-SI"/>
        </w:rPr>
        <w:t xml:space="preserve"> mora vlagatelj </w:t>
      </w:r>
      <w:r w:rsidRPr="00901F10">
        <w:rPr>
          <w:rFonts w:ascii="Arial" w:hAnsi="Arial" w:cs="Arial"/>
          <w:lang w:val="sl-SI"/>
        </w:rPr>
        <w:t xml:space="preserve">ob vložitvi vloge na javni </w:t>
      </w:r>
      <w:r>
        <w:rPr>
          <w:rFonts w:ascii="Arial" w:hAnsi="Arial" w:cs="Arial"/>
          <w:lang w:val="sl-SI"/>
        </w:rPr>
        <w:t xml:space="preserve">razpis izpolnjevati tudi pogoje iz </w:t>
      </w:r>
      <w:r w:rsidR="003F1F7B">
        <w:rPr>
          <w:rFonts w:ascii="Arial" w:hAnsi="Arial" w:cs="Arial"/>
          <w:lang w:val="sl-SI"/>
        </w:rPr>
        <w:t>22. člena uredbe</w:t>
      </w:r>
      <w:r w:rsidR="00261AF3" w:rsidRPr="00194120">
        <w:rPr>
          <w:rFonts w:ascii="Arial" w:hAnsi="Arial" w:cs="Arial"/>
          <w:lang w:val="sl-SI"/>
        </w:rPr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7D2908">
        <w:rPr>
          <w:rFonts w:ascii="Arial" w:hAnsi="Arial" w:cs="Arial"/>
          <w:lang w:val="sl-SI"/>
        </w:rPr>
        <w:t>:</w:t>
      </w:r>
    </w:p>
    <w:p w14:paraId="7103050A" w14:textId="23259811" w:rsidR="003F1F7B" w:rsidRDefault="007D2908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a) </w:t>
      </w:r>
      <w:r w:rsidR="00312B9B">
        <w:rPr>
          <w:rFonts w:ascii="Arial" w:hAnsi="Arial" w:cs="Arial"/>
          <w:lang w:val="sl-SI"/>
        </w:rPr>
        <w:t xml:space="preserve">v skladu s </w:t>
      </w:r>
      <w:r w:rsidR="003F1F7B">
        <w:rPr>
          <w:rFonts w:ascii="Arial" w:hAnsi="Arial" w:cs="Arial"/>
          <w:lang w:val="sl-SI"/>
        </w:rPr>
        <w:t>prv</w:t>
      </w:r>
      <w:r w:rsidR="00312B9B">
        <w:rPr>
          <w:rFonts w:ascii="Arial" w:hAnsi="Arial" w:cs="Arial"/>
          <w:lang w:val="sl-SI"/>
        </w:rPr>
        <w:t>o</w:t>
      </w:r>
      <w:r w:rsidR="003F1F7B">
        <w:rPr>
          <w:rFonts w:ascii="Arial" w:hAnsi="Arial" w:cs="Arial"/>
          <w:lang w:val="sl-SI"/>
        </w:rPr>
        <w:t xml:space="preserve"> alinej</w:t>
      </w:r>
      <w:r w:rsidR="00312B9B">
        <w:rPr>
          <w:rFonts w:ascii="Arial" w:hAnsi="Arial" w:cs="Arial"/>
          <w:lang w:val="sl-SI"/>
        </w:rPr>
        <w:t>o</w:t>
      </w:r>
      <w:r w:rsidR="003F1F7B">
        <w:rPr>
          <w:rFonts w:ascii="Arial" w:hAnsi="Arial" w:cs="Arial"/>
          <w:lang w:val="sl-SI"/>
        </w:rPr>
        <w:t xml:space="preserve"> prvega o</w:t>
      </w:r>
      <w:r w:rsidR="003C30F1">
        <w:rPr>
          <w:rFonts w:ascii="Arial" w:hAnsi="Arial" w:cs="Arial"/>
          <w:lang w:val="sl-SI"/>
        </w:rPr>
        <w:t>d</w:t>
      </w:r>
      <w:r w:rsidR="003F1F7B">
        <w:rPr>
          <w:rFonts w:ascii="Arial" w:hAnsi="Arial" w:cs="Arial"/>
          <w:lang w:val="sl-SI"/>
        </w:rPr>
        <w:t>stavka 22. člena uredbe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312B9B">
        <w:rPr>
          <w:rFonts w:ascii="Arial" w:hAnsi="Arial" w:cs="Arial"/>
          <w:lang w:val="sl-SI"/>
        </w:rPr>
        <w:t xml:space="preserve"> </w:t>
      </w:r>
      <w:r w:rsidR="00E17BB5">
        <w:rPr>
          <w:rFonts w:ascii="Arial" w:hAnsi="Arial" w:cs="Arial"/>
          <w:lang w:val="sl-SI"/>
        </w:rPr>
        <w:t>mora vlagatelj pred vložitvijo vloge na javni razpis pridobiti pravnomočno odločbo o uvedbi namakalnega sistema v skladu z zakonom, ki ureja kmetijska zemljišča. Vlagatelj v vlogi na javni razpis navede številko in datum pravnomočne odločbe o uvedbi namakalnega sistema</w:t>
      </w:r>
      <w:r w:rsidR="00312B9B">
        <w:rPr>
          <w:rFonts w:ascii="Arial" w:hAnsi="Arial" w:cs="Arial"/>
          <w:lang w:val="sl-SI"/>
        </w:rPr>
        <w:t>;</w:t>
      </w:r>
    </w:p>
    <w:p w14:paraId="43BC0090" w14:textId="2AC5A4A1" w:rsidR="00D14E76" w:rsidRDefault="00D14E76" w:rsidP="00D14E76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b) glede izpolnjevanja pogoja iz druge alineje prvega odstavka 22. člena uredbe</w:t>
      </w:r>
      <w:r w:rsidRPr="00261AF3">
        <w:t xml:space="preserve"> </w:t>
      </w:r>
      <w:r w:rsidRPr="00261AF3">
        <w:rPr>
          <w:rFonts w:ascii="Arial" w:hAnsi="Arial" w:cs="Arial"/>
          <w:lang w:val="sl-SI"/>
        </w:rPr>
        <w:t>o izvajanju intervencij s področja zemljiških operacij</w:t>
      </w:r>
      <w:r>
        <w:rPr>
          <w:rFonts w:ascii="Arial" w:hAnsi="Arial" w:cs="Arial"/>
          <w:lang w:val="sl-SI"/>
        </w:rPr>
        <w:t xml:space="preserve"> se vlogi na javni razpis priloži prilogo »</w:t>
      </w:r>
      <w:proofErr w:type="spellStart"/>
      <w:r>
        <w:rPr>
          <w:rFonts w:ascii="Arial" w:hAnsi="Arial" w:cs="Arial"/>
          <w:lang w:val="sl-SI"/>
        </w:rPr>
        <w:t>Faznost</w:t>
      </w:r>
      <w:proofErr w:type="spellEnd"/>
      <w:r>
        <w:rPr>
          <w:rFonts w:ascii="Arial" w:hAnsi="Arial" w:cs="Arial"/>
          <w:lang w:val="sl-SI"/>
        </w:rPr>
        <w:t xml:space="preserve"> izgradnje namakalnega sistema«, ki je v prilogi razpisne dokumentacije;</w:t>
      </w:r>
    </w:p>
    <w:p w14:paraId="1BE53A36" w14:textId="301F582F" w:rsidR="003F1F7B" w:rsidRDefault="007B7F61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c</w:t>
      </w:r>
      <w:r w:rsidR="007D2908">
        <w:rPr>
          <w:rFonts w:ascii="Arial" w:hAnsi="Arial" w:cs="Arial"/>
          <w:lang w:val="sl-SI"/>
        </w:rPr>
        <w:t>)</w:t>
      </w:r>
      <w:r w:rsidR="003F1F7B">
        <w:rPr>
          <w:rFonts w:ascii="Arial" w:hAnsi="Arial" w:cs="Arial"/>
          <w:lang w:val="sl-SI"/>
        </w:rPr>
        <w:t xml:space="preserve"> </w:t>
      </w:r>
      <w:r w:rsidR="00312B9B">
        <w:rPr>
          <w:rFonts w:ascii="Arial" w:hAnsi="Arial" w:cs="Arial"/>
          <w:lang w:val="sl-SI"/>
        </w:rPr>
        <w:t xml:space="preserve">glede </w:t>
      </w:r>
      <w:r w:rsidR="003F1F7B">
        <w:rPr>
          <w:rFonts w:ascii="Arial" w:hAnsi="Arial" w:cs="Arial"/>
          <w:lang w:val="sl-SI"/>
        </w:rPr>
        <w:t>izpolnjevanj</w:t>
      </w:r>
      <w:r w:rsidR="00312B9B">
        <w:rPr>
          <w:rFonts w:ascii="Arial" w:hAnsi="Arial" w:cs="Arial"/>
          <w:lang w:val="sl-SI"/>
        </w:rPr>
        <w:t>a</w:t>
      </w:r>
      <w:r w:rsidR="003F1F7B">
        <w:rPr>
          <w:rFonts w:ascii="Arial" w:hAnsi="Arial" w:cs="Arial"/>
          <w:lang w:val="sl-SI"/>
        </w:rPr>
        <w:t xml:space="preserve"> pogoja iz </w:t>
      </w:r>
      <w:r w:rsidR="003C30F1">
        <w:rPr>
          <w:rFonts w:ascii="Arial" w:hAnsi="Arial" w:cs="Arial"/>
          <w:lang w:val="sl-SI"/>
        </w:rPr>
        <w:t xml:space="preserve">7. </w:t>
      </w:r>
      <w:r>
        <w:rPr>
          <w:rFonts w:ascii="Arial" w:hAnsi="Arial" w:cs="Arial"/>
          <w:lang w:val="sl-SI"/>
        </w:rPr>
        <w:t xml:space="preserve">točke </w:t>
      </w:r>
      <w:r w:rsidR="003F1F7B">
        <w:rPr>
          <w:rFonts w:ascii="Arial" w:hAnsi="Arial" w:cs="Arial"/>
          <w:lang w:val="sl-SI"/>
        </w:rPr>
        <w:t xml:space="preserve">prvega odstavka </w:t>
      </w:r>
      <w:r>
        <w:rPr>
          <w:rFonts w:ascii="Arial" w:hAnsi="Arial" w:cs="Arial"/>
          <w:lang w:val="sl-SI"/>
        </w:rPr>
        <w:t>9</w:t>
      </w:r>
      <w:r w:rsidR="003F1F7B">
        <w:rPr>
          <w:rFonts w:ascii="Arial" w:hAnsi="Arial" w:cs="Arial"/>
          <w:lang w:val="sl-SI"/>
        </w:rPr>
        <w:t>. člena uredbe</w:t>
      </w:r>
      <w:r w:rsidR="00261AF3" w:rsidRPr="00261AF3">
        <w:t xml:space="preserve"> </w:t>
      </w:r>
      <w:r w:rsidRPr="00BE7033">
        <w:rPr>
          <w:rFonts w:ascii="Arial" w:hAnsi="Arial" w:cs="Arial"/>
          <w:lang w:val="sl-SI"/>
        </w:rPr>
        <w:t xml:space="preserve">o skupnih določbah za izvajanje intervencij </w:t>
      </w:r>
      <w:r w:rsidR="00312B9B">
        <w:rPr>
          <w:rFonts w:ascii="Arial" w:hAnsi="Arial" w:cs="Arial"/>
          <w:lang w:val="sl-SI"/>
        </w:rPr>
        <w:t>se</w:t>
      </w:r>
      <w:r w:rsidR="00A417A9">
        <w:rPr>
          <w:rFonts w:ascii="Arial" w:hAnsi="Arial" w:cs="Arial"/>
          <w:lang w:val="sl-SI"/>
        </w:rPr>
        <w:t xml:space="preserve"> v</w:t>
      </w:r>
      <w:r w:rsidR="00312B9B">
        <w:rPr>
          <w:rFonts w:ascii="Arial" w:hAnsi="Arial" w:cs="Arial"/>
          <w:lang w:val="sl-SI"/>
        </w:rPr>
        <w:t xml:space="preserve"> vlogi na javni razpis </w:t>
      </w:r>
      <w:r w:rsidR="00173364">
        <w:rPr>
          <w:rFonts w:ascii="Arial" w:hAnsi="Arial" w:cs="Arial"/>
          <w:lang w:val="sl-SI"/>
        </w:rPr>
        <w:t>opredeli š</w:t>
      </w:r>
      <w:r w:rsidR="003F1F7B">
        <w:rPr>
          <w:rFonts w:ascii="Arial" w:hAnsi="Arial" w:cs="Arial"/>
          <w:lang w:val="sl-SI"/>
        </w:rPr>
        <w:t>tevilo in časovna dinamika vlaganja zahtevkov za izplačilo sredstev</w:t>
      </w:r>
      <w:r w:rsidR="001801AD">
        <w:rPr>
          <w:rFonts w:ascii="Arial" w:hAnsi="Arial" w:cs="Arial"/>
          <w:lang w:val="sl-SI"/>
        </w:rPr>
        <w:t xml:space="preserve"> in uveljavljanje pravice do predplačila</w:t>
      </w:r>
      <w:r w:rsidR="00173364">
        <w:rPr>
          <w:rFonts w:ascii="Arial" w:hAnsi="Arial" w:cs="Arial"/>
          <w:lang w:val="sl-SI"/>
        </w:rPr>
        <w:t>;</w:t>
      </w:r>
    </w:p>
    <w:p w14:paraId="43F6DA8C" w14:textId="63BECC5A" w:rsidR="003F1F7B" w:rsidRDefault="007B7F61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</w:t>
      </w:r>
      <w:r w:rsidR="007D2908">
        <w:rPr>
          <w:rFonts w:ascii="Arial" w:hAnsi="Arial" w:cs="Arial"/>
          <w:lang w:val="sl-SI"/>
        </w:rPr>
        <w:t>)</w:t>
      </w:r>
      <w:r w:rsidR="003F1F7B">
        <w:rPr>
          <w:rFonts w:ascii="Arial" w:hAnsi="Arial" w:cs="Arial"/>
          <w:lang w:val="sl-SI"/>
        </w:rPr>
        <w:t xml:space="preserve"> </w:t>
      </w:r>
      <w:r w:rsidR="00312B9B">
        <w:rPr>
          <w:rFonts w:ascii="Arial" w:hAnsi="Arial" w:cs="Arial"/>
          <w:lang w:val="sl-SI"/>
        </w:rPr>
        <w:t>glede</w:t>
      </w:r>
      <w:r w:rsidR="007D2908">
        <w:rPr>
          <w:rFonts w:ascii="Arial" w:hAnsi="Arial" w:cs="Arial"/>
          <w:lang w:val="sl-SI"/>
        </w:rPr>
        <w:t xml:space="preserve"> izpolnjevanj</w:t>
      </w:r>
      <w:r w:rsidR="00312B9B">
        <w:rPr>
          <w:rFonts w:ascii="Arial" w:hAnsi="Arial" w:cs="Arial"/>
          <w:lang w:val="sl-SI"/>
        </w:rPr>
        <w:t>a</w:t>
      </w:r>
      <w:r w:rsidR="007D2908">
        <w:rPr>
          <w:rFonts w:ascii="Arial" w:hAnsi="Arial" w:cs="Arial"/>
          <w:lang w:val="sl-SI"/>
        </w:rPr>
        <w:t xml:space="preserve"> pogoja iz tretje alineje prvega odstavka 22. člena uredbe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312B9B">
        <w:rPr>
          <w:rFonts w:ascii="Arial" w:hAnsi="Arial" w:cs="Arial"/>
          <w:lang w:val="sl-SI"/>
        </w:rPr>
        <w:t xml:space="preserve"> se vlogi na javni razpis priloži</w:t>
      </w:r>
      <w:r w:rsidR="00822D14">
        <w:rPr>
          <w:rFonts w:ascii="Arial" w:hAnsi="Arial" w:cs="Arial"/>
          <w:lang w:val="sl-SI"/>
        </w:rPr>
        <w:t xml:space="preserve"> prilogo</w:t>
      </w:r>
      <w:r w:rsidR="007D2908">
        <w:rPr>
          <w:rFonts w:ascii="Arial" w:hAnsi="Arial" w:cs="Arial"/>
          <w:lang w:val="sl-SI"/>
        </w:rPr>
        <w:t xml:space="preserve"> »Terminski načrt izgradnje namakalnega sistema, ki je namenjen več uporabnikom«</w:t>
      </w:r>
      <w:r w:rsidR="00312B9B">
        <w:rPr>
          <w:rFonts w:ascii="Arial" w:hAnsi="Arial" w:cs="Arial"/>
          <w:lang w:val="sl-SI"/>
        </w:rPr>
        <w:t>, ki je v prilogi razpisne dokumentacije;</w:t>
      </w:r>
    </w:p>
    <w:p w14:paraId="702AF7C9" w14:textId="29B28B7D" w:rsidR="007D2908" w:rsidRDefault="007B7F61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7D2908">
        <w:rPr>
          <w:rFonts w:ascii="Arial" w:hAnsi="Arial" w:cs="Arial"/>
          <w:lang w:val="sl-SI"/>
        </w:rPr>
        <w:t xml:space="preserve">) </w:t>
      </w:r>
      <w:r w:rsidR="007B685E">
        <w:rPr>
          <w:rFonts w:ascii="Arial" w:hAnsi="Arial" w:cs="Arial"/>
          <w:lang w:val="sl-SI"/>
        </w:rPr>
        <w:t>glede</w:t>
      </w:r>
      <w:r w:rsidR="007D2908">
        <w:rPr>
          <w:rFonts w:ascii="Arial" w:hAnsi="Arial" w:cs="Arial"/>
          <w:lang w:val="sl-SI"/>
        </w:rPr>
        <w:t xml:space="preserve"> izpolnjevanj</w:t>
      </w:r>
      <w:r w:rsidR="007B685E">
        <w:rPr>
          <w:rFonts w:ascii="Arial" w:hAnsi="Arial" w:cs="Arial"/>
          <w:lang w:val="sl-SI"/>
        </w:rPr>
        <w:t>a</w:t>
      </w:r>
      <w:r w:rsidR="007D2908">
        <w:rPr>
          <w:rFonts w:ascii="Arial" w:hAnsi="Arial" w:cs="Arial"/>
          <w:lang w:val="sl-SI"/>
        </w:rPr>
        <w:t xml:space="preserve"> pogoja iz </w:t>
      </w:r>
      <w:r w:rsidR="00C52B32">
        <w:rPr>
          <w:rFonts w:ascii="Arial" w:hAnsi="Arial" w:cs="Arial"/>
          <w:lang w:val="sl-SI"/>
        </w:rPr>
        <w:t>tretjega</w:t>
      </w:r>
      <w:r w:rsidR="007D2908">
        <w:rPr>
          <w:rFonts w:ascii="Arial" w:hAnsi="Arial" w:cs="Arial"/>
          <w:lang w:val="sl-SI"/>
        </w:rPr>
        <w:t xml:space="preserve"> odstavka 22. člena uredbe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7B685E">
        <w:rPr>
          <w:rFonts w:ascii="Arial" w:hAnsi="Arial" w:cs="Arial"/>
          <w:lang w:val="sl-SI"/>
        </w:rPr>
        <w:t xml:space="preserve"> se vlogi na javni razpis priloži</w:t>
      </w:r>
      <w:r w:rsidR="007D2908">
        <w:rPr>
          <w:rFonts w:ascii="Arial" w:hAnsi="Arial" w:cs="Arial"/>
          <w:lang w:val="sl-SI"/>
        </w:rPr>
        <w:t xml:space="preserve"> </w:t>
      </w:r>
      <w:r w:rsidR="007B685E">
        <w:rPr>
          <w:rFonts w:ascii="Arial" w:hAnsi="Arial" w:cs="Arial"/>
          <w:lang w:val="sl-SI"/>
        </w:rPr>
        <w:t>priloga</w:t>
      </w:r>
      <w:r w:rsidR="007D2908">
        <w:rPr>
          <w:rFonts w:ascii="Arial" w:hAnsi="Arial" w:cs="Arial"/>
          <w:lang w:val="sl-SI"/>
        </w:rPr>
        <w:t xml:space="preserve"> »Število uporabnikov namakalnega sistema, ki je namenjen več uporabnikom«</w:t>
      </w:r>
      <w:r w:rsidR="007B685E">
        <w:rPr>
          <w:rFonts w:ascii="Arial" w:hAnsi="Arial" w:cs="Arial"/>
          <w:lang w:val="sl-SI"/>
        </w:rPr>
        <w:t>, ki je v prilogi razpisne dokumentacije</w:t>
      </w:r>
      <w:r w:rsidR="00034DC3">
        <w:rPr>
          <w:rFonts w:ascii="Arial" w:hAnsi="Arial" w:cs="Arial"/>
          <w:lang w:val="sl-SI"/>
        </w:rPr>
        <w:t>.</w:t>
      </w:r>
    </w:p>
    <w:p w14:paraId="656D3F9B" w14:textId="77777777" w:rsidR="0009537C" w:rsidRDefault="0009537C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1D139CD2" w14:textId="12BC85FF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5. UPRAVIČENI IN NEUPRAVIČENI STROŠKI</w:t>
      </w:r>
    </w:p>
    <w:p w14:paraId="1473F1FE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5E33966" w14:textId="3AD7E445" w:rsidR="00313B62" w:rsidRDefault="00721805" w:rsidP="00313B6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13B62" w:rsidRPr="00313B62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</w:t>
      </w:r>
      <w:r w:rsidR="00313B62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 xml:space="preserve">Upravičeni stroški so določeni v </w:t>
      </w:r>
      <w:r w:rsidR="00F631BD">
        <w:rPr>
          <w:rFonts w:ascii="Arial" w:hAnsi="Arial" w:cs="Arial"/>
          <w:lang w:val="sl-SI"/>
        </w:rPr>
        <w:t>20</w:t>
      </w:r>
      <w:r w:rsidR="003F1F7B" w:rsidRPr="003F1F7B">
        <w:rPr>
          <w:rFonts w:ascii="Arial" w:hAnsi="Arial" w:cs="Arial"/>
          <w:lang w:val="sl-SI"/>
        </w:rPr>
        <w:t xml:space="preserve">. </w:t>
      </w:r>
      <w:r w:rsidR="000F721F">
        <w:rPr>
          <w:rFonts w:ascii="Arial" w:hAnsi="Arial" w:cs="Arial"/>
          <w:lang w:val="sl-SI"/>
        </w:rPr>
        <w:t xml:space="preserve">in 58. </w:t>
      </w:r>
      <w:r w:rsidR="003F1F7B" w:rsidRPr="003F1F7B">
        <w:rPr>
          <w:rFonts w:ascii="Arial" w:hAnsi="Arial" w:cs="Arial"/>
          <w:lang w:val="sl-SI"/>
        </w:rPr>
        <w:t xml:space="preserve">členu </w:t>
      </w:r>
      <w:r w:rsidR="00F631BD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0F721F">
        <w:rPr>
          <w:rFonts w:ascii="Arial" w:hAnsi="Arial" w:cs="Arial"/>
          <w:lang w:val="sl-SI"/>
        </w:rPr>
        <w:t xml:space="preserve"> in v 20. členu uredbe</w:t>
      </w:r>
      <w:r w:rsidR="000F721F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F1F7B" w:rsidRPr="003F1F7B">
        <w:rPr>
          <w:rFonts w:ascii="Arial" w:hAnsi="Arial" w:cs="Arial"/>
          <w:lang w:val="sl-SI"/>
        </w:rPr>
        <w:t xml:space="preserve">. </w:t>
      </w:r>
      <w:r w:rsidR="00313B62">
        <w:rPr>
          <w:rFonts w:ascii="Arial" w:hAnsi="Arial" w:cs="Arial"/>
          <w:lang w:val="sl-SI"/>
        </w:rPr>
        <w:t xml:space="preserve">Določitev višine upravičenih stroškov je </w:t>
      </w:r>
      <w:r w:rsidR="000F721F">
        <w:rPr>
          <w:rFonts w:ascii="Arial" w:hAnsi="Arial" w:cs="Arial"/>
          <w:lang w:val="sl-SI"/>
        </w:rPr>
        <w:t xml:space="preserve">določena </w:t>
      </w:r>
      <w:r w:rsidR="00313B62">
        <w:rPr>
          <w:rFonts w:ascii="Arial" w:hAnsi="Arial" w:cs="Arial"/>
          <w:lang w:val="sl-SI"/>
        </w:rPr>
        <w:t>v 19. člen</w:t>
      </w:r>
      <w:r w:rsidR="00BB1D2E">
        <w:rPr>
          <w:rFonts w:ascii="Arial" w:hAnsi="Arial" w:cs="Arial"/>
          <w:lang w:val="sl-SI"/>
        </w:rPr>
        <w:t>u</w:t>
      </w:r>
      <w:r w:rsidR="00313B62">
        <w:rPr>
          <w:rFonts w:ascii="Arial" w:hAnsi="Arial" w:cs="Arial"/>
          <w:lang w:val="sl-SI"/>
        </w:rPr>
        <w:t xml:space="preserve"> </w:t>
      </w:r>
      <w:r w:rsidR="005B3E96">
        <w:rPr>
          <w:rFonts w:ascii="Arial" w:hAnsi="Arial" w:cs="Arial"/>
          <w:lang w:val="sl-SI"/>
        </w:rPr>
        <w:t>uredbe</w:t>
      </w:r>
      <w:r w:rsidR="005B3E96" w:rsidRPr="005B3E96">
        <w:rPr>
          <w:rFonts w:ascii="Arial" w:hAnsi="Arial" w:cs="Arial"/>
          <w:lang w:val="sl-SI"/>
        </w:rPr>
        <w:t xml:space="preserve"> o skupnih določbah za izvajanje intervencij</w:t>
      </w:r>
      <w:r w:rsidR="00BB1D2E">
        <w:rPr>
          <w:rFonts w:ascii="Arial" w:hAnsi="Arial" w:cs="Arial"/>
          <w:lang w:val="sl-SI"/>
        </w:rPr>
        <w:t>, razen v šestem odstavku 19. členu uredbe</w:t>
      </w:r>
      <w:r w:rsidR="00BB1D2E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13B62">
        <w:rPr>
          <w:rFonts w:ascii="Arial" w:hAnsi="Arial" w:cs="Arial"/>
          <w:lang w:val="sl-SI"/>
        </w:rPr>
        <w:t>.</w:t>
      </w:r>
    </w:p>
    <w:p w14:paraId="2121F342" w14:textId="77777777" w:rsidR="000F7FFB" w:rsidRDefault="000F7FFB" w:rsidP="00313B6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7389448" w14:textId="32779A0B" w:rsidR="000F7FFB" w:rsidRDefault="000F7FFB" w:rsidP="000F7FF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Pr="003F1F7B">
        <w:rPr>
          <w:rFonts w:ascii="Arial" w:hAnsi="Arial" w:cs="Arial"/>
          <w:lang w:val="sl-SI"/>
        </w:rPr>
        <w:t xml:space="preserve"> </w:t>
      </w:r>
      <w:r w:rsidR="00DC6E33" w:rsidRPr="000751CC">
        <w:rPr>
          <w:rFonts w:ascii="Arial" w:hAnsi="Arial" w:cs="Arial"/>
          <w:lang w:val="sl-SI"/>
        </w:rPr>
        <w:t xml:space="preserve">Upravičeni stroški so določeni v </w:t>
      </w:r>
      <w:r w:rsidR="000751CC" w:rsidRPr="000751CC">
        <w:rPr>
          <w:rFonts w:ascii="Arial" w:hAnsi="Arial" w:cs="Arial"/>
          <w:lang w:val="sl-SI"/>
        </w:rPr>
        <w:t xml:space="preserve">Pravilniku o katalogu stroškov in njihovih vrednostih na enoto </w:t>
      </w:r>
      <w:r w:rsidR="00DC6E33" w:rsidRPr="000751CC">
        <w:rPr>
          <w:rFonts w:ascii="Arial" w:hAnsi="Arial" w:cs="Arial"/>
          <w:lang w:val="sl-SI"/>
        </w:rPr>
        <w:t xml:space="preserve">(Uradni list RS, št. </w:t>
      </w:r>
      <w:r w:rsidR="000751CC" w:rsidRPr="000751CC">
        <w:rPr>
          <w:rFonts w:ascii="Arial" w:hAnsi="Arial" w:cs="Arial"/>
          <w:lang w:val="sl-SI"/>
        </w:rPr>
        <w:t>34/24</w:t>
      </w:r>
      <w:r w:rsidR="00DC6E33" w:rsidRPr="000751CC">
        <w:rPr>
          <w:rFonts w:ascii="Arial" w:hAnsi="Arial" w:cs="Arial"/>
          <w:lang w:val="sl-SI"/>
        </w:rPr>
        <w:t>).</w:t>
      </w:r>
      <w:r w:rsidR="00DC6E33">
        <w:rPr>
          <w:rFonts w:ascii="Arial" w:hAnsi="Arial" w:cs="Arial"/>
          <w:lang w:val="sl-SI"/>
        </w:rPr>
        <w:t xml:space="preserve"> </w:t>
      </w:r>
    </w:p>
    <w:p w14:paraId="391DC503" w14:textId="77777777" w:rsidR="00DF2590" w:rsidRDefault="00DF2590" w:rsidP="00DF259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61BDE74" w14:textId="593AB9FA" w:rsidR="00DF2590" w:rsidRPr="003F1F7B" w:rsidRDefault="00721805" w:rsidP="00DF2590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13B62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) </w:t>
      </w:r>
      <w:r w:rsidR="000F7FFB" w:rsidRPr="003F1F7B">
        <w:rPr>
          <w:rFonts w:ascii="Arial" w:hAnsi="Arial" w:cs="Arial"/>
          <w:lang w:val="sl-SI"/>
        </w:rPr>
        <w:t xml:space="preserve">Za uveljavljanje splošnih stroškov iz </w:t>
      </w:r>
      <w:r w:rsidR="000F7FFB">
        <w:rPr>
          <w:rFonts w:ascii="Arial" w:hAnsi="Arial" w:cs="Arial"/>
          <w:lang w:val="sl-SI"/>
        </w:rPr>
        <w:t>20</w:t>
      </w:r>
      <w:r w:rsidR="000F7FFB" w:rsidRPr="003F1F7B">
        <w:rPr>
          <w:rFonts w:ascii="Arial" w:hAnsi="Arial" w:cs="Arial"/>
          <w:lang w:val="sl-SI"/>
        </w:rPr>
        <w:t xml:space="preserve">. člena </w:t>
      </w:r>
      <w:r w:rsidR="000F7FFB">
        <w:rPr>
          <w:rFonts w:ascii="Arial" w:hAnsi="Arial" w:cs="Arial"/>
          <w:lang w:val="sl-SI"/>
        </w:rPr>
        <w:t>uredbe</w:t>
      </w:r>
      <w:r w:rsidR="000F7FFB" w:rsidRPr="005B3E96">
        <w:rPr>
          <w:rFonts w:ascii="Arial" w:hAnsi="Arial" w:cs="Arial"/>
          <w:lang w:val="sl-SI"/>
        </w:rPr>
        <w:t xml:space="preserve"> o skupnih določbah za izvajanje intervencij </w:t>
      </w:r>
      <w:r w:rsidR="00262AB7">
        <w:rPr>
          <w:rFonts w:ascii="Arial" w:hAnsi="Arial" w:cs="Arial"/>
          <w:lang w:val="sl-SI"/>
        </w:rPr>
        <w:t>vlagatelj</w:t>
      </w:r>
      <w:r w:rsidR="00262AB7" w:rsidRPr="003F1F7B">
        <w:rPr>
          <w:rFonts w:ascii="Arial" w:hAnsi="Arial" w:cs="Arial"/>
          <w:lang w:val="sl-SI"/>
        </w:rPr>
        <w:t xml:space="preserve"> </w:t>
      </w:r>
      <w:r w:rsidR="000F7FFB" w:rsidRPr="003F1F7B">
        <w:rPr>
          <w:rFonts w:ascii="Arial" w:hAnsi="Arial" w:cs="Arial"/>
          <w:lang w:val="sl-SI"/>
        </w:rPr>
        <w:t>vlogi na javni razpis priloži račune</w:t>
      </w:r>
      <w:r w:rsidR="00262AB7">
        <w:rPr>
          <w:rFonts w:ascii="Arial" w:hAnsi="Arial" w:cs="Arial"/>
          <w:lang w:val="sl-SI"/>
        </w:rPr>
        <w:t xml:space="preserve">, </w:t>
      </w:r>
      <w:r w:rsidR="000F7FFB" w:rsidRPr="003F1F7B">
        <w:rPr>
          <w:rFonts w:ascii="Arial" w:hAnsi="Arial" w:cs="Arial"/>
          <w:lang w:val="sl-SI"/>
        </w:rPr>
        <w:t>predračune</w:t>
      </w:r>
      <w:r w:rsidR="00262AB7">
        <w:rPr>
          <w:rFonts w:ascii="Arial" w:hAnsi="Arial" w:cs="Arial"/>
          <w:lang w:val="sl-SI"/>
        </w:rPr>
        <w:t>, ponudbe ali projektantski predračun</w:t>
      </w:r>
      <w:r w:rsidR="000F7FFB" w:rsidRPr="003F1F7B">
        <w:rPr>
          <w:rFonts w:ascii="Arial" w:hAnsi="Arial" w:cs="Arial"/>
          <w:lang w:val="sl-SI" w:eastAsia="sl-SI"/>
        </w:rPr>
        <w:t>.</w:t>
      </w:r>
      <w:r w:rsidR="000F7FFB">
        <w:rPr>
          <w:rFonts w:ascii="Arial" w:hAnsi="Arial" w:cs="Arial"/>
          <w:lang w:val="sl-SI" w:eastAsia="sl-SI"/>
        </w:rPr>
        <w:t xml:space="preserve"> </w:t>
      </w:r>
      <w:r w:rsidR="00DF2590">
        <w:rPr>
          <w:rFonts w:ascii="Arial" w:hAnsi="Arial" w:cs="Arial"/>
          <w:lang w:val="sl-SI"/>
        </w:rPr>
        <w:t xml:space="preserve">Višina splošnih stroškov je </w:t>
      </w:r>
      <w:r w:rsidR="003C30F1">
        <w:rPr>
          <w:rFonts w:ascii="Arial" w:hAnsi="Arial" w:cs="Arial"/>
          <w:lang w:val="sl-SI"/>
        </w:rPr>
        <w:t xml:space="preserve">določena </w:t>
      </w:r>
      <w:r w:rsidR="00DF2590">
        <w:rPr>
          <w:rFonts w:ascii="Arial" w:hAnsi="Arial" w:cs="Arial"/>
          <w:lang w:val="sl-SI"/>
        </w:rPr>
        <w:t xml:space="preserve">v 58. členu uredbe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DF2590">
        <w:rPr>
          <w:rFonts w:ascii="Arial" w:hAnsi="Arial" w:cs="Arial"/>
          <w:lang w:val="sl-SI"/>
        </w:rPr>
        <w:t>.</w:t>
      </w:r>
    </w:p>
    <w:p w14:paraId="3631E43A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30D67FA" w14:textId="6E06BB4D" w:rsidR="003F1F7B" w:rsidRDefault="00721805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13B62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>)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420E96" w:rsidRPr="003F1F7B">
        <w:rPr>
          <w:rFonts w:ascii="Arial" w:hAnsi="Arial" w:cs="Arial"/>
          <w:lang w:val="sl-SI"/>
        </w:rPr>
        <w:t xml:space="preserve">Neupravičeni stroški so določeni v </w:t>
      </w:r>
      <w:r w:rsidR="00420E96">
        <w:rPr>
          <w:rFonts w:ascii="Arial" w:hAnsi="Arial" w:cs="Arial"/>
          <w:lang w:val="sl-SI"/>
        </w:rPr>
        <w:t>21. členu u</w:t>
      </w:r>
      <w:r w:rsidR="00420E96" w:rsidRPr="003F1F7B">
        <w:rPr>
          <w:rFonts w:ascii="Arial" w:hAnsi="Arial" w:cs="Arial"/>
          <w:lang w:val="sl-SI"/>
        </w:rPr>
        <w:t>redbe</w:t>
      </w:r>
      <w:r w:rsidR="00420E96" w:rsidRPr="00261AF3">
        <w:t xml:space="preserve"> </w:t>
      </w:r>
      <w:r w:rsidR="00420E96" w:rsidRPr="00261AF3">
        <w:rPr>
          <w:rFonts w:ascii="Arial" w:hAnsi="Arial" w:cs="Arial"/>
          <w:lang w:val="sl-SI"/>
        </w:rPr>
        <w:t>o izvajanju intervencij s področja zemljiških operacij</w:t>
      </w:r>
      <w:r w:rsidR="00420E96" w:rsidRPr="003F1F7B">
        <w:rPr>
          <w:rFonts w:ascii="Arial" w:hAnsi="Arial" w:cs="Arial"/>
          <w:lang w:val="sl-SI"/>
        </w:rPr>
        <w:t>.</w:t>
      </w:r>
    </w:p>
    <w:p w14:paraId="6A3E7915" w14:textId="77777777" w:rsidR="003F1F7B" w:rsidRPr="003F1F7B" w:rsidRDefault="003F1F7B" w:rsidP="001B6C01">
      <w:pPr>
        <w:rPr>
          <w:u w:val="single"/>
          <w:lang w:val="sl-SI"/>
        </w:rPr>
      </w:pPr>
    </w:p>
    <w:p w14:paraId="79B81462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6. MERILA ZA OCENJEVANJE VLOG </w:t>
      </w:r>
    </w:p>
    <w:p w14:paraId="25F2FA2D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5744C83" w14:textId="07ADDB45" w:rsidR="003F1F7B" w:rsidRPr="003F1F7B" w:rsidRDefault="00721805" w:rsidP="004678A4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3F1F7B" w:rsidRPr="003F1F7B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</w:t>
      </w:r>
      <w:r w:rsidR="003F1F7B" w:rsidRPr="003F1F7B">
        <w:rPr>
          <w:rFonts w:ascii="Arial" w:hAnsi="Arial" w:cs="Arial"/>
          <w:lang w:val="sl-SI"/>
        </w:rPr>
        <w:t xml:space="preserve"> Merila za ocenjevanje vlog so določena v </w:t>
      </w:r>
      <w:r w:rsidR="004678A4">
        <w:rPr>
          <w:rFonts w:ascii="Arial" w:hAnsi="Arial" w:cs="Arial"/>
          <w:lang w:val="sl-SI"/>
        </w:rPr>
        <w:t>23</w:t>
      </w:r>
      <w:r w:rsidR="003F1F7B" w:rsidRPr="003F1F7B">
        <w:rPr>
          <w:rFonts w:ascii="Arial" w:hAnsi="Arial" w:cs="Arial"/>
          <w:lang w:val="sl-SI"/>
        </w:rPr>
        <w:t>. člen</w:t>
      </w:r>
      <w:r w:rsidR="001026B7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4678A4"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 xml:space="preserve">o izvajanju intervencij s področja zemljiških </w:t>
      </w:r>
      <w:r w:rsidR="00261AF3" w:rsidRPr="00420E96">
        <w:rPr>
          <w:rFonts w:ascii="Arial" w:hAnsi="Arial" w:cs="Arial"/>
          <w:lang w:val="sl-SI"/>
        </w:rPr>
        <w:t>operacij</w:t>
      </w:r>
      <w:r w:rsidR="00805644">
        <w:rPr>
          <w:rFonts w:ascii="Arial" w:hAnsi="Arial" w:cs="Arial"/>
          <w:lang w:val="sl-SI"/>
        </w:rPr>
        <w:t xml:space="preserve"> in</w:t>
      </w:r>
      <w:r w:rsidR="003F1F7B" w:rsidRPr="00420E96">
        <w:rPr>
          <w:rFonts w:ascii="Arial" w:hAnsi="Arial" w:cs="Arial"/>
          <w:lang w:val="sl-SI"/>
        </w:rPr>
        <w:t xml:space="preserve"> </w:t>
      </w:r>
      <w:hyperlink w:history="1"/>
      <w:r w:rsidR="001026B7">
        <w:rPr>
          <w:rFonts w:ascii="Arial" w:hAnsi="Arial" w:cs="Arial"/>
          <w:lang w:val="sl-SI"/>
        </w:rPr>
        <w:t xml:space="preserve">podrobneje </w:t>
      </w:r>
      <w:r w:rsidR="004701D5">
        <w:rPr>
          <w:rFonts w:ascii="Arial" w:hAnsi="Arial" w:cs="Arial"/>
          <w:lang w:val="sl-SI"/>
        </w:rPr>
        <w:t>opredeljena</w:t>
      </w:r>
      <w:r w:rsidR="001026B7">
        <w:rPr>
          <w:rFonts w:ascii="Arial" w:hAnsi="Arial" w:cs="Arial"/>
          <w:lang w:val="sl-SI"/>
        </w:rPr>
        <w:t xml:space="preserve"> v tem poglavju</w:t>
      </w:r>
      <w:r w:rsidR="003F1F7B" w:rsidRPr="003F1F7B">
        <w:rPr>
          <w:rFonts w:ascii="Arial" w:hAnsi="Arial" w:cs="Arial"/>
          <w:lang w:val="sl-SI"/>
        </w:rPr>
        <w:t>.</w:t>
      </w:r>
    </w:p>
    <w:p w14:paraId="09A83853" w14:textId="77777777" w:rsidR="003F1F7B" w:rsidRPr="003F1F7B" w:rsidRDefault="003F1F7B" w:rsidP="003F1F7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5859003" w14:textId="733B92E7" w:rsidR="003F1F7B" w:rsidRPr="003F1F7B" w:rsidRDefault="00721805" w:rsidP="003F1F7B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="003F1F7B" w:rsidRPr="003F1F7B">
        <w:rPr>
          <w:rFonts w:ascii="Arial" w:hAnsi="Arial" w:cs="Arial"/>
          <w:lang w:val="sl-SI"/>
        </w:rPr>
        <w:t xml:space="preserve"> </w:t>
      </w:r>
      <w:r w:rsidR="001026B7">
        <w:rPr>
          <w:rFonts w:ascii="Arial" w:hAnsi="Arial" w:cs="Arial"/>
          <w:lang w:val="sl-SI"/>
        </w:rPr>
        <w:t xml:space="preserve">V skladu </w:t>
      </w:r>
      <w:r w:rsidR="004701D5">
        <w:rPr>
          <w:rFonts w:ascii="Arial" w:hAnsi="Arial" w:cs="Arial"/>
          <w:lang w:val="sl-SI"/>
        </w:rPr>
        <w:t>s četrtim odstavkom 60. člena u</w:t>
      </w:r>
      <w:r w:rsidR="004701D5" w:rsidRPr="003F1F7B">
        <w:rPr>
          <w:rFonts w:ascii="Arial" w:hAnsi="Arial" w:cs="Arial"/>
          <w:lang w:val="sl-SI"/>
        </w:rPr>
        <w:t>redbe</w:t>
      </w:r>
      <w:r w:rsidR="004701D5" w:rsidRPr="00261AF3">
        <w:t xml:space="preserve"> </w:t>
      </w:r>
      <w:r w:rsidR="004701D5" w:rsidRPr="00261AF3">
        <w:rPr>
          <w:rFonts w:ascii="Arial" w:hAnsi="Arial" w:cs="Arial"/>
          <w:lang w:val="sl-SI"/>
        </w:rPr>
        <w:t>o izvajanju intervencij s področja zemljiških operacij</w:t>
      </w:r>
      <w:r w:rsidR="004701D5" w:rsidRPr="003F1F7B">
        <w:rPr>
          <w:rFonts w:ascii="Arial" w:hAnsi="Arial" w:cs="Arial"/>
          <w:lang w:val="sl-SI"/>
        </w:rPr>
        <w:t xml:space="preserve"> </w:t>
      </w:r>
      <w:r w:rsidR="004701D5">
        <w:rPr>
          <w:rFonts w:ascii="Arial" w:hAnsi="Arial" w:cs="Arial"/>
          <w:lang w:val="sl-SI"/>
        </w:rPr>
        <w:t>se m</w:t>
      </w:r>
      <w:r w:rsidR="003F1F7B" w:rsidRPr="003F1F7B">
        <w:rPr>
          <w:rFonts w:ascii="Arial" w:hAnsi="Arial" w:cs="Arial"/>
          <w:lang w:val="sl-SI"/>
        </w:rPr>
        <w:t xml:space="preserve">ed vlogami, ki dosežejo vstopni prag 30 </w:t>
      </w:r>
      <w:r w:rsidR="004701D5">
        <w:rPr>
          <w:rFonts w:ascii="Arial" w:hAnsi="Arial" w:cs="Arial"/>
          <w:lang w:val="sl-SI"/>
        </w:rPr>
        <w:t>%</w:t>
      </w:r>
      <w:r w:rsidR="007B26A0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>možn</w:t>
      </w:r>
      <w:r w:rsidR="004701D5">
        <w:rPr>
          <w:rFonts w:ascii="Arial" w:hAnsi="Arial" w:cs="Arial"/>
          <w:lang w:val="sl-SI"/>
        </w:rPr>
        <w:t xml:space="preserve">ih </w:t>
      </w:r>
      <w:r w:rsidR="003F1F7B" w:rsidRPr="003F1F7B">
        <w:rPr>
          <w:rFonts w:ascii="Arial" w:hAnsi="Arial" w:cs="Arial"/>
          <w:lang w:val="sl-SI"/>
        </w:rPr>
        <w:t>točk,</w:t>
      </w:r>
      <w:r w:rsidR="004701D5">
        <w:rPr>
          <w:rFonts w:ascii="Arial" w:hAnsi="Arial" w:cs="Arial"/>
          <w:lang w:val="sl-SI"/>
        </w:rPr>
        <w:t xml:space="preserve"> </w:t>
      </w:r>
      <w:r w:rsidR="003F1F7B" w:rsidRPr="003F1F7B">
        <w:rPr>
          <w:rFonts w:ascii="Arial" w:hAnsi="Arial" w:cs="Arial"/>
          <w:lang w:val="sl-SI"/>
        </w:rPr>
        <w:t xml:space="preserve">izberejo tiste, ki dosežejo višje število točk, do porabe razpisanih sredstev. </w:t>
      </w:r>
    </w:p>
    <w:p w14:paraId="7D26A4E5" w14:textId="77777777" w:rsidR="003F1F7B" w:rsidRPr="003F1F7B" w:rsidRDefault="003F1F7B" w:rsidP="003F1F7B">
      <w:pPr>
        <w:pStyle w:val="Golobesedilo"/>
        <w:jc w:val="both"/>
        <w:rPr>
          <w:rFonts w:ascii="Arial" w:hAnsi="Arial" w:cs="Arial"/>
          <w:lang w:val="sl-SI"/>
        </w:rPr>
      </w:pPr>
    </w:p>
    <w:p w14:paraId="4E90D881" w14:textId="6CD5E37D" w:rsidR="003F1F7B" w:rsidRDefault="00DD6965" w:rsidP="003F1F7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1B6C01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) Merila za </w:t>
      </w:r>
      <w:r w:rsidR="00805644">
        <w:rPr>
          <w:rFonts w:ascii="Arial" w:hAnsi="Arial" w:cs="Arial"/>
          <w:lang w:val="sl-SI"/>
        </w:rPr>
        <w:t xml:space="preserve">ocenjevanje </w:t>
      </w:r>
      <w:r>
        <w:rPr>
          <w:rFonts w:ascii="Arial" w:hAnsi="Arial" w:cs="Arial"/>
          <w:lang w:val="sl-SI"/>
        </w:rPr>
        <w:t>vlog in točkovnik</w:t>
      </w:r>
      <w:r w:rsidR="00805644">
        <w:rPr>
          <w:rFonts w:ascii="Arial" w:hAnsi="Arial" w:cs="Arial"/>
          <w:lang w:val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1"/>
        <w:gridCol w:w="1459"/>
      </w:tblGrid>
      <w:tr w:rsidR="0009537C" w:rsidRPr="006021DF" w14:paraId="1F3AF6EA" w14:textId="77777777" w:rsidTr="00194120">
        <w:tc>
          <w:tcPr>
            <w:tcW w:w="6921" w:type="dxa"/>
            <w:shd w:val="clear" w:color="auto" w:fill="BFBFBF"/>
          </w:tcPr>
          <w:p w14:paraId="1A6612BF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Merila</w:t>
            </w:r>
          </w:p>
        </w:tc>
        <w:tc>
          <w:tcPr>
            <w:tcW w:w="1459" w:type="dxa"/>
            <w:shd w:val="clear" w:color="auto" w:fill="BFBFBF"/>
          </w:tcPr>
          <w:p w14:paraId="58E9DFC9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maksimalno št. točk</w:t>
            </w:r>
          </w:p>
        </w:tc>
      </w:tr>
      <w:tr w:rsidR="0009537C" w:rsidRPr="006021DF" w14:paraId="13BF5984" w14:textId="77777777" w:rsidTr="00194120">
        <w:tc>
          <w:tcPr>
            <w:tcW w:w="6921" w:type="dxa"/>
            <w:shd w:val="clear" w:color="auto" w:fill="auto"/>
          </w:tcPr>
          <w:p w14:paraId="341F4121" w14:textId="77777777" w:rsidR="0009537C" w:rsidRPr="006021DF" w:rsidRDefault="0009537C" w:rsidP="0009537C">
            <w:pPr>
              <w:pStyle w:val="Odstavekseznama"/>
              <w:numPr>
                <w:ilvl w:val="1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021DF">
              <w:rPr>
                <w:rFonts w:ascii="Arial" w:hAnsi="Arial" w:cs="Arial"/>
                <w:b/>
                <w:sz w:val="20"/>
                <w:lang w:val="sl-SI"/>
              </w:rPr>
              <w:t>EKONOMSKI VIDIK NALOŽBE</w:t>
            </w:r>
          </w:p>
        </w:tc>
        <w:tc>
          <w:tcPr>
            <w:tcW w:w="1459" w:type="dxa"/>
            <w:shd w:val="clear" w:color="auto" w:fill="auto"/>
          </w:tcPr>
          <w:p w14:paraId="2E126BD3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60</w:t>
            </w:r>
          </w:p>
        </w:tc>
      </w:tr>
      <w:tr w:rsidR="0009537C" w:rsidRPr="006021DF" w14:paraId="132AD68A" w14:textId="77777777" w:rsidTr="00194120">
        <w:tc>
          <w:tcPr>
            <w:tcW w:w="6921" w:type="dxa"/>
            <w:shd w:val="clear" w:color="auto" w:fill="auto"/>
          </w:tcPr>
          <w:p w14:paraId="2ED9EAF4" w14:textId="317018BC" w:rsidR="0009537C" w:rsidRPr="006021DF" w:rsidRDefault="0009537C" w:rsidP="0009537C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D</w:t>
            </w:r>
            <w:r w:rsidRPr="006021DF">
              <w:rPr>
                <w:rFonts w:ascii="Arial" w:hAnsi="Arial" w:cs="Arial"/>
                <w:b/>
                <w:sz w:val="20"/>
                <w:lang w:val="sl-SI"/>
              </w:rPr>
              <w:t>elež soglasij lastnikov kmetijskih zemljišč za uvedbo namakalnega sistema</w:t>
            </w:r>
          </w:p>
        </w:tc>
        <w:tc>
          <w:tcPr>
            <w:tcW w:w="1459" w:type="dxa"/>
            <w:shd w:val="clear" w:color="auto" w:fill="auto"/>
          </w:tcPr>
          <w:p w14:paraId="79176FD9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09537C" w:rsidRPr="006021DF" w14:paraId="5685A1C3" w14:textId="77777777" w:rsidTr="00194120">
        <w:tc>
          <w:tcPr>
            <w:tcW w:w="6921" w:type="dxa"/>
            <w:shd w:val="clear" w:color="auto" w:fill="auto"/>
          </w:tcPr>
          <w:p w14:paraId="6D75259A" w14:textId="648529EB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soglasij je 90 </w:t>
            </w:r>
            <w:r w:rsidR="004007F8">
              <w:rPr>
                <w:rFonts w:cs="Arial"/>
                <w:lang w:val="sl-SI"/>
              </w:rPr>
              <w:t>%</w:t>
            </w:r>
            <w:r w:rsidRPr="006021DF">
              <w:rPr>
                <w:rFonts w:cs="Arial"/>
                <w:lang w:val="sl-SI"/>
              </w:rPr>
              <w:t xml:space="preserve"> ali več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42306AFF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20</w:t>
            </w:r>
          </w:p>
        </w:tc>
      </w:tr>
      <w:tr w:rsidR="0009537C" w:rsidRPr="006021DF" w14:paraId="74965158" w14:textId="77777777" w:rsidTr="00194120">
        <w:tc>
          <w:tcPr>
            <w:tcW w:w="6921" w:type="dxa"/>
            <w:shd w:val="clear" w:color="auto" w:fill="auto"/>
          </w:tcPr>
          <w:p w14:paraId="5F9B899C" w14:textId="63A611C8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Delež soglasij je od 83 do manj kot 9</w:t>
            </w:r>
            <w:r w:rsidR="004007F8">
              <w:rPr>
                <w:rFonts w:cs="Arial"/>
                <w:lang w:val="sl-SI"/>
              </w:rPr>
              <w:t>0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4007F8">
              <w:rPr>
                <w:rFonts w:cs="Arial"/>
                <w:lang w:val="sl-SI"/>
              </w:rPr>
              <w:t>%.</w:t>
            </w:r>
          </w:p>
        </w:tc>
        <w:tc>
          <w:tcPr>
            <w:tcW w:w="1459" w:type="dxa"/>
            <w:shd w:val="clear" w:color="auto" w:fill="auto"/>
          </w:tcPr>
          <w:p w14:paraId="6CFB025B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15</w:t>
            </w:r>
          </w:p>
        </w:tc>
      </w:tr>
      <w:tr w:rsidR="0009537C" w:rsidRPr="006021DF" w14:paraId="0BCF758B" w14:textId="77777777" w:rsidTr="00194120">
        <w:tc>
          <w:tcPr>
            <w:tcW w:w="6921" w:type="dxa"/>
            <w:shd w:val="clear" w:color="auto" w:fill="auto"/>
          </w:tcPr>
          <w:p w14:paraId="45BB9993" w14:textId="750517B2" w:rsidR="0009537C" w:rsidRPr="006021DF" w:rsidRDefault="0009537C" w:rsidP="004007F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soglasij je od 77 do manj kot 83 </w:t>
            </w:r>
            <w:r w:rsidR="004007F8">
              <w:rPr>
                <w:rFonts w:cs="Arial"/>
                <w:lang w:val="sl-SI"/>
              </w:rPr>
              <w:t>%.</w:t>
            </w:r>
          </w:p>
        </w:tc>
        <w:tc>
          <w:tcPr>
            <w:tcW w:w="1459" w:type="dxa"/>
            <w:shd w:val="clear" w:color="auto" w:fill="auto"/>
          </w:tcPr>
          <w:p w14:paraId="48FF78F0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10</w:t>
            </w:r>
          </w:p>
        </w:tc>
      </w:tr>
      <w:tr w:rsidR="0009537C" w:rsidRPr="006021DF" w14:paraId="26D5129A" w14:textId="77777777" w:rsidTr="00194120">
        <w:tc>
          <w:tcPr>
            <w:tcW w:w="6921" w:type="dxa"/>
            <w:shd w:val="clear" w:color="auto" w:fill="auto"/>
          </w:tcPr>
          <w:p w14:paraId="30DD0D9E" w14:textId="5F6AF309" w:rsidR="0009537C" w:rsidRPr="006021DF" w:rsidRDefault="0009537C" w:rsidP="004007F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soglasij je več kot 67 do manj kot 77 </w:t>
            </w:r>
            <w:r w:rsidR="004007F8">
              <w:rPr>
                <w:rFonts w:cs="Arial"/>
                <w:lang w:val="sl-SI"/>
              </w:rPr>
              <w:t>%.</w:t>
            </w:r>
          </w:p>
        </w:tc>
        <w:tc>
          <w:tcPr>
            <w:tcW w:w="1459" w:type="dxa"/>
            <w:shd w:val="clear" w:color="auto" w:fill="auto"/>
          </w:tcPr>
          <w:p w14:paraId="2B60421D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5</w:t>
            </w:r>
          </w:p>
        </w:tc>
      </w:tr>
      <w:tr w:rsidR="0009537C" w:rsidRPr="006021DF" w14:paraId="479653B9" w14:textId="77777777" w:rsidTr="00194120">
        <w:tc>
          <w:tcPr>
            <w:tcW w:w="6921" w:type="dxa"/>
            <w:shd w:val="clear" w:color="auto" w:fill="auto"/>
          </w:tcPr>
          <w:p w14:paraId="57375D09" w14:textId="3471ACE8" w:rsidR="0009537C" w:rsidRPr="006021DF" w:rsidRDefault="0009537C" w:rsidP="0009537C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6021DF">
              <w:rPr>
                <w:rFonts w:ascii="Arial" w:hAnsi="Arial" w:cs="Arial"/>
                <w:b/>
                <w:sz w:val="20"/>
                <w:lang w:val="sl-SI"/>
              </w:rPr>
              <w:t>Velikost namakalnega območja</w:t>
            </w:r>
          </w:p>
        </w:tc>
        <w:tc>
          <w:tcPr>
            <w:tcW w:w="1459" w:type="dxa"/>
            <w:shd w:val="clear" w:color="auto" w:fill="auto"/>
          </w:tcPr>
          <w:p w14:paraId="01F8F9DD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09537C" w:rsidRPr="006021DF" w14:paraId="5822A0DC" w14:textId="77777777" w:rsidTr="00194120">
        <w:tc>
          <w:tcPr>
            <w:tcW w:w="6921" w:type="dxa"/>
            <w:shd w:val="clear" w:color="auto" w:fill="auto"/>
          </w:tcPr>
          <w:p w14:paraId="6D16C223" w14:textId="54E0F06D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Namakalno območje je veliko 100 ha ali več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1D22B912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20</w:t>
            </w:r>
          </w:p>
        </w:tc>
      </w:tr>
      <w:tr w:rsidR="0009537C" w:rsidRPr="006021DF" w14:paraId="0D81D27F" w14:textId="77777777" w:rsidTr="00194120">
        <w:tc>
          <w:tcPr>
            <w:tcW w:w="6921" w:type="dxa"/>
            <w:shd w:val="clear" w:color="auto" w:fill="auto"/>
          </w:tcPr>
          <w:p w14:paraId="4381F00A" w14:textId="54745E29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Namakalno območje je veliko od 50 do manj kot 100 ha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AE27A7C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15</w:t>
            </w:r>
          </w:p>
        </w:tc>
      </w:tr>
      <w:tr w:rsidR="0009537C" w:rsidRPr="006021DF" w14:paraId="7B1ACB76" w14:textId="77777777" w:rsidTr="00194120">
        <w:tc>
          <w:tcPr>
            <w:tcW w:w="6921" w:type="dxa"/>
            <w:shd w:val="clear" w:color="auto" w:fill="auto"/>
          </w:tcPr>
          <w:p w14:paraId="487517E5" w14:textId="0F4D3F90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Namakalno območje je veliko od 10 do manj kot 50 ha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4F228A27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10</w:t>
            </w:r>
          </w:p>
        </w:tc>
      </w:tr>
      <w:tr w:rsidR="0009537C" w:rsidRPr="006021DF" w14:paraId="10FF3887" w14:textId="77777777" w:rsidTr="00194120">
        <w:tc>
          <w:tcPr>
            <w:tcW w:w="6921" w:type="dxa"/>
            <w:shd w:val="clear" w:color="auto" w:fill="auto"/>
          </w:tcPr>
          <w:p w14:paraId="4DFC7124" w14:textId="218C23AC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Namakalno območje je manjše od 10 ha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88D54E8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5</w:t>
            </w:r>
          </w:p>
        </w:tc>
      </w:tr>
      <w:tr w:rsidR="0009537C" w:rsidRPr="006021DF" w14:paraId="6B7FCAD5" w14:textId="77777777" w:rsidTr="00194120">
        <w:tc>
          <w:tcPr>
            <w:tcW w:w="6921" w:type="dxa"/>
            <w:shd w:val="clear" w:color="auto" w:fill="auto"/>
          </w:tcPr>
          <w:p w14:paraId="5D3DA219" w14:textId="77777777" w:rsidR="0009537C" w:rsidRDefault="0009537C" w:rsidP="0009537C">
            <w:pPr>
              <w:pStyle w:val="Odstavekseznama"/>
              <w:numPr>
                <w:ilvl w:val="1"/>
                <w:numId w:val="4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6021DF">
              <w:rPr>
                <w:rFonts w:ascii="Arial" w:hAnsi="Arial" w:cs="Arial"/>
                <w:b/>
                <w:sz w:val="20"/>
                <w:lang w:val="sl-SI"/>
              </w:rPr>
              <w:t>Medsebojno povezovanje zemljiških operacij</w:t>
            </w:r>
          </w:p>
          <w:p w14:paraId="2A284A44" w14:textId="3A8ED0E5" w:rsidR="00903211" w:rsidRPr="001413C3" w:rsidRDefault="001413C3" w:rsidP="00E17BB5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413C3">
              <w:rPr>
                <w:rFonts w:ascii="Arial" w:hAnsi="Arial" w:cs="Arial"/>
                <w:sz w:val="20"/>
                <w:szCs w:val="20"/>
                <w:lang w:val="sl-SI"/>
              </w:rPr>
              <w:t xml:space="preserve">Za izkazovanje tega merila </w:t>
            </w:r>
            <w:r w:rsidR="00E17BB5">
              <w:rPr>
                <w:rFonts w:ascii="Arial" w:hAnsi="Arial" w:cs="Arial"/>
                <w:sz w:val="20"/>
                <w:szCs w:val="20"/>
                <w:lang w:val="sl-SI"/>
              </w:rPr>
              <w:t>vlagatelj v vlogi</w:t>
            </w:r>
            <w:r w:rsidRPr="001413C3">
              <w:rPr>
                <w:rFonts w:ascii="Arial" w:hAnsi="Arial" w:cs="Arial"/>
                <w:sz w:val="20"/>
                <w:szCs w:val="20"/>
                <w:lang w:val="sl-SI"/>
              </w:rPr>
              <w:t xml:space="preserve"> na javni razpis priloži</w:t>
            </w:r>
            <w:r w:rsidR="00E17BB5">
              <w:rPr>
                <w:rFonts w:ascii="Arial" w:hAnsi="Arial" w:cs="Arial"/>
                <w:sz w:val="20"/>
                <w:szCs w:val="20"/>
                <w:lang w:val="sl-SI"/>
              </w:rPr>
              <w:t xml:space="preserve"> številko in datum</w:t>
            </w:r>
            <w:r w:rsidRPr="001413C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E17BB5">
              <w:rPr>
                <w:rFonts w:ascii="Arial" w:hAnsi="Arial" w:cs="Arial"/>
                <w:sz w:val="20"/>
                <w:szCs w:val="20"/>
                <w:lang w:val="sl-SI"/>
              </w:rPr>
              <w:t>pravnomočne odločbe</w:t>
            </w:r>
            <w:r w:rsidRPr="000C4B97">
              <w:rPr>
                <w:rFonts w:ascii="Arial" w:hAnsi="Arial" w:cs="Arial"/>
                <w:sz w:val="20"/>
                <w:szCs w:val="20"/>
                <w:lang w:val="sl-SI"/>
              </w:rPr>
              <w:t xml:space="preserve"> o uvedbi agromelioracije kmetijskih zemljišč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0C4B97">
              <w:rPr>
                <w:rFonts w:ascii="Arial" w:hAnsi="Arial" w:cs="Arial"/>
                <w:sz w:val="20"/>
                <w:szCs w:val="20"/>
                <w:lang w:val="sl-SI"/>
              </w:rPr>
              <w:t xml:space="preserve"> agromelioracije na komasacijskih območjih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oziroma</w:t>
            </w:r>
            <w:r w:rsidR="00E17BB5">
              <w:rPr>
                <w:rFonts w:ascii="Arial" w:hAnsi="Arial" w:cs="Arial"/>
                <w:sz w:val="20"/>
                <w:szCs w:val="20"/>
                <w:lang w:val="sl-SI"/>
              </w:rPr>
              <w:t xml:space="preserve"> odločbe o novi razdelitvi zemljišč komasacijskega sklada</w:t>
            </w:r>
            <w:r w:rsidRPr="000C4B97">
              <w:rPr>
                <w:rFonts w:ascii="Arial" w:hAnsi="Arial" w:cs="Arial"/>
                <w:sz w:val="20"/>
                <w:szCs w:val="20"/>
                <w:lang w:val="sl-SI"/>
              </w:rPr>
              <w:t xml:space="preserve"> v skladu z Zakonom o kmetijskih zemljiščih (Uradni list RS, št. 71/11 – uradno prečiščeno besedilo, 58/12, 27/16, 27/17 – ZKme-1D, 79/17, 44/22 in 78/23 – ZUNPEOVE).</w:t>
            </w:r>
          </w:p>
        </w:tc>
        <w:tc>
          <w:tcPr>
            <w:tcW w:w="1459" w:type="dxa"/>
            <w:shd w:val="clear" w:color="auto" w:fill="auto"/>
          </w:tcPr>
          <w:p w14:paraId="66B5E785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09537C" w:rsidRPr="006021DF" w14:paraId="4FD3BB32" w14:textId="77777777" w:rsidTr="00194120">
        <w:tc>
          <w:tcPr>
            <w:tcW w:w="6921" w:type="dxa"/>
            <w:shd w:val="clear" w:color="auto" w:fill="auto"/>
          </w:tcPr>
          <w:p w14:paraId="20952E57" w14:textId="209503DB" w:rsidR="0009537C" w:rsidRPr="006021DF" w:rsidRDefault="0009537C" w:rsidP="000C4B97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Vlagatelj je predhodno izvedel komasacijo in agromelioracijo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161F74E2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20</w:t>
            </w:r>
          </w:p>
        </w:tc>
      </w:tr>
      <w:tr w:rsidR="0009537C" w:rsidRPr="006021DF" w14:paraId="5B82E6B2" w14:textId="77777777" w:rsidTr="00194120">
        <w:tc>
          <w:tcPr>
            <w:tcW w:w="6921" w:type="dxa"/>
            <w:shd w:val="clear" w:color="auto" w:fill="auto"/>
          </w:tcPr>
          <w:p w14:paraId="558691D1" w14:textId="77777777" w:rsidR="0009537C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Vlagatelj je predhodno izvedel komasacijo</w:t>
            </w:r>
            <w:r w:rsidR="004007F8">
              <w:rPr>
                <w:rFonts w:cs="Arial"/>
                <w:lang w:val="sl-SI"/>
              </w:rPr>
              <w:t>.</w:t>
            </w:r>
          </w:p>
          <w:p w14:paraId="08C156BE" w14:textId="1351EA32" w:rsidR="00D14E76" w:rsidRPr="006021DF" w:rsidRDefault="00D14E76" w:rsidP="00D14E7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</w:p>
        </w:tc>
        <w:tc>
          <w:tcPr>
            <w:tcW w:w="1459" w:type="dxa"/>
            <w:shd w:val="clear" w:color="auto" w:fill="auto"/>
          </w:tcPr>
          <w:p w14:paraId="7C2967E0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10</w:t>
            </w:r>
          </w:p>
        </w:tc>
      </w:tr>
      <w:tr w:rsidR="0009537C" w:rsidRPr="006021DF" w14:paraId="3E46B92D" w14:textId="77777777" w:rsidTr="00194120">
        <w:tc>
          <w:tcPr>
            <w:tcW w:w="6921" w:type="dxa"/>
            <w:shd w:val="clear" w:color="auto" w:fill="auto"/>
          </w:tcPr>
          <w:p w14:paraId="47D93147" w14:textId="37CF986B" w:rsidR="0009537C" w:rsidRPr="006021DF" w:rsidRDefault="0009537C" w:rsidP="009310F6">
            <w:pPr>
              <w:pStyle w:val="Odstavekseznama"/>
              <w:numPr>
                <w:ilvl w:val="1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021DF">
              <w:rPr>
                <w:rFonts w:ascii="Arial" w:hAnsi="Arial" w:cs="Arial"/>
                <w:b/>
                <w:sz w:val="20"/>
                <w:lang w:val="sl-SI"/>
              </w:rPr>
              <w:t>GEOGRAFSKI VIDIK NALOŽBE</w:t>
            </w:r>
          </w:p>
        </w:tc>
        <w:tc>
          <w:tcPr>
            <w:tcW w:w="1459" w:type="dxa"/>
            <w:shd w:val="clear" w:color="auto" w:fill="auto"/>
          </w:tcPr>
          <w:p w14:paraId="724438DF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09537C" w:rsidRPr="006021DF" w14:paraId="04BB7266" w14:textId="77777777" w:rsidTr="00194120">
        <w:tc>
          <w:tcPr>
            <w:tcW w:w="6921" w:type="dxa"/>
            <w:shd w:val="clear" w:color="auto" w:fill="auto"/>
          </w:tcPr>
          <w:p w14:paraId="1B11D9E9" w14:textId="77777777" w:rsidR="0009537C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2.1. Koeficient razvitosti občin</w:t>
            </w:r>
          </w:p>
          <w:p w14:paraId="6AAA7E27" w14:textId="457BE6F4" w:rsidR="00B06D88" w:rsidRDefault="00B06D88" w:rsidP="00B06D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903211">
              <w:rPr>
                <w:rFonts w:cs="Arial"/>
                <w:lang w:val="sl-SI"/>
              </w:rPr>
              <w:t>Za določitev koeficienta</w:t>
            </w:r>
            <w:r>
              <w:rPr>
                <w:rFonts w:cs="Arial"/>
                <w:lang w:val="sl-SI"/>
              </w:rPr>
              <w:t xml:space="preserve"> razvitosti občin</w:t>
            </w:r>
            <w:r w:rsidRPr="00903211">
              <w:rPr>
                <w:rFonts w:cs="Arial"/>
                <w:lang w:val="sl-SI"/>
              </w:rPr>
              <w:t xml:space="preserve"> se šteje občina, v kateri se nahajajo zemljišča, na katerih se bo izvajala </w:t>
            </w:r>
            <w:r w:rsidR="002B39E2">
              <w:rPr>
                <w:rFonts w:cs="Arial"/>
                <w:lang w:val="sl-SI"/>
              </w:rPr>
              <w:t>izgradnja namakalnega sistema</w:t>
            </w:r>
            <w:r w:rsidRPr="00903211">
              <w:rPr>
                <w:rFonts w:cs="Arial"/>
                <w:lang w:val="sl-SI"/>
              </w:rPr>
              <w:t>.</w:t>
            </w:r>
            <w:r>
              <w:rPr>
                <w:rFonts w:cs="Arial"/>
                <w:lang w:val="sl-SI"/>
              </w:rPr>
              <w:t xml:space="preserve"> </w:t>
            </w:r>
            <w:r w:rsidR="000C4B97">
              <w:rPr>
                <w:rFonts w:cs="Arial"/>
                <w:lang w:val="sl-SI"/>
              </w:rPr>
              <w:t xml:space="preserve">Če se </w:t>
            </w:r>
            <w:r w:rsidR="002B39E2">
              <w:rPr>
                <w:rFonts w:cs="Arial"/>
                <w:lang w:val="sl-SI"/>
              </w:rPr>
              <w:t xml:space="preserve">namakalni sistem </w:t>
            </w:r>
            <w:r w:rsidR="000C4B97">
              <w:rPr>
                <w:rFonts w:cs="Arial"/>
                <w:lang w:val="sl-SI"/>
              </w:rPr>
              <w:t>nahaja v več občinah, se za določitev koeficienta šteje občina, v kateri leži večji del</w:t>
            </w:r>
            <w:r w:rsidR="002B39E2">
              <w:rPr>
                <w:rFonts w:cs="Arial"/>
                <w:lang w:val="sl-SI"/>
              </w:rPr>
              <w:t xml:space="preserve"> namakalnega sistema</w:t>
            </w:r>
            <w:r w:rsidR="000C4B97">
              <w:rPr>
                <w:rFonts w:cs="Arial"/>
                <w:lang w:val="sl-SI"/>
              </w:rPr>
              <w:t>.</w:t>
            </w:r>
          </w:p>
          <w:p w14:paraId="5C7C447A" w14:textId="77777777" w:rsidR="00B06D88" w:rsidRDefault="00B06D88" w:rsidP="00B06D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</w:p>
          <w:p w14:paraId="3A3AB80F" w14:textId="130D059D" w:rsidR="00903211" w:rsidRPr="00903211" w:rsidRDefault="00903211" w:rsidP="00B06D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sl-SI"/>
              </w:rPr>
            </w:pPr>
            <w:r w:rsidRPr="00903211">
              <w:rPr>
                <w:rFonts w:cs="Arial"/>
                <w:lang w:val="sl-SI"/>
              </w:rPr>
              <w:t xml:space="preserve">Koeficient razvitosti občin je v prilogi razpisne dokumentacije. </w:t>
            </w:r>
          </w:p>
        </w:tc>
        <w:tc>
          <w:tcPr>
            <w:tcW w:w="1459" w:type="dxa"/>
            <w:shd w:val="clear" w:color="auto" w:fill="auto"/>
          </w:tcPr>
          <w:p w14:paraId="79B3E093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lastRenderedPageBreak/>
              <w:t>20</w:t>
            </w:r>
          </w:p>
        </w:tc>
      </w:tr>
      <w:tr w:rsidR="0009537C" w:rsidRPr="006021DF" w14:paraId="48BBE0B7" w14:textId="77777777" w:rsidTr="00194120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646F" w14:textId="02841E49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Koeficient razvitosti občine je 0,8 ali manjši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C4B3" w14:textId="77777777" w:rsidR="0009537C" w:rsidRPr="006021DF" w:rsidRDefault="0009537C" w:rsidP="001E27DB">
            <w:pPr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20</w:t>
            </w:r>
          </w:p>
        </w:tc>
      </w:tr>
      <w:tr w:rsidR="0009537C" w:rsidRPr="006021DF" w14:paraId="41E76F88" w14:textId="77777777" w:rsidTr="00194120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B694" w14:textId="37D952C9" w:rsidR="0009537C" w:rsidRPr="006021DF" w:rsidRDefault="0009537C" w:rsidP="003F273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Koeficient razvitosti občine je </w:t>
            </w:r>
            <w:r w:rsidR="003F273D">
              <w:rPr>
                <w:rFonts w:cs="Arial"/>
                <w:lang w:val="sl-SI"/>
              </w:rPr>
              <w:t>od</w:t>
            </w:r>
            <w:r w:rsidRPr="006021DF">
              <w:rPr>
                <w:rFonts w:cs="Arial"/>
                <w:lang w:val="sl-SI"/>
              </w:rPr>
              <w:t xml:space="preserve"> 0,8 do </w:t>
            </w:r>
            <w:r w:rsidR="003F273D">
              <w:rPr>
                <w:rFonts w:cs="Arial"/>
                <w:lang w:val="sl-SI"/>
              </w:rPr>
              <w:t>manj kot</w:t>
            </w:r>
            <w:r w:rsidRPr="006021DF">
              <w:rPr>
                <w:rFonts w:cs="Arial"/>
                <w:lang w:val="sl-SI"/>
              </w:rPr>
              <w:t xml:space="preserve"> 1,00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2D65" w14:textId="77777777" w:rsidR="0009537C" w:rsidRPr="006021DF" w:rsidRDefault="0009537C" w:rsidP="001E27DB">
            <w:pPr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15</w:t>
            </w:r>
          </w:p>
        </w:tc>
      </w:tr>
      <w:tr w:rsidR="0009537C" w:rsidRPr="006021DF" w14:paraId="320CDD9E" w14:textId="77777777" w:rsidTr="00194120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8733" w14:textId="5401A0E1" w:rsidR="0009537C" w:rsidRPr="006021DF" w:rsidRDefault="0009537C" w:rsidP="003F273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Koeficient razvitosti občine je </w:t>
            </w:r>
            <w:r w:rsidR="003F273D">
              <w:rPr>
                <w:rFonts w:cs="Arial"/>
                <w:lang w:val="sl-SI"/>
              </w:rPr>
              <w:t>od</w:t>
            </w:r>
            <w:r w:rsidRPr="006021DF">
              <w:rPr>
                <w:rFonts w:cs="Arial"/>
                <w:lang w:val="sl-SI"/>
              </w:rPr>
              <w:t xml:space="preserve"> 1,00 do </w:t>
            </w:r>
            <w:r w:rsidR="003F273D">
              <w:rPr>
                <w:rFonts w:cs="Arial"/>
                <w:lang w:val="sl-SI"/>
              </w:rPr>
              <w:t>manj kot</w:t>
            </w:r>
            <w:r w:rsidRPr="006021DF">
              <w:rPr>
                <w:rFonts w:cs="Arial"/>
                <w:lang w:val="sl-SI"/>
              </w:rPr>
              <w:t xml:space="preserve"> 1,10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4B7" w14:textId="77777777" w:rsidR="0009537C" w:rsidRPr="006021DF" w:rsidRDefault="0009537C" w:rsidP="001E27DB">
            <w:pPr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10</w:t>
            </w:r>
          </w:p>
        </w:tc>
      </w:tr>
      <w:tr w:rsidR="0009537C" w:rsidRPr="006021DF" w14:paraId="35B15820" w14:textId="77777777" w:rsidTr="00194120">
        <w:tc>
          <w:tcPr>
            <w:tcW w:w="6921" w:type="dxa"/>
            <w:shd w:val="clear" w:color="auto" w:fill="auto"/>
          </w:tcPr>
          <w:p w14:paraId="329EC7C6" w14:textId="5D85A750" w:rsidR="0009537C" w:rsidRPr="006021DF" w:rsidRDefault="0009537C" w:rsidP="003F273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Koeficient razvitosti občine je 1,10</w:t>
            </w:r>
            <w:r w:rsidR="003F273D">
              <w:rPr>
                <w:rFonts w:cs="Arial"/>
                <w:lang w:val="sl-SI"/>
              </w:rPr>
              <w:t xml:space="preserve"> ali več</w:t>
            </w:r>
            <w:r w:rsidR="004007F8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1062B473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5</w:t>
            </w:r>
          </w:p>
        </w:tc>
      </w:tr>
      <w:tr w:rsidR="0009537C" w:rsidRPr="006021DF" w14:paraId="6CA20132" w14:textId="77777777" w:rsidTr="00194120">
        <w:tc>
          <w:tcPr>
            <w:tcW w:w="6921" w:type="dxa"/>
            <w:shd w:val="clear" w:color="auto" w:fill="auto"/>
          </w:tcPr>
          <w:p w14:paraId="6F8E8DE0" w14:textId="77777777" w:rsidR="0009537C" w:rsidRPr="006021DF" w:rsidRDefault="0009537C" w:rsidP="0009537C">
            <w:pPr>
              <w:pStyle w:val="Odstavekseznama"/>
              <w:numPr>
                <w:ilvl w:val="1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021DF">
              <w:rPr>
                <w:rFonts w:ascii="Arial" w:hAnsi="Arial" w:cs="Arial"/>
                <w:b/>
                <w:sz w:val="20"/>
                <w:lang w:val="sl-SI"/>
              </w:rPr>
              <w:t>PRISPEVEK K HORIZONTALNIM CILJEM</w:t>
            </w:r>
          </w:p>
        </w:tc>
        <w:tc>
          <w:tcPr>
            <w:tcW w:w="1459" w:type="dxa"/>
            <w:shd w:val="clear" w:color="auto" w:fill="auto"/>
          </w:tcPr>
          <w:p w14:paraId="4AE5CACD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09537C" w:rsidRPr="006021DF" w14:paraId="517123C7" w14:textId="77777777" w:rsidTr="00194120">
        <w:tc>
          <w:tcPr>
            <w:tcW w:w="6921" w:type="dxa"/>
            <w:shd w:val="clear" w:color="auto" w:fill="auto"/>
          </w:tcPr>
          <w:p w14:paraId="68E6D92C" w14:textId="77777777" w:rsidR="00903211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 xml:space="preserve">3.1. Delež mogočih površin, opremljenih s kapljičnim namakanjem oziroma </w:t>
            </w:r>
            <w:proofErr w:type="spellStart"/>
            <w:r w:rsidRPr="006021DF">
              <w:rPr>
                <w:rFonts w:cs="Arial"/>
                <w:b/>
                <w:lang w:val="sl-SI"/>
              </w:rPr>
              <w:t>mikrorazpršilci</w:t>
            </w:r>
            <w:proofErr w:type="spellEnd"/>
          </w:p>
          <w:p w14:paraId="1E14DC7E" w14:textId="7055C870" w:rsidR="00903211" w:rsidRPr="00903211" w:rsidRDefault="001413C3" w:rsidP="00FD53F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</w:t>
            </w:r>
            <w:r w:rsidR="006B4DAB">
              <w:rPr>
                <w:rFonts w:cs="Arial"/>
                <w:lang w:val="sl-SI"/>
              </w:rPr>
              <w:t xml:space="preserve">a izkazovanje </w:t>
            </w:r>
            <w:r w:rsidR="00FD53FB">
              <w:rPr>
                <w:rFonts w:cs="Arial"/>
                <w:lang w:val="sl-SI"/>
              </w:rPr>
              <w:t>tega merila</w:t>
            </w:r>
            <w:r w:rsidR="006B4DAB">
              <w:rPr>
                <w:rFonts w:cs="Arial"/>
                <w:lang w:val="sl-SI"/>
              </w:rPr>
              <w:t xml:space="preserve"> se vlogi na javni razpis priloži </w:t>
            </w:r>
            <w:r w:rsidR="00903211" w:rsidRPr="00903211">
              <w:rPr>
                <w:rFonts w:cs="Arial"/>
                <w:lang w:val="sl-SI"/>
              </w:rPr>
              <w:t xml:space="preserve">Elaborat namakanja, ki </w:t>
            </w:r>
            <w:r w:rsidR="006B4DAB">
              <w:rPr>
                <w:rFonts w:cs="Arial"/>
                <w:lang w:val="sl-SI"/>
              </w:rPr>
              <w:t>vsebuje obvezne vsebine iz Priloge, ki je sestavni del</w:t>
            </w:r>
            <w:r w:rsidR="00903211" w:rsidRPr="00903211">
              <w:rPr>
                <w:rFonts w:cs="Arial"/>
                <w:lang w:val="sl-SI"/>
              </w:rPr>
              <w:t xml:space="preserve"> </w:t>
            </w:r>
            <w:r w:rsidR="006B4DAB">
              <w:rPr>
                <w:rFonts w:cs="Arial"/>
                <w:lang w:val="sl-SI"/>
              </w:rPr>
              <w:t>tega</w:t>
            </w:r>
            <w:r w:rsidR="007B7F61">
              <w:rPr>
                <w:rFonts w:cs="Arial"/>
                <w:lang w:val="sl-SI"/>
              </w:rPr>
              <w:t xml:space="preserve"> javnega razpisa</w:t>
            </w:r>
            <w:r w:rsidR="00903211" w:rsidRPr="00903211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215B9508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sl-SI"/>
              </w:rPr>
            </w:pPr>
            <w:r w:rsidRPr="006021DF">
              <w:rPr>
                <w:rFonts w:cs="Arial"/>
                <w:b/>
                <w:lang w:val="sl-SI"/>
              </w:rPr>
              <w:t>20</w:t>
            </w:r>
          </w:p>
        </w:tc>
      </w:tr>
      <w:tr w:rsidR="0009537C" w:rsidRPr="006021DF" w14:paraId="4AE7AD5D" w14:textId="77777777" w:rsidTr="00194120">
        <w:tc>
          <w:tcPr>
            <w:tcW w:w="6921" w:type="dxa"/>
            <w:shd w:val="clear" w:color="auto" w:fill="auto"/>
          </w:tcPr>
          <w:p w14:paraId="7C767B41" w14:textId="6B707E27" w:rsidR="0009537C" w:rsidRPr="006021DF" w:rsidRDefault="0009537C" w:rsidP="003F273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opremljenosti bo 20 </w:t>
            </w:r>
            <w:r w:rsidR="00654FFF">
              <w:rPr>
                <w:rFonts w:cs="Arial"/>
                <w:lang w:val="sl-SI"/>
              </w:rPr>
              <w:t>%</w:t>
            </w:r>
            <w:r w:rsidR="003F273D">
              <w:rPr>
                <w:rFonts w:cs="Arial"/>
                <w:lang w:val="sl-SI"/>
              </w:rPr>
              <w:t xml:space="preserve"> ali več</w:t>
            </w:r>
            <w:r w:rsidR="00654FFF">
              <w:rPr>
                <w:rFonts w:cs="Arial"/>
                <w:lang w:val="sl-SI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14:paraId="68637761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20</w:t>
            </w:r>
          </w:p>
        </w:tc>
      </w:tr>
      <w:tr w:rsidR="0009537C" w:rsidRPr="006021DF" w14:paraId="1B7EDB5C" w14:textId="77777777" w:rsidTr="00194120">
        <w:tc>
          <w:tcPr>
            <w:tcW w:w="6921" w:type="dxa"/>
            <w:shd w:val="clear" w:color="auto" w:fill="auto"/>
          </w:tcPr>
          <w:p w14:paraId="34F29C8E" w14:textId="28683CD7" w:rsidR="0009537C" w:rsidRPr="006021DF" w:rsidRDefault="0009537C" w:rsidP="003F273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opremljenosti </w:t>
            </w:r>
            <w:r w:rsidR="003F273D">
              <w:rPr>
                <w:rFonts w:cs="Arial"/>
                <w:lang w:val="sl-SI"/>
              </w:rPr>
              <w:t>bo</w:t>
            </w:r>
            <w:r w:rsidRPr="006021DF">
              <w:rPr>
                <w:rFonts w:cs="Arial"/>
                <w:lang w:val="sl-SI"/>
              </w:rPr>
              <w:t xml:space="preserve"> od 15 </w:t>
            </w:r>
            <w:r w:rsidR="00654FFF">
              <w:rPr>
                <w:rFonts w:cs="Arial"/>
                <w:lang w:val="sl-SI"/>
              </w:rPr>
              <w:t>%</w:t>
            </w:r>
            <w:r w:rsidR="00654FFF" w:rsidRPr="006021DF">
              <w:rPr>
                <w:rFonts w:cs="Arial"/>
                <w:lang w:val="sl-SI"/>
              </w:rPr>
              <w:t xml:space="preserve"> </w:t>
            </w:r>
            <w:r w:rsidRPr="006021DF">
              <w:rPr>
                <w:rFonts w:cs="Arial"/>
                <w:lang w:val="sl-SI"/>
              </w:rPr>
              <w:t xml:space="preserve">in do </w:t>
            </w:r>
            <w:r w:rsidR="003F273D">
              <w:rPr>
                <w:rFonts w:cs="Arial"/>
                <w:lang w:val="sl-SI"/>
              </w:rPr>
              <w:t>manj kot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3F273D">
              <w:rPr>
                <w:rFonts w:cs="Arial"/>
                <w:lang w:val="sl-SI"/>
              </w:rPr>
              <w:t>20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654FFF">
              <w:rPr>
                <w:rFonts w:cs="Arial"/>
                <w:lang w:val="sl-SI"/>
              </w:rPr>
              <w:t>%.</w:t>
            </w:r>
          </w:p>
        </w:tc>
        <w:tc>
          <w:tcPr>
            <w:tcW w:w="1459" w:type="dxa"/>
            <w:shd w:val="clear" w:color="auto" w:fill="auto"/>
          </w:tcPr>
          <w:p w14:paraId="5A6CD045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15</w:t>
            </w:r>
          </w:p>
        </w:tc>
      </w:tr>
      <w:tr w:rsidR="0009537C" w:rsidRPr="006021DF" w14:paraId="51CED7DB" w14:textId="77777777" w:rsidTr="00194120">
        <w:tc>
          <w:tcPr>
            <w:tcW w:w="6921" w:type="dxa"/>
            <w:shd w:val="clear" w:color="auto" w:fill="auto"/>
          </w:tcPr>
          <w:p w14:paraId="6CB2084C" w14:textId="4D917CCF" w:rsidR="0009537C" w:rsidRPr="006021DF" w:rsidRDefault="0009537C" w:rsidP="003F273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opremljenosti </w:t>
            </w:r>
            <w:r w:rsidR="003F273D">
              <w:rPr>
                <w:rFonts w:cs="Arial"/>
                <w:lang w:val="sl-SI"/>
              </w:rPr>
              <w:t>bo</w:t>
            </w:r>
            <w:r w:rsidRPr="006021DF">
              <w:rPr>
                <w:rFonts w:cs="Arial"/>
                <w:lang w:val="sl-SI"/>
              </w:rPr>
              <w:t xml:space="preserve"> od 10 </w:t>
            </w:r>
            <w:r w:rsidR="00654FFF">
              <w:rPr>
                <w:rFonts w:cs="Arial"/>
                <w:lang w:val="sl-SI"/>
              </w:rPr>
              <w:t>%</w:t>
            </w:r>
            <w:r w:rsidR="00654FFF" w:rsidRPr="006021DF">
              <w:rPr>
                <w:rFonts w:cs="Arial"/>
                <w:lang w:val="sl-SI"/>
              </w:rPr>
              <w:t xml:space="preserve"> </w:t>
            </w:r>
            <w:r w:rsidRPr="006021DF">
              <w:rPr>
                <w:rFonts w:cs="Arial"/>
                <w:lang w:val="sl-SI"/>
              </w:rPr>
              <w:t xml:space="preserve">in do </w:t>
            </w:r>
            <w:r w:rsidR="003F273D">
              <w:rPr>
                <w:rFonts w:cs="Arial"/>
                <w:lang w:val="sl-SI"/>
              </w:rPr>
              <w:t>manj kot</w:t>
            </w:r>
            <w:r w:rsidRPr="006021DF">
              <w:rPr>
                <w:rFonts w:cs="Arial"/>
                <w:lang w:val="sl-SI"/>
              </w:rPr>
              <w:t xml:space="preserve"> 1</w:t>
            </w:r>
            <w:r w:rsidR="003F273D">
              <w:rPr>
                <w:rFonts w:cs="Arial"/>
                <w:lang w:val="sl-SI"/>
              </w:rPr>
              <w:t>5</w:t>
            </w:r>
            <w:r w:rsidRPr="006021DF">
              <w:rPr>
                <w:rFonts w:cs="Arial"/>
                <w:lang w:val="sl-SI"/>
              </w:rPr>
              <w:t xml:space="preserve"> </w:t>
            </w:r>
            <w:r w:rsidR="00654FFF">
              <w:rPr>
                <w:rFonts w:cs="Arial"/>
                <w:lang w:val="sl-SI"/>
              </w:rPr>
              <w:t>%.</w:t>
            </w:r>
          </w:p>
        </w:tc>
        <w:tc>
          <w:tcPr>
            <w:tcW w:w="1459" w:type="dxa"/>
            <w:shd w:val="clear" w:color="auto" w:fill="auto"/>
          </w:tcPr>
          <w:p w14:paraId="04F54E70" w14:textId="77777777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10</w:t>
            </w:r>
          </w:p>
        </w:tc>
      </w:tr>
      <w:tr w:rsidR="0009537C" w:rsidRPr="006021DF" w14:paraId="2EADF5D5" w14:textId="77777777" w:rsidTr="00194120">
        <w:tc>
          <w:tcPr>
            <w:tcW w:w="6921" w:type="dxa"/>
            <w:shd w:val="clear" w:color="auto" w:fill="auto"/>
          </w:tcPr>
          <w:p w14:paraId="073BDD1B" w14:textId="616DFAB2" w:rsidR="0009537C" w:rsidRPr="006021DF" w:rsidRDefault="0009537C" w:rsidP="003F273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 xml:space="preserve">Delež opremljenosti </w:t>
            </w:r>
            <w:r w:rsidR="003F273D">
              <w:rPr>
                <w:rFonts w:cs="Arial"/>
                <w:lang w:val="sl-SI"/>
              </w:rPr>
              <w:t>bo</w:t>
            </w:r>
            <w:r w:rsidRPr="006021DF">
              <w:rPr>
                <w:rFonts w:cs="Arial"/>
                <w:lang w:val="sl-SI"/>
              </w:rPr>
              <w:t xml:space="preserve"> do vključno 9,99 </w:t>
            </w:r>
            <w:r w:rsidR="00654FFF">
              <w:rPr>
                <w:rFonts w:cs="Arial"/>
                <w:lang w:val="sl-SI"/>
              </w:rPr>
              <w:t>%.</w:t>
            </w:r>
          </w:p>
        </w:tc>
        <w:tc>
          <w:tcPr>
            <w:tcW w:w="1459" w:type="dxa"/>
            <w:shd w:val="clear" w:color="auto" w:fill="auto"/>
          </w:tcPr>
          <w:p w14:paraId="1E9E018B" w14:textId="1A793B70" w:rsidR="0009537C" w:rsidRPr="006021DF" w:rsidRDefault="0009537C" w:rsidP="001E27D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lang w:val="sl-SI"/>
              </w:rPr>
            </w:pPr>
            <w:r w:rsidRPr="006021DF">
              <w:rPr>
                <w:rFonts w:cs="Arial"/>
                <w:lang w:val="sl-SI"/>
              </w:rPr>
              <w:t>5</w:t>
            </w:r>
          </w:p>
        </w:tc>
      </w:tr>
    </w:tbl>
    <w:p w14:paraId="5AE0DC3D" w14:textId="370F31D4" w:rsidR="00CF2827" w:rsidRDefault="00CF2827" w:rsidP="003F1F7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A4FCB2C" w14:textId="77777777" w:rsidR="00034DC3" w:rsidRPr="003F1F7B" w:rsidRDefault="00034DC3" w:rsidP="00034DC3">
      <w:pPr>
        <w:pStyle w:val="Golobesedilo"/>
        <w:jc w:val="both"/>
        <w:rPr>
          <w:rFonts w:ascii="Arial" w:hAnsi="Arial" w:cs="Arial"/>
          <w:lang w:val="sl-SI"/>
        </w:rPr>
      </w:pPr>
    </w:p>
    <w:p w14:paraId="25CEBBAF" w14:textId="77777777" w:rsidR="003F1F7B" w:rsidRP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>7. FINANČNE DOLOČBE</w:t>
      </w:r>
    </w:p>
    <w:p w14:paraId="0702F4DB" w14:textId="77777777" w:rsidR="003F1F7B" w:rsidRPr="003F1F7B" w:rsidRDefault="003F1F7B" w:rsidP="003F1F7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17782597" w14:textId="42E959BF" w:rsidR="003F1F7B" w:rsidRDefault="00822D14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</w:t>
      </w:r>
      <w:r w:rsidR="003F1F7B" w:rsidRPr="003F1F7B">
        <w:rPr>
          <w:rFonts w:ascii="Arial" w:hAnsi="Arial" w:cs="Arial"/>
          <w:lang w:val="sl-SI"/>
        </w:rPr>
        <w:t xml:space="preserve">Finančne določbe so določene v </w:t>
      </w:r>
      <w:r w:rsidR="004678A4">
        <w:rPr>
          <w:rFonts w:ascii="Arial" w:hAnsi="Arial" w:cs="Arial"/>
          <w:lang w:val="sl-SI"/>
        </w:rPr>
        <w:t>3</w:t>
      </w:r>
      <w:r w:rsidR="003F1F7B" w:rsidRPr="003F1F7B">
        <w:rPr>
          <w:rFonts w:ascii="Arial" w:hAnsi="Arial" w:cs="Arial"/>
          <w:lang w:val="sl-SI"/>
        </w:rPr>
        <w:t>. členu</w:t>
      </w:r>
      <w:r w:rsidR="004678A4">
        <w:rPr>
          <w:rFonts w:ascii="Arial" w:hAnsi="Arial" w:cs="Arial"/>
          <w:lang w:val="sl-SI"/>
        </w:rPr>
        <w:t xml:space="preserve"> u</w:t>
      </w:r>
      <w:r w:rsidR="003F1F7B" w:rsidRPr="003F1F7B">
        <w:rPr>
          <w:rFonts w:ascii="Arial" w:hAnsi="Arial" w:cs="Arial"/>
          <w:lang w:val="sl-SI"/>
        </w:rPr>
        <w:t>redbe</w:t>
      </w:r>
      <w:r w:rsidR="00261AF3" w:rsidRPr="00261AF3">
        <w:t xml:space="preserve"> </w:t>
      </w:r>
      <w:r w:rsidR="00261AF3" w:rsidRPr="00261AF3">
        <w:rPr>
          <w:rFonts w:ascii="Arial" w:hAnsi="Arial" w:cs="Arial"/>
          <w:lang w:val="sl-SI"/>
        </w:rPr>
        <w:t>o izvajanju intervencij s področja zemljiških operacij</w:t>
      </w:r>
      <w:r w:rsidR="0095065C">
        <w:rPr>
          <w:rFonts w:ascii="Arial" w:hAnsi="Arial" w:cs="Arial"/>
          <w:lang w:val="sl-SI"/>
        </w:rPr>
        <w:t>, razen v tretjem in petem odstavku</w:t>
      </w:r>
      <w:r w:rsidR="00BB1D2E">
        <w:rPr>
          <w:rFonts w:ascii="Arial" w:hAnsi="Arial" w:cs="Arial"/>
          <w:lang w:val="sl-SI"/>
        </w:rPr>
        <w:t xml:space="preserve"> 3. člena</w:t>
      </w:r>
      <w:r w:rsidR="0095065C">
        <w:rPr>
          <w:rFonts w:ascii="Arial" w:hAnsi="Arial" w:cs="Arial"/>
          <w:lang w:val="sl-SI"/>
        </w:rPr>
        <w:t xml:space="preserve"> </w:t>
      </w:r>
      <w:r w:rsidR="0095065C" w:rsidRPr="0095065C">
        <w:rPr>
          <w:rFonts w:ascii="Arial" w:hAnsi="Arial" w:cs="Arial"/>
          <w:lang w:val="sl-SI"/>
        </w:rPr>
        <w:t>uredbe o izvajanju intervencij s področja zemljiških operacij</w:t>
      </w:r>
      <w:r w:rsidR="003F1F7B" w:rsidRPr="003F1F7B">
        <w:rPr>
          <w:rFonts w:ascii="Arial" w:hAnsi="Arial" w:cs="Arial"/>
          <w:lang w:val="sl-SI"/>
        </w:rPr>
        <w:t>.</w:t>
      </w:r>
      <w:r w:rsidR="003F1F7B" w:rsidRPr="003F1F7B" w:rsidDel="001250C0">
        <w:rPr>
          <w:rFonts w:ascii="Arial" w:hAnsi="Arial" w:cs="Arial"/>
          <w:lang w:val="sl-SI"/>
        </w:rPr>
        <w:t xml:space="preserve"> </w:t>
      </w:r>
    </w:p>
    <w:p w14:paraId="3262E9F7" w14:textId="439498D4" w:rsidR="00822D14" w:rsidRPr="003F1F7B" w:rsidRDefault="00822D14" w:rsidP="00822D14">
      <w:pPr>
        <w:pStyle w:val="Golobesedilo"/>
        <w:spacing w:line="260" w:lineRule="atLeast"/>
        <w:jc w:val="both"/>
        <w:rPr>
          <w:rFonts w:ascii="Arial" w:hAnsi="Arial" w:cs="Arial"/>
          <w:u w:val="single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Pr="00A17EA3">
        <w:rPr>
          <w:rFonts w:ascii="Arial" w:hAnsi="Arial" w:cs="Arial"/>
          <w:lang w:val="sl-SI"/>
        </w:rPr>
        <w:t xml:space="preserve">Če vlagatelj uveljavlja davek na dodano vrednosti kot upravičen strošek v skladu z osmim, devetim in desetim odstavkom 3. člena </w:t>
      </w:r>
      <w:r>
        <w:rPr>
          <w:rFonts w:ascii="Arial" w:hAnsi="Arial" w:cs="Arial"/>
          <w:lang w:val="sl-SI"/>
        </w:rPr>
        <w:t>u</w:t>
      </w:r>
      <w:r w:rsidRPr="00A17EA3">
        <w:rPr>
          <w:rFonts w:ascii="Arial" w:hAnsi="Arial" w:cs="Arial"/>
          <w:lang w:val="sl-SI"/>
        </w:rPr>
        <w:t>redbe o izvajanju intervencij s področja zemljiških operacij</w:t>
      </w:r>
      <w:r>
        <w:rPr>
          <w:rFonts w:ascii="Arial" w:hAnsi="Arial" w:cs="Arial"/>
          <w:lang w:val="sl-SI"/>
        </w:rPr>
        <w:t xml:space="preserve"> mora izpolniti »Izjavo o upravičenosti stroška davka na dodano </w:t>
      </w:r>
      <w:r w:rsidR="00A92C86">
        <w:rPr>
          <w:rFonts w:ascii="Arial" w:hAnsi="Arial" w:cs="Arial"/>
          <w:lang w:val="sl-SI"/>
        </w:rPr>
        <w:t>vrednost</w:t>
      </w:r>
      <w:r>
        <w:rPr>
          <w:rFonts w:ascii="Arial" w:hAnsi="Arial" w:cs="Arial"/>
          <w:lang w:val="sl-SI"/>
        </w:rPr>
        <w:t xml:space="preserve">«, ki je v prilogi razpisne dokumentacije. </w:t>
      </w:r>
    </w:p>
    <w:p w14:paraId="37437817" w14:textId="77777777" w:rsidR="00822D14" w:rsidRPr="003F1F7B" w:rsidRDefault="00822D14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38862F8" w14:textId="694A2196" w:rsidR="003F1F7B" w:rsidRDefault="003F1F7B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  <w:r w:rsidRPr="003F1F7B">
        <w:rPr>
          <w:rFonts w:ascii="Arial" w:hAnsi="Arial" w:cs="Arial"/>
          <w:b/>
          <w:lang w:val="sl-SI"/>
        </w:rPr>
        <w:t xml:space="preserve">8. </w:t>
      </w:r>
      <w:r w:rsidR="003F4C33">
        <w:rPr>
          <w:rFonts w:ascii="Arial" w:hAnsi="Arial" w:cs="Arial"/>
          <w:b/>
          <w:lang w:val="sl-SI"/>
        </w:rPr>
        <w:t xml:space="preserve">VLAGANJE </w:t>
      </w:r>
      <w:r w:rsidRPr="003F1F7B">
        <w:rPr>
          <w:rFonts w:ascii="Arial" w:hAnsi="Arial" w:cs="Arial"/>
          <w:b/>
          <w:lang w:val="sl-SI"/>
        </w:rPr>
        <w:t>VLOG</w:t>
      </w:r>
      <w:r w:rsidR="003F4C33">
        <w:rPr>
          <w:rFonts w:ascii="Arial" w:hAnsi="Arial" w:cs="Arial"/>
          <w:b/>
          <w:lang w:val="sl-SI"/>
        </w:rPr>
        <w:t>E</w:t>
      </w:r>
      <w:r w:rsidR="007A75E0">
        <w:rPr>
          <w:rFonts w:ascii="Arial" w:hAnsi="Arial" w:cs="Arial"/>
          <w:b/>
          <w:lang w:val="sl-SI"/>
        </w:rPr>
        <w:t>, OBRAVNAVA VLOGE</w:t>
      </w:r>
      <w:r w:rsidRPr="003F1F7B">
        <w:rPr>
          <w:rFonts w:ascii="Arial" w:hAnsi="Arial" w:cs="Arial"/>
          <w:b/>
          <w:lang w:val="sl-SI"/>
        </w:rPr>
        <w:t xml:space="preserve"> IN POSTOPEK ZA DODELITEV SREDSTEV </w:t>
      </w:r>
    </w:p>
    <w:p w14:paraId="5BF77213" w14:textId="77777777" w:rsidR="007A75E0" w:rsidRPr="003F1F7B" w:rsidRDefault="007A75E0" w:rsidP="003F1F7B">
      <w:pPr>
        <w:pStyle w:val="Golobesedilo"/>
        <w:spacing w:line="260" w:lineRule="atLeast"/>
        <w:rPr>
          <w:rFonts w:ascii="Arial" w:hAnsi="Arial" w:cs="Arial"/>
          <w:b/>
          <w:lang w:val="sl-SI"/>
        </w:rPr>
      </w:pPr>
    </w:p>
    <w:p w14:paraId="6EAC9B04" w14:textId="2B972A95" w:rsidR="003F1F7B" w:rsidRDefault="00721805" w:rsidP="0072180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Pr="00721805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>) Vl</w:t>
      </w:r>
      <w:r w:rsidR="003F4C33">
        <w:rPr>
          <w:rFonts w:ascii="Arial" w:hAnsi="Arial" w:cs="Arial"/>
          <w:lang w:val="sl-SI"/>
        </w:rPr>
        <w:t>aganje</w:t>
      </w:r>
      <w:r>
        <w:rPr>
          <w:rFonts w:ascii="Arial" w:hAnsi="Arial" w:cs="Arial"/>
          <w:lang w:val="sl-SI"/>
        </w:rPr>
        <w:t xml:space="preserve"> vloge na javni razpis</w:t>
      </w:r>
      <w:r w:rsidR="00BF022A">
        <w:rPr>
          <w:rFonts w:ascii="Arial" w:hAnsi="Arial" w:cs="Arial"/>
          <w:lang w:val="sl-SI"/>
        </w:rPr>
        <w:t>, obravnava vloge</w:t>
      </w:r>
      <w:r w:rsidR="003F4C33">
        <w:rPr>
          <w:rFonts w:ascii="Arial" w:hAnsi="Arial" w:cs="Arial"/>
          <w:lang w:val="sl-SI"/>
        </w:rPr>
        <w:t xml:space="preserve"> in postopek za dodelitev sredstev s</w:t>
      </w:r>
      <w:r w:rsidR="00BF022A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določen</w:t>
      </w:r>
      <w:r w:rsidR="00BF022A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v </w:t>
      </w:r>
      <w:r w:rsidR="003F4C33">
        <w:rPr>
          <w:rFonts w:ascii="Arial" w:hAnsi="Arial" w:cs="Arial"/>
          <w:lang w:val="sl-SI"/>
        </w:rPr>
        <w:t xml:space="preserve">5., </w:t>
      </w:r>
      <w:r>
        <w:rPr>
          <w:rFonts w:ascii="Arial" w:hAnsi="Arial" w:cs="Arial"/>
          <w:lang w:val="sl-SI"/>
        </w:rPr>
        <w:t xml:space="preserve">6. </w:t>
      </w:r>
      <w:r w:rsidR="003F4C33">
        <w:rPr>
          <w:rFonts w:ascii="Arial" w:hAnsi="Arial" w:cs="Arial"/>
          <w:lang w:val="sl-SI"/>
        </w:rPr>
        <w:t xml:space="preserve">in 7. </w:t>
      </w:r>
      <w:r>
        <w:rPr>
          <w:rFonts w:ascii="Arial" w:hAnsi="Arial" w:cs="Arial"/>
          <w:lang w:val="sl-SI"/>
        </w:rPr>
        <w:t xml:space="preserve">členu </w:t>
      </w:r>
      <w:r w:rsidR="005B3E96">
        <w:rPr>
          <w:rFonts w:ascii="Arial" w:hAnsi="Arial" w:cs="Arial"/>
          <w:lang w:val="sl-SI"/>
        </w:rPr>
        <w:t>uredbe</w:t>
      </w:r>
      <w:r w:rsidR="005B3E96" w:rsidRPr="005B3E96">
        <w:rPr>
          <w:rFonts w:ascii="Arial" w:hAnsi="Arial" w:cs="Arial"/>
          <w:lang w:val="sl-SI"/>
        </w:rPr>
        <w:t xml:space="preserve"> o skupnih določbah za izvajanje intervencij</w:t>
      </w:r>
      <w:r w:rsidR="003F4C33">
        <w:rPr>
          <w:rFonts w:ascii="Arial" w:hAnsi="Arial" w:cs="Arial"/>
          <w:lang w:val="sl-SI"/>
        </w:rPr>
        <w:t xml:space="preserve"> ter </w:t>
      </w:r>
      <w:r w:rsidR="00BF022A">
        <w:rPr>
          <w:rFonts w:ascii="Arial" w:hAnsi="Arial" w:cs="Arial"/>
          <w:lang w:val="sl-SI"/>
        </w:rPr>
        <w:t xml:space="preserve">v </w:t>
      </w:r>
      <w:r w:rsidR="003F4C33">
        <w:rPr>
          <w:rFonts w:ascii="Arial" w:hAnsi="Arial" w:cs="Arial"/>
          <w:lang w:val="sl-SI"/>
        </w:rPr>
        <w:t>60. členu uredbe</w:t>
      </w:r>
      <w:r w:rsidR="003F4C33" w:rsidRPr="00261AF3">
        <w:t xml:space="preserve"> </w:t>
      </w:r>
      <w:r w:rsidR="003F4C33" w:rsidRPr="00261AF3">
        <w:rPr>
          <w:rFonts w:ascii="Arial" w:hAnsi="Arial" w:cs="Arial"/>
          <w:lang w:val="sl-SI"/>
        </w:rPr>
        <w:t>o izvajanju intervencij s področja zemljiških operacij</w:t>
      </w:r>
      <w:r w:rsidR="003F1F7B" w:rsidRPr="003F1F7B">
        <w:rPr>
          <w:rFonts w:ascii="Arial" w:hAnsi="Arial" w:cs="Arial"/>
          <w:lang w:val="sl-SI"/>
        </w:rPr>
        <w:t>.</w:t>
      </w:r>
    </w:p>
    <w:p w14:paraId="6EC3D266" w14:textId="77777777" w:rsidR="00721805" w:rsidRDefault="00721805" w:rsidP="0072180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96B8D43" w14:textId="135E1980" w:rsidR="003F4C33" w:rsidRDefault="00721805" w:rsidP="007A75E0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BF022A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 xml:space="preserve">) </w:t>
      </w:r>
      <w:r w:rsidR="003F4C33">
        <w:rPr>
          <w:rFonts w:ascii="Arial" w:hAnsi="Arial" w:cs="Arial"/>
          <w:lang w:val="sl-SI"/>
        </w:rPr>
        <w:t>Javna o</w:t>
      </w:r>
      <w:r w:rsidR="003F4C33" w:rsidRPr="003F1F7B">
        <w:rPr>
          <w:rFonts w:ascii="Arial" w:hAnsi="Arial" w:cs="Arial"/>
          <w:lang w:val="sl-SI"/>
        </w:rPr>
        <w:t xml:space="preserve">bjava </w:t>
      </w:r>
      <w:r w:rsidR="003F4C33">
        <w:rPr>
          <w:rFonts w:ascii="Arial" w:hAnsi="Arial" w:cs="Arial"/>
          <w:lang w:val="sl-SI"/>
        </w:rPr>
        <w:t>upravičencev</w:t>
      </w:r>
      <w:r w:rsidR="003F4C33" w:rsidRPr="003F1F7B">
        <w:rPr>
          <w:rFonts w:ascii="Arial" w:hAnsi="Arial" w:cs="Arial"/>
          <w:lang w:val="sl-SI"/>
        </w:rPr>
        <w:t xml:space="preserve"> je določena v </w:t>
      </w:r>
      <w:r w:rsidR="003F4C33">
        <w:rPr>
          <w:rFonts w:ascii="Arial" w:hAnsi="Arial" w:cs="Arial"/>
          <w:lang w:val="sl-SI"/>
        </w:rPr>
        <w:t>8</w:t>
      </w:r>
      <w:r w:rsidR="003F4C33" w:rsidRPr="003F1F7B">
        <w:rPr>
          <w:rFonts w:ascii="Arial" w:hAnsi="Arial" w:cs="Arial"/>
          <w:lang w:val="sl-SI"/>
        </w:rPr>
        <w:t xml:space="preserve">. členu </w:t>
      </w:r>
      <w:r w:rsidR="003F4C33">
        <w:rPr>
          <w:rFonts w:ascii="Arial" w:hAnsi="Arial" w:cs="Arial"/>
          <w:lang w:val="sl-SI"/>
        </w:rPr>
        <w:t>uredbe o skupnih določbah za izvajanje intervencij</w:t>
      </w:r>
      <w:r w:rsidR="003F4C33" w:rsidRPr="003F1F7B">
        <w:rPr>
          <w:rFonts w:ascii="Arial" w:hAnsi="Arial" w:cs="Arial"/>
          <w:lang w:val="sl-SI"/>
        </w:rPr>
        <w:t>.</w:t>
      </w:r>
    </w:p>
    <w:p w14:paraId="5A535D56" w14:textId="4B3098F6" w:rsidR="007A75E0" w:rsidRDefault="007A75E0" w:rsidP="003F4C33">
      <w:pPr>
        <w:pStyle w:val="Golobesedilo"/>
        <w:spacing w:line="240" w:lineRule="atLeast"/>
        <w:jc w:val="both"/>
        <w:rPr>
          <w:rFonts w:ascii="Arial" w:hAnsi="Arial" w:cs="Arial"/>
          <w:lang w:val="sl-SI"/>
        </w:rPr>
      </w:pPr>
    </w:p>
    <w:p w14:paraId="54A68C58" w14:textId="1C04F029" w:rsidR="007A75E0" w:rsidRDefault="007A75E0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BF022A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>) Odrek pravici do sredstev je določen v 62. členu uredbe</w:t>
      </w:r>
      <w:r>
        <w:t xml:space="preserve"> </w:t>
      </w:r>
      <w:r w:rsidRPr="00261AF3">
        <w:rPr>
          <w:rFonts w:ascii="Arial" w:hAnsi="Arial" w:cs="Arial"/>
          <w:lang w:val="sl-SI"/>
        </w:rPr>
        <w:t>o izvajanju intervencij s področja zemljiških operacij</w:t>
      </w:r>
      <w:r>
        <w:rPr>
          <w:rFonts w:ascii="Arial" w:hAnsi="Arial" w:cs="Arial"/>
          <w:lang w:val="sl-SI"/>
        </w:rPr>
        <w:t xml:space="preserve"> </w:t>
      </w:r>
    </w:p>
    <w:p w14:paraId="6B635620" w14:textId="7AFCBA1F" w:rsid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6B29956" w14:textId="6B6D3207" w:rsidR="00C66D8F" w:rsidRPr="00CA25F5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9. PREDPLAČILO</w:t>
      </w:r>
    </w:p>
    <w:p w14:paraId="4C7D1E36" w14:textId="1C38592E" w:rsidR="00C66D8F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6A60EB8" w14:textId="32290722" w:rsidR="00C66D8F" w:rsidRPr="00F40DD4" w:rsidRDefault="00BF022A" w:rsidP="00F40DD4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Pravica do predplačila je določena v 24. členu </w:t>
      </w:r>
      <w:r w:rsidRPr="00BF022A">
        <w:rPr>
          <w:rFonts w:ascii="Arial" w:hAnsi="Arial" w:cs="Arial"/>
          <w:lang w:val="sl-SI"/>
        </w:rPr>
        <w:t xml:space="preserve">uredbe o skupnih določbah za izvajanje intervencij </w:t>
      </w:r>
      <w:r>
        <w:rPr>
          <w:rFonts w:ascii="Arial" w:hAnsi="Arial" w:cs="Arial"/>
          <w:lang w:val="sl-SI"/>
        </w:rPr>
        <w:t xml:space="preserve">in šestem odstavku 3. člena </w:t>
      </w:r>
      <w:r w:rsidRPr="00BF022A">
        <w:rPr>
          <w:rFonts w:ascii="Arial" w:hAnsi="Arial" w:cs="Arial"/>
          <w:lang w:val="sl-SI"/>
        </w:rPr>
        <w:t>uredbe o izvajanju intervencij s področja zemljiških operacij</w:t>
      </w:r>
      <w:r w:rsidR="00050B76">
        <w:rPr>
          <w:rFonts w:ascii="Arial" w:hAnsi="Arial" w:cs="Arial"/>
          <w:lang w:val="sl-SI"/>
        </w:rPr>
        <w:t xml:space="preserve">. </w:t>
      </w:r>
      <w:r w:rsidR="00D528D0">
        <w:rPr>
          <w:rFonts w:ascii="Arial" w:hAnsi="Arial" w:cs="Arial"/>
          <w:lang w:val="sl-SI"/>
        </w:rPr>
        <w:t>Za uveljavljanje pravice do predplačila, mora upravičen</w:t>
      </w:r>
      <w:r>
        <w:rPr>
          <w:rFonts w:ascii="Arial" w:hAnsi="Arial" w:cs="Arial"/>
          <w:lang w:val="sl-SI"/>
        </w:rPr>
        <w:t>e</w:t>
      </w:r>
      <w:r w:rsidR="00D528D0">
        <w:rPr>
          <w:rFonts w:ascii="Arial" w:hAnsi="Arial" w:cs="Arial"/>
          <w:lang w:val="sl-SI"/>
        </w:rPr>
        <w:t xml:space="preserve">c izpolniti pogoje iz 24. člena uredbe o skupnih določbah za izvajanje intervencij. </w:t>
      </w:r>
      <w:r w:rsidR="00D25B25">
        <w:rPr>
          <w:rFonts w:ascii="Arial" w:hAnsi="Arial" w:cs="Arial"/>
          <w:lang w:val="sl-SI"/>
        </w:rPr>
        <w:t>Vlagatelj vlogo za predplačilo uveljavlja ob vlogi na javni razpis in sicer s prilogo »Število in časovna dinamika vlaganja zahtevkov za izplačilo sredstev«, ki je v prilogi razpisne dokumentacije.</w:t>
      </w:r>
      <w:r w:rsidR="00D25B25" w:rsidRPr="003F1F7B" w:rsidDel="001250C0">
        <w:rPr>
          <w:rFonts w:ascii="Arial" w:hAnsi="Arial" w:cs="Arial"/>
          <w:lang w:val="sl-SI"/>
        </w:rPr>
        <w:t xml:space="preserve"> </w:t>
      </w:r>
    </w:p>
    <w:p w14:paraId="07499862" w14:textId="77777777" w:rsidR="00CF2827" w:rsidRPr="003F1F7B" w:rsidRDefault="00CF2827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CEBEE07" w14:textId="373B38E2" w:rsidR="003F1F7B" w:rsidRPr="00CA25F5" w:rsidRDefault="00C66D8F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10</w:t>
      </w:r>
      <w:r w:rsidR="003F1F7B" w:rsidRPr="00CA25F5">
        <w:rPr>
          <w:rFonts w:ascii="Arial" w:hAnsi="Arial" w:cs="Arial"/>
          <w:b/>
          <w:lang w:val="sl-SI"/>
        </w:rPr>
        <w:t>. ZAHTEV</w:t>
      </w:r>
      <w:r w:rsidR="00DA63D1" w:rsidRPr="00CA25F5">
        <w:rPr>
          <w:rFonts w:ascii="Arial" w:hAnsi="Arial" w:cs="Arial"/>
          <w:b/>
          <w:lang w:val="sl-SI"/>
        </w:rPr>
        <w:t>E</w:t>
      </w:r>
      <w:r w:rsidR="003F1F7B" w:rsidRPr="00CA25F5">
        <w:rPr>
          <w:rFonts w:ascii="Arial" w:hAnsi="Arial" w:cs="Arial"/>
          <w:b/>
          <w:lang w:val="sl-SI"/>
        </w:rPr>
        <w:t xml:space="preserve">K ZA IZPLAČILO SREDSTEV </w:t>
      </w:r>
    </w:p>
    <w:p w14:paraId="62176BAA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A8CFAB9" w14:textId="50904F27" w:rsidR="009B7627" w:rsidRDefault="00C66D8F" w:rsidP="00C66D8F">
      <w:pPr>
        <w:pStyle w:val="Golobesedilo"/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(</w:t>
      </w:r>
      <w:r w:rsidR="00B621EC">
        <w:rPr>
          <w:rFonts w:ascii="Arial" w:hAnsi="Arial" w:cs="Arial"/>
          <w:lang w:val="sl-SI"/>
        </w:rPr>
        <w:t>1</w:t>
      </w:r>
      <w:r>
        <w:rPr>
          <w:rFonts w:ascii="Arial" w:hAnsi="Arial" w:cs="Arial"/>
          <w:lang w:val="sl-SI"/>
        </w:rPr>
        <w:t xml:space="preserve">) </w:t>
      </w:r>
      <w:r w:rsidRPr="00D843B6">
        <w:rPr>
          <w:rFonts w:ascii="Arial" w:hAnsi="Arial" w:cs="Arial"/>
          <w:lang w:val="sl-SI"/>
        </w:rPr>
        <w:t>Upravičenec mora izpolniti pogoje</w:t>
      </w:r>
      <w:r w:rsidRPr="00A165AE">
        <w:rPr>
          <w:rFonts w:ascii="Arial" w:hAnsi="Arial" w:cs="Arial"/>
          <w:lang w:val="sl-SI"/>
        </w:rPr>
        <w:t xml:space="preserve"> iz 1. do 6. točke prvega odstavka</w:t>
      </w:r>
      <w:r>
        <w:rPr>
          <w:rFonts w:ascii="Arial" w:hAnsi="Arial" w:cs="Arial"/>
          <w:lang w:val="sl-SI"/>
        </w:rPr>
        <w:t>, pogoj</w:t>
      </w:r>
      <w:r w:rsidR="00B621EC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iz 2. točke drugega odstavka,</w:t>
      </w:r>
      <w:r w:rsidRPr="00A165AE">
        <w:rPr>
          <w:rFonts w:ascii="Arial" w:hAnsi="Arial" w:cs="Arial"/>
          <w:lang w:val="sl-SI"/>
        </w:rPr>
        <w:t xml:space="preserve"> pogoj iz četrtega odstavka 9. člena</w:t>
      </w:r>
      <w:r>
        <w:rPr>
          <w:rFonts w:ascii="Arial" w:hAnsi="Arial" w:cs="Arial"/>
          <w:lang w:val="sl-SI"/>
        </w:rPr>
        <w:t xml:space="preserve">, pogoje </w:t>
      </w:r>
      <w:r w:rsidRPr="00D843B6">
        <w:rPr>
          <w:rFonts w:ascii="Arial" w:hAnsi="Arial" w:cs="Arial"/>
          <w:lang w:val="sl-SI"/>
        </w:rPr>
        <w:t>iz prvega</w:t>
      </w:r>
      <w:r>
        <w:rPr>
          <w:rFonts w:ascii="Arial" w:hAnsi="Arial" w:cs="Arial"/>
          <w:lang w:val="sl-SI"/>
        </w:rPr>
        <w:t xml:space="preserve">, drugega in </w:t>
      </w:r>
      <w:r w:rsidR="00B621EC">
        <w:rPr>
          <w:rFonts w:ascii="Arial" w:hAnsi="Arial" w:cs="Arial"/>
          <w:lang w:val="sl-SI"/>
        </w:rPr>
        <w:t>četrtega</w:t>
      </w:r>
      <w:r w:rsidR="00B621EC" w:rsidRPr="00D843B6">
        <w:rPr>
          <w:rFonts w:ascii="Arial" w:hAnsi="Arial" w:cs="Arial"/>
          <w:lang w:val="sl-SI"/>
        </w:rPr>
        <w:t xml:space="preserve"> </w:t>
      </w:r>
      <w:r w:rsidRPr="00D843B6">
        <w:rPr>
          <w:rFonts w:ascii="Arial" w:hAnsi="Arial" w:cs="Arial"/>
          <w:lang w:val="sl-SI"/>
        </w:rPr>
        <w:t>odstavka</w:t>
      </w:r>
      <w:r>
        <w:rPr>
          <w:rFonts w:ascii="Arial" w:hAnsi="Arial" w:cs="Arial"/>
          <w:lang w:val="sl-SI"/>
        </w:rPr>
        <w:t xml:space="preserve"> 22. člena</w:t>
      </w:r>
      <w:r w:rsidRPr="00D843B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ter</w:t>
      </w:r>
      <w:r w:rsidRPr="00D843B6">
        <w:rPr>
          <w:rFonts w:ascii="Arial" w:hAnsi="Arial" w:cs="Arial"/>
          <w:lang w:val="sl-SI"/>
        </w:rPr>
        <w:t xml:space="preserve"> pogoj</w:t>
      </w:r>
      <w:r>
        <w:rPr>
          <w:rFonts w:ascii="Arial" w:hAnsi="Arial" w:cs="Arial"/>
          <w:lang w:val="sl-SI"/>
        </w:rPr>
        <w:t>e iz 23. člena</w:t>
      </w:r>
      <w:r w:rsidRPr="00D843B6">
        <w:rPr>
          <w:rFonts w:ascii="Arial" w:hAnsi="Arial" w:cs="Arial"/>
          <w:lang w:val="sl-SI"/>
        </w:rPr>
        <w:t xml:space="preserve"> uredbe o skupnih določbah za izvajanje intervencij.</w:t>
      </w:r>
      <w:r w:rsidR="000C3A71">
        <w:rPr>
          <w:rFonts w:ascii="Arial" w:hAnsi="Arial" w:cs="Arial"/>
          <w:lang w:val="sl-SI"/>
        </w:rPr>
        <w:t xml:space="preserve"> </w:t>
      </w:r>
    </w:p>
    <w:p w14:paraId="509AD184" w14:textId="548A8B1A" w:rsidR="00815242" w:rsidRDefault="00815242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</w:t>
      </w:r>
      <w:r w:rsidR="00B621EC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 xml:space="preserve">) </w:t>
      </w:r>
      <w:r w:rsidR="00A94B52">
        <w:rPr>
          <w:rFonts w:ascii="Arial" w:hAnsi="Arial" w:cs="Arial"/>
          <w:lang w:val="sl-SI"/>
        </w:rPr>
        <w:t>Poleg p</w:t>
      </w:r>
      <w:r>
        <w:rPr>
          <w:rFonts w:ascii="Arial" w:hAnsi="Arial" w:cs="Arial"/>
          <w:lang w:val="sl-SI"/>
        </w:rPr>
        <w:t>ogo</w:t>
      </w:r>
      <w:r w:rsidR="003D2527">
        <w:rPr>
          <w:rFonts w:ascii="Arial" w:hAnsi="Arial" w:cs="Arial"/>
          <w:lang w:val="sl-SI"/>
        </w:rPr>
        <w:t>jev</w:t>
      </w:r>
      <w:r>
        <w:rPr>
          <w:rFonts w:ascii="Arial" w:hAnsi="Arial" w:cs="Arial"/>
          <w:lang w:val="sl-SI"/>
        </w:rPr>
        <w:t xml:space="preserve"> </w:t>
      </w:r>
      <w:r w:rsidR="00A94B52">
        <w:rPr>
          <w:rFonts w:ascii="Arial" w:hAnsi="Arial" w:cs="Arial"/>
          <w:lang w:val="sl-SI"/>
        </w:rPr>
        <w:t>iz prejšnje točke mora u</w:t>
      </w:r>
      <w:r w:rsidR="003D2527">
        <w:rPr>
          <w:rFonts w:ascii="Arial" w:hAnsi="Arial" w:cs="Arial"/>
          <w:lang w:val="sl-SI"/>
        </w:rPr>
        <w:t xml:space="preserve">pravičenec </w:t>
      </w:r>
      <w:r w:rsidR="00B621EC">
        <w:rPr>
          <w:rFonts w:ascii="Arial" w:hAnsi="Arial" w:cs="Arial"/>
          <w:lang w:val="sl-SI"/>
        </w:rPr>
        <w:t xml:space="preserve">izpolniti tudi pogoje iz </w:t>
      </w:r>
      <w:r>
        <w:rPr>
          <w:rFonts w:ascii="Arial" w:hAnsi="Arial" w:cs="Arial"/>
          <w:lang w:val="sl-SI"/>
        </w:rPr>
        <w:t>24. člen</w:t>
      </w:r>
      <w:r w:rsidR="00A94B52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uredbe o izvajanju intervencij s področja zemljiških operacij. </w:t>
      </w:r>
      <w:r w:rsidR="003D2527">
        <w:rPr>
          <w:rFonts w:ascii="Arial" w:hAnsi="Arial" w:cs="Arial"/>
          <w:lang w:val="sl-SI"/>
        </w:rPr>
        <w:t>Glede i</w:t>
      </w:r>
      <w:r>
        <w:rPr>
          <w:rFonts w:ascii="Arial" w:hAnsi="Arial" w:cs="Arial"/>
          <w:lang w:val="sl-SI"/>
        </w:rPr>
        <w:t>zpolnjevanj</w:t>
      </w:r>
      <w:r w:rsidR="003D2527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pogojev iz drugega odstavka 24. člena uredbe o izvajanju intervencij s področja zemljiških operacij se </w:t>
      </w:r>
      <w:r w:rsidR="003D2527">
        <w:rPr>
          <w:rFonts w:ascii="Arial" w:hAnsi="Arial" w:cs="Arial"/>
          <w:lang w:val="sl-SI"/>
        </w:rPr>
        <w:t>zahtevku priloži</w:t>
      </w:r>
      <w:r>
        <w:rPr>
          <w:rFonts w:ascii="Arial" w:hAnsi="Arial" w:cs="Arial"/>
          <w:lang w:val="sl-SI"/>
        </w:rPr>
        <w:t xml:space="preserve"> </w:t>
      </w:r>
      <w:r w:rsidR="0072783C">
        <w:rPr>
          <w:rFonts w:ascii="Arial" w:hAnsi="Arial" w:cs="Arial"/>
          <w:lang w:val="sl-SI"/>
        </w:rPr>
        <w:t>Elaborat namakanja</w:t>
      </w:r>
      <w:r w:rsidR="003D2527">
        <w:rPr>
          <w:rFonts w:ascii="Arial" w:hAnsi="Arial" w:cs="Arial"/>
          <w:lang w:val="sl-SI"/>
        </w:rPr>
        <w:t xml:space="preserve">, ki </w:t>
      </w:r>
      <w:r w:rsidR="00F14E32">
        <w:rPr>
          <w:rFonts w:ascii="Arial" w:hAnsi="Arial" w:cs="Arial"/>
          <w:lang w:val="sl-SI"/>
        </w:rPr>
        <w:t>vsebuje obvezne sestavine iz Priloge tega javnega razpisa</w:t>
      </w:r>
      <w:r>
        <w:rPr>
          <w:rFonts w:ascii="Arial" w:hAnsi="Arial" w:cs="Arial"/>
          <w:lang w:val="sl-SI"/>
        </w:rPr>
        <w:t>.</w:t>
      </w:r>
    </w:p>
    <w:p w14:paraId="50FDC7FB" w14:textId="77777777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2EDC4A5" w14:textId="7A61D00B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</w:t>
      </w:r>
      <w:r w:rsidR="00C66D8F" w:rsidRPr="00CA25F5">
        <w:rPr>
          <w:rFonts w:ascii="Arial" w:hAnsi="Arial" w:cs="Arial"/>
          <w:b/>
          <w:lang w:val="sl-SI"/>
        </w:rPr>
        <w:t>1</w:t>
      </w:r>
      <w:r w:rsidRPr="00CA25F5">
        <w:rPr>
          <w:rFonts w:ascii="Arial" w:hAnsi="Arial" w:cs="Arial"/>
          <w:b/>
          <w:lang w:val="sl-SI"/>
        </w:rPr>
        <w:t xml:space="preserve">. OBVEZNOSTI UPRAVIČENCA </w:t>
      </w:r>
    </w:p>
    <w:p w14:paraId="669DCD53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EDACBC2" w14:textId="5B5D8A32" w:rsidR="003F1F7B" w:rsidRPr="003F1F7B" w:rsidRDefault="0055453E" w:rsidP="003F1F7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</w:t>
      </w:r>
      <w:r w:rsidR="003F1F7B" w:rsidRPr="003F1F7B">
        <w:rPr>
          <w:rFonts w:ascii="Arial" w:hAnsi="Arial" w:cs="Arial"/>
          <w:lang w:val="sl-SI"/>
        </w:rPr>
        <w:t>pravičen</w:t>
      </w:r>
      <w:r>
        <w:rPr>
          <w:rFonts w:ascii="Arial" w:hAnsi="Arial" w:cs="Arial"/>
          <w:lang w:val="sl-SI"/>
        </w:rPr>
        <w:t>e</w:t>
      </w:r>
      <w:r w:rsidR="003F1F7B" w:rsidRPr="003F1F7B">
        <w:rPr>
          <w:rFonts w:ascii="Arial" w:hAnsi="Arial" w:cs="Arial"/>
          <w:lang w:val="sl-SI"/>
        </w:rPr>
        <w:t xml:space="preserve">c </w:t>
      </w:r>
      <w:r>
        <w:rPr>
          <w:rFonts w:ascii="Arial" w:hAnsi="Arial" w:cs="Arial"/>
          <w:lang w:val="sl-SI"/>
        </w:rPr>
        <w:t xml:space="preserve">mora </w:t>
      </w:r>
      <w:r w:rsidR="007431C5">
        <w:rPr>
          <w:rFonts w:ascii="Arial" w:hAnsi="Arial" w:cs="Arial"/>
          <w:lang w:val="sl-SI"/>
        </w:rPr>
        <w:t>izpolnjevati obveznosti</w:t>
      </w:r>
      <w:r w:rsidR="005E1271">
        <w:rPr>
          <w:rFonts w:ascii="Arial" w:hAnsi="Arial" w:cs="Arial"/>
          <w:lang w:val="sl-SI"/>
        </w:rPr>
        <w:t xml:space="preserve"> iz</w:t>
      </w:r>
      <w:r w:rsidR="007431C5">
        <w:rPr>
          <w:rFonts w:ascii="Arial" w:hAnsi="Arial" w:cs="Arial"/>
          <w:lang w:val="sl-SI"/>
        </w:rPr>
        <w:t xml:space="preserve"> </w:t>
      </w:r>
      <w:r w:rsidR="00243857">
        <w:rPr>
          <w:rFonts w:ascii="Arial" w:hAnsi="Arial" w:cs="Arial"/>
          <w:lang w:val="sl-SI"/>
        </w:rPr>
        <w:t>25</w:t>
      </w:r>
      <w:r>
        <w:rPr>
          <w:rFonts w:ascii="Arial" w:hAnsi="Arial" w:cs="Arial"/>
          <w:lang w:val="sl-SI"/>
        </w:rPr>
        <w:t>. člena ur</w:t>
      </w:r>
      <w:r w:rsidR="007431C5">
        <w:rPr>
          <w:rFonts w:ascii="Arial" w:hAnsi="Arial" w:cs="Arial"/>
          <w:lang w:val="sl-SI"/>
        </w:rPr>
        <w:t>edbe o skupnih določbah za izvaj</w:t>
      </w:r>
      <w:r>
        <w:rPr>
          <w:rFonts w:ascii="Arial" w:hAnsi="Arial" w:cs="Arial"/>
          <w:lang w:val="sl-SI"/>
        </w:rPr>
        <w:t xml:space="preserve">anje intervencij in obveznosti iz </w:t>
      </w:r>
      <w:r w:rsidR="00E46DD2">
        <w:rPr>
          <w:rFonts w:ascii="Arial" w:hAnsi="Arial" w:cs="Arial"/>
          <w:lang w:val="sl-SI"/>
        </w:rPr>
        <w:t>25.</w:t>
      </w:r>
      <w:r w:rsidR="007431C5">
        <w:rPr>
          <w:rFonts w:ascii="Arial" w:hAnsi="Arial" w:cs="Arial"/>
          <w:lang w:val="sl-SI"/>
        </w:rPr>
        <w:t xml:space="preserve"> člena </w:t>
      </w:r>
      <w:r w:rsidR="00384B2B">
        <w:rPr>
          <w:rFonts w:ascii="Arial" w:hAnsi="Arial" w:cs="Arial"/>
          <w:lang w:val="sl-SI"/>
        </w:rPr>
        <w:t>ter 3. točke</w:t>
      </w:r>
      <w:r w:rsidR="00E46DD2">
        <w:rPr>
          <w:rFonts w:ascii="Arial" w:hAnsi="Arial" w:cs="Arial"/>
          <w:lang w:val="sl-SI"/>
        </w:rPr>
        <w:t xml:space="preserve"> 64. </w:t>
      </w:r>
      <w:r w:rsidR="007431C5">
        <w:rPr>
          <w:rFonts w:ascii="Arial" w:hAnsi="Arial" w:cs="Arial"/>
          <w:lang w:val="sl-SI"/>
        </w:rPr>
        <w:t xml:space="preserve">člena </w:t>
      </w:r>
      <w:r w:rsidR="00E46DD2">
        <w:rPr>
          <w:rFonts w:ascii="Arial" w:hAnsi="Arial" w:cs="Arial"/>
          <w:lang w:val="sl-SI"/>
        </w:rPr>
        <w:t>uredbe o izvajanju intervencij s področja zemljiških operacij</w:t>
      </w:r>
      <w:r w:rsidR="007431C5">
        <w:rPr>
          <w:rFonts w:ascii="Arial" w:hAnsi="Arial" w:cs="Arial"/>
          <w:lang w:val="sl-SI"/>
        </w:rPr>
        <w:t>.</w:t>
      </w:r>
      <w:r w:rsidR="00E46DD2">
        <w:rPr>
          <w:rFonts w:ascii="Arial" w:hAnsi="Arial" w:cs="Arial"/>
          <w:lang w:val="sl-SI"/>
        </w:rPr>
        <w:t xml:space="preserve"> </w:t>
      </w:r>
    </w:p>
    <w:p w14:paraId="22759635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4104520" w14:textId="6D3FF7E6" w:rsidR="003F1F7B" w:rsidRPr="00CA25F5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 xml:space="preserve">12. </w:t>
      </w:r>
      <w:r w:rsidR="00AD3C8C" w:rsidRPr="00CA25F5">
        <w:rPr>
          <w:rFonts w:ascii="Arial" w:hAnsi="Arial" w:cs="Arial"/>
          <w:b/>
          <w:lang w:val="sl-SI"/>
        </w:rPr>
        <w:t xml:space="preserve">SISTEM </w:t>
      </w:r>
      <w:r w:rsidR="00E46DD2" w:rsidRPr="00CA25F5">
        <w:rPr>
          <w:rFonts w:ascii="Arial" w:hAnsi="Arial" w:cs="Arial"/>
          <w:b/>
          <w:lang w:val="sl-SI"/>
        </w:rPr>
        <w:t>KONTROL</w:t>
      </w:r>
    </w:p>
    <w:p w14:paraId="4F38963F" w14:textId="77777777" w:rsidR="003F1F7B" w:rsidRPr="003F1F7B" w:rsidRDefault="003F1F7B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8E8BC83" w14:textId="49CF8E40" w:rsidR="00E46DD2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8E01B5">
        <w:rPr>
          <w:rFonts w:ascii="Arial" w:hAnsi="Arial" w:cs="Arial"/>
          <w:lang w:val="sl-SI"/>
        </w:rPr>
        <w:t>(1</w:t>
      </w:r>
      <w:r>
        <w:rPr>
          <w:rFonts w:ascii="Arial" w:hAnsi="Arial" w:cs="Arial"/>
          <w:lang w:val="sl-SI"/>
        </w:rPr>
        <w:t xml:space="preserve">) </w:t>
      </w:r>
      <w:r w:rsidR="00E46DD2">
        <w:rPr>
          <w:rFonts w:ascii="Arial" w:hAnsi="Arial" w:cs="Arial"/>
          <w:lang w:val="sl-SI"/>
        </w:rPr>
        <w:t xml:space="preserve">Sistem kontrol je </w:t>
      </w:r>
      <w:r w:rsidR="00AD3C8C">
        <w:rPr>
          <w:rFonts w:ascii="Arial" w:hAnsi="Arial" w:cs="Arial"/>
          <w:lang w:val="sl-SI"/>
        </w:rPr>
        <w:t xml:space="preserve">določen </w:t>
      </w:r>
      <w:r w:rsidR="00E46DD2">
        <w:rPr>
          <w:rFonts w:ascii="Arial" w:hAnsi="Arial" w:cs="Arial"/>
          <w:lang w:val="sl-SI"/>
        </w:rPr>
        <w:t>v 26. do 3</w:t>
      </w:r>
      <w:r w:rsidR="00A023F7">
        <w:rPr>
          <w:rFonts w:ascii="Arial" w:hAnsi="Arial" w:cs="Arial"/>
          <w:lang w:val="sl-SI"/>
        </w:rPr>
        <w:t>0</w:t>
      </w:r>
      <w:r w:rsidR="00E46DD2">
        <w:rPr>
          <w:rFonts w:ascii="Arial" w:hAnsi="Arial" w:cs="Arial"/>
          <w:lang w:val="sl-SI"/>
        </w:rPr>
        <w:t>. členu</w:t>
      </w:r>
      <w:r w:rsidR="00A023F7">
        <w:rPr>
          <w:rFonts w:ascii="Arial" w:hAnsi="Arial" w:cs="Arial"/>
          <w:lang w:val="sl-SI"/>
        </w:rPr>
        <w:t xml:space="preserve"> in v 32. členu</w:t>
      </w:r>
      <w:r w:rsidR="00E46DD2">
        <w:rPr>
          <w:rFonts w:ascii="Arial" w:hAnsi="Arial" w:cs="Arial"/>
          <w:lang w:val="sl-SI"/>
        </w:rPr>
        <w:t xml:space="preserve"> uredbe o skupnih določbah za izvajanje intervencij.</w:t>
      </w:r>
    </w:p>
    <w:p w14:paraId="6EF94505" w14:textId="77777777" w:rsidR="008E01B5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A6CF191" w14:textId="470AC873" w:rsidR="008E01B5" w:rsidRPr="003F1F7B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="00A023F7">
        <w:rPr>
          <w:rFonts w:ascii="Arial" w:hAnsi="Arial" w:cs="Arial"/>
          <w:lang w:val="sl-SI"/>
        </w:rPr>
        <w:t>M</w:t>
      </w:r>
      <w:r>
        <w:rPr>
          <w:rFonts w:ascii="Arial" w:hAnsi="Arial" w:cs="Arial"/>
          <w:lang w:val="sl-SI"/>
        </w:rPr>
        <w:t xml:space="preserve">ajhna naložba in majhno tveganje </w:t>
      </w:r>
      <w:r w:rsidR="00A023F7">
        <w:rPr>
          <w:rFonts w:ascii="Arial" w:hAnsi="Arial" w:cs="Arial"/>
          <w:lang w:val="sl-SI"/>
        </w:rPr>
        <w:t>sta določena v prvem odstavku</w:t>
      </w:r>
      <w:r>
        <w:rPr>
          <w:rFonts w:ascii="Arial" w:hAnsi="Arial" w:cs="Arial"/>
          <w:lang w:val="sl-SI"/>
        </w:rPr>
        <w:t xml:space="preserve"> 61. člen</w:t>
      </w:r>
      <w:r w:rsidR="00A023F7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uredbe</w:t>
      </w:r>
      <w:r w:rsidRPr="00261AF3">
        <w:t xml:space="preserve"> </w:t>
      </w:r>
      <w:r w:rsidRPr="00261AF3">
        <w:rPr>
          <w:rFonts w:ascii="Arial" w:hAnsi="Arial" w:cs="Arial"/>
          <w:lang w:val="sl-SI"/>
        </w:rPr>
        <w:t>o izvajanju intervencij s področja zemljiških operacij</w:t>
      </w:r>
      <w:r>
        <w:rPr>
          <w:rFonts w:ascii="Arial" w:hAnsi="Arial" w:cs="Arial"/>
          <w:lang w:val="sl-SI"/>
        </w:rPr>
        <w:t>.</w:t>
      </w:r>
    </w:p>
    <w:p w14:paraId="207C1D19" w14:textId="77777777" w:rsidR="008E01B5" w:rsidRPr="003F1F7B" w:rsidRDefault="008E01B5" w:rsidP="008E01B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AF9E366" w14:textId="77777777" w:rsidR="00D05D06" w:rsidRPr="00CA25F5" w:rsidRDefault="00026385" w:rsidP="00CA25F5">
      <w:pPr>
        <w:pStyle w:val="Golobesedilo"/>
        <w:spacing w:line="260" w:lineRule="atLeast"/>
        <w:jc w:val="both"/>
        <w:rPr>
          <w:rFonts w:ascii="Arial" w:hAnsi="Arial" w:cs="Arial"/>
          <w:b/>
          <w:lang w:val="sl-SI"/>
        </w:rPr>
      </w:pPr>
      <w:r w:rsidRPr="00CA25F5">
        <w:rPr>
          <w:rFonts w:ascii="Arial" w:hAnsi="Arial" w:cs="Arial"/>
          <w:b/>
          <w:lang w:val="sl-SI"/>
        </w:rPr>
        <w:t>13. UPRAVNE SANKCIJE</w:t>
      </w:r>
      <w:r w:rsidR="00AD3C8C" w:rsidRPr="00CA25F5">
        <w:rPr>
          <w:rFonts w:ascii="Arial" w:hAnsi="Arial" w:cs="Arial"/>
          <w:b/>
          <w:lang w:val="sl-SI"/>
        </w:rPr>
        <w:t xml:space="preserve"> IN VIŠJA SILA</w:t>
      </w:r>
    </w:p>
    <w:p w14:paraId="5F95C773" w14:textId="77777777" w:rsidR="00D05D06" w:rsidRPr="00CA25F5" w:rsidRDefault="00D05D06" w:rsidP="00CA25F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0116950" w14:textId="126828F1" w:rsidR="00026385" w:rsidRDefault="00AD3C8C" w:rsidP="00026385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(1) </w:t>
      </w:r>
      <w:r w:rsidR="00026385">
        <w:rPr>
          <w:rFonts w:cs="Arial"/>
          <w:lang w:val="sl-SI"/>
        </w:rPr>
        <w:t xml:space="preserve">Upravne sankcije so določene v 33. členu uredbe o skupnih določbah za izvajanje intervencij in </w:t>
      </w:r>
      <w:r w:rsidR="00A023F7">
        <w:rPr>
          <w:rFonts w:cs="Arial"/>
          <w:lang w:val="sl-SI"/>
        </w:rPr>
        <w:t xml:space="preserve">v </w:t>
      </w:r>
      <w:r w:rsidR="00026385">
        <w:rPr>
          <w:rFonts w:cs="Arial"/>
          <w:lang w:val="sl-SI"/>
        </w:rPr>
        <w:t>63. členu uredbe o izvajanju intervencij s področja zemljiških operacij.</w:t>
      </w:r>
    </w:p>
    <w:p w14:paraId="0701D013" w14:textId="77777777" w:rsidR="00AD3C8C" w:rsidRDefault="00AD3C8C" w:rsidP="00026385">
      <w:pPr>
        <w:jc w:val="both"/>
        <w:rPr>
          <w:rFonts w:cs="Arial"/>
          <w:lang w:val="sl-SI"/>
        </w:rPr>
      </w:pPr>
    </w:p>
    <w:p w14:paraId="6B980A3E" w14:textId="78A9F779" w:rsidR="00AD3C8C" w:rsidRDefault="00AD3C8C" w:rsidP="00026385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>(2) Višja sila ali izjemne okoliščine so določene v 34. členu uredbe o skupnih določbah za izvajanje intervencij.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47"/>
        <w:gridCol w:w="4351"/>
      </w:tblGrid>
      <w:tr w:rsidR="003B4727" w:rsidRPr="00E2773F" w14:paraId="5210CC1F" w14:textId="77777777" w:rsidTr="0018003C">
        <w:tc>
          <w:tcPr>
            <w:tcW w:w="4147" w:type="dxa"/>
            <w:shd w:val="clear" w:color="auto" w:fill="auto"/>
          </w:tcPr>
          <w:p w14:paraId="7005587E" w14:textId="77777777" w:rsidR="003B4727" w:rsidRPr="00124FF3" w:rsidRDefault="003B4727" w:rsidP="00FB3290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1" w:type="dxa"/>
            <w:shd w:val="clear" w:color="auto" w:fill="auto"/>
          </w:tcPr>
          <w:p w14:paraId="3B82E9BE" w14:textId="380224B7" w:rsidR="003B4727" w:rsidRDefault="003F273D" w:rsidP="00FB3290">
            <w:pPr>
              <w:pStyle w:val="Sprotnaopomba-besedil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Mateja </w:t>
            </w:r>
            <w:proofErr w:type="spellStart"/>
            <w:r>
              <w:rPr>
                <w:rFonts w:ascii="Arial" w:hAnsi="Arial" w:cs="Arial"/>
                <w:szCs w:val="22"/>
              </w:rPr>
              <w:t>Čalušić</w:t>
            </w:r>
            <w:proofErr w:type="spellEnd"/>
          </w:p>
          <w:p w14:paraId="284DF731" w14:textId="03B8C6E9" w:rsidR="003B4727" w:rsidRPr="00CB0206" w:rsidRDefault="003F273D" w:rsidP="003F273D">
            <w:pPr>
              <w:pStyle w:val="Sprotnaopomba-besedil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</w:t>
            </w:r>
            <w:r w:rsidR="00A023F7">
              <w:rPr>
                <w:rFonts w:ascii="Arial" w:hAnsi="Arial" w:cs="Arial"/>
                <w:szCs w:val="22"/>
              </w:rPr>
              <w:t>m</w:t>
            </w:r>
            <w:r w:rsidR="003B4727">
              <w:rPr>
                <w:rFonts w:ascii="Arial" w:hAnsi="Arial" w:cs="Arial"/>
                <w:szCs w:val="22"/>
              </w:rPr>
              <w:t>inist</w:t>
            </w:r>
            <w:r>
              <w:rPr>
                <w:rFonts w:ascii="Arial" w:hAnsi="Arial" w:cs="Arial"/>
                <w:szCs w:val="22"/>
              </w:rPr>
              <w:t>rica za kmetijstvo, gozdarstvo in prehrano</w:t>
            </w:r>
          </w:p>
        </w:tc>
      </w:tr>
    </w:tbl>
    <w:p w14:paraId="69739960" w14:textId="3378B983" w:rsidR="003B4727" w:rsidRDefault="003B4727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39719BD3" w14:textId="5673C132" w:rsidR="00F40DD4" w:rsidRDefault="00F40DD4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31C7894F" w14:textId="4EEB75FD" w:rsidR="00F40DD4" w:rsidRDefault="00F40DD4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67559771" w14:textId="77777777" w:rsidR="00E175C9" w:rsidRDefault="00E175C9">
      <w:pPr>
        <w:spacing w:line="240" w:lineRule="auto"/>
        <w:rPr>
          <w:rFonts w:cs="Arial"/>
          <w:b/>
          <w:sz w:val="18"/>
          <w:szCs w:val="22"/>
          <w:lang w:val="sl-SI" w:eastAsia="sl-SI"/>
        </w:rPr>
      </w:pPr>
      <w:r>
        <w:rPr>
          <w:rFonts w:cs="Arial"/>
          <w:b/>
          <w:sz w:val="18"/>
          <w:szCs w:val="22"/>
          <w:lang w:val="sl-SI" w:eastAsia="sl-SI"/>
        </w:rPr>
        <w:br w:type="page"/>
      </w:r>
    </w:p>
    <w:p w14:paraId="3A1A4008" w14:textId="622CAF7F" w:rsidR="00F40DD4" w:rsidRDefault="00F40DD4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  <w:r>
        <w:rPr>
          <w:rFonts w:cs="Arial"/>
          <w:b/>
          <w:sz w:val="18"/>
          <w:szCs w:val="22"/>
          <w:lang w:val="sl-SI" w:eastAsia="sl-SI"/>
        </w:rPr>
        <w:lastRenderedPageBreak/>
        <w:t>PRILOGA</w:t>
      </w:r>
    </w:p>
    <w:p w14:paraId="2649F4EB" w14:textId="77777777" w:rsidR="00F40DD4" w:rsidRDefault="00F40DD4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</w:p>
    <w:p w14:paraId="0B933CC6" w14:textId="77777777" w:rsidR="00F40DD4" w:rsidRDefault="00F40DD4" w:rsidP="00F40DD4">
      <w:pPr>
        <w:jc w:val="center"/>
        <w:rPr>
          <w:b/>
          <w:bCs/>
          <w:szCs w:val="20"/>
        </w:rPr>
      </w:pPr>
      <w:proofErr w:type="spellStart"/>
      <w:r w:rsidRPr="25A620BE">
        <w:rPr>
          <w:b/>
          <w:bCs/>
          <w:szCs w:val="20"/>
        </w:rPr>
        <w:t>Elaborat</w:t>
      </w:r>
      <w:proofErr w:type="spellEnd"/>
      <w:r w:rsidRPr="25A620BE">
        <w:rPr>
          <w:b/>
          <w:bCs/>
          <w:szCs w:val="20"/>
        </w:rPr>
        <w:t xml:space="preserve"> </w:t>
      </w:r>
      <w:proofErr w:type="spellStart"/>
      <w:r w:rsidRPr="25A620BE">
        <w:rPr>
          <w:b/>
          <w:bCs/>
          <w:szCs w:val="20"/>
        </w:rPr>
        <w:t>namakanja</w:t>
      </w:r>
      <w:proofErr w:type="spellEnd"/>
    </w:p>
    <w:p w14:paraId="2A8F39CB" w14:textId="77777777" w:rsidR="00F40DD4" w:rsidRDefault="00F40DD4" w:rsidP="00F40DD4">
      <w:pPr>
        <w:jc w:val="both"/>
        <w:rPr>
          <w:b/>
          <w:szCs w:val="20"/>
        </w:rPr>
      </w:pPr>
    </w:p>
    <w:p w14:paraId="51432170" w14:textId="77777777" w:rsidR="00F40DD4" w:rsidRDefault="00F40DD4" w:rsidP="00F40DD4">
      <w:pPr>
        <w:jc w:val="both"/>
        <w:rPr>
          <w:szCs w:val="20"/>
        </w:rPr>
      </w:pPr>
    </w:p>
    <w:p w14:paraId="5844C13B" w14:textId="77777777" w:rsidR="00F40DD4" w:rsidRDefault="00F40DD4" w:rsidP="00F40DD4">
      <w:pPr>
        <w:jc w:val="both"/>
        <w:rPr>
          <w:szCs w:val="20"/>
        </w:rPr>
      </w:pPr>
    </w:p>
    <w:p w14:paraId="53A8ED9F" w14:textId="71B39101" w:rsidR="00F40DD4" w:rsidRDefault="00780D89" w:rsidP="00F40DD4">
      <w:pPr>
        <w:jc w:val="both"/>
        <w:rPr>
          <w:szCs w:val="20"/>
        </w:rPr>
      </w:pPr>
      <w:proofErr w:type="spellStart"/>
      <w:r>
        <w:rPr>
          <w:szCs w:val="20"/>
        </w:rPr>
        <w:t>E</w:t>
      </w:r>
      <w:r w:rsidR="00F40DD4" w:rsidRPr="25A620BE">
        <w:rPr>
          <w:szCs w:val="20"/>
        </w:rPr>
        <w:t>laborat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namakanja</w:t>
      </w:r>
      <w:proofErr w:type="spellEnd"/>
      <w:r w:rsidR="00F40DD4" w:rsidRPr="25A620BE">
        <w:rPr>
          <w:szCs w:val="20"/>
        </w:rPr>
        <w:t xml:space="preserve"> mora </w:t>
      </w:r>
      <w:proofErr w:type="spellStart"/>
      <w:r w:rsidR="00F40DD4" w:rsidRPr="25A620BE">
        <w:rPr>
          <w:szCs w:val="20"/>
        </w:rPr>
        <w:t>vsebovati</w:t>
      </w:r>
      <w:proofErr w:type="spellEnd"/>
      <w:r w:rsidR="00F40DD4" w:rsidRPr="25A620BE">
        <w:rPr>
          <w:szCs w:val="20"/>
        </w:rPr>
        <w:t xml:space="preserve"> </w:t>
      </w:r>
      <w:proofErr w:type="spellStart"/>
      <w:r w:rsidR="00F40DD4" w:rsidRPr="25A620BE">
        <w:rPr>
          <w:szCs w:val="20"/>
        </w:rPr>
        <w:t>najmanj</w:t>
      </w:r>
      <w:proofErr w:type="spellEnd"/>
      <w:r w:rsidR="00F40DD4" w:rsidRPr="25A620BE">
        <w:rPr>
          <w:szCs w:val="20"/>
        </w:rPr>
        <w:t>:</w:t>
      </w:r>
    </w:p>
    <w:p w14:paraId="12B0D48A" w14:textId="032FBE9F" w:rsidR="00F40DD4" w:rsidRPr="00E05B04" w:rsidRDefault="00FD53FB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 w:rsidRPr="00E05B04">
        <w:rPr>
          <w:szCs w:val="20"/>
          <w:lang w:val="pl-PL"/>
        </w:rPr>
        <w:t xml:space="preserve"> podatk</w:t>
      </w:r>
      <w:r w:rsidR="00780D89">
        <w:rPr>
          <w:szCs w:val="20"/>
          <w:lang w:val="pl-PL"/>
        </w:rPr>
        <w:t>e</w:t>
      </w:r>
      <w:r w:rsidR="00F40DD4" w:rsidRPr="00E05B04">
        <w:rPr>
          <w:szCs w:val="20"/>
          <w:lang w:val="pl-PL"/>
        </w:rPr>
        <w:t xml:space="preserve"> </w:t>
      </w:r>
      <w:r w:rsidR="00780D89">
        <w:rPr>
          <w:szCs w:val="20"/>
          <w:lang w:val="pl-PL"/>
        </w:rPr>
        <w:t xml:space="preserve">o </w:t>
      </w:r>
      <w:r w:rsidR="00F40DD4">
        <w:rPr>
          <w:szCs w:val="20"/>
          <w:lang w:val="pl-PL"/>
        </w:rPr>
        <w:t xml:space="preserve">predvideni </w:t>
      </w:r>
      <w:r w:rsidR="00F40DD4" w:rsidRPr="00E05B04">
        <w:rPr>
          <w:szCs w:val="20"/>
          <w:lang w:val="pl-PL"/>
        </w:rPr>
        <w:t>kultur</w:t>
      </w:r>
      <w:r w:rsidR="00F40DD4">
        <w:rPr>
          <w:szCs w:val="20"/>
          <w:lang w:val="pl-PL"/>
        </w:rPr>
        <w:t>i</w:t>
      </w:r>
      <w:r w:rsidR="00F40DD4" w:rsidRPr="00E05B04">
        <w:rPr>
          <w:szCs w:val="20"/>
          <w:lang w:val="pl-PL"/>
        </w:rPr>
        <w:t xml:space="preserve"> in površin</w:t>
      </w:r>
      <w:r w:rsidR="00F40DD4">
        <w:rPr>
          <w:szCs w:val="20"/>
          <w:lang w:val="pl-PL"/>
        </w:rPr>
        <w:t>i</w:t>
      </w:r>
      <w:r w:rsidR="00D125F7">
        <w:rPr>
          <w:szCs w:val="20"/>
          <w:lang w:val="pl-PL"/>
        </w:rPr>
        <w:t>;</w:t>
      </w:r>
    </w:p>
    <w:p w14:paraId="24D67B91" w14:textId="08773B52" w:rsidR="00F40DD4" w:rsidRPr="00E05B0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 w:rsidRPr="00E05B04">
        <w:rPr>
          <w:szCs w:val="20"/>
          <w:lang w:val="pl-PL"/>
        </w:rPr>
        <w:t xml:space="preserve"> tip</w:t>
      </w:r>
      <w:r>
        <w:rPr>
          <w:szCs w:val="20"/>
          <w:lang w:val="pl-PL"/>
        </w:rPr>
        <w:t>e</w:t>
      </w:r>
      <w:r w:rsidR="00F40DD4" w:rsidRPr="00E05B04">
        <w:rPr>
          <w:szCs w:val="20"/>
          <w:lang w:val="pl-PL"/>
        </w:rPr>
        <w:t xml:space="preserve"> črpalk in kapacitete črpalk v l/s</w:t>
      </w:r>
      <w:r w:rsidR="00D125F7">
        <w:rPr>
          <w:szCs w:val="20"/>
          <w:lang w:val="pl-PL"/>
        </w:rPr>
        <w:t>;</w:t>
      </w:r>
    </w:p>
    <w:p w14:paraId="534F1D73" w14:textId="75674486" w:rsidR="00F40DD4" w:rsidRPr="00E05B0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 w:rsidRPr="00E05B04">
        <w:rPr>
          <w:szCs w:val="20"/>
          <w:lang w:val="pl-PL"/>
        </w:rPr>
        <w:t xml:space="preserve"> razvodno omrežje </w:t>
      </w:r>
      <w:r>
        <w:rPr>
          <w:szCs w:val="20"/>
          <w:lang w:val="pl-PL"/>
        </w:rPr>
        <w:t>-</w:t>
      </w:r>
      <w:r w:rsidR="00F40DD4" w:rsidRPr="00E05B04">
        <w:rPr>
          <w:szCs w:val="20"/>
          <w:lang w:val="pl-PL"/>
        </w:rPr>
        <w:t xml:space="preserve"> dolžina razvoda s premeri cevi za primarni razvod in sekundarni razvod</w:t>
      </w:r>
      <w:r w:rsidR="00D125F7">
        <w:rPr>
          <w:szCs w:val="20"/>
          <w:lang w:val="pl-PL"/>
        </w:rPr>
        <w:t>;</w:t>
      </w:r>
    </w:p>
    <w:p w14:paraId="1D29B253" w14:textId="7CF03682" w:rsidR="00F40DD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 w:rsidRPr="00E05B04">
        <w:rPr>
          <w:szCs w:val="20"/>
          <w:lang w:val="pl-PL"/>
        </w:rPr>
        <w:t xml:space="preserve"> režim namakanja </w:t>
      </w:r>
      <w:r>
        <w:rPr>
          <w:szCs w:val="20"/>
          <w:lang w:val="pl-PL"/>
        </w:rPr>
        <w:t>-</w:t>
      </w:r>
      <w:r w:rsidR="00F40DD4" w:rsidRPr="00E05B04">
        <w:rPr>
          <w:szCs w:val="20"/>
          <w:lang w:val="pl-PL"/>
        </w:rPr>
        <w:t xml:space="preserve"> površine in število naprav za nizkotlač</w:t>
      </w:r>
      <w:r w:rsidR="00F40DD4">
        <w:rPr>
          <w:szCs w:val="20"/>
          <w:lang w:val="pl-PL"/>
        </w:rPr>
        <w:t>ni režim (kapljični sistem, mkrorazpršilci</w:t>
      </w:r>
      <w:r w:rsidR="00F40DD4" w:rsidRPr="00E05B04">
        <w:rPr>
          <w:szCs w:val="20"/>
          <w:lang w:val="pl-PL"/>
        </w:rPr>
        <w:t>) ter visokotlačni režim (razpršilci, bobenski namakalniki)</w:t>
      </w:r>
      <w:r w:rsidR="00D125F7">
        <w:rPr>
          <w:szCs w:val="20"/>
          <w:lang w:val="pl-PL"/>
        </w:rPr>
        <w:t>;</w:t>
      </w:r>
    </w:p>
    <w:p w14:paraId="63AAE30E" w14:textId="7F90DD11" w:rsidR="00F40DD4" w:rsidRPr="00E05B0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>
        <w:rPr>
          <w:szCs w:val="20"/>
          <w:lang w:val="pl-PL"/>
        </w:rPr>
        <w:t xml:space="preserve"> izračun deleža površin, opremljenih s kapljičnim namakanjem oziroma mikrorazpršilci</w:t>
      </w:r>
      <w:r w:rsidR="00D125F7">
        <w:rPr>
          <w:szCs w:val="20"/>
          <w:lang w:val="pl-PL"/>
        </w:rPr>
        <w:t>;</w:t>
      </w:r>
      <w:r w:rsidR="00F40DD4">
        <w:rPr>
          <w:szCs w:val="20"/>
          <w:lang w:val="pl-PL"/>
        </w:rPr>
        <w:t xml:space="preserve"> </w:t>
      </w:r>
      <w:r w:rsidR="00F40DD4" w:rsidRPr="00E05B04">
        <w:rPr>
          <w:szCs w:val="20"/>
          <w:lang w:val="pl-PL"/>
        </w:rPr>
        <w:t xml:space="preserve"> </w:t>
      </w:r>
    </w:p>
    <w:p w14:paraId="2DD5862D" w14:textId="6EAFBE76" w:rsidR="00F40DD4" w:rsidRPr="00E05B0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 w:rsidRPr="00E05B04">
        <w:rPr>
          <w:szCs w:val="20"/>
          <w:lang w:val="pl-PL"/>
        </w:rPr>
        <w:t xml:space="preserve"> površin</w:t>
      </w:r>
      <w:r w:rsidR="0075298D">
        <w:rPr>
          <w:szCs w:val="20"/>
          <w:lang w:val="pl-PL"/>
        </w:rPr>
        <w:t>o</w:t>
      </w:r>
      <w:r w:rsidR="00F40DD4" w:rsidRPr="00E05B04">
        <w:rPr>
          <w:szCs w:val="20"/>
          <w:lang w:val="pl-PL"/>
        </w:rPr>
        <w:t xml:space="preserve"> uporabe fertigacije</w:t>
      </w:r>
      <w:r w:rsidR="00D125F7">
        <w:rPr>
          <w:szCs w:val="20"/>
          <w:lang w:val="pl-PL"/>
        </w:rPr>
        <w:t>;</w:t>
      </w:r>
    </w:p>
    <w:p w14:paraId="73892A03" w14:textId="672AA568" w:rsidR="00F40DD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 w:rsidRPr="00E05B04">
        <w:rPr>
          <w:szCs w:val="20"/>
          <w:lang w:val="pl-PL"/>
        </w:rPr>
        <w:t xml:space="preserve"> način me</w:t>
      </w:r>
      <w:r w:rsidR="00F40DD4">
        <w:rPr>
          <w:szCs w:val="20"/>
          <w:lang w:val="pl-PL"/>
        </w:rPr>
        <w:t>rjenja količine porabljene vode;</w:t>
      </w:r>
    </w:p>
    <w:p w14:paraId="701DA1BC" w14:textId="49024E99" w:rsidR="00F40DD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>
        <w:rPr>
          <w:szCs w:val="20"/>
          <w:lang w:val="pl-PL"/>
        </w:rPr>
        <w:t xml:space="preserve"> lokacij</w:t>
      </w:r>
      <w:r w:rsidR="0075298D">
        <w:rPr>
          <w:szCs w:val="20"/>
          <w:lang w:val="pl-PL"/>
        </w:rPr>
        <w:t>o</w:t>
      </w:r>
      <w:r w:rsidR="00F40DD4">
        <w:rPr>
          <w:szCs w:val="20"/>
          <w:lang w:val="pl-PL"/>
        </w:rPr>
        <w:t xml:space="preserve"> glavnega števca v črpališču, ki meri dobavljeno vodo v namakalni sistem;</w:t>
      </w:r>
    </w:p>
    <w:p w14:paraId="3BD291D3" w14:textId="788E2E5A" w:rsidR="00F40DD4" w:rsidRDefault="00780D89" w:rsidP="00F40DD4">
      <w:pPr>
        <w:spacing w:before="120" w:after="120"/>
        <w:jc w:val="both"/>
        <w:rPr>
          <w:szCs w:val="20"/>
          <w:lang w:val="pl-PL"/>
        </w:rPr>
      </w:pPr>
      <w:r>
        <w:rPr>
          <w:szCs w:val="20"/>
          <w:lang w:val="pl-PL"/>
        </w:rPr>
        <w:t>–</w:t>
      </w:r>
      <w:r w:rsidR="00F40DD4">
        <w:rPr>
          <w:szCs w:val="20"/>
          <w:lang w:val="pl-PL"/>
        </w:rPr>
        <w:t xml:space="preserve"> lokacije vseh števcev na ravni vsakega uporabnika namakalnega sistema.</w:t>
      </w:r>
    </w:p>
    <w:p w14:paraId="29826CC3" w14:textId="77777777" w:rsidR="00F40DD4" w:rsidRPr="00026385" w:rsidRDefault="00F40DD4" w:rsidP="0018003C">
      <w:pPr>
        <w:jc w:val="both"/>
        <w:rPr>
          <w:rFonts w:cs="Arial"/>
          <w:b/>
          <w:sz w:val="18"/>
          <w:szCs w:val="22"/>
          <w:lang w:val="sl-SI" w:eastAsia="sl-SI"/>
        </w:rPr>
      </w:pPr>
    </w:p>
    <w:sectPr w:rsidR="00F40DD4" w:rsidRPr="00026385" w:rsidSect="00A0789E">
      <w:head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3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10DF" w14:textId="77777777" w:rsidR="00C21795" w:rsidRDefault="00C21795">
      <w:r>
        <w:separator/>
      </w:r>
    </w:p>
  </w:endnote>
  <w:endnote w:type="continuationSeparator" w:id="0">
    <w:p w14:paraId="266D405A" w14:textId="77777777" w:rsidR="00C21795" w:rsidRDefault="00C21795">
      <w:r>
        <w:continuationSeparator/>
      </w:r>
    </w:p>
  </w:endnote>
  <w:endnote w:type="continuationNotice" w:id="1">
    <w:p w14:paraId="6DF434AB" w14:textId="77777777" w:rsidR="00C21795" w:rsidRDefault="00C217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Republik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8696" w14:textId="4906A698" w:rsidR="002D7481" w:rsidRDefault="001D0476" w:rsidP="002036DF">
    <w:pPr>
      <w:pStyle w:val="Noga"/>
      <w:jc w:val="right"/>
    </w:pPr>
    <w:r>
      <w:rPr>
        <w:noProof/>
      </w:rPr>
      <w:drawing>
        <wp:inline distT="0" distB="0" distL="0" distR="0" wp14:anchorId="1F31EFF6" wp14:editId="7972D9D6">
          <wp:extent cx="3589020" cy="350926"/>
          <wp:effectExtent l="0" t="0" r="0" b="0"/>
          <wp:docPr id="2" name="Slika 2" descr="logotipi, ki označujejo vir sofinanciranja iz strateškega načrta skupne kmetijske politike 2023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i, ki označujejo vir sofinanciranja iz strateškega načrta skupne kmetijske politike 2023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35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1C28" w14:textId="77777777" w:rsidR="00C21795" w:rsidRDefault="00C21795">
      <w:r>
        <w:separator/>
      </w:r>
    </w:p>
  </w:footnote>
  <w:footnote w:type="continuationSeparator" w:id="0">
    <w:p w14:paraId="0CCCCFE5" w14:textId="77777777" w:rsidR="00C21795" w:rsidRDefault="00C21795">
      <w:r>
        <w:continuationSeparator/>
      </w:r>
    </w:p>
  </w:footnote>
  <w:footnote w:type="continuationNotice" w:id="1">
    <w:p w14:paraId="2A9C53F7" w14:textId="77777777" w:rsidR="00C21795" w:rsidRDefault="00C217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E5F2" w14:textId="77777777" w:rsidR="00164BE3" w:rsidRPr="00110CBD" w:rsidRDefault="00164BE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64BE3" w:rsidRPr="008F3500" w14:paraId="3F7609D8" w14:textId="77777777">
      <w:trPr>
        <w:cantSplit/>
        <w:trHeight w:hRule="exact" w:val="847"/>
      </w:trPr>
      <w:tc>
        <w:tcPr>
          <w:tcW w:w="567" w:type="dxa"/>
        </w:tcPr>
        <w:p w14:paraId="62B80953" w14:textId="77777777" w:rsidR="00164BE3" w:rsidRDefault="00164BE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94AA0AD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02D96C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5BF680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0C666A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C1C926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4E8C12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608381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A1B418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86DA74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7776E6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91877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C6EF0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8C1A2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B93286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D4343E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E50822" w14:textId="77777777" w:rsidR="00164BE3" w:rsidRPr="006D42D9" w:rsidRDefault="00164BE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E64894C" w14:textId="17779970" w:rsidR="00164BE3" w:rsidRPr="008F3500" w:rsidRDefault="00164BE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1F3FCAD" w14:textId="77777777" w:rsidR="00164BE3" w:rsidRPr="008F3500" w:rsidRDefault="00F2320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  <w:r w:rsidR="00F25603">
      <w:rPr>
        <w:rFonts w:ascii="Republika Bold" w:hAnsi="Republika Bold"/>
        <w:b/>
        <w:caps/>
        <w:lang w:val="sl-SI"/>
      </w:rPr>
      <w:br/>
    </w:r>
    <w:r>
      <w:rPr>
        <w:rFonts w:ascii="Republika Bold" w:hAnsi="Republika Bold"/>
        <w:b/>
        <w:caps/>
        <w:lang w:val="sl-SI"/>
      </w:rPr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84E9FE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0247C"/>
    <w:multiLevelType w:val="hybridMultilevel"/>
    <w:tmpl w:val="65F86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767F"/>
    <w:multiLevelType w:val="hybridMultilevel"/>
    <w:tmpl w:val="0A8E5E88"/>
    <w:lvl w:ilvl="0" w:tplc="005E9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F14ED"/>
    <w:multiLevelType w:val="hybridMultilevel"/>
    <w:tmpl w:val="219CD6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7AA4"/>
    <w:multiLevelType w:val="hybridMultilevel"/>
    <w:tmpl w:val="83D4FF82"/>
    <w:lvl w:ilvl="0" w:tplc="26ACEF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1D9F0FA0"/>
    <w:multiLevelType w:val="hybridMultilevel"/>
    <w:tmpl w:val="BAA25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4BA1"/>
    <w:multiLevelType w:val="hybridMultilevel"/>
    <w:tmpl w:val="26FAB760"/>
    <w:lvl w:ilvl="0" w:tplc="C81ED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14C"/>
    <w:multiLevelType w:val="hybridMultilevel"/>
    <w:tmpl w:val="7570AC92"/>
    <w:lvl w:ilvl="0" w:tplc="28FE21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B0FEC"/>
    <w:multiLevelType w:val="hybridMultilevel"/>
    <w:tmpl w:val="E78A19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94183"/>
    <w:multiLevelType w:val="hybridMultilevel"/>
    <w:tmpl w:val="E78A19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300EB"/>
    <w:multiLevelType w:val="hybridMultilevel"/>
    <w:tmpl w:val="114002CC"/>
    <w:lvl w:ilvl="0" w:tplc="BEF2F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58D"/>
    <w:multiLevelType w:val="hybridMultilevel"/>
    <w:tmpl w:val="45B23E9E"/>
    <w:lvl w:ilvl="0" w:tplc="3A6A84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76C74"/>
    <w:multiLevelType w:val="multilevel"/>
    <w:tmpl w:val="90A23962"/>
    <w:name w:val="0,6135157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D5B6B"/>
    <w:multiLevelType w:val="hybridMultilevel"/>
    <w:tmpl w:val="22849D46"/>
    <w:lvl w:ilvl="0" w:tplc="B13CEF2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FA40FE"/>
    <w:multiLevelType w:val="hybridMultilevel"/>
    <w:tmpl w:val="9B5A6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763E"/>
    <w:multiLevelType w:val="hybridMultilevel"/>
    <w:tmpl w:val="B6E86C7E"/>
    <w:lvl w:ilvl="0" w:tplc="7EC82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0083C"/>
    <w:multiLevelType w:val="hybridMultilevel"/>
    <w:tmpl w:val="D92283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3516C"/>
    <w:multiLevelType w:val="multilevel"/>
    <w:tmpl w:val="CBC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D61D5"/>
    <w:multiLevelType w:val="hybridMultilevel"/>
    <w:tmpl w:val="CEEA6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1377"/>
    <w:multiLevelType w:val="hybridMultilevel"/>
    <w:tmpl w:val="FC8C528E"/>
    <w:lvl w:ilvl="0" w:tplc="EC1C9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D70896"/>
    <w:multiLevelType w:val="hybridMultilevel"/>
    <w:tmpl w:val="25408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E16CE"/>
    <w:multiLevelType w:val="hybridMultilevel"/>
    <w:tmpl w:val="17B02C0A"/>
    <w:lvl w:ilvl="0" w:tplc="E58CF04E">
      <w:start w:val="1"/>
      <w:numFmt w:val="upperLetter"/>
      <w:lvlText w:val="%1)"/>
      <w:lvlJc w:val="left"/>
      <w:pPr>
        <w:ind w:left="1080" w:hanging="360"/>
      </w:pPr>
    </w:lvl>
    <w:lvl w:ilvl="1" w:tplc="A51A8AA6">
      <w:start w:val="1"/>
      <w:numFmt w:val="upperLetter"/>
      <w:lvlText w:val="%2)"/>
      <w:lvlJc w:val="left"/>
      <w:pPr>
        <w:ind w:left="1080" w:hanging="360"/>
      </w:pPr>
    </w:lvl>
    <w:lvl w:ilvl="2" w:tplc="A1F4B2D4">
      <w:start w:val="1"/>
      <w:numFmt w:val="upperLetter"/>
      <w:lvlText w:val="%3)"/>
      <w:lvlJc w:val="left"/>
      <w:pPr>
        <w:ind w:left="1080" w:hanging="360"/>
      </w:pPr>
    </w:lvl>
    <w:lvl w:ilvl="3" w:tplc="F510F422">
      <w:start w:val="1"/>
      <w:numFmt w:val="upperLetter"/>
      <w:lvlText w:val="%4)"/>
      <w:lvlJc w:val="left"/>
      <w:pPr>
        <w:ind w:left="1080" w:hanging="360"/>
      </w:pPr>
    </w:lvl>
    <w:lvl w:ilvl="4" w:tplc="5F0E2B0C">
      <w:start w:val="1"/>
      <w:numFmt w:val="upperLetter"/>
      <w:lvlText w:val="%5)"/>
      <w:lvlJc w:val="left"/>
      <w:pPr>
        <w:ind w:left="1080" w:hanging="360"/>
      </w:pPr>
    </w:lvl>
    <w:lvl w:ilvl="5" w:tplc="F24269B0">
      <w:start w:val="1"/>
      <w:numFmt w:val="upperLetter"/>
      <w:lvlText w:val="%6)"/>
      <w:lvlJc w:val="left"/>
      <w:pPr>
        <w:ind w:left="1080" w:hanging="360"/>
      </w:pPr>
    </w:lvl>
    <w:lvl w:ilvl="6" w:tplc="F1620048">
      <w:start w:val="1"/>
      <w:numFmt w:val="upperLetter"/>
      <w:lvlText w:val="%7)"/>
      <w:lvlJc w:val="left"/>
      <w:pPr>
        <w:ind w:left="1080" w:hanging="360"/>
      </w:pPr>
    </w:lvl>
    <w:lvl w:ilvl="7" w:tplc="32789E86">
      <w:start w:val="1"/>
      <w:numFmt w:val="upperLetter"/>
      <w:lvlText w:val="%8)"/>
      <w:lvlJc w:val="left"/>
      <w:pPr>
        <w:ind w:left="1080" w:hanging="360"/>
      </w:pPr>
    </w:lvl>
    <w:lvl w:ilvl="8" w:tplc="080E43FA">
      <w:start w:val="1"/>
      <w:numFmt w:val="upperLetter"/>
      <w:lvlText w:val="%9)"/>
      <w:lvlJc w:val="left"/>
      <w:pPr>
        <w:ind w:left="1080" w:hanging="360"/>
      </w:pPr>
    </w:lvl>
  </w:abstractNum>
  <w:abstractNum w:abstractNumId="29" w15:restartNumberingAfterBreak="0">
    <w:nsid w:val="509D4DD2"/>
    <w:multiLevelType w:val="hybridMultilevel"/>
    <w:tmpl w:val="D2D4A50A"/>
    <w:lvl w:ilvl="0" w:tplc="D7D83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5CC42540"/>
    <w:multiLevelType w:val="multilevel"/>
    <w:tmpl w:val="72EC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DC6CBD"/>
    <w:multiLevelType w:val="hybridMultilevel"/>
    <w:tmpl w:val="3924AB66"/>
    <w:lvl w:ilvl="0" w:tplc="99FCC904">
      <w:start w:val="1"/>
      <w:numFmt w:val="decimal"/>
      <w:lvlText w:val="%1."/>
      <w:lvlJc w:val="left"/>
      <w:pPr>
        <w:ind w:left="4440" w:hanging="4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60143"/>
    <w:multiLevelType w:val="hybridMultilevel"/>
    <w:tmpl w:val="93524870"/>
    <w:lvl w:ilvl="0" w:tplc="73945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F5EB6"/>
    <w:multiLevelType w:val="hybridMultilevel"/>
    <w:tmpl w:val="FC8C528E"/>
    <w:lvl w:ilvl="0" w:tplc="EC1C9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15586"/>
    <w:multiLevelType w:val="hybridMultilevel"/>
    <w:tmpl w:val="406E256C"/>
    <w:lvl w:ilvl="0" w:tplc="7BD2B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06A60"/>
    <w:multiLevelType w:val="hybridMultilevel"/>
    <w:tmpl w:val="24CC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71D01"/>
    <w:multiLevelType w:val="hybridMultilevel"/>
    <w:tmpl w:val="FC724B96"/>
    <w:lvl w:ilvl="0" w:tplc="0424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22981"/>
    <w:multiLevelType w:val="hybridMultilevel"/>
    <w:tmpl w:val="49443DBA"/>
    <w:lvl w:ilvl="0" w:tplc="327C3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82D32"/>
    <w:multiLevelType w:val="hybridMultilevel"/>
    <w:tmpl w:val="39225CC6"/>
    <w:lvl w:ilvl="0" w:tplc="C81ED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3127D"/>
    <w:multiLevelType w:val="hybridMultilevel"/>
    <w:tmpl w:val="219CD6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52517"/>
    <w:multiLevelType w:val="hybridMultilevel"/>
    <w:tmpl w:val="7DC220BA"/>
    <w:lvl w:ilvl="0" w:tplc="1D84C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33FAB"/>
    <w:multiLevelType w:val="hybridMultilevel"/>
    <w:tmpl w:val="B6A0C694"/>
    <w:lvl w:ilvl="0" w:tplc="F0E655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24"/>
  </w:num>
  <w:num w:numId="4">
    <w:abstractNumId w:val="4"/>
  </w:num>
  <w:num w:numId="5">
    <w:abstractNumId w:val="7"/>
  </w:num>
  <w:num w:numId="6">
    <w:abstractNumId w:val="38"/>
  </w:num>
  <w:num w:numId="7">
    <w:abstractNumId w:val="13"/>
  </w:num>
  <w:num w:numId="8">
    <w:abstractNumId w:val="12"/>
  </w:num>
  <w:num w:numId="9">
    <w:abstractNumId w:val="10"/>
  </w:num>
  <w:num w:numId="10">
    <w:abstractNumId w:val="4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34"/>
  </w:num>
  <w:num w:numId="15">
    <w:abstractNumId w:val="19"/>
  </w:num>
  <w:num w:numId="16">
    <w:abstractNumId w:val="21"/>
  </w:num>
  <w:num w:numId="17">
    <w:abstractNumId w:val="15"/>
  </w:num>
  <w:num w:numId="18">
    <w:abstractNumId w:val="29"/>
  </w:num>
  <w:num w:numId="19">
    <w:abstractNumId w:val="6"/>
  </w:num>
  <w:num w:numId="20">
    <w:abstractNumId w:val="26"/>
  </w:num>
  <w:num w:numId="21">
    <w:abstractNumId w:val="11"/>
  </w:num>
  <w:num w:numId="22">
    <w:abstractNumId w:val="41"/>
  </w:num>
  <w:num w:numId="23">
    <w:abstractNumId w:val="33"/>
  </w:num>
  <w:num w:numId="24">
    <w:abstractNumId w:val="42"/>
  </w:num>
  <w:num w:numId="25">
    <w:abstractNumId w:val="43"/>
  </w:num>
  <w:num w:numId="26">
    <w:abstractNumId w:val="5"/>
  </w:num>
  <w:num w:numId="27">
    <w:abstractNumId w:val="22"/>
  </w:num>
  <w:num w:numId="28">
    <w:abstractNumId w:val="30"/>
  </w:num>
  <w:num w:numId="29">
    <w:abstractNumId w:val="18"/>
  </w:num>
  <w:num w:numId="30">
    <w:abstractNumId w:val="17"/>
  </w:num>
  <w:num w:numId="31">
    <w:abstractNumId w:val="27"/>
  </w:num>
  <w:num w:numId="32">
    <w:abstractNumId w:val="1"/>
  </w:num>
  <w:num w:numId="33">
    <w:abstractNumId w:val="25"/>
  </w:num>
  <w:num w:numId="34">
    <w:abstractNumId w:val="37"/>
  </w:num>
  <w:num w:numId="35">
    <w:abstractNumId w:val="32"/>
  </w:num>
  <w:num w:numId="36">
    <w:abstractNumId w:val="2"/>
  </w:num>
  <w:num w:numId="37">
    <w:abstractNumId w:val="20"/>
  </w:num>
  <w:num w:numId="38">
    <w:abstractNumId w:val="9"/>
  </w:num>
  <w:num w:numId="39">
    <w:abstractNumId w:val="39"/>
  </w:num>
  <w:num w:numId="40">
    <w:abstractNumId w:val="1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6"/>
  </w:num>
  <w:num w:numId="44">
    <w:abstractNumId w:val="2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14DD"/>
    <w:rsid w:val="00011CB7"/>
    <w:rsid w:val="00011D93"/>
    <w:rsid w:val="00015417"/>
    <w:rsid w:val="00023A88"/>
    <w:rsid w:val="00026385"/>
    <w:rsid w:val="000321A1"/>
    <w:rsid w:val="00034DC3"/>
    <w:rsid w:val="00041471"/>
    <w:rsid w:val="00042310"/>
    <w:rsid w:val="00043662"/>
    <w:rsid w:val="00045D0A"/>
    <w:rsid w:val="00050120"/>
    <w:rsid w:val="00050B76"/>
    <w:rsid w:val="0005392B"/>
    <w:rsid w:val="000751CC"/>
    <w:rsid w:val="000805C7"/>
    <w:rsid w:val="000951FE"/>
    <w:rsid w:val="0009537C"/>
    <w:rsid w:val="000A11C3"/>
    <w:rsid w:val="000A5663"/>
    <w:rsid w:val="000A7238"/>
    <w:rsid w:val="000B555F"/>
    <w:rsid w:val="000B76A2"/>
    <w:rsid w:val="000C3A71"/>
    <w:rsid w:val="000C4B97"/>
    <w:rsid w:val="000D2D80"/>
    <w:rsid w:val="000D43D3"/>
    <w:rsid w:val="000E70A6"/>
    <w:rsid w:val="000F56F4"/>
    <w:rsid w:val="000F721F"/>
    <w:rsid w:val="000F7FFB"/>
    <w:rsid w:val="001000E9"/>
    <w:rsid w:val="001026B7"/>
    <w:rsid w:val="0012281C"/>
    <w:rsid w:val="001357B2"/>
    <w:rsid w:val="00140203"/>
    <w:rsid w:val="001413C3"/>
    <w:rsid w:val="00143B73"/>
    <w:rsid w:val="001531D9"/>
    <w:rsid w:val="00160D4E"/>
    <w:rsid w:val="00163C77"/>
    <w:rsid w:val="001648EF"/>
    <w:rsid w:val="00164BE3"/>
    <w:rsid w:val="001651D5"/>
    <w:rsid w:val="00173364"/>
    <w:rsid w:val="0018003C"/>
    <w:rsid w:val="001801AD"/>
    <w:rsid w:val="00194120"/>
    <w:rsid w:val="001B6C01"/>
    <w:rsid w:val="001D0476"/>
    <w:rsid w:val="001D4502"/>
    <w:rsid w:val="001D4CD3"/>
    <w:rsid w:val="001E24BB"/>
    <w:rsid w:val="001F6B16"/>
    <w:rsid w:val="00202A77"/>
    <w:rsid w:val="002036DF"/>
    <w:rsid w:val="00207DFA"/>
    <w:rsid w:val="00217A88"/>
    <w:rsid w:val="00227B0F"/>
    <w:rsid w:val="002345E1"/>
    <w:rsid w:val="002353EA"/>
    <w:rsid w:val="00236C23"/>
    <w:rsid w:val="00241311"/>
    <w:rsid w:val="00243857"/>
    <w:rsid w:val="00245499"/>
    <w:rsid w:val="00251B13"/>
    <w:rsid w:val="00261AF3"/>
    <w:rsid w:val="00262AB7"/>
    <w:rsid w:val="00271CE5"/>
    <w:rsid w:val="00272A53"/>
    <w:rsid w:val="00274225"/>
    <w:rsid w:val="00282020"/>
    <w:rsid w:val="00295172"/>
    <w:rsid w:val="002B39E2"/>
    <w:rsid w:val="002B6957"/>
    <w:rsid w:val="002D157E"/>
    <w:rsid w:val="002D7481"/>
    <w:rsid w:val="002E5C10"/>
    <w:rsid w:val="002E69ED"/>
    <w:rsid w:val="002E7ED3"/>
    <w:rsid w:val="00302679"/>
    <w:rsid w:val="00304012"/>
    <w:rsid w:val="00312B9B"/>
    <w:rsid w:val="00313B62"/>
    <w:rsid w:val="00316649"/>
    <w:rsid w:val="0034077D"/>
    <w:rsid w:val="003429FD"/>
    <w:rsid w:val="003516D0"/>
    <w:rsid w:val="0035263F"/>
    <w:rsid w:val="003569DB"/>
    <w:rsid w:val="00356C92"/>
    <w:rsid w:val="0035749A"/>
    <w:rsid w:val="00360605"/>
    <w:rsid w:val="0036219F"/>
    <w:rsid w:val="003636BF"/>
    <w:rsid w:val="00364673"/>
    <w:rsid w:val="0036609F"/>
    <w:rsid w:val="00372332"/>
    <w:rsid w:val="0037479F"/>
    <w:rsid w:val="003845B4"/>
    <w:rsid w:val="00384B2B"/>
    <w:rsid w:val="00387B1A"/>
    <w:rsid w:val="0039289F"/>
    <w:rsid w:val="003B4727"/>
    <w:rsid w:val="003B626A"/>
    <w:rsid w:val="003C25FD"/>
    <w:rsid w:val="003C30F1"/>
    <w:rsid w:val="003D2527"/>
    <w:rsid w:val="003D608B"/>
    <w:rsid w:val="003E0CCE"/>
    <w:rsid w:val="003E1C74"/>
    <w:rsid w:val="003F1F7B"/>
    <w:rsid w:val="003F273D"/>
    <w:rsid w:val="003F345D"/>
    <w:rsid w:val="003F4C33"/>
    <w:rsid w:val="004007ED"/>
    <w:rsid w:val="004007F8"/>
    <w:rsid w:val="00420E96"/>
    <w:rsid w:val="004241C4"/>
    <w:rsid w:val="00447351"/>
    <w:rsid w:val="004515F1"/>
    <w:rsid w:val="004569AB"/>
    <w:rsid w:val="004678A4"/>
    <w:rsid w:val="004701D5"/>
    <w:rsid w:val="00472021"/>
    <w:rsid w:val="00492005"/>
    <w:rsid w:val="00493710"/>
    <w:rsid w:val="00495FEA"/>
    <w:rsid w:val="004A11B1"/>
    <w:rsid w:val="004A5090"/>
    <w:rsid w:val="004C252C"/>
    <w:rsid w:val="004C5857"/>
    <w:rsid w:val="004C5C57"/>
    <w:rsid w:val="004D26F4"/>
    <w:rsid w:val="004D7161"/>
    <w:rsid w:val="004D7DCE"/>
    <w:rsid w:val="004F1F02"/>
    <w:rsid w:val="0050024C"/>
    <w:rsid w:val="0050167A"/>
    <w:rsid w:val="00504F3C"/>
    <w:rsid w:val="005148B4"/>
    <w:rsid w:val="00526246"/>
    <w:rsid w:val="0053187F"/>
    <w:rsid w:val="00534CE0"/>
    <w:rsid w:val="005361F2"/>
    <w:rsid w:val="005369F1"/>
    <w:rsid w:val="00543201"/>
    <w:rsid w:val="0055453E"/>
    <w:rsid w:val="00554699"/>
    <w:rsid w:val="005547BC"/>
    <w:rsid w:val="005662E5"/>
    <w:rsid w:val="00567106"/>
    <w:rsid w:val="00577CC5"/>
    <w:rsid w:val="00585CE4"/>
    <w:rsid w:val="005B3E96"/>
    <w:rsid w:val="005B5B36"/>
    <w:rsid w:val="005B5B52"/>
    <w:rsid w:val="005C12DD"/>
    <w:rsid w:val="005D2ECF"/>
    <w:rsid w:val="005D5198"/>
    <w:rsid w:val="005E034F"/>
    <w:rsid w:val="005E1271"/>
    <w:rsid w:val="005E1D3C"/>
    <w:rsid w:val="005E24D4"/>
    <w:rsid w:val="005E39E2"/>
    <w:rsid w:val="005F2296"/>
    <w:rsid w:val="00601DD4"/>
    <w:rsid w:val="00606393"/>
    <w:rsid w:val="00616CCD"/>
    <w:rsid w:val="0062648E"/>
    <w:rsid w:val="00631E7C"/>
    <w:rsid w:val="00632253"/>
    <w:rsid w:val="00633622"/>
    <w:rsid w:val="0064107B"/>
    <w:rsid w:val="0064250D"/>
    <w:rsid w:val="00642714"/>
    <w:rsid w:val="006450F4"/>
    <w:rsid w:val="006455CE"/>
    <w:rsid w:val="00654A4E"/>
    <w:rsid w:val="00654FFF"/>
    <w:rsid w:val="00670E4A"/>
    <w:rsid w:val="0067205F"/>
    <w:rsid w:val="00681DCC"/>
    <w:rsid w:val="00685DEA"/>
    <w:rsid w:val="006901D3"/>
    <w:rsid w:val="00693338"/>
    <w:rsid w:val="00693CE3"/>
    <w:rsid w:val="00695F24"/>
    <w:rsid w:val="006A5F38"/>
    <w:rsid w:val="006B4DAB"/>
    <w:rsid w:val="006B7979"/>
    <w:rsid w:val="006C36A8"/>
    <w:rsid w:val="006D2688"/>
    <w:rsid w:val="006D42D9"/>
    <w:rsid w:val="006D6DC6"/>
    <w:rsid w:val="006E17FA"/>
    <w:rsid w:val="006F2399"/>
    <w:rsid w:val="006F2812"/>
    <w:rsid w:val="006F5FA4"/>
    <w:rsid w:val="00712DE4"/>
    <w:rsid w:val="007131F8"/>
    <w:rsid w:val="007161FC"/>
    <w:rsid w:val="00721805"/>
    <w:rsid w:val="007230C6"/>
    <w:rsid w:val="00723342"/>
    <w:rsid w:val="007250C8"/>
    <w:rsid w:val="007277C8"/>
    <w:rsid w:val="0072783C"/>
    <w:rsid w:val="00731ADE"/>
    <w:rsid w:val="00733017"/>
    <w:rsid w:val="00742630"/>
    <w:rsid w:val="007431C5"/>
    <w:rsid w:val="00743EFF"/>
    <w:rsid w:val="00744254"/>
    <w:rsid w:val="00745C68"/>
    <w:rsid w:val="0075298D"/>
    <w:rsid w:val="007544B4"/>
    <w:rsid w:val="0075559F"/>
    <w:rsid w:val="00777F4E"/>
    <w:rsid w:val="00780D89"/>
    <w:rsid w:val="00783310"/>
    <w:rsid w:val="007A1784"/>
    <w:rsid w:val="007A4A6D"/>
    <w:rsid w:val="007A7201"/>
    <w:rsid w:val="007A75E0"/>
    <w:rsid w:val="007B26A0"/>
    <w:rsid w:val="007B28CD"/>
    <w:rsid w:val="007B56D0"/>
    <w:rsid w:val="007B685E"/>
    <w:rsid w:val="007B6D37"/>
    <w:rsid w:val="007B7F61"/>
    <w:rsid w:val="007C119C"/>
    <w:rsid w:val="007C1638"/>
    <w:rsid w:val="007C5A8B"/>
    <w:rsid w:val="007C64C6"/>
    <w:rsid w:val="007C71CF"/>
    <w:rsid w:val="007D1BCF"/>
    <w:rsid w:val="007D2908"/>
    <w:rsid w:val="007D75CF"/>
    <w:rsid w:val="007E129A"/>
    <w:rsid w:val="007E6A06"/>
    <w:rsid w:val="007E6DC5"/>
    <w:rsid w:val="00801E5B"/>
    <w:rsid w:val="00805644"/>
    <w:rsid w:val="0081499F"/>
    <w:rsid w:val="00815242"/>
    <w:rsid w:val="008204C7"/>
    <w:rsid w:val="00822D14"/>
    <w:rsid w:val="00825A2A"/>
    <w:rsid w:val="00830B30"/>
    <w:rsid w:val="00845A13"/>
    <w:rsid w:val="0086078B"/>
    <w:rsid w:val="00864B91"/>
    <w:rsid w:val="00866870"/>
    <w:rsid w:val="0088043C"/>
    <w:rsid w:val="00883776"/>
    <w:rsid w:val="00884539"/>
    <w:rsid w:val="008906C9"/>
    <w:rsid w:val="008931DB"/>
    <w:rsid w:val="00897E40"/>
    <w:rsid w:val="008A191C"/>
    <w:rsid w:val="008A3415"/>
    <w:rsid w:val="008A4E0E"/>
    <w:rsid w:val="008A63A4"/>
    <w:rsid w:val="008B4C6F"/>
    <w:rsid w:val="008B5B4D"/>
    <w:rsid w:val="008C5738"/>
    <w:rsid w:val="008D04F0"/>
    <w:rsid w:val="008E01B5"/>
    <w:rsid w:val="008E7472"/>
    <w:rsid w:val="008F3500"/>
    <w:rsid w:val="008F63F0"/>
    <w:rsid w:val="00901381"/>
    <w:rsid w:val="00901F10"/>
    <w:rsid w:val="00903211"/>
    <w:rsid w:val="009041A1"/>
    <w:rsid w:val="00912393"/>
    <w:rsid w:val="00914E38"/>
    <w:rsid w:val="00917F2D"/>
    <w:rsid w:val="00920645"/>
    <w:rsid w:val="009227B9"/>
    <w:rsid w:val="0092304B"/>
    <w:rsid w:val="00924E3C"/>
    <w:rsid w:val="009310F6"/>
    <w:rsid w:val="009364C0"/>
    <w:rsid w:val="00936A65"/>
    <w:rsid w:val="009417A7"/>
    <w:rsid w:val="0095065C"/>
    <w:rsid w:val="00953485"/>
    <w:rsid w:val="009612BB"/>
    <w:rsid w:val="00961C7E"/>
    <w:rsid w:val="00967095"/>
    <w:rsid w:val="0097111C"/>
    <w:rsid w:val="009721C1"/>
    <w:rsid w:val="00991AD6"/>
    <w:rsid w:val="009A6915"/>
    <w:rsid w:val="009B7627"/>
    <w:rsid w:val="009C39D8"/>
    <w:rsid w:val="009D5BCC"/>
    <w:rsid w:val="009D644D"/>
    <w:rsid w:val="009E3C01"/>
    <w:rsid w:val="009F0866"/>
    <w:rsid w:val="009F1C6E"/>
    <w:rsid w:val="009F3DEF"/>
    <w:rsid w:val="009F5CFF"/>
    <w:rsid w:val="00A023F7"/>
    <w:rsid w:val="00A0789E"/>
    <w:rsid w:val="00A125C5"/>
    <w:rsid w:val="00A135F0"/>
    <w:rsid w:val="00A13F8E"/>
    <w:rsid w:val="00A165AE"/>
    <w:rsid w:val="00A17EA3"/>
    <w:rsid w:val="00A249E4"/>
    <w:rsid w:val="00A2796B"/>
    <w:rsid w:val="00A31B27"/>
    <w:rsid w:val="00A35299"/>
    <w:rsid w:val="00A413B5"/>
    <w:rsid w:val="00A415F2"/>
    <w:rsid w:val="00A417A9"/>
    <w:rsid w:val="00A439C2"/>
    <w:rsid w:val="00A44E19"/>
    <w:rsid w:val="00A5039D"/>
    <w:rsid w:val="00A5169F"/>
    <w:rsid w:val="00A65EE7"/>
    <w:rsid w:val="00A70133"/>
    <w:rsid w:val="00A7266B"/>
    <w:rsid w:val="00A84389"/>
    <w:rsid w:val="00A864F6"/>
    <w:rsid w:val="00A92C86"/>
    <w:rsid w:val="00A94B52"/>
    <w:rsid w:val="00AA0D85"/>
    <w:rsid w:val="00AA0E21"/>
    <w:rsid w:val="00AA610E"/>
    <w:rsid w:val="00AA7314"/>
    <w:rsid w:val="00AB425A"/>
    <w:rsid w:val="00AC6B7A"/>
    <w:rsid w:val="00AD3C8C"/>
    <w:rsid w:val="00AF269A"/>
    <w:rsid w:val="00B06D88"/>
    <w:rsid w:val="00B14D09"/>
    <w:rsid w:val="00B17141"/>
    <w:rsid w:val="00B26CD0"/>
    <w:rsid w:val="00B30B5F"/>
    <w:rsid w:val="00B31575"/>
    <w:rsid w:val="00B31CD5"/>
    <w:rsid w:val="00B36D3A"/>
    <w:rsid w:val="00B41F41"/>
    <w:rsid w:val="00B4455F"/>
    <w:rsid w:val="00B5036C"/>
    <w:rsid w:val="00B515BB"/>
    <w:rsid w:val="00B608AF"/>
    <w:rsid w:val="00B621EC"/>
    <w:rsid w:val="00B66CA1"/>
    <w:rsid w:val="00B70B31"/>
    <w:rsid w:val="00B7696F"/>
    <w:rsid w:val="00B8547D"/>
    <w:rsid w:val="00B96D1E"/>
    <w:rsid w:val="00BA1113"/>
    <w:rsid w:val="00BB1D2E"/>
    <w:rsid w:val="00BB29E1"/>
    <w:rsid w:val="00BB6194"/>
    <w:rsid w:val="00BB6EAB"/>
    <w:rsid w:val="00BC2769"/>
    <w:rsid w:val="00BC736D"/>
    <w:rsid w:val="00BD6D9F"/>
    <w:rsid w:val="00BE4A11"/>
    <w:rsid w:val="00BE4A92"/>
    <w:rsid w:val="00BE4C2A"/>
    <w:rsid w:val="00BE7033"/>
    <w:rsid w:val="00BE71C0"/>
    <w:rsid w:val="00BF022A"/>
    <w:rsid w:val="00BF05A3"/>
    <w:rsid w:val="00BF1FE0"/>
    <w:rsid w:val="00BF606F"/>
    <w:rsid w:val="00C174A4"/>
    <w:rsid w:val="00C21795"/>
    <w:rsid w:val="00C250D5"/>
    <w:rsid w:val="00C2717A"/>
    <w:rsid w:val="00C30250"/>
    <w:rsid w:val="00C31308"/>
    <w:rsid w:val="00C4682C"/>
    <w:rsid w:val="00C52B32"/>
    <w:rsid w:val="00C54F3E"/>
    <w:rsid w:val="00C60C84"/>
    <w:rsid w:val="00C634E8"/>
    <w:rsid w:val="00C66D8F"/>
    <w:rsid w:val="00C67AA5"/>
    <w:rsid w:val="00C75FEE"/>
    <w:rsid w:val="00C82B9F"/>
    <w:rsid w:val="00C90C13"/>
    <w:rsid w:val="00C92898"/>
    <w:rsid w:val="00C94D62"/>
    <w:rsid w:val="00C97DCB"/>
    <w:rsid w:val="00CA25F5"/>
    <w:rsid w:val="00CB6462"/>
    <w:rsid w:val="00CC48B6"/>
    <w:rsid w:val="00CD2775"/>
    <w:rsid w:val="00CD6FF3"/>
    <w:rsid w:val="00CE2A2E"/>
    <w:rsid w:val="00CE7514"/>
    <w:rsid w:val="00CF15B0"/>
    <w:rsid w:val="00CF2827"/>
    <w:rsid w:val="00D04605"/>
    <w:rsid w:val="00D0487E"/>
    <w:rsid w:val="00D05748"/>
    <w:rsid w:val="00D05D06"/>
    <w:rsid w:val="00D07B8D"/>
    <w:rsid w:val="00D125F7"/>
    <w:rsid w:val="00D14E76"/>
    <w:rsid w:val="00D246E1"/>
    <w:rsid w:val="00D248DE"/>
    <w:rsid w:val="00D25B25"/>
    <w:rsid w:val="00D3265C"/>
    <w:rsid w:val="00D34371"/>
    <w:rsid w:val="00D3718D"/>
    <w:rsid w:val="00D455BF"/>
    <w:rsid w:val="00D528D0"/>
    <w:rsid w:val="00D71EEC"/>
    <w:rsid w:val="00D843B6"/>
    <w:rsid w:val="00D8542D"/>
    <w:rsid w:val="00D877C9"/>
    <w:rsid w:val="00D90654"/>
    <w:rsid w:val="00DA5B15"/>
    <w:rsid w:val="00DA63D1"/>
    <w:rsid w:val="00DA672A"/>
    <w:rsid w:val="00DB7E6A"/>
    <w:rsid w:val="00DC0044"/>
    <w:rsid w:val="00DC4224"/>
    <w:rsid w:val="00DC6A71"/>
    <w:rsid w:val="00DC6E33"/>
    <w:rsid w:val="00DD09AF"/>
    <w:rsid w:val="00DD6965"/>
    <w:rsid w:val="00DE57C8"/>
    <w:rsid w:val="00DE5B46"/>
    <w:rsid w:val="00DE5CBA"/>
    <w:rsid w:val="00DF2590"/>
    <w:rsid w:val="00E0357D"/>
    <w:rsid w:val="00E175C9"/>
    <w:rsid w:val="00E17BB5"/>
    <w:rsid w:val="00E2295D"/>
    <w:rsid w:val="00E24EC2"/>
    <w:rsid w:val="00E2773F"/>
    <w:rsid w:val="00E33774"/>
    <w:rsid w:val="00E4177C"/>
    <w:rsid w:val="00E46DD2"/>
    <w:rsid w:val="00E51955"/>
    <w:rsid w:val="00E537A3"/>
    <w:rsid w:val="00E54822"/>
    <w:rsid w:val="00E5586C"/>
    <w:rsid w:val="00E71511"/>
    <w:rsid w:val="00E7731F"/>
    <w:rsid w:val="00E91AB4"/>
    <w:rsid w:val="00E95AA9"/>
    <w:rsid w:val="00E97D75"/>
    <w:rsid w:val="00EA3A05"/>
    <w:rsid w:val="00EC286D"/>
    <w:rsid w:val="00ED0F28"/>
    <w:rsid w:val="00EE7098"/>
    <w:rsid w:val="00EF07BE"/>
    <w:rsid w:val="00EF114A"/>
    <w:rsid w:val="00EF6FBE"/>
    <w:rsid w:val="00EF7292"/>
    <w:rsid w:val="00F14E32"/>
    <w:rsid w:val="00F23209"/>
    <w:rsid w:val="00F240BB"/>
    <w:rsid w:val="00F25603"/>
    <w:rsid w:val="00F27503"/>
    <w:rsid w:val="00F40DD4"/>
    <w:rsid w:val="00F43601"/>
    <w:rsid w:val="00F46724"/>
    <w:rsid w:val="00F57FED"/>
    <w:rsid w:val="00F61E10"/>
    <w:rsid w:val="00F631BD"/>
    <w:rsid w:val="00F71DB8"/>
    <w:rsid w:val="00F83C73"/>
    <w:rsid w:val="00F85A14"/>
    <w:rsid w:val="00F92675"/>
    <w:rsid w:val="00FB0529"/>
    <w:rsid w:val="00FB21C1"/>
    <w:rsid w:val="00FB7D42"/>
    <w:rsid w:val="00FC61DC"/>
    <w:rsid w:val="00FC73B1"/>
    <w:rsid w:val="00FD53FB"/>
    <w:rsid w:val="00FF490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5C6ED3D"/>
  <w15:chartTrackingRefBased/>
  <w15:docId w15:val="{FEABC10E-D0A8-4F17-B98C-40D7E68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007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D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D7481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rsid w:val="00EF6FBE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EF6FBE"/>
    <w:pPr>
      <w:spacing w:after="120" w:line="240" w:lineRule="auto"/>
    </w:pPr>
    <w:rPr>
      <w:rFonts w:ascii="SSUniversCond" w:hAnsi="SSUniversCond"/>
      <w:i/>
      <w:sz w:val="18"/>
      <w:szCs w:val="20"/>
      <w:lang w:eastAsia="sl-SI"/>
    </w:rPr>
  </w:style>
  <w:style w:type="character" w:customStyle="1" w:styleId="TelobesedilaZnak">
    <w:name w:val="Telo besedila Znak"/>
    <w:link w:val="Telobesedila"/>
    <w:rsid w:val="00EF6FBE"/>
    <w:rPr>
      <w:rFonts w:ascii="SSUniversCond" w:hAnsi="SSUniversCond"/>
      <w:i/>
      <w:sz w:val="18"/>
      <w:lang w:val="en-US"/>
    </w:rPr>
  </w:style>
  <w:style w:type="paragraph" w:customStyle="1" w:styleId="1">
    <w:name w:val="1"/>
    <w:basedOn w:val="Navaden"/>
    <w:rsid w:val="00EF6FBE"/>
    <w:pPr>
      <w:spacing w:after="160" w:line="240" w:lineRule="exact"/>
    </w:pPr>
    <w:rPr>
      <w:rFonts w:ascii="Tahoma" w:hAnsi="Tahoma"/>
      <w:szCs w:val="20"/>
    </w:rPr>
  </w:style>
  <w:style w:type="paragraph" w:customStyle="1" w:styleId="Nav">
    <w:name w:val="Navđ"/>
    <w:basedOn w:val="Navaden"/>
    <w:rsid w:val="00EF6FBE"/>
    <w:pPr>
      <w:tabs>
        <w:tab w:val="left" w:pos="1418"/>
      </w:tabs>
      <w:jc w:val="both"/>
    </w:pPr>
    <w:rPr>
      <w:rFonts w:cs="Arial"/>
      <w:szCs w:val="20"/>
      <w:lang w:val="sl-SI"/>
    </w:rPr>
  </w:style>
  <w:style w:type="paragraph" w:customStyle="1" w:styleId="ZnakCharCharZnak">
    <w:name w:val="Znak Char Char Znak"/>
    <w:basedOn w:val="Navaden"/>
    <w:rsid w:val="00EF6FBE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Znak1ZnakZnak">
    <w:name w:val="Znak1 Znak Znak"/>
    <w:basedOn w:val="Navaden"/>
    <w:rsid w:val="00EF6FBE"/>
    <w:pPr>
      <w:spacing w:after="160" w:line="240" w:lineRule="exact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A7266B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D26F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Pripombasklic">
    <w:name w:val="annotation reference"/>
    <w:uiPriority w:val="99"/>
    <w:rsid w:val="004D2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D26F4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4D26F4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D26F4"/>
    <w:rPr>
      <w:b/>
      <w:bCs/>
    </w:rPr>
  </w:style>
  <w:style w:type="character" w:customStyle="1" w:styleId="ZadevapripombeZnak">
    <w:name w:val="Zadeva pripombe Znak"/>
    <w:link w:val="Zadevapripombe"/>
    <w:rsid w:val="004D26F4"/>
    <w:rPr>
      <w:rFonts w:ascii="Arial" w:hAnsi="Arial"/>
      <w:b/>
      <w:bCs/>
      <w:lang w:val="en-US" w:eastAsia="en-US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nhideWhenUsed/>
    <w:rsid w:val="0062648E"/>
    <w:pPr>
      <w:spacing w:line="240" w:lineRule="auto"/>
      <w:ind w:left="720" w:hanging="720"/>
      <w:jc w:val="both"/>
    </w:pPr>
    <w:rPr>
      <w:rFonts w:ascii="Times New Roman" w:eastAsia="Calibri" w:hAnsi="Times New Roman"/>
      <w:szCs w:val="20"/>
      <w:lang w:val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rsid w:val="0062648E"/>
    <w:rPr>
      <w:rFonts w:eastAsia="Calibri"/>
      <w:lang w:eastAsia="en-US"/>
    </w:rPr>
  </w:style>
  <w:style w:type="character" w:styleId="Sprotnaopomba-sklic">
    <w:name w:val="footnote reference"/>
    <w:uiPriority w:val="99"/>
    <w:unhideWhenUsed/>
    <w:rsid w:val="0062648E"/>
    <w:rPr>
      <w:shd w:val="clear" w:color="auto" w:fill="auto"/>
      <w:vertAlign w:val="superscript"/>
    </w:rPr>
  </w:style>
  <w:style w:type="paragraph" w:customStyle="1" w:styleId="Point0number">
    <w:name w:val="Point 0 (number)"/>
    <w:basedOn w:val="Navaden"/>
    <w:rsid w:val="0062648E"/>
    <w:pPr>
      <w:numPr>
        <w:numId w:val="11"/>
      </w:numPr>
      <w:tabs>
        <w:tab w:val="clear" w:pos="850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1number">
    <w:name w:val="Point 1 (number)"/>
    <w:basedOn w:val="Navaden"/>
    <w:rsid w:val="0062648E"/>
    <w:pPr>
      <w:numPr>
        <w:ilvl w:val="2"/>
        <w:numId w:val="11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2number">
    <w:name w:val="Point 2 (number)"/>
    <w:basedOn w:val="Navaden"/>
    <w:rsid w:val="0062648E"/>
    <w:pPr>
      <w:numPr>
        <w:ilvl w:val="4"/>
        <w:numId w:val="11"/>
      </w:numPr>
      <w:tabs>
        <w:tab w:val="clear" w:pos="1984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3number">
    <w:name w:val="Point 3 (number)"/>
    <w:basedOn w:val="Navaden"/>
    <w:rsid w:val="0062648E"/>
    <w:pPr>
      <w:numPr>
        <w:ilvl w:val="6"/>
        <w:numId w:val="11"/>
      </w:numPr>
      <w:tabs>
        <w:tab w:val="clear" w:pos="2551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0letter">
    <w:name w:val="Point 0 (letter)"/>
    <w:basedOn w:val="Navaden"/>
    <w:rsid w:val="0062648E"/>
    <w:pPr>
      <w:numPr>
        <w:ilvl w:val="1"/>
        <w:numId w:val="11"/>
      </w:numPr>
      <w:tabs>
        <w:tab w:val="clear" w:pos="850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1letter">
    <w:name w:val="Point 1 (letter)"/>
    <w:basedOn w:val="Navaden"/>
    <w:rsid w:val="0062648E"/>
    <w:pPr>
      <w:numPr>
        <w:ilvl w:val="3"/>
        <w:numId w:val="11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2letter">
    <w:name w:val="Point 2 (letter)"/>
    <w:basedOn w:val="Navaden"/>
    <w:rsid w:val="0062648E"/>
    <w:pPr>
      <w:numPr>
        <w:ilvl w:val="5"/>
        <w:numId w:val="11"/>
      </w:numPr>
      <w:tabs>
        <w:tab w:val="clear" w:pos="1984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3letter">
    <w:name w:val="Point 3 (letter)"/>
    <w:basedOn w:val="Navaden"/>
    <w:rsid w:val="0062648E"/>
    <w:pPr>
      <w:numPr>
        <w:ilvl w:val="7"/>
        <w:numId w:val="11"/>
      </w:numPr>
      <w:tabs>
        <w:tab w:val="clear" w:pos="2551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customStyle="1" w:styleId="Point4letter">
    <w:name w:val="Point 4 (letter)"/>
    <w:basedOn w:val="Navaden"/>
    <w:rsid w:val="0062648E"/>
    <w:pPr>
      <w:numPr>
        <w:ilvl w:val="8"/>
        <w:numId w:val="11"/>
      </w:numPr>
      <w:tabs>
        <w:tab w:val="clear" w:pos="3118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styleId="Otevilenseznam">
    <w:name w:val="List Number"/>
    <w:basedOn w:val="Navaden"/>
    <w:uiPriority w:val="99"/>
    <w:unhideWhenUsed/>
    <w:rsid w:val="0062648E"/>
    <w:pPr>
      <w:numPr>
        <w:numId w:val="13"/>
      </w:numPr>
      <w:tabs>
        <w:tab w:val="clear" w:pos="360"/>
        <w:tab w:val="num" w:pos="720"/>
      </w:tabs>
      <w:spacing w:before="120" w:after="12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val="sl-SI"/>
    </w:rPr>
  </w:style>
  <w:style w:type="paragraph" w:styleId="Revizija">
    <w:name w:val="Revision"/>
    <w:hidden/>
    <w:uiPriority w:val="99"/>
    <w:semiHidden/>
    <w:rsid w:val="00825A2A"/>
    <w:rPr>
      <w:rFonts w:ascii="Arial" w:hAnsi="Arial"/>
      <w:szCs w:val="24"/>
      <w:lang w:val="en-US" w:eastAsia="en-US"/>
    </w:rPr>
  </w:style>
  <w:style w:type="paragraph" w:styleId="Konnaopomba-besedilo">
    <w:name w:val="endnote text"/>
    <w:basedOn w:val="Navaden"/>
    <w:link w:val="Konnaopomba-besediloZnak"/>
    <w:rsid w:val="00011CB7"/>
    <w:rPr>
      <w:szCs w:val="20"/>
    </w:rPr>
  </w:style>
  <w:style w:type="character" w:customStyle="1" w:styleId="Konnaopomba-besediloZnak">
    <w:name w:val="Končna opomba - besedilo Znak"/>
    <w:link w:val="Konnaopomba-besedilo"/>
    <w:rsid w:val="00011CB7"/>
    <w:rPr>
      <w:rFonts w:ascii="Arial" w:hAnsi="Arial"/>
      <w:lang w:val="en-US" w:eastAsia="en-US"/>
    </w:rPr>
  </w:style>
  <w:style w:type="character" w:styleId="Konnaopomba-sklic">
    <w:name w:val="endnote reference"/>
    <w:rsid w:val="00011CB7"/>
    <w:rPr>
      <w:vertAlign w:val="superscript"/>
    </w:rPr>
  </w:style>
  <w:style w:type="character" w:customStyle="1" w:styleId="Naslov3Znak">
    <w:name w:val="Naslov 3 Znak"/>
    <w:basedOn w:val="Privzetapisavaodstavka"/>
    <w:link w:val="Naslov3"/>
    <w:semiHidden/>
    <w:rsid w:val="004007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Golobesedilo">
    <w:name w:val="Plain Text"/>
    <w:basedOn w:val="Navaden"/>
    <w:link w:val="GolobesediloZnak"/>
    <w:rsid w:val="00FC73B1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C73B1"/>
    <w:rPr>
      <w:rFonts w:ascii="Courier New" w:hAnsi="Courier New"/>
      <w:lang w:val="x-none" w:eastAsia="x-none"/>
    </w:rPr>
  </w:style>
  <w:style w:type="paragraph" w:customStyle="1" w:styleId="Telobesedila21">
    <w:name w:val="Telo besedila 21"/>
    <w:basedOn w:val="Navaden"/>
    <w:rsid w:val="00FC73B1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customStyle="1" w:styleId="Telobesedila23">
    <w:name w:val="Telo besedila 23"/>
    <w:basedOn w:val="Navaden"/>
    <w:rsid w:val="00FC73B1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Brezrazmikov">
    <w:name w:val="No Spacing"/>
    <w:link w:val="BrezrazmikovZnak"/>
    <w:uiPriority w:val="1"/>
    <w:qFormat/>
    <w:rsid w:val="003F1F7B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3F1F7B"/>
    <w:rPr>
      <w:rFonts w:ascii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3F1F7B"/>
    <w:rPr>
      <w:sz w:val="24"/>
      <w:szCs w:val="24"/>
      <w:lang w:val="en-US" w:eastAsia="en-US"/>
    </w:rPr>
  </w:style>
  <w:style w:type="paragraph" w:styleId="Oznaenseznam">
    <w:name w:val="List Bullet"/>
    <w:basedOn w:val="Navaden"/>
    <w:rsid w:val="003F1F7B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6D672BB670F46907B1CF952D79B27" ma:contentTypeVersion="2" ma:contentTypeDescription="Ustvari nov dokument." ma:contentTypeScope="" ma:versionID="b09c4ee97118f2e73ba3da7da03e60d8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B05D4-D7D7-451E-BD68-3753341C1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D808F-8CDF-49EF-B934-3CB5D0555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AAA3B-630A-4EEF-8277-6D910CFC8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1FDB1-17D1-403D-BA20-9B018D1B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1976</Words>
  <Characters>11499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13449</CharactersWithSpaces>
  <SharedDoc>false</SharedDoc>
  <HLinks>
    <vt:vector size="30" baseType="variant">
      <vt:variant>
        <vt:i4>6094932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https://eur-lex.europa.eu/legal-content/SL/TXT/PDF/?uri=CELEX:32021R2116&amp;from=SL</vt:lpwstr>
      </vt:variant>
      <vt:variant>
        <vt:lpwstr/>
      </vt:variant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https://eur-lex.europa.eu/legal-content/SL/TXT/?uri=CELEX%3A32021R1060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https://eur-lex.europa.eu/legal-content/SL/TXT/PDF/?uri=CELEX:32013R1308&amp;from=ES</vt:lpwstr>
      </vt:variant>
      <vt:variant>
        <vt:lpwstr/>
      </vt:variant>
      <vt:variant>
        <vt:i4>1507411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https://eur-lex.europa.eu/legal-content/SL/TXT/?uri=CELEX:32023R0370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https://eur-lex.europa.eu/legal-content/SL/TXT/PDF/?uri=CELEX:32021R2115&amp;from=SL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Matej Štepec</cp:lastModifiedBy>
  <cp:revision>3</cp:revision>
  <cp:lastPrinted>2023-12-21T12:32:00Z</cp:lastPrinted>
  <dcterms:created xsi:type="dcterms:W3CDTF">2024-05-03T04:30:00Z</dcterms:created>
  <dcterms:modified xsi:type="dcterms:W3CDTF">2024-05-03T07:33:00Z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6c7e9dc02a712185b0c31d6428895831bf4e566872b4f13ea74488383ad5d966</vt:lpwstr>
  </property>
  <property fmtid="{D5CDD505-2E9C-101B-9397-08002B2CF9AE}" pid="3" name="ContentTypeId">
    <vt:lpwstr>0x010100A186D672BB670F46907B1CF952D79B27</vt:lpwstr>
  </property>
</Properties>
</file>