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A7B6E" w14:textId="3321DDBA" w:rsidR="00E70D1B" w:rsidRPr="007A09BF" w:rsidRDefault="00E70D1B" w:rsidP="00E70D1B">
      <w:pPr>
        <w:pStyle w:val="Glava"/>
        <w:tabs>
          <w:tab w:val="left" w:pos="5112"/>
        </w:tabs>
        <w:spacing w:line="240" w:lineRule="exact"/>
        <w:rPr>
          <w:rFonts w:cs="Arial"/>
          <w:sz w:val="16"/>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236"/>
      </w:tblGrid>
      <w:tr w:rsidR="00E70D1B" w:rsidRPr="007A09BF" w14:paraId="631B1B83" w14:textId="77777777" w:rsidTr="000134DE">
        <w:trPr>
          <w:cantSplit/>
          <w:trHeight w:hRule="exact" w:val="847"/>
        </w:trPr>
        <w:tc>
          <w:tcPr>
            <w:tcW w:w="236" w:type="dxa"/>
          </w:tcPr>
          <w:p w14:paraId="7F2E276A" w14:textId="77777777" w:rsidR="00E70D1B" w:rsidRPr="007A09BF" w:rsidRDefault="00E70D1B" w:rsidP="000134DE">
            <w:pPr>
              <w:ind w:right="-311"/>
              <w:rPr>
                <w:rFonts w:ascii="Republika" w:hAnsi="Republika"/>
                <w:sz w:val="60"/>
                <w:szCs w:val="60"/>
                <w:lang w:val="sl-SI"/>
              </w:rPr>
            </w:pPr>
          </w:p>
          <w:p w14:paraId="28AB0279" w14:textId="77777777" w:rsidR="00E70D1B" w:rsidRPr="007A09BF" w:rsidRDefault="00E70D1B" w:rsidP="000134DE">
            <w:pPr>
              <w:ind w:right="-311"/>
              <w:rPr>
                <w:rFonts w:ascii="Republika" w:hAnsi="Republika"/>
                <w:sz w:val="60"/>
                <w:szCs w:val="60"/>
                <w:lang w:val="sl-SI"/>
              </w:rPr>
            </w:pPr>
          </w:p>
          <w:p w14:paraId="438AA443" w14:textId="77777777" w:rsidR="00E70D1B" w:rsidRPr="007A09BF" w:rsidRDefault="00E70D1B" w:rsidP="000134DE">
            <w:pPr>
              <w:ind w:right="-311"/>
              <w:rPr>
                <w:rFonts w:ascii="Republika" w:hAnsi="Republika"/>
                <w:sz w:val="60"/>
                <w:szCs w:val="60"/>
                <w:lang w:val="sl-SI"/>
              </w:rPr>
            </w:pPr>
          </w:p>
          <w:p w14:paraId="38CC830B" w14:textId="77777777" w:rsidR="00E70D1B" w:rsidRPr="007A09BF" w:rsidRDefault="00E70D1B" w:rsidP="000134DE">
            <w:pPr>
              <w:ind w:right="-311"/>
              <w:rPr>
                <w:rFonts w:ascii="Republika" w:hAnsi="Republika"/>
                <w:sz w:val="60"/>
                <w:szCs w:val="60"/>
                <w:lang w:val="sl-SI"/>
              </w:rPr>
            </w:pPr>
          </w:p>
          <w:p w14:paraId="18CC1BA2" w14:textId="77777777" w:rsidR="00E70D1B" w:rsidRPr="007A09BF" w:rsidRDefault="00E70D1B" w:rsidP="000134DE">
            <w:pPr>
              <w:ind w:right="-311"/>
              <w:rPr>
                <w:rFonts w:ascii="Republika" w:hAnsi="Republika"/>
                <w:sz w:val="60"/>
                <w:szCs w:val="60"/>
                <w:lang w:val="sl-SI"/>
              </w:rPr>
            </w:pPr>
          </w:p>
          <w:p w14:paraId="694CD923" w14:textId="77777777" w:rsidR="00E70D1B" w:rsidRPr="007A09BF" w:rsidRDefault="00E70D1B" w:rsidP="000134DE">
            <w:pPr>
              <w:ind w:right="-311"/>
              <w:rPr>
                <w:rFonts w:ascii="Republika" w:hAnsi="Republika"/>
                <w:sz w:val="60"/>
                <w:szCs w:val="60"/>
                <w:lang w:val="sl-SI"/>
              </w:rPr>
            </w:pPr>
          </w:p>
          <w:p w14:paraId="4432F1E6" w14:textId="77777777" w:rsidR="00E70D1B" w:rsidRPr="007A09BF" w:rsidRDefault="00E70D1B" w:rsidP="000134DE">
            <w:pPr>
              <w:ind w:right="-311"/>
              <w:rPr>
                <w:rFonts w:ascii="Republika" w:hAnsi="Republika"/>
                <w:sz w:val="60"/>
                <w:szCs w:val="60"/>
                <w:lang w:val="sl-SI"/>
              </w:rPr>
            </w:pPr>
          </w:p>
          <w:p w14:paraId="7176EAC1" w14:textId="77777777" w:rsidR="00E70D1B" w:rsidRPr="007A09BF" w:rsidRDefault="00E70D1B" w:rsidP="000134DE">
            <w:pPr>
              <w:ind w:right="-311"/>
              <w:rPr>
                <w:rFonts w:ascii="Republika" w:hAnsi="Republika"/>
                <w:sz w:val="60"/>
                <w:szCs w:val="60"/>
                <w:lang w:val="sl-SI"/>
              </w:rPr>
            </w:pPr>
          </w:p>
          <w:p w14:paraId="7A18E505" w14:textId="77777777" w:rsidR="00E70D1B" w:rsidRPr="007A09BF" w:rsidRDefault="00E70D1B" w:rsidP="000134DE">
            <w:pPr>
              <w:ind w:right="-311"/>
              <w:rPr>
                <w:rFonts w:ascii="Republika" w:hAnsi="Republika"/>
                <w:sz w:val="60"/>
                <w:szCs w:val="60"/>
                <w:lang w:val="sl-SI"/>
              </w:rPr>
            </w:pPr>
          </w:p>
          <w:p w14:paraId="2816FB36" w14:textId="77777777" w:rsidR="00E70D1B" w:rsidRPr="007A09BF" w:rsidRDefault="00E70D1B" w:rsidP="000134DE">
            <w:pPr>
              <w:ind w:right="-311"/>
              <w:rPr>
                <w:rFonts w:ascii="Republika" w:hAnsi="Republika"/>
                <w:sz w:val="60"/>
                <w:szCs w:val="60"/>
                <w:lang w:val="sl-SI"/>
              </w:rPr>
            </w:pPr>
          </w:p>
          <w:p w14:paraId="14B00CFA" w14:textId="77777777" w:rsidR="00E70D1B" w:rsidRPr="007A09BF" w:rsidRDefault="00E70D1B" w:rsidP="000134DE">
            <w:pPr>
              <w:ind w:right="-311"/>
              <w:rPr>
                <w:rFonts w:ascii="Republika" w:hAnsi="Republika"/>
                <w:sz w:val="60"/>
                <w:szCs w:val="60"/>
                <w:lang w:val="sl-SI"/>
              </w:rPr>
            </w:pPr>
          </w:p>
          <w:p w14:paraId="40EE9BCD" w14:textId="77777777" w:rsidR="00E70D1B" w:rsidRPr="007A09BF" w:rsidRDefault="00E70D1B" w:rsidP="000134DE">
            <w:pPr>
              <w:ind w:right="-311"/>
              <w:rPr>
                <w:rFonts w:ascii="Republika" w:hAnsi="Republika"/>
                <w:sz w:val="60"/>
                <w:szCs w:val="60"/>
                <w:lang w:val="sl-SI"/>
              </w:rPr>
            </w:pPr>
          </w:p>
          <w:p w14:paraId="1CDBDE2B" w14:textId="77777777" w:rsidR="00E70D1B" w:rsidRPr="007A09BF" w:rsidRDefault="00E70D1B" w:rsidP="000134DE">
            <w:pPr>
              <w:ind w:right="-311"/>
              <w:rPr>
                <w:rFonts w:ascii="Republika" w:hAnsi="Republika"/>
                <w:sz w:val="60"/>
                <w:szCs w:val="60"/>
                <w:lang w:val="sl-SI"/>
              </w:rPr>
            </w:pPr>
          </w:p>
          <w:p w14:paraId="39E6D12B" w14:textId="77777777" w:rsidR="00E70D1B" w:rsidRPr="007A09BF" w:rsidRDefault="00E70D1B" w:rsidP="000134DE">
            <w:pPr>
              <w:ind w:right="-311"/>
              <w:rPr>
                <w:rFonts w:ascii="Republika" w:hAnsi="Republika"/>
                <w:sz w:val="60"/>
                <w:szCs w:val="60"/>
                <w:lang w:val="sl-SI"/>
              </w:rPr>
            </w:pPr>
          </w:p>
          <w:p w14:paraId="66F32547" w14:textId="77777777" w:rsidR="00E70D1B" w:rsidRPr="007A09BF" w:rsidRDefault="00E70D1B" w:rsidP="000134DE">
            <w:pPr>
              <w:ind w:right="-311"/>
              <w:rPr>
                <w:rFonts w:ascii="Republika" w:hAnsi="Republika"/>
                <w:sz w:val="60"/>
                <w:szCs w:val="60"/>
                <w:lang w:val="sl-SI"/>
              </w:rPr>
            </w:pPr>
          </w:p>
          <w:p w14:paraId="18E9F9A6" w14:textId="77777777" w:rsidR="00E70D1B" w:rsidRPr="007A09BF" w:rsidRDefault="00E70D1B" w:rsidP="000134DE">
            <w:pPr>
              <w:ind w:right="-311"/>
              <w:rPr>
                <w:rFonts w:ascii="Republika" w:hAnsi="Republika"/>
                <w:sz w:val="60"/>
                <w:szCs w:val="60"/>
                <w:lang w:val="sl-SI"/>
              </w:rPr>
            </w:pPr>
          </w:p>
        </w:tc>
      </w:tr>
    </w:tbl>
    <w:p w14:paraId="21FB5200" w14:textId="75C5B17A" w:rsidR="00E70D1B" w:rsidRDefault="00E70D1B" w:rsidP="000D5CBE">
      <w:pPr>
        <w:jc w:val="both"/>
        <w:rPr>
          <w:rFonts w:cs="Arial"/>
          <w:i/>
          <w:iCs/>
          <w:szCs w:val="20"/>
          <w:lang w:val="sl-SI"/>
        </w:rPr>
      </w:pPr>
      <w:r w:rsidRPr="007A09BF">
        <w:rPr>
          <w:rFonts w:cs="Arial"/>
          <w:szCs w:val="20"/>
          <w:lang w:val="sl-SI"/>
        </w:rPr>
        <w:t>Ministrstvo za kmetijstvo, gozdarstvo in prehrano Republike Slovenije, Dunajska 22, 1000 Ljubljana (v na</w:t>
      </w:r>
      <w:r w:rsidR="003A356B">
        <w:rPr>
          <w:rFonts w:cs="Arial"/>
          <w:szCs w:val="20"/>
          <w:lang w:val="sl-SI"/>
        </w:rPr>
        <w:t>daljnjem besedilu: ministrstvo)</w:t>
      </w:r>
      <w:r w:rsidRPr="007A09BF">
        <w:rPr>
          <w:rFonts w:cs="Arial"/>
          <w:szCs w:val="20"/>
          <w:lang w:val="sl-SI"/>
        </w:rPr>
        <w:t xml:space="preserve"> na podlagi </w:t>
      </w:r>
      <w:r w:rsidR="00CB76BE" w:rsidRPr="00CB76BE">
        <w:rPr>
          <w:rFonts w:cs="Arial"/>
          <w:szCs w:val="20"/>
          <w:lang w:val="sl-SI"/>
        </w:rPr>
        <w:t>5. člena Uredbe o skupnih določbah za izvajanje intervencij razvoja podeželja, ki niso vezane na površino ali živali, iz strateškega načrta skupne kmetijske politike 2023–2027 (Uradni list RS, št. 77/23</w:t>
      </w:r>
      <w:r w:rsidR="00F20120">
        <w:rPr>
          <w:rFonts w:cs="Arial"/>
          <w:szCs w:val="20"/>
          <w:lang w:val="sl-SI"/>
        </w:rPr>
        <w:t>,</w:t>
      </w:r>
      <w:r w:rsidR="002639FF">
        <w:rPr>
          <w:rFonts w:cs="Arial"/>
          <w:szCs w:val="20"/>
          <w:lang w:val="sl-SI"/>
        </w:rPr>
        <w:t xml:space="preserve"> </w:t>
      </w:r>
      <w:r w:rsidR="00565D42">
        <w:rPr>
          <w:rFonts w:cs="Arial"/>
          <w:szCs w:val="20"/>
          <w:lang w:val="sl-SI"/>
        </w:rPr>
        <w:t>19/24</w:t>
      </w:r>
      <w:r w:rsidR="00F20120">
        <w:rPr>
          <w:rFonts w:cs="Arial"/>
          <w:szCs w:val="20"/>
          <w:lang w:val="sl-SI"/>
        </w:rPr>
        <w:t xml:space="preserve"> in 52/24</w:t>
      </w:r>
      <w:r w:rsidR="00CB76BE" w:rsidRPr="00CB76BE">
        <w:rPr>
          <w:rFonts w:cs="Arial"/>
          <w:szCs w:val="20"/>
          <w:lang w:val="sl-SI"/>
        </w:rPr>
        <w:t>; v nadaljnjem besedilu: uredba o skupnih določbah za izvajanje intervencij)</w:t>
      </w:r>
      <w:r w:rsidR="00741C38">
        <w:rPr>
          <w:rFonts w:cs="Arial"/>
          <w:szCs w:val="20"/>
          <w:lang w:val="sl-SI"/>
        </w:rPr>
        <w:t xml:space="preserve"> in</w:t>
      </w:r>
      <w:r w:rsidR="00CB76BE">
        <w:rPr>
          <w:rFonts w:cs="Arial"/>
          <w:szCs w:val="20"/>
          <w:lang w:val="sl-SI"/>
        </w:rPr>
        <w:t xml:space="preserve"> </w:t>
      </w:r>
      <w:r w:rsidR="007C205C">
        <w:rPr>
          <w:rFonts w:cs="Arial"/>
          <w:szCs w:val="20"/>
          <w:lang w:val="sl-SI"/>
        </w:rPr>
        <w:t>prvega</w:t>
      </w:r>
      <w:r w:rsidR="00E91322">
        <w:rPr>
          <w:rFonts w:cs="Arial"/>
          <w:szCs w:val="20"/>
          <w:lang w:val="sl-SI"/>
        </w:rPr>
        <w:t xml:space="preserve"> odstavk</w:t>
      </w:r>
      <w:r w:rsidR="007C205C">
        <w:rPr>
          <w:rFonts w:cs="Arial"/>
          <w:szCs w:val="20"/>
          <w:lang w:val="sl-SI"/>
        </w:rPr>
        <w:t>a</w:t>
      </w:r>
      <w:r w:rsidR="00E91322">
        <w:rPr>
          <w:rFonts w:cs="Arial"/>
          <w:szCs w:val="20"/>
          <w:lang w:val="sl-SI"/>
        </w:rPr>
        <w:t xml:space="preserve"> </w:t>
      </w:r>
      <w:r w:rsidR="00CB76BE">
        <w:rPr>
          <w:rFonts w:cs="Arial"/>
          <w:szCs w:val="20"/>
          <w:lang w:val="sl-SI"/>
        </w:rPr>
        <w:t>38</w:t>
      </w:r>
      <w:r w:rsidR="000879F6">
        <w:rPr>
          <w:rFonts w:cs="Arial"/>
          <w:szCs w:val="20"/>
          <w:lang w:val="sl-SI"/>
        </w:rPr>
        <w:t xml:space="preserve">. člena </w:t>
      </w:r>
      <w:r w:rsidR="005913DF">
        <w:rPr>
          <w:rFonts w:cs="Arial"/>
          <w:szCs w:val="20"/>
          <w:lang w:val="sl-SI"/>
        </w:rPr>
        <w:t>Uredbe</w:t>
      </w:r>
      <w:r w:rsidR="000879F6" w:rsidRPr="000879F6">
        <w:rPr>
          <w:rFonts w:cs="Arial"/>
          <w:szCs w:val="20"/>
          <w:lang w:val="sl-SI"/>
        </w:rPr>
        <w:t xml:space="preserve"> o izvajanju gozdarskih intervencij iz strateškega načrta Republike Slovenije za obdobje 2023–2027</w:t>
      </w:r>
      <w:r w:rsidR="000879F6">
        <w:rPr>
          <w:rFonts w:cs="Arial"/>
          <w:szCs w:val="20"/>
          <w:lang w:val="sl-SI"/>
        </w:rPr>
        <w:t xml:space="preserve"> (Uradni list RS, št.</w:t>
      </w:r>
      <w:r w:rsidR="00C7738F">
        <w:rPr>
          <w:rFonts w:cs="Arial"/>
          <w:szCs w:val="20"/>
          <w:lang w:val="sl-SI"/>
        </w:rPr>
        <w:t xml:space="preserve"> 22/24</w:t>
      </w:r>
      <w:r w:rsidR="00B133A4">
        <w:rPr>
          <w:rFonts w:cs="Arial"/>
          <w:szCs w:val="20"/>
          <w:lang w:val="sl-SI"/>
        </w:rPr>
        <w:t>; v nadaljnjem besedilu: u</w:t>
      </w:r>
      <w:r w:rsidR="00F1478D" w:rsidRPr="00F1478D">
        <w:rPr>
          <w:rFonts w:cs="Arial"/>
          <w:szCs w:val="20"/>
          <w:lang w:val="sl-SI"/>
        </w:rPr>
        <w:t>redba</w:t>
      </w:r>
      <w:r w:rsidR="00F1478D">
        <w:rPr>
          <w:rFonts w:cs="Arial"/>
          <w:szCs w:val="20"/>
          <w:lang w:val="sl-SI"/>
        </w:rPr>
        <w:t>)</w:t>
      </w:r>
      <w:r w:rsidR="00CB76BE">
        <w:rPr>
          <w:rFonts w:cs="Arial"/>
          <w:szCs w:val="20"/>
          <w:lang w:val="sl-SI"/>
        </w:rPr>
        <w:t xml:space="preserve"> objavlja </w:t>
      </w:r>
    </w:p>
    <w:p w14:paraId="4552851C" w14:textId="77777777" w:rsidR="00DC565E" w:rsidRPr="00697AA9" w:rsidRDefault="00DC565E" w:rsidP="000D5CBE">
      <w:pPr>
        <w:jc w:val="both"/>
        <w:rPr>
          <w:rFonts w:cs="Arial"/>
          <w:i/>
          <w:iCs/>
          <w:szCs w:val="20"/>
          <w:lang w:val="sl-SI"/>
        </w:rPr>
      </w:pPr>
    </w:p>
    <w:p w14:paraId="39EEFA33" w14:textId="7F85DD5A" w:rsidR="00E70D1B" w:rsidRDefault="00EE15F5" w:rsidP="00DC565E">
      <w:pPr>
        <w:jc w:val="center"/>
        <w:rPr>
          <w:rFonts w:cs="Arial"/>
          <w:b/>
          <w:bCs/>
          <w:szCs w:val="20"/>
          <w:lang w:val="sl-SI"/>
        </w:rPr>
      </w:pPr>
      <w:r w:rsidRPr="00DC565E">
        <w:rPr>
          <w:rFonts w:cs="Arial"/>
          <w:b/>
          <w:bCs/>
          <w:szCs w:val="20"/>
          <w:lang w:val="sl-SI"/>
        </w:rPr>
        <w:t>Javni razpis za intervencijo</w:t>
      </w:r>
      <w:r w:rsidR="000879F6">
        <w:rPr>
          <w:rFonts w:cs="Arial"/>
          <w:b/>
          <w:bCs/>
          <w:szCs w:val="20"/>
          <w:lang w:val="sl-SI"/>
        </w:rPr>
        <w:t xml:space="preserve"> </w:t>
      </w:r>
      <w:r w:rsidR="00024357" w:rsidRPr="00024357">
        <w:rPr>
          <w:rFonts w:cs="Arial"/>
          <w:b/>
          <w:bCs/>
          <w:szCs w:val="20"/>
          <w:lang w:val="sl-SI"/>
        </w:rPr>
        <w:t xml:space="preserve">naložbe v ustanovitev in </w:t>
      </w:r>
      <w:r w:rsidR="003A356B">
        <w:rPr>
          <w:rFonts w:cs="Arial"/>
          <w:b/>
          <w:bCs/>
          <w:szCs w:val="20"/>
          <w:lang w:val="sl-SI"/>
        </w:rPr>
        <w:t xml:space="preserve">razvoj gozdnega drevesničarstva </w:t>
      </w:r>
      <w:r w:rsidR="00024357">
        <w:rPr>
          <w:rFonts w:cs="Arial"/>
          <w:b/>
          <w:bCs/>
          <w:szCs w:val="20"/>
          <w:lang w:val="sl-SI"/>
        </w:rPr>
        <w:t>(IRP09</w:t>
      </w:r>
      <w:r w:rsidR="000879F6">
        <w:rPr>
          <w:rFonts w:cs="Arial"/>
          <w:b/>
          <w:bCs/>
          <w:szCs w:val="20"/>
          <w:lang w:val="sl-SI"/>
        </w:rPr>
        <w:t>)</w:t>
      </w:r>
      <w:r w:rsidR="000879F6" w:rsidRPr="000879F6">
        <w:rPr>
          <w:rFonts w:cs="Arial"/>
          <w:b/>
          <w:bCs/>
          <w:szCs w:val="20"/>
          <w:lang w:val="sl-SI"/>
        </w:rPr>
        <w:t xml:space="preserve"> za leto 20</w:t>
      </w:r>
      <w:r w:rsidR="000879F6">
        <w:rPr>
          <w:rFonts w:cs="Arial"/>
          <w:b/>
          <w:bCs/>
          <w:szCs w:val="20"/>
          <w:lang w:val="sl-SI"/>
        </w:rPr>
        <w:t>24</w:t>
      </w:r>
    </w:p>
    <w:p w14:paraId="1BEAFD2E" w14:textId="342F8107" w:rsidR="00F1478D" w:rsidRDefault="00F1478D" w:rsidP="00F1478D">
      <w:pPr>
        <w:rPr>
          <w:rFonts w:cs="Arial"/>
          <w:b/>
          <w:bCs/>
          <w:szCs w:val="20"/>
          <w:lang w:val="sl-SI"/>
        </w:rPr>
      </w:pPr>
    </w:p>
    <w:p w14:paraId="1D75C542" w14:textId="77777777" w:rsidR="00F1478D" w:rsidRDefault="00F1478D" w:rsidP="00F1478D">
      <w:pPr>
        <w:rPr>
          <w:rFonts w:cs="Arial"/>
          <w:b/>
          <w:bCs/>
          <w:szCs w:val="20"/>
          <w:lang w:val="sl-SI"/>
        </w:rPr>
      </w:pPr>
    </w:p>
    <w:p w14:paraId="47CC2B14" w14:textId="77777777" w:rsidR="00F1478D" w:rsidRDefault="00F1478D" w:rsidP="00F1478D">
      <w:pPr>
        <w:pStyle w:val="Odstavekseznama"/>
        <w:numPr>
          <w:ilvl w:val="0"/>
          <w:numId w:val="6"/>
        </w:numPr>
        <w:ind w:left="142" w:hanging="207"/>
        <w:rPr>
          <w:rFonts w:cs="Arial"/>
          <w:b/>
          <w:bCs/>
          <w:szCs w:val="20"/>
          <w:lang w:val="sl-SI"/>
        </w:rPr>
      </w:pPr>
      <w:r>
        <w:rPr>
          <w:rFonts w:cs="Arial"/>
          <w:b/>
          <w:bCs/>
          <w:szCs w:val="20"/>
          <w:lang w:val="sl-SI"/>
        </w:rPr>
        <w:t xml:space="preserve">  </w:t>
      </w:r>
      <w:r w:rsidRPr="00DC565E">
        <w:rPr>
          <w:rFonts w:cs="Arial"/>
          <w:b/>
          <w:bCs/>
          <w:szCs w:val="20"/>
          <w:lang w:val="sl-SI"/>
        </w:rPr>
        <w:t xml:space="preserve">OSNOVNI PODATKI O JAVNEM RAZPISU </w:t>
      </w:r>
    </w:p>
    <w:tbl>
      <w:tblPr>
        <w:tblpPr w:leftFromText="141" w:rightFromText="141"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2660"/>
        <w:gridCol w:w="5828"/>
      </w:tblGrid>
      <w:tr w:rsidR="00F1478D" w:rsidRPr="007A09BF" w14:paraId="3CFB1DCF" w14:textId="77777777" w:rsidTr="00F1478D">
        <w:trPr>
          <w:trHeight w:val="1125"/>
        </w:trPr>
        <w:tc>
          <w:tcPr>
            <w:tcW w:w="2660" w:type="dxa"/>
            <w:shd w:val="clear" w:color="auto" w:fill="F2F2F2"/>
            <w:vAlign w:val="center"/>
          </w:tcPr>
          <w:p w14:paraId="15B85126" w14:textId="77777777" w:rsidR="00F1478D" w:rsidRPr="007A09BF" w:rsidRDefault="00F1478D" w:rsidP="00F1478D">
            <w:pPr>
              <w:widowControl w:val="0"/>
              <w:rPr>
                <w:rFonts w:cs="Arial"/>
                <w:b/>
                <w:szCs w:val="20"/>
                <w:lang w:val="sl-SI"/>
              </w:rPr>
            </w:pPr>
            <w:r w:rsidRPr="007A09BF">
              <w:rPr>
                <w:rFonts w:cs="Arial"/>
                <w:b/>
                <w:szCs w:val="20"/>
                <w:lang w:val="sl-SI"/>
              </w:rPr>
              <w:t>Predmet javnega razpisa:</w:t>
            </w:r>
          </w:p>
        </w:tc>
        <w:tc>
          <w:tcPr>
            <w:tcW w:w="5828" w:type="dxa"/>
            <w:shd w:val="clear" w:color="auto" w:fill="F2F2F2"/>
            <w:vAlign w:val="center"/>
          </w:tcPr>
          <w:p w14:paraId="5B0DD6ED" w14:textId="0657B625" w:rsidR="00F1478D" w:rsidRPr="007A09BF" w:rsidRDefault="00F1478D" w:rsidP="003A356B">
            <w:pPr>
              <w:widowControl w:val="0"/>
              <w:autoSpaceDE w:val="0"/>
              <w:autoSpaceDN w:val="0"/>
              <w:adjustRightInd w:val="0"/>
              <w:jc w:val="both"/>
              <w:rPr>
                <w:rFonts w:cs="Arial"/>
                <w:szCs w:val="20"/>
                <w:lang w:val="sl-SI"/>
              </w:rPr>
            </w:pPr>
            <w:r>
              <w:rPr>
                <w:rFonts w:cs="Arial"/>
                <w:szCs w:val="20"/>
                <w:lang w:val="sl-SI"/>
              </w:rPr>
              <w:t>Predmet Javnega</w:t>
            </w:r>
            <w:r w:rsidRPr="000879F6">
              <w:rPr>
                <w:rFonts w:cs="Arial"/>
                <w:szCs w:val="20"/>
                <w:lang w:val="sl-SI"/>
              </w:rPr>
              <w:t xml:space="preserve"> razpis za intervencijo </w:t>
            </w:r>
            <w:r w:rsidR="00024357" w:rsidRPr="00024357">
              <w:rPr>
                <w:rFonts w:cs="Arial"/>
                <w:szCs w:val="20"/>
                <w:lang w:val="sl-SI"/>
              </w:rPr>
              <w:t xml:space="preserve">naložbe v ustanovitev in </w:t>
            </w:r>
            <w:r w:rsidR="003A356B">
              <w:rPr>
                <w:rFonts w:cs="Arial"/>
                <w:szCs w:val="20"/>
                <w:lang w:val="sl-SI"/>
              </w:rPr>
              <w:t xml:space="preserve">razvoj gozdnega drevesničarstva </w:t>
            </w:r>
            <w:r w:rsidRPr="000879F6">
              <w:rPr>
                <w:rFonts w:cs="Arial"/>
                <w:szCs w:val="20"/>
                <w:lang w:val="sl-SI"/>
              </w:rPr>
              <w:t>(IRP0</w:t>
            </w:r>
            <w:r w:rsidR="00024357">
              <w:rPr>
                <w:rFonts w:cs="Arial"/>
                <w:szCs w:val="20"/>
                <w:lang w:val="sl-SI"/>
              </w:rPr>
              <w:t>9</w:t>
            </w:r>
            <w:r w:rsidRPr="000879F6">
              <w:rPr>
                <w:rFonts w:cs="Arial"/>
                <w:szCs w:val="20"/>
                <w:lang w:val="sl-SI"/>
              </w:rPr>
              <w:t>) za leto 2024 (v nadaljnjem besedilu: javni razpis) je podpora za</w:t>
            </w:r>
            <w:r w:rsidR="00024357">
              <w:rPr>
                <w:rFonts w:cs="Arial"/>
                <w:szCs w:val="20"/>
                <w:lang w:val="sl-SI"/>
              </w:rPr>
              <w:t xml:space="preserve"> naložbe v</w:t>
            </w:r>
            <w:r w:rsidRPr="000879F6">
              <w:rPr>
                <w:rFonts w:cs="Arial"/>
                <w:szCs w:val="20"/>
                <w:lang w:val="sl-SI"/>
              </w:rPr>
              <w:t xml:space="preserve"> </w:t>
            </w:r>
            <w:r w:rsidR="00024357" w:rsidRPr="00024357">
              <w:rPr>
                <w:rFonts w:cs="Arial"/>
                <w:szCs w:val="20"/>
                <w:lang w:val="sl-SI"/>
              </w:rPr>
              <w:t>nakup in dobavo nove mehanizacije oziroma opreme za gozdno semenarstvo, kontejnersko v</w:t>
            </w:r>
            <w:r w:rsidR="0092074D">
              <w:rPr>
                <w:rFonts w:cs="Arial"/>
                <w:szCs w:val="20"/>
                <w:lang w:val="sl-SI"/>
              </w:rPr>
              <w:t>zgojo in vzgojo gozdnega drevja</w:t>
            </w:r>
            <w:r w:rsidRPr="000879F6">
              <w:rPr>
                <w:rFonts w:cs="Arial"/>
                <w:bCs/>
                <w:szCs w:val="20"/>
                <w:lang w:val="sl-SI"/>
              </w:rPr>
              <w:t>.</w:t>
            </w:r>
          </w:p>
        </w:tc>
      </w:tr>
      <w:tr w:rsidR="00F1478D" w:rsidRPr="007A09BF" w14:paraId="14B06B2D" w14:textId="77777777" w:rsidTr="00C60E5C">
        <w:trPr>
          <w:cantSplit/>
          <w:trHeight w:val="478"/>
        </w:trPr>
        <w:tc>
          <w:tcPr>
            <w:tcW w:w="2660" w:type="dxa"/>
            <w:vMerge w:val="restart"/>
            <w:shd w:val="clear" w:color="auto" w:fill="F2F2F2"/>
            <w:vAlign w:val="center"/>
          </w:tcPr>
          <w:p w14:paraId="0D48B5DD" w14:textId="77777777" w:rsidR="00F1478D" w:rsidRPr="007A09BF" w:rsidRDefault="00F1478D" w:rsidP="00F1478D">
            <w:pPr>
              <w:widowControl w:val="0"/>
              <w:rPr>
                <w:rFonts w:cs="Arial"/>
                <w:b/>
                <w:szCs w:val="20"/>
                <w:lang w:val="sl-SI"/>
              </w:rPr>
            </w:pPr>
            <w:r w:rsidRPr="007A09BF">
              <w:rPr>
                <w:rFonts w:cs="Arial"/>
                <w:b/>
                <w:szCs w:val="20"/>
                <w:lang w:val="sl-SI"/>
              </w:rPr>
              <w:t>Razpisana sredstva:</w:t>
            </w:r>
          </w:p>
          <w:p w14:paraId="39759ADB" w14:textId="77777777" w:rsidR="00F1478D" w:rsidRPr="007A09BF" w:rsidRDefault="00F1478D" w:rsidP="00F1478D">
            <w:pPr>
              <w:widowControl w:val="0"/>
              <w:rPr>
                <w:rFonts w:cs="Arial"/>
                <w:b/>
                <w:szCs w:val="20"/>
                <w:lang w:val="sl-SI"/>
              </w:rPr>
            </w:pPr>
          </w:p>
        </w:tc>
        <w:tc>
          <w:tcPr>
            <w:tcW w:w="5828" w:type="dxa"/>
            <w:shd w:val="clear" w:color="auto" w:fill="F2F2F2"/>
            <w:vAlign w:val="center"/>
          </w:tcPr>
          <w:p w14:paraId="6FC2868B" w14:textId="654FDB24" w:rsidR="00F1478D" w:rsidRPr="007A09BF" w:rsidRDefault="00F1478D" w:rsidP="00C60E5C">
            <w:pPr>
              <w:pStyle w:val="Telobesedila21"/>
              <w:jc w:val="left"/>
              <w:rPr>
                <w:rFonts w:ascii="Arial" w:hAnsi="Arial" w:cs="Arial"/>
                <w:sz w:val="20"/>
                <w:highlight w:val="yellow"/>
                <w:lang w:val="sl-SI"/>
              </w:rPr>
            </w:pPr>
            <w:r w:rsidRPr="007A09BF">
              <w:rPr>
                <w:rFonts w:ascii="Arial" w:hAnsi="Arial" w:cs="Arial"/>
                <w:sz w:val="20"/>
                <w:lang w:val="sl-SI"/>
              </w:rPr>
              <w:t xml:space="preserve">Višina razpisanih nepovratnih sredstev znaša </w:t>
            </w:r>
            <w:r w:rsidR="00024357">
              <w:rPr>
                <w:rFonts w:ascii="Arial" w:hAnsi="Arial" w:cs="Arial"/>
                <w:sz w:val="20"/>
                <w:lang w:val="sl-SI"/>
              </w:rPr>
              <w:t>6</w:t>
            </w:r>
            <w:r w:rsidR="00CB76BE">
              <w:rPr>
                <w:rFonts w:ascii="Arial" w:hAnsi="Arial" w:cs="Arial"/>
                <w:sz w:val="20"/>
                <w:lang w:val="sl-SI"/>
              </w:rPr>
              <w:t>00.000</w:t>
            </w:r>
            <w:r w:rsidRPr="007A09BF">
              <w:rPr>
                <w:rFonts w:ascii="Arial" w:hAnsi="Arial" w:cs="Arial"/>
                <w:sz w:val="20"/>
                <w:lang w:val="sl-SI"/>
              </w:rPr>
              <w:t xml:space="preserve"> </w:t>
            </w:r>
            <w:r w:rsidR="00CB76BE">
              <w:rPr>
                <w:rFonts w:ascii="Arial" w:hAnsi="Arial" w:cs="Arial"/>
                <w:sz w:val="20"/>
                <w:lang w:val="sl-SI"/>
              </w:rPr>
              <w:t>eurov</w:t>
            </w:r>
            <w:r w:rsidRPr="007A09BF">
              <w:rPr>
                <w:rFonts w:ascii="Arial" w:hAnsi="Arial" w:cs="Arial"/>
                <w:sz w:val="20"/>
                <w:lang w:val="sl-SI"/>
              </w:rPr>
              <w:t>.</w:t>
            </w:r>
          </w:p>
        </w:tc>
      </w:tr>
      <w:tr w:rsidR="00F1478D" w:rsidRPr="007A09BF" w14:paraId="65ACCF7A" w14:textId="77777777" w:rsidTr="00F1478D">
        <w:trPr>
          <w:cantSplit/>
          <w:trHeight w:val="2213"/>
        </w:trPr>
        <w:tc>
          <w:tcPr>
            <w:tcW w:w="2660" w:type="dxa"/>
            <w:vMerge/>
            <w:shd w:val="clear" w:color="auto" w:fill="F2F2F2"/>
            <w:vAlign w:val="center"/>
          </w:tcPr>
          <w:p w14:paraId="4F0C4762" w14:textId="77777777" w:rsidR="00F1478D" w:rsidRPr="007A09BF" w:rsidRDefault="00F1478D" w:rsidP="00F1478D">
            <w:pPr>
              <w:widowControl w:val="0"/>
              <w:rPr>
                <w:rFonts w:cs="Arial"/>
                <w:szCs w:val="20"/>
                <w:lang w:val="sl-SI"/>
              </w:rPr>
            </w:pPr>
          </w:p>
        </w:tc>
        <w:tc>
          <w:tcPr>
            <w:tcW w:w="5828" w:type="dxa"/>
            <w:shd w:val="clear" w:color="auto" w:fill="F2F2F2"/>
            <w:vAlign w:val="center"/>
          </w:tcPr>
          <w:p w14:paraId="251B509F" w14:textId="77777777" w:rsidR="00F1478D" w:rsidRPr="007A09BF" w:rsidRDefault="00F1478D" w:rsidP="00F1478D">
            <w:pPr>
              <w:widowControl w:val="0"/>
              <w:autoSpaceDE w:val="0"/>
              <w:autoSpaceDN w:val="0"/>
              <w:adjustRightInd w:val="0"/>
              <w:jc w:val="both"/>
              <w:rPr>
                <w:rFonts w:cs="Arial"/>
                <w:szCs w:val="20"/>
                <w:lang w:val="sl-SI"/>
              </w:rPr>
            </w:pPr>
            <w:r w:rsidRPr="007A09BF">
              <w:rPr>
                <w:rFonts w:cs="Arial"/>
                <w:szCs w:val="20"/>
                <w:lang w:val="sl-SI"/>
              </w:rPr>
              <w:t>Sredstva se zagotovijo iz proračunskih postavk ministrstva, in sicer:</w:t>
            </w:r>
          </w:p>
          <w:p w14:paraId="23F0AB52" w14:textId="77777777" w:rsidR="00F1478D" w:rsidRPr="007A09BF" w:rsidRDefault="00F1478D" w:rsidP="00F1478D">
            <w:pPr>
              <w:widowControl w:val="0"/>
              <w:autoSpaceDE w:val="0"/>
              <w:autoSpaceDN w:val="0"/>
              <w:adjustRightInd w:val="0"/>
              <w:jc w:val="both"/>
              <w:rPr>
                <w:rFonts w:cs="Arial"/>
                <w:szCs w:val="20"/>
                <w:lang w:val="sl-SI"/>
              </w:rPr>
            </w:pPr>
          </w:p>
          <w:p w14:paraId="62E92E2C" w14:textId="062ECA30" w:rsidR="00F1478D" w:rsidRPr="000879F6" w:rsidRDefault="00024357" w:rsidP="00F1478D">
            <w:pPr>
              <w:widowControl w:val="0"/>
              <w:numPr>
                <w:ilvl w:val="0"/>
                <w:numId w:val="7"/>
              </w:numPr>
              <w:tabs>
                <w:tab w:val="num" w:pos="312"/>
              </w:tabs>
              <w:autoSpaceDE w:val="0"/>
              <w:autoSpaceDN w:val="0"/>
              <w:adjustRightInd w:val="0"/>
              <w:jc w:val="both"/>
              <w:rPr>
                <w:rFonts w:cs="Arial"/>
                <w:szCs w:val="20"/>
                <w:lang w:val="sl-SI"/>
              </w:rPr>
            </w:pPr>
            <w:r>
              <w:rPr>
                <w:rFonts w:cs="Arial"/>
                <w:szCs w:val="20"/>
                <w:lang w:val="sl-SI"/>
              </w:rPr>
              <w:t>203</w:t>
            </w:r>
            <w:r w:rsidR="00CB76BE">
              <w:rPr>
                <w:rFonts w:cs="Arial"/>
                <w:szCs w:val="20"/>
                <w:lang w:val="sl-SI"/>
              </w:rPr>
              <w:t>.</w:t>
            </w:r>
            <w:r>
              <w:rPr>
                <w:rFonts w:cs="Arial"/>
                <w:szCs w:val="20"/>
                <w:lang w:val="sl-SI"/>
              </w:rPr>
              <w:t>4</w:t>
            </w:r>
            <w:r w:rsidR="00CB76BE">
              <w:rPr>
                <w:rFonts w:cs="Arial"/>
                <w:szCs w:val="20"/>
                <w:lang w:val="sl-SI"/>
              </w:rPr>
              <w:t>00</w:t>
            </w:r>
            <w:r w:rsidR="00F1478D" w:rsidRPr="000879F6">
              <w:rPr>
                <w:rFonts w:cs="Arial"/>
                <w:szCs w:val="20"/>
                <w:lang w:val="sl-SI"/>
              </w:rPr>
              <w:t xml:space="preserve"> </w:t>
            </w:r>
            <w:r w:rsidR="00CB76BE">
              <w:rPr>
                <w:rFonts w:cs="Arial"/>
                <w:szCs w:val="20"/>
                <w:lang w:val="sl-SI"/>
              </w:rPr>
              <w:t>eurov</w:t>
            </w:r>
            <w:r w:rsidR="00F1478D" w:rsidRPr="000879F6">
              <w:rPr>
                <w:rFonts w:cs="Arial"/>
                <w:szCs w:val="20"/>
                <w:lang w:val="sl-SI"/>
              </w:rPr>
              <w:t xml:space="preserve"> iz proračunske postavke </w:t>
            </w:r>
            <w:r w:rsidR="00F1478D" w:rsidRPr="00F1478D">
              <w:rPr>
                <w:rFonts w:eastAsia="Calibri" w:cs="Arial"/>
                <w:szCs w:val="20"/>
                <w:lang w:val="sl-SI"/>
              </w:rPr>
              <w:t>221064 Skupni strateški načrt 2023-2027 – EKSRP – EU</w:t>
            </w:r>
            <w:r w:rsidR="00CB76BE">
              <w:rPr>
                <w:rFonts w:eastAsia="Calibri" w:cs="Arial"/>
                <w:szCs w:val="20"/>
                <w:lang w:val="sl-SI"/>
              </w:rPr>
              <w:t xml:space="preserve"> udeležba</w:t>
            </w:r>
          </w:p>
          <w:p w14:paraId="269D2F78" w14:textId="07FB15B7" w:rsidR="00F1478D" w:rsidRPr="000879F6" w:rsidRDefault="00024357" w:rsidP="00F1478D">
            <w:pPr>
              <w:widowControl w:val="0"/>
              <w:numPr>
                <w:ilvl w:val="0"/>
                <w:numId w:val="7"/>
              </w:numPr>
              <w:tabs>
                <w:tab w:val="num" w:pos="312"/>
              </w:tabs>
              <w:autoSpaceDE w:val="0"/>
              <w:autoSpaceDN w:val="0"/>
              <w:adjustRightInd w:val="0"/>
              <w:jc w:val="both"/>
              <w:rPr>
                <w:rFonts w:cs="Arial"/>
                <w:szCs w:val="20"/>
                <w:lang w:val="sl-SI"/>
              </w:rPr>
            </w:pPr>
            <w:r>
              <w:rPr>
                <w:rFonts w:cs="Arial"/>
                <w:szCs w:val="20"/>
                <w:lang w:val="sl-SI"/>
              </w:rPr>
              <w:t>396.6</w:t>
            </w:r>
            <w:r w:rsidR="00CB76BE">
              <w:rPr>
                <w:rFonts w:cs="Arial"/>
                <w:szCs w:val="20"/>
                <w:lang w:val="sl-SI"/>
              </w:rPr>
              <w:t>00 eurov</w:t>
            </w:r>
            <w:r w:rsidR="00F1478D" w:rsidRPr="000879F6">
              <w:rPr>
                <w:rFonts w:cs="Arial"/>
                <w:szCs w:val="20"/>
                <w:lang w:val="sl-SI"/>
              </w:rPr>
              <w:t xml:space="preserve"> iz proračunske postavke </w:t>
            </w:r>
            <w:r w:rsidR="00F1478D" w:rsidRPr="00F1478D">
              <w:rPr>
                <w:rFonts w:eastAsia="Calibri" w:cs="Arial"/>
                <w:szCs w:val="20"/>
                <w:lang w:val="sl-SI"/>
              </w:rPr>
              <w:t>221065 Skupni stratešk</w:t>
            </w:r>
            <w:r w:rsidR="00CB76BE">
              <w:rPr>
                <w:rFonts w:eastAsia="Calibri" w:cs="Arial"/>
                <w:szCs w:val="20"/>
                <w:lang w:val="sl-SI"/>
              </w:rPr>
              <w:t>i načrt 2023-2027 – EKSRP – slovenska udeležba</w:t>
            </w:r>
            <w:r w:rsidR="00F1478D" w:rsidRPr="000879F6">
              <w:rPr>
                <w:rFonts w:cs="Arial"/>
                <w:szCs w:val="20"/>
                <w:lang w:val="sl-SI"/>
              </w:rPr>
              <w:t xml:space="preserve">. </w:t>
            </w:r>
          </w:p>
          <w:p w14:paraId="7732CE21" w14:textId="77777777" w:rsidR="00F1478D" w:rsidRPr="007A09BF" w:rsidRDefault="00F1478D" w:rsidP="00F1478D">
            <w:pPr>
              <w:widowControl w:val="0"/>
              <w:autoSpaceDE w:val="0"/>
              <w:autoSpaceDN w:val="0"/>
              <w:adjustRightInd w:val="0"/>
              <w:jc w:val="both"/>
              <w:rPr>
                <w:rFonts w:cs="Arial"/>
                <w:szCs w:val="20"/>
                <w:lang w:val="sl-SI"/>
              </w:rPr>
            </w:pPr>
          </w:p>
          <w:p w14:paraId="731AC963" w14:textId="77777777" w:rsidR="00F1478D" w:rsidRPr="007A09BF" w:rsidRDefault="00F1478D" w:rsidP="00F1478D">
            <w:pPr>
              <w:widowControl w:val="0"/>
              <w:autoSpaceDE w:val="0"/>
              <w:autoSpaceDN w:val="0"/>
              <w:adjustRightInd w:val="0"/>
              <w:jc w:val="both"/>
              <w:rPr>
                <w:rFonts w:cs="Arial"/>
                <w:szCs w:val="20"/>
                <w:highlight w:val="yellow"/>
                <w:lang w:val="sl-SI"/>
              </w:rPr>
            </w:pPr>
            <w:r w:rsidRPr="007A09BF">
              <w:rPr>
                <w:rFonts w:cs="Arial"/>
                <w:szCs w:val="20"/>
                <w:lang w:val="sl-SI"/>
              </w:rPr>
              <w:t xml:space="preserve">Delež sredstev iz Evropskega kmetijskega sklada za razvoj podeželja znaša </w:t>
            </w:r>
            <w:r>
              <w:rPr>
                <w:rFonts w:cs="Arial"/>
                <w:szCs w:val="20"/>
                <w:lang w:val="sl-SI"/>
              </w:rPr>
              <w:t>33,9 odstotkov</w:t>
            </w:r>
            <w:r w:rsidRPr="007A09BF">
              <w:rPr>
                <w:rFonts w:cs="Arial"/>
                <w:szCs w:val="20"/>
                <w:lang w:val="sl-SI"/>
              </w:rPr>
              <w:t xml:space="preserve">, delež sredstev iz proračuna Republike Slovenije </w:t>
            </w:r>
            <w:r>
              <w:rPr>
                <w:rFonts w:cs="Arial"/>
                <w:szCs w:val="20"/>
                <w:lang w:val="sl-SI"/>
              </w:rPr>
              <w:t>znaša 66,1 odstotkov.</w:t>
            </w:r>
          </w:p>
        </w:tc>
      </w:tr>
      <w:tr w:rsidR="00F1478D" w:rsidRPr="007A09BF" w14:paraId="71FDA5B2" w14:textId="77777777" w:rsidTr="00F1478D">
        <w:trPr>
          <w:trHeight w:val="445"/>
        </w:trPr>
        <w:tc>
          <w:tcPr>
            <w:tcW w:w="2660" w:type="dxa"/>
            <w:shd w:val="clear" w:color="auto" w:fill="F2F2F2"/>
            <w:vAlign w:val="center"/>
          </w:tcPr>
          <w:p w14:paraId="31A0668B" w14:textId="77777777" w:rsidR="00F1478D" w:rsidRPr="007A09BF" w:rsidRDefault="00F1478D" w:rsidP="00F1478D">
            <w:pPr>
              <w:widowControl w:val="0"/>
              <w:autoSpaceDE w:val="0"/>
              <w:autoSpaceDN w:val="0"/>
              <w:adjustRightInd w:val="0"/>
              <w:rPr>
                <w:rFonts w:cs="Arial"/>
                <w:b/>
                <w:szCs w:val="20"/>
                <w:lang w:val="sl-SI"/>
              </w:rPr>
            </w:pPr>
            <w:r w:rsidRPr="007A09BF">
              <w:rPr>
                <w:rFonts w:cs="Arial"/>
                <w:b/>
                <w:szCs w:val="20"/>
                <w:lang w:val="sl-SI"/>
              </w:rPr>
              <w:t>Vrsta javnega razpisa:</w:t>
            </w:r>
          </w:p>
        </w:tc>
        <w:tc>
          <w:tcPr>
            <w:tcW w:w="5828" w:type="dxa"/>
            <w:shd w:val="clear" w:color="auto" w:fill="F2F2F2"/>
            <w:vAlign w:val="center"/>
          </w:tcPr>
          <w:p w14:paraId="718AB98F" w14:textId="77777777" w:rsidR="00F1478D" w:rsidRPr="007A09BF" w:rsidRDefault="00F1478D" w:rsidP="00F1478D">
            <w:pPr>
              <w:pStyle w:val="Telobesedila21"/>
              <w:spacing w:after="0"/>
              <w:rPr>
                <w:rFonts w:ascii="Arial" w:hAnsi="Arial" w:cs="Arial"/>
                <w:sz w:val="20"/>
                <w:lang w:val="sl-SI"/>
              </w:rPr>
            </w:pPr>
            <w:r>
              <w:rPr>
                <w:rFonts w:ascii="Arial" w:hAnsi="Arial" w:cs="Arial"/>
                <w:sz w:val="20"/>
                <w:lang w:val="sl-SI"/>
              </w:rPr>
              <w:t xml:space="preserve">ZAPRTI </w:t>
            </w:r>
          </w:p>
        </w:tc>
      </w:tr>
      <w:tr w:rsidR="00F1478D" w:rsidRPr="007A09BF" w14:paraId="6328D404" w14:textId="77777777" w:rsidTr="00F1478D">
        <w:trPr>
          <w:trHeight w:val="744"/>
        </w:trPr>
        <w:tc>
          <w:tcPr>
            <w:tcW w:w="2660" w:type="dxa"/>
            <w:shd w:val="clear" w:color="auto" w:fill="F2F2F2"/>
            <w:vAlign w:val="center"/>
          </w:tcPr>
          <w:p w14:paraId="2ACA9C85" w14:textId="77777777" w:rsidR="00F1478D" w:rsidRPr="007A09BF" w:rsidRDefault="00F1478D" w:rsidP="00F1478D">
            <w:pPr>
              <w:widowControl w:val="0"/>
              <w:autoSpaceDE w:val="0"/>
              <w:autoSpaceDN w:val="0"/>
              <w:adjustRightInd w:val="0"/>
              <w:rPr>
                <w:rFonts w:cs="Arial"/>
                <w:b/>
                <w:szCs w:val="20"/>
                <w:highlight w:val="green"/>
                <w:lang w:val="sl-SI"/>
              </w:rPr>
            </w:pPr>
            <w:r w:rsidRPr="007A09BF">
              <w:rPr>
                <w:rFonts w:cs="Arial"/>
                <w:b/>
                <w:szCs w:val="20"/>
                <w:lang w:val="sl-SI"/>
              </w:rPr>
              <w:t>Cilji intervencije</w:t>
            </w:r>
            <w:r>
              <w:rPr>
                <w:rFonts w:cs="Arial"/>
                <w:b/>
                <w:szCs w:val="20"/>
                <w:lang w:val="sl-SI"/>
              </w:rPr>
              <w:t>:</w:t>
            </w:r>
          </w:p>
        </w:tc>
        <w:tc>
          <w:tcPr>
            <w:tcW w:w="5828" w:type="dxa"/>
            <w:shd w:val="clear" w:color="auto" w:fill="F2F2F2"/>
            <w:vAlign w:val="center"/>
          </w:tcPr>
          <w:p w14:paraId="39E361B9" w14:textId="1A6A990C" w:rsidR="00F1478D" w:rsidRPr="007A09BF" w:rsidRDefault="00024357" w:rsidP="005913DF">
            <w:pPr>
              <w:widowControl w:val="0"/>
              <w:jc w:val="both"/>
              <w:rPr>
                <w:rFonts w:cs="Arial"/>
                <w:szCs w:val="20"/>
                <w:lang w:val="sl-SI"/>
              </w:rPr>
            </w:pPr>
            <w:r>
              <w:rPr>
                <w:rFonts w:cs="Arial"/>
                <w:szCs w:val="20"/>
                <w:lang w:val="sl-SI"/>
              </w:rPr>
              <w:t xml:space="preserve">Z naložbami zagotoviti ustrezen in kakovosten </w:t>
            </w:r>
            <w:r w:rsidR="005913DF">
              <w:rPr>
                <w:rFonts w:cs="Arial"/>
                <w:szCs w:val="20"/>
                <w:lang w:val="sl-SI"/>
              </w:rPr>
              <w:t xml:space="preserve">gozdni sadilni material </w:t>
            </w:r>
            <w:r>
              <w:rPr>
                <w:rFonts w:cs="Arial"/>
                <w:szCs w:val="20"/>
                <w:lang w:val="sl-SI"/>
              </w:rPr>
              <w:t xml:space="preserve">ter </w:t>
            </w:r>
            <w:r w:rsidR="005913DF">
              <w:rPr>
                <w:rFonts w:cs="Arial"/>
                <w:szCs w:val="20"/>
                <w:lang w:val="sl-SI"/>
              </w:rPr>
              <w:t xml:space="preserve">njegovo </w:t>
            </w:r>
            <w:r>
              <w:rPr>
                <w:rFonts w:cs="Arial"/>
                <w:szCs w:val="20"/>
                <w:lang w:val="sl-SI"/>
              </w:rPr>
              <w:t>zadostno število, ki je pogoj za uspešno obnovo gozda.</w:t>
            </w:r>
            <w:r w:rsidR="00D36D14">
              <w:rPr>
                <w:rFonts w:cs="Arial"/>
                <w:szCs w:val="20"/>
                <w:lang w:val="sl-SI"/>
              </w:rPr>
              <w:t xml:space="preserve">  </w:t>
            </w:r>
            <w:r w:rsidR="005913DF">
              <w:rPr>
                <w:rFonts w:cs="Arial"/>
                <w:szCs w:val="20"/>
                <w:lang w:val="sl-SI"/>
              </w:rPr>
              <w:t>Intervencija</w:t>
            </w:r>
            <w:r w:rsidR="00D36D14">
              <w:rPr>
                <w:rFonts w:cs="Arial"/>
                <w:szCs w:val="20"/>
                <w:lang w:val="sl-SI"/>
              </w:rPr>
              <w:t xml:space="preserve"> prispeva k specifičnemu cilju: </w:t>
            </w:r>
            <w:r w:rsidR="00D36D14" w:rsidRPr="00391C9A">
              <w:rPr>
                <w:rFonts w:cs="Arial"/>
                <w:szCs w:val="20"/>
                <w:lang w:val="sl-SI"/>
              </w:rPr>
              <w:t>SO2 krepitev tržne usmerjenosti ter kratkoročno in dolgoročno povečanje konkurenčnosti kmetij, vključno z večjim poudarkom na raziskavah, tehnologiji in digitalizaciji</w:t>
            </w:r>
            <w:r w:rsidR="00D36D14">
              <w:rPr>
                <w:rFonts w:cs="Arial"/>
                <w:szCs w:val="20"/>
                <w:lang w:val="sl-SI"/>
              </w:rPr>
              <w:t xml:space="preserve">; skupnemu kazalniku učinka: </w:t>
            </w:r>
            <w:r w:rsidR="00D36D14" w:rsidRPr="00391C9A">
              <w:rPr>
                <w:rFonts w:cs="Arial"/>
                <w:szCs w:val="20"/>
                <w:lang w:val="sl-SI"/>
              </w:rPr>
              <w:t>O.24. Število produktivnih naložbenih operacij ali enot zunaj kmetij, ki prejemajo podporo</w:t>
            </w:r>
            <w:r w:rsidR="00D36D14">
              <w:rPr>
                <w:rFonts w:cs="Arial"/>
                <w:szCs w:val="20"/>
                <w:lang w:val="sl-SI"/>
              </w:rPr>
              <w:t xml:space="preserve"> ter obravnava potrebo: P08 </w:t>
            </w:r>
            <w:r w:rsidR="00D36D14" w:rsidRPr="00391C9A">
              <w:rPr>
                <w:rFonts w:cs="Arial"/>
                <w:szCs w:val="20"/>
                <w:lang w:val="sl-SI"/>
              </w:rPr>
              <w:t>Povečanje produktivnosti, konkurenčnosti ter tehnološki razvoj v gozdarstvu</w:t>
            </w:r>
            <w:r w:rsidR="00D36D14">
              <w:rPr>
                <w:rFonts w:cs="Arial"/>
                <w:szCs w:val="20"/>
                <w:lang w:val="sl-SI"/>
              </w:rPr>
              <w:t>.</w:t>
            </w:r>
          </w:p>
        </w:tc>
      </w:tr>
      <w:tr w:rsidR="00F1478D" w:rsidRPr="007A09BF" w14:paraId="2560E19B" w14:textId="77777777" w:rsidTr="00F1478D">
        <w:trPr>
          <w:trHeight w:val="744"/>
        </w:trPr>
        <w:tc>
          <w:tcPr>
            <w:tcW w:w="2660" w:type="dxa"/>
            <w:shd w:val="clear" w:color="auto" w:fill="F2F2F2"/>
            <w:vAlign w:val="center"/>
          </w:tcPr>
          <w:p w14:paraId="305A872E" w14:textId="77777777" w:rsidR="00F1478D" w:rsidRPr="007A09BF" w:rsidRDefault="00F1478D" w:rsidP="00F1478D">
            <w:pPr>
              <w:widowControl w:val="0"/>
              <w:autoSpaceDE w:val="0"/>
              <w:autoSpaceDN w:val="0"/>
              <w:adjustRightInd w:val="0"/>
              <w:rPr>
                <w:rFonts w:cs="Arial"/>
                <w:b/>
                <w:szCs w:val="20"/>
                <w:lang w:val="sl-SI"/>
              </w:rPr>
            </w:pPr>
            <w:r w:rsidRPr="007A09BF">
              <w:rPr>
                <w:rFonts w:cs="Arial"/>
                <w:b/>
                <w:szCs w:val="20"/>
                <w:lang w:val="sl-SI"/>
              </w:rPr>
              <w:t>Obdobje vlaganja vloge na javni razpis:</w:t>
            </w:r>
          </w:p>
          <w:p w14:paraId="1C00AE81" w14:textId="77777777" w:rsidR="00F1478D" w:rsidRPr="007A09BF" w:rsidRDefault="00F1478D" w:rsidP="00F1478D">
            <w:pPr>
              <w:widowControl w:val="0"/>
              <w:autoSpaceDE w:val="0"/>
              <w:autoSpaceDN w:val="0"/>
              <w:adjustRightInd w:val="0"/>
              <w:rPr>
                <w:rFonts w:cs="Arial"/>
                <w:b/>
                <w:szCs w:val="20"/>
                <w:lang w:val="sl-SI"/>
              </w:rPr>
            </w:pPr>
            <w:r w:rsidRPr="007A09BF">
              <w:rPr>
                <w:rFonts w:cs="Arial"/>
                <w:b/>
                <w:szCs w:val="20"/>
                <w:lang w:val="sl-SI"/>
              </w:rPr>
              <w:t>Začetek vnosa vlo</w:t>
            </w:r>
            <w:r>
              <w:rPr>
                <w:rFonts w:cs="Arial"/>
                <w:b/>
                <w:szCs w:val="20"/>
                <w:lang w:val="sl-SI"/>
              </w:rPr>
              <w:t>ge in zaključek javnega razpisa</w:t>
            </w:r>
          </w:p>
        </w:tc>
        <w:tc>
          <w:tcPr>
            <w:tcW w:w="5828" w:type="dxa"/>
            <w:shd w:val="clear" w:color="auto" w:fill="F2F2F2"/>
            <w:vAlign w:val="center"/>
          </w:tcPr>
          <w:p w14:paraId="61334694" w14:textId="2C66E086" w:rsidR="00F1478D" w:rsidRPr="00F1478D" w:rsidRDefault="00F1478D" w:rsidP="00F1478D">
            <w:pPr>
              <w:widowControl w:val="0"/>
              <w:jc w:val="both"/>
              <w:rPr>
                <w:rFonts w:cs="Arial"/>
                <w:szCs w:val="20"/>
                <w:lang w:val="sl-SI"/>
              </w:rPr>
            </w:pPr>
            <w:r w:rsidRPr="00F1478D">
              <w:rPr>
                <w:rFonts w:cs="Arial"/>
                <w:szCs w:val="20"/>
                <w:lang w:val="sl-SI"/>
              </w:rPr>
              <w:t xml:space="preserve">Javni razpis </w:t>
            </w:r>
            <w:r w:rsidR="007C205C">
              <w:rPr>
                <w:rFonts w:cs="Arial"/>
                <w:szCs w:val="20"/>
                <w:lang w:val="sl-SI"/>
              </w:rPr>
              <w:t xml:space="preserve">začne </w:t>
            </w:r>
            <w:r w:rsidRPr="00F1478D">
              <w:rPr>
                <w:rFonts w:cs="Arial"/>
                <w:szCs w:val="20"/>
                <w:lang w:val="sl-SI"/>
              </w:rPr>
              <w:t>velja</w:t>
            </w:r>
            <w:r w:rsidR="007C205C">
              <w:rPr>
                <w:rFonts w:cs="Arial"/>
                <w:szCs w:val="20"/>
                <w:lang w:val="sl-SI"/>
              </w:rPr>
              <w:t>ti</w:t>
            </w:r>
            <w:r w:rsidRPr="00F1478D">
              <w:rPr>
                <w:rFonts w:cs="Arial"/>
                <w:szCs w:val="20"/>
                <w:lang w:val="sl-SI"/>
              </w:rPr>
              <w:t xml:space="preserve"> </w:t>
            </w:r>
            <w:r w:rsidR="007C205C">
              <w:rPr>
                <w:rFonts w:cs="Arial"/>
                <w:szCs w:val="20"/>
                <w:lang w:val="sl-SI"/>
              </w:rPr>
              <w:t>naslednji</w:t>
            </w:r>
            <w:r w:rsidRPr="00F1478D">
              <w:rPr>
                <w:rFonts w:cs="Arial"/>
                <w:szCs w:val="20"/>
                <w:lang w:val="sl-SI"/>
              </w:rPr>
              <w:t xml:space="preserve"> d</w:t>
            </w:r>
            <w:r w:rsidR="007C205C">
              <w:rPr>
                <w:rFonts w:cs="Arial"/>
                <w:szCs w:val="20"/>
                <w:lang w:val="sl-SI"/>
              </w:rPr>
              <w:t>an</w:t>
            </w:r>
            <w:r w:rsidRPr="00F1478D">
              <w:rPr>
                <w:rFonts w:cs="Arial"/>
                <w:szCs w:val="20"/>
                <w:lang w:val="sl-SI"/>
              </w:rPr>
              <w:t xml:space="preserve"> po objavi v Uradnem listu Republike Slovenije.</w:t>
            </w:r>
          </w:p>
          <w:p w14:paraId="0727930E" w14:textId="77777777" w:rsidR="00F1478D" w:rsidRPr="00F1478D" w:rsidRDefault="00F1478D" w:rsidP="00F1478D">
            <w:pPr>
              <w:widowControl w:val="0"/>
              <w:jc w:val="both"/>
              <w:rPr>
                <w:rFonts w:cs="Arial"/>
                <w:szCs w:val="20"/>
                <w:lang w:val="sl-SI"/>
              </w:rPr>
            </w:pPr>
            <w:r w:rsidRPr="00F1478D">
              <w:rPr>
                <w:rFonts w:cs="Arial"/>
                <w:szCs w:val="20"/>
                <w:lang w:val="sl-SI"/>
              </w:rPr>
              <w:t xml:space="preserve"> </w:t>
            </w:r>
          </w:p>
          <w:p w14:paraId="14413A29" w14:textId="1C9ADD47" w:rsidR="00F1478D" w:rsidRPr="007A09BF" w:rsidRDefault="00B133A4" w:rsidP="00921BFE">
            <w:pPr>
              <w:widowControl w:val="0"/>
              <w:jc w:val="both"/>
              <w:rPr>
                <w:rFonts w:cs="Arial"/>
                <w:szCs w:val="20"/>
                <w:lang w:val="sl-SI"/>
              </w:rPr>
            </w:pPr>
            <w:r w:rsidRPr="00B133A4">
              <w:rPr>
                <w:rFonts w:cs="Arial"/>
                <w:szCs w:val="20"/>
                <w:lang w:val="sl-SI"/>
              </w:rPr>
              <w:t xml:space="preserve">Vložitev vloge na javni razpis poteka </w:t>
            </w:r>
            <w:r w:rsidR="00F1478D" w:rsidRPr="00F1478D">
              <w:rPr>
                <w:rFonts w:cs="Arial"/>
                <w:szCs w:val="20"/>
                <w:lang w:val="sl-SI"/>
              </w:rPr>
              <w:t xml:space="preserve">od </w:t>
            </w:r>
            <w:r w:rsidR="00921BFE" w:rsidRPr="00921BFE">
              <w:rPr>
                <w:rFonts w:cs="Arial"/>
                <w:szCs w:val="20"/>
                <w:lang w:val="sl-SI"/>
              </w:rPr>
              <w:t>16</w:t>
            </w:r>
            <w:r w:rsidR="00F1478D" w:rsidRPr="00921BFE">
              <w:rPr>
                <w:rFonts w:cs="Arial"/>
                <w:szCs w:val="20"/>
                <w:lang w:val="sl-SI"/>
              </w:rPr>
              <w:t xml:space="preserve">. </w:t>
            </w:r>
            <w:r w:rsidR="00921BFE" w:rsidRPr="00921BFE">
              <w:rPr>
                <w:rFonts w:cs="Arial"/>
                <w:szCs w:val="20"/>
                <w:lang w:val="sl-SI"/>
              </w:rPr>
              <w:t>decembr</w:t>
            </w:r>
            <w:r w:rsidR="00CC44A4" w:rsidRPr="00921BFE">
              <w:rPr>
                <w:rFonts w:cs="Arial"/>
                <w:szCs w:val="20"/>
                <w:lang w:val="sl-SI"/>
              </w:rPr>
              <w:t>a</w:t>
            </w:r>
            <w:r w:rsidR="00F1478D" w:rsidRPr="00921BFE">
              <w:rPr>
                <w:rFonts w:cs="Arial"/>
                <w:szCs w:val="20"/>
                <w:lang w:val="sl-SI"/>
              </w:rPr>
              <w:t xml:space="preserve"> 202</w:t>
            </w:r>
            <w:r w:rsidRPr="00921BFE">
              <w:rPr>
                <w:rFonts w:cs="Arial"/>
                <w:szCs w:val="20"/>
                <w:lang w:val="sl-SI"/>
              </w:rPr>
              <w:t>4</w:t>
            </w:r>
            <w:r w:rsidR="00F1478D" w:rsidRPr="00921BFE">
              <w:rPr>
                <w:rFonts w:cs="Arial"/>
                <w:szCs w:val="20"/>
                <w:lang w:val="sl-SI"/>
              </w:rPr>
              <w:t xml:space="preserve"> do vključno </w:t>
            </w:r>
            <w:r w:rsidR="00921BFE" w:rsidRPr="00921BFE">
              <w:rPr>
                <w:rFonts w:cs="Arial"/>
                <w:szCs w:val="20"/>
                <w:lang w:val="sl-SI"/>
              </w:rPr>
              <w:t>10</w:t>
            </w:r>
            <w:r w:rsidR="00F1478D" w:rsidRPr="00921BFE">
              <w:rPr>
                <w:rFonts w:cs="Arial"/>
                <w:szCs w:val="20"/>
                <w:lang w:val="sl-SI"/>
              </w:rPr>
              <w:t xml:space="preserve">. </w:t>
            </w:r>
            <w:r w:rsidR="00921BFE" w:rsidRPr="00921BFE">
              <w:rPr>
                <w:rFonts w:cs="Arial"/>
                <w:szCs w:val="20"/>
                <w:lang w:val="sl-SI"/>
              </w:rPr>
              <w:t>februarja</w:t>
            </w:r>
            <w:r w:rsidRPr="00921BFE">
              <w:rPr>
                <w:rFonts w:cs="Arial"/>
                <w:szCs w:val="20"/>
                <w:lang w:val="sl-SI"/>
              </w:rPr>
              <w:t xml:space="preserve"> 202</w:t>
            </w:r>
            <w:r w:rsidR="00921BFE" w:rsidRPr="00921BFE">
              <w:rPr>
                <w:rFonts w:cs="Arial"/>
                <w:szCs w:val="20"/>
                <w:lang w:val="sl-SI"/>
              </w:rPr>
              <w:t>5</w:t>
            </w:r>
            <w:r w:rsidR="00220DB4" w:rsidRPr="00921BFE">
              <w:rPr>
                <w:rFonts w:cs="Arial"/>
                <w:szCs w:val="20"/>
                <w:lang w:val="sl-SI"/>
              </w:rPr>
              <w:t xml:space="preserve"> do 14</w:t>
            </w:r>
            <w:r w:rsidR="00F1478D" w:rsidRPr="00921BFE">
              <w:rPr>
                <w:rFonts w:cs="Arial"/>
                <w:szCs w:val="20"/>
                <w:lang w:val="sl-SI"/>
              </w:rPr>
              <w:t>:</w:t>
            </w:r>
            <w:r w:rsidR="00220DB4" w:rsidRPr="00921BFE">
              <w:rPr>
                <w:rFonts w:cs="Arial"/>
                <w:szCs w:val="20"/>
                <w:lang w:val="sl-SI"/>
              </w:rPr>
              <w:t>00</w:t>
            </w:r>
            <w:r w:rsidR="00F1478D" w:rsidRPr="00921BFE">
              <w:rPr>
                <w:rFonts w:cs="Arial"/>
                <w:szCs w:val="20"/>
                <w:lang w:val="sl-SI"/>
              </w:rPr>
              <w:t>. ure.</w:t>
            </w:r>
          </w:p>
        </w:tc>
      </w:tr>
      <w:tr w:rsidR="00F1478D" w:rsidRPr="007A09BF" w14:paraId="6B8F9024" w14:textId="77777777" w:rsidTr="00F1478D">
        <w:trPr>
          <w:trHeight w:val="744"/>
        </w:trPr>
        <w:tc>
          <w:tcPr>
            <w:tcW w:w="2660" w:type="dxa"/>
            <w:shd w:val="clear" w:color="auto" w:fill="F2F2F2"/>
            <w:vAlign w:val="center"/>
          </w:tcPr>
          <w:p w14:paraId="10BBBF51" w14:textId="77777777" w:rsidR="00F1478D" w:rsidRPr="007A09BF" w:rsidRDefault="00F1478D" w:rsidP="00F1478D">
            <w:pPr>
              <w:widowControl w:val="0"/>
              <w:autoSpaceDE w:val="0"/>
              <w:autoSpaceDN w:val="0"/>
              <w:adjustRightInd w:val="0"/>
              <w:rPr>
                <w:rFonts w:cs="Arial"/>
                <w:b/>
                <w:szCs w:val="20"/>
                <w:lang w:val="sl-SI"/>
              </w:rPr>
            </w:pPr>
            <w:r w:rsidRPr="00F1478D">
              <w:rPr>
                <w:rFonts w:cs="Arial"/>
                <w:b/>
                <w:szCs w:val="20"/>
                <w:lang w:val="sl-SI"/>
              </w:rPr>
              <w:lastRenderedPageBreak/>
              <w:t>Obdobje upravičenosti stroškov:</w:t>
            </w:r>
          </w:p>
        </w:tc>
        <w:tc>
          <w:tcPr>
            <w:tcW w:w="5828" w:type="dxa"/>
            <w:shd w:val="clear" w:color="auto" w:fill="F2F2F2"/>
            <w:vAlign w:val="center"/>
          </w:tcPr>
          <w:p w14:paraId="0DA74F42" w14:textId="744687EB" w:rsidR="00F1478D" w:rsidRPr="00F1478D" w:rsidRDefault="00F1478D" w:rsidP="00F1478D">
            <w:pPr>
              <w:widowControl w:val="0"/>
              <w:jc w:val="both"/>
              <w:rPr>
                <w:rFonts w:cs="Arial"/>
                <w:szCs w:val="20"/>
                <w:lang w:val="sl-SI"/>
              </w:rPr>
            </w:pPr>
            <w:r w:rsidRPr="00F1478D">
              <w:rPr>
                <w:rFonts w:cs="Arial"/>
                <w:szCs w:val="20"/>
                <w:lang w:val="sl-SI"/>
              </w:rPr>
              <w:t>V skladu</w:t>
            </w:r>
            <w:r w:rsidR="00B133A4">
              <w:rPr>
                <w:rFonts w:cs="Arial"/>
                <w:szCs w:val="20"/>
                <w:lang w:val="sl-SI"/>
              </w:rPr>
              <w:t xml:space="preserve"> s</w:t>
            </w:r>
            <w:r>
              <w:rPr>
                <w:rFonts w:cs="Arial"/>
                <w:szCs w:val="20"/>
                <w:lang w:val="sl-SI"/>
              </w:rPr>
              <w:t xml:space="preserve"> </w:t>
            </w:r>
            <w:r w:rsidR="00B133A4">
              <w:rPr>
                <w:rFonts w:cs="Arial"/>
                <w:szCs w:val="20"/>
                <w:lang w:val="sl-SI"/>
              </w:rPr>
              <w:t>43. členom u</w:t>
            </w:r>
            <w:r w:rsidRPr="00F1478D">
              <w:rPr>
                <w:rFonts w:cs="Arial"/>
                <w:szCs w:val="20"/>
                <w:lang w:val="sl-SI"/>
              </w:rPr>
              <w:t>redbe so do podpore upravičeni stroški naložb, ki so nastali po oddaji vloge na javni razpis do vložitve zahtevka za izplačilo sredstev.</w:t>
            </w:r>
          </w:p>
          <w:p w14:paraId="47964987" w14:textId="14C1755F" w:rsidR="00F1478D" w:rsidRPr="00F1478D" w:rsidRDefault="00F1478D" w:rsidP="00F1478D">
            <w:pPr>
              <w:widowControl w:val="0"/>
              <w:jc w:val="both"/>
              <w:rPr>
                <w:rFonts w:cs="Arial"/>
                <w:szCs w:val="20"/>
                <w:lang w:val="sl-SI"/>
              </w:rPr>
            </w:pPr>
            <w:r w:rsidRPr="00F1478D">
              <w:rPr>
                <w:rFonts w:cs="Arial"/>
                <w:szCs w:val="20"/>
                <w:lang w:val="sl-SI"/>
              </w:rPr>
              <w:t>Do podpore so upravičeni tudi morebitni splošni stroški, ki so neposredno povezani s pripravo in izvedbo naložbe te</w:t>
            </w:r>
            <w:r w:rsidR="00B133A4">
              <w:rPr>
                <w:rFonts w:cs="Arial"/>
                <w:szCs w:val="20"/>
                <w:lang w:val="sl-SI"/>
              </w:rPr>
              <w:t>r so nastali po 1. januarju 2023</w:t>
            </w:r>
            <w:r w:rsidRPr="00F1478D">
              <w:rPr>
                <w:rFonts w:cs="Arial"/>
                <w:szCs w:val="20"/>
                <w:lang w:val="sl-SI"/>
              </w:rPr>
              <w:t xml:space="preserve"> do vložitve zahtevka za izplačilo sredstev. </w:t>
            </w:r>
          </w:p>
        </w:tc>
      </w:tr>
      <w:tr w:rsidR="00F1478D" w:rsidRPr="007A09BF" w14:paraId="08DF9250" w14:textId="77777777" w:rsidTr="00F1478D">
        <w:trPr>
          <w:trHeight w:val="710"/>
        </w:trPr>
        <w:tc>
          <w:tcPr>
            <w:tcW w:w="2660" w:type="dxa"/>
            <w:shd w:val="clear" w:color="auto" w:fill="F2F2F2"/>
            <w:vAlign w:val="center"/>
          </w:tcPr>
          <w:p w14:paraId="7D999595" w14:textId="77777777" w:rsidR="00F1478D" w:rsidRPr="007A09BF" w:rsidRDefault="00F1478D" w:rsidP="00F1478D">
            <w:pPr>
              <w:widowControl w:val="0"/>
              <w:rPr>
                <w:rFonts w:cs="Arial"/>
                <w:b/>
                <w:szCs w:val="20"/>
                <w:lang w:val="sl-SI"/>
              </w:rPr>
            </w:pPr>
            <w:r w:rsidRPr="007A09BF">
              <w:rPr>
                <w:rFonts w:cs="Arial"/>
                <w:b/>
                <w:szCs w:val="20"/>
                <w:lang w:val="sl-SI"/>
              </w:rPr>
              <w:t>Informacije o javnem razpisu:</w:t>
            </w:r>
          </w:p>
        </w:tc>
        <w:tc>
          <w:tcPr>
            <w:tcW w:w="5828" w:type="dxa"/>
            <w:shd w:val="clear" w:color="auto" w:fill="F2F2F2"/>
            <w:vAlign w:val="center"/>
          </w:tcPr>
          <w:p w14:paraId="273A2613" w14:textId="77777777" w:rsidR="00B133A4" w:rsidRPr="00B133A4" w:rsidRDefault="00B133A4" w:rsidP="00B133A4">
            <w:pPr>
              <w:widowControl w:val="0"/>
              <w:jc w:val="both"/>
              <w:rPr>
                <w:rFonts w:cs="Arial"/>
                <w:bCs/>
                <w:color w:val="000000"/>
                <w:szCs w:val="20"/>
                <w:lang w:val="sl-SI"/>
              </w:rPr>
            </w:pPr>
            <w:r w:rsidRPr="00B133A4">
              <w:rPr>
                <w:rFonts w:cs="Arial"/>
                <w:bCs/>
                <w:color w:val="000000"/>
                <w:szCs w:val="20"/>
                <w:lang w:val="sl-SI"/>
              </w:rPr>
              <w:t>Informacije o javnem razpisu so dostopne na naslednji povezavi:</w:t>
            </w:r>
          </w:p>
          <w:p w14:paraId="670D6B70" w14:textId="7CD36AEF" w:rsidR="00F1478D" w:rsidRPr="007A09BF" w:rsidRDefault="00B133A4" w:rsidP="00B133A4">
            <w:pPr>
              <w:widowControl w:val="0"/>
              <w:jc w:val="both"/>
              <w:rPr>
                <w:rFonts w:cs="Arial"/>
                <w:color w:val="000000"/>
                <w:szCs w:val="20"/>
                <w:lang w:val="sl-SI"/>
              </w:rPr>
            </w:pPr>
            <w:r w:rsidRPr="00B133A4">
              <w:rPr>
                <w:rFonts w:cs="Arial"/>
                <w:bCs/>
                <w:color w:val="000000"/>
                <w:szCs w:val="20"/>
                <w:lang w:val="sl-SI"/>
              </w:rPr>
              <w:t>https://skp.si/aktualno/info-tocke.</w:t>
            </w:r>
          </w:p>
        </w:tc>
      </w:tr>
    </w:tbl>
    <w:p w14:paraId="04AFE440" w14:textId="77777777" w:rsidR="00F1478D" w:rsidRDefault="00F1478D" w:rsidP="00F1478D">
      <w:pPr>
        <w:rPr>
          <w:rFonts w:cs="Arial"/>
          <w:bCs/>
          <w:i/>
          <w:iCs/>
          <w:szCs w:val="20"/>
          <w:lang w:val="sl-SI"/>
        </w:rPr>
      </w:pPr>
    </w:p>
    <w:p w14:paraId="21B7539C" w14:textId="0AB1E868" w:rsidR="00E70D1B" w:rsidRPr="007A09BF" w:rsidRDefault="00E70D1B" w:rsidP="00E70D1B">
      <w:pPr>
        <w:widowControl w:val="0"/>
        <w:jc w:val="both"/>
        <w:outlineLvl w:val="0"/>
        <w:rPr>
          <w:rFonts w:cs="Arial"/>
          <w:b/>
          <w:szCs w:val="20"/>
          <w:lang w:val="sl-SI"/>
        </w:rPr>
      </w:pPr>
    </w:p>
    <w:p w14:paraId="21C97989" w14:textId="3F811C94" w:rsidR="00E70D1B" w:rsidRPr="007A09BF" w:rsidRDefault="00945254" w:rsidP="00E70D1B">
      <w:pPr>
        <w:widowControl w:val="0"/>
        <w:jc w:val="both"/>
        <w:outlineLvl w:val="0"/>
        <w:rPr>
          <w:rFonts w:cs="Arial"/>
          <w:b/>
          <w:szCs w:val="20"/>
          <w:lang w:val="sl-SI"/>
        </w:rPr>
      </w:pPr>
      <w:r>
        <w:rPr>
          <w:rFonts w:cs="Arial"/>
          <w:b/>
          <w:szCs w:val="20"/>
          <w:lang w:val="sl-SI"/>
        </w:rPr>
        <w:t xml:space="preserve">II. </w:t>
      </w:r>
      <w:r w:rsidR="00B133A4">
        <w:rPr>
          <w:rFonts w:cs="Arial"/>
          <w:b/>
          <w:szCs w:val="20"/>
          <w:lang w:val="sl-SI"/>
        </w:rPr>
        <w:t>PREDMET IN NAMEN</w:t>
      </w:r>
      <w:r w:rsidR="00E70D1B" w:rsidRPr="007A09BF">
        <w:rPr>
          <w:rFonts w:cs="Arial"/>
          <w:b/>
          <w:szCs w:val="20"/>
          <w:lang w:val="sl-SI"/>
        </w:rPr>
        <w:t xml:space="preserve"> </w:t>
      </w:r>
      <w:r w:rsidR="00E70D1B" w:rsidRPr="00AA6683">
        <w:rPr>
          <w:rFonts w:cs="Arial"/>
          <w:b/>
          <w:szCs w:val="20"/>
          <w:lang w:val="sl-SI"/>
        </w:rPr>
        <w:t>PODPORE</w:t>
      </w:r>
    </w:p>
    <w:p w14:paraId="6B9EADEE" w14:textId="72A8A9D9" w:rsidR="00E70D1B" w:rsidRDefault="00E70D1B" w:rsidP="00E70D1B">
      <w:pPr>
        <w:widowControl w:val="0"/>
        <w:jc w:val="both"/>
        <w:outlineLvl w:val="0"/>
        <w:rPr>
          <w:rFonts w:cs="Arial"/>
          <w:b/>
          <w:szCs w:val="20"/>
          <w:lang w:val="sl-SI"/>
        </w:rPr>
      </w:pPr>
    </w:p>
    <w:p w14:paraId="52483C41" w14:textId="46526AFB" w:rsidR="00C2369B" w:rsidRPr="00C2369B" w:rsidRDefault="00C2369B" w:rsidP="00C2369B">
      <w:pPr>
        <w:spacing w:line="240" w:lineRule="auto"/>
        <w:jc w:val="both"/>
        <w:outlineLvl w:val="0"/>
        <w:rPr>
          <w:rFonts w:cs="Arial"/>
          <w:szCs w:val="20"/>
          <w:lang w:val="sl-SI" w:eastAsia="sl-SI"/>
        </w:rPr>
      </w:pPr>
      <w:r w:rsidRPr="00C2369B">
        <w:rPr>
          <w:rFonts w:cs="Arial"/>
          <w:szCs w:val="20"/>
          <w:lang w:val="sl-SI" w:eastAsia="sl-SI"/>
        </w:rPr>
        <w:t xml:space="preserve">Podpora je v skladu s </w:t>
      </w:r>
      <w:r w:rsidR="000A1F9E">
        <w:rPr>
          <w:rFonts w:cs="Arial"/>
          <w:szCs w:val="20"/>
          <w:lang w:val="sl-SI" w:eastAsia="sl-SI"/>
        </w:rPr>
        <w:t>30</w:t>
      </w:r>
      <w:r w:rsidR="00B133A4">
        <w:rPr>
          <w:rFonts w:cs="Arial"/>
          <w:szCs w:val="20"/>
          <w:lang w:val="sl-SI" w:eastAsia="sl-SI"/>
        </w:rPr>
        <w:t>. členom uredbe</w:t>
      </w:r>
      <w:r w:rsidR="00B133A4" w:rsidRPr="00B133A4">
        <w:rPr>
          <w:rFonts w:cs="Arial"/>
          <w:szCs w:val="20"/>
          <w:lang w:val="sl-SI" w:eastAsia="sl-SI"/>
        </w:rPr>
        <w:t xml:space="preserve"> namenjena naložbam v </w:t>
      </w:r>
      <w:r w:rsidR="000A1F9E" w:rsidRPr="000A1F9E">
        <w:rPr>
          <w:rFonts w:cs="Arial"/>
          <w:szCs w:val="20"/>
          <w:lang w:val="sl-SI" w:eastAsia="sl-SI"/>
        </w:rPr>
        <w:t>nakup in dobavo nove mehanizacije oziroma opreme za gozdno semenarstvo, kontejnersko vzgojo in vzgojo gozdnega drevja</w:t>
      </w:r>
      <w:r w:rsidR="00D36D14" w:rsidRPr="00D36D14">
        <w:rPr>
          <w:rFonts w:cs="Arial"/>
          <w:szCs w:val="20"/>
          <w:lang w:val="sl-SI" w:eastAsia="sl-SI"/>
        </w:rPr>
        <w:t>.</w:t>
      </w:r>
    </w:p>
    <w:p w14:paraId="5BC9D9B1" w14:textId="77777777" w:rsidR="004D788E" w:rsidRPr="007A09BF" w:rsidRDefault="004D788E" w:rsidP="00E70D1B">
      <w:pPr>
        <w:widowControl w:val="0"/>
        <w:jc w:val="both"/>
        <w:outlineLvl w:val="0"/>
        <w:rPr>
          <w:rFonts w:cs="Arial"/>
          <w:b/>
          <w:szCs w:val="20"/>
          <w:lang w:val="sl-SI"/>
        </w:rPr>
      </w:pPr>
    </w:p>
    <w:p w14:paraId="0927EF82" w14:textId="2606EDC7" w:rsidR="00E70D1B" w:rsidRDefault="00E70D1B" w:rsidP="00E70D1B">
      <w:pPr>
        <w:widowControl w:val="0"/>
        <w:jc w:val="both"/>
        <w:outlineLvl w:val="0"/>
        <w:rPr>
          <w:rFonts w:cs="Arial"/>
          <w:b/>
          <w:szCs w:val="20"/>
          <w:lang w:val="sl-SI"/>
        </w:rPr>
      </w:pPr>
      <w:r w:rsidRPr="007A09BF">
        <w:rPr>
          <w:rFonts w:cs="Arial"/>
          <w:b/>
          <w:szCs w:val="20"/>
          <w:lang w:val="sl-SI"/>
        </w:rPr>
        <w:t xml:space="preserve">III. </w:t>
      </w:r>
      <w:r w:rsidR="007D32B1">
        <w:rPr>
          <w:rFonts w:cs="Arial"/>
          <w:b/>
          <w:szCs w:val="20"/>
          <w:lang w:val="sl-SI"/>
        </w:rPr>
        <w:t>VL</w:t>
      </w:r>
      <w:r w:rsidR="00CF7D65">
        <w:rPr>
          <w:rFonts w:cs="Arial"/>
          <w:b/>
          <w:szCs w:val="20"/>
          <w:lang w:val="sl-SI"/>
        </w:rPr>
        <w:t>A</w:t>
      </w:r>
      <w:r w:rsidR="007D32B1">
        <w:rPr>
          <w:rFonts w:cs="Arial"/>
          <w:b/>
          <w:szCs w:val="20"/>
          <w:lang w:val="sl-SI"/>
        </w:rPr>
        <w:t>GATELJI IN UPRAVIČEN</w:t>
      </w:r>
      <w:r w:rsidRPr="007A09BF">
        <w:rPr>
          <w:rFonts w:cs="Arial"/>
          <w:b/>
          <w:szCs w:val="20"/>
          <w:lang w:val="sl-SI"/>
        </w:rPr>
        <w:t>C</w:t>
      </w:r>
      <w:r w:rsidR="007D32B1">
        <w:rPr>
          <w:rFonts w:cs="Arial"/>
          <w:b/>
          <w:szCs w:val="20"/>
          <w:lang w:val="sl-SI"/>
        </w:rPr>
        <w:t>I</w:t>
      </w:r>
    </w:p>
    <w:p w14:paraId="1C895080" w14:textId="5AE1F51F" w:rsidR="00697AA9" w:rsidRDefault="00697AA9" w:rsidP="00E70D1B">
      <w:pPr>
        <w:widowControl w:val="0"/>
        <w:jc w:val="both"/>
        <w:outlineLvl w:val="0"/>
        <w:rPr>
          <w:rFonts w:cs="Arial"/>
          <w:b/>
          <w:szCs w:val="20"/>
          <w:lang w:val="sl-SI"/>
        </w:rPr>
      </w:pPr>
    </w:p>
    <w:p w14:paraId="7EB3493B" w14:textId="651C4D70" w:rsidR="00DC565E" w:rsidRDefault="007D32B1" w:rsidP="00E70D1B">
      <w:pPr>
        <w:widowControl w:val="0"/>
        <w:jc w:val="both"/>
        <w:outlineLvl w:val="0"/>
        <w:rPr>
          <w:rFonts w:cs="Arial"/>
          <w:szCs w:val="20"/>
          <w:lang w:val="sl-SI"/>
        </w:rPr>
      </w:pPr>
      <w:r w:rsidRPr="007D32B1">
        <w:rPr>
          <w:rFonts w:cs="Arial"/>
          <w:szCs w:val="20"/>
          <w:lang w:val="sl-SI"/>
        </w:rPr>
        <w:t>Vlagatelj</w:t>
      </w:r>
      <w:r>
        <w:rPr>
          <w:rFonts w:cs="Arial"/>
          <w:szCs w:val="20"/>
          <w:lang w:val="sl-SI"/>
        </w:rPr>
        <w:t>i in upravičenci</w:t>
      </w:r>
      <w:r w:rsidRPr="007D32B1">
        <w:rPr>
          <w:rFonts w:cs="Arial"/>
          <w:szCs w:val="20"/>
          <w:lang w:val="sl-SI"/>
        </w:rPr>
        <w:t xml:space="preserve"> s</w:t>
      </w:r>
      <w:r>
        <w:rPr>
          <w:rFonts w:cs="Arial"/>
          <w:szCs w:val="20"/>
          <w:lang w:val="sl-SI"/>
        </w:rPr>
        <w:t>o</w:t>
      </w:r>
      <w:r w:rsidRPr="007D32B1">
        <w:rPr>
          <w:rFonts w:cs="Arial"/>
          <w:szCs w:val="20"/>
          <w:lang w:val="sl-SI"/>
        </w:rPr>
        <w:t xml:space="preserve"> določen</w:t>
      </w:r>
      <w:r>
        <w:rPr>
          <w:rFonts w:cs="Arial"/>
          <w:szCs w:val="20"/>
          <w:lang w:val="sl-SI"/>
        </w:rPr>
        <w:t>i</w:t>
      </w:r>
      <w:r w:rsidRPr="007D32B1">
        <w:rPr>
          <w:rFonts w:cs="Arial"/>
          <w:szCs w:val="20"/>
          <w:lang w:val="sl-SI"/>
        </w:rPr>
        <w:t xml:space="preserve"> v </w:t>
      </w:r>
      <w:r w:rsidR="000A1F9E">
        <w:rPr>
          <w:rFonts w:cs="Arial"/>
          <w:szCs w:val="20"/>
          <w:lang w:val="sl-SI"/>
        </w:rPr>
        <w:t>31</w:t>
      </w:r>
      <w:r w:rsidRPr="007D32B1">
        <w:rPr>
          <w:rFonts w:cs="Arial"/>
          <w:szCs w:val="20"/>
          <w:lang w:val="sl-SI"/>
        </w:rPr>
        <w:t>. členu uredbe</w:t>
      </w:r>
      <w:r>
        <w:rPr>
          <w:rFonts w:cs="Arial"/>
          <w:szCs w:val="20"/>
          <w:lang w:val="sl-SI"/>
        </w:rPr>
        <w:t>.</w:t>
      </w:r>
    </w:p>
    <w:p w14:paraId="55356E00" w14:textId="77777777" w:rsidR="00697AA9" w:rsidRPr="007A09BF" w:rsidRDefault="00697AA9" w:rsidP="00E70D1B">
      <w:pPr>
        <w:widowControl w:val="0"/>
        <w:jc w:val="both"/>
        <w:outlineLvl w:val="0"/>
        <w:rPr>
          <w:rFonts w:cs="Arial"/>
          <w:b/>
          <w:szCs w:val="20"/>
          <w:lang w:val="sl-SI"/>
        </w:rPr>
      </w:pPr>
    </w:p>
    <w:p w14:paraId="49F33B0F" w14:textId="10E51B0A" w:rsidR="00E70D1B" w:rsidRPr="007A09BF" w:rsidRDefault="00E70D1B" w:rsidP="00E70D1B">
      <w:pPr>
        <w:widowControl w:val="0"/>
        <w:jc w:val="both"/>
        <w:outlineLvl w:val="0"/>
        <w:rPr>
          <w:rFonts w:cs="Arial"/>
          <w:b/>
          <w:szCs w:val="20"/>
          <w:lang w:val="sl-SI"/>
        </w:rPr>
      </w:pPr>
      <w:r w:rsidRPr="007A09BF">
        <w:rPr>
          <w:rFonts w:cs="Arial"/>
          <w:b/>
          <w:szCs w:val="20"/>
          <w:lang w:val="sl-SI"/>
        </w:rPr>
        <w:t xml:space="preserve">IV. POGOJI ZA </w:t>
      </w:r>
      <w:r w:rsidR="00AA6683">
        <w:rPr>
          <w:rFonts w:cs="Arial"/>
          <w:b/>
          <w:szCs w:val="20"/>
          <w:lang w:val="sl-SI"/>
        </w:rPr>
        <w:t>DODELITEV PO</w:t>
      </w:r>
      <w:r w:rsidRPr="007A09BF">
        <w:rPr>
          <w:rFonts w:cs="Arial"/>
          <w:b/>
          <w:szCs w:val="20"/>
          <w:lang w:val="sl-SI"/>
        </w:rPr>
        <w:t>DPORE</w:t>
      </w:r>
      <w:r w:rsidR="008C2BD4">
        <w:rPr>
          <w:rFonts w:cs="Arial"/>
          <w:b/>
          <w:szCs w:val="20"/>
          <w:lang w:val="sl-SI"/>
        </w:rPr>
        <w:t xml:space="preserve"> </w:t>
      </w:r>
    </w:p>
    <w:p w14:paraId="132D981A" w14:textId="77777777" w:rsidR="00E70D1B" w:rsidRPr="007A09BF" w:rsidRDefault="00E70D1B" w:rsidP="00E70D1B">
      <w:pPr>
        <w:jc w:val="right"/>
        <w:rPr>
          <w:rFonts w:cs="Arial"/>
          <w:szCs w:val="20"/>
          <w:lang w:val="sl-SI"/>
        </w:rPr>
      </w:pPr>
    </w:p>
    <w:p w14:paraId="4AF31631" w14:textId="523920E7" w:rsidR="007D32B1" w:rsidRDefault="00D36D14" w:rsidP="00CE6032">
      <w:pPr>
        <w:jc w:val="both"/>
        <w:rPr>
          <w:rFonts w:cs="Arial"/>
          <w:bCs/>
          <w:szCs w:val="20"/>
          <w:lang w:val="sl-SI"/>
        </w:rPr>
      </w:pPr>
      <w:r w:rsidRPr="00D36D14">
        <w:rPr>
          <w:rFonts w:cs="Arial"/>
          <w:szCs w:val="20"/>
          <w:lang w:val="sl-SI"/>
        </w:rPr>
        <w:t>Pogoji za dodelitev podpore so določeni v prvem odstavku, 1. točki drugega odstavka</w:t>
      </w:r>
      <w:r w:rsidR="00FA1750">
        <w:rPr>
          <w:rFonts w:cs="Arial"/>
          <w:szCs w:val="20"/>
          <w:lang w:val="sl-SI"/>
        </w:rPr>
        <w:t>, četrtem odstavku</w:t>
      </w:r>
      <w:r w:rsidRPr="00D36D14">
        <w:rPr>
          <w:rFonts w:cs="Arial"/>
          <w:szCs w:val="20"/>
          <w:lang w:val="sl-SI"/>
        </w:rPr>
        <w:t xml:space="preserve"> 9. člena</w:t>
      </w:r>
      <w:r w:rsidR="00FA1750">
        <w:rPr>
          <w:rFonts w:cs="Arial"/>
          <w:szCs w:val="20"/>
          <w:lang w:val="sl-SI"/>
        </w:rPr>
        <w:t xml:space="preserve">, </w:t>
      </w:r>
      <w:r w:rsidR="00311033">
        <w:rPr>
          <w:rFonts w:cs="Arial"/>
          <w:szCs w:val="20"/>
          <w:lang w:val="sl-SI"/>
        </w:rPr>
        <w:t>1. do  5. točki prvega</w:t>
      </w:r>
      <w:r w:rsidR="00102872">
        <w:rPr>
          <w:rFonts w:cs="Arial"/>
          <w:szCs w:val="20"/>
          <w:lang w:val="sl-SI"/>
        </w:rPr>
        <w:t xml:space="preserve"> </w:t>
      </w:r>
      <w:r w:rsidR="00741C38">
        <w:rPr>
          <w:rFonts w:cs="Arial"/>
          <w:szCs w:val="20"/>
          <w:lang w:val="sl-SI"/>
        </w:rPr>
        <w:t xml:space="preserve">in drugem </w:t>
      </w:r>
      <w:r w:rsidR="00102872">
        <w:rPr>
          <w:rFonts w:cs="Arial"/>
          <w:szCs w:val="20"/>
          <w:lang w:val="sl-SI"/>
        </w:rPr>
        <w:t>odstavku 10. člena</w:t>
      </w:r>
      <w:r w:rsidRPr="00D36D14">
        <w:rPr>
          <w:rFonts w:cs="Arial"/>
          <w:szCs w:val="20"/>
          <w:lang w:val="sl-SI"/>
        </w:rPr>
        <w:t xml:space="preserve"> </w:t>
      </w:r>
      <w:r w:rsidR="00FA1750" w:rsidRPr="00FA1750">
        <w:rPr>
          <w:rFonts w:cs="Arial"/>
          <w:szCs w:val="20"/>
          <w:lang w:val="sl-SI"/>
        </w:rPr>
        <w:t xml:space="preserve">uredbe o skupnih določbah za izvajanje intervencij </w:t>
      </w:r>
      <w:r w:rsidR="000A1F9E">
        <w:rPr>
          <w:rFonts w:cs="Arial"/>
          <w:bCs/>
          <w:szCs w:val="20"/>
          <w:lang w:val="sl-SI"/>
        </w:rPr>
        <w:t>in 33</w:t>
      </w:r>
      <w:r w:rsidR="00CE6032" w:rsidRPr="00CE6032">
        <w:rPr>
          <w:rFonts w:cs="Arial"/>
          <w:bCs/>
          <w:szCs w:val="20"/>
          <w:lang w:val="sl-SI"/>
        </w:rPr>
        <w:t>. člen</w:t>
      </w:r>
      <w:r w:rsidR="008C2BD4">
        <w:rPr>
          <w:rFonts w:cs="Arial"/>
          <w:bCs/>
          <w:szCs w:val="20"/>
          <w:lang w:val="sl-SI"/>
        </w:rPr>
        <w:t>u</w:t>
      </w:r>
      <w:r w:rsidR="00CE6032" w:rsidRPr="00CE6032">
        <w:rPr>
          <w:rFonts w:cs="Arial"/>
          <w:bCs/>
          <w:szCs w:val="20"/>
          <w:lang w:val="sl-SI"/>
        </w:rPr>
        <w:t xml:space="preserve"> uredbe.</w:t>
      </w:r>
    </w:p>
    <w:p w14:paraId="432DD39D" w14:textId="77777777" w:rsidR="00CE6032" w:rsidRPr="00CE6032" w:rsidRDefault="00CE6032" w:rsidP="00CE6032">
      <w:pPr>
        <w:jc w:val="both"/>
        <w:rPr>
          <w:rFonts w:cs="Arial"/>
          <w:bCs/>
          <w:szCs w:val="20"/>
          <w:lang w:val="sl-SI"/>
        </w:rPr>
      </w:pPr>
    </w:p>
    <w:p w14:paraId="077277E9" w14:textId="3FF0BB33" w:rsidR="00E70D1B" w:rsidRPr="007A09BF" w:rsidRDefault="00E70D1B" w:rsidP="00E70D1B">
      <w:pPr>
        <w:widowControl w:val="0"/>
        <w:jc w:val="both"/>
        <w:outlineLvl w:val="0"/>
        <w:rPr>
          <w:rFonts w:cs="Arial"/>
          <w:b/>
          <w:szCs w:val="20"/>
          <w:lang w:val="sl-SI"/>
        </w:rPr>
      </w:pPr>
      <w:r w:rsidRPr="007A09BF">
        <w:rPr>
          <w:rFonts w:cs="Arial"/>
          <w:b/>
          <w:szCs w:val="20"/>
          <w:lang w:val="sl-SI"/>
        </w:rPr>
        <w:t xml:space="preserve">V. UPRAVIČENI </w:t>
      </w:r>
      <w:r w:rsidR="00945254">
        <w:rPr>
          <w:rFonts w:cs="Arial"/>
          <w:b/>
          <w:szCs w:val="20"/>
          <w:lang w:val="sl-SI"/>
        </w:rPr>
        <w:t xml:space="preserve">IN NEUPRAVIČENI </w:t>
      </w:r>
      <w:r w:rsidRPr="007A09BF">
        <w:rPr>
          <w:rFonts w:cs="Arial"/>
          <w:b/>
          <w:szCs w:val="20"/>
          <w:lang w:val="sl-SI"/>
        </w:rPr>
        <w:t xml:space="preserve">STROŠKI </w:t>
      </w:r>
    </w:p>
    <w:p w14:paraId="2F27DBF9" w14:textId="428E5B57" w:rsidR="00E70D1B" w:rsidRDefault="00E70D1B" w:rsidP="00E70D1B">
      <w:pPr>
        <w:widowControl w:val="0"/>
        <w:jc w:val="both"/>
        <w:outlineLvl w:val="0"/>
        <w:rPr>
          <w:rFonts w:cs="Arial"/>
          <w:b/>
          <w:szCs w:val="20"/>
          <w:lang w:val="sl-SI"/>
        </w:rPr>
      </w:pPr>
    </w:p>
    <w:p w14:paraId="2A0B871B" w14:textId="3CE3BE40" w:rsidR="00CE6032" w:rsidRPr="00CE6032" w:rsidRDefault="00CE6032" w:rsidP="00CE6032">
      <w:pPr>
        <w:numPr>
          <w:ilvl w:val="0"/>
          <w:numId w:val="11"/>
        </w:numPr>
        <w:spacing w:line="240" w:lineRule="auto"/>
        <w:jc w:val="both"/>
        <w:outlineLvl w:val="0"/>
        <w:rPr>
          <w:rFonts w:cs="Arial"/>
          <w:szCs w:val="20"/>
          <w:lang w:val="sl-SI" w:eastAsia="sl-SI"/>
        </w:rPr>
      </w:pPr>
      <w:r w:rsidRPr="00CE6032">
        <w:rPr>
          <w:rFonts w:cs="Arial"/>
          <w:szCs w:val="20"/>
          <w:lang w:val="sl-SI" w:eastAsia="sl-SI"/>
        </w:rPr>
        <w:t xml:space="preserve">V skladu s prvim odstavkom </w:t>
      </w:r>
      <w:r w:rsidR="000A1F9E">
        <w:rPr>
          <w:rFonts w:cs="Arial"/>
          <w:szCs w:val="20"/>
          <w:lang w:val="sl-SI" w:eastAsia="sl-SI"/>
        </w:rPr>
        <w:t>32</w:t>
      </w:r>
      <w:r w:rsidRPr="00BA5A77">
        <w:rPr>
          <w:rFonts w:cs="Arial"/>
          <w:szCs w:val="20"/>
          <w:lang w:val="sl-SI" w:eastAsia="sl-SI"/>
        </w:rPr>
        <w:t>. člena u</w:t>
      </w:r>
      <w:r w:rsidRPr="00CE6032">
        <w:rPr>
          <w:rFonts w:cs="Arial"/>
          <w:szCs w:val="20"/>
          <w:lang w:val="sl-SI" w:eastAsia="sl-SI"/>
        </w:rPr>
        <w:t>redbe so do podpore upravičeni:</w:t>
      </w:r>
    </w:p>
    <w:p w14:paraId="43EB2727" w14:textId="77777777" w:rsidR="000A1F9E" w:rsidRPr="000A1F9E" w:rsidRDefault="000A1F9E" w:rsidP="000A1F9E">
      <w:pPr>
        <w:pStyle w:val="Odstavekseznama"/>
        <w:widowControl w:val="0"/>
        <w:numPr>
          <w:ilvl w:val="0"/>
          <w:numId w:val="15"/>
        </w:numPr>
        <w:jc w:val="both"/>
        <w:outlineLvl w:val="0"/>
        <w:rPr>
          <w:rFonts w:cs="Arial"/>
          <w:color w:val="000000"/>
          <w:szCs w:val="20"/>
          <w:lang w:val="sl-SI" w:eastAsia="sl-SI"/>
        </w:rPr>
      </w:pPr>
      <w:r w:rsidRPr="000A1F9E">
        <w:rPr>
          <w:rFonts w:cs="Arial"/>
          <w:color w:val="000000"/>
          <w:szCs w:val="20"/>
          <w:lang w:val="sl-SI" w:eastAsia="sl-SI"/>
        </w:rPr>
        <w:t>stroški nakupa in dobave nove mehanizacije oziroma opreme za gozdno semenarstvo, kontejnersko vzgojo in vzgojo gozdnega drevja,</w:t>
      </w:r>
    </w:p>
    <w:p w14:paraId="2F49D464" w14:textId="59EC22B4" w:rsidR="000A1F9E" w:rsidRPr="000A1F9E" w:rsidRDefault="000A1F9E" w:rsidP="000A1F9E">
      <w:pPr>
        <w:pStyle w:val="Odstavekseznama"/>
        <w:widowControl w:val="0"/>
        <w:numPr>
          <w:ilvl w:val="0"/>
          <w:numId w:val="15"/>
        </w:numPr>
        <w:jc w:val="both"/>
        <w:outlineLvl w:val="0"/>
        <w:rPr>
          <w:rFonts w:cs="Arial"/>
          <w:color w:val="000000"/>
          <w:szCs w:val="20"/>
          <w:lang w:val="sl-SI" w:eastAsia="sl-SI"/>
        </w:rPr>
      </w:pPr>
      <w:r w:rsidRPr="000A1F9E">
        <w:rPr>
          <w:rFonts w:cs="Arial"/>
          <w:color w:val="000000"/>
          <w:szCs w:val="20"/>
          <w:lang w:val="sl-SI" w:eastAsia="sl-SI"/>
        </w:rPr>
        <w:t xml:space="preserve">stroški nakupa in postavitve rastlinjakov in pripadajoče opreme </w:t>
      </w:r>
      <w:r w:rsidR="00C7559B">
        <w:rPr>
          <w:rFonts w:cs="Arial"/>
          <w:color w:val="000000"/>
          <w:szCs w:val="20"/>
          <w:lang w:val="sl-SI" w:eastAsia="sl-SI"/>
        </w:rPr>
        <w:t>za vzgojo gozdnega drevja,</w:t>
      </w:r>
    </w:p>
    <w:p w14:paraId="4EE9963E" w14:textId="183E548B" w:rsidR="00B14F4A" w:rsidRPr="00BA5A77" w:rsidRDefault="000A1F9E" w:rsidP="000A1F9E">
      <w:pPr>
        <w:pStyle w:val="Odstavekseznama"/>
        <w:widowControl w:val="0"/>
        <w:numPr>
          <w:ilvl w:val="0"/>
          <w:numId w:val="15"/>
        </w:numPr>
        <w:jc w:val="both"/>
        <w:outlineLvl w:val="0"/>
        <w:rPr>
          <w:rFonts w:cs="Arial"/>
          <w:b/>
          <w:color w:val="000000"/>
          <w:szCs w:val="20"/>
          <w:lang w:val="sl-SI" w:eastAsia="sl-SI"/>
        </w:rPr>
      </w:pPr>
      <w:r w:rsidRPr="000A1F9E">
        <w:rPr>
          <w:rFonts w:cs="Arial"/>
          <w:color w:val="000000"/>
          <w:szCs w:val="20"/>
          <w:lang w:val="sl-SI" w:eastAsia="sl-SI"/>
        </w:rPr>
        <w:t xml:space="preserve">splošni stroški iz </w:t>
      </w:r>
      <w:r w:rsidR="002B7C8D">
        <w:rPr>
          <w:rFonts w:cs="Arial"/>
          <w:color w:val="000000"/>
          <w:szCs w:val="20"/>
          <w:lang w:val="sl-SI" w:eastAsia="sl-SI"/>
        </w:rPr>
        <w:t xml:space="preserve">20. člena </w:t>
      </w:r>
      <w:r w:rsidRPr="000A1F9E">
        <w:rPr>
          <w:rFonts w:cs="Arial"/>
          <w:color w:val="000000"/>
          <w:szCs w:val="20"/>
          <w:lang w:val="sl-SI" w:eastAsia="sl-SI"/>
        </w:rPr>
        <w:t>uredbe o skupnih določbah za izvajanje intervencij</w:t>
      </w:r>
      <w:r w:rsidR="00CF7D65">
        <w:rPr>
          <w:rFonts w:cs="Arial"/>
          <w:color w:val="000000"/>
          <w:szCs w:val="20"/>
          <w:lang w:val="sl-SI" w:eastAsia="sl-SI"/>
        </w:rPr>
        <w:t xml:space="preserve">, </w:t>
      </w:r>
      <w:r w:rsidR="00CF7D65" w:rsidRPr="001D198F">
        <w:rPr>
          <w:rFonts w:cs="Arial"/>
          <w:color w:val="000000"/>
          <w:szCs w:val="20"/>
          <w:lang w:val="sl-SI" w:eastAsia="sl-SI"/>
        </w:rPr>
        <w:t xml:space="preserve">ki ne presegajo 10 </w:t>
      </w:r>
      <w:r w:rsidR="00CF7D65">
        <w:rPr>
          <w:rFonts w:cs="Arial"/>
          <w:color w:val="000000"/>
          <w:szCs w:val="20"/>
          <w:lang w:val="sl-SI" w:eastAsia="sl-SI"/>
        </w:rPr>
        <w:t>%</w:t>
      </w:r>
      <w:r w:rsidR="00CF7D65" w:rsidRPr="001D198F">
        <w:rPr>
          <w:rFonts w:cs="Arial"/>
          <w:color w:val="000000"/>
          <w:szCs w:val="20"/>
          <w:lang w:val="sl-SI" w:eastAsia="sl-SI"/>
        </w:rPr>
        <w:t xml:space="preserve"> upravičenih stroškov naložbe</w:t>
      </w:r>
      <w:r w:rsidR="00CE6032" w:rsidRPr="00BA5A77">
        <w:rPr>
          <w:rFonts w:cs="Arial"/>
          <w:color w:val="000000"/>
          <w:szCs w:val="20"/>
          <w:lang w:val="sl-SI" w:eastAsia="sl-SI"/>
        </w:rPr>
        <w:t>.</w:t>
      </w:r>
    </w:p>
    <w:p w14:paraId="43C99BD7" w14:textId="4AD1A90C" w:rsidR="00410863" w:rsidRPr="00FD6FEB" w:rsidRDefault="00410863" w:rsidP="00B06D79">
      <w:pPr>
        <w:pStyle w:val="Odstavekseznama"/>
        <w:widowControl w:val="0"/>
        <w:numPr>
          <w:ilvl w:val="0"/>
          <w:numId w:val="11"/>
        </w:numPr>
        <w:spacing w:line="240" w:lineRule="auto"/>
        <w:jc w:val="both"/>
        <w:outlineLvl w:val="0"/>
        <w:rPr>
          <w:rFonts w:cs="Arial"/>
          <w:szCs w:val="20"/>
          <w:lang w:val="sl-SI" w:eastAsia="sl-SI"/>
        </w:rPr>
      </w:pPr>
      <w:r w:rsidRPr="000873C2">
        <w:rPr>
          <w:rFonts w:cs="Arial"/>
          <w:szCs w:val="20"/>
          <w:lang w:val="sl-SI" w:eastAsia="sl-SI"/>
        </w:rPr>
        <w:t>Višina in vrsta upravičeni</w:t>
      </w:r>
      <w:r w:rsidR="00F44345" w:rsidRPr="000873C2">
        <w:rPr>
          <w:rFonts w:cs="Arial"/>
          <w:szCs w:val="20"/>
          <w:lang w:val="sl-SI" w:eastAsia="sl-SI"/>
        </w:rPr>
        <w:t xml:space="preserve">h stroškov se določi v skladu z drugim, tretjim in četrtim </w:t>
      </w:r>
      <w:r w:rsidR="006D1AE0">
        <w:rPr>
          <w:rFonts w:cs="Arial"/>
          <w:szCs w:val="20"/>
          <w:lang w:val="sl-SI" w:eastAsia="sl-SI"/>
        </w:rPr>
        <w:t xml:space="preserve">odstavkom </w:t>
      </w:r>
      <w:r w:rsidR="00F44345" w:rsidRPr="000873C2">
        <w:rPr>
          <w:rFonts w:cs="Arial"/>
          <w:szCs w:val="20"/>
          <w:lang w:val="sl-SI" w:eastAsia="sl-SI"/>
        </w:rPr>
        <w:t>41. člena</w:t>
      </w:r>
      <w:r w:rsidRPr="000873C2">
        <w:rPr>
          <w:rFonts w:cs="Arial"/>
          <w:szCs w:val="20"/>
          <w:lang w:val="sl-SI" w:eastAsia="sl-SI"/>
        </w:rPr>
        <w:t xml:space="preserve"> uredbe</w:t>
      </w:r>
      <w:r w:rsidR="00F44345" w:rsidRPr="000873C2">
        <w:rPr>
          <w:rFonts w:cs="Arial"/>
          <w:szCs w:val="20"/>
          <w:lang w:val="sl-SI" w:eastAsia="sl-SI"/>
        </w:rPr>
        <w:t>. Z</w:t>
      </w:r>
      <w:r w:rsidRPr="000873C2">
        <w:rPr>
          <w:rFonts w:cs="Arial"/>
          <w:szCs w:val="20"/>
          <w:lang w:val="sl-SI" w:eastAsia="sl-SI"/>
        </w:rPr>
        <w:t xml:space="preserve">a stroške na enoto se uporablja Seznam upravičenih stroškov na enoto – </w:t>
      </w:r>
      <w:r w:rsidR="00863DF0">
        <w:rPr>
          <w:rFonts w:cs="Arial"/>
          <w:szCs w:val="20"/>
          <w:lang w:val="sl-SI" w:eastAsia="sl-SI"/>
        </w:rPr>
        <w:t xml:space="preserve">gozdno </w:t>
      </w:r>
      <w:bookmarkStart w:id="0" w:name="_GoBack"/>
      <w:bookmarkEnd w:id="0"/>
      <w:r w:rsidRPr="000873C2">
        <w:rPr>
          <w:rFonts w:cs="Arial"/>
          <w:szCs w:val="20"/>
          <w:lang w:val="sl-SI" w:eastAsia="sl-SI"/>
        </w:rPr>
        <w:t>drevesničarstvo</w:t>
      </w:r>
      <w:r w:rsidR="002B7C8D" w:rsidRPr="000873C2">
        <w:rPr>
          <w:rFonts w:cs="Arial"/>
          <w:szCs w:val="20"/>
          <w:lang w:val="sl-SI" w:eastAsia="sl-SI"/>
        </w:rPr>
        <w:t>, ki je p</w:t>
      </w:r>
      <w:r w:rsidRPr="000873C2">
        <w:rPr>
          <w:rFonts w:cs="Arial"/>
          <w:szCs w:val="20"/>
          <w:lang w:val="sl-SI" w:eastAsia="sl-SI"/>
        </w:rPr>
        <w:t xml:space="preserve">riloga 1 razpisne dokumentacije in je pripravljen na podlagi kataloga stroškov na enoto iz </w:t>
      </w:r>
      <w:r w:rsidR="006D14CB" w:rsidRPr="000873C2">
        <w:rPr>
          <w:rFonts w:cs="Arial"/>
          <w:szCs w:val="20"/>
          <w:lang w:val="sl-SI" w:eastAsia="sl-SI"/>
        </w:rPr>
        <w:t xml:space="preserve">Pravilnika o katalogu stroškov in njihovih vrednostih na enoto (Uradni list RS, št. </w:t>
      </w:r>
      <w:r w:rsidR="009344C5" w:rsidRPr="000873C2">
        <w:rPr>
          <w:rFonts w:cs="Arial"/>
          <w:szCs w:val="20"/>
          <w:lang w:val="sl-SI" w:eastAsia="sl-SI"/>
        </w:rPr>
        <w:t>34</w:t>
      </w:r>
      <w:r w:rsidR="009D22F9">
        <w:rPr>
          <w:rFonts w:cs="Arial"/>
          <w:szCs w:val="20"/>
          <w:lang w:val="sl-SI" w:eastAsia="sl-SI"/>
        </w:rPr>
        <w:t>/</w:t>
      </w:r>
      <w:r w:rsidR="009D22F9" w:rsidRPr="00FD6FEB">
        <w:rPr>
          <w:rFonts w:cs="Arial"/>
          <w:szCs w:val="20"/>
          <w:lang w:val="sl-SI" w:eastAsia="sl-SI"/>
        </w:rPr>
        <w:t xml:space="preserve">24 in </w:t>
      </w:r>
      <w:r w:rsidR="00921BFE" w:rsidRPr="00FD6FEB">
        <w:rPr>
          <w:rFonts w:cs="Arial"/>
          <w:szCs w:val="20"/>
          <w:lang w:val="sl-SI" w:eastAsia="sl-SI"/>
        </w:rPr>
        <w:t>95</w:t>
      </w:r>
      <w:r w:rsidR="009D22F9" w:rsidRPr="00FD6FEB">
        <w:rPr>
          <w:rFonts w:cs="Arial"/>
          <w:szCs w:val="20"/>
          <w:lang w:val="sl-SI" w:eastAsia="sl-SI"/>
        </w:rPr>
        <w:t>/24).</w:t>
      </w:r>
    </w:p>
    <w:p w14:paraId="6685151A" w14:textId="2468BB4A" w:rsidR="00BA5A77" w:rsidRPr="00410863" w:rsidRDefault="00BA5A77" w:rsidP="00410863">
      <w:pPr>
        <w:pStyle w:val="Odstavekseznama"/>
        <w:widowControl w:val="0"/>
        <w:numPr>
          <w:ilvl w:val="0"/>
          <w:numId w:val="11"/>
        </w:numPr>
        <w:spacing w:line="240" w:lineRule="auto"/>
        <w:jc w:val="both"/>
        <w:outlineLvl w:val="0"/>
        <w:rPr>
          <w:rFonts w:cs="Arial"/>
          <w:szCs w:val="20"/>
          <w:lang w:val="sl-SI" w:eastAsia="sl-SI"/>
        </w:rPr>
      </w:pPr>
      <w:r w:rsidRPr="00FD6FEB">
        <w:rPr>
          <w:rFonts w:cs="Arial"/>
          <w:szCs w:val="20"/>
          <w:lang w:val="sl-SI" w:eastAsia="sl-SI"/>
        </w:rPr>
        <w:t>Podpora se ne dodeli za stroške, določene</w:t>
      </w:r>
      <w:r w:rsidRPr="00410863">
        <w:rPr>
          <w:rFonts w:cs="Arial"/>
          <w:szCs w:val="20"/>
          <w:lang w:val="sl-SI" w:eastAsia="sl-SI"/>
        </w:rPr>
        <w:t xml:space="preserve"> v </w:t>
      </w:r>
      <w:r w:rsidR="00D36D14">
        <w:rPr>
          <w:rFonts w:cs="Arial"/>
          <w:szCs w:val="20"/>
          <w:lang w:val="sl-SI" w:eastAsia="sl-SI"/>
        </w:rPr>
        <w:t xml:space="preserve">prvem odstavku </w:t>
      </w:r>
      <w:r w:rsidR="00503FAF">
        <w:rPr>
          <w:rFonts w:cs="Arial"/>
          <w:szCs w:val="20"/>
          <w:lang w:val="sl-SI" w:eastAsia="sl-SI"/>
        </w:rPr>
        <w:t>42. člena</w:t>
      </w:r>
      <w:r w:rsidRPr="00410863">
        <w:rPr>
          <w:rFonts w:cs="Arial"/>
          <w:szCs w:val="20"/>
          <w:lang w:val="sl-SI" w:eastAsia="sl-SI"/>
        </w:rPr>
        <w:t xml:space="preserve"> uredbe.</w:t>
      </w:r>
    </w:p>
    <w:p w14:paraId="0BFC18F2" w14:textId="6155A4AC" w:rsidR="00102335" w:rsidRDefault="00102335" w:rsidP="00102335">
      <w:pPr>
        <w:widowControl w:val="0"/>
        <w:spacing w:line="240" w:lineRule="auto"/>
        <w:ind w:left="360"/>
        <w:jc w:val="both"/>
        <w:outlineLvl w:val="0"/>
        <w:rPr>
          <w:rFonts w:cs="Arial"/>
          <w:szCs w:val="20"/>
          <w:lang w:val="sl-SI" w:eastAsia="sl-SI"/>
        </w:rPr>
      </w:pPr>
    </w:p>
    <w:p w14:paraId="5D1C5CEB" w14:textId="77777777" w:rsidR="00CE6032" w:rsidRPr="007A09BF" w:rsidRDefault="00CE6032" w:rsidP="00E70D1B">
      <w:pPr>
        <w:widowControl w:val="0"/>
        <w:jc w:val="both"/>
        <w:outlineLvl w:val="0"/>
        <w:rPr>
          <w:rFonts w:cs="Arial"/>
          <w:b/>
          <w:szCs w:val="20"/>
          <w:lang w:val="sl-SI"/>
        </w:rPr>
      </w:pPr>
    </w:p>
    <w:p w14:paraId="272E9EC6" w14:textId="77777777" w:rsidR="00E70D1B" w:rsidRPr="007A09BF" w:rsidRDefault="00E70D1B" w:rsidP="00E70D1B">
      <w:pPr>
        <w:widowControl w:val="0"/>
        <w:jc w:val="both"/>
        <w:outlineLvl w:val="0"/>
        <w:rPr>
          <w:rFonts w:cs="Arial"/>
          <w:b/>
          <w:szCs w:val="20"/>
          <w:lang w:val="sl-SI"/>
        </w:rPr>
      </w:pPr>
      <w:r w:rsidRPr="007A09BF">
        <w:rPr>
          <w:rFonts w:cs="Arial"/>
          <w:b/>
          <w:szCs w:val="20"/>
          <w:lang w:val="sl-SI"/>
        </w:rPr>
        <w:t>VI. MERILA ZA OCENJEVANJE VLOG IN TOČKOVNIK</w:t>
      </w:r>
    </w:p>
    <w:p w14:paraId="428DD810" w14:textId="77777777" w:rsidR="00E70D1B" w:rsidRPr="007A09BF" w:rsidRDefault="00E70D1B" w:rsidP="00E70D1B">
      <w:pPr>
        <w:rPr>
          <w:rFonts w:cs="Arial"/>
          <w:szCs w:val="20"/>
          <w:lang w:val="sl-SI"/>
        </w:rPr>
      </w:pPr>
    </w:p>
    <w:p w14:paraId="7C415C2A" w14:textId="32543EB1" w:rsidR="00490C1A" w:rsidRDefault="008C2BD4" w:rsidP="00490C1A">
      <w:pPr>
        <w:numPr>
          <w:ilvl w:val="0"/>
          <w:numId w:val="17"/>
        </w:numPr>
        <w:jc w:val="both"/>
        <w:rPr>
          <w:rFonts w:cs="Arial"/>
          <w:bCs/>
          <w:szCs w:val="20"/>
          <w:lang w:val="sl-SI"/>
        </w:rPr>
      </w:pPr>
      <w:r w:rsidRPr="00490C1A">
        <w:rPr>
          <w:rFonts w:cs="Arial"/>
          <w:bCs/>
          <w:szCs w:val="20"/>
          <w:lang w:val="sl-SI"/>
        </w:rPr>
        <w:t xml:space="preserve">Vloge, prispele na javni razpis, se ocenjujejo na podlagi meril za izbor iz </w:t>
      </w:r>
      <w:r w:rsidR="00D36D14" w:rsidRPr="00490C1A">
        <w:rPr>
          <w:rFonts w:cs="Arial"/>
          <w:bCs/>
          <w:szCs w:val="20"/>
          <w:lang w:val="sl-SI"/>
        </w:rPr>
        <w:t>prvega odstavka 34</w:t>
      </w:r>
      <w:r w:rsidRPr="00490C1A">
        <w:rPr>
          <w:rFonts w:cs="Arial"/>
          <w:bCs/>
          <w:szCs w:val="20"/>
          <w:lang w:val="sl-SI"/>
        </w:rPr>
        <w:t>.</w:t>
      </w:r>
      <w:r w:rsidR="00D36D14" w:rsidRPr="00490C1A">
        <w:rPr>
          <w:rFonts w:cs="Arial"/>
          <w:bCs/>
          <w:szCs w:val="20"/>
          <w:lang w:val="sl-SI"/>
        </w:rPr>
        <w:t xml:space="preserve"> člena uredbe, ki se v skladu s tretjim </w:t>
      </w:r>
      <w:r w:rsidR="000A1F9E" w:rsidRPr="00490C1A">
        <w:rPr>
          <w:rFonts w:cs="Arial"/>
          <w:bCs/>
          <w:szCs w:val="20"/>
          <w:lang w:val="sl-SI"/>
        </w:rPr>
        <w:t>odstavkom 34</w:t>
      </w:r>
      <w:r w:rsidRPr="00490C1A">
        <w:rPr>
          <w:rFonts w:cs="Arial"/>
          <w:bCs/>
          <w:szCs w:val="20"/>
          <w:lang w:val="sl-SI"/>
        </w:rPr>
        <w:t xml:space="preserve">. člena uredbe podrobneje opredelijo v tem javnem razpisu, določena pa so tudi v dokumentu »Merila za izbor operacij«, ki ga je sprejel organ upravljanja in je dostopen na spletni strani skupne kmetijske politike: </w:t>
      </w:r>
      <w:r w:rsidR="00490C1A" w:rsidRPr="00490C1A">
        <w:rPr>
          <w:rFonts w:cs="Arial"/>
          <w:bCs/>
          <w:szCs w:val="20"/>
          <w:lang w:val="sl-SI"/>
        </w:rPr>
        <w:t>https://skp.si/wp-content/uploads/2024/09/Merila_za_izbor_operacij_SN_2023-2027_EKSRP_5.sprememba_P.pdf</w:t>
      </w:r>
    </w:p>
    <w:p w14:paraId="3BD1DF42" w14:textId="0495A757" w:rsidR="008C2BD4" w:rsidRPr="00490C1A" w:rsidRDefault="008C2BD4" w:rsidP="00490C1A">
      <w:pPr>
        <w:numPr>
          <w:ilvl w:val="0"/>
          <w:numId w:val="17"/>
        </w:numPr>
        <w:jc w:val="both"/>
        <w:rPr>
          <w:rFonts w:cs="Arial"/>
          <w:bCs/>
          <w:szCs w:val="20"/>
          <w:lang w:val="sl-SI"/>
        </w:rPr>
      </w:pPr>
      <w:r w:rsidRPr="00490C1A">
        <w:rPr>
          <w:rFonts w:cs="Arial"/>
          <w:bCs/>
          <w:szCs w:val="20"/>
          <w:lang w:val="sl-SI"/>
        </w:rPr>
        <w:t>Vstopn</w:t>
      </w:r>
      <w:r w:rsidR="000A1F9E" w:rsidRPr="00490C1A">
        <w:rPr>
          <w:rFonts w:cs="Arial"/>
          <w:bCs/>
          <w:szCs w:val="20"/>
          <w:lang w:val="sl-SI"/>
        </w:rPr>
        <w:t>i prag za naložbe ustanovitev in razvoj gozdnega drevesničarstva znaša</w:t>
      </w:r>
      <w:r w:rsidRPr="00490C1A">
        <w:rPr>
          <w:rFonts w:cs="Arial"/>
          <w:bCs/>
          <w:szCs w:val="20"/>
          <w:lang w:val="sl-SI"/>
        </w:rPr>
        <w:t xml:space="preserve"> 4</w:t>
      </w:r>
      <w:r w:rsidR="000A1F9E" w:rsidRPr="00490C1A">
        <w:rPr>
          <w:rFonts w:cs="Arial"/>
          <w:bCs/>
          <w:szCs w:val="20"/>
          <w:lang w:val="sl-SI"/>
        </w:rPr>
        <w:t>0</w:t>
      </w:r>
      <w:r w:rsidRPr="00490C1A">
        <w:rPr>
          <w:rFonts w:cs="Arial"/>
          <w:bCs/>
          <w:szCs w:val="20"/>
          <w:lang w:val="sl-SI"/>
        </w:rPr>
        <w:t xml:space="preserve"> </w:t>
      </w:r>
      <w:r w:rsidR="00B65472" w:rsidRPr="00490C1A">
        <w:rPr>
          <w:rFonts w:cs="Arial"/>
          <w:bCs/>
          <w:szCs w:val="20"/>
          <w:lang w:val="sl-SI"/>
        </w:rPr>
        <w:t>%</w:t>
      </w:r>
      <w:r w:rsidRPr="00490C1A">
        <w:rPr>
          <w:rFonts w:cs="Arial"/>
          <w:bCs/>
          <w:szCs w:val="20"/>
          <w:lang w:val="sl-SI"/>
        </w:rPr>
        <w:t xml:space="preserve"> najvišjega možnega števila točk. </w:t>
      </w:r>
    </w:p>
    <w:p w14:paraId="3EC2760C" w14:textId="77777777" w:rsidR="008C2BD4" w:rsidRPr="008C2BD4" w:rsidRDefault="008C2BD4" w:rsidP="008C2BD4">
      <w:pPr>
        <w:numPr>
          <w:ilvl w:val="0"/>
          <w:numId w:val="17"/>
        </w:numPr>
        <w:jc w:val="both"/>
        <w:rPr>
          <w:rFonts w:cs="Arial"/>
          <w:szCs w:val="20"/>
          <w:lang w:val="sl-SI"/>
        </w:rPr>
      </w:pPr>
      <w:r w:rsidRPr="008C2BD4">
        <w:rPr>
          <w:rFonts w:cs="Arial"/>
          <w:szCs w:val="20"/>
          <w:lang w:val="sl-SI"/>
        </w:rPr>
        <w:lastRenderedPageBreak/>
        <w:t>Pri ocenjevanju vlog na podlagi meril za ocenjevanje vlog se upošteva stanje ob oddaji vloge na javni razpis oziroma načrtovano stanje ob zaključku naložbe. Ocenjevanje vlog se izvede na podlagi prijavnega obrazca in priloženih prilog ter podatkov iz uradnih evidenc. Če posamezno merilo ni izbrano ali se zanj ne predloži vseh prilog, dokazil oziroma so priloge in dokazila neustrezna, se vloga na podlagi tega merila oceni z 0 točkami.</w:t>
      </w:r>
    </w:p>
    <w:p w14:paraId="45378C37" w14:textId="7F53C626" w:rsidR="008C2BD4" w:rsidRPr="003A356B" w:rsidRDefault="008C2BD4" w:rsidP="008C2BD4">
      <w:pPr>
        <w:numPr>
          <w:ilvl w:val="0"/>
          <w:numId w:val="17"/>
        </w:numPr>
        <w:jc w:val="both"/>
        <w:rPr>
          <w:rFonts w:cs="Arial"/>
          <w:b/>
          <w:szCs w:val="20"/>
          <w:lang w:val="sl-SI"/>
        </w:rPr>
      </w:pPr>
      <w:r w:rsidRPr="008C2BD4">
        <w:rPr>
          <w:rFonts w:cs="Arial"/>
          <w:bCs/>
          <w:szCs w:val="20"/>
          <w:lang w:val="sl-SI"/>
        </w:rPr>
        <w:t>Vloga se oceni na podlagi naslednjih meril:</w:t>
      </w:r>
    </w:p>
    <w:p w14:paraId="4BE597B1" w14:textId="7D9DE65E" w:rsidR="003A356B" w:rsidRDefault="003A356B" w:rsidP="003A356B">
      <w:pPr>
        <w:ind w:left="360"/>
        <w:jc w:val="both"/>
        <w:rPr>
          <w:rFonts w:cs="Arial"/>
          <w:b/>
          <w:szCs w:val="20"/>
          <w:lang w:val="sl-SI"/>
        </w:rPr>
      </w:pPr>
    </w:p>
    <w:p w14:paraId="2D9B8FF9" w14:textId="6619BC0C" w:rsidR="003A356B" w:rsidRPr="003A356B" w:rsidRDefault="003A356B" w:rsidP="003A356B">
      <w:pPr>
        <w:pStyle w:val="Odstavekseznama"/>
        <w:numPr>
          <w:ilvl w:val="1"/>
          <w:numId w:val="17"/>
        </w:numPr>
        <w:ind w:left="426" w:hanging="426"/>
        <w:jc w:val="both"/>
        <w:rPr>
          <w:rFonts w:cs="Arial"/>
          <w:szCs w:val="20"/>
          <w:lang w:val="sl-SI"/>
        </w:rPr>
      </w:pPr>
      <w:r w:rsidRPr="003A356B">
        <w:rPr>
          <w:rFonts w:cs="Arial"/>
          <w:szCs w:val="20"/>
          <w:lang w:val="sl-SI"/>
        </w:rPr>
        <w:t>Merila za naložbe v ustanovitev in razvoj gozdnega drevesničarstva</w:t>
      </w:r>
    </w:p>
    <w:p w14:paraId="582B1312" w14:textId="77777777" w:rsidR="000A1F9E" w:rsidRPr="000A1F9E" w:rsidRDefault="000A1F9E" w:rsidP="000A1F9E">
      <w:pPr>
        <w:rPr>
          <w:rFonts w:cs="Arial"/>
          <w:i/>
          <w:szCs w:val="20"/>
          <w:u w:val="single"/>
          <w:lang w:val="sl-SI"/>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4"/>
        <w:gridCol w:w="2335"/>
      </w:tblGrid>
      <w:tr w:rsidR="000A1F9E" w:rsidRPr="000A1F9E" w14:paraId="3EF3F8CC" w14:textId="77777777" w:rsidTr="004F3A30">
        <w:trPr>
          <w:trHeight w:val="546"/>
        </w:trPr>
        <w:tc>
          <w:tcPr>
            <w:tcW w:w="68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878EF5" w14:textId="77777777" w:rsidR="000A1F9E" w:rsidRPr="000A1F9E" w:rsidRDefault="000A1F9E" w:rsidP="000A1F9E">
            <w:pPr>
              <w:rPr>
                <w:rFonts w:cs="Arial"/>
                <w:b/>
                <w:szCs w:val="20"/>
                <w:lang w:val="sl-SI"/>
              </w:rPr>
            </w:pPr>
            <w:r w:rsidRPr="000A1F9E">
              <w:rPr>
                <w:rFonts w:cs="Arial"/>
                <w:b/>
                <w:szCs w:val="20"/>
                <w:lang w:val="sl-SI"/>
              </w:rPr>
              <w:t>Merila</w:t>
            </w:r>
          </w:p>
        </w:tc>
        <w:tc>
          <w:tcPr>
            <w:tcW w:w="2335" w:type="dxa"/>
            <w:tcBorders>
              <w:top w:val="single" w:sz="4" w:space="0" w:color="auto"/>
              <w:left w:val="single" w:sz="4" w:space="0" w:color="auto"/>
              <w:bottom w:val="single" w:sz="4" w:space="0" w:color="auto"/>
              <w:right w:val="single" w:sz="4" w:space="0" w:color="auto"/>
            </w:tcBorders>
            <w:shd w:val="clear" w:color="auto" w:fill="BFBFBF"/>
            <w:vAlign w:val="center"/>
          </w:tcPr>
          <w:p w14:paraId="7683F251" w14:textId="77777777" w:rsidR="000A1F9E" w:rsidRPr="000A1F9E" w:rsidRDefault="000A1F9E" w:rsidP="000A1F9E">
            <w:pPr>
              <w:rPr>
                <w:rFonts w:cs="Arial"/>
                <w:b/>
                <w:szCs w:val="20"/>
                <w:lang w:val="sl-SI"/>
              </w:rPr>
            </w:pPr>
            <w:r w:rsidRPr="000A1F9E">
              <w:rPr>
                <w:rFonts w:cs="Arial"/>
                <w:b/>
                <w:szCs w:val="20"/>
                <w:lang w:val="sl-SI"/>
              </w:rPr>
              <w:t>Maksimalno število točk</w:t>
            </w:r>
          </w:p>
        </w:tc>
      </w:tr>
      <w:tr w:rsidR="000A1F9E" w:rsidRPr="000A1F9E" w14:paraId="5CB19944" w14:textId="77777777" w:rsidTr="004F3A30">
        <w:trPr>
          <w:cantSplit/>
          <w:trHeight w:val="211"/>
        </w:trPr>
        <w:tc>
          <w:tcPr>
            <w:tcW w:w="6804" w:type="dxa"/>
            <w:tcBorders>
              <w:top w:val="single" w:sz="4" w:space="0" w:color="auto"/>
              <w:left w:val="single" w:sz="4" w:space="0" w:color="auto"/>
              <w:bottom w:val="single" w:sz="4" w:space="0" w:color="auto"/>
              <w:right w:val="single" w:sz="4" w:space="0" w:color="auto"/>
            </w:tcBorders>
            <w:vAlign w:val="center"/>
          </w:tcPr>
          <w:p w14:paraId="309C8F30" w14:textId="77777777" w:rsidR="000A1F9E" w:rsidRPr="000A1F9E" w:rsidRDefault="000A1F9E" w:rsidP="00BE7326">
            <w:pPr>
              <w:spacing w:line="360" w:lineRule="auto"/>
              <w:rPr>
                <w:rFonts w:cs="Arial"/>
                <w:szCs w:val="20"/>
                <w:lang w:val="sl-SI"/>
              </w:rPr>
            </w:pPr>
            <w:r w:rsidRPr="000A1F9E">
              <w:rPr>
                <w:rFonts w:cs="Arial"/>
                <w:szCs w:val="20"/>
                <w:lang w:val="sl-SI"/>
              </w:rPr>
              <w:t>Velikost gozdne drevesnice</w:t>
            </w:r>
          </w:p>
        </w:tc>
        <w:tc>
          <w:tcPr>
            <w:tcW w:w="2335" w:type="dxa"/>
            <w:tcBorders>
              <w:top w:val="nil"/>
              <w:left w:val="single" w:sz="4" w:space="0" w:color="auto"/>
              <w:bottom w:val="single" w:sz="4" w:space="0" w:color="auto"/>
              <w:right w:val="single" w:sz="4" w:space="0" w:color="auto"/>
            </w:tcBorders>
            <w:vAlign w:val="center"/>
          </w:tcPr>
          <w:p w14:paraId="012DFF8E" w14:textId="77777777" w:rsidR="000A1F9E" w:rsidRPr="000A1F9E" w:rsidRDefault="000A1F9E" w:rsidP="00BE7326">
            <w:pPr>
              <w:spacing w:line="360" w:lineRule="auto"/>
              <w:jc w:val="center"/>
              <w:rPr>
                <w:rFonts w:cs="Arial"/>
                <w:szCs w:val="20"/>
                <w:lang w:val="sl-SI"/>
              </w:rPr>
            </w:pPr>
            <w:r w:rsidRPr="000A1F9E">
              <w:rPr>
                <w:rFonts w:cs="Arial"/>
                <w:szCs w:val="20"/>
                <w:lang w:val="sl-SI"/>
              </w:rPr>
              <w:t>30</w:t>
            </w:r>
          </w:p>
        </w:tc>
      </w:tr>
      <w:tr w:rsidR="000A1F9E" w:rsidRPr="000A1F9E" w14:paraId="1EF59127" w14:textId="77777777" w:rsidTr="004F3A30">
        <w:trPr>
          <w:cantSplit/>
          <w:trHeight w:val="211"/>
        </w:trPr>
        <w:tc>
          <w:tcPr>
            <w:tcW w:w="6804" w:type="dxa"/>
            <w:tcBorders>
              <w:top w:val="single" w:sz="4" w:space="0" w:color="auto"/>
              <w:left w:val="single" w:sz="4" w:space="0" w:color="auto"/>
              <w:bottom w:val="single" w:sz="4" w:space="0" w:color="auto"/>
              <w:right w:val="single" w:sz="4" w:space="0" w:color="auto"/>
            </w:tcBorders>
            <w:vAlign w:val="center"/>
          </w:tcPr>
          <w:p w14:paraId="2451A5C4" w14:textId="77777777" w:rsidR="000A1F9E" w:rsidRPr="000A1F9E" w:rsidRDefault="000A1F9E" w:rsidP="00BE7326">
            <w:pPr>
              <w:spacing w:line="360" w:lineRule="auto"/>
              <w:rPr>
                <w:rFonts w:cs="Arial"/>
                <w:szCs w:val="20"/>
                <w:lang w:val="sl-SI"/>
              </w:rPr>
            </w:pPr>
            <w:r w:rsidRPr="000A1F9E">
              <w:rPr>
                <w:rFonts w:cs="Arial"/>
                <w:szCs w:val="20"/>
                <w:lang w:val="sl-SI"/>
              </w:rPr>
              <w:t xml:space="preserve">Število zaposlenih v podjetju </w:t>
            </w:r>
          </w:p>
        </w:tc>
        <w:tc>
          <w:tcPr>
            <w:tcW w:w="2335" w:type="dxa"/>
            <w:tcBorders>
              <w:top w:val="single" w:sz="4" w:space="0" w:color="auto"/>
              <w:left w:val="single" w:sz="4" w:space="0" w:color="auto"/>
              <w:bottom w:val="single" w:sz="4" w:space="0" w:color="auto"/>
              <w:right w:val="single" w:sz="4" w:space="0" w:color="auto"/>
            </w:tcBorders>
            <w:vAlign w:val="center"/>
          </w:tcPr>
          <w:p w14:paraId="6B5109E5" w14:textId="77777777" w:rsidR="000A1F9E" w:rsidRPr="000A1F9E" w:rsidRDefault="000A1F9E" w:rsidP="00BE7326">
            <w:pPr>
              <w:spacing w:line="360" w:lineRule="auto"/>
              <w:jc w:val="center"/>
              <w:rPr>
                <w:rFonts w:cs="Arial"/>
                <w:szCs w:val="20"/>
                <w:lang w:val="sl-SI"/>
              </w:rPr>
            </w:pPr>
            <w:r w:rsidRPr="000A1F9E">
              <w:rPr>
                <w:rFonts w:cs="Arial"/>
                <w:szCs w:val="20"/>
                <w:lang w:val="sl-SI"/>
              </w:rPr>
              <w:t>20</w:t>
            </w:r>
          </w:p>
        </w:tc>
      </w:tr>
      <w:tr w:rsidR="000A1F9E" w:rsidRPr="000A1F9E" w14:paraId="071F8F46" w14:textId="77777777" w:rsidTr="004F3A30">
        <w:trPr>
          <w:cantSplit/>
          <w:trHeight w:val="211"/>
        </w:trPr>
        <w:tc>
          <w:tcPr>
            <w:tcW w:w="6804" w:type="dxa"/>
            <w:tcBorders>
              <w:top w:val="single" w:sz="4" w:space="0" w:color="auto"/>
              <w:left w:val="single" w:sz="4" w:space="0" w:color="auto"/>
              <w:bottom w:val="single" w:sz="4" w:space="0" w:color="auto"/>
              <w:right w:val="single" w:sz="4" w:space="0" w:color="auto"/>
            </w:tcBorders>
            <w:vAlign w:val="center"/>
          </w:tcPr>
          <w:p w14:paraId="4DCE3B7E" w14:textId="77777777" w:rsidR="000A1F9E" w:rsidRPr="000A1F9E" w:rsidRDefault="000A1F9E" w:rsidP="00BE7326">
            <w:pPr>
              <w:spacing w:line="360" w:lineRule="auto"/>
              <w:rPr>
                <w:rFonts w:cs="Arial"/>
                <w:szCs w:val="20"/>
                <w:lang w:val="sl-SI"/>
              </w:rPr>
            </w:pPr>
            <w:r w:rsidRPr="000A1F9E">
              <w:rPr>
                <w:rFonts w:cs="Arial"/>
                <w:szCs w:val="20"/>
                <w:lang w:val="sl-SI"/>
              </w:rPr>
              <w:t>Sklenjene pogodbe za odkup sadik gozdnega drevja</w:t>
            </w:r>
          </w:p>
        </w:tc>
        <w:tc>
          <w:tcPr>
            <w:tcW w:w="2335" w:type="dxa"/>
            <w:tcBorders>
              <w:top w:val="single" w:sz="4" w:space="0" w:color="auto"/>
              <w:left w:val="single" w:sz="4" w:space="0" w:color="auto"/>
              <w:bottom w:val="single" w:sz="4" w:space="0" w:color="auto"/>
              <w:right w:val="single" w:sz="4" w:space="0" w:color="auto"/>
            </w:tcBorders>
            <w:vAlign w:val="center"/>
          </w:tcPr>
          <w:p w14:paraId="7BCD1EB2" w14:textId="77777777" w:rsidR="000A1F9E" w:rsidRPr="000A1F9E" w:rsidRDefault="000A1F9E" w:rsidP="00BE7326">
            <w:pPr>
              <w:spacing w:line="360" w:lineRule="auto"/>
              <w:jc w:val="center"/>
              <w:rPr>
                <w:rFonts w:cs="Arial"/>
                <w:szCs w:val="20"/>
                <w:lang w:val="sl-SI"/>
              </w:rPr>
            </w:pPr>
            <w:r w:rsidRPr="000A1F9E">
              <w:rPr>
                <w:rFonts w:cs="Arial"/>
                <w:szCs w:val="20"/>
                <w:lang w:val="sl-SI"/>
              </w:rPr>
              <w:t>10</w:t>
            </w:r>
          </w:p>
        </w:tc>
      </w:tr>
      <w:tr w:rsidR="000A1F9E" w:rsidRPr="000A1F9E" w14:paraId="6979EA17" w14:textId="77777777" w:rsidTr="004F3A30">
        <w:trPr>
          <w:cantSplit/>
          <w:trHeight w:val="211"/>
        </w:trPr>
        <w:tc>
          <w:tcPr>
            <w:tcW w:w="6804" w:type="dxa"/>
            <w:tcBorders>
              <w:top w:val="single" w:sz="4" w:space="0" w:color="auto"/>
              <w:left w:val="single" w:sz="4" w:space="0" w:color="auto"/>
              <w:bottom w:val="single" w:sz="4" w:space="0" w:color="auto"/>
              <w:right w:val="single" w:sz="4" w:space="0" w:color="auto"/>
            </w:tcBorders>
            <w:vAlign w:val="center"/>
          </w:tcPr>
          <w:p w14:paraId="60C8269A" w14:textId="77777777" w:rsidR="000A1F9E" w:rsidRPr="000A1F9E" w:rsidRDefault="000A1F9E" w:rsidP="00BE7326">
            <w:pPr>
              <w:spacing w:line="360" w:lineRule="auto"/>
              <w:rPr>
                <w:rFonts w:cs="Arial"/>
                <w:szCs w:val="20"/>
                <w:lang w:val="sl-SI"/>
              </w:rPr>
            </w:pPr>
            <w:r w:rsidRPr="000A1F9E">
              <w:rPr>
                <w:rFonts w:cs="Arial"/>
                <w:szCs w:val="20"/>
                <w:lang w:val="sl-SI"/>
              </w:rPr>
              <w:t>Število drevesničarskih dejavnosti, ki jih dobavitelj opravlja</w:t>
            </w:r>
          </w:p>
        </w:tc>
        <w:tc>
          <w:tcPr>
            <w:tcW w:w="2335" w:type="dxa"/>
            <w:tcBorders>
              <w:top w:val="single" w:sz="4" w:space="0" w:color="auto"/>
              <w:left w:val="single" w:sz="4" w:space="0" w:color="auto"/>
              <w:bottom w:val="single" w:sz="4" w:space="0" w:color="auto"/>
              <w:right w:val="single" w:sz="4" w:space="0" w:color="auto"/>
            </w:tcBorders>
            <w:vAlign w:val="center"/>
          </w:tcPr>
          <w:p w14:paraId="797DC84B" w14:textId="77777777" w:rsidR="000A1F9E" w:rsidRPr="000A1F9E" w:rsidRDefault="000A1F9E" w:rsidP="00BE7326">
            <w:pPr>
              <w:spacing w:line="360" w:lineRule="auto"/>
              <w:jc w:val="center"/>
              <w:rPr>
                <w:rFonts w:cs="Arial"/>
                <w:szCs w:val="20"/>
                <w:lang w:val="sl-SI"/>
              </w:rPr>
            </w:pPr>
            <w:r w:rsidRPr="000A1F9E">
              <w:rPr>
                <w:rFonts w:cs="Arial"/>
                <w:szCs w:val="20"/>
                <w:lang w:val="sl-SI"/>
              </w:rPr>
              <w:t>20</w:t>
            </w:r>
          </w:p>
        </w:tc>
      </w:tr>
      <w:tr w:rsidR="000A1F9E" w:rsidRPr="000A1F9E" w14:paraId="5D5B654F" w14:textId="77777777" w:rsidTr="004F3A30">
        <w:trPr>
          <w:cantSplit/>
          <w:trHeight w:val="211"/>
        </w:trPr>
        <w:tc>
          <w:tcPr>
            <w:tcW w:w="6804" w:type="dxa"/>
            <w:tcBorders>
              <w:top w:val="single" w:sz="4" w:space="0" w:color="auto"/>
              <w:left w:val="single" w:sz="4" w:space="0" w:color="auto"/>
              <w:bottom w:val="single" w:sz="4" w:space="0" w:color="auto"/>
              <w:right w:val="single" w:sz="4" w:space="0" w:color="auto"/>
            </w:tcBorders>
            <w:vAlign w:val="center"/>
          </w:tcPr>
          <w:p w14:paraId="05167683" w14:textId="77777777" w:rsidR="000A1F9E" w:rsidRPr="000A1F9E" w:rsidRDefault="000A1F9E" w:rsidP="00BE7326">
            <w:pPr>
              <w:spacing w:line="360" w:lineRule="auto"/>
              <w:rPr>
                <w:rFonts w:cs="Arial"/>
                <w:szCs w:val="20"/>
                <w:lang w:val="sl-SI"/>
              </w:rPr>
            </w:pPr>
            <w:r w:rsidRPr="000A1F9E">
              <w:rPr>
                <w:rFonts w:cs="Arial"/>
                <w:szCs w:val="20"/>
                <w:lang w:val="sl-SI"/>
              </w:rPr>
              <w:t>Število enot pridelave</w:t>
            </w:r>
          </w:p>
        </w:tc>
        <w:tc>
          <w:tcPr>
            <w:tcW w:w="2335" w:type="dxa"/>
            <w:tcBorders>
              <w:top w:val="single" w:sz="4" w:space="0" w:color="auto"/>
              <w:left w:val="single" w:sz="4" w:space="0" w:color="auto"/>
              <w:bottom w:val="single" w:sz="4" w:space="0" w:color="auto"/>
              <w:right w:val="single" w:sz="4" w:space="0" w:color="auto"/>
            </w:tcBorders>
            <w:vAlign w:val="center"/>
          </w:tcPr>
          <w:p w14:paraId="49CD2042" w14:textId="77777777" w:rsidR="000A1F9E" w:rsidRPr="000A1F9E" w:rsidRDefault="000A1F9E" w:rsidP="00BE7326">
            <w:pPr>
              <w:spacing w:line="360" w:lineRule="auto"/>
              <w:jc w:val="center"/>
              <w:rPr>
                <w:rFonts w:cs="Arial"/>
                <w:szCs w:val="20"/>
                <w:lang w:val="sl-SI"/>
              </w:rPr>
            </w:pPr>
            <w:r w:rsidRPr="000A1F9E">
              <w:rPr>
                <w:rFonts w:cs="Arial"/>
                <w:szCs w:val="20"/>
                <w:lang w:val="sl-SI"/>
              </w:rPr>
              <w:t>20</w:t>
            </w:r>
          </w:p>
        </w:tc>
      </w:tr>
      <w:tr w:rsidR="000A1F9E" w:rsidRPr="000A1F9E" w14:paraId="7353ACF5" w14:textId="77777777" w:rsidTr="004F3A30">
        <w:trPr>
          <w:cantSplit/>
          <w:trHeight w:val="56"/>
        </w:trPr>
        <w:tc>
          <w:tcPr>
            <w:tcW w:w="6804" w:type="dxa"/>
            <w:tcBorders>
              <w:top w:val="single" w:sz="4" w:space="0" w:color="auto"/>
              <w:left w:val="single" w:sz="4" w:space="0" w:color="auto"/>
              <w:bottom w:val="single" w:sz="4" w:space="0" w:color="auto"/>
              <w:right w:val="single" w:sz="4" w:space="0" w:color="auto"/>
            </w:tcBorders>
            <w:shd w:val="clear" w:color="auto" w:fill="BFBFBF"/>
            <w:vAlign w:val="center"/>
          </w:tcPr>
          <w:p w14:paraId="164A5FAB" w14:textId="77777777" w:rsidR="000A1F9E" w:rsidRPr="000A1F9E" w:rsidRDefault="000A1F9E" w:rsidP="000A1F9E">
            <w:pPr>
              <w:rPr>
                <w:rFonts w:cs="Arial"/>
                <w:b/>
                <w:szCs w:val="20"/>
                <w:lang w:val="sl-SI"/>
              </w:rPr>
            </w:pPr>
            <w:r w:rsidRPr="000A1F9E">
              <w:rPr>
                <w:rFonts w:cs="Arial"/>
                <w:b/>
                <w:szCs w:val="20"/>
                <w:lang w:val="sl-SI"/>
              </w:rPr>
              <w:t>SKUPAJ</w:t>
            </w:r>
          </w:p>
        </w:tc>
        <w:tc>
          <w:tcPr>
            <w:tcW w:w="2335" w:type="dxa"/>
            <w:tcBorders>
              <w:top w:val="single" w:sz="4" w:space="0" w:color="auto"/>
              <w:left w:val="single" w:sz="4" w:space="0" w:color="auto"/>
              <w:bottom w:val="single" w:sz="4" w:space="0" w:color="auto"/>
              <w:right w:val="single" w:sz="4" w:space="0" w:color="auto"/>
            </w:tcBorders>
            <w:shd w:val="clear" w:color="auto" w:fill="BFBFBF"/>
            <w:vAlign w:val="center"/>
          </w:tcPr>
          <w:p w14:paraId="3E44E00A" w14:textId="77777777" w:rsidR="000A1F9E" w:rsidRPr="000A1F9E" w:rsidRDefault="000A1F9E" w:rsidP="000A1F9E">
            <w:pPr>
              <w:jc w:val="center"/>
              <w:rPr>
                <w:rFonts w:cs="Arial"/>
                <w:b/>
                <w:szCs w:val="20"/>
                <w:lang w:val="sl-SI"/>
              </w:rPr>
            </w:pPr>
            <w:r w:rsidRPr="000A1F9E">
              <w:rPr>
                <w:rFonts w:cs="Arial"/>
                <w:b/>
                <w:szCs w:val="20"/>
                <w:lang w:val="sl-SI"/>
              </w:rPr>
              <w:t>100</w:t>
            </w:r>
          </w:p>
        </w:tc>
      </w:tr>
    </w:tbl>
    <w:p w14:paraId="6C1F1E39" w14:textId="22267E4A" w:rsidR="000A1F9E" w:rsidRDefault="000A1F9E" w:rsidP="000A1F9E">
      <w:pPr>
        <w:rPr>
          <w:rFonts w:cs="Arial"/>
          <w:szCs w:val="20"/>
          <w:lang w:val="en-GB"/>
        </w:rPr>
      </w:pPr>
    </w:p>
    <w:p w14:paraId="39C792FB" w14:textId="6C06A285" w:rsidR="003A356B" w:rsidRPr="003A356B" w:rsidRDefault="003A356B" w:rsidP="003A356B">
      <w:pPr>
        <w:ind w:left="426" w:hanging="426"/>
        <w:rPr>
          <w:rFonts w:cs="Arial"/>
          <w:szCs w:val="20"/>
          <w:lang w:val="sl-SI"/>
        </w:rPr>
      </w:pPr>
      <w:r w:rsidRPr="003A356B">
        <w:rPr>
          <w:rFonts w:cs="Arial"/>
          <w:szCs w:val="20"/>
          <w:lang w:val="en-GB"/>
        </w:rPr>
        <w:t>4.</w:t>
      </w:r>
      <w:r>
        <w:rPr>
          <w:rFonts w:cs="Arial"/>
          <w:szCs w:val="20"/>
          <w:lang w:val="en-GB"/>
        </w:rPr>
        <w:t>2</w:t>
      </w:r>
      <w:r w:rsidRPr="003A356B">
        <w:rPr>
          <w:rFonts w:cs="Arial"/>
          <w:szCs w:val="20"/>
          <w:lang w:val="en-GB"/>
        </w:rPr>
        <w:t>.</w:t>
      </w:r>
      <w:r w:rsidRPr="003A356B">
        <w:rPr>
          <w:rFonts w:cs="Arial"/>
          <w:szCs w:val="20"/>
          <w:lang w:val="en-GB"/>
        </w:rPr>
        <w:tab/>
      </w:r>
      <w:r w:rsidRPr="003A356B">
        <w:rPr>
          <w:rFonts w:cs="Arial"/>
          <w:szCs w:val="20"/>
          <w:lang w:val="sl-SI"/>
        </w:rPr>
        <w:t>Točkovnik za naložbe v ustanovitev in razvoj gozdnega drevesničarstva</w:t>
      </w:r>
    </w:p>
    <w:p w14:paraId="6B77DB11" w14:textId="77777777" w:rsidR="003A356B" w:rsidRPr="003A356B" w:rsidRDefault="003A356B" w:rsidP="000A1F9E">
      <w:pPr>
        <w:rPr>
          <w:rFonts w:cs="Arial"/>
          <w:szCs w:val="20"/>
          <w:lang w:val="sl-SI"/>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0A1F9E" w:rsidRPr="000A1F9E" w14:paraId="63ABF10C" w14:textId="77777777" w:rsidTr="004F3A30">
        <w:trPr>
          <w:cantSplit/>
        </w:trPr>
        <w:tc>
          <w:tcPr>
            <w:tcW w:w="9180" w:type="dxa"/>
            <w:shd w:val="clear" w:color="auto" w:fill="F3F3F3"/>
          </w:tcPr>
          <w:p w14:paraId="00D76E37" w14:textId="77777777" w:rsidR="000A1F9E" w:rsidRPr="000A1F9E" w:rsidRDefault="000A1F9E" w:rsidP="000A1F9E">
            <w:pPr>
              <w:rPr>
                <w:rFonts w:cs="Arial"/>
                <w:i/>
                <w:iCs/>
                <w:szCs w:val="20"/>
                <w:lang w:val="sl-SI"/>
              </w:rPr>
            </w:pPr>
            <w:r w:rsidRPr="000A1F9E">
              <w:rPr>
                <w:rFonts w:cs="Arial"/>
                <w:i/>
                <w:iCs/>
                <w:szCs w:val="20"/>
                <w:lang w:val="sl-SI"/>
              </w:rPr>
              <w:t>Maksimalno število točk</w:t>
            </w:r>
            <w:r w:rsidRPr="000A1F9E">
              <w:rPr>
                <w:rFonts w:cs="Arial"/>
                <w:i/>
                <w:iCs/>
                <w:szCs w:val="20"/>
                <w:lang w:val="sl-SI"/>
              </w:rPr>
              <w:tab/>
              <w:t xml:space="preserve"> = 100 točk</w:t>
            </w:r>
          </w:p>
        </w:tc>
      </w:tr>
    </w:tbl>
    <w:p w14:paraId="564B349F" w14:textId="77777777" w:rsidR="000A1F9E" w:rsidRPr="000A1F9E" w:rsidRDefault="000A1F9E" w:rsidP="000A1F9E">
      <w:pPr>
        <w:rPr>
          <w:rFonts w:cs="Arial"/>
          <w:szCs w:val="20"/>
          <w:lang w:val="sl-SI"/>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0A1F9E" w:rsidRPr="000A1F9E" w14:paraId="036D50B9" w14:textId="77777777" w:rsidTr="004F3A30">
        <w:trPr>
          <w:cantSplit/>
        </w:trPr>
        <w:tc>
          <w:tcPr>
            <w:tcW w:w="9180" w:type="dxa"/>
            <w:tcBorders>
              <w:top w:val="single" w:sz="4" w:space="0" w:color="auto"/>
              <w:left w:val="single" w:sz="4" w:space="0" w:color="auto"/>
              <w:bottom w:val="single" w:sz="4" w:space="0" w:color="auto"/>
              <w:right w:val="single" w:sz="4" w:space="0" w:color="auto"/>
            </w:tcBorders>
            <w:shd w:val="clear" w:color="auto" w:fill="F3F3F3"/>
          </w:tcPr>
          <w:p w14:paraId="1E2EA635" w14:textId="77777777" w:rsidR="000A1F9E" w:rsidRPr="000A1F9E" w:rsidRDefault="000A1F9E" w:rsidP="000A1F9E">
            <w:pPr>
              <w:rPr>
                <w:rFonts w:cs="Arial"/>
                <w:b/>
                <w:szCs w:val="20"/>
                <w:lang w:val="sl-SI"/>
              </w:rPr>
            </w:pPr>
            <w:r w:rsidRPr="000A1F9E">
              <w:rPr>
                <w:rFonts w:cs="Arial"/>
                <w:b/>
                <w:szCs w:val="20"/>
                <w:lang w:val="sl-SI"/>
              </w:rPr>
              <w:t>1. VELIKOST GOZDNE DREVESNICE (maksimalno število točk 30)</w:t>
            </w:r>
          </w:p>
          <w:p w14:paraId="7EAB0F0D" w14:textId="18D9F841" w:rsidR="000A1F9E" w:rsidRPr="000A1F9E" w:rsidRDefault="000A1F9E" w:rsidP="00833065">
            <w:pPr>
              <w:rPr>
                <w:rFonts w:cs="Arial"/>
                <w:szCs w:val="20"/>
                <w:lang w:val="sl-SI"/>
              </w:rPr>
            </w:pPr>
            <w:r w:rsidRPr="000A1F9E">
              <w:rPr>
                <w:rFonts w:cs="Arial"/>
                <w:b/>
                <w:szCs w:val="20"/>
                <w:lang w:val="sl-SI"/>
              </w:rPr>
              <w:t xml:space="preserve">Navodilo: Upošteva se površina zemljišč primernih za vzgojo sadik, ki je razvidna iz prijavnega obrazca. Zemljišča za vzgojo sadik so </w:t>
            </w:r>
            <w:r w:rsidR="00E83405">
              <w:rPr>
                <w:rFonts w:cs="Arial"/>
                <w:b/>
                <w:szCs w:val="20"/>
                <w:lang w:val="sl-SI"/>
              </w:rPr>
              <w:t>navedena</w:t>
            </w:r>
            <w:r w:rsidRPr="000A1F9E">
              <w:rPr>
                <w:rFonts w:cs="Arial"/>
                <w:b/>
                <w:szCs w:val="20"/>
                <w:lang w:val="sl-SI"/>
              </w:rPr>
              <w:t xml:space="preserve"> v Registru dobaviteljev GRM.</w:t>
            </w:r>
          </w:p>
        </w:tc>
      </w:tr>
      <w:tr w:rsidR="000A1F9E" w:rsidRPr="000A1F9E" w14:paraId="1ACA27D5" w14:textId="77777777" w:rsidTr="004F3A30">
        <w:trPr>
          <w:cantSplit/>
        </w:trPr>
        <w:tc>
          <w:tcPr>
            <w:tcW w:w="9180" w:type="dxa"/>
            <w:tcBorders>
              <w:top w:val="single" w:sz="4" w:space="0" w:color="auto"/>
              <w:left w:val="single" w:sz="4" w:space="0" w:color="auto"/>
              <w:bottom w:val="single" w:sz="4" w:space="0" w:color="auto"/>
              <w:right w:val="single" w:sz="4" w:space="0" w:color="auto"/>
            </w:tcBorders>
            <w:shd w:val="clear" w:color="auto" w:fill="auto"/>
          </w:tcPr>
          <w:p w14:paraId="13BE8B5F" w14:textId="77777777" w:rsidR="000A1F9E" w:rsidRPr="000A1F9E" w:rsidRDefault="000A1F9E" w:rsidP="000A1F9E">
            <w:pPr>
              <w:rPr>
                <w:rFonts w:cs="Arial"/>
                <w:szCs w:val="20"/>
                <w:lang w:val="sl-SI"/>
              </w:rPr>
            </w:pPr>
          </w:p>
          <w:p w14:paraId="0FF57DE7" w14:textId="12799D88" w:rsidR="000A1F9E" w:rsidRPr="000A1F9E" w:rsidRDefault="000A1F9E" w:rsidP="0092074D">
            <w:pPr>
              <w:ind w:left="278"/>
              <w:rPr>
                <w:rFonts w:cs="Arial"/>
                <w:szCs w:val="20"/>
                <w:lang w:val="sl-SI"/>
              </w:rPr>
            </w:pPr>
            <w:r w:rsidRPr="000A1F9E">
              <w:rPr>
                <w:rFonts w:cs="Arial"/>
                <w:szCs w:val="20"/>
                <w:lang w:val="sl-SI"/>
              </w:rPr>
              <w:t>30 – površine zemljišč za vzgojo sadik gozdnega drevja merijo več kot 5</w:t>
            </w:r>
            <w:r w:rsidR="00490C1A">
              <w:rPr>
                <w:rFonts w:cs="Arial"/>
                <w:szCs w:val="20"/>
                <w:lang w:val="sl-SI"/>
              </w:rPr>
              <w:t>,00</w:t>
            </w:r>
            <w:r w:rsidRPr="000A1F9E">
              <w:rPr>
                <w:rFonts w:cs="Arial"/>
                <w:szCs w:val="20"/>
                <w:lang w:val="sl-SI"/>
              </w:rPr>
              <w:t xml:space="preserve"> hektarjev;</w:t>
            </w:r>
          </w:p>
          <w:p w14:paraId="57EBB7D8" w14:textId="77777777" w:rsidR="000A1F9E" w:rsidRPr="000A1F9E" w:rsidRDefault="000A1F9E" w:rsidP="0092074D">
            <w:pPr>
              <w:ind w:left="278"/>
              <w:rPr>
                <w:rFonts w:cs="Arial"/>
                <w:szCs w:val="20"/>
                <w:lang w:val="sl-SI"/>
              </w:rPr>
            </w:pPr>
          </w:p>
          <w:p w14:paraId="08F8CAC4" w14:textId="19F32A5C" w:rsidR="000A1F9E" w:rsidRPr="000A1F9E" w:rsidRDefault="000A1F9E" w:rsidP="0092074D">
            <w:pPr>
              <w:ind w:left="278"/>
              <w:rPr>
                <w:rFonts w:cs="Arial"/>
                <w:szCs w:val="20"/>
                <w:lang w:val="sl-SI"/>
              </w:rPr>
            </w:pPr>
            <w:r w:rsidRPr="000A1F9E">
              <w:rPr>
                <w:rFonts w:cs="Arial"/>
                <w:szCs w:val="20"/>
                <w:lang w:val="sl-SI"/>
              </w:rPr>
              <w:t>24 – površine zemljišč za vzgojo sadik gozdnega drevja merijo od 3,0</w:t>
            </w:r>
            <w:r w:rsidR="00490C1A">
              <w:rPr>
                <w:rFonts w:cs="Arial"/>
                <w:szCs w:val="20"/>
                <w:lang w:val="sl-SI"/>
              </w:rPr>
              <w:t>0</w:t>
            </w:r>
            <w:r w:rsidRPr="000A1F9E">
              <w:rPr>
                <w:rFonts w:cs="Arial"/>
                <w:szCs w:val="20"/>
                <w:lang w:val="sl-SI"/>
              </w:rPr>
              <w:t xml:space="preserve"> do 5,0</w:t>
            </w:r>
            <w:r w:rsidR="00490C1A">
              <w:rPr>
                <w:rFonts w:cs="Arial"/>
                <w:szCs w:val="20"/>
                <w:lang w:val="sl-SI"/>
              </w:rPr>
              <w:t>0</w:t>
            </w:r>
            <w:r w:rsidRPr="000A1F9E">
              <w:rPr>
                <w:rFonts w:cs="Arial"/>
                <w:szCs w:val="20"/>
                <w:lang w:val="sl-SI"/>
              </w:rPr>
              <w:t xml:space="preserve"> hektarjev;</w:t>
            </w:r>
          </w:p>
          <w:p w14:paraId="4B8766E4" w14:textId="77777777" w:rsidR="000A1F9E" w:rsidRPr="000A1F9E" w:rsidRDefault="000A1F9E" w:rsidP="0092074D">
            <w:pPr>
              <w:ind w:left="278"/>
              <w:rPr>
                <w:rFonts w:cs="Arial"/>
                <w:szCs w:val="20"/>
                <w:lang w:val="sl-SI"/>
              </w:rPr>
            </w:pPr>
          </w:p>
          <w:p w14:paraId="248320AE" w14:textId="1ACC14CD" w:rsidR="000A1F9E" w:rsidRPr="000A1F9E" w:rsidRDefault="000A1F9E" w:rsidP="0092074D">
            <w:pPr>
              <w:ind w:left="278"/>
              <w:rPr>
                <w:rFonts w:cs="Arial"/>
                <w:szCs w:val="20"/>
                <w:lang w:val="sl-SI"/>
              </w:rPr>
            </w:pPr>
            <w:r w:rsidRPr="000A1F9E">
              <w:rPr>
                <w:rFonts w:cs="Arial"/>
                <w:szCs w:val="20"/>
                <w:lang w:val="sl-SI"/>
              </w:rPr>
              <w:t>18 – površine zemljišč za vzgojo sadik gozdnega drevja merijo od 1,0</w:t>
            </w:r>
            <w:r w:rsidR="00490C1A">
              <w:rPr>
                <w:rFonts w:cs="Arial"/>
                <w:szCs w:val="20"/>
                <w:lang w:val="sl-SI"/>
              </w:rPr>
              <w:t>0</w:t>
            </w:r>
            <w:r w:rsidRPr="000A1F9E">
              <w:rPr>
                <w:rFonts w:cs="Arial"/>
                <w:szCs w:val="20"/>
                <w:lang w:val="sl-SI"/>
              </w:rPr>
              <w:t xml:space="preserve"> do 2,9</w:t>
            </w:r>
            <w:r w:rsidR="00533B6D">
              <w:rPr>
                <w:rFonts w:cs="Arial"/>
                <w:szCs w:val="20"/>
                <w:lang w:val="sl-SI"/>
              </w:rPr>
              <w:t>9</w:t>
            </w:r>
            <w:r w:rsidRPr="000A1F9E">
              <w:rPr>
                <w:rFonts w:cs="Arial"/>
                <w:szCs w:val="20"/>
                <w:lang w:val="sl-SI"/>
              </w:rPr>
              <w:t xml:space="preserve"> hektarjev;</w:t>
            </w:r>
          </w:p>
          <w:p w14:paraId="5589839C" w14:textId="77777777" w:rsidR="000A1F9E" w:rsidRPr="000A1F9E" w:rsidRDefault="000A1F9E" w:rsidP="0092074D">
            <w:pPr>
              <w:ind w:left="278"/>
              <w:rPr>
                <w:rFonts w:cs="Arial"/>
                <w:szCs w:val="20"/>
                <w:lang w:val="sl-SI"/>
              </w:rPr>
            </w:pPr>
          </w:p>
          <w:p w14:paraId="178ACDB1" w14:textId="1B652F50" w:rsidR="000A1F9E" w:rsidRPr="000A1F9E" w:rsidRDefault="000A1F9E" w:rsidP="0092074D">
            <w:pPr>
              <w:ind w:left="278"/>
              <w:rPr>
                <w:rFonts w:cs="Arial"/>
                <w:szCs w:val="20"/>
                <w:lang w:val="sl-SI"/>
              </w:rPr>
            </w:pPr>
            <w:r w:rsidRPr="000A1F9E">
              <w:rPr>
                <w:rFonts w:cs="Arial"/>
                <w:szCs w:val="20"/>
                <w:lang w:val="sl-SI"/>
              </w:rPr>
              <w:t>12 – površine zemljišč za vzgojo sadik gozdnega drevja merijo od 0,6</w:t>
            </w:r>
            <w:r w:rsidR="00490C1A">
              <w:rPr>
                <w:rFonts w:cs="Arial"/>
                <w:szCs w:val="20"/>
                <w:lang w:val="sl-SI"/>
              </w:rPr>
              <w:t>0</w:t>
            </w:r>
            <w:r w:rsidRPr="000A1F9E">
              <w:rPr>
                <w:rFonts w:cs="Arial"/>
                <w:szCs w:val="20"/>
                <w:lang w:val="sl-SI"/>
              </w:rPr>
              <w:t xml:space="preserve"> do 0,9</w:t>
            </w:r>
            <w:r w:rsidR="00533B6D">
              <w:rPr>
                <w:rFonts w:cs="Arial"/>
                <w:szCs w:val="20"/>
                <w:lang w:val="sl-SI"/>
              </w:rPr>
              <w:t>9</w:t>
            </w:r>
            <w:r w:rsidRPr="000A1F9E">
              <w:rPr>
                <w:rFonts w:cs="Arial"/>
                <w:szCs w:val="20"/>
                <w:lang w:val="sl-SI"/>
              </w:rPr>
              <w:t xml:space="preserve"> hektarjev;</w:t>
            </w:r>
          </w:p>
          <w:p w14:paraId="4301C6DC" w14:textId="77777777" w:rsidR="000A1F9E" w:rsidRPr="000A1F9E" w:rsidRDefault="000A1F9E" w:rsidP="0092074D">
            <w:pPr>
              <w:ind w:left="278"/>
              <w:rPr>
                <w:rFonts w:cs="Arial"/>
                <w:szCs w:val="20"/>
                <w:lang w:val="sl-SI"/>
              </w:rPr>
            </w:pPr>
          </w:p>
          <w:p w14:paraId="3636AB4E" w14:textId="3FCCF303" w:rsidR="000A1F9E" w:rsidRPr="000A1F9E" w:rsidRDefault="000A1F9E" w:rsidP="0092074D">
            <w:pPr>
              <w:ind w:left="278"/>
              <w:rPr>
                <w:rFonts w:cs="Arial"/>
                <w:szCs w:val="20"/>
                <w:lang w:val="sl-SI"/>
              </w:rPr>
            </w:pPr>
            <w:r w:rsidRPr="000A1F9E">
              <w:rPr>
                <w:rFonts w:cs="Arial"/>
                <w:szCs w:val="20"/>
                <w:lang w:val="sl-SI"/>
              </w:rPr>
              <w:t xml:space="preserve">  6 – površine zemljišč za vzgojo sadik gozdnega drevja merijo do 0,5</w:t>
            </w:r>
            <w:r w:rsidR="00490C1A">
              <w:rPr>
                <w:rFonts w:cs="Arial"/>
                <w:szCs w:val="20"/>
                <w:lang w:val="sl-SI"/>
              </w:rPr>
              <w:t>0</w:t>
            </w:r>
            <w:r w:rsidRPr="000A1F9E">
              <w:rPr>
                <w:rFonts w:cs="Arial"/>
                <w:szCs w:val="20"/>
                <w:lang w:val="sl-SI"/>
              </w:rPr>
              <w:t xml:space="preserve"> hektarjev.</w:t>
            </w:r>
          </w:p>
          <w:p w14:paraId="6A56B0D1" w14:textId="77777777" w:rsidR="000A1F9E" w:rsidRPr="000A1F9E" w:rsidRDefault="000A1F9E" w:rsidP="000A1F9E">
            <w:pPr>
              <w:rPr>
                <w:rFonts w:cs="Arial"/>
                <w:szCs w:val="20"/>
                <w:lang w:val="sl-SI"/>
              </w:rPr>
            </w:pPr>
          </w:p>
        </w:tc>
      </w:tr>
      <w:tr w:rsidR="000A1F9E" w:rsidRPr="000A1F9E" w14:paraId="675B5712" w14:textId="77777777" w:rsidTr="004F3A30">
        <w:trPr>
          <w:cantSplit/>
        </w:trPr>
        <w:tc>
          <w:tcPr>
            <w:tcW w:w="9180" w:type="dxa"/>
            <w:shd w:val="clear" w:color="auto" w:fill="F3F3F3"/>
          </w:tcPr>
          <w:p w14:paraId="5866CB0D" w14:textId="77777777" w:rsidR="000A1F9E" w:rsidRPr="000A1F9E" w:rsidRDefault="000A1F9E" w:rsidP="000A1F9E">
            <w:pPr>
              <w:rPr>
                <w:rFonts w:cs="Arial"/>
                <w:b/>
                <w:szCs w:val="20"/>
                <w:lang w:val="sl-SI"/>
              </w:rPr>
            </w:pPr>
            <w:r w:rsidRPr="000A1F9E">
              <w:rPr>
                <w:rFonts w:cs="Arial"/>
                <w:b/>
                <w:szCs w:val="20"/>
                <w:lang w:val="sl-SI"/>
              </w:rPr>
              <w:t xml:space="preserve">2. ŠTEVILO ZAPOSLENIH V PODJETJU (maksimalno število točk 20) </w:t>
            </w:r>
          </w:p>
          <w:p w14:paraId="7A88A628" w14:textId="77777777" w:rsidR="000A1F9E" w:rsidRPr="000A1F9E" w:rsidRDefault="000A1F9E" w:rsidP="000A1F9E">
            <w:pPr>
              <w:rPr>
                <w:rFonts w:cs="Arial"/>
                <w:b/>
                <w:bCs/>
                <w:szCs w:val="20"/>
                <w:lang w:val="sl-SI"/>
              </w:rPr>
            </w:pPr>
            <w:r w:rsidRPr="000A1F9E">
              <w:rPr>
                <w:rFonts w:cs="Arial"/>
                <w:b/>
                <w:bCs/>
                <w:szCs w:val="20"/>
                <w:lang w:val="sl-SI"/>
              </w:rPr>
              <w:t>Navodilo: Upošteva se povprečno število zaposlenih v zaključenem letu pred objavo javnega razpisa, katere vlagatelj navede v prijavnem obrazcu. Upošteva se podatek število zaposlencev iz izkaza poslovnega izida za leto pred objavo javnega razpisa (AJPES), brez najete sezonske delovne sile.</w:t>
            </w:r>
          </w:p>
        </w:tc>
      </w:tr>
      <w:tr w:rsidR="000A1F9E" w:rsidRPr="000A1F9E" w14:paraId="34E28515" w14:textId="77777777" w:rsidTr="004F3A30">
        <w:trPr>
          <w:cantSplit/>
        </w:trPr>
        <w:tc>
          <w:tcPr>
            <w:tcW w:w="9180" w:type="dxa"/>
          </w:tcPr>
          <w:p w14:paraId="36284833" w14:textId="77777777" w:rsidR="000A1F9E" w:rsidRPr="000A1F9E" w:rsidRDefault="000A1F9E" w:rsidP="000A1F9E">
            <w:pPr>
              <w:rPr>
                <w:rFonts w:cs="Arial"/>
                <w:szCs w:val="20"/>
                <w:lang w:val="sl-SI"/>
              </w:rPr>
            </w:pPr>
            <w:r w:rsidRPr="000A1F9E">
              <w:rPr>
                <w:rFonts w:cs="Arial"/>
                <w:szCs w:val="20"/>
                <w:lang w:val="sl-SI"/>
              </w:rPr>
              <w:t xml:space="preserve"> </w:t>
            </w:r>
          </w:p>
          <w:p w14:paraId="42668D44" w14:textId="7EAD914E" w:rsidR="000A1F9E" w:rsidRPr="000A1F9E" w:rsidRDefault="00BE7326" w:rsidP="0092074D">
            <w:pPr>
              <w:ind w:left="278"/>
              <w:rPr>
                <w:rFonts w:cs="Arial"/>
                <w:szCs w:val="20"/>
                <w:lang w:val="sl-SI"/>
              </w:rPr>
            </w:pPr>
            <w:r>
              <w:rPr>
                <w:rFonts w:cs="Arial"/>
                <w:szCs w:val="20"/>
                <w:lang w:val="sl-SI"/>
              </w:rPr>
              <w:t xml:space="preserve">20 </w:t>
            </w:r>
            <w:r w:rsidR="00587458" w:rsidRPr="000A1F9E">
              <w:rPr>
                <w:rFonts w:cs="Arial"/>
                <w:szCs w:val="20"/>
                <w:lang w:val="sl-SI"/>
              </w:rPr>
              <w:t>–</w:t>
            </w:r>
            <w:r w:rsidR="00587458">
              <w:rPr>
                <w:rFonts w:cs="Arial"/>
                <w:szCs w:val="20"/>
                <w:lang w:val="sl-SI"/>
              </w:rPr>
              <w:t xml:space="preserve"> </w:t>
            </w:r>
            <w:r>
              <w:rPr>
                <w:rFonts w:cs="Arial"/>
                <w:szCs w:val="20"/>
                <w:lang w:val="sl-SI"/>
              </w:rPr>
              <w:t>vlagatelj ima zaposleno</w:t>
            </w:r>
            <w:r w:rsidR="000A1F9E" w:rsidRPr="000A1F9E">
              <w:rPr>
                <w:rFonts w:cs="Arial"/>
                <w:szCs w:val="20"/>
                <w:lang w:val="sl-SI"/>
              </w:rPr>
              <w:t xml:space="preserve"> </w:t>
            </w:r>
            <w:r>
              <w:rPr>
                <w:rFonts w:cs="Arial"/>
                <w:szCs w:val="20"/>
                <w:lang w:val="sl-SI"/>
              </w:rPr>
              <w:t>1</w:t>
            </w:r>
            <w:r w:rsidR="00490C1A">
              <w:rPr>
                <w:rFonts w:cs="Arial"/>
                <w:szCs w:val="20"/>
                <w:lang w:val="sl-SI"/>
              </w:rPr>
              <w:t>,00</w:t>
            </w:r>
            <w:r>
              <w:rPr>
                <w:rFonts w:cs="Arial"/>
                <w:szCs w:val="20"/>
                <w:lang w:val="sl-SI"/>
              </w:rPr>
              <w:t xml:space="preserve"> ali </w:t>
            </w:r>
            <w:r w:rsidR="000A1F9E" w:rsidRPr="000A1F9E">
              <w:rPr>
                <w:rFonts w:cs="Arial"/>
                <w:szCs w:val="20"/>
                <w:lang w:val="sl-SI"/>
              </w:rPr>
              <w:t>2</w:t>
            </w:r>
            <w:r w:rsidR="00490C1A">
              <w:rPr>
                <w:rFonts w:cs="Arial"/>
                <w:szCs w:val="20"/>
                <w:lang w:val="sl-SI"/>
              </w:rPr>
              <w:t>,00</w:t>
            </w:r>
            <w:r w:rsidR="000A1F9E" w:rsidRPr="000A1F9E">
              <w:rPr>
                <w:rFonts w:cs="Arial"/>
                <w:szCs w:val="20"/>
                <w:lang w:val="sl-SI"/>
              </w:rPr>
              <w:t xml:space="preserve"> osebi za polni delovni čas;</w:t>
            </w:r>
          </w:p>
          <w:p w14:paraId="73464124" w14:textId="77777777" w:rsidR="000A1F9E" w:rsidRPr="000A1F9E" w:rsidRDefault="000A1F9E" w:rsidP="0092074D">
            <w:pPr>
              <w:ind w:left="278"/>
              <w:rPr>
                <w:rFonts w:cs="Arial"/>
                <w:szCs w:val="20"/>
                <w:lang w:val="sl-SI"/>
              </w:rPr>
            </w:pPr>
          </w:p>
          <w:p w14:paraId="693E014E" w14:textId="1CAD44DC" w:rsidR="000A1F9E" w:rsidRPr="000A1F9E" w:rsidRDefault="00587458" w:rsidP="0092074D">
            <w:pPr>
              <w:ind w:left="278"/>
              <w:rPr>
                <w:rFonts w:cs="Arial"/>
                <w:szCs w:val="20"/>
                <w:lang w:val="sl-SI"/>
              </w:rPr>
            </w:pPr>
            <w:r>
              <w:rPr>
                <w:rFonts w:cs="Arial"/>
                <w:szCs w:val="20"/>
                <w:lang w:val="sl-SI"/>
              </w:rPr>
              <w:t xml:space="preserve">16 </w:t>
            </w:r>
            <w:r w:rsidRPr="000A1F9E">
              <w:rPr>
                <w:rFonts w:cs="Arial"/>
                <w:szCs w:val="20"/>
                <w:lang w:val="sl-SI"/>
              </w:rPr>
              <w:t>–</w:t>
            </w:r>
            <w:r w:rsidR="000A1F9E" w:rsidRPr="000A1F9E">
              <w:rPr>
                <w:rFonts w:cs="Arial"/>
                <w:szCs w:val="20"/>
                <w:lang w:val="sl-SI"/>
              </w:rPr>
              <w:t xml:space="preserve"> vlagatelj ima zaposlenih od 3</w:t>
            </w:r>
            <w:r w:rsidR="00490C1A">
              <w:rPr>
                <w:rFonts w:cs="Arial"/>
                <w:szCs w:val="20"/>
                <w:lang w:val="sl-SI"/>
              </w:rPr>
              <w:t>,00</w:t>
            </w:r>
            <w:r w:rsidR="000A1F9E" w:rsidRPr="000A1F9E">
              <w:rPr>
                <w:rFonts w:cs="Arial"/>
                <w:szCs w:val="20"/>
                <w:lang w:val="sl-SI"/>
              </w:rPr>
              <w:t xml:space="preserve"> do vključno 7</w:t>
            </w:r>
            <w:r w:rsidR="00533B6D">
              <w:rPr>
                <w:rFonts w:cs="Arial"/>
                <w:szCs w:val="20"/>
                <w:lang w:val="sl-SI"/>
              </w:rPr>
              <w:t>,99</w:t>
            </w:r>
            <w:r w:rsidR="000A1F9E" w:rsidRPr="000A1F9E">
              <w:rPr>
                <w:rFonts w:cs="Arial"/>
                <w:szCs w:val="20"/>
                <w:lang w:val="sl-SI"/>
              </w:rPr>
              <w:t xml:space="preserve"> oseb za polni delovni čas;</w:t>
            </w:r>
          </w:p>
          <w:p w14:paraId="0AC4F7AA" w14:textId="77777777" w:rsidR="000A1F9E" w:rsidRPr="000A1F9E" w:rsidRDefault="000A1F9E" w:rsidP="0092074D">
            <w:pPr>
              <w:ind w:left="278"/>
              <w:rPr>
                <w:rFonts w:cs="Arial"/>
                <w:szCs w:val="20"/>
                <w:lang w:val="sl-SI"/>
              </w:rPr>
            </w:pPr>
          </w:p>
          <w:p w14:paraId="415DDE91" w14:textId="3C75085D" w:rsidR="000A1F9E" w:rsidRPr="000A1F9E" w:rsidRDefault="00587458" w:rsidP="0092074D">
            <w:pPr>
              <w:ind w:left="278"/>
              <w:rPr>
                <w:rFonts w:cs="Arial"/>
                <w:szCs w:val="20"/>
                <w:lang w:val="sl-SI"/>
              </w:rPr>
            </w:pPr>
            <w:r>
              <w:rPr>
                <w:rFonts w:cs="Arial"/>
                <w:szCs w:val="20"/>
                <w:lang w:val="sl-SI"/>
              </w:rPr>
              <w:t xml:space="preserve">12 </w:t>
            </w:r>
            <w:r w:rsidRPr="000A1F9E">
              <w:rPr>
                <w:rFonts w:cs="Arial"/>
                <w:szCs w:val="20"/>
                <w:lang w:val="sl-SI"/>
              </w:rPr>
              <w:t>–</w:t>
            </w:r>
            <w:r w:rsidR="000A1F9E" w:rsidRPr="000A1F9E">
              <w:rPr>
                <w:rFonts w:cs="Arial"/>
                <w:szCs w:val="20"/>
                <w:lang w:val="sl-SI"/>
              </w:rPr>
              <w:t xml:space="preserve"> vlagatelj ima zaposlenih od 8</w:t>
            </w:r>
            <w:r w:rsidR="00490C1A">
              <w:rPr>
                <w:rFonts w:cs="Arial"/>
                <w:szCs w:val="20"/>
                <w:lang w:val="sl-SI"/>
              </w:rPr>
              <w:t>,00</w:t>
            </w:r>
            <w:r w:rsidR="000A1F9E" w:rsidRPr="000A1F9E">
              <w:rPr>
                <w:rFonts w:cs="Arial"/>
                <w:szCs w:val="20"/>
                <w:lang w:val="sl-SI"/>
              </w:rPr>
              <w:t xml:space="preserve"> do vključno 10</w:t>
            </w:r>
            <w:r w:rsidR="00490C1A">
              <w:rPr>
                <w:rFonts w:cs="Arial"/>
                <w:szCs w:val="20"/>
                <w:lang w:val="sl-SI"/>
              </w:rPr>
              <w:t>,00</w:t>
            </w:r>
            <w:r w:rsidR="000A1F9E" w:rsidRPr="000A1F9E">
              <w:rPr>
                <w:rFonts w:cs="Arial"/>
                <w:szCs w:val="20"/>
                <w:lang w:val="sl-SI"/>
              </w:rPr>
              <w:t xml:space="preserve"> oseb za polni delovni čas;</w:t>
            </w:r>
          </w:p>
          <w:p w14:paraId="49304827" w14:textId="77777777" w:rsidR="000A1F9E" w:rsidRPr="000A1F9E" w:rsidRDefault="000A1F9E" w:rsidP="0092074D">
            <w:pPr>
              <w:ind w:left="278"/>
              <w:rPr>
                <w:rFonts w:cs="Arial"/>
                <w:szCs w:val="20"/>
                <w:lang w:val="sl-SI"/>
              </w:rPr>
            </w:pPr>
          </w:p>
          <w:p w14:paraId="5C4CD416" w14:textId="4367E020" w:rsidR="000A1F9E" w:rsidRPr="000A1F9E" w:rsidRDefault="00587458" w:rsidP="0092074D">
            <w:pPr>
              <w:ind w:left="278"/>
              <w:rPr>
                <w:rFonts w:cs="Arial"/>
                <w:szCs w:val="20"/>
                <w:lang w:val="sl-SI"/>
              </w:rPr>
            </w:pPr>
            <w:r>
              <w:rPr>
                <w:rFonts w:cs="Arial"/>
                <w:szCs w:val="20"/>
                <w:lang w:val="sl-SI"/>
              </w:rPr>
              <w:t xml:space="preserve">  8 </w:t>
            </w:r>
            <w:r w:rsidRPr="000A1F9E">
              <w:rPr>
                <w:rFonts w:cs="Arial"/>
                <w:szCs w:val="20"/>
                <w:lang w:val="sl-SI"/>
              </w:rPr>
              <w:t>–</w:t>
            </w:r>
            <w:r w:rsidR="000A1F9E" w:rsidRPr="000A1F9E">
              <w:rPr>
                <w:rFonts w:cs="Arial"/>
                <w:szCs w:val="20"/>
                <w:lang w:val="sl-SI"/>
              </w:rPr>
              <w:t xml:space="preserve"> vlagatelj ima zaposlenih več kot 10</w:t>
            </w:r>
            <w:r w:rsidR="00490C1A">
              <w:rPr>
                <w:rFonts w:cs="Arial"/>
                <w:szCs w:val="20"/>
                <w:lang w:val="sl-SI"/>
              </w:rPr>
              <w:t>,00</w:t>
            </w:r>
            <w:r w:rsidR="000A1F9E" w:rsidRPr="000A1F9E">
              <w:rPr>
                <w:rFonts w:cs="Arial"/>
                <w:szCs w:val="20"/>
                <w:lang w:val="sl-SI"/>
              </w:rPr>
              <w:t xml:space="preserve"> oseb za polni delovni čas.</w:t>
            </w:r>
          </w:p>
          <w:p w14:paraId="0A713A9E" w14:textId="77777777" w:rsidR="000A1F9E" w:rsidRPr="000A1F9E" w:rsidRDefault="000A1F9E" w:rsidP="000A1F9E">
            <w:pPr>
              <w:rPr>
                <w:rFonts w:cs="Arial"/>
                <w:szCs w:val="20"/>
                <w:lang w:val="sl-SI"/>
              </w:rPr>
            </w:pPr>
            <w:r w:rsidRPr="000A1F9E">
              <w:rPr>
                <w:rFonts w:cs="Arial"/>
                <w:szCs w:val="20"/>
                <w:lang w:val="sl-SI"/>
              </w:rPr>
              <w:t xml:space="preserve">  </w:t>
            </w:r>
          </w:p>
        </w:tc>
      </w:tr>
      <w:tr w:rsidR="000A1F9E" w:rsidRPr="000A1F9E" w14:paraId="18689B40" w14:textId="77777777" w:rsidTr="004F3A30">
        <w:trPr>
          <w:cantSplit/>
        </w:trPr>
        <w:tc>
          <w:tcPr>
            <w:tcW w:w="9180" w:type="dxa"/>
            <w:shd w:val="clear" w:color="auto" w:fill="F3F3F3"/>
          </w:tcPr>
          <w:p w14:paraId="71184D9E" w14:textId="77777777" w:rsidR="000A1F9E" w:rsidRPr="000A1F9E" w:rsidRDefault="000A1F9E" w:rsidP="000A1F9E">
            <w:pPr>
              <w:rPr>
                <w:rFonts w:cs="Arial"/>
                <w:b/>
                <w:szCs w:val="20"/>
                <w:lang w:val="sl-SI"/>
              </w:rPr>
            </w:pPr>
            <w:r w:rsidRPr="000A1F9E">
              <w:rPr>
                <w:rFonts w:cs="Arial"/>
                <w:b/>
                <w:szCs w:val="20"/>
                <w:lang w:val="sl-SI"/>
              </w:rPr>
              <w:lastRenderedPageBreak/>
              <w:t>3. SKLENJENE POGODBE ZA ODKUP SADIK GOZDEGA DREVJA (maksimalno št. točk 10)</w:t>
            </w:r>
          </w:p>
          <w:p w14:paraId="4C66A22E" w14:textId="11EA155D" w:rsidR="000A1F9E" w:rsidRPr="000A1F9E" w:rsidRDefault="000A1F9E" w:rsidP="00FE040B">
            <w:pPr>
              <w:rPr>
                <w:rFonts w:cs="Arial"/>
                <w:iCs/>
                <w:szCs w:val="20"/>
                <w:lang w:val="sl-SI"/>
              </w:rPr>
            </w:pPr>
            <w:r w:rsidRPr="000A1F9E">
              <w:rPr>
                <w:rFonts w:cs="Arial"/>
                <w:b/>
                <w:szCs w:val="20"/>
                <w:lang w:val="sl-SI"/>
              </w:rPr>
              <w:t xml:space="preserve">Navodilo: Upošteva se ali ima vlagatelj sklenjene pogodbe </w:t>
            </w:r>
            <w:r w:rsidR="00FE040B">
              <w:rPr>
                <w:rFonts w:cs="Arial"/>
                <w:b/>
                <w:szCs w:val="20"/>
                <w:lang w:val="sl-SI"/>
              </w:rPr>
              <w:t>za</w:t>
            </w:r>
            <w:r w:rsidRPr="000A1F9E">
              <w:rPr>
                <w:rFonts w:cs="Arial"/>
                <w:b/>
                <w:szCs w:val="20"/>
                <w:lang w:val="sl-SI"/>
              </w:rPr>
              <w:t xml:space="preserve"> </w:t>
            </w:r>
            <w:r w:rsidR="00FE040B">
              <w:rPr>
                <w:rFonts w:cs="Arial"/>
                <w:b/>
                <w:szCs w:val="20"/>
                <w:lang w:val="sl-SI"/>
              </w:rPr>
              <w:t>odkup</w:t>
            </w:r>
            <w:r w:rsidRPr="000A1F9E">
              <w:rPr>
                <w:rFonts w:cs="Arial"/>
                <w:b/>
                <w:szCs w:val="20"/>
                <w:lang w:val="sl-SI"/>
              </w:rPr>
              <w:t xml:space="preserve"> sadik gozdnega drevja. Kopija </w:t>
            </w:r>
            <w:r w:rsidR="00311033">
              <w:rPr>
                <w:rFonts w:cs="Arial"/>
                <w:b/>
                <w:szCs w:val="20"/>
                <w:lang w:val="sl-SI"/>
              </w:rPr>
              <w:t xml:space="preserve">veljavnih </w:t>
            </w:r>
            <w:r w:rsidRPr="000A1F9E">
              <w:rPr>
                <w:rFonts w:cs="Arial"/>
                <w:b/>
                <w:szCs w:val="20"/>
                <w:lang w:val="sl-SI"/>
              </w:rPr>
              <w:t>pogodb se priloži k prijavnem obrazcu.</w:t>
            </w:r>
          </w:p>
        </w:tc>
      </w:tr>
      <w:tr w:rsidR="000A1F9E" w:rsidRPr="000A1F9E" w14:paraId="21D7EBBC" w14:textId="77777777" w:rsidTr="004F3A30">
        <w:trPr>
          <w:cantSplit/>
        </w:trPr>
        <w:tc>
          <w:tcPr>
            <w:tcW w:w="9180" w:type="dxa"/>
          </w:tcPr>
          <w:p w14:paraId="0018A63E" w14:textId="77777777" w:rsidR="000A1F9E" w:rsidRPr="000A1F9E" w:rsidRDefault="000A1F9E" w:rsidP="000A1F9E">
            <w:pPr>
              <w:rPr>
                <w:rFonts w:cs="Arial"/>
                <w:szCs w:val="20"/>
                <w:lang w:val="sl-SI"/>
              </w:rPr>
            </w:pPr>
          </w:p>
          <w:p w14:paraId="4CAE50A5" w14:textId="29809A6B" w:rsidR="000A1F9E" w:rsidRPr="000A1F9E" w:rsidRDefault="00587458" w:rsidP="0092074D">
            <w:pPr>
              <w:ind w:left="278"/>
              <w:rPr>
                <w:rFonts w:cs="Arial"/>
                <w:szCs w:val="20"/>
                <w:lang w:val="sl-SI"/>
              </w:rPr>
            </w:pPr>
            <w:r>
              <w:rPr>
                <w:rFonts w:cs="Arial"/>
                <w:szCs w:val="20"/>
                <w:lang w:val="sl-SI"/>
              </w:rPr>
              <w:t xml:space="preserve">10 </w:t>
            </w:r>
            <w:r w:rsidRPr="000A1F9E">
              <w:rPr>
                <w:rFonts w:cs="Arial"/>
                <w:szCs w:val="20"/>
                <w:lang w:val="sl-SI"/>
              </w:rPr>
              <w:t>–</w:t>
            </w:r>
            <w:r w:rsidR="000A1F9E" w:rsidRPr="000A1F9E">
              <w:rPr>
                <w:rFonts w:cs="Arial"/>
                <w:szCs w:val="20"/>
                <w:lang w:val="sl-SI"/>
              </w:rPr>
              <w:t xml:space="preserve"> vlagatelj ima sklenjene pogodbe za dobavo sadik gozdnega drevja;</w:t>
            </w:r>
          </w:p>
          <w:p w14:paraId="5658A5A7" w14:textId="77777777" w:rsidR="000A1F9E" w:rsidRPr="000A1F9E" w:rsidRDefault="000A1F9E" w:rsidP="000A1F9E">
            <w:pPr>
              <w:rPr>
                <w:rFonts w:cs="Arial"/>
                <w:szCs w:val="20"/>
                <w:lang w:val="sl-SI"/>
              </w:rPr>
            </w:pPr>
            <w:r w:rsidRPr="000A1F9E">
              <w:rPr>
                <w:rFonts w:cs="Arial"/>
                <w:szCs w:val="20"/>
                <w:lang w:val="sl-SI"/>
              </w:rPr>
              <w:t xml:space="preserve">  </w:t>
            </w:r>
          </w:p>
        </w:tc>
      </w:tr>
      <w:tr w:rsidR="000A1F9E" w:rsidRPr="000A1F9E" w14:paraId="47FAFADA" w14:textId="77777777" w:rsidTr="004F3A30">
        <w:trPr>
          <w:cantSplit/>
        </w:trPr>
        <w:tc>
          <w:tcPr>
            <w:tcW w:w="9180" w:type="dxa"/>
            <w:shd w:val="clear" w:color="auto" w:fill="F3F3F3"/>
          </w:tcPr>
          <w:p w14:paraId="737B4CA2" w14:textId="77777777" w:rsidR="000A1F9E" w:rsidRPr="000A1F9E" w:rsidRDefault="000A1F9E" w:rsidP="000A1F9E">
            <w:pPr>
              <w:rPr>
                <w:rFonts w:cs="Arial"/>
                <w:b/>
                <w:szCs w:val="20"/>
                <w:lang w:val="sl-SI"/>
              </w:rPr>
            </w:pPr>
            <w:r w:rsidRPr="000A1F9E">
              <w:rPr>
                <w:rFonts w:cs="Arial"/>
                <w:b/>
                <w:szCs w:val="20"/>
                <w:lang w:val="sl-SI"/>
              </w:rPr>
              <w:t>4. ŠTEVILO DREVESNIČARSKIH DEJAVNOSTI, KI JIH DOBAVITELJ OPRAVLJA (maksimalno št. točk 20)</w:t>
            </w:r>
          </w:p>
          <w:p w14:paraId="5C37CBAD" w14:textId="00EF8EB4" w:rsidR="000A1F9E" w:rsidRPr="000A1F9E" w:rsidRDefault="000A1F9E" w:rsidP="000A1F9E">
            <w:pPr>
              <w:rPr>
                <w:rFonts w:cs="Arial"/>
                <w:b/>
                <w:szCs w:val="20"/>
                <w:lang w:val="sl-SI"/>
              </w:rPr>
            </w:pPr>
            <w:r w:rsidRPr="000A1F9E">
              <w:rPr>
                <w:rFonts w:cs="Arial"/>
                <w:b/>
                <w:szCs w:val="20"/>
                <w:lang w:val="sl-SI"/>
              </w:rPr>
              <w:t xml:space="preserve">Navodilo: Upošteva se število dejavnosti, ki jih dobavitelj oziroma vlagatelj, opravlja in so </w:t>
            </w:r>
            <w:r w:rsidR="00833065">
              <w:rPr>
                <w:rFonts w:cs="Arial"/>
                <w:b/>
                <w:szCs w:val="20"/>
                <w:lang w:val="sl-SI"/>
              </w:rPr>
              <w:t>navedene</w:t>
            </w:r>
            <w:r w:rsidRPr="000A1F9E">
              <w:rPr>
                <w:rFonts w:cs="Arial"/>
                <w:b/>
                <w:szCs w:val="20"/>
                <w:lang w:val="sl-SI"/>
              </w:rPr>
              <w:t xml:space="preserve"> v Registru dobaviteljev GRM. </w:t>
            </w:r>
          </w:p>
          <w:p w14:paraId="638D8A2E" w14:textId="77777777" w:rsidR="000A1F9E" w:rsidRPr="000A1F9E" w:rsidRDefault="000A1F9E" w:rsidP="000A1F9E">
            <w:pPr>
              <w:rPr>
                <w:rFonts w:cs="Arial"/>
                <w:b/>
                <w:szCs w:val="20"/>
                <w:lang w:val="sl-SI"/>
              </w:rPr>
            </w:pPr>
            <w:r w:rsidRPr="000A1F9E">
              <w:rPr>
                <w:rFonts w:cs="Arial"/>
                <w:b/>
                <w:szCs w:val="20"/>
                <w:lang w:val="sl-SI"/>
              </w:rPr>
              <w:t xml:space="preserve">Dejavnosti so: pridobivanje semenskega materiala in </w:t>
            </w:r>
            <w:proofErr w:type="spellStart"/>
            <w:r w:rsidRPr="000A1F9E">
              <w:rPr>
                <w:rFonts w:cs="Arial"/>
                <w:b/>
                <w:szCs w:val="20"/>
                <w:lang w:val="sl-SI"/>
              </w:rPr>
              <w:t>puljenk</w:t>
            </w:r>
            <w:proofErr w:type="spellEnd"/>
            <w:r w:rsidRPr="000A1F9E">
              <w:rPr>
                <w:rFonts w:cs="Arial"/>
                <w:b/>
                <w:szCs w:val="20"/>
                <w:lang w:val="sl-SI"/>
              </w:rPr>
              <w:t xml:space="preserve"> v sestojih in skupinah; dodelovanje semenskega materiala; skladiščenje semenskega materiala; vzgoja sadilnega materiala; razdeljevanje, posredovanje; odkupovanje, prodajanje;  pridobivanje semenskega materiala in delov rastlin v semenskih plantažah, starših družin, klonih in klonskih mešanicah.</w:t>
            </w:r>
          </w:p>
        </w:tc>
      </w:tr>
      <w:tr w:rsidR="000A1F9E" w:rsidRPr="000A1F9E" w14:paraId="491B66EA" w14:textId="77777777" w:rsidTr="004F3A30">
        <w:trPr>
          <w:cantSplit/>
        </w:trPr>
        <w:tc>
          <w:tcPr>
            <w:tcW w:w="9180" w:type="dxa"/>
            <w:shd w:val="clear" w:color="auto" w:fill="auto"/>
          </w:tcPr>
          <w:p w14:paraId="02764581" w14:textId="77777777" w:rsidR="000A1F9E" w:rsidRPr="000A1F9E" w:rsidRDefault="000A1F9E" w:rsidP="000A1F9E">
            <w:pPr>
              <w:rPr>
                <w:rFonts w:cs="Arial"/>
                <w:szCs w:val="20"/>
                <w:lang w:val="sl-SI"/>
              </w:rPr>
            </w:pPr>
          </w:p>
          <w:p w14:paraId="0E552435" w14:textId="222A4DC1" w:rsidR="000A1F9E" w:rsidRPr="000A1F9E" w:rsidRDefault="000A1F9E" w:rsidP="0092074D">
            <w:pPr>
              <w:ind w:left="278"/>
              <w:rPr>
                <w:rFonts w:cs="Arial"/>
                <w:szCs w:val="20"/>
                <w:lang w:val="sl-SI"/>
              </w:rPr>
            </w:pPr>
            <w:r w:rsidRPr="000A1F9E">
              <w:rPr>
                <w:rFonts w:cs="Arial"/>
                <w:szCs w:val="20"/>
                <w:lang w:val="sl-SI"/>
              </w:rPr>
              <w:t xml:space="preserve">20 </w:t>
            </w:r>
            <w:r w:rsidR="00587458" w:rsidRPr="000A1F9E">
              <w:rPr>
                <w:rFonts w:cs="Arial"/>
                <w:szCs w:val="20"/>
                <w:lang w:val="sl-SI"/>
              </w:rPr>
              <w:t>–</w:t>
            </w:r>
            <w:r w:rsidRPr="000A1F9E">
              <w:rPr>
                <w:rFonts w:cs="Arial"/>
                <w:szCs w:val="20"/>
                <w:lang w:val="sl-SI"/>
              </w:rPr>
              <w:t xml:space="preserve"> vlagatelj opravlja več kot tri dejavnosti;</w:t>
            </w:r>
          </w:p>
          <w:p w14:paraId="735ABD86" w14:textId="77777777" w:rsidR="000A1F9E" w:rsidRPr="000A1F9E" w:rsidRDefault="000A1F9E" w:rsidP="0092074D">
            <w:pPr>
              <w:ind w:left="278"/>
              <w:rPr>
                <w:rFonts w:cs="Arial"/>
                <w:szCs w:val="20"/>
                <w:lang w:val="sl-SI"/>
              </w:rPr>
            </w:pPr>
          </w:p>
          <w:p w14:paraId="7B25BE54" w14:textId="7E53568A" w:rsidR="000A1F9E" w:rsidRPr="000A1F9E" w:rsidRDefault="00587458" w:rsidP="0092074D">
            <w:pPr>
              <w:ind w:left="278"/>
              <w:rPr>
                <w:rFonts w:cs="Arial"/>
                <w:szCs w:val="20"/>
                <w:lang w:val="sl-SI"/>
              </w:rPr>
            </w:pPr>
            <w:r>
              <w:rPr>
                <w:rFonts w:cs="Arial"/>
                <w:szCs w:val="20"/>
                <w:lang w:val="sl-SI"/>
              </w:rPr>
              <w:t xml:space="preserve">15 </w:t>
            </w:r>
            <w:r w:rsidRPr="000A1F9E">
              <w:rPr>
                <w:rFonts w:cs="Arial"/>
                <w:szCs w:val="20"/>
                <w:lang w:val="sl-SI"/>
              </w:rPr>
              <w:t>–</w:t>
            </w:r>
            <w:r w:rsidR="000A1F9E" w:rsidRPr="000A1F9E">
              <w:rPr>
                <w:rFonts w:cs="Arial"/>
                <w:szCs w:val="20"/>
                <w:lang w:val="sl-SI"/>
              </w:rPr>
              <w:t xml:space="preserve"> vlagatelj opravlja tri dejavnosti;</w:t>
            </w:r>
          </w:p>
          <w:p w14:paraId="72039812" w14:textId="77777777" w:rsidR="000A1F9E" w:rsidRPr="000A1F9E" w:rsidRDefault="000A1F9E" w:rsidP="0092074D">
            <w:pPr>
              <w:ind w:left="278"/>
              <w:rPr>
                <w:rFonts w:cs="Arial"/>
                <w:szCs w:val="20"/>
                <w:lang w:val="sl-SI"/>
              </w:rPr>
            </w:pPr>
          </w:p>
          <w:p w14:paraId="0EEDD89D" w14:textId="6CBB3BAF" w:rsidR="000A1F9E" w:rsidRPr="000A1F9E" w:rsidRDefault="00587458" w:rsidP="0092074D">
            <w:pPr>
              <w:ind w:left="278"/>
              <w:rPr>
                <w:rFonts w:cs="Arial"/>
                <w:szCs w:val="20"/>
                <w:lang w:val="sl-SI"/>
              </w:rPr>
            </w:pPr>
            <w:r>
              <w:rPr>
                <w:rFonts w:cs="Arial"/>
                <w:szCs w:val="20"/>
                <w:lang w:val="sl-SI"/>
              </w:rPr>
              <w:t xml:space="preserve">10 </w:t>
            </w:r>
            <w:r w:rsidRPr="000A1F9E">
              <w:rPr>
                <w:rFonts w:cs="Arial"/>
                <w:szCs w:val="20"/>
                <w:lang w:val="sl-SI"/>
              </w:rPr>
              <w:t>–</w:t>
            </w:r>
            <w:r w:rsidR="000A1F9E" w:rsidRPr="000A1F9E">
              <w:rPr>
                <w:rFonts w:cs="Arial"/>
                <w:szCs w:val="20"/>
                <w:lang w:val="sl-SI"/>
              </w:rPr>
              <w:t xml:space="preserve"> vlagatelj opravlja dve dejavnosti.</w:t>
            </w:r>
          </w:p>
          <w:p w14:paraId="559BAC11" w14:textId="77777777" w:rsidR="000A1F9E" w:rsidRPr="000A1F9E" w:rsidRDefault="000A1F9E" w:rsidP="0092074D">
            <w:pPr>
              <w:ind w:left="278"/>
              <w:rPr>
                <w:rFonts w:cs="Arial"/>
                <w:szCs w:val="20"/>
                <w:lang w:val="sl-SI"/>
              </w:rPr>
            </w:pPr>
          </w:p>
          <w:p w14:paraId="7BA95EC0" w14:textId="47EE98B5" w:rsidR="000A1F9E" w:rsidRDefault="00587458" w:rsidP="0092074D">
            <w:pPr>
              <w:ind w:left="278"/>
              <w:rPr>
                <w:rFonts w:cs="Arial"/>
                <w:szCs w:val="20"/>
                <w:lang w:val="sl-SI"/>
              </w:rPr>
            </w:pPr>
            <w:r>
              <w:rPr>
                <w:rFonts w:cs="Arial"/>
                <w:szCs w:val="20"/>
                <w:lang w:val="sl-SI"/>
              </w:rPr>
              <w:t xml:space="preserve">  5 </w:t>
            </w:r>
            <w:r w:rsidRPr="000A1F9E">
              <w:rPr>
                <w:rFonts w:cs="Arial"/>
                <w:szCs w:val="20"/>
                <w:lang w:val="sl-SI"/>
              </w:rPr>
              <w:t>–</w:t>
            </w:r>
            <w:r w:rsidR="000A1F9E" w:rsidRPr="000A1F9E">
              <w:rPr>
                <w:rFonts w:cs="Arial"/>
                <w:szCs w:val="20"/>
                <w:lang w:val="sl-SI"/>
              </w:rPr>
              <w:t xml:space="preserve"> vlagatelj opravlja eno dejavnost.</w:t>
            </w:r>
          </w:p>
          <w:p w14:paraId="50041EB8" w14:textId="76D244E1" w:rsidR="000A1F9E" w:rsidRPr="000A1F9E" w:rsidRDefault="000A1F9E" w:rsidP="000A1F9E">
            <w:pPr>
              <w:rPr>
                <w:rFonts w:cs="Arial"/>
                <w:szCs w:val="20"/>
                <w:lang w:val="sl-SI"/>
              </w:rPr>
            </w:pPr>
          </w:p>
        </w:tc>
      </w:tr>
      <w:tr w:rsidR="00BE7326" w:rsidRPr="003E2D01" w14:paraId="207AA1B8" w14:textId="77777777" w:rsidTr="00C058A7">
        <w:trPr>
          <w:cantSplit/>
        </w:trPr>
        <w:tc>
          <w:tcPr>
            <w:tcW w:w="9180" w:type="dxa"/>
            <w:shd w:val="clear" w:color="auto" w:fill="F3F3F3"/>
          </w:tcPr>
          <w:p w14:paraId="4EEEF6D8" w14:textId="77777777" w:rsidR="00BE7326" w:rsidRPr="003E2D01" w:rsidRDefault="00BE7326" w:rsidP="00C058A7">
            <w:pPr>
              <w:rPr>
                <w:rFonts w:cs="Arial"/>
                <w:b/>
                <w:lang w:val="sl-SI"/>
              </w:rPr>
            </w:pPr>
            <w:r w:rsidRPr="003E2D01">
              <w:rPr>
                <w:rFonts w:cs="Arial"/>
                <w:b/>
                <w:lang w:val="sl-SI"/>
              </w:rPr>
              <w:t xml:space="preserve">5. </w:t>
            </w:r>
            <w:r>
              <w:rPr>
                <w:rFonts w:cs="Arial"/>
                <w:b/>
                <w:lang w:val="sl-SI"/>
              </w:rPr>
              <w:t>ŠTEVILO ENOT PRIDE</w:t>
            </w:r>
            <w:r w:rsidRPr="003E2D01">
              <w:rPr>
                <w:rFonts w:cs="Arial"/>
                <w:b/>
                <w:lang w:val="sl-SI"/>
              </w:rPr>
              <w:t>LAVE (maksimalno št. točk 20)</w:t>
            </w:r>
          </w:p>
          <w:p w14:paraId="40809901" w14:textId="06DA6FBC" w:rsidR="00BE7326" w:rsidRPr="003E2D01" w:rsidRDefault="00BE7326" w:rsidP="00833065">
            <w:pPr>
              <w:rPr>
                <w:rFonts w:cs="Arial"/>
                <w:b/>
                <w:bCs/>
                <w:lang w:val="sl-SI"/>
              </w:rPr>
            </w:pPr>
            <w:r w:rsidRPr="003E2D01">
              <w:rPr>
                <w:rFonts w:cs="Arial"/>
                <w:b/>
                <w:lang w:val="sl-SI"/>
              </w:rPr>
              <w:t>Navodi</w:t>
            </w:r>
            <w:r>
              <w:rPr>
                <w:rFonts w:cs="Arial"/>
                <w:b/>
                <w:lang w:val="sl-SI"/>
              </w:rPr>
              <w:t>lo: Upošteva se število enot pri</w:t>
            </w:r>
            <w:r w:rsidRPr="003E2D01">
              <w:rPr>
                <w:rFonts w:cs="Arial"/>
                <w:b/>
                <w:lang w:val="sl-SI"/>
              </w:rPr>
              <w:t xml:space="preserve">delave </w:t>
            </w:r>
            <w:r>
              <w:rPr>
                <w:rFonts w:cs="Arial"/>
                <w:b/>
                <w:lang w:val="sl-SI"/>
              </w:rPr>
              <w:t>vlagatelja</w:t>
            </w:r>
            <w:r w:rsidRPr="003E2D01">
              <w:rPr>
                <w:rFonts w:cs="Arial"/>
                <w:b/>
                <w:lang w:val="sl-SI"/>
              </w:rPr>
              <w:t xml:space="preserve">, ki so </w:t>
            </w:r>
            <w:r w:rsidR="00833065">
              <w:rPr>
                <w:rFonts w:cs="Arial"/>
                <w:b/>
                <w:lang w:val="sl-SI"/>
              </w:rPr>
              <w:t>navedene</w:t>
            </w:r>
            <w:r w:rsidRPr="003E2D01">
              <w:rPr>
                <w:rFonts w:cs="Arial"/>
                <w:b/>
                <w:lang w:val="sl-SI"/>
              </w:rPr>
              <w:t xml:space="preserve"> v Registru GRM. Enote pr</w:t>
            </w:r>
            <w:r>
              <w:rPr>
                <w:rFonts w:cs="Arial"/>
                <w:b/>
                <w:lang w:val="sl-SI"/>
              </w:rPr>
              <w:t>i</w:t>
            </w:r>
            <w:r w:rsidRPr="003E2D01">
              <w:rPr>
                <w:rFonts w:cs="Arial"/>
                <w:b/>
                <w:lang w:val="sl-SI"/>
              </w:rPr>
              <w:t>delave so: enota dodelovanja semenskega materiala, enota hranjenja semenskega materiala, enota vzgoje sadilnega materiala, razdeljevalni center, prodajno mesto.</w:t>
            </w:r>
          </w:p>
        </w:tc>
      </w:tr>
      <w:tr w:rsidR="00BE7326" w:rsidRPr="003E2D01" w14:paraId="5FE9E930" w14:textId="77777777" w:rsidTr="00C058A7">
        <w:trPr>
          <w:cantSplit/>
        </w:trPr>
        <w:tc>
          <w:tcPr>
            <w:tcW w:w="9180" w:type="dxa"/>
          </w:tcPr>
          <w:p w14:paraId="1B9AC7F8" w14:textId="77777777" w:rsidR="00BE7326" w:rsidRPr="003E2D01" w:rsidRDefault="00BE7326" w:rsidP="00C058A7">
            <w:pPr>
              <w:ind w:left="650" w:hanging="366"/>
              <w:rPr>
                <w:rFonts w:cs="Arial"/>
                <w:lang w:val="sl-SI"/>
              </w:rPr>
            </w:pPr>
          </w:p>
          <w:p w14:paraId="1BF62A72" w14:textId="6105ACB1" w:rsidR="00BE7326" w:rsidRPr="003E2D01" w:rsidRDefault="00587458" w:rsidP="00C058A7">
            <w:pPr>
              <w:ind w:left="650" w:hanging="366"/>
              <w:rPr>
                <w:rFonts w:cs="Arial"/>
                <w:lang w:val="sl-SI"/>
              </w:rPr>
            </w:pPr>
            <w:r>
              <w:rPr>
                <w:rFonts w:cs="Arial"/>
                <w:lang w:val="sl-SI"/>
              </w:rPr>
              <w:t xml:space="preserve">20 </w:t>
            </w:r>
            <w:r w:rsidRPr="000A1F9E">
              <w:rPr>
                <w:rFonts w:cs="Arial"/>
                <w:szCs w:val="20"/>
                <w:lang w:val="sl-SI"/>
              </w:rPr>
              <w:t>–</w:t>
            </w:r>
            <w:r w:rsidR="00BE7326" w:rsidRPr="003E2D01">
              <w:rPr>
                <w:rFonts w:cs="Arial"/>
                <w:lang w:val="sl-SI"/>
              </w:rPr>
              <w:t xml:space="preserve"> </w:t>
            </w:r>
            <w:r w:rsidR="00BE7326">
              <w:rPr>
                <w:rFonts w:cs="Arial"/>
                <w:lang w:val="sl-SI"/>
              </w:rPr>
              <w:t>vlagatelj</w:t>
            </w:r>
            <w:r w:rsidR="00BE7326" w:rsidRPr="003E2D01">
              <w:rPr>
                <w:rFonts w:cs="Arial"/>
                <w:lang w:val="sl-SI"/>
              </w:rPr>
              <w:t xml:space="preserve"> ima več kot tri enote</w:t>
            </w:r>
            <w:r w:rsidR="00BE7326">
              <w:rPr>
                <w:rFonts w:cs="Arial"/>
                <w:lang w:val="sl-SI"/>
              </w:rPr>
              <w:t xml:space="preserve"> pri</w:t>
            </w:r>
            <w:r w:rsidR="00BE7326" w:rsidRPr="003E2D01">
              <w:rPr>
                <w:rFonts w:cs="Arial"/>
                <w:lang w:val="sl-SI"/>
              </w:rPr>
              <w:t>delave;</w:t>
            </w:r>
          </w:p>
          <w:p w14:paraId="4DC7177A" w14:textId="77777777" w:rsidR="00BE7326" w:rsidRPr="003E2D01" w:rsidRDefault="00BE7326" w:rsidP="00C058A7">
            <w:pPr>
              <w:ind w:left="650" w:hanging="366"/>
              <w:rPr>
                <w:rFonts w:cs="Arial"/>
                <w:lang w:val="sl-SI"/>
              </w:rPr>
            </w:pPr>
          </w:p>
          <w:p w14:paraId="69DC88C5" w14:textId="421BF67D" w:rsidR="00BE7326" w:rsidRPr="003E2D01" w:rsidRDefault="00587458" w:rsidP="00C058A7">
            <w:pPr>
              <w:ind w:left="650" w:hanging="366"/>
              <w:rPr>
                <w:rFonts w:cs="Arial"/>
                <w:lang w:val="sl-SI"/>
              </w:rPr>
            </w:pPr>
            <w:r>
              <w:rPr>
                <w:rFonts w:cs="Arial"/>
                <w:lang w:val="sl-SI"/>
              </w:rPr>
              <w:t xml:space="preserve">15 </w:t>
            </w:r>
            <w:r w:rsidRPr="000A1F9E">
              <w:rPr>
                <w:rFonts w:cs="Arial"/>
                <w:szCs w:val="20"/>
                <w:lang w:val="sl-SI"/>
              </w:rPr>
              <w:t>–</w:t>
            </w:r>
            <w:r w:rsidR="00BE7326" w:rsidRPr="003E2D01">
              <w:rPr>
                <w:rFonts w:cs="Arial"/>
                <w:lang w:val="sl-SI"/>
              </w:rPr>
              <w:t xml:space="preserve"> </w:t>
            </w:r>
            <w:r w:rsidR="00BE7326">
              <w:rPr>
                <w:rFonts w:cs="Arial"/>
                <w:lang w:val="sl-SI"/>
              </w:rPr>
              <w:t>vlagatelj</w:t>
            </w:r>
            <w:r w:rsidR="00BE7326" w:rsidRPr="003E2D01">
              <w:rPr>
                <w:rFonts w:cs="Arial"/>
                <w:lang w:val="sl-SI"/>
              </w:rPr>
              <w:t xml:space="preserve"> ima tri enote</w:t>
            </w:r>
            <w:r w:rsidR="00BE7326">
              <w:rPr>
                <w:rFonts w:cs="Arial"/>
                <w:lang w:val="sl-SI"/>
              </w:rPr>
              <w:t xml:space="preserve"> pri</w:t>
            </w:r>
            <w:r w:rsidR="00BE7326" w:rsidRPr="003E2D01">
              <w:rPr>
                <w:rFonts w:cs="Arial"/>
                <w:lang w:val="sl-SI"/>
              </w:rPr>
              <w:t>delave;</w:t>
            </w:r>
          </w:p>
          <w:p w14:paraId="4C77EB85" w14:textId="77777777" w:rsidR="00BE7326" w:rsidRPr="003E2D01" w:rsidRDefault="00BE7326" w:rsidP="00C058A7">
            <w:pPr>
              <w:ind w:left="650" w:hanging="366"/>
              <w:rPr>
                <w:rFonts w:cs="Arial"/>
                <w:lang w:val="sl-SI"/>
              </w:rPr>
            </w:pPr>
          </w:p>
          <w:p w14:paraId="2F93341F" w14:textId="1AED8D34" w:rsidR="00BE7326" w:rsidRPr="003E2D01" w:rsidRDefault="00587458" w:rsidP="00C058A7">
            <w:pPr>
              <w:ind w:left="650" w:hanging="366"/>
              <w:rPr>
                <w:rFonts w:cs="Arial"/>
                <w:lang w:val="sl-SI"/>
              </w:rPr>
            </w:pPr>
            <w:r>
              <w:rPr>
                <w:rFonts w:cs="Arial"/>
                <w:lang w:val="sl-SI"/>
              </w:rPr>
              <w:t xml:space="preserve">10 </w:t>
            </w:r>
            <w:r w:rsidRPr="000A1F9E">
              <w:rPr>
                <w:rFonts w:cs="Arial"/>
                <w:szCs w:val="20"/>
                <w:lang w:val="sl-SI"/>
              </w:rPr>
              <w:t>–</w:t>
            </w:r>
            <w:r w:rsidR="00BE7326" w:rsidRPr="003E2D01">
              <w:rPr>
                <w:rFonts w:cs="Arial"/>
                <w:lang w:val="sl-SI"/>
              </w:rPr>
              <w:t xml:space="preserve"> </w:t>
            </w:r>
            <w:r w:rsidR="00BE7326">
              <w:rPr>
                <w:rFonts w:cs="Arial"/>
                <w:lang w:val="sl-SI"/>
              </w:rPr>
              <w:t>vlagatelj</w:t>
            </w:r>
            <w:r w:rsidR="00BE7326" w:rsidRPr="003E2D01">
              <w:rPr>
                <w:rFonts w:cs="Arial"/>
                <w:lang w:val="sl-SI"/>
              </w:rPr>
              <w:t xml:space="preserve"> </w:t>
            </w:r>
            <w:r w:rsidR="00BE7326">
              <w:rPr>
                <w:rFonts w:cs="Arial"/>
                <w:lang w:val="sl-SI"/>
              </w:rPr>
              <w:t>ima dve enoti pri</w:t>
            </w:r>
            <w:r w:rsidR="00BE7326" w:rsidRPr="003E2D01">
              <w:rPr>
                <w:rFonts w:cs="Arial"/>
                <w:lang w:val="sl-SI"/>
              </w:rPr>
              <w:t>delave;</w:t>
            </w:r>
          </w:p>
          <w:p w14:paraId="3D4344D5" w14:textId="77777777" w:rsidR="00BE7326" w:rsidRPr="003E2D01" w:rsidRDefault="00BE7326" w:rsidP="00C058A7">
            <w:pPr>
              <w:ind w:left="650" w:hanging="366"/>
              <w:rPr>
                <w:rFonts w:cs="Arial"/>
                <w:lang w:val="sl-SI"/>
              </w:rPr>
            </w:pPr>
          </w:p>
          <w:p w14:paraId="58B4625D" w14:textId="044C1EFF" w:rsidR="00BE7326" w:rsidRPr="003E2D01" w:rsidRDefault="00587458" w:rsidP="00C058A7">
            <w:pPr>
              <w:ind w:left="650" w:hanging="366"/>
              <w:rPr>
                <w:rFonts w:cs="Arial"/>
                <w:lang w:val="sl-SI"/>
              </w:rPr>
            </w:pPr>
            <w:r>
              <w:rPr>
                <w:rFonts w:cs="Arial"/>
                <w:lang w:val="sl-SI"/>
              </w:rPr>
              <w:t xml:space="preserve">  5 </w:t>
            </w:r>
            <w:r w:rsidRPr="000A1F9E">
              <w:rPr>
                <w:rFonts w:cs="Arial"/>
                <w:szCs w:val="20"/>
                <w:lang w:val="sl-SI"/>
              </w:rPr>
              <w:t>–</w:t>
            </w:r>
            <w:r w:rsidR="00BE7326" w:rsidRPr="003E2D01">
              <w:rPr>
                <w:rFonts w:cs="Arial"/>
                <w:lang w:val="sl-SI"/>
              </w:rPr>
              <w:t xml:space="preserve"> </w:t>
            </w:r>
            <w:r w:rsidR="00BE7326">
              <w:rPr>
                <w:rFonts w:cs="Arial"/>
                <w:lang w:val="sl-SI"/>
              </w:rPr>
              <w:t>vlagatelj ima eno enoto pri</w:t>
            </w:r>
            <w:r w:rsidR="00BE7326" w:rsidRPr="003E2D01">
              <w:rPr>
                <w:rFonts w:cs="Arial"/>
                <w:lang w:val="sl-SI"/>
              </w:rPr>
              <w:t>delave.</w:t>
            </w:r>
          </w:p>
          <w:p w14:paraId="1B2E7276" w14:textId="77777777" w:rsidR="00BE7326" w:rsidRPr="003E2D01" w:rsidRDefault="00BE7326" w:rsidP="00C058A7">
            <w:pPr>
              <w:ind w:left="650" w:hanging="366"/>
              <w:rPr>
                <w:rFonts w:cs="Arial"/>
                <w:lang w:val="sl-SI"/>
              </w:rPr>
            </w:pPr>
            <w:r w:rsidRPr="003E2D01">
              <w:rPr>
                <w:rFonts w:cs="Arial"/>
                <w:lang w:val="sl-SI"/>
              </w:rPr>
              <w:t xml:space="preserve">  </w:t>
            </w:r>
          </w:p>
        </w:tc>
      </w:tr>
    </w:tbl>
    <w:p w14:paraId="2AC1DFD5" w14:textId="77777777" w:rsidR="000A1F9E" w:rsidRPr="007A09BF" w:rsidRDefault="000A1F9E" w:rsidP="00E70D1B">
      <w:pPr>
        <w:rPr>
          <w:rFonts w:cs="Arial"/>
          <w:szCs w:val="20"/>
          <w:lang w:val="sl-SI"/>
        </w:rPr>
      </w:pPr>
    </w:p>
    <w:p w14:paraId="54F7524E" w14:textId="0CB3F8D0" w:rsidR="00E70D1B" w:rsidRDefault="00E70D1B" w:rsidP="00E70D1B">
      <w:pPr>
        <w:widowControl w:val="0"/>
        <w:jc w:val="both"/>
        <w:outlineLvl w:val="0"/>
        <w:rPr>
          <w:rFonts w:cs="Arial"/>
          <w:b/>
          <w:szCs w:val="20"/>
          <w:lang w:val="sl-SI"/>
        </w:rPr>
      </w:pPr>
      <w:r w:rsidRPr="00AA6683">
        <w:rPr>
          <w:rFonts w:cs="Arial"/>
          <w:b/>
          <w:szCs w:val="20"/>
          <w:lang w:val="sl-SI"/>
        </w:rPr>
        <w:t>VII. OBVEZNOSTI UPRAVIČENCA</w:t>
      </w:r>
      <w:r w:rsidRPr="007A09BF">
        <w:rPr>
          <w:rFonts w:cs="Arial"/>
          <w:b/>
          <w:szCs w:val="20"/>
          <w:lang w:val="sl-SI"/>
        </w:rPr>
        <w:t xml:space="preserve"> </w:t>
      </w:r>
    </w:p>
    <w:p w14:paraId="6F5D0A71" w14:textId="5F668ACF" w:rsidR="00E061AD" w:rsidRDefault="00E061AD" w:rsidP="00E70D1B">
      <w:pPr>
        <w:widowControl w:val="0"/>
        <w:jc w:val="both"/>
        <w:outlineLvl w:val="0"/>
        <w:rPr>
          <w:rFonts w:cs="Arial"/>
          <w:b/>
          <w:szCs w:val="20"/>
          <w:lang w:val="sl-SI"/>
        </w:rPr>
      </w:pPr>
    </w:p>
    <w:p w14:paraId="2168692D" w14:textId="1EC14FB8" w:rsidR="0095446D" w:rsidRDefault="008B415F" w:rsidP="0095446D">
      <w:pPr>
        <w:widowControl w:val="0"/>
        <w:jc w:val="both"/>
        <w:outlineLvl w:val="0"/>
        <w:rPr>
          <w:rFonts w:cs="Arial"/>
          <w:bCs/>
          <w:szCs w:val="20"/>
          <w:lang w:val="sl-SI" w:eastAsia="sl-SI"/>
        </w:rPr>
      </w:pPr>
      <w:r w:rsidRPr="008B415F">
        <w:rPr>
          <w:rFonts w:cs="Arial"/>
          <w:szCs w:val="20"/>
          <w:lang w:val="sl-SI"/>
        </w:rPr>
        <w:t xml:space="preserve">Obveznosti upravičenca so določene v </w:t>
      </w:r>
      <w:r w:rsidR="00BE7326">
        <w:rPr>
          <w:rFonts w:cs="Arial"/>
          <w:bCs/>
          <w:szCs w:val="20"/>
          <w:lang w:val="sl-SI" w:eastAsia="sl-SI"/>
        </w:rPr>
        <w:t>25. členu</w:t>
      </w:r>
      <w:r w:rsidR="0095446D" w:rsidRPr="0095446D">
        <w:rPr>
          <w:rFonts w:cs="Arial"/>
          <w:bCs/>
          <w:szCs w:val="20"/>
          <w:lang w:val="sl-SI" w:eastAsia="sl-SI"/>
        </w:rPr>
        <w:t xml:space="preserve"> uredbe o skupnih dol</w:t>
      </w:r>
      <w:r w:rsidR="000A1F9E">
        <w:rPr>
          <w:rFonts w:cs="Arial"/>
          <w:bCs/>
          <w:szCs w:val="20"/>
          <w:lang w:val="sl-SI" w:eastAsia="sl-SI"/>
        </w:rPr>
        <w:t>očbah za izvajanje intervencij.</w:t>
      </w:r>
    </w:p>
    <w:p w14:paraId="13F0CB7D" w14:textId="77777777" w:rsidR="00E70D1B" w:rsidRPr="007A09BF" w:rsidRDefault="00E70D1B" w:rsidP="00E70D1B">
      <w:pPr>
        <w:widowControl w:val="0"/>
        <w:jc w:val="both"/>
        <w:outlineLvl w:val="0"/>
        <w:rPr>
          <w:rFonts w:cs="Arial"/>
          <w:b/>
          <w:szCs w:val="20"/>
          <w:highlight w:val="green"/>
          <w:lang w:val="sl-SI"/>
        </w:rPr>
      </w:pPr>
    </w:p>
    <w:p w14:paraId="6CCF71E9" w14:textId="444F6CB9" w:rsidR="00E70D1B" w:rsidRDefault="00AA6683" w:rsidP="00E70D1B">
      <w:pPr>
        <w:widowControl w:val="0"/>
        <w:jc w:val="both"/>
        <w:outlineLvl w:val="0"/>
        <w:rPr>
          <w:rFonts w:cs="Arial"/>
          <w:b/>
          <w:szCs w:val="20"/>
          <w:lang w:val="sl-SI"/>
        </w:rPr>
      </w:pPr>
      <w:r>
        <w:rPr>
          <w:rFonts w:cs="Arial"/>
          <w:b/>
          <w:szCs w:val="20"/>
          <w:lang w:val="sl-SI"/>
        </w:rPr>
        <w:t>VII</w:t>
      </w:r>
      <w:r w:rsidR="0065716F">
        <w:rPr>
          <w:rFonts w:cs="Arial"/>
          <w:b/>
          <w:szCs w:val="20"/>
          <w:lang w:val="sl-SI"/>
        </w:rPr>
        <w:t>I</w:t>
      </w:r>
      <w:r>
        <w:rPr>
          <w:rFonts w:cs="Arial"/>
          <w:b/>
          <w:szCs w:val="20"/>
          <w:lang w:val="sl-SI"/>
        </w:rPr>
        <w:t xml:space="preserve">. </w:t>
      </w:r>
      <w:r w:rsidR="00E70D1B" w:rsidRPr="007A09BF">
        <w:rPr>
          <w:rFonts w:cs="Arial"/>
          <w:b/>
          <w:szCs w:val="20"/>
          <w:lang w:val="sl-SI"/>
        </w:rPr>
        <w:t xml:space="preserve">VLAGANJE VLOG IN POSTOPEK ZA </w:t>
      </w:r>
      <w:r>
        <w:rPr>
          <w:rFonts w:cs="Arial"/>
          <w:b/>
          <w:szCs w:val="20"/>
          <w:lang w:val="sl-SI"/>
        </w:rPr>
        <w:t xml:space="preserve">IZPLAČILO </w:t>
      </w:r>
      <w:r w:rsidR="00E70D1B" w:rsidRPr="007A09BF">
        <w:rPr>
          <w:rFonts w:cs="Arial"/>
          <w:b/>
          <w:szCs w:val="20"/>
          <w:lang w:val="sl-SI"/>
        </w:rPr>
        <w:t>SREDSTEV</w:t>
      </w:r>
    </w:p>
    <w:p w14:paraId="36EF12E0" w14:textId="77777777" w:rsidR="00E061AD" w:rsidRPr="007A09BF" w:rsidRDefault="00E061AD" w:rsidP="00E70D1B">
      <w:pPr>
        <w:widowControl w:val="0"/>
        <w:jc w:val="both"/>
        <w:outlineLvl w:val="0"/>
        <w:rPr>
          <w:rFonts w:cs="Arial"/>
          <w:b/>
          <w:szCs w:val="20"/>
          <w:lang w:val="sl-SI"/>
        </w:rPr>
      </w:pPr>
    </w:p>
    <w:p w14:paraId="4E0ECAFF" w14:textId="3C8430B1" w:rsidR="00DE31E4" w:rsidRDefault="00DE31E4" w:rsidP="00DE31E4">
      <w:pPr>
        <w:pStyle w:val="Odstavekseznama"/>
        <w:numPr>
          <w:ilvl w:val="0"/>
          <w:numId w:val="18"/>
        </w:numPr>
        <w:spacing w:line="240" w:lineRule="auto"/>
        <w:jc w:val="both"/>
        <w:rPr>
          <w:rFonts w:cs="Arial"/>
          <w:szCs w:val="20"/>
          <w:lang w:val="sl-SI"/>
        </w:rPr>
      </w:pPr>
      <w:r w:rsidRPr="00DE31E4">
        <w:rPr>
          <w:rFonts w:cs="Arial"/>
          <w:szCs w:val="20"/>
          <w:lang w:val="sl-SI"/>
        </w:rPr>
        <w:t xml:space="preserve">Vlaganje vloge na javni razpis, obravnava vloge in postopek za dodelitev sredstev so določeni v 5., 6. in 7. členu uredbe o skupnih določbah za izvajanje intervencij ter </w:t>
      </w:r>
      <w:r>
        <w:rPr>
          <w:rFonts w:cs="Arial"/>
          <w:szCs w:val="20"/>
          <w:lang w:val="sl-SI"/>
        </w:rPr>
        <w:t>38</w:t>
      </w:r>
      <w:r w:rsidRPr="00DE31E4">
        <w:rPr>
          <w:rFonts w:cs="Arial"/>
          <w:szCs w:val="20"/>
          <w:lang w:val="sl-SI"/>
        </w:rPr>
        <w:t>. členu uredbe.</w:t>
      </w:r>
    </w:p>
    <w:p w14:paraId="364CBEAF" w14:textId="1F38FE0A" w:rsidR="00415C3E" w:rsidRPr="00415C3E" w:rsidRDefault="00415C3E" w:rsidP="00415C3E">
      <w:pPr>
        <w:pStyle w:val="Odstavekseznama"/>
        <w:numPr>
          <w:ilvl w:val="0"/>
          <w:numId w:val="18"/>
        </w:numPr>
        <w:rPr>
          <w:rFonts w:cs="Arial"/>
          <w:szCs w:val="20"/>
          <w:lang w:val="sl-SI"/>
        </w:rPr>
      </w:pPr>
      <w:r w:rsidRPr="00415C3E">
        <w:rPr>
          <w:rFonts w:cs="Arial"/>
          <w:szCs w:val="20"/>
          <w:lang w:val="sl-SI"/>
        </w:rPr>
        <w:t>Vlagatelj lahko na javni razpis vloži le eno vlogo.</w:t>
      </w:r>
    </w:p>
    <w:p w14:paraId="6FCC5870" w14:textId="7D9F7ABE" w:rsidR="00DE31E4" w:rsidRPr="00DE31E4" w:rsidRDefault="00DE31E4" w:rsidP="00DE31E4">
      <w:pPr>
        <w:pStyle w:val="Odstavekseznama"/>
        <w:numPr>
          <w:ilvl w:val="0"/>
          <w:numId w:val="18"/>
        </w:numPr>
        <w:jc w:val="both"/>
        <w:rPr>
          <w:rFonts w:cs="Arial"/>
          <w:szCs w:val="20"/>
          <w:lang w:val="sl-SI"/>
        </w:rPr>
      </w:pPr>
      <w:r w:rsidRPr="00DE31E4">
        <w:rPr>
          <w:rFonts w:cs="Arial"/>
          <w:szCs w:val="20"/>
          <w:lang w:val="sl-SI"/>
        </w:rPr>
        <w:t xml:space="preserve">Če imata dve ali več vlog na javni razpis enako število točk in razpisana sredstva ne zadoščajo za odobritev vseh teh vlog v celoti, se v skladu s </w:t>
      </w:r>
      <w:r w:rsidR="00B90A3C">
        <w:rPr>
          <w:rFonts w:cs="Arial"/>
          <w:szCs w:val="20"/>
          <w:lang w:val="sl-SI"/>
        </w:rPr>
        <w:t>tretjim</w:t>
      </w:r>
      <w:r w:rsidRPr="00DE31E4">
        <w:rPr>
          <w:rFonts w:cs="Arial"/>
          <w:szCs w:val="20"/>
          <w:lang w:val="sl-SI"/>
        </w:rPr>
        <w:t xml:space="preserve"> odstavkom </w:t>
      </w:r>
      <w:r w:rsidR="00B90A3C">
        <w:rPr>
          <w:rFonts w:cs="Arial"/>
          <w:szCs w:val="20"/>
          <w:lang w:val="sl-SI"/>
        </w:rPr>
        <w:t>38. člena u</w:t>
      </w:r>
      <w:r w:rsidRPr="00DE31E4">
        <w:rPr>
          <w:rFonts w:cs="Arial"/>
          <w:szCs w:val="20"/>
          <w:lang w:val="sl-SI"/>
        </w:rPr>
        <w:t>redbe, vloge na javni razpis odobrijo na</w:t>
      </w:r>
      <w:r w:rsidR="007C205C">
        <w:rPr>
          <w:rFonts w:cs="Arial"/>
          <w:szCs w:val="20"/>
          <w:lang w:val="sl-SI"/>
        </w:rPr>
        <w:t xml:space="preserve"> podlagi ponderiranja meril za ocenjevanje</w:t>
      </w:r>
      <w:r w:rsidRPr="00DE31E4">
        <w:rPr>
          <w:rFonts w:cs="Arial"/>
          <w:szCs w:val="20"/>
          <w:lang w:val="sl-SI"/>
        </w:rPr>
        <w:t xml:space="preserve"> vlog, in sicer:</w:t>
      </w:r>
    </w:p>
    <w:p w14:paraId="749C34A1" w14:textId="5A065457" w:rsidR="000A1F9E" w:rsidRPr="000A1F9E" w:rsidRDefault="000A1F9E" w:rsidP="000A1F9E">
      <w:pPr>
        <w:pStyle w:val="Odstavekseznama"/>
        <w:widowControl w:val="0"/>
        <w:numPr>
          <w:ilvl w:val="0"/>
          <w:numId w:val="31"/>
        </w:numPr>
        <w:jc w:val="both"/>
        <w:outlineLvl w:val="0"/>
        <w:rPr>
          <w:rFonts w:cs="Arial"/>
          <w:szCs w:val="20"/>
          <w:lang w:val="sl-SI"/>
        </w:rPr>
      </w:pPr>
      <w:r>
        <w:rPr>
          <w:rFonts w:cs="Arial"/>
          <w:szCs w:val="20"/>
          <w:lang w:val="sl-SI"/>
        </w:rPr>
        <w:t>velikost gozdne drevesnice: 30 odstotkov;</w:t>
      </w:r>
    </w:p>
    <w:p w14:paraId="279BF8C7" w14:textId="49F389DB" w:rsidR="000A1F9E" w:rsidRPr="000A1F9E" w:rsidRDefault="000A1F9E" w:rsidP="000A1F9E">
      <w:pPr>
        <w:pStyle w:val="Odstavekseznama"/>
        <w:widowControl w:val="0"/>
        <w:numPr>
          <w:ilvl w:val="0"/>
          <w:numId w:val="31"/>
        </w:numPr>
        <w:jc w:val="both"/>
        <w:outlineLvl w:val="0"/>
        <w:rPr>
          <w:rFonts w:cs="Arial"/>
          <w:szCs w:val="20"/>
          <w:lang w:val="sl-SI"/>
        </w:rPr>
      </w:pPr>
      <w:r>
        <w:rPr>
          <w:rFonts w:cs="Arial"/>
          <w:szCs w:val="20"/>
          <w:lang w:val="sl-SI"/>
        </w:rPr>
        <w:t>število zaposlenih v podjetju: 20 odstotkov;</w:t>
      </w:r>
    </w:p>
    <w:p w14:paraId="25A3C08A" w14:textId="543C6C98" w:rsidR="000A1F9E" w:rsidRPr="000A1F9E" w:rsidRDefault="000A1F9E" w:rsidP="000A1F9E">
      <w:pPr>
        <w:pStyle w:val="Odstavekseznama"/>
        <w:widowControl w:val="0"/>
        <w:numPr>
          <w:ilvl w:val="0"/>
          <w:numId w:val="31"/>
        </w:numPr>
        <w:jc w:val="both"/>
        <w:outlineLvl w:val="0"/>
        <w:rPr>
          <w:rFonts w:cs="Arial"/>
          <w:szCs w:val="20"/>
          <w:lang w:val="sl-SI"/>
        </w:rPr>
      </w:pPr>
      <w:r w:rsidRPr="000A1F9E">
        <w:rPr>
          <w:rFonts w:cs="Arial"/>
          <w:szCs w:val="20"/>
          <w:lang w:val="sl-SI"/>
        </w:rPr>
        <w:lastRenderedPageBreak/>
        <w:t>sklenjene pogodbe za odkup sadik gozdnega drevja</w:t>
      </w:r>
      <w:r>
        <w:rPr>
          <w:rFonts w:cs="Arial"/>
          <w:szCs w:val="20"/>
          <w:lang w:val="sl-SI"/>
        </w:rPr>
        <w:t>; 10 odstotkov;</w:t>
      </w:r>
    </w:p>
    <w:p w14:paraId="161E243C" w14:textId="08A6B5DD" w:rsidR="000A1F9E" w:rsidRPr="000A1F9E" w:rsidRDefault="000A1F9E" w:rsidP="000A1F9E">
      <w:pPr>
        <w:pStyle w:val="Odstavekseznama"/>
        <w:widowControl w:val="0"/>
        <w:numPr>
          <w:ilvl w:val="0"/>
          <w:numId w:val="31"/>
        </w:numPr>
        <w:jc w:val="both"/>
        <w:outlineLvl w:val="0"/>
        <w:rPr>
          <w:rFonts w:cs="Arial"/>
          <w:szCs w:val="20"/>
          <w:lang w:val="sl-SI"/>
        </w:rPr>
      </w:pPr>
      <w:r w:rsidRPr="000A1F9E">
        <w:rPr>
          <w:rFonts w:cs="Arial"/>
          <w:szCs w:val="20"/>
          <w:lang w:val="sl-SI"/>
        </w:rPr>
        <w:t>število dejavno</w:t>
      </w:r>
      <w:r>
        <w:rPr>
          <w:rFonts w:cs="Arial"/>
          <w:szCs w:val="20"/>
          <w:lang w:val="sl-SI"/>
        </w:rPr>
        <w:t>sti, ki jih dobavitelj opravlja: 20 odstotkov;</w:t>
      </w:r>
      <w:r w:rsidRPr="000A1F9E">
        <w:rPr>
          <w:rFonts w:cs="Arial"/>
          <w:szCs w:val="20"/>
          <w:lang w:val="sl-SI"/>
        </w:rPr>
        <w:t xml:space="preserve"> </w:t>
      </w:r>
    </w:p>
    <w:p w14:paraId="1D60CAD2" w14:textId="00687440" w:rsidR="000A1F9E" w:rsidRPr="000A1F9E" w:rsidRDefault="000A1F9E" w:rsidP="000A1F9E">
      <w:pPr>
        <w:pStyle w:val="Odstavekseznama"/>
        <w:widowControl w:val="0"/>
        <w:numPr>
          <w:ilvl w:val="0"/>
          <w:numId w:val="31"/>
        </w:numPr>
        <w:jc w:val="both"/>
        <w:outlineLvl w:val="0"/>
        <w:rPr>
          <w:rFonts w:cs="Arial"/>
          <w:szCs w:val="20"/>
          <w:lang w:val="sl-SI"/>
        </w:rPr>
      </w:pPr>
      <w:r>
        <w:rPr>
          <w:rFonts w:cs="Arial"/>
          <w:szCs w:val="20"/>
          <w:lang w:val="sl-SI"/>
        </w:rPr>
        <w:t xml:space="preserve">število enot pridelave: 20 odstotkov. </w:t>
      </w:r>
    </w:p>
    <w:p w14:paraId="68527772" w14:textId="77777777" w:rsidR="00AA6683" w:rsidRDefault="00AA6683" w:rsidP="00AA6683">
      <w:pPr>
        <w:widowControl w:val="0"/>
        <w:jc w:val="both"/>
        <w:outlineLvl w:val="0"/>
        <w:rPr>
          <w:rFonts w:cs="Arial"/>
          <w:b/>
          <w:szCs w:val="20"/>
          <w:lang w:val="sl-SI"/>
        </w:rPr>
      </w:pPr>
    </w:p>
    <w:p w14:paraId="78A3630F" w14:textId="64392899" w:rsidR="00AA6683" w:rsidRDefault="009938F1" w:rsidP="00AA6683">
      <w:pPr>
        <w:widowControl w:val="0"/>
        <w:jc w:val="both"/>
        <w:outlineLvl w:val="0"/>
        <w:rPr>
          <w:rFonts w:cs="Arial"/>
          <w:b/>
          <w:szCs w:val="20"/>
          <w:lang w:val="sl-SI"/>
        </w:rPr>
      </w:pPr>
      <w:r>
        <w:rPr>
          <w:rFonts w:cs="Arial"/>
          <w:b/>
          <w:szCs w:val="20"/>
          <w:lang w:val="sl-SI"/>
        </w:rPr>
        <w:t>I</w:t>
      </w:r>
      <w:r w:rsidR="00AA6683">
        <w:rPr>
          <w:rFonts w:cs="Arial"/>
          <w:b/>
          <w:szCs w:val="20"/>
          <w:lang w:val="sl-SI"/>
        </w:rPr>
        <w:t>X</w:t>
      </w:r>
      <w:r w:rsidR="00AA6683" w:rsidRPr="007A09BF">
        <w:rPr>
          <w:rFonts w:cs="Arial"/>
          <w:b/>
          <w:szCs w:val="20"/>
          <w:lang w:val="sl-SI"/>
        </w:rPr>
        <w:t>. FINANČNE DOLOČBE</w:t>
      </w:r>
    </w:p>
    <w:p w14:paraId="062ECC11" w14:textId="77777777" w:rsidR="00E061AD" w:rsidRPr="007A09BF" w:rsidRDefault="00E061AD" w:rsidP="00AA6683">
      <w:pPr>
        <w:widowControl w:val="0"/>
        <w:jc w:val="both"/>
        <w:outlineLvl w:val="0"/>
        <w:rPr>
          <w:rFonts w:cs="Arial"/>
          <w:b/>
          <w:szCs w:val="20"/>
          <w:lang w:val="sl-SI"/>
        </w:rPr>
      </w:pPr>
    </w:p>
    <w:p w14:paraId="6E271DB2" w14:textId="57CB6451" w:rsidR="008B415F" w:rsidRDefault="008B415F" w:rsidP="008B415F">
      <w:pPr>
        <w:widowControl w:val="0"/>
        <w:jc w:val="both"/>
        <w:outlineLvl w:val="0"/>
        <w:rPr>
          <w:rFonts w:cs="Arial"/>
          <w:szCs w:val="20"/>
          <w:lang w:val="sl-SI"/>
        </w:rPr>
      </w:pPr>
      <w:r w:rsidRPr="008B415F">
        <w:rPr>
          <w:rFonts w:cs="Arial"/>
          <w:szCs w:val="20"/>
          <w:lang w:val="sl-SI"/>
        </w:rPr>
        <w:t xml:space="preserve">Finančne določbe so </w:t>
      </w:r>
      <w:r w:rsidR="009938F1">
        <w:rPr>
          <w:rFonts w:cs="Arial"/>
          <w:szCs w:val="20"/>
          <w:lang w:val="sl-SI"/>
        </w:rPr>
        <w:t xml:space="preserve">določene </w:t>
      </w:r>
      <w:r w:rsidRPr="008B415F">
        <w:rPr>
          <w:rFonts w:cs="Arial"/>
          <w:szCs w:val="20"/>
          <w:lang w:val="sl-SI"/>
        </w:rPr>
        <w:t xml:space="preserve">v </w:t>
      </w:r>
      <w:r w:rsidR="000A1F9E">
        <w:rPr>
          <w:rFonts w:cs="Arial"/>
          <w:szCs w:val="20"/>
          <w:lang w:val="sl-SI"/>
        </w:rPr>
        <w:t>37</w:t>
      </w:r>
      <w:r w:rsidRPr="008B415F">
        <w:rPr>
          <w:rFonts w:cs="Arial"/>
          <w:szCs w:val="20"/>
          <w:lang w:val="sl-SI"/>
        </w:rPr>
        <w:t xml:space="preserve">. členu </w:t>
      </w:r>
      <w:r w:rsidR="003A356B">
        <w:rPr>
          <w:rFonts w:cs="Arial"/>
          <w:szCs w:val="20"/>
          <w:lang w:val="sl-SI"/>
        </w:rPr>
        <w:t>u</w:t>
      </w:r>
      <w:r w:rsidRPr="008B415F">
        <w:rPr>
          <w:rFonts w:cs="Arial"/>
          <w:szCs w:val="20"/>
          <w:lang w:val="sl-SI"/>
        </w:rPr>
        <w:t>redbe.</w:t>
      </w:r>
    </w:p>
    <w:p w14:paraId="2DF7660D" w14:textId="77777777" w:rsidR="00B65472" w:rsidRPr="008B415F" w:rsidRDefault="00B65472" w:rsidP="008B415F">
      <w:pPr>
        <w:widowControl w:val="0"/>
        <w:jc w:val="both"/>
        <w:outlineLvl w:val="0"/>
        <w:rPr>
          <w:rFonts w:cs="Arial"/>
          <w:szCs w:val="20"/>
          <w:lang w:val="sl-SI"/>
        </w:rPr>
      </w:pPr>
    </w:p>
    <w:p w14:paraId="66285492" w14:textId="179710C8" w:rsidR="00415C3E" w:rsidRPr="00415C3E" w:rsidRDefault="00415C3E" w:rsidP="00415C3E">
      <w:pPr>
        <w:widowControl w:val="0"/>
        <w:jc w:val="both"/>
        <w:outlineLvl w:val="0"/>
        <w:rPr>
          <w:rFonts w:cs="Arial"/>
          <w:b/>
          <w:szCs w:val="20"/>
          <w:lang w:val="sl-SI"/>
        </w:rPr>
      </w:pPr>
      <w:r>
        <w:rPr>
          <w:rFonts w:cs="Arial"/>
          <w:b/>
          <w:szCs w:val="20"/>
          <w:lang w:val="sl-SI"/>
        </w:rPr>
        <w:t xml:space="preserve">X. </w:t>
      </w:r>
      <w:r w:rsidRPr="00415C3E">
        <w:rPr>
          <w:rFonts w:cs="Arial"/>
          <w:b/>
          <w:szCs w:val="20"/>
          <w:lang w:val="sl-SI"/>
        </w:rPr>
        <w:t>VLAGANJE ZAHTEVKOV ZA IZPLAČILO SREDSTEV</w:t>
      </w:r>
    </w:p>
    <w:p w14:paraId="3C26CB03" w14:textId="37470CE7" w:rsidR="00415C3E" w:rsidRDefault="00415C3E" w:rsidP="00E70D1B">
      <w:pPr>
        <w:widowControl w:val="0"/>
        <w:jc w:val="both"/>
        <w:outlineLvl w:val="0"/>
        <w:rPr>
          <w:rFonts w:cs="Arial"/>
          <w:b/>
          <w:szCs w:val="20"/>
          <w:lang w:val="sl-SI"/>
        </w:rPr>
      </w:pPr>
    </w:p>
    <w:p w14:paraId="60C122C1" w14:textId="3BF0A7A6" w:rsidR="002B7C8D" w:rsidRPr="002B7C8D" w:rsidRDefault="002B7C8D" w:rsidP="002B7C8D">
      <w:pPr>
        <w:pStyle w:val="Odstavekseznama"/>
        <w:numPr>
          <w:ilvl w:val="0"/>
          <w:numId w:val="29"/>
        </w:numPr>
        <w:jc w:val="both"/>
        <w:rPr>
          <w:rFonts w:cs="Arial"/>
          <w:szCs w:val="20"/>
          <w:lang w:val="sl-SI"/>
        </w:rPr>
      </w:pPr>
      <w:r w:rsidRPr="002B7C8D">
        <w:rPr>
          <w:rFonts w:cs="Arial"/>
          <w:szCs w:val="20"/>
          <w:lang w:val="sl-SI"/>
        </w:rPr>
        <w:t>Upravičenec mora ob vložitvi zahtevka za izplačilo sredstev izpolnjevati pogoje, ki so določeni v prvem odstavku 22. člena</w:t>
      </w:r>
      <w:r w:rsidR="00102872">
        <w:rPr>
          <w:rFonts w:cs="Arial"/>
          <w:szCs w:val="20"/>
          <w:lang w:val="sl-SI"/>
        </w:rPr>
        <w:t>,</w:t>
      </w:r>
      <w:r>
        <w:rPr>
          <w:rFonts w:cs="Arial"/>
          <w:szCs w:val="20"/>
          <w:lang w:val="sl-SI"/>
        </w:rPr>
        <w:t xml:space="preserve"> </w:t>
      </w:r>
      <w:r w:rsidR="00102872">
        <w:rPr>
          <w:rFonts w:cs="Arial"/>
          <w:szCs w:val="20"/>
          <w:lang w:val="sl-SI"/>
        </w:rPr>
        <w:t>prvem</w:t>
      </w:r>
      <w:r w:rsidR="0064163A">
        <w:rPr>
          <w:rFonts w:cs="Arial"/>
          <w:szCs w:val="20"/>
          <w:lang w:val="sl-SI"/>
        </w:rPr>
        <w:t>,</w:t>
      </w:r>
      <w:r w:rsidR="00102872">
        <w:rPr>
          <w:rFonts w:cs="Arial"/>
          <w:szCs w:val="20"/>
          <w:lang w:val="sl-SI"/>
        </w:rPr>
        <w:t xml:space="preserve"> </w:t>
      </w:r>
      <w:r w:rsidR="00311033">
        <w:rPr>
          <w:rFonts w:cs="Arial"/>
          <w:szCs w:val="20"/>
          <w:lang w:val="sl-SI"/>
        </w:rPr>
        <w:t>v 1. točki tretjega,</w:t>
      </w:r>
      <w:r w:rsidR="0064163A">
        <w:rPr>
          <w:rFonts w:cs="Arial"/>
          <w:szCs w:val="20"/>
          <w:lang w:val="sl-SI"/>
        </w:rPr>
        <w:t xml:space="preserve"> četrtem </w:t>
      </w:r>
      <w:r w:rsidR="00311033">
        <w:rPr>
          <w:rFonts w:cs="Arial"/>
          <w:szCs w:val="20"/>
          <w:lang w:val="sl-SI"/>
        </w:rPr>
        <w:t xml:space="preserve">in petem </w:t>
      </w:r>
      <w:r w:rsidR="00102872">
        <w:rPr>
          <w:rFonts w:cs="Arial"/>
          <w:szCs w:val="20"/>
          <w:lang w:val="sl-SI"/>
        </w:rPr>
        <w:t xml:space="preserve">odstavku </w:t>
      </w:r>
      <w:r w:rsidR="00311033">
        <w:rPr>
          <w:rFonts w:cs="Arial"/>
          <w:szCs w:val="20"/>
          <w:lang w:val="sl-SI"/>
        </w:rPr>
        <w:t>23. člena</w:t>
      </w:r>
      <w:r>
        <w:rPr>
          <w:rFonts w:cs="Arial"/>
          <w:szCs w:val="20"/>
          <w:lang w:val="sl-SI"/>
        </w:rPr>
        <w:t xml:space="preserve"> </w:t>
      </w:r>
      <w:r w:rsidRPr="002B7C8D">
        <w:rPr>
          <w:rFonts w:cs="Arial"/>
          <w:szCs w:val="20"/>
          <w:lang w:val="sl-SI"/>
        </w:rPr>
        <w:t xml:space="preserve">uredbe o skupnih določbah za izvajanje intervencij ter </w:t>
      </w:r>
      <w:r>
        <w:rPr>
          <w:rFonts w:cs="Arial"/>
          <w:szCs w:val="20"/>
          <w:lang w:val="sl-SI"/>
        </w:rPr>
        <w:t>35</w:t>
      </w:r>
      <w:r w:rsidRPr="002B7C8D">
        <w:rPr>
          <w:rFonts w:cs="Arial"/>
          <w:szCs w:val="20"/>
          <w:lang w:val="sl-SI"/>
        </w:rPr>
        <w:t>. členu uredbe.</w:t>
      </w:r>
    </w:p>
    <w:p w14:paraId="5B8F77B1" w14:textId="5D5FFE2D" w:rsidR="00415C3E" w:rsidRPr="00556262" w:rsidRDefault="00415C3E" w:rsidP="002B7C8D">
      <w:pPr>
        <w:pStyle w:val="Odstavekseznama"/>
        <w:numPr>
          <w:ilvl w:val="0"/>
          <w:numId w:val="29"/>
        </w:numPr>
        <w:spacing w:line="240" w:lineRule="auto"/>
        <w:jc w:val="both"/>
        <w:rPr>
          <w:rFonts w:cs="Arial"/>
          <w:szCs w:val="20"/>
          <w:lang w:val="sl-SI"/>
        </w:rPr>
      </w:pPr>
      <w:r w:rsidRPr="00556262">
        <w:rPr>
          <w:rFonts w:cs="Arial"/>
          <w:szCs w:val="20"/>
          <w:lang w:val="sl-SI"/>
        </w:rPr>
        <w:t xml:space="preserve">Sredstva se upravičencem izplačajo na podlagi enega zahtevka za izplačilo sredstev v skladu </w:t>
      </w:r>
      <w:r w:rsidR="002A6916" w:rsidRPr="00556262">
        <w:rPr>
          <w:rFonts w:cs="Arial"/>
          <w:szCs w:val="20"/>
          <w:lang w:val="sl-SI"/>
        </w:rPr>
        <w:t>z 21. členom uredbe o skupnih določbah za izvajanje intervencij</w:t>
      </w:r>
      <w:r w:rsidR="0022273D">
        <w:rPr>
          <w:rFonts w:cs="Arial"/>
          <w:szCs w:val="20"/>
          <w:lang w:val="sl-SI"/>
        </w:rPr>
        <w:t>,</w:t>
      </w:r>
      <w:r w:rsidR="00012B4B">
        <w:rPr>
          <w:rFonts w:cs="Arial"/>
          <w:szCs w:val="20"/>
          <w:lang w:val="sl-SI"/>
        </w:rPr>
        <w:t xml:space="preserve"> d</w:t>
      </w:r>
      <w:r w:rsidR="006D1AE0">
        <w:rPr>
          <w:rFonts w:cs="Arial"/>
          <w:szCs w:val="20"/>
          <w:lang w:val="sl-SI"/>
        </w:rPr>
        <w:t>rugim odstavkom 35. in 44. členom</w:t>
      </w:r>
      <w:r w:rsidR="002A6916" w:rsidRPr="00556262">
        <w:rPr>
          <w:rFonts w:cs="Arial"/>
          <w:szCs w:val="20"/>
          <w:lang w:val="sl-SI"/>
        </w:rPr>
        <w:t xml:space="preserve"> uredbe. </w:t>
      </w:r>
    </w:p>
    <w:p w14:paraId="710C6D8C" w14:textId="0C4FE9FA" w:rsidR="00556262" w:rsidRDefault="00556262" w:rsidP="002B7C8D">
      <w:pPr>
        <w:pStyle w:val="Odstavekseznama"/>
        <w:numPr>
          <w:ilvl w:val="0"/>
          <w:numId w:val="29"/>
        </w:numPr>
        <w:jc w:val="both"/>
        <w:rPr>
          <w:rFonts w:cs="Arial"/>
          <w:szCs w:val="20"/>
          <w:lang w:val="sl-SI"/>
        </w:rPr>
      </w:pPr>
      <w:r w:rsidRPr="00556262">
        <w:rPr>
          <w:rFonts w:cs="Arial"/>
          <w:szCs w:val="20"/>
          <w:lang w:val="sl-SI"/>
        </w:rPr>
        <w:t>Odrek pravici do sredstev je določen v 46. členu uredbe.</w:t>
      </w:r>
    </w:p>
    <w:p w14:paraId="70CFE16D" w14:textId="77777777" w:rsidR="000A1F9E" w:rsidRPr="00556262" w:rsidRDefault="000A1F9E" w:rsidP="000A1F9E">
      <w:pPr>
        <w:pStyle w:val="Odstavekseznama"/>
        <w:ind w:left="360"/>
        <w:rPr>
          <w:rFonts w:cs="Arial"/>
          <w:szCs w:val="20"/>
          <w:lang w:val="sl-SI"/>
        </w:rPr>
      </w:pPr>
    </w:p>
    <w:p w14:paraId="0D4297B7" w14:textId="58E6B81E" w:rsidR="002A6916" w:rsidRPr="002A6916" w:rsidRDefault="002A6916" w:rsidP="002A6916">
      <w:pPr>
        <w:spacing w:line="240" w:lineRule="auto"/>
        <w:jc w:val="both"/>
        <w:outlineLvl w:val="0"/>
        <w:rPr>
          <w:rFonts w:cs="Arial"/>
          <w:b/>
          <w:szCs w:val="20"/>
          <w:lang w:val="sl-SI" w:eastAsia="sl-SI"/>
        </w:rPr>
      </w:pPr>
      <w:r>
        <w:rPr>
          <w:rFonts w:cs="Arial"/>
          <w:b/>
          <w:szCs w:val="20"/>
          <w:lang w:val="sl-SI" w:eastAsia="sl-SI"/>
        </w:rPr>
        <w:t xml:space="preserve">XI. </w:t>
      </w:r>
      <w:r w:rsidRPr="002A6916">
        <w:rPr>
          <w:rFonts w:cs="Arial"/>
          <w:b/>
          <w:szCs w:val="20"/>
          <w:lang w:val="sl-SI" w:eastAsia="sl-SI"/>
        </w:rPr>
        <w:t>OBJAVA PODATKOV O UPRAVIČENCIH</w:t>
      </w:r>
    </w:p>
    <w:p w14:paraId="4EC2F14A" w14:textId="77777777" w:rsidR="002A6916" w:rsidRPr="002A6916" w:rsidRDefault="002A6916" w:rsidP="002A6916">
      <w:pPr>
        <w:spacing w:line="240" w:lineRule="auto"/>
        <w:ind w:left="1080"/>
        <w:jc w:val="both"/>
        <w:outlineLvl w:val="0"/>
        <w:rPr>
          <w:rFonts w:cs="Arial"/>
          <w:b/>
          <w:szCs w:val="20"/>
          <w:lang w:val="sl-SI" w:eastAsia="sl-SI"/>
        </w:rPr>
      </w:pPr>
    </w:p>
    <w:p w14:paraId="27AF8B5C" w14:textId="512AACA5" w:rsidR="002A6916" w:rsidRDefault="002A6916" w:rsidP="002A6916">
      <w:pPr>
        <w:spacing w:line="240" w:lineRule="auto"/>
        <w:jc w:val="both"/>
        <w:outlineLvl w:val="0"/>
        <w:rPr>
          <w:rFonts w:cs="Arial"/>
          <w:szCs w:val="20"/>
          <w:lang w:val="sl-SI" w:eastAsia="sl-SI"/>
        </w:rPr>
      </w:pPr>
      <w:r w:rsidRPr="002A6916">
        <w:rPr>
          <w:rFonts w:cs="Arial"/>
          <w:szCs w:val="20"/>
          <w:lang w:val="sl-SI" w:eastAsia="sl-SI"/>
        </w:rPr>
        <w:t xml:space="preserve">Objava podatkov o upravičencih, ki so prejeli sredstva, je določena v </w:t>
      </w:r>
      <w:r w:rsidR="00556262">
        <w:rPr>
          <w:rFonts w:cs="Arial"/>
          <w:szCs w:val="20"/>
          <w:lang w:val="sl-SI" w:eastAsia="sl-SI"/>
        </w:rPr>
        <w:t>8</w:t>
      </w:r>
      <w:r w:rsidRPr="002A6916">
        <w:rPr>
          <w:rFonts w:cs="Arial"/>
          <w:szCs w:val="20"/>
          <w:lang w:val="sl-SI" w:eastAsia="sl-SI"/>
        </w:rPr>
        <w:t xml:space="preserve">. členu uredbe o skupnih določbah za izvajanje intervencij. </w:t>
      </w:r>
    </w:p>
    <w:p w14:paraId="14821C58" w14:textId="224F0A16" w:rsidR="002A6916" w:rsidRPr="002A6916" w:rsidRDefault="002A6916" w:rsidP="002A6916">
      <w:pPr>
        <w:spacing w:line="240" w:lineRule="auto"/>
        <w:jc w:val="both"/>
        <w:outlineLvl w:val="0"/>
        <w:rPr>
          <w:rFonts w:cs="Arial"/>
          <w:b/>
          <w:szCs w:val="20"/>
          <w:lang w:val="sl-SI" w:eastAsia="sl-SI"/>
        </w:rPr>
      </w:pPr>
    </w:p>
    <w:p w14:paraId="5E86203A" w14:textId="5294C5B4" w:rsidR="002A6916" w:rsidRPr="002A6916" w:rsidRDefault="002A6916" w:rsidP="002A6916">
      <w:pPr>
        <w:spacing w:line="240" w:lineRule="auto"/>
        <w:jc w:val="both"/>
        <w:outlineLvl w:val="0"/>
        <w:rPr>
          <w:rFonts w:cs="Arial"/>
          <w:b/>
          <w:szCs w:val="20"/>
          <w:lang w:val="sl-SI" w:eastAsia="sl-SI"/>
        </w:rPr>
      </w:pPr>
      <w:r>
        <w:rPr>
          <w:rFonts w:cs="Arial"/>
          <w:b/>
          <w:szCs w:val="20"/>
          <w:lang w:val="sl-SI" w:eastAsia="sl-SI"/>
        </w:rPr>
        <w:t xml:space="preserve">XII. </w:t>
      </w:r>
      <w:r w:rsidRPr="002A6916">
        <w:rPr>
          <w:rFonts w:cs="Arial"/>
          <w:b/>
          <w:szCs w:val="20"/>
          <w:lang w:val="sl-SI" w:eastAsia="sl-SI"/>
        </w:rPr>
        <w:t xml:space="preserve">VARSTVO OSEBNIH PODATKOV </w:t>
      </w:r>
    </w:p>
    <w:p w14:paraId="5A8F3D1E" w14:textId="77777777" w:rsidR="002A6916" w:rsidRPr="002A6916" w:rsidRDefault="002A6916" w:rsidP="002A6916">
      <w:pPr>
        <w:spacing w:line="240" w:lineRule="auto"/>
        <w:ind w:left="1080"/>
        <w:jc w:val="both"/>
        <w:outlineLvl w:val="0"/>
        <w:rPr>
          <w:rFonts w:cs="Arial"/>
          <w:b/>
          <w:szCs w:val="20"/>
          <w:lang w:val="sl-SI" w:eastAsia="sl-SI"/>
        </w:rPr>
      </w:pPr>
    </w:p>
    <w:p w14:paraId="44287EE4" w14:textId="1956057C" w:rsidR="002A6916" w:rsidRPr="002A6916" w:rsidRDefault="002A6916" w:rsidP="002A6916">
      <w:pPr>
        <w:spacing w:line="240" w:lineRule="auto"/>
        <w:jc w:val="both"/>
        <w:outlineLvl w:val="0"/>
        <w:rPr>
          <w:rFonts w:cs="Arial"/>
          <w:szCs w:val="20"/>
          <w:lang w:val="sl-SI" w:eastAsia="sl-SI"/>
        </w:rPr>
      </w:pPr>
      <w:r w:rsidRPr="002A6916">
        <w:rPr>
          <w:rFonts w:cs="Arial"/>
          <w:szCs w:val="20"/>
          <w:lang w:val="sl-SI" w:eastAsia="sl-SI"/>
        </w:rPr>
        <w:t>V skladu s 13. in 14. členom Uredbe (EU) 2016/679 Evropskega parlamenta in Sveta z dne 27. aprila 2016 o varstvu posameznikov pri obdelavi osebnih podatkov in o prostem pretoku takih podatkov ter o razveljavitvi Direktive 95/46/ES (Splošna uredba o varstvu podatkov, UL L št</w:t>
      </w:r>
      <w:r w:rsidR="00F5681E">
        <w:rPr>
          <w:rFonts w:cs="Arial"/>
          <w:szCs w:val="20"/>
          <w:lang w:val="sl-SI" w:eastAsia="sl-SI"/>
        </w:rPr>
        <w:t>. 119 z dne 4. 5. 2016, str. 1)</w:t>
      </w:r>
      <w:r w:rsidRPr="002A6916">
        <w:rPr>
          <w:rFonts w:cs="Arial"/>
          <w:szCs w:val="20"/>
          <w:lang w:val="sl-SI" w:eastAsia="sl-SI"/>
        </w:rPr>
        <w:t xml:space="preserve"> so informacije za posameznike, katerih osebne podatke bo obdelovala </w:t>
      </w:r>
      <w:r w:rsidR="003A356B" w:rsidRPr="003A356B">
        <w:rPr>
          <w:rFonts w:cs="Arial"/>
          <w:szCs w:val="20"/>
          <w:lang w:val="sl-SI" w:eastAsia="sl-SI"/>
        </w:rPr>
        <w:t>Agencija Republike Slovenije za kmetijske trge in razvoj podeželja, objavljene na spletni strani</w:t>
      </w:r>
      <w:r w:rsidR="00287292">
        <w:rPr>
          <w:rFonts w:cs="Arial"/>
          <w:szCs w:val="20"/>
          <w:lang w:val="sl-SI" w:eastAsia="sl-SI"/>
        </w:rPr>
        <w:t xml:space="preserve"> agencije</w:t>
      </w:r>
      <w:r w:rsidR="003A356B" w:rsidRPr="003A356B">
        <w:rPr>
          <w:rFonts w:cs="Arial"/>
          <w:szCs w:val="20"/>
          <w:lang w:val="sl-SI" w:eastAsia="sl-SI"/>
        </w:rPr>
        <w:t>.</w:t>
      </w:r>
    </w:p>
    <w:p w14:paraId="64937D48" w14:textId="77777777" w:rsidR="002A6916" w:rsidRPr="007A09BF" w:rsidRDefault="002A6916" w:rsidP="00E70D1B">
      <w:pPr>
        <w:widowControl w:val="0"/>
        <w:jc w:val="both"/>
        <w:outlineLvl w:val="0"/>
        <w:rPr>
          <w:rFonts w:cs="Arial"/>
          <w:b/>
          <w:szCs w:val="20"/>
          <w:lang w:val="sl-SI"/>
        </w:rPr>
      </w:pPr>
    </w:p>
    <w:p w14:paraId="6D9BB9CC" w14:textId="789DAA10" w:rsidR="00E70D1B" w:rsidRPr="007A09BF" w:rsidRDefault="009938F1" w:rsidP="00E70D1B">
      <w:pPr>
        <w:widowControl w:val="0"/>
        <w:jc w:val="both"/>
        <w:outlineLvl w:val="0"/>
        <w:rPr>
          <w:rFonts w:cs="Arial"/>
          <w:b/>
          <w:szCs w:val="20"/>
          <w:lang w:val="sl-SI"/>
        </w:rPr>
      </w:pPr>
      <w:r>
        <w:rPr>
          <w:rFonts w:cs="Arial"/>
          <w:b/>
          <w:szCs w:val="20"/>
          <w:lang w:val="sl-SI"/>
        </w:rPr>
        <w:t>X</w:t>
      </w:r>
      <w:r w:rsidR="002A6916">
        <w:rPr>
          <w:rFonts w:cs="Arial"/>
          <w:b/>
          <w:szCs w:val="20"/>
          <w:lang w:val="sl-SI"/>
        </w:rPr>
        <w:t>III</w:t>
      </w:r>
      <w:r w:rsidR="00E70D1B" w:rsidRPr="007A09BF">
        <w:rPr>
          <w:rFonts w:cs="Arial"/>
          <w:b/>
          <w:szCs w:val="20"/>
          <w:lang w:val="sl-SI"/>
        </w:rPr>
        <w:t xml:space="preserve">. </w:t>
      </w:r>
      <w:r w:rsidR="00AA6683">
        <w:rPr>
          <w:rFonts w:cs="Arial"/>
          <w:b/>
          <w:szCs w:val="20"/>
          <w:lang w:val="sl-SI"/>
        </w:rPr>
        <w:t>KONTROLNI SISTEM IN UPRAVNE SANKCIJE</w:t>
      </w:r>
      <w:r w:rsidR="00945254">
        <w:rPr>
          <w:rFonts w:cs="Arial"/>
          <w:b/>
          <w:szCs w:val="20"/>
          <w:lang w:val="sl-SI"/>
        </w:rPr>
        <w:t xml:space="preserve"> TER</w:t>
      </w:r>
      <w:r w:rsidR="00AA6683">
        <w:rPr>
          <w:rFonts w:cs="Arial"/>
          <w:b/>
          <w:szCs w:val="20"/>
          <w:lang w:val="sl-SI"/>
        </w:rPr>
        <w:t xml:space="preserve"> </w:t>
      </w:r>
      <w:r w:rsidR="00E70D1B" w:rsidRPr="007A09BF">
        <w:rPr>
          <w:rFonts w:cs="Arial"/>
          <w:b/>
          <w:szCs w:val="20"/>
          <w:lang w:val="sl-SI"/>
        </w:rPr>
        <w:t>VIŠJA SILA IN IZJEMNE OKOLIŠČINE</w:t>
      </w:r>
    </w:p>
    <w:p w14:paraId="0A33BD20" w14:textId="77777777" w:rsidR="00E70D1B" w:rsidRPr="007A09BF" w:rsidRDefault="00E70D1B" w:rsidP="00E70D1B">
      <w:pPr>
        <w:rPr>
          <w:rFonts w:cs="Arial"/>
          <w:szCs w:val="20"/>
          <w:lang w:val="sl-SI"/>
        </w:rPr>
      </w:pPr>
    </w:p>
    <w:p w14:paraId="0771E555" w14:textId="7498E0AF" w:rsidR="009938F1" w:rsidRPr="00415C3E" w:rsidRDefault="009938F1" w:rsidP="00415C3E">
      <w:pPr>
        <w:pStyle w:val="Odstavekseznama"/>
        <w:numPr>
          <w:ilvl w:val="0"/>
          <w:numId w:val="23"/>
        </w:numPr>
        <w:jc w:val="both"/>
        <w:rPr>
          <w:rFonts w:cs="Arial"/>
          <w:bCs/>
          <w:szCs w:val="20"/>
          <w:lang w:val="sl-SI"/>
        </w:rPr>
      </w:pPr>
      <w:r w:rsidRPr="00415C3E">
        <w:rPr>
          <w:rFonts w:cs="Arial"/>
          <w:bCs/>
          <w:szCs w:val="20"/>
          <w:lang w:val="sl-SI"/>
        </w:rPr>
        <w:t xml:space="preserve">Sistem kontrole je </w:t>
      </w:r>
      <w:r w:rsidR="00BE7326">
        <w:rPr>
          <w:rFonts w:cs="Arial"/>
          <w:bCs/>
          <w:szCs w:val="20"/>
          <w:lang w:val="sl-SI"/>
        </w:rPr>
        <w:t xml:space="preserve">določen v </w:t>
      </w:r>
      <w:r w:rsidR="003A356B">
        <w:rPr>
          <w:rFonts w:cs="Arial"/>
          <w:bCs/>
          <w:szCs w:val="20"/>
          <w:lang w:val="sl-SI"/>
        </w:rPr>
        <w:t>VIII. poglavju</w:t>
      </w:r>
      <w:r w:rsidRPr="00415C3E">
        <w:rPr>
          <w:rFonts w:cs="Arial"/>
          <w:bCs/>
          <w:szCs w:val="20"/>
          <w:lang w:val="sl-SI"/>
        </w:rPr>
        <w:t xml:space="preserve"> uredbe o skupnih določbah za izvajanje intervencij.</w:t>
      </w:r>
    </w:p>
    <w:p w14:paraId="54B27875" w14:textId="064AF117" w:rsidR="009938F1" w:rsidRPr="00415C3E" w:rsidRDefault="009938F1" w:rsidP="00415C3E">
      <w:pPr>
        <w:pStyle w:val="Odstavekseznama"/>
        <w:numPr>
          <w:ilvl w:val="0"/>
          <w:numId w:val="23"/>
        </w:numPr>
        <w:jc w:val="both"/>
        <w:rPr>
          <w:rFonts w:cs="Arial"/>
          <w:bCs/>
          <w:szCs w:val="20"/>
          <w:lang w:val="sl-SI"/>
        </w:rPr>
      </w:pPr>
      <w:r w:rsidRPr="00415C3E">
        <w:rPr>
          <w:rFonts w:cs="Arial"/>
          <w:bCs/>
          <w:szCs w:val="20"/>
          <w:lang w:val="sl-SI"/>
        </w:rPr>
        <w:t>Upravne sankcije so določene v 33. členu uredbe o skupnih določba</w:t>
      </w:r>
      <w:r w:rsidR="00BE7326">
        <w:rPr>
          <w:rFonts w:cs="Arial"/>
          <w:bCs/>
          <w:szCs w:val="20"/>
          <w:lang w:val="sl-SI"/>
        </w:rPr>
        <w:t>h za izvajanje intervencij</w:t>
      </w:r>
      <w:r w:rsidR="007C205C">
        <w:rPr>
          <w:rFonts w:cs="Arial"/>
          <w:bCs/>
          <w:szCs w:val="20"/>
          <w:lang w:val="sl-SI"/>
        </w:rPr>
        <w:t>.</w:t>
      </w:r>
      <w:r w:rsidR="00BE7326">
        <w:rPr>
          <w:rFonts w:cs="Arial"/>
          <w:bCs/>
          <w:szCs w:val="20"/>
          <w:lang w:val="sl-SI"/>
        </w:rPr>
        <w:t xml:space="preserve"> </w:t>
      </w:r>
    </w:p>
    <w:p w14:paraId="4916EEFD" w14:textId="6156A987" w:rsidR="009938F1" w:rsidRPr="00415C3E" w:rsidRDefault="009938F1" w:rsidP="00415C3E">
      <w:pPr>
        <w:pStyle w:val="Odstavekseznama"/>
        <w:numPr>
          <w:ilvl w:val="0"/>
          <w:numId w:val="23"/>
        </w:numPr>
        <w:jc w:val="both"/>
        <w:rPr>
          <w:rFonts w:cs="Arial"/>
          <w:bCs/>
          <w:szCs w:val="20"/>
          <w:lang w:val="sl-SI"/>
        </w:rPr>
      </w:pPr>
      <w:r w:rsidRPr="00415C3E">
        <w:rPr>
          <w:rFonts w:cs="Arial"/>
          <w:bCs/>
          <w:szCs w:val="20"/>
          <w:lang w:val="sl-SI"/>
        </w:rPr>
        <w:t>Višja sila ali izjemne okoliščine so določene v 34. členu uredbe o skupnih določbah za izvajanje intervencij.</w:t>
      </w:r>
    </w:p>
    <w:p w14:paraId="7DEB2B65" w14:textId="77777777" w:rsidR="00E70D1B" w:rsidRPr="007A09BF" w:rsidRDefault="00E70D1B" w:rsidP="00E70D1B">
      <w:pPr>
        <w:rPr>
          <w:rFonts w:cs="Arial"/>
          <w:szCs w:val="20"/>
          <w:lang w:val="sl-SI"/>
        </w:rPr>
      </w:pPr>
    </w:p>
    <w:p w14:paraId="41ECB96D" w14:textId="44AA29BA" w:rsidR="00E70D1B" w:rsidRDefault="00E70D1B" w:rsidP="00E70D1B">
      <w:pPr>
        <w:rPr>
          <w:rFonts w:cs="Arial"/>
          <w:szCs w:val="20"/>
          <w:lang w:val="sl-SI"/>
        </w:rPr>
      </w:pPr>
    </w:p>
    <w:tbl>
      <w:tblPr>
        <w:tblW w:w="0" w:type="auto"/>
        <w:tblLook w:val="00A0" w:firstRow="1" w:lastRow="0" w:firstColumn="1" w:lastColumn="0" w:noHBand="0" w:noVBand="0"/>
      </w:tblPr>
      <w:tblGrid>
        <w:gridCol w:w="4198"/>
        <w:gridCol w:w="4300"/>
      </w:tblGrid>
      <w:tr w:rsidR="00474C67" w:rsidRPr="00556262" w14:paraId="3882B52B" w14:textId="77777777" w:rsidTr="00474C67">
        <w:tc>
          <w:tcPr>
            <w:tcW w:w="4198" w:type="dxa"/>
            <w:shd w:val="clear" w:color="auto" w:fill="auto"/>
          </w:tcPr>
          <w:p w14:paraId="60BE4820" w14:textId="77777777" w:rsidR="00474C67" w:rsidRPr="00556262" w:rsidRDefault="00474C67" w:rsidP="00EE2CAF">
            <w:pPr>
              <w:spacing w:line="240" w:lineRule="auto"/>
              <w:jc w:val="both"/>
              <w:rPr>
                <w:rFonts w:cs="Arial"/>
                <w:b/>
                <w:sz w:val="22"/>
                <w:szCs w:val="22"/>
                <w:lang w:val="sl-SI" w:eastAsia="sl-SI"/>
              </w:rPr>
            </w:pPr>
          </w:p>
        </w:tc>
        <w:tc>
          <w:tcPr>
            <w:tcW w:w="4300" w:type="dxa"/>
            <w:shd w:val="clear" w:color="auto" w:fill="auto"/>
          </w:tcPr>
          <w:p w14:paraId="7EE1D3AE" w14:textId="102E3142" w:rsidR="00474C67" w:rsidRPr="00556262" w:rsidRDefault="00474C67" w:rsidP="00EE2CAF">
            <w:pPr>
              <w:spacing w:line="240" w:lineRule="auto"/>
              <w:jc w:val="center"/>
              <w:rPr>
                <w:rFonts w:cs="Arial"/>
                <w:b/>
                <w:szCs w:val="20"/>
                <w:lang w:val="sl-SI" w:eastAsia="sl-SI"/>
              </w:rPr>
            </w:pPr>
            <w:r w:rsidRPr="00FE03E8">
              <w:rPr>
                <w:rFonts w:ascii="Helv" w:hAnsi="Helv" w:cs="Helv"/>
                <w:color w:val="000000"/>
                <w:szCs w:val="20"/>
                <w:lang w:val="sl-SI" w:eastAsia="sl-SI"/>
              </w:rPr>
              <w:t>Eva Knez</w:t>
            </w:r>
          </w:p>
        </w:tc>
      </w:tr>
      <w:tr w:rsidR="00474C67" w:rsidRPr="00556262" w14:paraId="37242B5E" w14:textId="77777777" w:rsidTr="00474C67">
        <w:tc>
          <w:tcPr>
            <w:tcW w:w="4198" w:type="dxa"/>
            <w:shd w:val="clear" w:color="auto" w:fill="auto"/>
          </w:tcPr>
          <w:p w14:paraId="096D0F50" w14:textId="77777777" w:rsidR="00474C67" w:rsidRPr="00556262" w:rsidRDefault="00474C67" w:rsidP="00EE2CAF">
            <w:pPr>
              <w:spacing w:line="240" w:lineRule="auto"/>
              <w:jc w:val="both"/>
              <w:rPr>
                <w:rFonts w:cs="Arial"/>
                <w:b/>
                <w:sz w:val="22"/>
                <w:szCs w:val="22"/>
                <w:lang w:val="sl-SI" w:eastAsia="sl-SI"/>
              </w:rPr>
            </w:pPr>
          </w:p>
        </w:tc>
        <w:tc>
          <w:tcPr>
            <w:tcW w:w="4300" w:type="dxa"/>
            <w:shd w:val="clear" w:color="auto" w:fill="auto"/>
          </w:tcPr>
          <w:p w14:paraId="37F117A0" w14:textId="2AB8819B" w:rsidR="00474C67" w:rsidRPr="00556262" w:rsidRDefault="00474C67" w:rsidP="00EE2CAF">
            <w:pPr>
              <w:spacing w:line="240" w:lineRule="auto"/>
              <w:jc w:val="center"/>
              <w:rPr>
                <w:rFonts w:cs="Arial"/>
                <w:b/>
                <w:szCs w:val="20"/>
                <w:lang w:val="sl-SI" w:eastAsia="sl-SI"/>
              </w:rPr>
            </w:pPr>
            <w:r w:rsidRPr="00FE03E8">
              <w:rPr>
                <w:rFonts w:ascii="Helv" w:hAnsi="Helv" w:cs="Helv"/>
                <w:color w:val="000000"/>
                <w:szCs w:val="20"/>
                <w:lang w:val="sl-SI" w:eastAsia="sl-SI"/>
              </w:rPr>
              <w:t>državna sekretarka</w:t>
            </w:r>
          </w:p>
        </w:tc>
      </w:tr>
    </w:tbl>
    <w:p w14:paraId="5FC16C84" w14:textId="48716DC0" w:rsidR="00AA6683" w:rsidRPr="007A09BF" w:rsidRDefault="00474C67" w:rsidP="00474C67">
      <w:pPr>
        <w:ind w:left="3600" w:firstLine="720"/>
        <w:rPr>
          <w:rFonts w:cs="Arial"/>
          <w:szCs w:val="20"/>
          <w:lang w:val="sl-SI"/>
        </w:rPr>
      </w:pPr>
      <w:r>
        <w:rPr>
          <w:rFonts w:cs="Arial"/>
          <w:szCs w:val="20"/>
          <w:lang w:val="sl-SI"/>
        </w:rPr>
        <w:t xml:space="preserve">   </w:t>
      </w:r>
      <w:r w:rsidRPr="00474C67">
        <w:rPr>
          <w:rFonts w:cs="Arial"/>
          <w:szCs w:val="20"/>
          <w:lang w:val="sl-SI"/>
        </w:rPr>
        <w:t>p. p. št. 1002-47/2023/22 z dne 12. 1. 2024</w:t>
      </w:r>
    </w:p>
    <w:sectPr w:rsidR="00AA6683" w:rsidRPr="007A09BF" w:rsidSect="00E70D1B">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1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15D5B" w14:textId="77777777" w:rsidR="006E036F" w:rsidRDefault="006E036F">
      <w:r>
        <w:separator/>
      </w:r>
    </w:p>
  </w:endnote>
  <w:endnote w:type="continuationSeparator" w:id="0">
    <w:p w14:paraId="74F9EF6F" w14:textId="77777777" w:rsidR="006E036F" w:rsidRDefault="006E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D4E5" w14:textId="77777777" w:rsidR="009079AB" w:rsidRDefault="009079A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134973"/>
      <w:docPartObj>
        <w:docPartGallery w:val="Page Numbers (Bottom of Page)"/>
        <w:docPartUnique/>
      </w:docPartObj>
    </w:sdtPr>
    <w:sdtEndPr/>
    <w:sdtContent>
      <w:p w14:paraId="64A7344E" w14:textId="13339DE1" w:rsidR="0092074D" w:rsidRDefault="0092074D">
        <w:pPr>
          <w:pStyle w:val="Noga"/>
          <w:jc w:val="right"/>
        </w:pPr>
        <w:r>
          <w:fldChar w:fldCharType="begin"/>
        </w:r>
        <w:r>
          <w:instrText>PAGE   \* MERGEFORMAT</w:instrText>
        </w:r>
        <w:r>
          <w:fldChar w:fldCharType="separate"/>
        </w:r>
        <w:r w:rsidR="00863DF0" w:rsidRPr="00863DF0">
          <w:rPr>
            <w:noProof/>
            <w:lang w:val="sl-SI"/>
          </w:rPr>
          <w:t>3</w:t>
        </w:r>
        <w:r>
          <w:fldChar w:fldCharType="end"/>
        </w:r>
      </w:p>
    </w:sdtContent>
  </w:sdt>
  <w:p w14:paraId="399EC760" w14:textId="669599DB" w:rsidR="00E70D1B" w:rsidRDefault="00E70D1B" w:rsidP="00E70D1B">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F7ADD" w14:textId="596DFA86" w:rsidR="002D7481" w:rsidRDefault="00855152" w:rsidP="00C7559B">
    <w:pPr>
      <w:pStyle w:val="Noga"/>
      <w:tabs>
        <w:tab w:val="clear" w:pos="4320"/>
        <w:tab w:val="clear" w:pos="8640"/>
        <w:tab w:val="center" w:pos="5320"/>
      </w:tabs>
      <w:jc w:val="center"/>
    </w:pPr>
    <w:r w:rsidRPr="00CA4813">
      <w:rPr>
        <w:rFonts w:ascii="Calibri" w:eastAsia="Calibri" w:hAnsi="Calibri"/>
        <w:noProof/>
        <w:sz w:val="22"/>
        <w:szCs w:val="22"/>
        <w:lang w:val="sl-SI" w:eastAsia="sl-SI"/>
      </w:rPr>
      <w:drawing>
        <wp:inline distT="0" distB="0" distL="0" distR="0" wp14:anchorId="7BECE82E" wp14:editId="4A942AE4">
          <wp:extent cx="4082143" cy="397190"/>
          <wp:effectExtent l="0" t="0" r="0" b="3175"/>
          <wp:docPr id="1" name="Slika 1" descr="komplet logotipov za označevanje vira sofinanciranja iz Evropske unije in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komplet logotipov za označevanje vira sofinanciranja iz Evropske unije in Republike Sloven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692" cy="4010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51753" w14:textId="77777777" w:rsidR="006E036F" w:rsidRDefault="006E036F">
      <w:r>
        <w:separator/>
      </w:r>
    </w:p>
  </w:footnote>
  <w:footnote w:type="continuationSeparator" w:id="0">
    <w:p w14:paraId="6DDA6784" w14:textId="77777777" w:rsidR="006E036F" w:rsidRDefault="006E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E98E" w14:textId="77777777" w:rsidR="009079AB" w:rsidRDefault="009079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F9914" w14:textId="34A8832E" w:rsidR="00164BE3" w:rsidRPr="00110CBD" w:rsidRDefault="00164BE3"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64BE3" w:rsidRPr="008F3500" w14:paraId="06B650C6" w14:textId="77777777">
      <w:trPr>
        <w:cantSplit/>
        <w:trHeight w:hRule="exact" w:val="847"/>
      </w:trPr>
      <w:tc>
        <w:tcPr>
          <w:tcW w:w="567" w:type="dxa"/>
        </w:tcPr>
        <w:p w14:paraId="27D7391A" w14:textId="77777777" w:rsidR="00164BE3" w:rsidRPr="006D42D9" w:rsidRDefault="00164BE3" w:rsidP="00FB548E">
          <w:pPr>
            <w:autoSpaceDE w:val="0"/>
            <w:autoSpaceDN w:val="0"/>
            <w:adjustRightInd w:val="0"/>
            <w:spacing w:line="240" w:lineRule="auto"/>
            <w:rPr>
              <w:rFonts w:ascii="Republika" w:hAnsi="Republika"/>
              <w:sz w:val="60"/>
              <w:szCs w:val="60"/>
              <w:lang w:val="sl-SI"/>
            </w:rPr>
          </w:pPr>
          <w:r w:rsidRPr="008F3500">
            <w:rPr>
              <w:rFonts w:ascii="Republika" w:hAnsi="Republika" w:cs="Republika"/>
              <w:color w:val="529DBA"/>
              <w:sz w:val="60"/>
              <w:szCs w:val="60"/>
              <w:lang w:val="sl-SI" w:eastAsia="sl-SI"/>
            </w:rPr>
            <w:t></w:t>
          </w:r>
        </w:p>
      </w:tc>
    </w:tr>
  </w:tbl>
  <w:p w14:paraId="1B45637F" w14:textId="77777777" w:rsidR="00164BE3" w:rsidRPr="008F3500" w:rsidRDefault="00164BE3"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5006AF04" w14:textId="77777777" w:rsidR="00164BE3" w:rsidRPr="008F3500" w:rsidRDefault="00F23209"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 xml:space="preserve">Ministrstvo za kmetijstvo, </w:t>
    </w:r>
    <w:r w:rsidR="00F25603">
      <w:rPr>
        <w:rFonts w:ascii="Republika Bold" w:hAnsi="Republika Bold"/>
        <w:b/>
        <w:caps/>
        <w:lang w:val="sl-SI"/>
      </w:rPr>
      <w:br/>
    </w:r>
    <w:r>
      <w:rPr>
        <w:rFonts w:ascii="Republika Bold" w:hAnsi="Republika Bold"/>
        <w:b/>
        <w:caps/>
        <w:lang w:val="sl-SI"/>
      </w:rPr>
      <w:t>gozdarstvo in prehrano</w:t>
    </w:r>
  </w:p>
  <w:p w14:paraId="0F4410D9" w14:textId="1E760954" w:rsidR="00164BE3" w:rsidRPr="008F3500" w:rsidRDefault="00164BE3" w:rsidP="00E70D1B">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14:paraId="4147022A" w14:textId="77777777" w:rsidR="00164BE3" w:rsidRPr="008F3500" w:rsidRDefault="00164BE3"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AB5"/>
    <w:multiLevelType w:val="hybridMultilevel"/>
    <w:tmpl w:val="60BEF8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F66398"/>
    <w:multiLevelType w:val="multilevel"/>
    <w:tmpl w:val="26107FFA"/>
    <w:lvl w:ilvl="0">
      <w:start w:val="1"/>
      <w:numFmt w:val="decimal"/>
      <w:lvlText w:val="%1."/>
      <w:lvlJc w:val="left"/>
      <w:pPr>
        <w:ind w:left="360" w:hanging="360"/>
      </w:pPr>
      <w:rPr>
        <w:rFonts w:hint="default"/>
        <w:b w:val="0"/>
        <w:strike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2CC0979"/>
    <w:multiLevelType w:val="hybridMultilevel"/>
    <w:tmpl w:val="3DC64812"/>
    <w:lvl w:ilvl="0" w:tplc="0424000F">
      <w:start w:val="1"/>
      <w:numFmt w:val="decimal"/>
      <w:lvlText w:val="%1."/>
      <w:lvlJc w:val="left"/>
      <w:pPr>
        <w:ind w:left="360" w:hanging="360"/>
      </w:pPr>
      <w:rPr>
        <w:rFonts w:hint="default"/>
      </w:rPr>
    </w:lvl>
    <w:lvl w:ilvl="1" w:tplc="89CA95F4">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4D34807"/>
    <w:multiLevelType w:val="hybridMultilevel"/>
    <w:tmpl w:val="3B4ADD1C"/>
    <w:lvl w:ilvl="0" w:tplc="000F0409">
      <w:start w:val="1"/>
      <w:numFmt w:val="decimal"/>
      <w:lvlText w:val="%1."/>
      <w:lvlJc w:val="left"/>
      <w:pPr>
        <w:ind w:left="360" w:hanging="360"/>
      </w:pPr>
      <w:rPr>
        <w:rFonts w:hint="default"/>
        <w:b w:val="0"/>
        <w:strike w:val="0"/>
        <w:color w:val="auto"/>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5885CC3"/>
    <w:multiLevelType w:val="hybridMultilevel"/>
    <w:tmpl w:val="E3221FD6"/>
    <w:lvl w:ilvl="0" w:tplc="059A341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1BC0245"/>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8DF5687"/>
    <w:multiLevelType w:val="hybridMultilevel"/>
    <w:tmpl w:val="1E2CD1FE"/>
    <w:lvl w:ilvl="0" w:tplc="0424000F">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E6F5092"/>
    <w:multiLevelType w:val="hybridMultilevel"/>
    <w:tmpl w:val="DC4A9474"/>
    <w:lvl w:ilvl="0" w:tplc="E9F62DB4">
      <w:start w:val="12"/>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AD2F8A"/>
    <w:multiLevelType w:val="hybridMultilevel"/>
    <w:tmpl w:val="F1D40346"/>
    <w:lvl w:ilvl="0" w:tplc="4640936E">
      <w:start w:val="1"/>
      <w:numFmt w:val="bullet"/>
      <w:lvlText w:val="­"/>
      <w:lvlJc w:val="left"/>
      <w:pPr>
        <w:ind w:left="720" w:hanging="360"/>
      </w:pPr>
      <w:rPr>
        <w:rFonts w:ascii="Courier New" w:hAnsi="Courier New"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152D53"/>
    <w:multiLevelType w:val="hybridMultilevel"/>
    <w:tmpl w:val="115C382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2E7ED0"/>
    <w:multiLevelType w:val="hybridMultilevel"/>
    <w:tmpl w:val="16BEB6A4"/>
    <w:lvl w:ilvl="0" w:tplc="EA487AB4">
      <w:start w:val="5"/>
      <w:numFmt w:val="bullet"/>
      <w:lvlText w:val="-"/>
      <w:lvlJc w:val="left"/>
      <w:pPr>
        <w:tabs>
          <w:tab w:val="num" w:pos="360"/>
        </w:tabs>
        <w:ind w:left="360" w:hanging="360"/>
      </w:pPr>
      <w:rPr>
        <w:rFonts w:ascii="Courier" w:eastAsia="Times New Roman" w:hAnsi="Courier"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77523EC"/>
    <w:multiLevelType w:val="hybridMultilevel"/>
    <w:tmpl w:val="847E7934"/>
    <w:lvl w:ilvl="0" w:tplc="C1EADFFC">
      <w:start w:val="1"/>
      <w:numFmt w:val="upperRoman"/>
      <w:lvlText w:val="%1."/>
      <w:lvlJc w:val="left"/>
      <w:pPr>
        <w:ind w:left="3839" w:hanging="720"/>
      </w:pPr>
      <w:rPr>
        <w:rFonts w:hint="default"/>
      </w:rPr>
    </w:lvl>
    <w:lvl w:ilvl="1" w:tplc="04240019" w:tentative="1">
      <w:start w:val="1"/>
      <w:numFmt w:val="lowerLetter"/>
      <w:lvlText w:val="%2."/>
      <w:lvlJc w:val="left"/>
      <w:pPr>
        <w:ind w:left="720" w:hanging="360"/>
      </w:pPr>
    </w:lvl>
    <w:lvl w:ilvl="2" w:tplc="0424001B" w:tentative="1">
      <w:start w:val="1"/>
      <w:numFmt w:val="lowerRoman"/>
      <w:lvlText w:val="%3."/>
      <w:lvlJc w:val="right"/>
      <w:pPr>
        <w:ind w:left="1440" w:hanging="180"/>
      </w:pPr>
    </w:lvl>
    <w:lvl w:ilvl="3" w:tplc="0424000F" w:tentative="1">
      <w:start w:val="1"/>
      <w:numFmt w:val="decimal"/>
      <w:lvlText w:val="%4."/>
      <w:lvlJc w:val="left"/>
      <w:pPr>
        <w:ind w:left="2160" w:hanging="360"/>
      </w:pPr>
    </w:lvl>
    <w:lvl w:ilvl="4" w:tplc="04240019" w:tentative="1">
      <w:start w:val="1"/>
      <w:numFmt w:val="lowerLetter"/>
      <w:lvlText w:val="%5."/>
      <w:lvlJc w:val="left"/>
      <w:pPr>
        <w:ind w:left="2880" w:hanging="360"/>
      </w:pPr>
    </w:lvl>
    <w:lvl w:ilvl="5" w:tplc="0424001B" w:tentative="1">
      <w:start w:val="1"/>
      <w:numFmt w:val="lowerRoman"/>
      <w:lvlText w:val="%6."/>
      <w:lvlJc w:val="right"/>
      <w:pPr>
        <w:ind w:left="3600" w:hanging="180"/>
      </w:pPr>
    </w:lvl>
    <w:lvl w:ilvl="6" w:tplc="0424000F" w:tentative="1">
      <w:start w:val="1"/>
      <w:numFmt w:val="decimal"/>
      <w:lvlText w:val="%7."/>
      <w:lvlJc w:val="left"/>
      <w:pPr>
        <w:ind w:left="4320" w:hanging="360"/>
      </w:pPr>
    </w:lvl>
    <w:lvl w:ilvl="7" w:tplc="04240019" w:tentative="1">
      <w:start w:val="1"/>
      <w:numFmt w:val="lowerLetter"/>
      <w:lvlText w:val="%8."/>
      <w:lvlJc w:val="left"/>
      <w:pPr>
        <w:ind w:left="5040" w:hanging="360"/>
      </w:pPr>
    </w:lvl>
    <w:lvl w:ilvl="8" w:tplc="0424001B" w:tentative="1">
      <w:start w:val="1"/>
      <w:numFmt w:val="lowerRoman"/>
      <w:lvlText w:val="%9."/>
      <w:lvlJc w:val="right"/>
      <w:pPr>
        <w:ind w:left="5760" w:hanging="180"/>
      </w:pPr>
    </w:lvl>
  </w:abstractNum>
  <w:abstractNum w:abstractNumId="16" w15:restartNumberingAfterBreak="0">
    <w:nsid w:val="47FA0A17"/>
    <w:multiLevelType w:val="hybridMultilevel"/>
    <w:tmpl w:val="EB2A3AA0"/>
    <w:lvl w:ilvl="0" w:tplc="04240017">
      <w:start w:val="1"/>
      <w:numFmt w:val="lowerLetter"/>
      <w:lvlText w:val="%1)"/>
      <w:lvlJc w:val="left"/>
      <w:pPr>
        <w:ind w:left="720" w:hanging="360"/>
      </w:pPr>
      <w:rPr>
        <w:rFonts w:hint="default"/>
      </w:rPr>
    </w:lvl>
    <w:lvl w:ilvl="1" w:tplc="89CA95F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8EB1A54"/>
    <w:multiLevelType w:val="hybridMultilevel"/>
    <w:tmpl w:val="DD9421D8"/>
    <w:lvl w:ilvl="0" w:tplc="CBC26B32">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D5B6D40"/>
    <w:multiLevelType w:val="hybridMultilevel"/>
    <w:tmpl w:val="30BAD63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AE2167"/>
    <w:multiLevelType w:val="multilevel"/>
    <w:tmpl w:val="99CA707C"/>
    <w:lvl w:ilvl="0">
      <w:start w:val="1"/>
      <w:numFmt w:val="decimal"/>
      <w:pStyle w:val="tevilnatoka"/>
      <w:lvlText w:val="%1."/>
      <w:lvlJc w:val="left"/>
      <w:pPr>
        <w:tabs>
          <w:tab w:val="num" w:pos="709"/>
        </w:tabs>
        <w:ind w:left="709"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2D33650"/>
    <w:multiLevelType w:val="hybridMultilevel"/>
    <w:tmpl w:val="9C44703E"/>
    <w:lvl w:ilvl="0" w:tplc="EA487AB4">
      <w:start w:val="5"/>
      <w:numFmt w:val="bullet"/>
      <w:lvlText w:val="-"/>
      <w:lvlJc w:val="left"/>
      <w:pPr>
        <w:ind w:left="360" w:hanging="360"/>
      </w:pPr>
      <w:rPr>
        <w:rFonts w:ascii="Courier" w:eastAsia="Times New Roman" w:hAnsi="Courier"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4365220"/>
    <w:multiLevelType w:val="hybridMultilevel"/>
    <w:tmpl w:val="84565A58"/>
    <w:lvl w:ilvl="0" w:tplc="2996D398">
      <w:start w:val="1"/>
      <w:numFmt w:val="bullet"/>
      <w:lvlText w:val=""/>
      <w:lvlJc w:val="left"/>
      <w:pPr>
        <w:tabs>
          <w:tab w:val="num" w:pos="360"/>
        </w:tabs>
        <w:ind w:left="357" w:hanging="357"/>
      </w:pPr>
      <w:rPr>
        <w:rFonts w:ascii="Symbol" w:hAnsi="Symbol" w:hint="default"/>
        <w:color w:val="auto"/>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22" w15:restartNumberingAfterBreak="0">
    <w:nsid w:val="57F051F2"/>
    <w:multiLevelType w:val="hybridMultilevel"/>
    <w:tmpl w:val="D3E807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6B4C7B"/>
    <w:multiLevelType w:val="hybridMultilevel"/>
    <w:tmpl w:val="802ED9D8"/>
    <w:lvl w:ilvl="0" w:tplc="FB64B21E">
      <w:start w:val="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7E367E"/>
    <w:multiLevelType w:val="hybridMultilevel"/>
    <w:tmpl w:val="60BEF8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40554E7"/>
    <w:multiLevelType w:val="hybridMultilevel"/>
    <w:tmpl w:val="D42673C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5C0193A"/>
    <w:multiLevelType w:val="hybridMultilevel"/>
    <w:tmpl w:val="5420C31A"/>
    <w:lvl w:ilvl="0" w:tplc="000F0409">
      <w:start w:val="1"/>
      <w:numFmt w:val="decimal"/>
      <w:lvlText w:val="%1."/>
      <w:lvlJc w:val="left"/>
      <w:pPr>
        <w:ind w:left="360" w:hanging="360"/>
      </w:pPr>
      <w:rPr>
        <w:rFonts w:hint="default"/>
        <w:strike w:val="0"/>
        <w:color w:val="auto"/>
        <w:sz w:val="22"/>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9A91E6A"/>
    <w:multiLevelType w:val="hybridMultilevel"/>
    <w:tmpl w:val="A686DA24"/>
    <w:lvl w:ilvl="0" w:tplc="6EC27D68">
      <w:start w:val="1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12"/>
  </w:num>
  <w:num w:numId="3">
    <w:abstractNumId w:val="14"/>
  </w:num>
  <w:num w:numId="4">
    <w:abstractNumId w:val="5"/>
  </w:num>
  <w:num w:numId="5">
    <w:abstractNumId w:val="7"/>
  </w:num>
  <w:num w:numId="6">
    <w:abstractNumId w:val="15"/>
  </w:num>
  <w:num w:numId="7">
    <w:abstractNumId w:val="13"/>
  </w:num>
  <w:num w:numId="8">
    <w:abstractNumId w:val="21"/>
  </w:num>
  <w:num w:numId="9">
    <w:abstractNumId w:val="11"/>
  </w:num>
  <w:num w:numId="10">
    <w:abstractNumId w:val="20"/>
  </w:num>
  <w:num w:numId="11">
    <w:abstractNumId w:val="3"/>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0"/>
  </w:num>
  <w:num w:numId="17">
    <w:abstractNumId w:val="1"/>
  </w:num>
  <w:num w:numId="18">
    <w:abstractNumId w:val="24"/>
  </w:num>
  <w:num w:numId="19">
    <w:abstractNumId w:val="27"/>
  </w:num>
  <w:num w:numId="20">
    <w:abstractNumId w:val="4"/>
  </w:num>
  <w:num w:numId="21">
    <w:abstractNumId w:val="16"/>
  </w:num>
  <w:num w:numId="22">
    <w:abstractNumId w:val="23"/>
  </w:num>
  <w:num w:numId="23">
    <w:abstractNumId w:val="2"/>
  </w:num>
  <w:num w:numId="24">
    <w:abstractNumId w:val="17"/>
  </w:num>
  <w:num w:numId="25">
    <w:abstractNumId w:val="28"/>
  </w:num>
  <w:num w:numId="26">
    <w:abstractNumId w:val="6"/>
  </w:num>
  <w:num w:numId="27">
    <w:abstractNumId w:val="9"/>
  </w:num>
  <w:num w:numId="28">
    <w:abstractNumId w:val="8"/>
  </w:num>
  <w:num w:numId="29">
    <w:abstractNumId w:val="0"/>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4EC7"/>
    <w:rsid w:val="000114DD"/>
    <w:rsid w:val="00012B4B"/>
    <w:rsid w:val="00023A88"/>
    <w:rsid w:val="00024357"/>
    <w:rsid w:val="00041471"/>
    <w:rsid w:val="00060E4B"/>
    <w:rsid w:val="000873C2"/>
    <w:rsid w:val="000879F6"/>
    <w:rsid w:val="000A1F9E"/>
    <w:rsid w:val="000A5663"/>
    <w:rsid w:val="000A7238"/>
    <w:rsid w:val="000B1C36"/>
    <w:rsid w:val="000D5CBE"/>
    <w:rsid w:val="00102335"/>
    <w:rsid w:val="00102872"/>
    <w:rsid w:val="001357B2"/>
    <w:rsid w:val="00140203"/>
    <w:rsid w:val="00142345"/>
    <w:rsid w:val="00153C3F"/>
    <w:rsid w:val="00160963"/>
    <w:rsid w:val="001642B9"/>
    <w:rsid w:val="00164BE3"/>
    <w:rsid w:val="00180852"/>
    <w:rsid w:val="00180931"/>
    <w:rsid w:val="00185C70"/>
    <w:rsid w:val="00192259"/>
    <w:rsid w:val="00202A77"/>
    <w:rsid w:val="002036DF"/>
    <w:rsid w:val="00220DB4"/>
    <w:rsid w:val="0022273D"/>
    <w:rsid w:val="0023228D"/>
    <w:rsid w:val="00233D7B"/>
    <w:rsid w:val="00236FE7"/>
    <w:rsid w:val="002412C3"/>
    <w:rsid w:val="0024320E"/>
    <w:rsid w:val="00250561"/>
    <w:rsid w:val="00251159"/>
    <w:rsid w:val="002639FF"/>
    <w:rsid w:val="00271B6B"/>
    <w:rsid w:val="00271CE5"/>
    <w:rsid w:val="00282020"/>
    <w:rsid w:val="00283E48"/>
    <w:rsid w:val="00287292"/>
    <w:rsid w:val="002948EA"/>
    <w:rsid w:val="0029502F"/>
    <w:rsid w:val="002A6916"/>
    <w:rsid w:val="002B796E"/>
    <w:rsid w:val="002B7C8D"/>
    <w:rsid w:val="002D7481"/>
    <w:rsid w:val="002E451C"/>
    <w:rsid w:val="00302679"/>
    <w:rsid w:val="00304012"/>
    <w:rsid w:val="00311033"/>
    <w:rsid w:val="00316649"/>
    <w:rsid w:val="00336423"/>
    <w:rsid w:val="00340E23"/>
    <w:rsid w:val="003544EB"/>
    <w:rsid w:val="003545E9"/>
    <w:rsid w:val="0035749A"/>
    <w:rsid w:val="003636BF"/>
    <w:rsid w:val="00364673"/>
    <w:rsid w:val="0037479F"/>
    <w:rsid w:val="003845B4"/>
    <w:rsid w:val="0038559D"/>
    <w:rsid w:val="00387B1A"/>
    <w:rsid w:val="003A356B"/>
    <w:rsid w:val="003B4F95"/>
    <w:rsid w:val="003E1AF1"/>
    <w:rsid w:val="003E1C74"/>
    <w:rsid w:val="00410863"/>
    <w:rsid w:val="00415C3E"/>
    <w:rsid w:val="0042455E"/>
    <w:rsid w:val="004439F2"/>
    <w:rsid w:val="00474C67"/>
    <w:rsid w:val="00490C1A"/>
    <w:rsid w:val="00493710"/>
    <w:rsid w:val="00495FEA"/>
    <w:rsid w:val="004B0F47"/>
    <w:rsid w:val="004D788E"/>
    <w:rsid w:val="004E4E41"/>
    <w:rsid w:val="004F11B9"/>
    <w:rsid w:val="00503FAF"/>
    <w:rsid w:val="00504F3C"/>
    <w:rsid w:val="005148B4"/>
    <w:rsid w:val="00526246"/>
    <w:rsid w:val="00533B6D"/>
    <w:rsid w:val="0054143C"/>
    <w:rsid w:val="00546978"/>
    <w:rsid w:val="00554699"/>
    <w:rsid w:val="005547BC"/>
    <w:rsid w:val="00556262"/>
    <w:rsid w:val="00565D42"/>
    <w:rsid w:val="00567106"/>
    <w:rsid w:val="005734A9"/>
    <w:rsid w:val="00587458"/>
    <w:rsid w:val="005913DF"/>
    <w:rsid w:val="005B5B36"/>
    <w:rsid w:val="005E1D3C"/>
    <w:rsid w:val="005E5C21"/>
    <w:rsid w:val="0060326E"/>
    <w:rsid w:val="00606393"/>
    <w:rsid w:val="00606397"/>
    <w:rsid w:val="00632253"/>
    <w:rsid w:val="0064163A"/>
    <w:rsid w:val="00642714"/>
    <w:rsid w:val="006450F4"/>
    <w:rsid w:val="006455CE"/>
    <w:rsid w:val="006562CB"/>
    <w:rsid w:val="0065716F"/>
    <w:rsid w:val="00663A60"/>
    <w:rsid w:val="00677A07"/>
    <w:rsid w:val="006800A7"/>
    <w:rsid w:val="00693338"/>
    <w:rsid w:val="00697AA9"/>
    <w:rsid w:val="006C16AF"/>
    <w:rsid w:val="006D14CB"/>
    <w:rsid w:val="006D1AE0"/>
    <w:rsid w:val="006D42D9"/>
    <w:rsid w:val="006E036F"/>
    <w:rsid w:val="006E775C"/>
    <w:rsid w:val="007277C8"/>
    <w:rsid w:val="00733017"/>
    <w:rsid w:val="00741C38"/>
    <w:rsid w:val="00783310"/>
    <w:rsid w:val="00791B48"/>
    <w:rsid w:val="00796A0C"/>
    <w:rsid w:val="007A09BF"/>
    <w:rsid w:val="007A4A6D"/>
    <w:rsid w:val="007A77B3"/>
    <w:rsid w:val="007B2761"/>
    <w:rsid w:val="007B56D0"/>
    <w:rsid w:val="007C119C"/>
    <w:rsid w:val="007C205C"/>
    <w:rsid w:val="007D1BCF"/>
    <w:rsid w:val="007D32B1"/>
    <w:rsid w:val="007D75CF"/>
    <w:rsid w:val="007E6DC5"/>
    <w:rsid w:val="00806860"/>
    <w:rsid w:val="0081499F"/>
    <w:rsid w:val="00815273"/>
    <w:rsid w:val="00815A3A"/>
    <w:rsid w:val="00833065"/>
    <w:rsid w:val="00845A13"/>
    <w:rsid w:val="00855152"/>
    <w:rsid w:val="00863DF0"/>
    <w:rsid w:val="0088043C"/>
    <w:rsid w:val="00884539"/>
    <w:rsid w:val="008906C9"/>
    <w:rsid w:val="008A191C"/>
    <w:rsid w:val="008A411E"/>
    <w:rsid w:val="008A4E0E"/>
    <w:rsid w:val="008A54DB"/>
    <w:rsid w:val="008B415F"/>
    <w:rsid w:val="008B4C6F"/>
    <w:rsid w:val="008C2BD4"/>
    <w:rsid w:val="008C5738"/>
    <w:rsid w:val="008D04F0"/>
    <w:rsid w:val="008D5B86"/>
    <w:rsid w:val="008E7472"/>
    <w:rsid w:val="008E7E86"/>
    <w:rsid w:val="008F3500"/>
    <w:rsid w:val="009079AB"/>
    <w:rsid w:val="0092074D"/>
    <w:rsid w:val="00921BFE"/>
    <w:rsid w:val="00924E3C"/>
    <w:rsid w:val="009344C5"/>
    <w:rsid w:val="00945254"/>
    <w:rsid w:val="0095446D"/>
    <w:rsid w:val="009612BB"/>
    <w:rsid w:val="00982141"/>
    <w:rsid w:val="009938F1"/>
    <w:rsid w:val="00995138"/>
    <w:rsid w:val="009C39D8"/>
    <w:rsid w:val="009D22F9"/>
    <w:rsid w:val="009F0866"/>
    <w:rsid w:val="009F3DEF"/>
    <w:rsid w:val="00A0789E"/>
    <w:rsid w:val="00A125C5"/>
    <w:rsid w:val="00A22B99"/>
    <w:rsid w:val="00A34FC7"/>
    <w:rsid w:val="00A35299"/>
    <w:rsid w:val="00A415F2"/>
    <w:rsid w:val="00A44655"/>
    <w:rsid w:val="00A5039D"/>
    <w:rsid w:val="00A5169F"/>
    <w:rsid w:val="00A65EE7"/>
    <w:rsid w:val="00A70041"/>
    <w:rsid w:val="00A70133"/>
    <w:rsid w:val="00AA610E"/>
    <w:rsid w:val="00AA6683"/>
    <w:rsid w:val="00AB125D"/>
    <w:rsid w:val="00AF269A"/>
    <w:rsid w:val="00B06708"/>
    <w:rsid w:val="00B133A4"/>
    <w:rsid w:val="00B14F4A"/>
    <w:rsid w:val="00B15254"/>
    <w:rsid w:val="00B17141"/>
    <w:rsid w:val="00B31575"/>
    <w:rsid w:val="00B33067"/>
    <w:rsid w:val="00B36D3A"/>
    <w:rsid w:val="00B453E2"/>
    <w:rsid w:val="00B65472"/>
    <w:rsid w:val="00B66CA1"/>
    <w:rsid w:val="00B8547D"/>
    <w:rsid w:val="00B90A3C"/>
    <w:rsid w:val="00BA5A77"/>
    <w:rsid w:val="00BC2769"/>
    <w:rsid w:val="00BE7326"/>
    <w:rsid w:val="00C11D6E"/>
    <w:rsid w:val="00C210C7"/>
    <w:rsid w:val="00C2369B"/>
    <w:rsid w:val="00C250D5"/>
    <w:rsid w:val="00C25DF3"/>
    <w:rsid w:val="00C30250"/>
    <w:rsid w:val="00C45D98"/>
    <w:rsid w:val="00C4682C"/>
    <w:rsid w:val="00C60E5C"/>
    <w:rsid w:val="00C735B1"/>
    <w:rsid w:val="00C7559B"/>
    <w:rsid w:val="00C75FB6"/>
    <w:rsid w:val="00C7738F"/>
    <w:rsid w:val="00C85A87"/>
    <w:rsid w:val="00C92898"/>
    <w:rsid w:val="00C9494B"/>
    <w:rsid w:val="00CB4E1D"/>
    <w:rsid w:val="00CB76BE"/>
    <w:rsid w:val="00CC44A4"/>
    <w:rsid w:val="00CE2A2E"/>
    <w:rsid w:val="00CE6032"/>
    <w:rsid w:val="00CE7514"/>
    <w:rsid w:val="00CF5FE5"/>
    <w:rsid w:val="00CF7D65"/>
    <w:rsid w:val="00D04605"/>
    <w:rsid w:val="00D05748"/>
    <w:rsid w:val="00D07B8D"/>
    <w:rsid w:val="00D2119D"/>
    <w:rsid w:val="00D244B7"/>
    <w:rsid w:val="00D246E1"/>
    <w:rsid w:val="00D248DE"/>
    <w:rsid w:val="00D36D14"/>
    <w:rsid w:val="00D442C3"/>
    <w:rsid w:val="00D71EEC"/>
    <w:rsid w:val="00D8542D"/>
    <w:rsid w:val="00DA595F"/>
    <w:rsid w:val="00DB6025"/>
    <w:rsid w:val="00DB72A0"/>
    <w:rsid w:val="00DC0044"/>
    <w:rsid w:val="00DC565E"/>
    <w:rsid w:val="00DC6A71"/>
    <w:rsid w:val="00DE31E4"/>
    <w:rsid w:val="00DE5B46"/>
    <w:rsid w:val="00DF1DDF"/>
    <w:rsid w:val="00E0357D"/>
    <w:rsid w:val="00E061AD"/>
    <w:rsid w:val="00E1718A"/>
    <w:rsid w:val="00E2295D"/>
    <w:rsid w:val="00E24EC2"/>
    <w:rsid w:val="00E55355"/>
    <w:rsid w:val="00E5586C"/>
    <w:rsid w:val="00E61116"/>
    <w:rsid w:val="00E70D1B"/>
    <w:rsid w:val="00E83405"/>
    <w:rsid w:val="00E91322"/>
    <w:rsid w:val="00E95AA9"/>
    <w:rsid w:val="00EB1228"/>
    <w:rsid w:val="00ED5F10"/>
    <w:rsid w:val="00EE15F5"/>
    <w:rsid w:val="00EE2CAF"/>
    <w:rsid w:val="00EF6FBE"/>
    <w:rsid w:val="00EF7292"/>
    <w:rsid w:val="00F030D1"/>
    <w:rsid w:val="00F1478D"/>
    <w:rsid w:val="00F20120"/>
    <w:rsid w:val="00F23209"/>
    <w:rsid w:val="00F240BB"/>
    <w:rsid w:val="00F25603"/>
    <w:rsid w:val="00F37094"/>
    <w:rsid w:val="00F43601"/>
    <w:rsid w:val="00F44345"/>
    <w:rsid w:val="00F46724"/>
    <w:rsid w:val="00F5681E"/>
    <w:rsid w:val="00F57FED"/>
    <w:rsid w:val="00F776A7"/>
    <w:rsid w:val="00F87511"/>
    <w:rsid w:val="00FA1750"/>
    <w:rsid w:val="00FB21C1"/>
    <w:rsid w:val="00FB548E"/>
    <w:rsid w:val="00FD6FEB"/>
    <w:rsid w:val="00FE040B"/>
    <w:rsid w:val="00FE68C1"/>
    <w:rsid w:val="00FE78F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76AC2ECC"/>
  <w15:chartTrackingRefBased/>
  <w15:docId w15:val="{2CA4AB29-3225-44B5-A54A-85EB5385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4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9">
    <w:name w:val="heading 9"/>
    <w:basedOn w:val="Navaden"/>
    <w:next w:val="Navaden"/>
    <w:link w:val="Naslov9Znak"/>
    <w:semiHidden/>
    <w:unhideWhenUsed/>
    <w:qFormat/>
    <w:rsid w:val="00E70D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 napis"/>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D7481"/>
    <w:pPr>
      <w:spacing w:line="240" w:lineRule="auto"/>
    </w:pPr>
    <w:rPr>
      <w:rFonts w:ascii="Tahoma" w:hAnsi="Tahoma" w:cs="Tahoma"/>
      <w:sz w:val="16"/>
      <w:szCs w:val="16"/>
    </w:rPr>
  </w:style>
  <w:style w:type="character" w:customStyle="1" w:styleId="BesedilooblakaZnak">
    <w:name w:val="Besedilo oblačka Znak"/>
    <w:link w:val="Besedilooblaka"/>
    <w:rsid w:val="002D7481"/>
    <w:rPr>
      <w:rFonts w:ascii="Tahoma" w:hAnsi="Tahoma" w:cs="Tahoma"/>
      <w:sz w:val="16"/>
      <w:szCs w:val="16"/>
      <w:lang w:val="en-US" w:eastAsia="en-US"/>
    </w:rPr>
  </w:style>
  <w:style w:type="character" w:customStyle="1" w:styleId="GlavaZnak">
    <w:name w:val="Glava Znak"/>
    <w:aliases w:val="Glava - napis Znak"/>
    <w:link w:val="Glava"/>
    <w:uiPriority w:val="99"/>
    <w:rsid w:val="00EF6FBE"/>
    <w:rPr>
      <w:rFonts w:ascii="Arial" w:hAnsi="Arial"/>
      <w:szCs w:val="24"/>
      <w:lang w:val="en-US" w:eastAsia="en-US"/>
    </w:rPr>
  </w:style>
  <w:style w:type="paragraph" w:styleId="Telobesedila">
    <w:name w:val="Body Text"/>
    <w:basedOn w:val="Navaden"/>
    <w:link w:val="TelobesedilaZnak"/>
    <w:rsid w:val="00EF6FBE"/>
    <w:pPr>
      <w:spacing w:after="120" w:line="240" w:lineRule="auto"/>
    </w:pPr>
    <w:rPr>
      <w:rFonts w:ascii="SSUniversCond" w:hAnsi="SSUniversCond"/>
      <w:i/>
      <w:sz w:val="18"/>
      <w:szCs w:val="20"/>
      <w:lang w:eastAsia="sl-SI"/>
    </w:rPr>
  </w:style>
  <w:style w:type="character" w:customStyle="1" w:styleId="TelobesedilaZnak">
    <w:name w:val="Telo besedila Znak"/>
    <w:link w:val="Telobesedila"/>
    <w:rsid w:val="00EF6FBE"/>
    <w:rPr>
      <w:rFonts w:ascii="SSUniversCond" w:hAnsi="SSUniversCond"/>
      <w:i/>
      <w:sz w:val="18"/>
      <w:lang w:val="en-US"/>
    </w:rPr>
  </w:style>
  <w:style w:type="paragraph" w:customStyle="1" w:styleId="1">
    <w:name w:val="1"/>
    <w:basedOn w:val="Navaden"/>
    <w:rsid w:val="00EF6FBE"/>
    <w:pPr>
      <w:spacing w:after="160" w:line="240" w:lineRule="exact"/>
    </w:pPr>
    <w:rPr>
      <w:rFonts w:ascii="Tahoma" w:hAnsi="Tahoma"/>
      <w:szCs w:val="20"/>
    </w:rPr>
  </w:style>
  <w:style w:type="paragraph" w:customStyle="1" w:styleId="Nav">
    <w:name w:val="Navđ"/>
    <w:basedOn w:val="Navaden"/>
    <w:rsid w:val="00EF6FBE"/>
    <w:pPr>
      <w:tabs>
        <w:tab w:val="left" w:pos="1418"/>
      </w:tabs>
      <w:jc w:val="both"/>
    </w:pPr>
    <w:rPr>
      <w:rFonts w:cs="Arial"/>
      <w:szCs w:val="20"/>
      <w:lang w:val="sl-SI"/>
    </w:rPr>
  </w:style>
  <w:style w:type="paragraph" w:customStyle="1" w:styleId="ZnakCharCharZnak">
    <w:name w:val="Znak Char Char Znak"/>
    <w:basedOn w:val="Navaden"/>
    <w:rsid w:val="00EF6FBE"/>
    <w:pPr>
      <w:spacing w:after="160" w:line="240" w:lineRule="exact"/>
    </w:pPr>
    <w:rPr>
      <w:rFonts w:ascii="Tahoma" w:hAnsi="Tahoma" w:cs="Tahoma"/>
      <w:szCs w:val="20"/>
    </w:rPr>
  </w:style>
  <w:style w:type="paragraph" w:customStyle="1" w:styleId="Znak1ZnakZnak">
    <w:name w:val="Znak1 Znak Znak"/>
    <w:basedOn w:val="Navaden"/>
    <w:rsid w:val="00EF6FBE"/>
    <w:pPr>
      <w:spacing w:after="160" w:line="240" w:lineRule="exact"/>
    </w:pPr>
    <w:rPr>
      <w:rFonts w:ascii="Tahoma" w:hAnsi="Tahoma" w:cs="Tahoma"/>
      <w:szCs w:val="20"/>
    </w:rPr>
  </w:style>
  <w:style w:type="character" w:customStyle="1" w:styleId="Naslov9Znak">
    <w:name w:val="Naslov 9 Znak"/>
    <w:basedOn w:val="Privzetapisavaodstavka"/>
    <w:link w:val="Naslov9"/>
    <w:semiHidden/>
    <w:rsid w:val="00E70D1B"/>
    <w:rPr>
      <w:rFonts w:asciiTheme="majorHAnsi" w:eastAsiaTheme="majorEastAsia" w:hAnsiTheme="majorHAnsi" w:cstheme="majorBidi"/>
      <w:i/>
      <w:iCs/>
      <w:color w:val="272727" w:themeColor="text1" w:themeTint="D8"/>
      <w:sz w:val="21"/>
      <w:szCs w:val="21"/>
      <w:lang w:val="en-US" w:eastAsia="en-US"/>
    </w:rPr>
  </w:style>
  <w:style w:type="paragraph" w:customStyle="1" w:styleId="Telobesedila21">
    <w:name w:val="Telo besedila 21"/>
    <w:basedOn w:val="Navaden"/>
    <w:rsid w:val="00E70D1B"/>
    <w:pPr>
      <w:widowControl w:val="0"/>
      <w:spacing w:after="120" w:line="240" w:lineRule="auto"/>
      <w:jc w:val="both"/>
    </w:pPr>
    <w:rPr>
      <w:rFonts w:ascii="Times New Roman" w:hAnsi="Times New Roman"/>
      <w:sz w:val="22"/>
      <w:szCs w:val="20"/>
      <w:lang w:eastAsia="sl-SI"/>
    </w:rPr>
  </w:style>
  <w:style w:type="paragraph" w:styleId="Odstavekseznama">
    <w:name w:val="List Paragraph"/>
    <w:basedOn w:val="Navaden"/>
    <w:uiPriority w:val="34"/>
    <w:qFormat/>
    <w:rsid w:val="00DC565E"/>
    <w:pPr>
      <w:ind w:left="720"/>
      <w:contextualSpacing/>
    </w:pPr>
  </w:style>
  <w:style w:type="paragraph" w:customStyle="1" w:styleId="tevilnatoka111">
    <w:name w:val="Številčna točka 1.1.1"/>
    <w:basedOn w:val="Navaden"/>
    <w:qFormat/>
    <w:rsid w:val="00CE6032"/>
    <w:pPr>
      <w:widowControl w:val="0"/>
      <w:numPr>
        <w:ilvl w:val="2"/>
        <w:numId w:val="12"/>
      </w:numPr>
      <w:overflowPunct w:val="0"/>
      <w:autoSpaceDE w:val="0"/>
      <w:autoSpaceDN w:val="0"/>
      <w:adjustRightInd w:val="0"/>
      <w:spacing w:line="240" w:lineRule="auto"/>
      <w:jc w:val="both"/>
      <w:textAlignment w:val="baseline"/>
    </w:pPr>
    <w:rPr>
      <w:sz w:val="22"/>
      <w:szCs w:val="16"/>
      <w:lang w:val="sl-SI" w:eastAsia="sl-SI"/>
    </w:rPr>
  </w:style>
  <w:style w:type="paragraph" w:customStyle="1" w:styleId="tevilnatoka">
    <w:name w:val="Številčna točka"/>
    <w:basedOn w:val="Navaden"/>
    <w:qFormat/>
    <w:rsid w:val="00CE6032"/>
    <w:pPr>
      <w:numPr>
        <w:numId w:val="12"/>
      </w:numPr>
      <w:spacing w:line="240" w:lineRule="auto"/>
      <w:jc w:val="both"/>
    </w:pPr>
    <w:rPr>
      <w:sz w:val="22"/>
      <w:szCs w:val="22"/>
      <w:lang w:val="sl-SI" w:eastAsia="sl-SI"/>
    </w:rPr>
  </w:style>
  <w:style w:type="paragraph" w:customStyle="1" w:styleId="tevilnatoka11Nova">
    <w:name w:val="Številčna točka 1.1 Nova"/>
    <w:basedOn w:val="tevilnatoka"/>
    <w:qFormat/>
    <w:rsid w:val="00CE6032"/>
    <w:pPr>
      <w:numPr>
        <w:ilvl w:val="1"/>
      </w:numPr>
      <w:tabs>
        <w:tab w:val="clear" w:pos="425"/>
        <w:tab w:val="num" w:pos="360"/>
        <w:tab w:val="num" w:pos="1800"/>
      </w:tabs>
      <w:ind w:left="1440" w:hanging="360"/>
    </w:pPr>
  </w:style>
  <w:style w:type="character" w:customStyle="1" w:styleId="Naslov2Znak">
    <w:name w:val="Naslov 2 Znak"/>
    <w:basedOn w:val="Privzetapisavaodstavka"/>
    <w:link w:val="Naslov2"/>
    <w:semiHidden/>
    <w:rsid w:val="0095446D"/>
    <w:rPr>
      <w:rFonts w:asciiTheme="majorHAnsi" w:eastAsiaTheme="majorEastAsia" w:hAnsiTheme="majorHAnsi" w:cstheme="majorBidi"/>
      <w:color w:val="2E74B5" w:themeColor="accent1" w:themeShade="BF"/>
      <w:sz w:val="26"/>
      <w:szCs w:val="26"/>
      <w:lang w:val="en-US" w:eastAsia="en-US"/>
    </w:rPr>
  </w:style>
  <w:style w:type="character" w:customStyle="1" w:styleId="NogaZnak">
    <w:name w:val="Noga Znak"/>
    <w:basedOn w:val="Privzetapisavaodstavka"/>
    <w:link w:val="Noga"/>
    <w:uiPriority w:val="99"/>
    <w:rsid w:val="0092074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25396475418A4B8D8FB4A494E5A7CA" ma:contentTypeVersion="1" ma:contentTypeDescription="Ustvari nov dokument." ma:contentTypeScope="" ma:versionID="740d13182d870ac1b231001472d0ea55">
  <xsd:schema xmlns:xsd="http://www.w3.org/2001/XMLSchema" xmlns:xs="http://www.w3.org/2001/XMLSchema" xmlns:p="http://schemas.microsoft.com/office/2006/metadata/properties" xmlns:ns1="http://schemas.microsoft.com/sharepoint/v3" targetNamespace="http://schemas.microsoft.com/office/2006/metadata/properties" ma:root="true" ma:fieldsID="479823c2837ba2e0561586e40a1e9a5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48792C-91E7-4D3F-834B-F34C3935E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C0A2F-3D30-4CE8-B2FA-48911736AA8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7B4719-FDE5-4D5A-9161-F09394BDF589}">
  <ds:schemaRefs>
    <ds:schemaRef ds:uri="http://schemas.microsoft.com/sharepoint/v3/contenttype/forms"/>
  </ds:schemaRefs>
</ds:datastoreItem>
</file>

<file path=customXml/itemProps4.xml><?xml version="1.0" encoding="utf-8"?>
<ds:datastoreItem xmlns:ds="http://schemas.openxmlformats.org/officeDocument/2006/customXml" ds:itemID="{3F345410-9A67-4A8F-8C30-06C9871C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1758</Words>
  <Characters>10023</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Zoran Planko</cp:lastModifiedBy>
  <cp:revision>76</cp:revision>
  <cp:lastPrinted>2023-09-21T11:27:00Z</cp:lastPrinted>
  <dcterms:created xsi:type="dcterms:W3CDTF">2023-10-10T10:59:00Z</dcterms:created>
  <dcterms:modified xsi:type="dcterms:W3CDTF">2024-11-12T09:23:00Z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eb4d1e94499cd8f17fde5302d409ed72381fcafb008e4b7fc2ace20c7fc0933f</vt:lpwstr>
  </property>
  <property fmtid="{D5CDD505-2E9C-101B-9397-08002B2CF9AE}" pid="3" name="ContentTypeId">
    <vt:lpwstr>0x010100F225396475418A4B8D8FB4A494E5A7CA</vt:lpwstr>
  </property>
</Properties>
</file>