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C1747" w14:textId="2F0425D8" w:rsidR="000B76A2" w:rsidRPr="003F1F7B" w:rsidRDefault="000B76A2" w:rsidP="001B6C01">
      <w:pPr>
        <w:pStyle w:val="datumtevilka"/>
        <w:jc w:val="both"/>
      </w:pPr>
      <w:r w:rsidRPr="003F1F7B">
        <w:rPr>
          <w:rFonts w:ascii="Times New Roman" w:hAnsi="Times New Roman" w:cs="Arial"/>
          <w:b/>
          <w:i/>
          <w:noProof/>
        </w:rPr>
        <w:t> </w:t>
      </w:r>
      <w:r w:rsidRPr="003F1F7B">
        <w:rPr>
          <w:rFonts w:ascii="Times New Roman" w:hAnsi="Times New Roman" w:cs="Arial"/>
          <w:b/>
          <w:i/>
          <w:noProof/>
        </w:rPr>
        <w:t> </w:t>
      </w:r>
      <w:r w:rsidRPr="003F1F7B">
        <w:rPr>
          <w:rFonts w:ascii="Times New Roman" w:hAnsi="Times New Roman" w:cs="Arial"/>
          <w:b/>
          <w:i/>
          <w:noProof/>
        </w:rPr>
        <w:t> </w:t>
      </w:r>
      <w:r w:rsidRPr="003F1F7B">
        <w:rPr>
          <w:rFonts w:ascii="Times New Roman" w:hAnsi="Times New Roman" w:cs="Arial"/>
          <w:b/>
          <w:i/>
          <w:noProof/>
        </w:rPr>
        <w:t> </w:t>
      </w:r>
      <w:r w:rsidRPr="003F1F7B">
        <w:rPr>
          <w:rFonts w:ascii="Times New Roman" w:hAnsi="Times New Roman" w:cs="Arial"/>
          <w:b/>
          <w:i/>
          <w:noProof/>
        </w:rPr>
        <w:t> </w:t>
      </w:r>
    </w:p>
    <w:p w14:paraId="7DF5A71A" w14:textId="6DBDCADD" w:rsidR="00FC73B1" w:rsidRDefault="00FC73B1" w:rsidP="00FC73B1">
      <w:pPr>
        <w:autoSpaceDE w:val="0"/>
        <w:autoSpaceDN w:val="0"/>
        <w:adjustRightInd w:val="0"/>
        <w:jc w:val="both"/>
        <w:outlineLvl w:val="0"/>
        <w:rPr>
          <w:rFonts w:cs="Arial"/>
          <w:szCs w:val="20"/>
          <w:lang w:val="sl-SI"/>
        </w:rPr>
      </w:pPr>
      <w:r w:rsidRPr="003F1F7B">
        <w:rPr>
          <w:rFonts w:cs="Arial"/>
          <w:szCs w:val="20"/>
          <w:lang w:val="sl-SI"/>
        </w:rPr>
        <w:t>Ministrstvo za kmetijstvo, gozdarstvo in prehrano Republike Slovenije, Dunajska 22, 1000 Ljubljana</w:t>
      </w:r>
      <w:r w:rsidR="000E70A6">
        <w:rPr>
          <w:rFonts w:cs="Arial"/>
          <w:szCs w:val="20"/>
          <w:lang w:val="sl-SI"/>
        </w:rPr>
        <w:t xml:space="preserve"> (v nadaljnjem besedilu: MKGP)</w:t>
      </w:r>
      <w:r w:rsidRPr="003F1F7B">
        <w:rPr>
          <w:rFonts w:cs="Arial"/>
          <w:szCs w:val="20"/>
          <w:lang w:val="sl-SI"/>
        </w:rPr>
        <w:t>, na podlagi 5. člena Uredbe o skupnih določbah za izvajanje intervencij razvoja podeželja, ki niso vezane na površino ali živali, iz strateškega načrta skupne kmetijske politike 2023–2027 (Uradni list RS, št. 77/23</w:t>
      </w:r>
      <w:r w:rsidR="00CD6FF3">
        <w:rPr>
          <w:rFonts w:cs="Arial"/>
          <w:szCs w:val="20"/>
          <w:lang w:val="sl-SI"/>
        </w:rPr>
        <w:t xml:space="preserve"> in 19/24</w:t>
      </w:r>
      <w:r w:rsidRPr="003F1F7B">
        <w:rPr>
          <w:rFonts w:cs="Arial"/>
          <w:szCs w:val="20"/>
          <w:lang w:val="sl-SI"/>
        </w:rPr>
        <w:t xml:space="preserve">; v nadaljnjem besedilu: </w:t>
      </w:r>
      <w:r w:rsidR="005B3E96">
        <w:rPr>
          <w:rFonts w:cs="Arial"/>
          <w:szCs w:val="20"/>
          <w:lang w:val="sl-SI"/>
        </w:rPr>
        <w:t>uredba o skupnih določbah za izvajanje intervencij</w:t>
      </w:r>
      <w:r w:rsidRPr="003F1F7B">
        <w:rPr>
          <w:rFonts w:cs="Arial"/>
          <w:szCs w:val="20"/>
          <w:lang w:val="sl-SI"/>
        </w:rPr>
        <w:t>)</w:t>
      </w:r>
      <w:r w:rsidR="000E70A6">
        <w:rPr>
          <w:rFonts w:cs="Arial"/>
          <w:szCs w:val="20"/>
          <w:lang w:val="sl-SI"/>
        </w:rPr>
        <w:t xml:space="preserve"> in 60. člena </w:t>
      </w:r>
      <w:r w:rsidR="000E70A6" w:rsidRPr="003F1F7B">
        <w:rPr>
          <w:rFonts w:cs="Arial"/>
          <w:szCs w:val="20"/>
          <w:lang w:val="sl-SI"/>
        </w:rPr>
        <w:t>Uredbe o izvajanju intervencij s področja zemljiških operacij iz strateškega načrta skupne kmetijske politike 2023 – 2027 (</w:t>
      </w:r>
      <w:r w:rsidR="000E70A6">
        <w:rPr>
          <w:rFonts w:cs="Arial"/>
          <w:szCs w:val="20"/>
          <w:lang w:val="sl-SI"/>
        </w:rPr>
        <w:t xml:space="preserve">Uradni list RS, št. </w:t>
      </w:r>
      <w:r w:rsidR="00E51955">
        <w:rPr>
          <w:rFonts w:cs="Arial"/>
          <w:szCs w:val="20"/>
          <w:lang w:val="sl-SI"/>
        </w:rPr>
        <w:t>132</w:t>
      </w:r>
      <w:r w:rsidR="000E70A6">
        <w:rPr>
          <w:rFonts w:cs="Arial"/>
          <w:szCs w:val="20"/>
          <w:lang w:val="sl-SI"/>
        </w:rPr>
        <w:t xml:space="preserve">/23; </w:t>
      </w:r>
      <w:r w:rsidR="000E70A6" w:rsidRPr="003F1F7B">
        <w:rPr>
          <w:rFonts w:cs="Arial"/>
          <w:szCs w:val="20"/>
          <w:lang w:val="sl-SI"/>
        </w:rPr>
        <w:t>v nadaljnjem besedilu: uredba</w:t>
      </w:r>
      <w:r w:rsidR="000E70A6" w:rsidRPr="00261AF3">
        <w:rPr>
          <w:rFonts w:cs="Arial"/>
          <w:szCs w:val="20"/>
          <w:lang w:val="sl-SI"/>
        </w:rPr>
        <w:t xml:space="preserve"> </w:t>
      </w:r>
      <w:r w:rsidR="000E70A6" w:rsidRPr="003F1F7B">
        <w:rPr>
          <w:rFonts w:cs="Arial"/>
          <w:szCs w:val="20"/>
          <w:lang w:val="sl-SI"/>
        </w:rPr>
        <w:t>o izvajanju intervencij s področja zemljiških operacij)</w:t>
      </w:r>
      <w:r w:rsidRPr="003F1F7B">
        <w:rPr>
          <w:rFonts w:cs="Arial"/>
          <w:szCs w:val="20"/>
          <w:lang w:val="sl-SI"/>
        </w:rPr>
        <w:t>, objavlja</w:t>
      </w:r>
    </w:p>
    <w:p w14:paraId="25B845B6" w14:textId="77777777" w:rsidR="00850599" w:rsidRPr="003F1F7B" w:rsidRDefault="00850599" w:rsidP="00FC73B1">
      <w:pPr>
        <w:autoSpaceDE w:val="0"/>
        <w:autoSpaceDN w:val="0"/>
        <w:adjustRightInd w:val="0"/>
        <w:jc w:val="both"/>
        <w:outlineLvl w:val="0"/>
        <w:rPr>
          <w:rFonts w:cs="Arial"/>
          <w:szCs w:val="20"/>
          <w:lang w:val="sl-SI"/>
        </w:rPr>
      </w:pPr>
    </w:p>
    <w:p w14:paraId="54188602" w14:textId="77777777" w:rsidR="00FC73B1" w:rsidRPr="003F1F7B" w:rsidRDefault="00FC73B1" w:rsidP="00FC73B1">
      <w:pPr>
        <w:autoSpaceDE w:val="0"/>
        <w:autoSpaceDN w:val="0"/>
        <w:adjustRightInd w:val="0"/>
        <w:jc w:val="center"/>
        <w:outlineLvl w:val="0"/>
        <w:rPr>
          <w:rFonts w:cs="Arial"/>
          <w:szCs w:val="20"/>
          <w:lang w:val="sl-SI"/>
        </w:rPr>
      </w:pPr>
    </w:p>
    <w:p w14:paraId="4BD9D46A" w14:textId="67F15129" w:rsidR="00FC73B1" w:rsidRPr="00B5036C" w:rsidRDefault="00B5036C" w:rsidP="00B5036C">
      <w:pPr>
        <w:autoSpaceDE w:val="0"/>
        <w:autoSpaceDN w:val="0"/>
        <w:adjustRightInd w:val="0"/>
        <w:jc w:val="center"/>
        <w:outlineLvl w:val="0"/>
        <w:rPr>
          <w:rFonts w:cs="Arial"/>
          <w:b/>
          <w:lang w:val="sl-SI"/>
        </w:rPr>
      </w:pPr>
      <w:r w:rsidRPr="00B5036C">
        <w:rPr>
          <w:rFonts w:cs="Arial"/>
          <w:b/>
          <w:lang w:val="sl-SI"/>
        </w:rPr>
        <w:t>1.</w:t>
      </w:r>
      <w:r>
        <w:rPr>
          <w:rFonts w:cs="Arial"/>
          <w:b/>
          <w:lang w:val="sl-SI"/>
        </w:rPr>
        <w:t xml:space="preserve"> </w:t>
      </w:r>
      <w:r w:rsidR="000E70A6" w:rsidRPr="00B5036C">
        <w:rPr>
          <w:rFonts w:cs="Arial"/>
          <w:b/>
          <w:lang w:val="sl-SI"/>
        </w:rPr>
        <w:t>Javni razpis za intervencijo</w:t>
      </w:r>
      <w:r w:rsidR="00FC73B1" w:rsidRPr="00B5036C">
        <w:rPr>
          <w:rFonts w:cs="Arial"/>
          <w:b/>
          <w:lang w:val="sl-SI"/>
        </w:rPr>
        <w:t xml:space="preserve"> </w:t>
      </w:r>
      <w:r w:rsidR="000A5615">
        <w:rPr>
          <w:rFonts w:cs="Arial"/>
          <w:b/>
          <w:lang w:val="sl-SI"/>
        </w:rPr>
        <w:t>izvedba agromelioracij in komasacij kmetijskih zemljišč, podintervencija izvedba komasacij kmetijskih zemljišč</w:t>
      </w:r>
    </w:p>
    <w:p w14:paraId="7EB6D09A" w14:textId="77777777" w:rsidR="009227B9" w:rsidRPr="003F1F7B" w:rsidRDefault="009227B9" w:rsidP="009227B9">
      <w:pPr>
        <w:rPr>
          <w:lang w:val="sl-SI"/>
        </w:rPr>
      </w:pPr>
    </w:p>
    <w:p w14:paraId="466DABF1" w14:textId="243899AE" w:rsidR="009227B9" w:rsidRPr="003F1F7B" w:rsidRDefault="009227B9" w:rsidP="009227B9">
      <w:pPr>
        <w:pStyle w:val="Golobesedilo"/>
        <w:spacing w:line="260" w:lineRule="atLeast"/>
        <w:rPr>
          <w:rFonts w:ascii="Arial" w:hAnsi="Arial" w:cs="Arial"/>
          <w:b/>
          <w:lang w:val="sl-SI"/>
        </w:rPr>
      </w:pPr>
      <w:r w:rsidRPr="003F1F7B">
        <w:rPr>
          <w:rFonts w:ascii="Arial" w:hAnsi="Arial" w:cs="Arial"/>
          <w:b/>
          <w:lang w:val="sl-SI"/>
        </w:rPr>
        <w:t>1. OSNOVNI PODATKI O JAVNEM RAZPISU</w:t>
      </w:r>
    </w:p>
    <w:tbl>
      <w:tblPr>
        <w:tblpPr w:leftFromText="141" w:rightFromText="141" w:vertAnchor="text" w:horzAnchor="margin" w:tblpY="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2552"/>
        <w:gridCol w:w="5828"/>
      </w:tblGrid>
      <w:tr w:rsidR="009227B9" w:rsidRPr="00DD31A6" w14:paraId="194C2A0B" w14:textId="77777777" w:rsidTr="009227B9">
        <w:trPr>
          <w:trHeight w:val="672"/>
        </w:trPr>
        <w:tc>
          <w:tcPr>
            <w:tcW w:w="2552" w:type="dxa"/>
            <w:shd w:val="clear" w:color="auto" w:fill="F2F2F2"/>
            <w:vAlign w:val="center"/>
          </w:tcPr>
          <w:p w14:paraId="17126136" w14:textId="3E584C2D" w:rsidR="009227B9" w:rsidRPr="003F1F7B" w:rsidRDefault="00B5036C" w:rsidP="005E24D4">
            <w:pPr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Predmet</w:t>
            </w:r>
            <w:r w:rsidR="00BE4A11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="009227B9" w:rsidRPr="003F1F7B">
              <w:rPr>
                <w:rFonts w:cs="Arial"/>
                <w:b/>
                <w:szCs w:val="20"/>
                <w:lang w:val="sl-SI"/>
              </w:rPr>
              <w:t>javnega razpisa</w:t>
            </w:r>
          </w:p>
        </w:tc>
        <w:tc>
          <w:tcPr>
            <w:tcW w:w="5828" w:type="dxa"/>
            <w:shd w:val="clear" w:color="auto" w:fill="F2F2F2"/>
            <w:vAlign w:val="center"/>
          </w:tcPr>
          <w:p w14:paraId="68EB62E2" w14:textId="33FE4EBF" w:rsidR="00B5036C" w:rsidRDefault="00B5036C" w:rsidP="005E24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P</w:t>
            </w:r>
            <w:r w:rsidR="0064107B">
              <w:rPr>
                <w:rFonts w:cs="Arial"/>
                <w:szCs w:val="20"/>
                <w:lang w:val="sl-SI"/>
              </w:rPr>
              <w:t>redmet javnega razpisa je dodelitev p</w:t>
            </w:r>
            <w:r>
              <w:rPr>
                <w:rFonts w:cs="Arial"/>
                <w:szCs w:val="20"/>
                <w:lang w:val="sl-SI"/>
              </w:rPr>
              <w:t>odpor</w:t>
            </w:r>
            <w:r w:rsidR="0064107B">
              <w:rPr>
                <w:rFonts w:cs="Arial"/>
                <w:szCs w:val="20"/>
                <w:lang w:val="sl-SI"/>
              </w:rPr>
              <w:t>e vlagateljem iz prvega odstavka 1</w:t>
            </w:r>
            <w:r w:rsidR="000A5615">
              <w:rPr>
                <w:rFonts w:cs="Arial"/>
                <w:szCs w:val="20"/>
                <w:lang w:val="sl-SI"/>
              </w:rPr>
              <w:t>2</w:t>
            </w:r>
            <w:r w:rsidR="0064107B">
              <w:rPr>
                <w:rFonts w:cs="Arial"/>
                <w:szCs w:val="20"/>
                <w:lang w:val="sl-SI"/>
              </w:rPr>
              <w:t>. člena uredbe</w:t>
            </w:r>
            <w:r w:rsidR="0064107B" w:rsidRPr="0064107B">
              <w:rPr>
                <w:rFonts w:cs="Arial"/>
                <w:szCs w:val="20"/>
                <w:lang w:val="sl-SI"/>
              </w:rPr>
              <w:t xml:space="preserve"> o izvajanju intervencij s področja zemljiških operacij</w:t>
            </w:r>
            <w:r w:rsidR="0064107B" w:rsidRPr="0064107B" w:rsidDel="0064107B">
              <w:rPr>
                <w:rFonts w:cs="Arial"/>
                <w:szCs w:val="20"/>
                <w:lang w:val="sl-SI"/>
              </w:rPr>
              <w:t xml:space="preserve"> </w:t>
            </w:r>
            <w:r w:rsidR="0064107B">
              <w:rPr>
                <w:rFonts w:cs="Arial"/>
                <w:szCs w:val="20"/>
                <w:lang w:val="sl-SI"/>
              </w:rPr>
              <w:t>za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="000A5615">
              <w:rPr>
                <w:rFonts w:cs="Arial"/>
                <w:szCs w:val="20"/>
                <w:lang w:val="sl-SI"/>
              </w:rPr>
              <w:t>izvedbo komasacij kmetijskih zemljišč</w:t>
            </w:r>
            <w:r w:rsidR="00260F8A">
              <w:rPr>
                <w:rFonts w:cs="Arial"/>
                <w:szCs w:val="20"/>
                <w:lang w:val="sl-SI"/>
              </w:rPr>
              <w:t xml:space="preserve"> v skladu z zakonom, ki ureja kmetijska zemljišča</w:t>
            </w:r>
            <w:r w:rsidR="000A5615">
              <w:rPr>
                <w:rFonts w:cs="Arial"/>
                <w:szCs w:val="20"/>
                <w:lang w:val="sl-SI"/>
              </w:rPr>
              <w:t>.</w:t>
            </w:r>
          </w:p>
          <w:p w14:paraId="37281F79" w14:textId="507FBB6A" w:rsidR="009227B9" w:rsidRPr="003F1F7B" w:rsidRDefault="009227B9" w:rsidP="005E24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5E24D4" w:rsidRPr="00DD31A6" w14:paraId="7165D01F" w14:textId="77777777" w:rsidTr="009227B9">
        <w:trPr>
          <w:trHeight w:val="672"/>
        </w:trPr>
        <w:tc>
          <w:tcPr>
            <w:tcW w:w="2552" w:type="dxa"/>
            <w:shd w:val="clear" w:color="auto" w:fill="F2F2F2"/>
            <w:vAlign w:val="center"/>
          </w:tcPr>
          <w:p w14:paraId="359A0E95" w14:textId="50468123" w:rsidR="005E24D4" w:rsidRDefault="005E24D4" w:rsidP="0025342F">
            <w:pPr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 xml:space="preserve">Cilj </w:t>
            </w:r>
            <w:r w:rsidR="0025342F">
              <w:rPr>
                <w:rFonts w:cs="Arial"/>
                <w:b/>
                <w:szCs w:val="20"/>
                <w:lang w:val="sl-SI"/>
              </w:rPr>
              <w:t>intervencije</w:t>
            </w:r>
          </w:p>
        </w:tc>
        <w:tc>
          <w:tcPr>
            <w:tcW w:w="5828" w:type="dxa"/>
            <w:shd w:val="clear" w:color="auto" w:fill="F2F2F2"/>
            <w:vAlign w:val="center"/>
          </w:tcPr>
          <w:p w14:paraId="722E32F5" w14:textId="5454B0E1" w:rsidR="005E24D4" w:rsidRDefault="005E24D4" w:rsidP="000A56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  <w:lang w:val="sl-SI"/>
              </w:rPr>
            </w:pPr>
            <w:r w:rsidRPr="005E24D4">
              <w:rPr>
                <w:rFonts w:cs="Arial"/>
                <w:szCs w:val="20"/>
                <w:lang w:val="sl-SI"/>
              </w:rPr>
              <w:t xml:space="preserve">Cilj </w:t>
            </w:r>
            <w:r w:rsidR="000A5615">
              <w:rPr>
                <w:rFonts w:cs="Arial"/>
                <w:szCs w:val="20"/>
                <w:lang w:val="sl-SI"/>
              </w:rPr>
              <w:t>pod</w:t>
            </w:r>
            <w:r w:rsidR="0064107B">
              <w:rPr>
                <w:rFonts w:cs="Arial"/>
                <w:szCs w:val="20"/>
                <w:lang w:val="sl-SI"/>
              </w:rPr>
              <w:t xml:space="preserve">intervencije </w:t>
            </w:r>
            <w:r w:rsidR="000A5615">
              <w:rPr>
                <w:rFonts w:cs="Arial"/>
                <w:szCs w:val="20"/>
                <w:lang w:val="sl-SI"/>
              </w:rPr>
              <w:t>izvedba komasacij kmetijskih zemljišč je izboljšanje posestne strukture kmetijskih zemljišč za lažjo obdelavo kmetijskih zemljišč</w:t>
            </w:r>
            <w:r>
              <w:rPr>
                <w:rFonts w:cs="Arial"/>
                <w:szCs w:val="20"/>
                <w:lang w:val="sl-SI"/>
              </w:rPr>
              <w:t>.</w:t>
            </w:r>
          </w:p>
        </w:tc>
      </w:tr>
      <w:tr w:rsidR="009227B9" w:rsidRPr="00DD31A6" w14:paraId="284E9E09" w14:textId="77777777" w:rsidTr="009227B9">
        <w:trPr>
          <w:cantSplit/>
          <w:trHeight w:val="94"/>
        </w:trPr>
        <w:tc>
          <w:tcPr>
            <w:tcW w:w="2552" w:type="dxa"/>
            <w:vMerge w:val="restart"/>
            <w:shd w:val="clear" w:color="auto" w:fill="F2F2F2"/>
            <w:vAlign w:val="center"/>
          </w:tcPr>
          <w:p w14:paraId="0111E356" w14:textId="52211C81" w:rsidR="009227B9" w:rsidRPr="003F1F7B" w:rsidRDefault="009227B9" w:rsidP="009227B9">
            <w:pPr>
              <w:rPr>
                <w:rFonts w:cs="Arial"/>
                <w:b/>
                <w:szCs w:val="20"/>
                <w:lang w:val="sl-SI"/>
              </w:rPr>
            </w:pPr>
            <w:r w:rsidRPr="003F1F7B">
              <w:rPr>
                <w:rFonts w:cs="Arial"/>
                <w:b/>
                <w:szCs w:val="20"/>
                <w:lang w:val="sl-SI"/>
              </w:rPr>
              <w:t>Razpisana sredstva</w:t>
            </w:r>
          </w:p>
        </w:tc>
        <w:tc>
          <w:tcPr>
            <w:tcW w:w="5828" w:type="dxa"/>
            <w:shd w:val="clear" w:color="auto" w:fill="F2F2F2"/>
            <w:vAlign w:val="center"/>
          </w:tcPr>
          <w:p w14:paraId="264B0D6C" w14:textId="4FAE0CE1" w:rsidR="009227B9" w:rsidRPr="003F1F7B" w:rsidRDefault="009227B9" w:rsidP="00F92675">
            <w:pPr>
              <w:pStyle w:val="Telobesedila21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l-SI"/>
              </w:rPr>
            </w:pPr>
            <w:r w:rsidRPr="003F1F7B">
              <w:rPr>
                <w:rFonts w:ascii="Arial" w:hAnsi="Arial" w:cs="Arial"/>
                <w:sz w:val="20"/>
                <w:lang w:val="sl-SI"/>
              </w:rPr>
              <w:t xml:space="preserve">Višina razpisanih nepovratnih </w:t>
            </w:r>
            <w:r w:rsidRPr="002D157E">
              <w:rPr>
                <w:rFonts w:ascii="Arial" w:eastAsiaTheme="minorHAnsi" w:hAnsi="Arial" w:cs="Arial"/>
                <w:sz w:val="20"/>
                <w:lang w:val="sl-SI" w:eastAsia="en-US"/>
              </w:rPr>
              <w:t xml:space="preserve">sredstev znaša </w:t>
            </w:r>
            <w:r w:rsidR="000A5615">
              <w:rPr>
                <w:rFonts w:ascii="Arial" w:eastAsiaTheme="minorHAnsi" w:hAnsi="Arial" w:cs="Arial"/>
                <w:sz w:val="20"/>
                <w:lang w:val="sl-SI" w:eastAsia="en-US"/>
              </w:rPr>
              <w:t>4</w:t>
            </w:r>
            <w:r w:rsidRPr="002D157E">
              <w:rPr>
                <w:rFonts w:ascii="Arial" w:eastAsiaTheme="minorHAnsi" w:hAnsi="Arial" w:cs="Arial"/>
                <w:sz w:val="20"/>
                <w:lang w:val="sl-SI" w:eastAsia="en-US"/>
              </w:rPr>
              <w:t xml:space="preserve">.000.000 </w:t>
            </w:r>
            <w:r w:rsidR="00F92675" w:rsidRPr="002D157E">
              <w:rPr>
                <w:rFonts w:ascii="Arial" w:eastAsiaTheme="minorHAnsi" w:hAnsi="Arial" w:cs="Arial"/>
                <w:sz w:val="20"/>
                <w:lang w:val="sl-SI" w:eastAsia="en-US"/>
              </w:rPr>
              <w:t>eurov</w:t>
            </w:r>
            <w:r w:rsidRPr="003F1F7B">
              <w:rPr>
                <w:rFonts w:ascii="Arial" w:hAnsi="Arial" w:cs="Arial"/>
                <w:sz w:val="20"/>
                <w:lang w:val="sl-SI"/>
              </w:rPr>
              <w:t xml:space="preserve"> </w:t>
            </w:r>
          </w:p>
        </w:tc>
      </w:tr>
      <w:tr w:rsidR="009227B9" w:rsidRPr="00DD31A6" w14:paraId="5297B158" w14:textId="77777777" w:rsidTr="009227B9">
        <w:trPr>
          <w:cantSplit/>
          <w:trHeight w:val="1557"/>
        </w:trPr>
        <w:tc>
          <w:tcPr>
            <w:tcW w:w="2552" w:type="dxa"/>
            <w:vMerge/>
            <w:shd w:val="clear" w:color="auto" w:fill="F2F2F2"/>
            <w:vAlign w:val="center"/>
          </w:tcPr>
          <w:p w14:paraId="6B118E47" w14:textId="77777777" w:rsidR="009227B9" w:rsidRPr="003F1F7B" w:rsidRDefault="009227B9" w:rsidP="009227B9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5828" w:type="dxa"/>
            <w:shd w:val="clear" w:color="auto" w:fill="F2F2F2"/>
            <w:vAlign w:val="center"/>
          </w:tcPr>
          <w:p w14:paraId="1B8C3B89" w14:textId="5D3DA31D" w:rsidR="009227B9" w:rsidRPr="003F1F7B" w:rsidRDefault="009227B9" w:rsidP="009227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  <w:lang w:val="sl-SI"/>
              </w:rPr>
            </w:pPr>
            <w:r w:rsidRPr="003F1F7B">
              <w:rPr>
                <w:rFonts w:cs="Arial"/>
                <w:szCs w:val="20"/>
                <w:lang w:val="sl-SI"/>
              </w:rPr>
              <w:t>Sredstva se zagot</w:t>
            </w:r>
            <w:r w:rsidR="0064107B">
              <w:rPr>
                <w:rFonts w:cs="Arial"/>
                <w:szCs w:val="20"/>
                <w:lang w:val="sl-SI"/>
              </w:rPr>
              <w:t>ovijo</w:t>
            </w:r>
            <w:r w:rsidRPr="003F1F7B">
              <w:rPr>
                <w:rFonts w:cs="Arial"/>
                <w:szCs w:val="20"/>
                <w:lang w:val="sl-SI"/>
              </w:rPr>
              <w:t xml:space="preserve"> iz proračunskih postavk MKGP, in sicer: </w:t>
            </w:r>
          </w:p>
          <w:p w14:paraId="6DD4AAB1" w14:textId="19E7E867" w:rsidR="009227B9" w:rsidRPr="003F1F7B" w:rsidRDefault="009227B9" w:rsidP="00D05D06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2D157E">
              <w:rPr>
                <w:rFonts w:cs="Arial"/>
                <w:szCs w:val="20"/>
                <w:lang w:val="sl-SI"/>
              </w:rPr>
              <w:t>1.</w:t>
            </w:r>
            <w:r w:rsidR="000A5615">
              <w:rPr>
                <w:rFonts w:cs="Arial"/>
                <w:szCs w:val="20"/>
                <w:lang w:val="sl-SI"/>
              </w:rPr>
              <w:t>356</w:t>
            </w:r>
            <w:r w:rsidRPr="002D157E">
              <w:rPr>
                <w:rFonts w:cs="Arial"/>
                <w:szCs w:val="20"/>
                <w:lang w:val="sl-SI"/>
              </w:rPr>
              <w:t>.000</w:t>
            </w:r>
            <w:r w:rsidRPr="003F1F7B">
              <w:rPr>
                <w:rFonts w:cs="Arial"/>
                <w:szCs w:val="20"/>
                <w:lang w:val="sl-SI"/>
              </w:rPr>
              <w:t xml:space="preserve"> </w:t>
            </w:r>
            <w:r w:rsidR="00F92675">
              <w:rPr>
                <w:rFonts w:cs="Arial"/>
                <w:szCs w:val="20"/>
                <w:lang w:val="sl-SI"/>
              </w:rPr>
              <w:t>eurov</w:t>
            </w:r>
            <w:r w:rsidR="00F92675" w:rsidRPr="003F1F7B">
              <w:rPr>
                <w:rFonts w:cs="Arial"/>
                <w:szCs w:val="20"/>
                <w:lang w:val="sl-SI"/>
              </w:rPr>
              <w:t xml:space="preserve"> </w:t>
            </w:r>
            <w:r w:rsidRPr="003F1F7B">
              <w:rPr>
                <w:rFonts w:cs="Arial"/>
                <w:szCs w:val="20"/>
                <w:lang w:val="sl-SI"/>
              </w:rPr>
              <w:t xml:space="preserve">iz proračunske postavke </w:t>
            </w:r>
            <w:r w:rsidR="00D05D06" w:rsidRPr="003F1F7B">
              <w:rPr>
                <w:lang w:val="sl-SI"/>
              </w:rPr>
              <w:t xml:space="preserve"> </w:t>
            </w:r>
            <w:r w:rsidR="00D05D06" w:rsidRPr="003F1F7B">
              <w:rPr>
                <w:rFonts w:cs="Arial"/>
                <w:szCs w:val="20"/>
                <w:lang w:val="sl-SI"/>
              </w:rPr>
              <w:t>221064 Skupni strateški načrt 2023-2027 – EKSRP – EU</w:t>
            </w:r>
            <w:r w:rsidRPr="003F1F7B">
              <w:rPr>
                <w:rFonts w:cs="Arial"/>
                <w:szCs w:val="20"/>
                <w:lang w:val="sl-SI"/>
              </w:rPr>
              <w:t>,</w:t>
            </w:r>
          </w:p>
          <w:p w14:paraId="12A543C9" w14:textId="5877D066" w:rsidR="009227B9" w:rsidRPr="003F1F7B" w:rsidRDefault="000A5615" w:rsidP="00D05D06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2.644</w:t>
            </w:r>
            <w:r w:rsidR="009227B9" w:rsidRPr="002D157E">
              <w:rPr>
                <w:rFonts w:cs="Arial"/>
                <w:szCs w:val="20"/>
                <w:lang w:val="sl-SI"/>
              </w:rPr>
              <w:t>.000</w:t>
            </w:r>
            <w:r w:rsidR="009227B9" w:rsidRPr="003F1F7B">
              <w:rPr>
                <w:rFonts w:cs="Arial"/>
                <w:szCs w:val="20"/>
                <w:lang w:val="sl-SI"/>
              </w:rPr>
              <w:t xml:space="preserve"> </w:t>
            </w:r>
            <w:r w:rsidR="00F92675">
              <w:rPr>
                <w:rFonts w:cs="Arial"/>
                <w:szCs w:val="20"/>
                <w:lang w:val="sl-SI"/>
              </w:rPr>
              <w:t>eurov</w:t>
            </w:r>
            <w:r w:rsidR="00F92675" w:rsidRPr="003F1F7B">
              <w:rPr>
                <w:rFonts w:cs="Arial"/>
                <w:szCs w:val="20"/>
                <w:lang w:val="sl-SI"/>
              </w:rPr>
              <w:t xml:space="preserve"> </w:t>
            </w:r>
            <w:r w:rsidR="00D05D06" w:rsidRPr="003F1F7B">
              <w:rPr>
                <w:rFonts w:cs="Arial"/>
                <w:szCs w:val="20"/>
                <w:lang w:val="sl-SI"/>
              </w:rPr>
              <w:t>iz proračunske postavke 221065 Skupni strateški načrt 2023-2027 – EKSRP – slovenska udeležba</w:t>
            </w:r>
            <w:r w:rsidR="009227B9" w:rsidRPr="003F1F7B">
              <w:rPr>
                <w:rFonts w:cs="Arial"/>
                <w:szCs w:val="20"/>
                <w:lang w:val="sl-SI"/>
              </w:rPr>
              <w:t xml:space="preserve">. </w:t>
            </w:r>
          </w:p>
          <w:p w14:paraId="692636AE" w14:textId="77777777" w:rsidR="009227B9" w:rsidRPr="003F1F7B" w:rsidRDefault="009227B9" w:rsidP="009227B9">
            <w:pPr>
              <w:autoSpaceDE w:val="0"/>
              <w:autoSpaceDN w:val="0"/>
              <w:adjustRightInd w:val="0"/>
              <w:ind w:left="312"/>
              <w:jc w:val="both"/>
              <w:rPr>
                <w:rFonts w:cs="Arial"/>
                <w:szCs w:val="20"/>
                <w:lang w:val="sl-SI"/>
              </w:rPr>
            </w:pPr>
          </w:p>
          <w:p w14:paraId="7A0CA80B" w14:textId="529EECBE" w:rsidR="009227B9" w:rsidRPr="003F1F7B" w:rsidRDefault="009227B9" w:rsidP="009227B9">
            <w:pPr>
              <w:autoSpaceDE w:val="0"/>
              <w:autoSpaceDN w:val="0"/>
              <w:adjustRightInd w:val="0"/>
              <w:ind w:left="27"/>
              <w:jc w:val="both"/>
              <w:rPr>
                <w:rFonts w:cs="Arial"/>
                <w:szCs w:val="20"/>
                <w:lang w:val="sl-SI" w:eastAsia="sl-SI"/>
              </w:rPr>
            </w:pPr>
            <w:r w:rsidRPr="003F1F7B">
              <w:rPr>
                <w:rFonts w:cs="Arial"/>
                <w:szCs w:val="20"/>
                <w:lang w:val="sl-SI"/>
              </w:rPr>
              <w:t>Delež sredstev Evropskega kmetijskega sklada za razvoj podeželja znaša 33,9</w:t>
            </w:r>
            <w:r w:rsidRPr="00654A4E">
              <w:rPr>
                <w:lang w:val="sl-SI"/>
              </w:rPr>
              <w:t xml:space="preserve"> </w:t>
            </w:r>
            <w:r w:rsidR="00F92675">
              <w:rPr>
                <w:rFonts w:cs="Arial"/>
                <w:szCs w:val="20"/>
                <w:lang w:val="sl-SI"/>
              </w:rPr>
              <w:t>%</w:t>
            </w:r>
            <w:r w:rsidRPr="003F1F7B">
              <w:rPr>
                <w:rFonts w:cs="Arial"/>
                <w:szCs w:val="20"/>
                <w:lang w:val="sl-SI"/>
              </w:rPr>
              <w:t xml:space="preserve">, delež sredstev iz proračuna Republike Slovenije pa 66,1 </w:t>
            </w:r>
            <w:r w:rsidR="00F92675">
              <w:rPr>
                <w:rFonts w:cs="Arial"/>
                <w:szCs w:val="20"/>
                <w:lang w:val="sl-SI"/>
              </w:rPr>
              <w:t>%</w:t>
            </w:r>
            <w:r w:rsidRPr="003F1F7B">
              <w:rPr>
                <w:rFonts w:cs="Arial"/>
                <w:szCs w:val="20"/>
                <w:lang w:val="sl-SI"/>
              </w:rPr>
              <w:t>.</w:t>
            </w:r>
          </w:p>
        </w:tc>
      </w:tr>
      <w:tr w:rsidR="009227B9" w:rsidRPr="003F1F7B" w14:paraId="64100D00" w14:textId="77777777" w:rsidTr="009227B9">
        <w:trPr>
          <w:trHeight w:val="445"/>
        </w:trPr>
        <w:tc>
          <w:tcPr>
            <w:tcW w:w="2552" w:type="dxa"/>
            <w:shd w:val="clear" w:color="auto" w:fill="F2F2F2"/>
            <w:vAlign w:val="center"/>
          </w:tcPr>
          <w:p w14:paraId="207B66D8" w14:textId="5C6F3F20" w:rsidR="009227B9" w:rsidRPr="003F1F7B" w:rsidRDefault="009227B9" w:rsidP="009227B9">
            <w:pPr>
              <w:autoSpaceDE w:val="0"/>
              <w:autoSpaceDN w:val="0"/>
              <w:adjustRightInd w:val="0"/>
              <w:rPr>
                <w:rFonts w:cs="Arial"/>
                <w:b/>
                <w:szCs w:val="20"/>
                <w:lang w:val="sl-SI"/>
              </w:rPr>
            </w:pPr>
            <w:r w:rsidRPr="003F1F7B">
              <w:rPr>
                <w:rFonts w:cs="Arial"/>
                <w:b/>
                <w:szCs w:val="20"/>
                <w:lang w:val="sl-SI"/>
              </w:rPr>
              <w:t>Vrsta javnega razpisa</w:t>
            </w:r>
          </w:p>
        </w:tc>
        <w:tc>
          <w:tcPr>
            <w:tcW w:w="5828" w:type="dxa"/>
            <w:shd w:val="clear" w:color="auto" w:fill="F2F2F2"/>
            <w:vAlign w:val="center"/>
          </w:tcPr>
          <w:p w14:paraId="39253932" w14:textId="77777777" w:rsidR="009227B9" w:rsidRPr="003F1F7B" w:rsidRDefault="00F92675" w:rsidP="009227B9">
            <w:pPr>
              <w:pStyle w:val="Telobesedila23"/>
              <w:widowControl/>
              <w:spacing w:after="0"/>
              <w:rPr>
                <w:rFonts w:ascii="Arial" w:hAnsi="Arial" w:cs="Arial"/>
                <w:sz w:val="20"/>
                <w:lang w:val="sl-SI"/>
              </w:rPr>
            </w:pPr>
            <w:r w:rsidRPr="003F1F7B">
              <w:rPr>
                <w:rFonts w:ascii="Arial" w:hAnsi="Arial" w:cs="Arial"/>
                <w:sz w:val="20"/>
                <w:lang w:val="sl-SI"/>
              </w:rPr>
              <w:t>Zaprti</w:t>
            </w:r>
            <w:r>
              <w:rPr>
                <w:rFonts w:ascii="Arial" w:hAnsi="Arial" w:cs="Arial"/>
                <w:sz w:val="20"/>
                <w:lang w:val="sl-SI"/>
              </w:rPr>
              <w:t>.</w:t>
            </w:r>
            <w:r w:rsidR="009227B9" w:rsidRPr="003F1F7B">
              <w:rPr>
                <w:rFonts w:ascii="Arial" w:hAnsi="Arial" w:cs="Arial"/>
                <w:sz w:val="20"/>
                <w:lang w:val="sl-SI"/>
              </w:rPr>
              <w:t xml:space="preserve">                                              </w:t>
            </w:r>
          </w:p>
        </w:tc>
      </w:tr>
      <w:tr w:rsidR="009227B9" w:rsidRPr="00DD31A6" w14:paraId="12749DFE" w14:textId="77777777" w:rsidTr="009227B9">
        <w:trPr>
          <w:trHeight w:val="744"/>
        </w:trPr>
        <w:tc>
          <w:tcPr>
            <w:tcW w:w="2552" w:type="dxa"/>
            <w:shd w:val="clear" w:color="auto" w:fill="F2F2F2"/>
            <w:vAlign w:val="center"/>
          </w:tcPr>
          <w:p w14:paraId="6F369D56" w14:textId="4F45A859" w:rsidR="009227B9" w:rsidRPr="003F1F7B" w:rsidRDefault="00F92675" w:rsidP="009227B9">
            <w:pPr>
              <w:autoSpaceDE w:val="0"/>
              <w:autoSpaceDN w:val="0"/>
              <w:adjustRightInd w:val="0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Vložitev</w:t>
            </w:r>
            <w:r w:rsidR="009227B9" w:rsidRPr="003F1F7B">
              <w:rPr>
                <w:rFonts w:cs="Arial"/>
                <w:b/>
                <w:szCs w:val="20"/>
                <w:lang w:val="sl-SI"/>
              </w:rPr>
              <w:t xml:space="preserve"> vloge na javni razpis </w:t>
            </w:r>
          </w:p>
        </w:tc>
        <w:tc>
          <w:tcPr>
            <w:tcW w:w="5828" w:type="dxa"/>
            <w:shd w:val="clear" w:color="auto" w:fill="F2F2F2"/>
            <w:vAlign w:val="center"/>
          </w:tcPr>
          <w:p w14:paraId="1D3EEF72" w14:textId="2B0FF7F5" w:rsidR="009227B9" w:rsidRPr="003F1F7B" w:rsidRDefault="009227B9" w:rsidP="00775A1E">
            <w:pPr>
              <w:jc w:val="both"/>
              <w:rPr>
                <w:rFonts w:cs="Arial"/>
                <w:szCs w:val="20"/>
                <w:lang w:val="sl-SI"/>
              </w:rPr>
            </w:pPr>
            <w:r w:rsidRPr="003F1F7B">
              <w:rPr>
                <w:rFonts w:cs="Arial"/>
                <w:szCs w:val="20"/>
                <w:lang w:val="sl-SI"/>
              </w:rPr>
              <w:t xml:space="preserve">Vložitev vloge na javni razpis </w:t>
            </w:r>
            <w:r w:rsidRPr="002D157E">
              <w:rPr>
                <w:rFonts w:cs="Arial"/>
                <w:szCs w:val="20"/>
                <w:lang w:val="sl-SI"/>
              </w:rPr>
              <w:t xml:space="preserve">poteka od </w:t>
            </w:r>
            <w:r w:rsidR="00775A1E" w:rsidRPr="00775A1E">
              <w:rPr>
                <w:rFonts w:cs="Arial"/>
                <w:szCs w:val="20"/>
                <w:lang w:val="sl-SI"/>
              </w:rPr>
              <w:t>24</w:t>
            </w:r>
            <w:r w:rsidRPr="00775A1E">
              <w:rPr>
                <w:rFonts w:cs="Arial"/>
                <w:szCs w:val="20"/>
                <w:lang w:val="sl-SI"/>
              </w:rPr>
              <w:t xml:space="preserve">. </w:t>
            </w:r>
            <w:r w:rsidR="00775A1E" w:rsidRPr="00775A1E">
              <w:rPr>
                <w:rFonts w:cs="Arial"/>
                <w:szCs w:val="20"/>
                <w:lang w:val="sl-SI"/>
              </w:rPr>
              <w:t>junija</w:t>
            </w:r>
            <w:r w:rsidRPr="00775A1E">
              <w:rPr>
                <w:rFonts w:cs="Arial"/>
                <w:szCs w:val="20"/>
                <w:lang w:val="sl-SI"/>
              </w:rPr>
              <w:t xml:space="preserve"> 202</w:t>
            </w:r>
            <w:r w:rsidR="002D157E" w:rsidRPr="00775A1E">
              <w:rPr>
                <w:rFonts w:cs="Arial"/>
                <w:szCs w:val="20"/>
                <w:lang w:val="sl-SI"/>
              </w:rPr>
              <w:t>4</w:t>
            </w:r>
            <w:r w:rsidR="00CD6FF3" w:rsidRPr="00775A1E">
              <w:rPr>
                <w:rFonts w:cs="Arial"/>
                <w:szCs w:val="20"/>
                <w:lang w:val="sl-SI"/>
              </w:rPr>
              <w:t xml:space="preserve"> od 8. ure</w:t>
            </w:r>
            <w:r w:rsidR="002D157E" w:rsidRPr="00775A1E">
              <w:rPr>
                <w:rFonts w:cs="Arial"/>
                <w:szCs w:val="20"/>
                <w:lang w:val="sl-SI"/>
              </w:rPr>
              <w:t xml:space="preserve"> do vključno </w:t>
            </w:r>
            <w:r w:rsidR="00775A1E" w:rsidRPr="00775A1E">
              <w:rPr>
                <w:rFonts w:cs="Arial"/>
                <w:szCs w:val="20"/>
                <w:lang w:val="sl-SI"/>
              </w:rPr>
              <w:t>30</w:t>
            </w:r>
            <w:r w:rsidRPr="00775A1E">
              <w:rPr>
                <w:rFonts w:cs="Arial"/>
                <w:szCs w:val="20"/>
                <w:lang w:val="sl-SI"/>
              </w:rPr>
              <w:t xml:space="preserve">. </w:t>
            </w:r>
            <w:r w:rsidR="00356C92" w:rsidRPr="00775A1E">
              <w:rPr>
                <w:rFonts w:cs="Arial"/>
                <w:szCs w:val="20"/>
                <w:lang w:val="sl-SI"/>
              </w:rPr>
              <w:t>avgusta</w:t>
            </w:r>
            <w:r w:rsidRPr="00775A1E">
              <w:rPr>
                <w:rFonts w:cs="Arial"/>
                <w:szCs w:val="20"/>
                <w:lang w:val="sl-SI"/>
              </w:rPr>
              <w:t xml:space="preserve"> 202</w:t>
            </w:r>
            <w:r w:rsidR="002D157E" w:rsidRPr="00775A1E">
              <w:rPr>
                <w:rFonts w:cs="Arial"/>
                <w:szCs w:val="20"/>
                <w:lang w:val="sl-SI"/>
              </w:rPr>
              <w:t>4</w:t>
            </w:r>
            <w:r w:rsidRPr="00775A1E">
              <w:rPr>
                <w:rFonts w:cs="Arial"/>
                <w:szCs w:val="20"/>
                <w:lang w:val="sl-SI"/>
              </w:rPr>
              <w:t xml:space="preserve"> do 14. ure.</w:t>
            </w:r>
          </w:p>
        </w:tc>
      </w:tr>
      <w:tr w:rsidR="003F1F7B" w:rsidRPr="00DD31A6" w14:paraId="55832CBB" w14:textId="77777777" w:rsidTr="008F1023">
        <w:trPr>
          <w:trHeight w:val="758"/>
        </w:trPr>
        <w:tc>
          <w:tcPr>
            <w:tcW w:w="2552" w:type="dxa"/>
            <w:shd w:val="clear" w:color="auto" w:fill="F2F2F2"/>
            <w:vAlign w:val="center"/>
          </w:tcPr>
          <w:p w14:paraId="1EDDC7E2" w14:textId="77777777" w:rsidR="003F1F7B" w:rsidRPr="003F1F7B" w:rsidRDefault="003F1F7B" w:rsidP="009227B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Cs w:val="20"/>
                <w:lang w:val="sl-SI"/>
              </w:rPr>
            </w:pPr>
            <w:r w:rsidRPr="003F1F7B">
              <w:rPr>
                <w:rFonts w:cs="Arial"/>
                <w:b/>
                <w:szCs w:val="20"/>
                <w:lang w:val="sl-SI"/>
              </w:rPr>
              <w:t>Informacije o razpisu:</w:t>
            </w:r>
          </w:p>
        </w:tc>
        <w:tc>
          <w:tcPr>
            <w:tcW w:w="5828" w:type="dxa"/>
            <w:shd w:val="clear" w:color="auto" w:fill="F2F2F2"/>
            <w:vAlign w:val="center"/>
          </w:tcPr>
          <w:p w14:paraId="3D49DBD4" w14:textId="09AB646A" w:rsidR="003F1F7B" w:rsidRPr="003F1F7B" w:rsidRDefault="003F1F7B" w:rsidP="003F1F7B">
            <w:pPr>
              <w:tabs>
                <w:tab w:val="num" w:pos="1440"/>
              </w:tabs>
              <w:suppressAutoHyphens/>
              <w:jc w:val="both"/>
              <w:rPr>
                <w:rFonts w:cs="Arial"/>
                <w:szCs w:val="20"/>
                <w:lang w:val="sl-SI"/>
              </w:rPr>
            </w:pPr>
            <w:r w:rsidRPr="003F1F7B">
              <w:rPr>
                <w:rFonts w:cs="Arial"/>
                <w:bCs/>
                <w:color w:val="000000"/>
                <w:szCs w:val="20"/>
                <w:lang w:val="sl-SI"/>
              </w:rPr>
              <w:t xml:space="preserve">Informacije o javnem razpisu so dostopne na naslednji povezavi: </w:t>
            </w:r>
            <w:r w:rsidRPr="00654A4E">
              <w:rPr>
                <w:rFonts w:cs="Arial"/>
                <w:bCs/>
                <w:szCs w:val="20"/>
                <w:lang w:val="sl-SI"/>
              </w:rPr>
              <w:t>https://skp.si/aktualno/info-tocke</w:t>
            </w:r>
            <w:r w:rsidRPr="003F1F7B">
              <w:rPr>
                <w:rFonts w:cs="Arial"/>
                <w:bCs/>
                <w:color w:val="000000"/>
                <w:szCs w:val="20"/>
                <w:lang w:val="sl-SI"/>
              </w:rPr>
              <w:t>.</w:t>
            </w:r>
          </w:p>
        </w:tc>
      </w:tr>
    </w:tbl>
    <w:p w14:paraId="59F30876" w14:textId="77777777" w:rsidR="00C174A4" w:rsidRDefault="00C174A4" w:rsidP="00C174A4">
      <w:pPr>
        <w:pStyle w:val="Odstavekseznama"/>
        <w:jc w:val="both"/>
        <w:rPr>
          <w:rFonts w:ascii="Arial" w:hAnsi="Arial" w:cs="Arial"/>
          <w:b/>
          <w:sz w:val="22"/>
          <w:szCs w:val="22"/>
          <w:lang w:val="sl-SI" w:eastAsia="sl-SI"/>
        </w:rPr>
      </w:pPr>
    </w:p>
    <w:p w14:paraId="439391FE" w14:textId="77777777" w:rsidR="0000576F" w:rsidRPr="003F1F7B" w:rsidRDefault="0000576F" w:rsidP="00C174A4">
      <w:pPr>
        <w:pStyle w:val="Odstavekseznama"/>
        <w:jc w:val="both"/>
        <w:rPr>
          <w:rFonts w:ascii="Arial" w:hAnsi="Arial" w:cs="Arial"/>
          <w:b/>
          <w:sz w:val="22"/>
          <w:szCs w:val="22"/>
          <w:lang w:val="sl-SI" w:eastAsia="sl-SI"/>
        </w:rPr>
      </w:pPr>
    </w:p>
    <w:p w14:paraId="5B9885D6" w14:textId="1B1D3D9D" w:rsidR="003F1F7B" w:rsidRDefault="003F1F7B" w:rsidP="003F1F7B">
      <w:pPr>
        <w:pStyle w:val="Golobesedilo"/>
        <w:spacing w:line="260" w:lineRule="atLeast"/>
        <w:rPr>
          <w:rFonts w:ascii="Arial" w:hAnsi="Arial" w:cs="Arial"/>
          <w:b/>
          <w:lang w:val="sl-SI"/>
        </w:rPr>
      </w:pPr>
      <w:r w:rsidRPr="003F1F7B">
        <w:rPr>
          <w:rFonts w:ascii="Arial" w:hAnsi="Arial" w:cs="Arial"/>
          <w:b/>
          <w:lang w:val="sl-SI"/>
        </w:rPr>
        <w:t>2. NAMEN</w:t>
      </w:r>
      <w:r w:rsidR="00F92675">
        <w:rPr>
          <w:rFonts w:ascii="Arial" w:hAnsi="Arial" w:cs="Arial"/>
          <w:b/>
          <w:lang w:val="sl-SI"/>
        </w:rPr>
        <w:t xml:space="preserve"> IN CILJ</w:t>
      </w:r>
      <w:r w:rsidRPr="003F1F7B">
        <w:rPr>
          <w:rFonts w:ascii="Arial" w:hAnsi="Arial" w:cs="Arial"/>
          <w:b/>
          <w:lang w:val="sl-SI"/>
        </w:rPr>
        <w:t xml:space="preserve"> PODPORE </w:t>
      </w:r>
    </w:p>
    <w:p w14:paraId="4BD17C03" w14:textId="77777777" w:rsidR="00CA25F5" w:rsidRPr="003F1F7B" w:rsidRDefault="00CA25F5" w:rsidP="003F1F7B">
      <w:pPr>
        <w:pStyle w:val="Golobesedilo"/>
        <w:spacing w:line="260" w:lineRule="atLeast"/>
        <w:rPr>
          <w:rFonts w:ascii="Arial" w:hAnsi="Arial" w:cs="Arial"/>
          <w:b/>
          <w:lang w:val="sl-SI"/>
        </w:rPr>
      </w:pPr>
    </w:p>
    <w:p w14:paraId="05533CF6" w14:textId="351C81DF" w:rsidR="003F1F7B" w:rsidRPr="003F1F7B" w:rsidRDefault="003F1F7B" w:rsidP="003F1F7B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cs="Arial"/>
          <w:szCs w:val="20"/>
          <w:lang w:val="sl-SI"/>
        </w:rPr>
      </w:pPr>
      <w:r w:rsidRPr="003F1F7B">
        <w:rPr>
          <w:rFonts w:cs="Arial"/>
          <w:szCs w:val="20"/>
          <w:lang w:val="sl-SI"/>
        </w:rPr>
        <w:t>Namen</w:t>
      </w:r>
      <w:r w:rsidR="00F92675">
        <w:rPr>
          <w:rFonts w:cs="Arial"/>
          <w:szCs w:val="20"/>
          <w:lang w:val="sl-SI"/>
        </w:rPr>
        <w:t xml:space="preserve"> in cilj</w:t>
      </w:r>
      <w:r w:rsidRPr="003F1F7B">
        <w:rPr>
          <w:rFonts w:cs="Arial"/>
          <w:szCs w:val="20"/>
          <w:lang w:val="sl-SI"/>
        </w:rPr>
        <w:t xml:space="preserve"> podpore </w:t>
      </w:r>
      <w:r w:rsidR="00F92675">
        <w:rPr>
          <w:rFonts w:cs="Arial"/>
          <w:szCs w:val="20"/>
          <w:lang w:val="sl-SI"/>
        </w:rPr>
        <w:t>sta</w:t>
      </w:r>
      <w:r w:rsidRPr="003F1F7B">
        <w:rPr>
          <w:rFonts w:cs="Arial"/>
          <w:szCs w:val="20"/>
          <w:lang w:val="sl-SI"/>
        </w:rPr>
        <w:t xml:space="preserve"> določen</w:t>
      </w:r>
      <w:r w:rsidR="00F92675">
        <w:rPr>
          <w:rFonts w:cs="Arial"/>
          <w:szCs w:val="20"/>
          <w:lang w:val="sl-SI"/>
        </w:rPr>
        <w:t>a</w:t>
      </w:r>
      <w:r w:rsidRPr="003F1F7B">
        <w:rPr>
          <w:rFonts w:cs="Arial"/>
          <w:szCs w:val="20"/>
          <w:lang w:val="sl-SI"/>
        </w:rPr>
        <w:t xml:space="preserve"> v 1</w:t>
      </w:r>
      <w:r w:rsidR="00260F8A">
        <w:rPr>
          <w:rFonts w:cs="Arial"/>
          <w:szCs w:val="20"/>
          <w:lang w:val="sl-SI"/>
        </w:rPr>
        <w:t>1</w:t>
      </w:r>
      <w:r w:rsidRPr="003F1F7B">
        <w:rPr>
          <w:rFonts w:cs="Arial"/>
          <w:szCs w:val="20"/>
          <w:lang w:val="sl-SI"/>
        </w:rPr>
        <w:t>. členu uredb</w:t>
      </w:r>
      <w:r w:rsidR="00B26CD0">
        <w:rPr>
          <w:rFonts w:cs="Arial"/>
          <w:szCs w:val="20"/>
          <w:lang w:val="sl-SI"/>
        </w:rPr>
        <w:t>e</w:t>
      </w:r>
      <w:r w:rsidR="00261AF3" w:rsidRPr="00261AF3">
        <w:rPr>
          <w:rFonts w:cs="Arial"/>
          <w:szCs w:val="20"/>
          <w:lang w:val="sl-SI"/>
        </w:rPr>
        <w:t xml:space="preserve"> </w:t>
      </w:r>
      <w:r w:rsidR="00261AF3" w:rsidRPr="003F1F7B">
        <w:rPr>
          <w:rFonts w:cs="Arial"/>
          <w:szCs w:val="20"/>
          <w:lang w:val="sl-SI"/>
        </w:rPr>
        <w:t>o izvajanju intervencij s področja zemljiških operacij</w:t>
      </w:r>
      <w:r w:rsidRPr="003F1F7B">
        <w:rPr>
          <w:rFonts w:cs="Arial"/>
          <w:szCs w:val="20"/>
          <w:lang w:val="sl-SI"/>
        </w:rPr>
        <w:t>.</w:t>
      </w:r>
    </w:p>
    <w:p w14:paraId="65565127" w14:textId="77777777" w:rsidR="003F1F7B" w:rsidRPr="003F1F7B" w:rsidRDefault="003F1F7B" w:rsidP="003F1F7B">
      <w:pPr>
        <w:pStyle w:val="Golobesedilo"/>
        <w:spacing w:line="260" w:lineRule="atLeast"/>
        <w:rPr>
          <w:rFonts w:ascii="Arial" w:hAnsi="Arial" w:cs="Arial"/>
          <w:lang w:val="sl-SI"/>
        </w:rPr>
      </w:pPr>
    </w:p>
    <w:p w14:paraId="3B743051" w14:textId="3E8F5FF9" w:rsidR="003F1F7B" w:rsidRDefault="003F1F7B" w:rsidP="003F1F7B">
      <w:pPr>
        <w:pStyle w:val="Golobesedilo"/>
        <w:spacing w:line="260" w:lineRule="atLeast"/>
        <w:rPr>
          <w:rFonts w:ascii="Arial" w:hAnsi="Arial" w:cs="Arial"/>
          <w:b/>
          <w:lang w:val="sl-SI"/>
        </w:rPr>
      </w:pPr>
      <w:r w:rsidRPr="003F1F7B">
        <w:rPr>
          <w:rFonts w:ascii="Arial" w:hAnsi="Arial" w:cs="Arial"/>
          <w:b/>
          <w:lang w:val="sl-SI"/>
        </w:rPr>
        <w:t>3. VLAGATELJ IN UPRAVIČENEC</w:t>
      </w:r>
    </w:p>
    <w:p w14:paraId="1D61A7FB" w14:textId="77777777" w:rsidR="00CA25F5" w:rsidRPr="003F1F7B" w:rsidRDefault="00CA25F5" w:rsidP="003F1F7B">
      <w:pPr>
        <w:pStyle w:val="Golobesedilo"/>
        <w:spacing w:line="260" w:lineRule="atLeast"/>
        <w:rPr>
          <w:rFonts w:ascii="Arial" w:hAnsi="Arial" w:cs="Arial"/>
          <w:b/>
          <w:lang w:val="sl-SI"/>
        </w:rPr>
      </w:pPr>
    </w:p>
    <w:p w14:paraId="736E6385" w14:textId="581339BA" w:rsidR="003F1F7B" w:rsidRDefault="00B26CD0" w:rsidP="003F1F7B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(1) </w:t>
      </w:r>
      <w:r w:rsidR="003F1F7B">
        <w:rPr>
          <w:rFonts w:cs="Arial"/>
          <w:szCs w:val="20"/>
          <w:lang w:val="sl-SI"/>
        </w:rPr>
        <w:t xml:space="preserve">Vlagatelj </w:t>
      </w:r>
      <w:r>
        <w:rPr>
          <w:rFonts w:cs="Arial"/>
          <w:szCs w:val="20"/>
          <w:lang w:val="sl-SI"/>
        </w:rPr>
        <w:t>je</w:t>
      </w:r>
      <w:r w:rsidR="003F1F7B" w:rsidRPr="003F1F7B">
        <w:rPr>
          <w:rFonts w:cs="Arial"/>
          <w:szCs w:val="20"/>
          <w:lang w:val="sl-SI"/>
        </w:rPr>
        <w:t xml:space="preserve"> določen v </w:t>
      </w:r>
      <w:r>
        <w:rPr>
          <w:rFonts w:cs="Arial"/>
          <w:szCs w:val="20"/>
          <w:lang w:val="sl-SI"/>
        </w:rPr>
        <w:t xml:space="preserve">prvem odstavku </w:t>
      </w:r>
      <w:r w:rsidR="003F1F7B" w:rsidRPr="003F1F7B">
        <w:rPr>
          <w:rFonts w:cs="Arial"/>
          <w:szCs w:val="20"/>
          <w:lang w:val="sl-SI"/>
        </w:rPr>
        <w:t>1</w:t>
      </w:r>
      <w:r w:rsidR="00260F8A">
        <w:rPr>
          <w:rFonts w:cs="Arial"/>
          <w:szCs w:val="20"/>
          <w:lang w:val="sl-SI"/>
        </w:rPr>
        <w:t>2</w:t>
      </w:r>
      <w:r w:rsidR="003F1F7B" w:rsidRPr="003F1F7B">
        <w:rPr>
          <w:rFonts w:cs="Arial"/>
          <w:szCs w:val="20"/>
          <w:lang w:val="sl-SI"/>
        </w:rPr>
        <w:t>. člen</w:t>
      </w:r>
      <w:r>
        <w:rPr>
          <w:rFonts w:cs="Arial"/>
          <w:szCs w:val="20"/>
          <w:lang w:val="sl-SI"/>
        </w:rPr>
        <w:t>a</w:t>
      </w:r>
      <w:r w:rsidR="003F1F7B">
        <w:rPr>
          <w:rFonts w:cs="Arial"/>
          <w:szCs w:val="20"/>
          <w:lang w:val="sl-SI"/>
        </w:rPr>
        <w:t xml:space="preserve"> u</w:t>
      </w:r>
      <w:r w:rsidR="003F1F7B" w:rsidRPr="003F1F7B">
        <w:rPr>
          <w:rFonts w:cs="Arial"/>
          <w:szCs w:val="20"/>
          <w:lang w:val="sl-SI"/>
        </w:rPr>
        <w:t>redbe</w:t>
      </w:r>
      <w:r w:rsidR="00261AF3">
        <w:rPr>
          <w:rFonts w:cs="Arial"/>
          <w:szCs w:val="20"/>
          <w:lang w:val="sl-SI"/>
        </w:rPr>
        <w:t xml:space="preserve"> </w:t>
      </w:r>
      <w:r w:rsidR="00261AF3" w:rsidRPr="003F1F7B">
        <w:rPr>
          <w:rFonts w:cs="Arial"/>
          <w:szCs w:val="20"/>
          <w:lang w:val="sl-SI"/>
        </w:rPr>
        <w:t>o izvajanju intervencij s področja zemljiških operacij</w:t>
      </w:r>
      <w:r w:rsidR="003F1F7B" w:rsidRPr="003F1F7B">
        <w:rPr>
          <w:rFonts w:cs="Arial"/>
          <w:szCs w:val="20"/>
          <w:lang w:val="sl-SI"/>
        </w:rPr>
        <w:t>.</w:t>
      </w:r>
    </w:p>
    <w:p w14:paraId="5CB47A16" w14:textId="64ACD6C1" w:rsidR="0009537C" w:rsidRDefault="00B26CD0" w:rsidP="00407992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lastRenderedPageBreak/>
        <w:t>(2) U</w:t>
      </w:r>
      <w:r w:rsidRPr="003F1F7B">
        <w:rPr>
          <w:rFonts w:cs="Arial"/>
          <w:szCs w:val="20"/>
          <w:lang w:val="sl-SI"/>
        </w:rPr>
        <w:t xml:space="preserve">pravičenec </w:t>
      </w:r>
      <w:r>
        <w:rPr>
          <w:rFonts w:cs="Arial"/>
          <w:szCs w:val="20"/>
          <w:lang w:val="sl-SI"/>
        </w:rPr>
        <w:t>je</w:t>
      </w:r>
      <w:r w:rsidRPr="003F1F7B">
        <w:rPr>
          <w:rFonts w:cs="Arial"/>
          <w:szCs w:val="20"/>
          <w:lang w:val="sl-SI"/>
        </w:rPr>
        <w:t xml:space="preserve"> določen v </w:t>
      </w:r>
      <w:r>
        <w:rPr>
          <w:rFonts w:cs="Arial"/>
          <w:szCs w:val="20"/>
          <w:lang w:val="sl-SI"/>
        </w:rPr>
        <w:t xml:space="preserve">drugem odstavku </w:t>
      </w:r>
      <w:r w:rsidRPr="003F1F7B">
        <w:rPr>
          <w:rFonts w:cs="Arial"/>
          <w:szCs w:val="20"/>
          <w:lang w:val="sl-SI"/>
        </w:rPr>
        <w:t>1</w:t>
      </w:r>
      <w:r w:rsidR="00260F8A">
        <w:rPr>
          <w:rFonts w:cs="Arial"/>
          <w:szCs w:val="20"/>
          <w:lang w:val="sl-SI"/>
        </w:rPr>
        <w:t>2</w:t>
      </w:r>
      <w:r w:rsidRPr="003F1F7B">
        <w:rPr>
          <w:rFonts w:cs="Arial"/>
          <w:szCs w:val="20"/>
          <w:lang w:val="sl-SI"/>
        </w:rPr>
        <w:t>. člen</w:t>
      </w:r>
      <w:r>
        <w:rPr>
          <w:rFonts w:cs="Arial"/>
          <w:szCs w:val="20"/>
          <w:lang w:val="sl-SI"/>
        </w:rPr>
        <w:t>a u</w:t>
      </w:r>
      <w:r w:rsidRPr="003F1F7B">
        <w:rPr>
          <w:rFonts w:cs="Arial"/>
          <w:szCs w:val="20"/>
          <w:lang w:val="sl-SI"/>
        </w:rPr>
        <w:t>redbe</w:t>
      </w:r>
      <w:r>
        <w:rPr>
          <w:rFonts w:cs="Arial"/>
          <w:szCs w:val="20"/>
          <w:lang w:val="sl-SI"/>
        </w:rPr>
        <w:t xml:space="preserve"> </w:t>
      </w:r>
      <w:r w:rsidRPr="003F1F7B">
        <w:rPr>
          <w:rFonts w:cs="Arial"/>
          <w:szCs w:val="20"/>
          <w:lang w:val="sl-SI"/>
        </w:rPr>
        <w:t>o izvajanju intervencij s področja zemljiških operacij.</w:t>
      </w:r>
    </w:p>
    <w:p w14:paraId="3A004087" w14:textId="77777777" w:rsidR="00407992" w:rsidRPr="00407992" w:rsidRDefault="00407992" w:rsidP="00407992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cs="Arial"/>
          <w:szCs w:val="20"/>
          <w:lang w:val="sl-SI"/>
        </w:rPr>
      </w:pPr>
    </w:p>
    <w:p w14:paraId="1847611E" w14:textId="3DF4357B" w:rsidR="003F1F7B" w:rsidRPr="003F1F7B" w:rsidRDefault="003F1F7B" w:rsidP="003F1F7B">
      <w:pPr>
        <w:pStyle w:val="Golobesedilo"/>
        <w:spacing w:line="260" w:lineRule="atLeast"/>
        <w:rPr>
          <w:rFonts w:ascii="Arial" w:hAnsi="Arial" w:cs="Arial"/>
          <w:b/>
          <w:lang w:val="sl-SI"/>
        </w:rPr>
      </w:pPr>
      <w:r w:rsidRPr="003F1F7B">
        <w:rPr>
          <w:rFonts w:ascii="Arial" w:hAnsi="Arial" w:cs="Arial"/>
          <w:b/>
          <w:lang w:val="sl-SI"/>
        </w:rPr>
        <w:t xml:space="preserve">4. POGOJI </w:t>
      </w:r>
      <w:r w:rsidR="00AD3C8C">
        <w:rPr>
          <w:rFonts w:ascii="Arial" w:hAnsi="Arial" w:cs="Arial"/>
          <w:b/>
          <w:lang w:val="sl-SI"/>
        </w:rPr>
        <w:t>ZA DODELITEV PODPORE</w:t>
      </w:r>
    </w:p>
    <w:p w14:paraId="05657D2A" w14:textId="77777777" w:rsidR="003F1F7B" w:rsidRPr="003F1F7B" w:rsidRDefault="003F1F7B" w:rsidP="003F1F7B">
      <w:pPr>
        <w:pStyle w:val="Golobesedilo"/>
        <w:spacing w:line="260" w:lineRule="atLeast"/>
        <w:rPr>
          <w:rFonts w:ascii="Arial" w:hAnsi="Arial" w:cs="Arial"/>
          <w:lang w:val="sl-SI"/>
        </w:rPr>
      </w:pPr>
    </w:p>
    <w:p w14:paraId="09D28018" w14:textId="1554EE5C" w:rsidR="008F1023" w:rsidRDefault="00721805" w:rsidP="004A68E3">
      <w:pPr>
        <w:pStyle w:val="Golobesedilo"/>
        <w:spacing w:after="120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(1)</w:t>
      </w:r>
      <w:r w:rsidR="003F1F7B">
        <w:rPr>
          <w:rFonts w:ascii="Arial" w:hAnsi="Arial" w:cs="Arial"/>
          <w:lang w:val="sl-SI"/>
        </w:rPr>
        <w:t xml:space="preserve"> </w:t>
      </w:r>
      <w:r w:rsidR="00920645" w:rsidRPr="00920645">
        <w:rPr>
          <w:rFonts w:ascii="Arial" w:hAnsi="Arial" w:cs="Arial"/>
          <w:lang w:val="sl-SI"/>
        </w:rPr>
        <w:t>Vlagatelj mora ob</w:t>
      </w:r>
      <w:r w:rsidR="007250C8">
        <w:rPr>
          <w:rFonts w:ascii="Arial" w:hAnsi="Arial" w:cs="Arial"/>
          <w:lang w:val="sl-SI"/>
        </w:rPr>
        <w:t xml:space="preserve"> vložitvi vloge na javni razpis </w:t>
      </w:r>
      <w:r w:rsidR="00920645" w:rsidRPr="00920645">
        <w:rPr>
          <w:rFonts w:ascii="Arial" w:hAnsi="Arial" w:cs="Arial"/>
          <w:lang w:val="sl-SI"/>
        </w:rPr>
        <w:t>izpolnjevati pogoje iz 9.</w:t>
      </w:r>
      <w:r w:rsidR="007250C8">
        <w:rPr>
          <w:rFonts w:ascii="Arial" w:hAnsi="Arial" w:cs="Arial"/>
          <w:lang w:val="sl-SI"/>
        </w:rPr>
        <w:t xml:space="preserve"> in 11.</w:t>
      </w:r>
      <w:r w:rsidR="00920645" w:rsidRPr="00920645">
        <w:rPr>
          <w:rFonts w:ascii="Arial" w:hAnsi="Arial" w:cs="Arial"/>
          <w:lang w:val="sl-SI"/>
        </w:rPr>
        <w:t xml:space="preserve"> člena</w:t>
      </w:r>
      <w:r w:rsidR="00CD6FF3">
        <w:rPr>
          <w:rFonts w:ascii="Arial" w:hAnsi="Arial" w:cs="Arial"/>
          <w:lang w:val="sl-SI"/>
        </w:rPr>
        <w:t xml:space="preserve"> </w:t>
      </w:r>
      <w:r w:rsidR="00920645" w:rsidRPr="00920645">
        <w:rPr>
          <w:rFonts w:ascii="Arial" w:hAnsi="Arial" w:cs="Arial"/>
          <w:lang w:val="sl-SI"/>
        </w:rPr>
        <w:t>uredbe o skupnih</w:t>
      </w:r>
      <w:r w:rsidR="007250C8">
        <w:rPr>
          <w:rFonts w:ascii="Arial" w:hAnsi="Arial" w:cs="Arial"/>
          <w:lang w:val="sl-SI"/>
        </w:rPr>
        <w:t xml:space="preserve"> </w:t>
      </w:r>
      <w:r w:rsidR="00920645" w:rsidRPr="00920645">
        <w:rPr>
          <w:rFonts w:ascii="Arial" w:hAnsi="Arial" w:cs="Arial"/>
          <w:lang w:val="sl-SI"/>
        </w:rPr>
        <w:t>določbah za izvajanje intervencij</w:t>
      </w:r>
      <w:r w:rsidR="004A68E3">
        <w:rPr>
          <w:rFonts w:ascii="Arial" w:hAnsi="Arial" w:cs="Arial"/>
          <w:lang w:val="sl-SI"/>
        </w:rPr>
        <w:t xml:space="preserve">. </w:t>
      </w:r>
    </w:p>
    <w:p w14:paraId="76CEA7A9" w14:textId="4498DBC1" w:rsidR="003F1F7B" w:rsidRDefault="00901F10" w:rsidP="001B6C01">
      <w:pPr>
        <w:pStyle w:val="Golobesedilo"/>
        <w:spacing w:after="120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(</w:t>
      </w:r>
      <w:r w:rsidR="00922952">
        <w:rPr>
          <w:rFonts w:ascii="Arial" w:hAnsi="Arial" w:cs="Arial"/>
          <w:lang w:val="sl-SI"/>
        </w:rPr>
        <w:t>2</w:t>
      </w:r>
      <w:r>
        <w:rPr>
          <w:rFonts w:ascii="Arial" w:hAnsi="Arial" w:cs="Arial"/>
          <w:lang w:val="sl-SI"/>
        </w:rPr>
        <w:t xml:space="preserve">) </w:t>
      </w:r>
      <w:r w:rsidRPr="00901F10">
        <w:rPr>
          <w:rFonts w:ascii="Arial" w:hAnsi="Arial" w:cs="Arial"/>
          <w:lang w:val="sl-SI"/>
        </w:rPr>
        <w:t>Poleg pogojev i</w:t>
      </w:r>
      <w:r>
        <w:rPr>
          <w:rFonts w:ascii="Arial" w:hAnsi="Arial" w:cs="Arial"/>
          <w:lang w:val="sl-SI"/>
        </w:rPr>
        <w:t xml:space="preserve">z </w:t>
      </w:r>
      <w:r w:rsidR="00D25B25">
        <w:rPr>
          <w:rFonts w:ascii="Arial" w:hAnsi="Arial" w:cs="Arial"/>
          <w:lang w:val="sl-SI"/>
        </w:rPr>
        <w:t>pr</w:t>
      </w:r>
      <w:r w:rsidR="00922952">
        <w:rPr>
          <w:rFonts w:ascii="Arial" w:hAnsi="Arial" w:cs="Arial"/>
          <w:lang w:val="sl-SI"/>
        </w:rPr>
        <w:t>ejšnje</w:t>
      </w:r>
      <w:r w:rsidR="00D25B25">
        <w:rPr>
          <w:rFonts w:ascii="Arial" w:hAnsi="Arial" w:cs="Arial"/>
          <w:lang w:val="sl-SI"/>
        </w:rPr>
        <w:t xml:space="preserve"> </w:t>
      </w:r>
      <w:r w:rsidR="00042310">
        <w:rPr>
          <w:rFonts w:ascii="Arial" w:hAnsi="Arial" w:cs="Arial"/>
          <w:lang w:val="sl-SI"/>
        </w:rPr>
        <w:t>točke tega poglavja</w:t>
      </w:r>
      <w:r>
        <w:rPr>
          <w:rFonts w:ascii="Arial" w:hAnsi="Arial" w:cs="Arial"/>
          <w:lang w:val="sl-SI"/>
        </w:rPr>
        <w:t xml:space="preserve"> mora vlagatelj </w:t>
      </w:r>
      <w:r w:rsidRPr="00901F10">
        <w:rPr>
          <w:rFonts w:ascii="Arial" w:hAnsi="Arial" w:cs="Arial"/>
          <w:lang w:val="sl-SI"/>
        </w:rPr>
        <w:t xml:space="preserve">ob vložitvi vloge na javni </w:t>
      </w:r>
      <w:r>
        <w:rPr>
          <w:rFonts w:ascii="Arial" w:hAnsi="Arial" w:cs="Arial"/>
          <w:lang w:val="sl-SI"/>
        </w:rPr>
        <w:t xml:space="preserve">razpis izpolnjevati tudi pogoje iz </w:t>
      </w:r>
      <w:r w:rsidR="008A4840">
        <w:rPr>
          <w:rFonts w:ascii="Arial" w:hAnsi="Arial" w:cs="Arial"/>
          <w:lang w:val="sl-SI"/>
        </w:rPr>
        <w:t>15</w:t>
      </w:r>
      <w:r w:rsidR="003F1F7B">
        <w:rPr>
          <w:rFonts w:ascii="Arial" w:hAnsi="Arial" w:cs="Arial"/>
          <w:lang w:val="sl-SI"/>
        </w:rPr>
        <w:t>. člena uredbe</w:t>
      </w:r>
      <w:r w:rsidR="00261AF3" w:rsidRPr="00194120">
        <w:rPr>
          <w:rFonts w:ascii="Arial" w:hAnsi="Arial" w:cs="Arial"/>
          <w:lang w:val="sl-SI"/>
        </w:rPr>
        <w:t xml:space="preserve"> </w:t>
      </w:r>
      <w:r w:rsidR="00261AF3" w:rsidRPr="00261AF3">
        <w:rPr>
          <w:rFonts w:ascii="Arial" w:hAnsi="Arial" w:cs="Arial"/>
          <w:lang w:val="sl-SI"/>
        </w:rPr>
        <w:t>o izvajanju intervencij s področja zemljiških operacij</w:t>
      </w:r>
      <w:r w:rsidR="007F05CF">
        <w:rPr>
          <w:rFonts w:ascii="Arial" w:hAnsi="Arial" w:cs="Arial"/>
          <w:lang w:val="sl-SI"/>
        </w:rPr>
        <w:t>.</w:t>
      </w:r>
    </w:p>
    <w:p w14:paraId="3CBCF39F" w14:textId="77777777" w:rsidR="0000576F" w:rsidRDefault="0000576F" w:rsidP="003F1F7B">
      <w:pPr>
        <w:pStyle w:val="Golobesedilo"/>
        <w:spacing w:line="260" w:lineRule="atLeast"/>
        <w:rPr>
          <w:rFonts w:ascii="Arial" w:hAnsi="Arial" w:cs="Arial"/>
          <w:b/>
          <w:lang w:val="sl-SI"/>
        </w:rPr>
      </w:pPr>
    </w:p>
    <w:p w14:paraId="1D139CD2" w14:textId="12BC85FF" w:rsidR="003F1F7B" w:rsidRPr="003F1F7B" w:rsidRDefault="003F1F7B" w:rsidP="003F1F7B">
      <w:pPr>
        <w:pStyle w:val="Golobesedilo"/>
        <w:spacing w:line="260" w:lineRule="atLeast"/>
        <w:rPr>
          <w:rFonts w:ascii="Arial" w:hAnsi="Arial" w:cs="Arial"/>
          <w:b/>
          <w:lang w:val="sl-SI"/>
        </w:rPr>
      </w:pPr>
      <w:r w:rsidRPr="003F1F7B">
        <w:rPr>
          <w:rFonts w:ascii="Arial" w:hAnsi="Arial" w:cs="Arial"/>
          <w:b/>
          <w:lang w:val="sl-SI"/>
        </w:rPr>
        <w:t>5. UPRAVIČENI IN NEUPRAVIČENI STROŠKI</w:t>
      </w:r>
    </w:p>
    <w:p w14:paraId="1473F1FE" w14:textId="77777777" w:rsidR="003F1F7B" w:rsidRPr="003F1F7B" w:rsidRDefault="003F1F7B" w:rsidP="003F1F7B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45E33966" w14:textId="66F76BB0" w:rsidR="00313B62" w:rsidRDefault="00721805" w:rsidP="00313B62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(</w:t>
      </w:r>
      <w:r w:rsidR="00313B62" w:rsidRPr="00313B62">
        <w:rPr>
          <w:rFonts w:ascii="Arial" w:hAnsi="Arial" w:cs="Arial"/>
          <w:lang w:val="sl-SI"/>
        </w:rPr>
        <w:t>1</w:t>
      </w:r>
      <w:r>
        <w:rPr>
          <w:rFonts w:ascii="Arial" w:hAnsi="Arial" w:cs="Arial"/>
          <w:lang w:val="sl-SI"/>
        </w:rPr>
        <w:t>)</w:t>
      </w:r>
      <w:r w:rsidR="00313B62">
        <w:rPr>
          <w:rFonts w:ascii="Arial" w:hAnsi="Arial" w:cs="Arial"/>
          <w:lang w:val="sl-SI"/>
        </w:rPr>
        <w:t xml:space="preserve"> </w:t>
      </w:r>
      <w:r w:rsidR="003F1F7B" w:rsidRPr="003F1F7B">
        <w:rPr>
          <w:rFonts w:ascii="Arial" w:hAnsi="Arial" w:cs="Arial"/>
          <w:lang w:val="sl-SI"/>
        </w:rPr>
        <w:t xml:space="preserve">Upravičeni stroški so določeni v </w:t>
      </w:r>
      <w:r w:rsidR="006A6EF9">
        <w:rPr>
          <w:rFonts w:ascii="Arial" w:hAnsi="Arial" w:cs="Arial"/>
          <w:lang w:val="sl-SI"/>
        </w:rPr>
        <w:t>13</w:t>
      </w:r>
      <w:r w:rsidR="003F1F7B" w:rsidRPr="003F1F7B">
        <w:rPr>
          <w:rFonts w:ascii="Arial" w:hAnsi="Arial" w:cs="Arial"/>
          <w:lang w:val="sl-SI"/>
        </w:rPr>
        <w:t xml:space="preserve">. </w:t>
      </w:r>
      <w:r w:rsidR="000F721F">
        <w:rPr>
          <w:rFonts w:ascii="Arial" w:hAnsi="Arial" w:cs="Arial"/>
          <w:lang w:val="sl-SI"/>
        </w:rPr>
        <w:t xml:space="preserve">in 58. </w:t>
      </w:r>
      <w:r w:rsidR="003F1F7B" w:rsidRPr="003F1F7B">
        <w:rPr>
          <w:rFonts w:ascii="Arial" w:hAnsi="Arial" w:cs="Arial"/>
          <w:lang w:val="sl-SI"/>
        </w:rPr>
        <w:t xml:space="preserve">členu </w:t>
      </w:r>
      <w:r w:rsidR="00F631BD">
        <w:rPr>
          <w:rFonts w:ascii="Arial" w:hAnsi="Arial" w:cs="Arial"/>
          <w:lang w:val="sl-SI"/>
        </w:rPr>
        <w:t>u</w:t>
      </w:r>
      <w:r w:rsidR="003F1F7B" w:rsidRPr="003F1F7B">
        <w:rPr>
          <w:rFonts w:ascii="Arial" w:hAnsi="Arial" w:cs="Arial"/>
          <w:lang w:val="sl-SI"/>
        </w:rPr>
        <w:t>redbe</w:t>
      </w:r>
      <w:r w:rsidR="006A6EF9">
        <w:rPr>
          <w:rFonts w:ascii="Arial" w:hAnsi="Arial" w:cs="Arial"/>
          <w:lang w:val="sl-SI"/>
        </w:rPr>
        <w:t xml:space="preserve"> o </w:t>
      </w:r>
      <w:r w:rsidR="00261AF3" w:rsidRPr="00261AF3">
        <w:rPr>
          <w:rFonts w:ascii="Arial" w:hAnsi="Arial" w:cs="Arial"/>
          <w:lang w:val="sl-SI"/>
        </w:rPr>
        <w:t>izvajanju intervencij s področja zemljiških operacij</w:t>
      </w:r>
      <w:r w:rsidR="000F721F">
        <w:rPr>
          <w:rFonts w:ascii="Arial" w:hAnsi="Arial" w:cs="Arial"/>
          <w:lang w:val="sl-SI"/>
        </w:rPr>
        <w:t xml:space="preserve"> in v 20. členu uredbe</w:t>
      </w:r>
      <w:r w:rsidR="000F721F" w:rsidRPr="005B3E96">
        <w:rPr>
          <w:rFonts w:ascii="Arial" w:hAnsi="Arial" w:cs="Arial"/>
          <w:lang w:val="sl-SI"/>
        </w:rPr>
        <w:t xml:space="preserve"> o skupnih določbah za izvajanje intervencij</w:t>
      </w:r>
      <w:r w:rsidR="003F1F7B" w:rsidRPr="003F1F7B">
        <w:rPr>
          <w:rFonts w:ascii="Arial" w:hAnsi="Arial" w:cs="Arial"/>
          <w:lang w:val="sl-SI"/>
        </w:rPr>
        <w:t xml:space="preserve">. </w:t>
      </w:r>
      <w:r w:rsidR="00313B62">
        <w:rPr>
          <w:rFonts w:ascii="Arial" w:hAnsi="Arial" w:cs="Arial"/>
          <w:lang w:val="sl-SI"/>
        </w:rPr>
        <w:t xml:space="preserve">Določitev višine upravičenih stroškov je </w:t>
      </w:r>
      <w:r w:rsidR="000F721F">
        <w:rPr>
          <w:rFonts w:ascii="Arial" w:hAnsi="Arial" w:cs="Arial"/>
          <w:lang w:val="sl-SI"/>
        </w:rPr>
        <w:t xml:space="preserve">določena </w:t>
      </w:r>
      <w:r w:rsidR="00313B62">
        <w:rPr>
          <w:rFonts w:ascii="Arial" w:hAnsi="Arial" w:cs="Arial"/>
          <w:lang w:val="sl-SI"/>
        </w:rPr>
        <w:t xml:space="preserve">v </w:t>
      </w:r>
      <w:r w:rsidR="008F1023">
        <w:rPr>
          <w:rFonts w:ascii="Arial" w:hAnsi="Arial" w:cs="Arial"/>
          <w:lang w:val="sl-SI"/>
        </w:rPr>
        <w:t xml:space="preserve">prvem do tretjem in sedmem odstavku </w:t>
      </w:r>
      <w:r w:rsidR="00313B62">
        <w:rPr>
          <w:rFonts w:ascii="Arial" w:hAnsi="Arial" w:cs="Arial"/>
          <w:lang w:val="sl-SI"/>
        </w:rPr>
        <w:t>19. člen</w:t>
      </w:r>
      <w:r w:rsidR="008F1023">
        <w:rPr>
          <w:rFonts w:ascii="Arial" w:hAnsi="Arial" w:cs="Arial"/>
          <w:lang w:val="sl-SI"/>
        </w:rPr>
        <w:t>a</w:t>
      </w:r>
      <w:r w:rsidR="00313B62">
        <w:rPr>
          <w:rFonts w:ascii="Arial" w:hAnsi="Arial" w:cs="Arial"/>
          <w:lang w:val="sl-SI"/>
        </w:rPr>
        <w:t xml:space="preserve"> </w:t>
      </w:r>
      <w:r w:rsidR="005B3E96">
        <w:rPr>
          <w:rFonts w:ascii="Arial" w:hAnsi="Arial" w:cs="Arial"/>
          <w:lang w:val="sl-SI"/>
        </w:rPr>
        <w:t>uredbe</w:t>
      </w:r>
      <w:r w:rsidR="005B3E96" w:rsidRPr="005B3E96">
        <w:rPr>
          <w:rFonts w:ascii="Arial" w:hAnsi="Arial" w:cs="Arial"/>
          <w:lang w:val="sl-SI"/>
        </w:rPr>
        <w:t xml:space="preserve"> o skupnih določbah za izvajanje intervencij</w:t>
      </w:r>
      <w:r w:rsidR="00313B62">
        <w:rPr>
          <w:rFonts w:ascii="Arial" w:hAnsi="Arial" w:cs="Arial"/>
          <w:lang w:val="sl-SI"/>
        </w:rPr>
        <w:t>.</w:t>
      </w:r>
    </w:p>
    <w:p w14:paraId="2121F342" w14:textId="77777777" w:rsidR="000F7FFB" w:rsidRDefault="000F7FFB" w:rsidP="00313B62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317D4555" w14:textId="77777777" w:rsidR="00713E81" w:rsidRDefault="00713E81" w:rsidP="00713E81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(2)</w:t>
      </w:r>
      <w:r w:rsidRPr="003F1F7B">
        <w:rPr>
          <w:rFonts w:ascii="Arial" w:hAnsi="Arial" w:cs="Arial"/>
          <w:lang w:val="sl-SI"/>
        </w:rPr>
        <w:t xml:space="preserve"> </w:t>
      </w:r>
      <w:r w:rsidRPr="000751CC">
        <w:rPr>
          <w:rFonts w:ascii="Arial" w:hAnsi="Arial" w:cs="Arial"/>
          <w:lang w:val="sl-SI"/>
        </w:rPr>
        <w:t>Upravičeni stroški so določeni v Pravilniku o katalogu stroškov in njihovih vrednostih na enoto (Uradni list RS, št. 34/24).</w:t>
      </w:r>
      <w:r>
        <w:rPr>
          <w:rFonts w:ascii="Arial" w:hAnsi="Arial" w:cs="Arial"/>
          <w:lang w:val="sl-SI"/>
        </w:rPr>
        <w:t xml:space="preserve"> </w:t>
      </w:r>
    </w:p>
    <w:p w14:paraId="391DC503" w14:textId="77777777" w:rsidR="00DF2590" w:rsidRDefault="00DF2590" w:rsidP="00DF2590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461BDE74" w14:textId="7648EA34" w:rsidR="00DF2590" w:rsidRPr="003F1F7B" w:rsidRDefault="00721805" w:rsidP="00DF2590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(</w:t>
      </w:r>
      <w:r w:rsidR="00313B62">
        <w:rPr>
          <w:rFonts w:ascii="Arial" w:hAnsi="Arial" w:cs="Arial"/>
          <w:lang w:val="sl-SI"/>
        </w:rPr>
        <w:t>3</w:t>
      </w:r>
      <w:r>
        <w:rPr>
          <w:rFonts w:ascii="Arial" w:hAnsi="Arial" w:cs="Arial"/>
          <w:lang w:val="sl-SI"/>
        </w:rPr>
        <w:t xml:space="preserve">) </w:t>
      </w:r>
      <w:r w:rsidR="000F7FFB" w:rsidRPr="003F1F7B">
        <w:rPr>
          <w:rFonts w:ascii="Arial" w:hAnsi="Arial" w:cs="Arial"/>
          <w:lang w:val="sl-SI"/>
        </w:rPr>
        <w:t xml:space="preserve">Za uveljavljanje splošnih stroškov iz </w:t>
      </w:r>
      <w:r w:rsidR="000F7FFB">
        <w:rPr>
          <w:rFonts w:ascii="Arial" w:hAnsi="Arial" w:cs="Arial"/>
          <w:lang w:val="sl-SI"/>
        </w:rPr>
        <w:t>20</w:t>
      </w:r>
      <w:r w:rsidR="000F7FFB" w:rsidRPr="003F1F7B">
        <w:rPr>
          <w:rFonts w:ascii="Arial" w:hAnsi="Arial" w:cs="Arial"/>
          <w:lang w:val="sl-SI"/>
        </w:rPr>
        <w:t xml:space="preserve">. člena </w:t>
      </w:r>
      <w:r w:rsidR="000F7FFB">
        <w:rPr>
          <w:rFonts w:ascii="Arial" w:hAnsi="Arial" w:cs="Arial"/>
          <w:lang w:val="sl-SI"/>
        </w:rPr>
        <w:t>uredbe</w:t>
      </w:r>
      <w:r w:rsidR="000F7FFB" w:rsidRPr="005B3E96">
        <w:rPr>
          <w:rFonts w:ascii="Arial" w:hAnsi="Arial" w:cs="Arial"/>
          <w:lang w:val="sl-SI"/>
        </w:rPr>
        <w:t xml:space="preserve"> o skupnih določbah za izvajanje intervencij </w:t>
      </w:r>
      <w:r w:rsidR="00262AB7">
        <w:rPr>
          <w:rFonts w:ascii="Arial" w:hAnsi="Arial" w:cs="Arial"/>
          <w:lang w:val="sl-SI"/>
        </w:rPr>
        <w:t>vlagatelj</w:t>
      </w:r>
      <w:r w:rsidR="00262AB7" w:rsidRPr="003F1F7B">
        <w:rPr>
          <w:rFonts w:ascii="Arial" w:hAnsi="Arial" w:cs="Arial"/>
          <w:lang w:val="sl-SI"/>
        </w:rPr>
        <w:t xml:space="preserve"> </w:t>
      </w:r>
      <w:r w:rsidR="00DA60C4">
        <w:rPr>
          <w:rFonts w:ascii="Arial" w:hAnsi="Arial" w:cs="Arial"/>
          <w:lang w:val="sl-SI"/>
        </w:rPr>
        <w:t>zahtevku za izplačilo</w:t>
      </w:r>
      <w:r w:rsidR="000F7FFB" w:rsidRPr="003F1F7B">
        <w:rPr>
          <w:rFonts w:ascii="Arial" w:hAnsi="Arial" w:cs="Arial"/>
          <w:lang w:val="sl-SI"/>
        </w:rPr>
        <w:t xml:space="preserve"> priloži račune</w:t>
      </w:r>
      <w:r w:rsidR="00262AB7">
        <w:rPr>
          <w:rFonts w:ascii="Arial" w:hAnsi="Arial" w:cs="Arial"/>
          <w:lang w:val="sl-SI"/>
        </w:rPr>
        <w:t xml:space="preserve">, </w:t>
      </w:r>
      <w:r w:rsidR="000F7FFB" w:rsidRPr="003F1F7B">
        <w:rPr>
          <w:rFonts w:ascii="Arial" w:hAnsi="Arial" w:cs="Arial"/>
          <w:lang w:val="sl-SI"/>
        </w:rPr>
        <w:t>predračune</w:t>
      </w:r>
      <w:r w:rsidR="00262AB7">
        <w:rPr>
          <w:rFonts w:ascii="Arial" w:hAnsi="Arial" w:cs="Arial"/>
          <w:lang w:val="sl-SI"/>
        </w:rPr>
        <w:t>, ponudbe ali projektantsk</w:t>
      </w:r>
      <w:r w:rsidR="00D436CA">
        <w:rPr>
          <w:rFonts w:ascii="Arial" w:hAnsi="Arial" w:cs="Arial"/>
          <w:lang w:val="sl-SI"/>
        </w:rPr>
        <w:t>e</w:t>
      </w:r>
      <w:r w:rsidR="00262AB7">
        <w:rPr>
          <w:rFonts w:ascii="Arial" w:hAnsi="Arial" w:cs="Arial"/>
          <w:lang w:val="sl-SI"/>
        </w:rPr>
        <w:t xml:space="preserve"> predračun</w:t>
      </w:r>
      <w:r w:rsidR="00D436CA">
        <w:rPr>
          <w:rFonts w:ascii="Arial" w:hAnsi="Arial" w:cs="Arial"/>
          <w:lang w:val="sl-SI"/>
        </w:rPr>
        <w:t>e</w:t>
      </w:r>
      <w:r w:rsidR="000F7FFB" w:rsidRPr="003F1F7B">
        <w:rPr>
          <w:rFonts w:ascii="Arial" w:hAnsi="Arial" w:cs="Arial"/>
          <w:lang w:val="sl-SI" w:eastAsia="sl-SI"/>
        </w:rPr>
        <w:t>.</w:t>
      </w:r>
      <w:r w:rsidR="000F7FFB">
        <w:rPr>
          <w:rFonts w:ascii="Arial" w:hAnsi="Arial" w:cs="Arial"/>
          <w:lang w:val="sl-SI" w:eastAsia="sl-SI"/>
        </w:rPr>
        <w:t xml:space="preserve"> </w:t>
      </w:r>
      <w:r w:rsidR="00DF2590">
        <w:rPr>
          <w:rFonts w:ascii="Arial" w:hAnsi="Arial" w:cs="Arial"/>
          <w:lang w:val="sl-SI"/>
        </w:rPr>
        <w:t xml:space="preserve">Višina splošnih stroškov je </w:t>
      </w:r>
      <w:r w:rsidR="00BD4B40">
        <w:rPr>
          <w:rFonts w:ascii="Arial" w:hAnsi="Arial" w:cs="Arial"/>
          <w:lang w:val="sl-SI"/>
        </w:rPr>
        <w:t xml:space="preserve">določena </w:t>
      </w:r>
      <w:r w:rsidR="00DF2590">
        <w:rPr>
          <w:rFonts w:ascii="Arial" w:hAnsi="Arial" w:cs="Arial"/>
          <w:lang w:val="sl-SI"/>
        </w:rPr>
        <w:t xml:space="preserve">v 58. členu uredbe </w:t>
      </w:r>
      <w:r w:rsidR="00261AF3" w:rsidRPr="00261AF3">
        <w:rPr>
          <w:rFonts w:ascii="Arial" w:hAnsi="Arial" w:cs="Arial"/>
          <w:lang w:val="sl-SI"/>
        </w:rPr>
        <w:t>o izvajanju intervencij s področja zemljiških operacij</w:t>
      </w:r>
      <w:r w:rsidR="00DF2590">
        <w:rPr>
          <w:rFonts w:ascii="Arial" w:hAnsi="Arial" w:cs="Arial"/>
          <w:lang w:val="sl-SI"/>
        </w:rPr>
        <w:t>.</w:t>
      </w:r>
    </w:p>
    <w:p w14:paraId="3631E43A" w14:textId="77777777" w:rsidR="003F1F7B" w:rsidRPr="003F1F7B" w:rsidRDefault="003F1F7B" w:rsidP="003F1F7B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330D67FA" w14:textId="465B46B6" w:rsidR="003F1F7B" w:rsidRDefault="00721805" w:rsidP="003F1F7B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(</w:t>
      </w:r>
      <w:r w:rsidR="00313B62">
        <w:rPr>
          <w:rFonts w:ascii="Arial" w:hAnsi="Arial" w:cs="Arial"/>
          <w:lang w:val="sl-SI"/>
        </w:rPr>
        <w:t>4</w:t>
      </w:r>
      <w:r>
        <w:rPr>
          <w:rFonts w:ascii="Arial" w:hAnsi="Arial" w:cs="Arial"/>
          <w:lang w:val="sl-SI"/>
        </w:rPr>
        <w:t>)</w:t>
      </w:r>
      <w:r w:rsidR="003F1F7B" w:rsidRPr="003F1F7B">
        <w:rPr>
          <w:rFonts w:ascii="Arial" w:hAnsi="Arial" w:cs="Arial"/>
          <w:lang w:val="sl-SI"/>
        </w:rPr>
        <w:t xml:space="preserve"> </w:t>
      </w:r>
      <w:r w:rsidR="00420E96" w:rsidRPr="003F1F7B">
        <w:rPr>
          <w:rFonts w:ascii="Arial" w:hAnsi="Arial" w:cs="Arial"/>
          <w:lang w:val="sl-SI"/>
        </w:rPr>
        <w:t xml:space="preserve">Neupravičeni stroški so določeni v </w:t>
      </w:r>
      <w:r w:rsidR="006A6EF9">
        <w:rPr>
          <w:rFonts w:ascii="Arial" w:hAnsi="Arial" w:cs="Arial"/>
          <w:lang w:val="sl-SI"/>
        </w:rPr>
        <w:t>14</w:t>
      </w:r>
      <w:r w:rsidR="00420E96">
        <w:rPr>
          <w:rFonts w:ascii="Arial" w:hAnsi="Arial" w:cs="Arial"/>
          <w:lang w:val="sl-SI"/>
        </w:rPr>
        <w:t>. členu u</w:t>
      </w:r>
      <w:r w:rsidR="00420E96" w:rsidRPr="003F1F7B">
        <w:rPr>
          <w:rFonts w:ascii="Arial" w:hAnsi="Arial" w:cs="Arial"/>
          <w:lang w:val="sl-SI"/>
        </w:rPr>
        <w:t>redbe</w:t>
      </w:r>
      <w:r w:rsidR="006A6EF9">
        <w:rPr>
          <w:rFonts w:ascii="Arial" w:hAnsi="Arial" w:cs="Arial"/>
          <w:lang w:val="sl-SI"/>
        </w:rPr>
        <w:t xml:space="preserve"> o </w:t>
      </w:r>
      <w:r w:rsidR="00420E96" w:rsidRPr="00261AF3">
        <w:rPr>
          <w:rFonts w:ascii="Arial" w:hAnsi="Arial" w:cs="Arial"/>
          <w:lang w:val="sl-SI"/>
        </w:rPr>
        <w:t>izvajanju intervencij s področja zemljiških operacij</w:t>
      </w:r>
      <w:r w:rsidR="00420E96" w:rsidRPr="003F1F7B">
        <w:rPr>
          <w:rFonts w:ascii="Arial" w:hAnsi="Arial" w:cs="Arial"/>
          <w:lang w:val="sl-SI"/>
        </w:rPr>
        <w:t>.</w:t>
      </w:r>
    </w:p>
    <w:p w14:paraId="6A3E7915" w14:textId="77777777" w:rsidR="003F1F7B" w:rsidRDefault="003F1F7B" w:rsidP="001B6C01">
      <w:pPr>
        <w:rPr>
          <w:u w:val="single"/>
          <w:lang w:val="sl-SI"/>
        </w:rPr>
      </w:pPr>
    </w:p>
    <w:p w14:paraId="625472BE" w14:textId="77777777" w:rsidR="0000576F" w:rsidRPr="003F1F7B" w:rsidRDefault="0000576F" w:rsidP="001B6C01">
      <w:pPr>
        <w:rPr>
          <w:u w:val="single"/>
          <w:lang w:val="sl-SI"/>
        </w:rPr>
      </w:pPr>
    </w:p>
    <w:p w14:paraId="79B81462" w14:textId="77777777" w:rsidR="003F1F7B" w:rsidRPr="003F1F7B" w:rsidRDefault="003F1F7B" w:rsidP="003F1F7B">
      <w:pPr>
        <w:pStyle w:val="Golobesedilo"/>
        <w:spacing w:line="260" w:lineRule="atLeast"/>
        <w:rPr>
          <w:rFonts w:ascii="Arial" w:hAnsi="Arial" w:cs="Arial"/>
          <w:b/>
          <w:lang w:val="sl-SI"/>
        </w:rPr>
      </w:pPr>
      <w:r w:rsidRPr="003F1F7B">
        <w:rPr>
          <w:rFonts w:ascii="Arial" w:hAnsi="Arial" w:cs="Arial"/>
          <w:b/>
          <w:lang w:val="sl-SI"/>
        </w:rPr>
        <w:t xml:space="preserve">6. MERILA ZA OCENJEVANJE VLOG </w:t>
      </w:r>
    </w:p>
    <w:p w14:paraId="25F2FA2D" w14:textId="77777777" w:rsidR="003F1F7B" w:rsidRPr="003F1F7B" w:rsidRDefault="003F1F7B" w:rsidP="003F1F7B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75744C83" w14:textId="6CC69050" w:rsidR="003F1F7B" w:rsidRPr="003F1F7B" w:rsidRDefault="00721805" w:rsidP="004678A4">
      <w:pPr>
        <w:pStyle w:val="Golobesedil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(</w:t>
      </w:r>
      <w:r w:rsidR="003F1F7B" w:rsidRPr="003F1F7B">
        <w:rPr>
          <w:rFonts w:ascii="Arial" w:hAnsi="Arial" w:cs="Arial"/>
          <w:lang w:val="sl-SI"/>
        </w:rPr>
        <w:t>1</w:t>
      </w:r>
      <w:r>
        <w:rPr>
          <w:rFonts w:ascii="Arial" w:hAnsi="Arial" w:cs="Arial"/>
          <w:lang w:val="sl-SI"/>
        </w:rPr>
        <w:t>)</w:t>
      </w:r>
      <w:r w:rsidR="003F1F7B" w:rsidRPr="003F1F7B">
        <w:rPr>
          <w:rFonts w:ascii="Arial" w:hAnsi="Arial" w:cs="Arial"/>
          <w:lang w:val="sl-SI"/>
        </w:rPr>
        <w:t xml:space="preserve"> Merila za ocenjevanje vlog so določena v </w:t>
      </w:r>
      <w:r w:rsidR="006A6EF9">
        <w:rPr>
          <w:rFonts w:ascii="Arial" w:hAnsi="Arial" w:cs="Arial"/>
          <w:lang w:val="sl-SI"/>
        </w:rPr>
        <w:t>16</w:t>
      </w:r>
      <w:r w:rsidR="003F1F7B" w:rsidRPr="003F1F7B">
        <w:rPr>
          <w:rFonts w:ascii="Arial" w:hAnsi="Arial" w:cs="Arial"/>
          <w:lang w:val="sl-SI"/>
        </w:rPr>
        <w:t>. člen</w:t>
      </w:r>
      <w:r w:rsidR="001026B7">
        <w:rPr>
          <w:rFonts w:ascii="Arial" w:hAnsi="Arial" w:cs="Arial"/>
          <w:lang w:val="sl-SI"/>
        </w:rPr>
        <w:t>u</w:t>
      </w:r>
      <w:r w:rsidR="003F1F7B" w:rsidRPr="003F1F7B">
        <w:rPr>
          <w:rFonts w:ascii="Arial" w:hAnsi="Arial" w:cs="Arial"/>
          <w:lang w:val="sl-SI"/>
        </w:rPr>
        <w:t xml:space="preserve"> </w:t>
      </w:r>
      <w:r w:rsidR="004678A4">
        <w:rPr>
          <w:rFonts w:ascii="Arial" w:hAnsi="Arial" w:cs="Arial"/>
          <w:lang w:val="sl-SI"/>
        </w:rPr>
        <w:t>u</w:t>
      </w:r>
      <w:r w:rsidR="003F1F7B" w:rsidRPr="003F1F7B">
        <w:rPr>
          <w:rFonts w:ascii="Arial" w:hAnsi="Arial" w:cs="Arial"/>
          <w:lang w:val="sl-SI"/>
        </w:rPr>
        <w:t>redbe</w:t>
      </w:r>
      <w:r w:rsidR="00261AF3" w:rsidRPr="00261AF3">
        <w:t xml:space="preserve"> </w:t>
      </w:r>
      <w:r w:rsidR="00261AF3" w:rsidRPr="00261AF3">
        <w:rPr>
          <w:rFonts w:ascii="Arial" w:hAnsi="Arial" w:cs="Arial"/>
          <w:lang w:val="sl-SI"/>
        </w:rPr>
        <w:t xml:space="preserve">o izvajanju intervencij s področja zemljiških </w:t>
      </w:r>
      <w:r w:rsidR="00261AF3" w:rsidRPr="00420E96">
        <w:rPr>
          <w:rFonts w:ascii="Arial" w:hAnsi="Arial" w:cs="Arial"/>
          <w:lang w:val="sl-SI"/>
        </w:rPr>
        <w:t>operacij</w:t>
      </w:r>
      <w:r w:rsidR="00805644">
        <w:rPr>
          <w:rFonts w:ascii="Arial" w:hAnsi="Arial" w:cs="Arial"/>
          <w:lang w:val="sl-SI"/>
        </w:rPr>
        <w:t xml:space="preserve"> in</w:t>
      </w:r>
      <w:r w:rsidR="003F1F7B" w:rsidRPr="00420E96">
        <w:rPr>
          <w:rFonts w:ascii="Arial" w:hAnsi="Arial" w:cs="Arial"/>
          <w:lang w:val="sl-SI"/>
        </w:rPr>
        <w:t xml:space="preserve"> </w:t>
      </w:r>
      <w:hyperlink w:history="1"/>
      <w:r w:rsidR="001026B7">
        <w:rPr>
          <w:rFonts w:ascii="Arial" w:hAnsi="Arial" w:cs="Arial"/>
          <w:lang w:val="sl-SI"/>
        </w:rPr>
        <w:t xml:space="preserve">podrobneje </w:t>
      </w:r>
      <w:r w:rsidR="004701D5">
        <w:rPr>
          <w:rFonts w:ascii="Arial" w:hAnsi="Arial" w:cs="Arial"/>
          <w:lang w:val="sl-SI"/>
        </w:rPr>
        <w:t>opredeljena</w:t>
      </w:r>
      <w:r w:rsidR="001026B7">
        <w:rPr>
          <w:rFonts w:ascii="Arial" w:hAnsi="Arial" w:cs="Arial"/>
          <w:lang w:val="sl-SI"/>
        </w:rPr>
        <w:t xml:space="preserve"> v tem poglavju</w:t>
      </w:r>
      <w:r w:rsidR="003F1F7B" w:rsidRPr="003F1F7B">
        <w:rPr>
          <w:rFonts w:ascii="Arial" w:hAnsi="Arial" w:cs="Arial"/>
          <w:lang w:val="sl-SI"/>
        </w:rPr>
        <w:t>.</w:t>
      </w:r>
    </w:p>
    <w:p w14:paraId="09A83853" w14:textId="77777777" w:rsidR="003F1F7B" w:rsidRPr="003F1F7B" w:rsidRDefault="003F1F7B" w:rsidP="003F1F7B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15859003" w14:textId="02DB02BE" w:rsidR="003F1F7B" w:rsidRPr="003F1F7B" w:rsidRDefault="00721805" w:rsidP="003F1F7B">
      <w:pPr>
        <w:pStyle w:val="Golobesedil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(2)</w:t>
      </w:r>
      <w:r w:rsidR="003F1F7B" w:rsidRPr="003F1F7B">
        <w:rPr>
          <w:rFonts w:ascii="Arial" w:hAnsi="Arial" w:cs="Arial"/>
          <w:lang w:val="sl-SI"/>
        </w:rPr>
        <w:t xml:space="preserve"> </w:t>
      </w:r>
      <w:r w:rsidR="001026B7">
        <w:rPr>
          <w:rFonts w:ascii="Arial" w:hAnsi="Arial" w:cs="Arial"/>
          <w:lang w:val="sl-SI"/>
        </w:rPr>
        <w:t xml:space="preserve">V skladu </w:t>
      </w:r>
      <w:r w:rsidR="004701D5">
        <w:rPr>
          <w:rFonts w:ascii="Arial" w:hAnsi="Arial" w:cs="Arial"/>
          <w:lang w:val="sl-SI"/>
        </w:rPr>
        <w:t>s četrtim odstavkom 60. člena u</w:t>
      </w:r>
      <w:r w:rsidR="004701D5" w:rsidRPr="003F1F7B">
        <w:rPr>
          <w:rFonts w:ascii="Arial" w:hAnsi="Arial" w:cs="Arial"/>
          <w:lang w:val="sl-SI"/>
        </w:rPr>
        <w:t>redbe</w:t>
      </w:r>
      <w:r w:rsidR="006A6EF9">
        <w:rPr>
          <w:rFonts w:ascii="Arial" w:hAnsi="Arial" w:cs="Arial"/>
          <w:lang w:val="sl-SI"/>
        </w:rPr>
        <w:t xml:space="preserve"> o </w:t>
      </w:r>
      <w:r w:rsidR="004701D5" w:rsidRPr="00261AF3">
        <w:rPr>
          <w:rFonts w:ascii="Arial" w:hAnsi="Arial" w:cs="Arial"/>
          <w:lang w:val="sl-SI"/>
        </w:rPr>
        <w:t>izvajanju intervencij s področja zemljiških operacij</w:t>
      </w:r>
      <w:r w:rsidR="004701D5" w:rsidRPr="003F1F7B">
        <w:rPr>
          <w:rFonts w:ascii="Arial" w:hAnsi="Arial" w:cs="Arial"/>
          <w:lang w:val="sl-SI"/>
        </w:rPr>
        <w:t xml:space="preserve"> </w:t>
      </w:r>
      <w:r w:rsidR="004701D5">
        <w:rPr>
          <w:rFonts w:ascii="Arial" w:hAnsi="Arial" w:cs="Arial"/>
          <w:lang w:val="sl-SI"/>
        </w:rPr>
        <w:t>se m</w:t>
      </w:r>
      <w:r w:rsidR="003F1F7B" w:rsidRPr="003F1F7B">
        <w:rPr>
          <w:rFonts w:ascii="Arial" w:hAnsi="Arial" w:cs="Arial"/>
          <w:lang w:val="sl-SI"/>
        </w:rPr>
        <w:t xml:space="preserve">ed vlogami, ki dosežejo vstopni prag 30 </w:t>
      </w:r>
      <w:r w:rsidR="004701D5">
        <w:rPr>
          <w:rFonts w:ascii="Arial" w:hAnsi="Arial" w:cs="Arial"/>
          <w:lang w:val="sl-SI"/>
        </w:rPr>
        <w:t>%</w:t>
      </w:r>
      <w:r w:rsidR="007B26A0">
        <w:rPr>
          <w:rFonts w:ascii="Arial" w:hAnsi="Arial" w:cs="Arial"/>
          <w:lang w:val="sl-SI"/>
        </w:rPr>
        <w:t xml:space="preserve"> </w:t>
      </w:r>
      <w:r w:rsidR="003F1F7B" w:rsidRPr="003F1F7B">
        <w:rPr>
          <w:rFonts w:ascii="Arial" w:hAnsi="Arial" w:cs="Arial"/>
          <w:lang w:val="sl-SI"/>
        </w:rPr>
        <w:t>možn</w:t>
      </w:r>
      <w:r w:rsidR="004701D5">
        <w:rPr>
          <w:rFonts w:ascii="Arial" w:hAnsi="Arial" w:cs="Arial"/>
          <w:lang w:val="sl-SI"/>
        </w:rPr>
        <w:t xml:space="preserve">ih </w:t>
      </w:r>
      <w:r w:rsidR="003F1F7B" w:rsidRPr="003F1F7B">
        <w:rPr>
          <w:rFonts w:ascii="Arial" w:hAnsi="Arial" w:cs="Arial"/>
          <w:lang w:val="sl-SI"/>
        </w:rPr>
        <w:t>točk,</w:t>
      </w:r>
      <w:r w:rsidR="004701D5">
        <w:rPr>
          <w:rFonts w:ascii="Arial" w:hAnsi="Arial" w:cs="Arial"/>
          <w:lang w:val="sl-SI"/>
        </w:rPr>
        <w:t xml:space="preserve"> </w:t>
      </w:r>
      <w:r w:rsidR="003F1F7B" w:rsidRPr="003F1F7B">
        <w:rPr>
          <w:rFonts w:ascii="Arial" w:hAnsi="Arial" w:cs="Arial"/>
          <w:lang w:val="sl-SI"/>
        </w:rPr>
        <w:t xml:space="preserve">izberejo tiste, ki dosežejo višje število točk, do porabe razpisanih sredstev. </w:t>
      </w:r>
    </w:p>
    <w:p w14:paraId="7D26A4E5" w14:textId="77777777" w:rsidR="003F1F7B" w:rsidRPr="003F1F7B" w:rsidRDefault="003F1F7B" w:rsidP="003F1F7B">
      <w:pPr>
        <w:pStyle w:val="Golobesedilo"/>
        <w:jc w:val="both"/>
        <w:rPr>
          <w:rFonts w:ascii="Arial" w:hAnsi="Arial" w:cs="Arial"/>
          <w:lang w:val="sl-SI"/>
        </w:rPr>
      </w:pPr>
    </w:p>
    <w:p w14:paraId="4E90D881" w14:textId="6CD5E37D" w:rsidR="003F1F7B" w:rsidRDefault="00DD6965" w:rsidP="003F1F7B">
      <w:pPr>
        <w:pStyle w:val="Golobesedilo"/>
        <w:spacing w:after="120" w:line="260" w:lineRule="atLeast"/>
        <w:ind w:left="1021" w:hanging="1021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(</w:t>
      </w:r>
      <w:r w:rsidR="001B6C01">
        <w:rPr>
          <w:rFonts w:ascii="Arial" w:hAnsi="Arial" w:cs="Arial"/>
          <w:lang w:val="sl-SI"/>
        </w:rPr>
        <w:t>3</w:t>
      </w:r>
      <w:r>
        <w:rPr>
          <w:rFonts w:ascii="Arial" w:hAnsi="Arial" w:cs="Arial"/>
          <w:lang w:val="sl-SI"/>
        </w:rPr>
        <w:t xml:space="preserve">) Merila za </w:t>
      </w:r>
      <w:r w:rsidR="00805644">
        <w:rPr>
          <w:rFonts w:ascii="Arial" w:hAnsi="Arial" w:cs="Arial"/>
          <w:lang w:val="sl-SI"/>
        </w:rPr>
        <w:t xml:space="preserve">ocenjevanje </w:t>
      </w:r>
      <w:r>
        <w:rPr>
          <w:rFonts w:ascii="Arial" w:hAnsi="Arial" w:cs="Arial"/>
          <w:lang w:val="sl-SI"/>
        </w:rPr>
        <w:t>vlog in točkovnik</w:t>
      </w:r>
      <w:r w:rsidR="00805644">
        <w:rPr>
          <w:rFonts w:ascii="Arial" w:hAnsi="Arial" w:cs="Arial"/>
          <w:lang w:val="sl-SI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1"/>
        <w:gridCol w:w="1459"/>
      </w:tblGrid>
      <w:tr w:rsidR="0009537C" w:rsidRPr="006021DF" w14:paraId="1F3AF6EA" w14:textId="77777777" w:rsidTr="00194120">
        <w:tc>
          <w:tcPr>
            <w:tcW w:w="6921" w:type="dxa"/>
            <w:shd w:val="clear" w:color="auto" w:fill="BFBFBF"/>
          </w:tcPr>
          <w:p w14:paraId="1A6612BF" w14:textId="77777777" w:rsidR="0009537C" w:rsidRPr="006021DF" w:rsidRDefault="0009537C" w:rsidP="001E27DB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Arial"/>
                <w:b/>
                <w:lang w:val="sl-SI"/>
              </w:rPr>
            </w:pPr>
            <w:r w:rsidRPr="006021DF">
              <w:rPr>
                <w:rFonts w:cs="Arial"/>
                <w:b/>
                <w:lang w:val="sl-SI"/>
              </w:rPr>
              <w:t>Merila</w:t>
            </w:r>
          </w:p>
        </w:tc>
        <w:tc>
          <w:tcPr>
            <w:tcW w:w="1459" w:type="dxa"/>
            <w:shd w:val="clear" w:color="auto" w:fill="BFBFBF"/>
          </w:tcPr>
          <w:p w14:paraId="58E9DFC9" w14:textId="77777777" w:rsidR="0009537C" w:rsidRPr="006021DF" w:rsidRDefault="0009537C" w:rsidP="001E27D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lang w:val="sl-SI"/>
              </w:rPr>
            </w:pPr>
            <w:r w:rsidRPr="006021DF">
              <w:rPr>
                <w:rFonts w:cs="Arial"/>
                <w:b/>
                <w:lang w:val="sl-SI"/>
              </w:rPr>
              <w:t>maksimalno št. točk</w:t>
            </w:r>
          </w:p>
        </w:tc>
      </w:tr>
      <w:tr w:rsidR="0009537C" w:rsidRPr="006021DF" w14:paraId="13BF5984" w14:textId="77777777" w:rsidTr="00194120">
        <w:tc>
          <w:tcPr>
            <w:tcW w:w="6921" w:type="dxa"/>
            <w:shd w:val="clear" w:color="auto" w:fill="auto"/>
          </w:tcPr>
          <w:p w14:paraId="341F4121" w14:textId="77777777" w:rsidR="0009537C" w:rsidRPr="006021DF" w:rsidRDefault="0009537C" w:rsidP="0009537C">
            <w:pPr>
              <w:pStyle w:val="Odstavekseznama"/>
              <w:numPr>
                <w:ilvl w:val="1"/>
                <w:numId w:val="4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0"/>
                <w:lang w:val="sl-SI"/>
              </w:rPr>
            </w:pPr>
            <w:r w:rsidRPr="006021DF">
              <w:rPr>
                <w:rFonts w:ascii="Arial" w:hAnsi="Arial" w:cs="Arial"/>
                <w:b/>
                <w:sz w:val="20"/>
                <w:lang w:val="sl-SI"/>
              </w:rPr>
              <w:t>EKONOMSKI VIDIK NALOŽBE</w:t>
            </w:r>
          </w:p>
        </w:tc>
        <w:tc>
          <w:tcPr>
            <w:tcW w:w="1459" w:type="dxa"/>
            <w:shd w:val="clear" w:color="auto" w:fill="auto"/>
          </w:tcPr>
          <w:p w14:paraId="2E126BD3" w14:textId="2F008FB5" w:rsidR="0009537C" w:rsidRPr="006021DF" w:rsidRDefault="006A6EF9" w:rsidP="006A6EF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lang w:val="sl-SI"/>
              </w:rPr>
            </w:pPr>
            <w:r>
              <w:rPr>
                <w:rFonts w:cs="Arial"/>
                <w:b/>
                <w:lang w:val="sl-SI"/>
              </w:rPr>
              <w:t>7</w:t>
            </w:r>
            <w:r w:rsidR="0009537C" w:rsidRPr="006021DF">
              <w:rPr>
                <w:rFonts w:cs="Arial"/>
                <w:b/>
                <w:lang w:val="sl-SI"/>
              </w:rPr>
              <w:t>0</w:t>
            </w:r>
          </w:p>
        </w:tc>
      </w:tr>
      <w:tr w:rsidR="0009537C" w:rsidRPr="006021DF" w14:paraId="132AD68A" w14:textId="77777777" w:rsidTr="00194120">
        <w:tc>
          <w:tcPr>
            <w:tcW w:w="6921" w:type="dxa"/>
            <w:shd w:val="clear" w:color="auto" w:fill="auto"/>
          </w:tcPr>
          <w:p w14:paraId="17761860" w14:textId="77777777" w:rsidR="006A6EF9" w:rsidRPr="006A6EF9" w:rsidRDefault="0009537C" w:rsidP="006A6EF9">
            <w:pPr>
              <w:pStyle w:val="Odstavekseznama"/>
              <w:numPr>
                <w:ilvl w:val="1"/>
                <w:numId w:val="4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lang w:val="sl-SI"/>
              </w:rPr>
              <w:t xml:space="preserve"> </w:t>
            </w:r>
            <w:r w:rsidR="006A6EF9" w:rsidRPr="006A6EF9">
              <w:rPr>
                <w:rFonts w:ascii="Arial" w:hAnsi="Arial" w:cs="Arial"/>
                <w:b/>
                <w:sz w:val="20"/>
                <w:lang w:val="sl-SI"/>
              </w:rPr>
              <w:t>Delež soglasij lastnikov kmetijskih zemljišč za uvedbo komasacije</w:t>
            </w:r>
          </w:p>
          <w:p w14:paraId="67FD39C1" w14:textId="77777777" w:rsidR="0009537C" w:rsidRDefault="006A6EF9" w:rsidP="006A6EF9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360"/>
              <w:jc w:val="both"/>
              <w:rPr>
                <w:rFonts w:ascii="Arial" w:hAnsi="Arial" w:cs="Arial"/>
                <w:b/>
                <w:sz w:val="20"/>
                <w:lang w:val="sl-SI"/>
              </w:rPr>
            </w:pPr>
            <w:r w:rsidRPr="006A6EF9">
              <w:rPr>
                <w:rFonts w:ascii="Arial" w:hAnsi="Arial" w:cs="Arial"/>
                <w:b/>
                <w:sz w:val="20"/>
                <w:lang w:val="sl-SI"/>
              </w:rPr>
              <w:t>kmetijskih zemljišč</w:t>
            </w:r>
          </w:p>
          <w:p w14:paraId="2ED9EAF4" w14:textId="6A08894B" w:rsidR="00713E81" w:rsidRPr="00713E81" w:rsidRDefault="003707FC" w:rsidP="003707F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Točke na podlagi tega merila se dodelijo upravičencu, pri katerem je delež soglasij lastnikov zemljišč za uvedbo komasacijskega postopka, ki je razviden iz pravnomočne odločbe o uvedbi komasacije, večji kot 67 %</w:t>
            </w:r>
            <w:r w:rsidR="00713E81" w:rsidRPr="00713E81">
              <w:rPr>
                <w:rFonts w:cs="Arial"/>
                <w:lang w:val="sl-SI"/>
              </w:rPr>
              <w:t>.</w:t>
            </w:r>
          </w:p>
        </w:tc>
        <w:tc>
          <w:tcPr>
            <w:tcW w:w="1459" w:type="dxa"/>
            <w:shd w:val="clear" w:color="auto" w:fill="auto"/>
          </w:tcPr>
          <w:p w14:paraId="79176FD9" w14:textId="53AFCE2F" w:rsidR="0009537C" w:rsidRPr="006021DF" w:rsidRDefault="006A6EF9" w:rsidP="001E27D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lang w:val="sl-SI"/>
              </w:rPr>
            </w:pPr>
            <w:r>
              <w:rPr>
                <w:rFonts w:cs="Arial"/>
                <w:b/>
                <w:lang w:val="sl-SI"/>
              </w:rPr>
              <w:t>3</w:t>
            </w:r>
            <w:r w:rsidR="0009537C" w:rsidRPr="006021DF">
              <w:rPr>
                <w:rFonts w:cs="Arial"/>
                <w:b/>
                <w:lang w:val="sl-SI"/>
              </w:rPr>
              <w:t>0</w:t>
            </w:r>
          </w:p>
        </w:tc>
      </w:tr>
      <w:tr w:rsidR="0009537C" w:rsidRPr="006021DF" w14:paraId="5685A1C3" w14:textId="77777777" w:rsidTr="00194120">
        <w:tc>
          <w:tcPr>
            <w:tcW w:w="6921" w:type="dxa"/>
            <w:shd w:val="clear" w:color="auto" w:fill="auto"/>
          </w:tcPr>
          <w:p w14:paraId="6D75259A" w14:textId="21C39683" w:rsidR="0009537C" w:rsidRPr="006021DF" w:rsidRDefault="0009537C" w:rsidP="001E27DB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Arial"/>
                <w:lang w:val="sl-SI"/>
              </w:rPr>
            </w:pPr>
            <w:r w:rsidRPr="006021DF">
              <w:rPr>
                <w:rFonts w:cs="Arial"/>
                <w:lang w:val="sl-SI"/>
              </w:rPr>
              <w:t xml:space="preserve">Delež soglasij je 90 </w:t>
            </w:r>
            <w:r w:rsidR="004007F8">
              <w:rPr>
                <w:rFonts w:cs="Arial"/>
                <w:lang w:val="sl-SI"/>
              </w:rPr>
              <w:t>%</w:t>
            </w:r>
            <w:r w:rsidRPr="006021DF">
              <w:rPr>
                <w:rFonts w:cs="Arial"/>
                <w:lang w:val="sl-SI"/>
              </w:rPr>
              <w:t xml:space="preserve"> ali več</w:t>
            </w:r>
            <w:r w:rsidR="00741E32">
              <w:rPr>
                <w:rFonts w:cs="Arial"/>
                <w:lang w:val="sl-SI"/>
              </w:rPr>
              <w:t>.</w:t>
            </w:r>
          </w:p>
        </w:tc>
        <w:tc>
          <w:tcPr>
            <w:tcW w:w="1459" w:type="dxa"/>
            <w:shd w:val="clear" w:color="auto" w:fill="auto"/>
          </w:tcPr>
          <w:p w14:paraId="42306AFF" w14:textId="41413831" w:rsidR="0009537C" w:rsidRPr="006021DF" w:rsidRDefault="006A6EF9" w:rsidP="001E27D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3</w:t>
            </w:r>
            <w:r w:rsidR="0009537C" w:rsidRPr="006021DF">
              <w:rPr>
                <w:rFonts w:cs="Arial"/>
                <w:lang w:val="sl-SI"/>
              </w:rPr>
              <w:t>0</w:t>
            </w:r>
          </w:p>
        </w:tc>
      </w:tr>
      <w:tr w:rsidR="0009537C" w:rsidRPr="006021DF" w14:paraId="74965158" w14:textId="77777777" w:rsidTr="00194120">
        <w:tc>
          <w:tcPr>
            <w:tcW w:w="6921" w:type="dxa"/>
            <w:shd w:val="clear" w:color="auto" w:fill="auto"/>
          </w:tcPr>
          <w:p w14:paraId="5F9B899C" w14:textId="6771F6A8" w:rsidR="0009537C" w:rsidRPr="006021DF" w:rsidRDefault="0009537C" w:rsidP="006A6EF9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Arial"/>
                <w:lang w:val="sl-SI"/>
              </w:rPr>
            </w:pPr>
            <w:r w:rsidRPr="006021DF">
              <w:rPr>
                <w:rFonts w:cs="Arial"/>
                <w:lang w:val="sl-SI"/>
              </w:rPr>
              <w:t>Delež soglasij je od 8</w:t>
            </w:r>
            <w:r w:rsidR="006A6EF9">
              <w:rPr>
                <w:rFonts w:cs="Arial"/>
                <w:lang w:val="sl-SI"/>
              </w:rPr>
              <w:t>4</w:t>
            </w:r>
            <w:r w:rsidRPr="006021DF">
              <w:rPr>
                <w:rFonts w:cs="Arial"/>
                <w:lang w:val="sl-SI"/>
              </w:rPr>
              <w:t xml:space="preserve"> do manj kot 9</w:t>
            </w:r>
            <w:r w:rsidR="004007F8">
              <w:rPr>
                <w:rFonts w:cs="Arial"/>
                <w:lang w:val="sl-SI"/>
              </w:rPr>
              <w:t>0</w:t>
            </w:r>
            <w:r w:rsidRPr="006021DF">
              <w:rPr>
                <w:rFonts w:cs="Arial"/>
                <w:lang w:val="sl-SI"/>
              </w:rPr>
              <w:t xml:space="preserve"> </w:t>
            </w:r>
            <w:r w:rsidR="006A6EF9">
              <w:rPr>
                <w:rFonts w:cs="Arial"/>
                <w:lang w:val="sl-SI"/>
              </w:rPr>
              <w:t>%</w:t>
            </w:r>
            <w:r w:rsidR="00741E32">
              <w:rPr>
                <w:rFonts w:cs="Arial"/>
                <w:lang w:val="sl-SI"/>
              </w:rPr>
              <w:t>.</w:t>
            </w:r>
          </w:p>
        </w:tc>
        <w:tc>
          <w:tcPr>
            <w:tcW w:w="1459" w:type="dxa"/>
            <w:shd w:val="clear" w:color="auto" w:fill="auto"/>
          </w:tcPr>
          <w:p w14:paraId="6CFB025B" w14:textId="1B2223A2" w:rsidR="0009537C" w:rsidRPr="006021DF" w:rsidRDefault="006A6EF9" w:rsidP="001E27D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2</w:t>
            </w:r>
            <w:r w:rsidR="0009537C" w:rsidRPr="006021DF">
              <w:rPr>
                <w:rFonts w:cs="Arial"/>
                <w:lang w:val="sl-SI"/>
              </w:rPr>
              <w:t>5</w:t>
            </w:r>
          </w:p>
        </w:tc>
      </w:tr>
      <w:tr w:rsidR="0009537C" w:rsidRPr="006021DF" w14:paraId="0BCF758B" w14:textId="77777777" w:rsidTr="00194120">
        <w:tc>
          <w:tcPr>
            <w:tcW w:w="6921" w:type="dxa"/>
            <w:shd w:val="clear" w:color="auto" w:fill="auto"/>
          </w:tcPr>
          <w:p w14:paraId="45BB9993" w14:textId="1A10676C" w:rsidR="0009537C" w:rsidRPr="006021DF" w:rsidRDefault="0009537C" w:rsidP="006A6EF9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Arial"/>
                <w:lang w:val="sl-SI"/>
              </w:rPr>
            </w:pPr>
            <w:r w:rsidRPr="006021DF">
              <w:rPr>
                <w:rFonts w:cs="Arial"/>
                <w:lang w:val="sl-SI"/>
              </w:rPr>
              <w:t xml:space="preserve">Delež soglasij je od 77 do manj kot </w:t>
            </w:r>
            <w:r w:rsidR="006A6EF9">
              <w:rPr>
                <w:rFonts w:cs="Arial"/>
                <w:lang w:val="sl-SI"/>
              </w:rPr>
              <w:t>84</w:t>
            </w:r>
            <w:r w:rsidRPr="006021DF">
              <w:rPr>
                <w:rFonts w:cs="Arial"/>
                <w:lang w:val="sl-SI"/>
              </w:rPr>
              <w:t xml:space="preserve"> </w:t>
            </w:r>
            <w:r w:rsidR="004007F8">
              <w:rPr>
                <w:rFonts w:cs="Arial"/>
                <w:lang w:val="sl-SI"/>
              </w:rPr>
              <w:t>%</w:t>
            </w:r>
            <w:r w:rsidR="00741E32">
              <w:rPr>
                <w:rFonts w:cs="Arial"/>
                <w:lang w:val="sl-SI"/>
              </w:rPr>
              <w:t>.</w:t>
            </w:r>
          </w:p>
        </w:tc>
        <w:tc>
          <w:tcPr>
            <w:tcW w:w="1459" w:type="dxa"/>
            <w:shd w:val="clear" w:color="auto" w:fill="auto"/>
          </w:tcPr>
          <w:p w14:paraId="48FF78F0" w14:textId="344DC7F7" w:rsidR="0009537C" w:rsidRPr="006021DF" w:rsidRDefault="006A6EF9" w:rsidP="001E27D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20</w:t>
            </w:r>
          </w:p>
        </w:tc>
      </w:tr>
      <w:tr w:rsidR="006A6EF9" w:rsidRPr="006021DF" w14:paraId="152C0AB6" w14:textId="77777777" w:rsidTr="00194120">
        <w:tc>
          <w:tcPr>
            <w:tcW w:w="6921" w:type="dxa"/>
            <w:shd w:val="clear" w:color="auto" w:fill="auto"/>
          </w:tcPr>
          <w:p w14:paraId="200A29B3" w14:textId="025C4C4A" w:rsidR="006A6EF9" w:rsidRPr="006021DF" w:rsidRDefault="006A6EF9" w:rsidP="006A6EF9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Delež soglasij je od 70</w:t>
            </w:r>
            <w:r w:rsidRPr="006021DF">
              <w:rPr>
                <w:rFonts w:cs="Arial"/>
                <w:lang w:val="sl-SI"/>
              </w:rPr>
              <w:t xml:space="preserve"> do manj kot </w:t>
            </w:r>
            <w:r>
              <w:rPr>
                <w:rFonts w:cs="Arial"/>
                <w:lang w:val="sl-SI"/>
              </w:rPr>
              <w:t>77</w:t>
            </w:r>
            <w:r w:rsidRPr="006021DF">
              <w:rPr>
                <w:rFonts w:cs="Arial"/>
                <w:lang w:val="sl-SI"/>
              </w:rPr>
              <w:t xml:space="preserve"> </w:t>
            </w:r>
            <w:r>
              <w:rPr>
                <w:rFonts w:cs="Arial"/>
                <w:lang w:val="sl-SI"/>
              </w:rPr>
              <w:t>%</w:t>
            </w:r>
            <w:r w:rsidR="00741E32">
              <w:rPr>
                <w:rFonts w:cs="Arial"/>
                <w:lang w:val="sl-SI"/>
              </w:rPr>
              <w:t>.</w:t>
            </w:r>
          </w:p>
        </w:tc>
        <w:tc>
          <w:tcPr>
            <w:tcW w:w="1459" w:type="dxa"/>
            <w:shd w:val="clear" w:color="auto" w:fill="auto"/>
          </w:tcPr>
          <w:p w14:paraId="40EE6882" w14:textId="58A2BF5E" w:rsidR="006A6EF9" w:rsidRPr="006021DF" w:rsidRDefault="006A6EF9" w:rsidP="001E27D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15</w:t>
            </w:r>
          </w:p>
        </w:tc>
      </w:tr>
      <w:tr w:rsidR="0009537C" w:rsidRPr="006021DF" w14:paraId="26D5129A" w14:textId="77777777" w:rsidTr="00194120">
        <w:tc>
          <w:tcPr>
            <w:tcW w:w="6921" w:type="dxa"/>
            <w:shd w:val="clear" w:color="auto" w:fill="auto"/>
          </w:tcPr>
          <w:p w14:paraId="30DD0D9E" w14:textId="29E7733F" w:rsidR="0009537C" w:rsidRPr="006021DF" w:rsidRDefault="0009537C" w:rsidP="006A6EF9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Arial"/>
                <w:lang w:val="sl-SI"/>
              </w:rPr>
            </w:pPr>
            <w:r w:rsidRPr="006021DF">
              <w:rPr>
                <w:rFonts w:cs="Arial"/>
                <w:lang w:val="sl-SI"/>
              </w:rPr>
              <w:lastRenderedPageBreak/>
              <w:t>Delež sogla</w:t>
            </w:r>
            <w:r w:rsidR="006A6EF9">
              <w:rPr>
                <w:rFonts w:cs="Arial"/>
                <w:lang w:val="sl-SI"/>
              </w:rPr>
              <w:t>sij je več kot 67 do manj kot 70</w:t>
            </w:r>
            <w:r w:rsidRPr="006021DF">
              <w:rPr>
                <w:rFonts w:cs="Arial"/>
                <w:lang w:val="sl-SI"/>
              </w:rPr>
              <w:t xml:space="preserve"> </w:t>
            </w:r>
            <w:r w:rsidR="004007F8">
              <w:rPr>
                <w:rFonts w:cs="Arial"/>
                <w:lang w:val="sl-SI"/>
              </w:rPr>
              <w:t>%</w:t>
            </w:r>
            <w:r w:rsidR="00741E32">
              <w:rPr>
                <w:rFonts w:cs="Arial"/>
                <w:lang w:val="sl-SI"/>
              </w:rPr>
              <w:t>.</w:t>
            </w:r>
          </w:p>
        </w:tc>
        <w:tc>
          <w:tcPr>
            <w:tcW w:w="1459" w:type="dxa"/>
            <w:shd w:val="clear" w:color="auto" w:fill="auto"/>
          </w:tcPr>
          <w:p w14:paraId="2B60421D" w14:textId="56605389" w:rsidR="0009537C" w:rsidRPr="006021DF" w:rsidRDefault="006A6EF9" w:rsidP="001E27D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10</w:t>
            </w:r>
          </w:p>
        </w:tc>
      </w:tr>
      <w:tr w:rsidR="0009537C" w:rsidRPr="006021DF" w14:paraId="479653B9" w14:textId="77777777" w:rsidTr="00194120">
        <w:tc>
          <w:tcPr>
            <w:tcW w:w="6921" w:type="dxa"/>
            <w:shd w:val="clear" w:color="auto" w:fill="auto"/>
          </w:tcPr>
          <w:p w14:paraId="6002B7A1" w14:textId="77777777" w:rsidR="0009537C" w:rsidRDefault="0009537C" w:rsidP="006A6EF9">
            <w:pPr>
              <w:pStyle w:val="Odstavekseznama"/>
              <w:numPr>
                <w:ilvl w:val="1"/>
                <w:numId w:val="4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lang w:val="sl-SI"/>
              </w:rPr>
              <w:t xml:space="preserve"> </w:t>
            </w:r>
            <w:r w:rsidR="006A6EF9" w:rsidRPr="006A6EF9">
              <w:rPr>
                <w:rFonts w:ascii="Arial" w:hAnsi="Arial" w:cs="Arial"/>
                <w:b/>
                <w:sz w:val="20"/>
                <w:lang w:val="sl-SI"/>
              </w:rPr>
              <w:t>Velikost komasacijskega območja</w:t>
            </w:r>
          </w:p>
          <w:p w14:paraId="57375D09" w14:textId="50517E5C" w:rsidR="00713E81" w:rsidRPr="00713E81" w:rsidRDefault="00713E81" w:rsidP="00713E8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b/>
                <w:lang w:val="sl-SI"/>
              </w:rPr>
            </w:pPr>
            <w:r>
              <w:rPr>
                <w:rFonts w:cs="Arial"/>
                <w:lang w:val="sl-SI"/>
              </w:rPr>
              <w:t>Velikost komasacijskega območja je razvid</w:t>
            </w:r>
            <w:r w:rsidRPr="00713E81">
              <w:rPr>
                <w:rFonts w:cs="Arial"/>
                <w:lang w:val="sl-SI"/>
              </w:rPr>
              <w:t>n</w:t>
            </w:r>
            <w:r>
              <w:rPr>
                <w:rFonts w:cs="Arial"/>
                <w:lang w:val="sl-SI"/>
              </w:rPr>
              <w:t>a</w:t>
            </w:r>
            <w:r w:rsidRPr="00713E81">
              <w:rPr>
                <w:rFonts w:cs="Arial"/>
                <w:lang w:val="sl-SI"/>
              </w:rPr>
              <w:t xml:space="preserve"> iz pravnomočne odločbe o uvedbi komasacije.</w:t>
            </w:r>
          </w:p>
        </w:tc>
        <w:tc>
          <w:tcPr>
            <w:tcW w:w="1459" w:type="dxa"/>
            <w:shd w:val="clear" w:color="auto" w:fill="auto"/>
          </w:tcPr>
          <w:p w14:paraId="01F8F9DD" w14:textId="77777777" w:rsidR="0009537C" w:rsidRPr="006021DF" w:rsidRDefault="0009537C" w:rsidP="001E27D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lang w:val="sl-SI"/>
              </w:rPr>
            </w:pPr>
            <w:r w:rsidRPr="006021DF">
              <w:rPr>
                <w:rFonts w:cs="Arial"/>
                <w:b/>
                <w:lang w:val="sl-SI"/>
              </w:rPr>
              <w:t>20</w:t>
            </w:r>
          </w:p>
        </w:tc>
      </w:tr>
      <w:tr w:rsidR="006A6EF9" w:rsidRPr="006A6EF9" w14:paraId="5822A0DC" w14:textId="77777777" w:rsidTr="00194120">
        <w:tc>
          <w:tcPr>
            <w:tcW w:w="6921" w:type="dxa"/>
            <w:shd w:val="clear" w:color="auto" w:fill="auto"/>
          </w:tcPr>
          <w:p w14:paraId="6D16C223" w14:textId="394F41DC" w:rsidR="006A6EF9" w:rsidRPr="006A6EF9" w:rsidRDefault="006A6EF9" w:rsidP="00741E3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Arial"/>
                <w:lang w:val="sl-SI"/>
              </w:rPr>
            </w:pPr>
            <w:r w:rsidRPr="006A6EF9">
              <w:rPr>
                <w:lang w:val="sl-SI"/>
              </w:rPr>
              <w:t>Komasacijs</w:t>
            </w:r>
            <w:r w:rsidR="007F05CF">
              <w:rPr>
                <w:lang w:val="sl-SI"/>
              </w:rPr>
              <w:t xml:space="preserve">ko območje je </w:t>
            </w:r>
            <w:r w:rsidR="00741E32">
              <w:rPr>
                <w:lang w:val="sl-SI"/>
              </w:rPr>
              <w:t xml:space="preserve">veliko </w:t>
            </w:r>
            <w:r>
              <w:rPr>
                <w:lang w:val="sl-SI"/>
              </w:rPr>
              <w:t>300 ha</w:t>
            </w:r>
            <w:r w:rsidR="007F05CF">
              <w:rPr>
                <w:lang w:val="sl-SI"/>
              </w:rPr>
              <w:t xml:space="preserve"> ali več</w:t>
            </w:r>
            <w:r w:rsidR="00741E32">
              <w:rPr>
                <w:lang w:val="sl-SI"/>
              </w:rPr>
              <w:t>.</w:t>
            </w:r>
          </w:p>
        </w:tc>
        <w:tc>
          <w:tcPr>
            <w:tcW w:w="1459" w:type="dxa"/>
            <w:shd w:val="clear" w:color="auto" w:fill="auto"/>
          </w:tcPr>
          <w:p w14:paraId="1D22B912" w14:textId="77777777" w:rsidR="006A6EF9" w:rsidRPr="006A6EF9" w:rsidRDefault="006A6EF9" w:rsidP="006A6EF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lang w:val="sl-SI"/>
              </w:rPr>
            </w:pPr>
            <w:r w:rsidRPr="006A6EF9">
              <w:rPr>
                <w:rFonts w:cs="Arial"/>
                <w:lang w:val="sl-SI"/>
              </w:rPr>
              <w:t>20</w:t>
            </w:r>
          </w:p>
        </w:tc>
      </w:tr>
      <w:tr w:rsidR="006A6EF9" w:rsidRPr="006A6EF9" w14:paraId="0D81D27F" w14:textId="77777777" w:rsidTr="00194120">
        <w:tc>
          <w:tcPr>
            <w:tcW w:w="6921" w:type="dxa"/>
            <w:shd w:val="clear" w:color="auto" w:fill="auto"/>
          </w:tcPr>
          <w:p w14:paraId="4381F00A" w14:textId="58367692" w:rsidR="006A6EF9" w:rsidRPr="006A6EF9" w:rsidRDefault="006A6EF9" w:rsidP="006A6EF9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Arial"/>
                <w:lang w:val="sl-SI"/>
              </w:rPr>
            </w:pPr>
            <w:r w:rsidRPr="006A6EF9">
              <w:rPr>
                <w:lang w:val="sl-SI"/>
              </w:rPr>
              <w:t xml:space="preserve">Komasacijsko območje je veliko od 200 ha do </w:t>
            </w:r>
            <w:r>
              <w:rPr>
                <w:lang w:val="sl-SI"/>
              </w:rPr>
              <w:t>manj kot 300 ha</w:t>
            </w:r>
            <w:r w:rsidR="00741E32">
              <w:rPr>
                <w:lang w:val="sl-SI"/>
              </w:rPr>
              <w:t>.</w:t>
            </w:r>
          </w:p>
        </w:tc>
        <w:tc>
          <w:tcPr>
            <w:tcW w:w="1459" w:type="dxa"/>
            <w:shd w:val="clear" w:color="auto" w:fill="auto"/>
          </w:tcPr>
          <w:p w14:paraId="6AE27A7C" w14:textId="77777777" w:rsidR="006A6EF9" w:rsidRPr="006A6EF9" w:rsidRDefault="006A6EF9" w:rsidP="006A6EF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lang w:val="sl-SI"/>
              </w:rPr>
            </w:pPr>
            <w:r w:rsidRPr="006A6EF9">
              <w:rPr>
                <w:rFonts w:cs="Arial"/>
                <w:lang w:val="sl-SI"/>
              </w:rPr>
              <w:t>15</w:t>
            </w:r>
          </w:p>
        </w:tc>
      </w:tr>
      <w:tr w:rsidR="006A6EF9" w:rsidRPr="006A6EF9" w14:paraId="7B1ACB76" w14:textId="77777777" w:rsidTr="00194120">
        <w:tc>
          <w:tcPr>
            <w:tcW w:w="6921" w:type="dxa"/>
            <w:shd w:val="clear" w:color="auto" w:fill="auto"/>
          </w:tcPr>
          <w:p w14:paraId="487517E5" w14:textId="5509134E" w:rsidR="006A6EF9" w:rsidRPr="006A6EF9" w:rsidRDefault="006A6EF9" w:rsidP="006A6EF9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Arial"/>
                <w:lang w:val="sl-SI"/>
              </w:rPr>
            </w:pPr>
            <w:r w:rsidRPr="006A6EF9">
              <w:rPr>
                <w:lang w:val="sl-SI"/>
              </w:rPr>
              <w:t>Komasacijsko območje</w:t>
            </w:r>
            <w:r>
              <w:rPr>
                <w:lang w:val="sl-SI"/>
              </w:rPr>
              <w:t xml:space="preserve"> je veliko od 100 ha do manj kot</w:t>
            </w:r>
            <w:r w:rsidRPr="006A6EF9">
              <w:rPr>
                <w:lang w:val="sl-SI"/>
              </w:rPr>
              <w:t xml:space="preserve"> </w:t>
            </w:r>
            <w:r>
              <w:rPr>
                <w:lang w:val="sl-SI"/>
              </w:rPr>
              <w:t>200 ha</w:t>
            </w:r>
            <w:r w:rsidR="00741E32">
              <w:rPr>
                <w:lang w:val="sl-SI"/>
              </w:rPr>
              <w:t>.</w:t>
            </w:r>
            <w:r>
              <w:rPr>
                <w:lang w:val="sl-SI"/>
              </w:rPr>
              <w:t xml:space="preserve"> </w:t>
            </w:r>
          </w:p>
        </w:tc>
        <w:tc>
          <w:tcPr>
            <w:tcW w:w="1459" w:type="dxa"/>
            <w:shd w:val="clear" w:color="auto" w:fill="auto"/>
          </w:tcPr>
          <w:p w14:paraId="4F228A27" w14:textId="77777777" w:rsidR="006A6EF9" w:rsidRPr="006A6EF9" w:rsidRDefault="006A6EF9" w:rsidP="006A6EF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lang w:val="sl-SI"/>
              </w:rPr>
            </w:pPr>
            <w:r w:rsidRPr="006A6EF9">
              <w:rPr>
                <w:rFonts w:cs="Arial"/>
                <w:lang w:val="sl-SI"/>
              </w:rPr>
              <w:t>10</w:t>
            </w:r>
          </w:p>
        </w:tc>
      </w:tr>
      <w:tr w:rsidR="006A6EF9" w:rsidRPr="006A6EF9" w14:paraId="61DB66C5" w14:textId="77777777" w:rsidTr="00194120">
        <w:tc>
          <w:tcPr>
            <w:tcW w:w="6921" w:type="dxa"/>
            <w:shd w:val="clear" w:color="auto" w:fill="auto"/>
          </w:tcPr>
          <w:p w14:paraId="13DD6E29" w14:textId="2F3D12DA" w:rsidR="006A6EF9" w:rsidRPr="006A6EF9" w:rsidRDefault="006A6EF9" w:rsidP="003707F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lang w:val="sl-SI"/>
              </w:rPr>
            </w:pPr>
            <w:r w:rsidRPr="006A6EF9">
              <w:rPr>
                <w:lang w:val="sl-SI"/>
              </w:rPr>
              <w:t>Komasacijsko območje</w:t>
            </w:r>
            <w:r>
              <w:rPr>
                <w:lang w:val="sl-SI"/>
              </w:rPr>
              <w:t xml:space="preserve"> je </w:t>
            </w:r>
            <w:r w:rsidR="004E6747">
              <w:rPr>
                <w:lang w:val="sl-SI"/>
              </w:rPr>
              <w:t>manjše od</w:t>
            </w:r>
            <w:r w:rsidR="00814E8A" w:rsidRPr="00814E8A">
              <w:rPr>
                <w:color w:val="FF0000"/>
                <w:lang w:val="sl-SI"/>
              </w:rPr>
              <w:t xml:space="preserve"> </w:t>
            </w:r>
            <w:r>
              <w:rPr>
                <w:lang w:val="sl-SI"/>
              </w:rPr>
              <w:t>100 ha</w:t>
            </w:r>
            <w:r w:rsidR="00741E32">
              <w:rPr>
                <w:lang w:val="sl-SI"/>
              </w:rPr>
              <w:t>.</w:t>
            </w:r>
            <w:r>
              <w:rPr>
                <w:lang w:val="sl-SI"/>
              </w:rPr>
              <w:t xml:space="preserve"> </w:t>
            </w:r>
          </w:p>
        </w:tc>
        <w:tc>
          <w:tcPr>
            <w:tcW w:w="1459" w:type="dxa"/>
            <w:shd w:val="clear" w:color="auto" w:fill="auto"/>
          </w:tcPr>
          <w:p w14:paraId="30D7CCDF" w14:textId="47F92722" w:rsidR="006A6EF9" w:rsidRPr="006A6EF9" w:rsidRDefault="006A6EF9" w:rsidP="006A6EF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5</w:t>
            </w:r>
          </w:p>
        </w:tc>
      </w:tr>
      <w:tr w:rsidR="006A6EF9" w:rsidRPr="006021DF" w14:paraId="6B7FCAD5" w14:textId="77777777" w:rsidTr="00194120">
        <w:tc>
          <w:tcPr>
            <w:tcW w:w="6921" w:type="dxa"/>
            <w:shd w:val="clear" w:color="auto" w:fill="auto"/>
          </w:tcPr>
          <w:p w14:paraId="5D3DA219" w14:textId="3E1FD1EC" w:rsidR="006A6EF9" w:rsidRPr="006A6EF9" w:rsidRDefault="006A6EF9" w:rsidP="006A6EF9">
            <w:pPr>
              <w:pStyle w:val="Odstavekseznama"/>
              <w:numPr>
                <w:ilvl w:val="1"/>
                <w:numId w:val="4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lang w:val="sl-SI"/>
              </w:rPr>
              <w:t xml:space="preserve"> </w:t>
            </w:r>
            <w:r w:rsidRPr="006A6EF9">
              <w:rPr>
                <w:rFonts w:ascii="Arial" w:hAnsi="Arial" w:cs="Arial"/>
                <w:b/>
                <w:sz w:val="20"/>
                <w:lang w:val="sl-SI"/>
              </w:rPr>
              <w:t xml:space="preserve">Neugodna posestna sestava, ki se ugotavlja </w:t>
            </w:r>
            <w:r w:rsidR="00DD31A6">
              <w:rPr>
                <w:rFonts w:ascii="Arial" w:hAnsi="Arial" w:cs="Arial"/>
                <w:b/>
                <w:sz w:val="20"/>
                <w:lang w:val="sl-SI"/>
              </w:rPr>
              <w:t>s</w:t>
            </w:r>
            <w:r w:rsidRPr="006A6EF9">
              <w:rPr>
                <w:rFonts w:ascii="Arial" w:hAnsi="Arial" w:cs="Arial"/>
                <w:b/>
                <w:sz w:val="20"/>
                <w:lang w:val="sl-SI"/>
              </w:rPr>
              <w:t xml:space="preserve"> povprečnim številom</w:t>
            </w:r>
            <w:r>
              <w:rPr>
                <w:rFonts w:ascii="Arial" w:hAnsi="Arial" w:cs="Arial"/>
                <w:b/>
                <w:sz w:val="20"/>
                <w:lang w:val="sl-SI"/>
              </w:rPr>
              <w:t xml:space="preserve"> </w:t>
            </w:r>
            <w:r w:rsidRPr="006A6EF9">
              <w:rPr>
                <w:rFonts w:ascii="Arial" w:hAnsi="Arial" w:cs="Arial"/>
                <w:b/>
                <w:sz w:val="20"/>
                <w:lang w:val="sl-SI"/>
              </w:rPr>
              <w:t>parcel na hektar komasacijskega območja</w:t>
            </w:r>
          </w:p>
          <w:p w14:paraId="2A284A44" w14:textId="1C675762" w:rsidR="006A6EF9" w:rsidRPr="00903211" w:rsidRDefault="00813870" w:rsidP="004331D5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lang w:val="sl-SI"/>
              </w:rPr>
            </w:pPr>
            <w:r w:rsidRPr="00813870">
              <w:rPr>
                <w:rFonts w:cs="Arial"/>
                <w:lang w:val="sl-SI"/>
              </w:rPr>
              <w:t>Neugodna posestna struktura</w:t>
            </w:r>
            <w:r w:rsidR="001536F6">
              <w:rPr>
                <w:rFonts w:cs="Arial"/>
                <w:lang w:val="sl-SI"/>
              </w:rPr>
              <w:t xml:space="preserve"> je izražena v številu parcel na hektaru komasacijskega območja in</w:t>
            </w:r>
            <w:r w:rsidRPr="00813870">
              <w:rPr>
                <w:rFonts w:cs="Arial"/>
                <w:lang w:val="sl-SI"/>
              </w:rPr>
              <w:t xml:space="preserve"> se izračuna </w:t>
            </w:r>
            <w:r w:rsidR="001536F6">
              <w:rPr>
                <w:rFonts w:cs="Arial"/>
                <w:lang w:val="sl-SI"/>
              </w:rPr>
              <w:t>na način</w:t>
            </w:r>
            <w:r w:rsidRPr="00813870">
              <w:rPr>
                <w:rFonts w:cs="Arial"/>
                <w:lang w:val="sl-SI"/>
              </w:rPr>
              <w:t>, da se število parcel na posameznem komasacijskem</w:t>
            </w:r>
            <w:r>
              <w:rPr>
                <w:rFonts w:cs="Arial"/>
                <w:lang w:val="sl-SI"/>
              </w:rPr>
              <w:t xml:space="preserve"> </w:t>
            </w:r>
            <w:r w:rsidRPr="00813870">
              <w:rPr>
                <w:rFonts w:cs="Arial"/>
                <w:lang w:val="sl-SI"/>
              </w:rPr>
              <w:t>območju deli s površino komasacijskega območja</w:t>
            </w:r>
            <w:r>
              <w:rPr>
                <w:rFonts w:cs="Arial"/>
                <w:lang w:val="sl-SI"/>
              </w:rPr>
              <w:t>.</w:t>
            </w:r>
            <w:r w:rsidR="004331D5">
              <w:rPr>
                <w:rFonts w:cs="Arial"/>
                <w:lang w:val="sl-SI"/>
              </w:rPr>
              <w:t xml:space="preserve"> </w:t>
            </w:r>
            <w:r w:rsidR="004331D5" w:rsidRPr="004331D5">
              <w:rPr>
                <w:rFonts w:cs="Arial"/>
                <w:lang w:val="sl-SI"/>
              </w:rPr>
              <w:t>Število parcel, ki so vključene v komasacijo</w:t>
            </w:r>
            <w:r w:rsidR="00DD31A6">
              <w:rPr>
                <w:rFonts w:cs="Arial"/>
                <w:lang w:val="sl-SI"/>
              </w:rPr>
              <w:t>,</w:t>
            </w:r>
            <w:r w:rsidR="004331D5" w:rsidRPr="004331D5">
              <w:rPr>
                <w:rFonts w:cs="Arial"/>
                <w:lang w:val="sl-SI"/>
              </w:rPr>
              <w:t xml:space="preserve"> je razvidno iz projektantskega </w:t>
            </w:r>
            <w:r w:rsidR="00C44D1A">
              <w:rPr>
                <w:rFonts w:cs="Arial"/>
                <w:lang w:val="sl-SI"/>
              </w:rPr>
              <w:t>predračuna za izvedbo komasacije</w:t>
            </w:r>
            <w:r w:rsidR="004331D5" w:rsidRPr="004331D5">
              <w:rPr>
                <w:rFonts w:cs="Arial"/>
                <w:lang w:val="sl-SI"/>
              </w:rPr>
              <w:t>.</w:t>
            </w:r>
          </w:p>
        </w:tc>
        <w:tc>
          <w:tcPr>
            <w:tcW w:w="1459" w:type="dxa"/>
            <w:shd w:val="clear" w:color="auto" w:fill="auto"/>
          </w:tcPr>
          <w:p w14:paraId="66B5E785" w14:textId="77777777" w:rsidR="006A6EF9" w:rsidRPr="006021DF" w:rsidRDefault="006A6EF9" w:rsidP="006A6EF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lang w:val="sl-SI"/>
              </w:rPr>
            </w:pPr>
            <w:r w:rsidRPr="006021DF">
              <w:rPr>
                <w:rFonts w:cs="Arial"/>
                <w:b/>
                <w:lang w:val="sl-SI"/>
              </w:rPr>
              <w:t>20</w:t>
            </w:r>
          </w:p>
        </w:tc>
      </w:tr>
      <w:tr w:rsidR="006A6EF9" w:rsidRPr="006A6EF9" w14:paraId="4FD3BB32" w14:textId="77777777" w:rsidTr="00194120">
        <w:tc>
          <w:tcPr>
            <w:tcW w:w="6921" w:type="dxa"/>
            <w:shd w:val="clear" w:color="auto" w:fill="auto"/>
          </w:tcPr>
          <w:p w14:paraId="20952E57" w14:textId="3306DC83" w:rsidR="006A6EF9" w:rsidRPr="006A6EF9" w:rsidRDefault="006A6EF9" w:rsidP="007F05C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lang w:val="sl-SI"/>
              </w:rPr>
            </w:pPr>
            <w:r w:rsidRPr="006A6EF9">
              <w:rPr>
                <w:lang w:val="sl-SI"/>
              </w:rPr>
              <w:t>Število parcel na ha komasacijskega območja je 3</w:t>
            </w:r>
            <w:r w:rsidR="007F05CF">
              <w:rPr>
                <w:lang w:val="sl-SI"/>
              </w:rPr>
              <w:t xml:space="preserve"> ali več</w:t>
            </w:r>
            <w:r w:rsidR="00741E32">
              <w:rPr>
                <w:lang w:val="sl-SI"/>
              </w:rPr>
              <w:t>.</w:t>
            </w:r>
          </w:p>
        </w:tc>
        <w:tc>
          <w:tcPr>
            <w:tcW w:w="1459" w:type="dxa"/>
            <w:shd w:val="clear" w:color="auto" w:fill="auto"/>
          </w:tcPr>
          <w:p w14:paraId="161F74E2" w14:textId="53018071" w:rsidR="006A6EF9" w:rsidRPr="006A6EF9" w:rsidRDefault="006A6EF9" w:rsidP="006A6EF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20</w:t>
            </w:r>
          </w:p>
        </w:tc>
      </w:tr>
      <w:tr w:rsidR="006A6EF9" w:rsidRPr="006A6EF9" w14:paraId="622EE699" w14:textId="77777777" w:rsidTr="00194120">
        <w:tc>
          <w:tcPr>
            <w:tcW w:w="6921" w:type="dxa"/>
            <w:shd w:val="clear" w:color="auto" w:fill="auto"/>
          </w:tcPr>
          <w:p w14:paraId="3533ABF7" w14:textId="627B660D" w:rsidR="006A6EF9" w:rsidRPr="006A6EF9" w:rsidRDefault="006A6EF9" w:rsidP="006A6EF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lang w:val="sl-SI"/>
              </w:rPr>
            </w:pPr>
            <w:r w:rsidRPr="006A6EF9">
              <w:rPr>
                <w:lang w:val="sl-SI"/>
              </w:rPr>
              <w:t xml:space="preserve">Število parcel na ha komasacijskega območja je </w:t>
            </w:r>
            <w:r w:rsidR="00741E32">
              <w:rPr>
                <w:lang w:val="sl-SI"/>
              </w:rPr>
              <w:t xml:space="preserve">od </w:t>
            </w:r>
            <w:r w:rsidRPr="006A6EF9">
              <w:rPr>
                <w:lang w:val="sl-SI"/>
              </w:rPr>
              <w:t xml:space="preserve">2 do </w:t>
            </w:r>
            <w:r>
              <w:rPr>
                <w:lang w:val="sl-SI"/>
              </w:rPr>
              <w:t>manj kot 3</w:t>
            </w:r>
            <w:r w:rsidR="00741E32">
              <w:rPr>
                <w:lang w:val="sl-SI"/>
              </w:rPr>
              <w:t>.</w:t>
            </w:r>
          </w:p>
        </w:tc>
        <w:tc>
          <w:tcPr>
            <w:tcW w:w="1459" w:type="dxa"/>
            <w:shd w:val="clear" w:color="auto" w:fill="auto"/>
          </w:tcPr>
          <w:p w14:paraId="1A58F800" w14:textId="28F67DA6" w:rsidR="006A6EF9" w:rsidRPr="006A6EF9" w:rsidRDefault="006A6EF9" w:rsidP="006A6EF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15</w:t>
            </w:r>
          </w:p>
        </w:tc>
      </w:tr>
      <w:tr w:rsidR="006A6EF9" w:rsidRPr="006A6EF9" w14:paraId="422763DD" w14:textId="77777777" w:rsidTr="00194120">
        <w:tc>
          <w:tcPr>
            <w:tcW w:w="6921" w:type="dxa"/>
            <w:shd w:val="clear" w:color="auto" w:fill="auto"/>
          </w:tcPr>
          <w:p w14:paraId="78447BA2" w14:textId="7D7442B8" w:rsidR="006A6EF9" w:rsidRPr="006A6EF9" w:rsidRDefault="006A6EF9" w:rsidP="006A6EF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lang w:val="sl-SI"/>
              </w:rPr>
            </w:pPr>
            <w:r w:rsidRPr="006A6EF9">
              <w:rPr>
                <w:lang w:val="sl-SI"/>
              </w:rPr>
              <w:t>Število parcel na ha komasacijskega območja je</w:t>
            </w:r>
            <w:r w:rsidR="00741E32">
              <w:rPr>
                <w:lang w:val="sl-SI"/>
              </w:rPr>
              <w:t xml:space="preserve"> od</w:t>
            </w:r>
            <w:r w:rsidRPr="006A6EF9">
              <w:rPr>
                <w:lang w:val="sl-SI"/>
              </w:rPr>
              <w:t xml:space="preserve"> 1 do </w:t>
            </w:r>
            <w:r>
              <w:rPr>
                <w:lang w:val="sl-SI"/>
              </w:rPr>
              <w:t>manj kot 2</w:t>
            </w:r>
            <w:r w:rsidR="00741E32">
              <w:rPr>
                <w:lang w:val="sl-SI"/>
              </w:rPr>
              <w:t>.</w:t>
            </w:r>
          </w:p>
        </w:tc>
        <w:tc>
          <w:tcPr>
            <w:tcW w:w="1459" w:type="dxa"/>
            <w:shd w:val="clear" w:color="auto" w:fill="auto"/>
          </w:tcPr>
          <w:p w14:paraId="7647F8F9" w14:textId="742942AB" w:rsidR="006A6EF9" w:rsidRPr="006A6EF9" w:rsidRDefault="006A6EF9" w:rsidP="006A6EF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10</w:t>
            </w:r>
          </w:p>
        </w:tc>
      </w:tr>
      <w:tr w:rsidR="006A6EF9" w:rsidRPr="006A6EF9" w14:paraId="5B82E6B2" w14:textId="77777777" w:rsidTr="00194120">
        <w:tc>
          <w:tcPr>
            <w:tcW w:w="6921" w:type="dxa"/>
            <w:shd w:val="clear" w:color="auto" w:fill="auto"/>
          </w:tcPr>
          <w:p w14:paraId="08C156BE" w14:textId="7278D5AF" w:rsidR="006A6EF9" w:rsidRPr="006A6EF9" w:rsidRDefault="006A6EF9" w:rsidP="004E674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lang w:val="sl-SI"/>
              </w:rPr>
            </w:pPr>
            <w:r w:rsidRPr="006A6EF9">
              <w:rPr>
                <w:lang w:val="sl-SI"/>
              </w:rPr>
              <w:t xml:space="preserve">Število parcel na ha komasacijskega območja je </w:t>
            </w:r>
            <w:r w:rsidR="004E6747">
              <w:rPr>
                <w:lang w:val="sl-SI"/>
              </w:rPr>
              <w:t>manjše od</w:t>
            </w:r>
            <w:r w:rsidR="002413C5" w:rsidRPr="002413C5">
              <w:rPr>
                <w:color w:val="FF0000"/>
                <w:lang w:val="sl-SI"/>
              </w:rPr>
              <w:t xml:space="preserve"> </w:t>
            </w:r>
            <w:r>
              <w:rPr>
                <w:lang w:val="sl-SI"/>
              </w:rPr>
              <w:t>1</w:t>
            </w:r>
            <w:r w:rsidR="00741E32">
              <w:rPr>
                <w:lang w:val="sl-SI"/>
              </w:rPr>
              <w:t>.</w:t>
            </w:r>
          </w:p>
        </w:tc>
        <w:tc>
          <w:tcPr>
            <w:tcW w:w="1459" w:type="dxa"/>
            <w:shd w:val="clear" w:color="auto" w:fill="auto"/>
          </w:tcPr>
          <w:p w14:paraId="7C2967E0" w14:textId="6DEF8D49" w:rsidR="006A6EF9" w:rsidRPr="006A6EF9" w:rsidRDefault="006A6EF9" w:rsidP="006A6EF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5</w:t>
            </w:r>
          </w:p>
        </w:tc>
      </w:tr>
      <w:tr w:rsidR="006A6EF9" w:rsidRPr="006021DF" w14:paraId="3E46B92D" w14:textId="77777777" w:rsidTr="00194120">
        <w:tc>
          <w:tcPr>
            <w:tcW w:w="6921" w:type="dxa"/>
            <w:shd w:val="clear" w:color="auto" w:fill="auto"/>
          </w:tcPr>
          <w:p w14:paraId="47D93147" w14:textId="37CF986B" w:rsidR="006A6EF9" w:rsidRPr="006021DF" w:rsidRDefault="006A6EF9" w:rsidP="006A6EF9">
            <w:pPr>
              <w:pStyle w:val="Odstavekseznama"/>
              <w:numPr>
                <w:ilvl w:val="1"/>
                <w:numId w:val="4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0"/>
                <w:lang w:val="sl-SI"/>
              </w:rPr>
            </w:pPr>
            <w:r w:rsidRPr="006021DF">
              <w:rPr>
                <w:rFonts w:ascii="Arial" w:hAnsi="Arial" w:cs="Arial"/>
                <w:b/>
                <w:sz w:val="20"/>
                <w:lang w:val="sl-SI"/>
              </w:rPr>
              <w:t>GEOGRAFSKI VIDIK NALOŽBE</w:t>
            </w:r>
          </w:p>
        </w:tc>
        <w:tc>
          <w:tcPr>
            <w:tcW w:w="1459" w:type="dxa"/>
            <w:shd w:val="clear" w:color="auto" w:fill="auto"/>
          </w:tcPr>
          <w:p w14:paraId="724438DF" w14:textId="733FDDB3" w:rsidR="006A6EF9" w:rsidRPr="006021DF" w:rsidRDefault="006A6EF9" w:rsidP="006A6EF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lang w:val="sl-SI"/>
              </w:rPr>
            </w:pPr>
            <w:r>
              <w:rPr>
                <w:rFonts w:cs="Arial"/>
                <w:b/>
                <w:lang w:val="sl-SI"/>
              </w:rPr>
              <w:t>3</w:t>
            </w:r>
            <w:r w:rsidRPr="006021DF">
              <w:rPr>
                <w:rFonts w:cs="Arial"/>
                <w:b/>
                <w:lang w:val="sl-SI"/>
              </w:rPr>
              <w:t>0</w:t>
            </w:r>
          </w:p>
        </w:tc>
      </w:tr>
      <w:tr w:rsidR="006A6EF9" w:rsidRPr="006021DF" w14:paraId="04BB7266" w14:textId="77777777" w:rsidTr="00194120">
        <w:tc>
          <w:tcPr>
            <w:tcW w:w="6921" w:type="dxa"/>
            <w:shd w:val="clear" w:color="auto" w:fill="auto"/>
          </w:tcPr>
          <w:p w14:paraId="1B11D9E9" w14:textId="77777777" w:rsidR="006A6EF9" w:rsidRDefault="006A6EF9" w:rsidP="006A6EF9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Arial"/>
                <w:b/>
                <w:lang w:val="sl-SI"/>
              </w:rPr>
            </w:pPr>
            <w:r w:rsidRPr="006021DF">
              <w:rPr>
                <w:rFonts w:cs="Arial"/>
                <w:b/>
                <w:lang w:val="sl-SI"/>
              </w:rPr>
              <w:t>2.1. Koeficient razvitosti občin</w:t>
            </w:r>
          </w:p>
          <w:p w14:paraId="3DCA7BB3" w14:textId="309E7488" w:rsidR="00F65C98" w:rsidRDefault="006A6EF9" w:rsidP="00FD35B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lang w:val="sl-SI"/>
              </w:rPr>
            </w:pPr>
            <w:r w:rsidRPr="00903211">
              <w:rPr>
                <w:rFonts w:cs="Arial"/>
                <w:lang w:val="sl-SI"/>
              </w:rPr>
              <w:t>Koeficient</w:t>
            </w:r>
            <w:r w:rsidR="00F65C98">
              <w:rPr>
                <w:rFonts w:cs="Arial"/>
                <w:lang w:val="sl-SI"/>
              </w:rPr>
              <w:t xml:space="preserve">i </w:t>
            </w:r>
            <w:r w:rsidRPr="00903211">
              <w:rPr>
                <w:rFonts w:cs="Arial"/>
                <w:lang w:val="sl-SI"/>
              </w:rPr>
              <w:t>razvitosti občin</w:t>
            </w:r>
            <w:r w:rsidR="00F65C98">
              <w:rPr>
                <w:rFonts w:cs="Arial"/>
                <w:lang w:val="sl-SI"/>
              </w:rPr>
              <w:t xml:space="preserve"> so določeni v </w:t>
            </w:r>
            <w:r w:rsidR="00F65C98" w:rsidRPr="00F65C98">
              <w:rPr>
                <w:rFonts w:cs="Arial"/>
                <w:lang w:val="sl-SI"/>
              </w:rPr>
              <w:t>prilogi razpisne dokumentacije</w:t>
            </w:r>
            <w:r w:rsidR="00F65C98">
              <w:rPr>
                <w:rFonts w:cs="Arial"/>
                <w:lang w:val="sl-SI"/>
              </w:rPr>
              <w:t>,</w:t>
            </w:r>
            <w:r w:rsidRPr="00903211">
              <w:rPr>
                <w:rFonts w:cs="Arial"/>
                <w:lang w:val="sl-SI"/>
              </w:rPr>
              <w:t xml:space="preserve"> </w:t>
            </w:r>
            <w:r w:rsidR="00F65C98">
              <w:rPr>
                <w:rFonts w:cs="Arial"/>
                <w:lang w:val="sl-SI"/>
              </w:rPr>
              <w:t>pri čemer se upošteva</w:t>
            </w:r>
            <w:r w:rsidR="00F65C98" w:rsidRPr="00F65C98">
              <w:rPr>
                <w:rFonts w:cs="Arial"/>
                <w:lang w:val="sl-SI"/>
              </w:rPr>
              <w:t xml:space="preserve"> občina, v kateri se nahajajo zemljišča, na katerih se bo izvajala </w:t>
            </w:r>
            <w:r w:rsidR="00F65C98">
              <w:rPr>
                <w:rFonts w:cs="Arial"/>
                <w:lang w:val="sl-SI"/>
              </w:rPr>
              <w:t>komasacija</w:t>
            </w:r>
            <w:r w:rsidR="00F65C98" w:rsidRPr="00F65C98">
              <w:rPr>
                <w:rFonts w:cs="Arial"/>
                <w:lang w:val="sl-SI"/>
              </w:rPr>
              <w:t>.</w:t>
            </w:r>
            <w:r w:rsidR="00FD35B4">
              <w:rPr>
                <w:rFonts w:cs="Arial"/>
                <w:lang w:val="sl-SI"/>
              </w:rPr>
              <w:t xml:space="preserve"> </w:t>
            </w:r>
            <w:r w:rsidR="00FD35B4" w:rsidRPr="00FD35B4">
              <w:rPr>
                <w:rFonts w:cs="Arial"/>
                <w:lang w:val="sl-SI"/>
              </w:rPr>
              <w:t>Če se</w:t>
            </w:r>
            <w:r w:rsidR="00FD35B4">
              <w:rPr>
                <w:rFonts w:cs="Arial"/>
                <w:lang w:val="sl-SI"/>
              </w:rPr>
              <w:t xml:space="preserve"> komasacijsko območje </w:t>
            </w:r>
            <w:r w:rsidR="00FD35B4" w:rsidRPr="00FD35B4">
              <w:rPr>
                <w:rFonts w:cs="Arial"/>
                <w:lang w:val="sl-SI"/>
              </w:rPr>
              <w:t>nahaja v več občinah, se za določitev koeficienta šteje</w:t>
            </w:r>
            <w:r w:rsidR="00FD35B4">
              <w:rPr>
                <w:rFonts w:cs="Arial"/>
                <w:lang w:val="sl-SI"/>
              </w:rPr>
              <w:t xml:space="preserve"> </w:t>
            </w:r>
            <w:r w:rsidR="00FD35B4" w:rsidRPr="00FD35B4">
              <w:rPr>
                <w:rFonts w:cs="Arial"/>
                <w:lang w:val="sl-SI"/>
              </w:rPr>
              <w:t xml:space="preserve">občina, v kateri leži večji del </w:t>
            </w:r>
            <w:r w:rsidR="00FD35B4">
              <w:rPr>
                <w:rFonts w:cs="Arial"/>
                <w:lang w:val="sl-SI"/>
              </w:rPr>
              <w:t>komasacijskega območja</w:t>
            </w:r>
            <w:r w:rsidR="00FD35B4" w:rsidRPr="00FD35B4">
              <w:rPr>
                <w:rFonts w:cs="Arial"/>
                <w:lang w:val="sl-SI"/>
              </w:rPr>
              <w:t>.</w:t>
            </w:r>
          </w:p>
          <w:p w14:paraId="3A3AB80F" w14:textId="6E4D6A0C" w:rsidR="006A6EF9" w:rsidRPr="00903211" w:rsidRDefault="006A6EF9" w:rsidP="006A6EF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lang w:val="sl-SI"/>
              </w:rPr>
            </w:pPr>
          </w:p>
        </w:tc>
        <w:tc>
          <w:tcPr>
            <w:tcW w:w="1459" w:type="dxa"/>
            <w:shd w:val="clear" w:color="auto" w:fill="auto"/>
          </w:tcPr>
          <w:p w14:paraId="79B3E093" w14:textId="0DAAE9B3" w:rsidR="006A6EF9" w:rsidRPr="006021DF" w:rsidRDefault="006A6EF9" w:rsidP="006A6EF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lang w:val="sl-SI"/>
              </w:rPr>
            </w:pPr>
            <w:r>
              <w:rPr>
                <w:rFonts w:cs="Arial"/>
                <w:b/>
                <w:lang w:val="sl-SI"/>
              </w:rPr>
              <w:t>1</w:t>
            </w:r>
            <w:r w:rsidRPr="006021DF">
              <w:rPr>
                <w:rFonts w:cs="Arial"/>
                <w:b/>
                <w:lang w:val="sl-SI"/>
              </w:rPr>
              <w:t>0</w:t>
            </w:r>
          </w:p>
        </w:tc>
      </w:tr>
      <w:tr w:rsidR="006A6EF9" w:rsidRPr="006021DF" w14:paraId="48BBE0B7" w14:textId="77777777" w:rsidTr="00194120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0646F" w14:textId="49E9568E" w:rsidR="006A6EF9" w:rsidRPr="006021DF" w:rsidRDefault="006A6EF9" w:rsidP="006A6EF9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Arial"/>
                <w:lang w:val="sl-SI"/>
              </w:rPr>
            </w:pPr>
            <w:r w:rsidRPr="006021DF">
              <w:rPr>
                <w:rFonts w:cs="Arial"/>
                <w:lang w:val="sl-SI"/>
              </w:rPr>
              <w:t>Koeficient razvitosti občine je 0,8</w:t>
            </w:r>
            <w:r w:rsidR="005A3337">
              <w:rPr>
                <w:rFonts w:cs="Arial"/>
                <w:lang w:val="sl-SI"/>
              </w:rPr>
              <w:t>0</w:t>
            </w:r>
            <w:r w:rsidRPr="006021DF">
              <w:rPr>
                <w:rFonts w:cs="Arial"/>
                <w:lang w:val="sl-SI"/>
              </w:rPr>
              <w:t xml:space="preserve"> ali manj</w:t>
            </w:r>
            <w:r w:rsidR="005A3337">
              <w:rPr>
                <w:rFonts w:cs="Arial"/>
                <w:lang w:val="sl-SI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9C4B3" w14:textId="2A97452C" w:rsidR="006A6EF9" w:rsidRPr="006021DF" w:rsidRDefault="006A6EF9" w:rsidP="006A6EF9">
            <w:pPr>
              <w:jc w:val="center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10</w:t>
            </w:r>
          </w:p>
        </w:tc>
      </w:tr>
      <w:tr w:rsidR="006A6EF9" w:rsidRPr="006021DF" w14:paraId="41E76F88" w14:textId="77777777" w:rsidTr="00194120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8B694" w14:textId="4BABD354" w:rsidR="006A6EF9" w:rsidRPr="006021DF" w:rsidRDefault="006A6EF9" w:rsidP="006A6EF9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Arial"/>
                <w:lang w:val="sl-SI"/>
              </w:rPr>
            </w:pPr>
            <w:r w:rsidRPr="006021DF">
              <w:rPr>
                <w:rFonts w:cs="Arial"/>
                <w:lang w:val="sl-SI"/>
              </w:rPr>
              <w:t>Koeficient razvitosti občine je</w:t>
            </w:r>
            <w:r w:rsidR="005A3337">
              <w:rPr>
                <w:rFonts w:cs="Arial"/>
                <w:lang w:val="sl-SI"/>
              </w:rPr>
              <w:t xml:space="preserve"> več kot</w:t>
            </w:r>
            <w:r w:rsidRPr="006021DF">
              <w:rPr>
                <w:rFonts w:cs="Arial"/>
                <w:lang w:val="sl-SI"/>
              </w:rPr>
              <w:t xml:space="preserve"> 0,8</w:t>
            </w:r>
            <w:r w:rsidR="005A3337">
              <w:rPr>
                <w:rFonts w:cs="Arial"/>
                <w:lang w:val="sl-SI"/>
              </w:rPr>
              <w:t>0</w:t>
            </w:r>
            <w:r w:rsidRPr="006021DF">
              <w:rPr>
                <w:rFonts w:cs="Arial"/>
                <w:lang w:val="sl-SI"/>
              </w:rPr>
              <w:t xml:space="preserve"> </w:t>
            </w:r>
            <w:r w:rsidR="005A3337">
              <w:rPr>
                <w:rFonts w:cs="Arial"/>
                <w:lang w:val="sl-SI"/>
              </w:rPr>
              <w:t xml:space="preserve">in </w:t>
            </w:r>
            <w:r>
              <w:rPr>
                <w:rFonts w:cs="Arial"/>
                <w:lang w:val="sl-SI"/>
              </w:rPr>
              <w:t>manj kot</w:t>
            </w:r>
            <w:r w:rsidRPr="006021DF">
              <w:rPr>
                <w:rFonts w:cs="Arial"/>
                <w:lang w:val="sl-SI"/>
              </w:rPr>
              <w:t xml:space="preserve"> 1,00</w:t>
            </w:r>
            <w:r w:rsidR="005A3337">
              <w:rPr>
                <w:rFonts w:cs="Arial"/>
                <w:lang w:val="sl-SI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12D65" w14:textId="6B55D5CE" w:rsidR="006A6EF9" w:rsidRPr="006021DF" w:rsidRDefault="006A6EF9" w:rsidP="006A6EF9">
            <w:pPr>
              <w:jc w:val="center"/>
              <w:rPr>
                <w:rFonts w:cs="Arial"/>
                <w:lang w:val="sl-SI"/>
              </w:rPr>
            </w:pPr>
            <w:r w:rsidRPr="006021DF">
              <w:rPr>
                <w:rFonts w:cs="Arial"/>
                <w:lang w:val="sl-SI"/>
              </w:rPr>
              <w:t>5</w:t>
            </w:r>
          </w:p>
        </w:tc>
      </w:tr>
      <w:tr w:rsidR="006A6EF9" w:rsidRPr="006021DF" w14:paraId="320CDD9E" w14:textId="77777777" w:rsidTr="00194120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E8733" w14:textId="3E1B0AA1" w:rsidR="006A6EF9" w:rsidRPr="006021DF" w:rsidRDefault="006A6EF9" w:rsidP="007F05CF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Arial"/>
                <w:lang w:val="sl-SI"/>
              </w:rPr>
            </w:pPr>
            <w:r w:rsidRPr="006021DF">
              <w:rPr>
                <w:rFonts w:cs="Arial"/>
                <w:lang w:val="sl-SI"/>
              </w:rPr>
              <w:t>Koeficient razvitosti občine je 1,00</w:t>
            </w:r>
            <w:r w:rsidR="007F05CF">
              <w:rPr>
                <w:rFonts w:cs="Arial"/>
                <w:lang w:val="sl-SI"/>
              </w:rPr>
              <w:t xml:space="preserve"> ali več</w:t>
            </w:r>
            <w:r w:rsidR="005A3337">
              <w:rPr>
                <w:rFonts w:cs="Arial"/>
                <w:lang w:val="sl-SI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5A4B7" w14:textId="56F825C6" w:rsidR="006A6EF9" w:rsidRPr="006021DF" w:rsidRDefault="006A6EF9" w:rsidP="006A6EF9">
            <w:pPr>
              <w:jc w:val="center"/>
              <w:rPr>
                <w:rFonts w:cs="Arial"/>
                <w:lang w:val="sl-SI"/>
              </w:rPr>
            </w:pPr>
            <w:r w:rsidRPr="006021DF">
              <w:rPr>
                <w:rFonts w:cs="Arial"/>
                <w:lang w:val="sl-SI"/>
              </w:rPr>
              <w:t>1</w:t>
            </w:r>
          </w:p>
        </w:tc>
      </w:tr>
      <w:tr w:rsidR="006A6EF9" w:rsidRPr="006021DF" w14:paraId="517123C7" w14:textId="77777777" w:rsidTr="00194120">
        <w:tc>
          <w:tcPr>
            <w:tcW w:w="6921" w:type="dxa"/>
            <w:shd w:val="clear" w:color="auto" w:fill="auto"/>
          </w:tcPr>
          <w:p w14:paraId="0C88A7C0" w14:textId="77777777" w:rsidR="006A6EF9" w:rsidRDefault="006A6EF9" w:rsidP="006A6EF9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Arial"/>
                <w:b/>
                <w:lang w:val="sl-SI"/>
              </w:rPr>
            </w:pPr>
            <w:r>
              <w:rPr>
                <w:rFonts w:cs="Arial"/>
                <w:b/>
                <w:lang w:val="sl-SI"/>
              </w:rPr>
              <w:t>2.2</w:t>
            </w:r>
            <w:r w:rsidRPr="006021DF">
              <w:rPr>
                <w:rFonts w:cs="Arial"/>
                <w:b/>
                <w:lang w:val="sl-SI"/>
              </w:rPr>
              <w:t xml:space="preserve">. </w:t>
            </w:r>
            <w:r w:rsidRPr="006A6EF9">
              <w:rPr>
                <w:rFonts w:cs="Arial"/>
                <w:b/>
                <w:lang w:val="sl-SI"/>
              </w:rPr>
              <w:t>Delež zemljišč, ki so po namenski in dejanski rabi prostora opredeljena</w:t>
            </w:r>
            <w:r>
              <w:rPr>
                <w:rFonts w:cs="Arial"/>
                <w:b/>
                <w:lang w:val="sl-SI"/>
              </w:rPr>
              <w:t xml:space="preserve"> </w:t>
            </w:r>
            <w:r w:rsidRPr="006A6EF9">
              <w:rPr>
                <w:rFonts w:cs="Arial"/>
                <w:b/>
                <w:lang w:val="sl-SI"/>
              </w:rPr>
              <w:t>kot kmetijska zemljišča</w:t>
            </w:r>
          </w:p>
          <w:p w14:paraId="45C7AF84" w14:textId="4390159B" w:rsidR="00370C6F" w:rsidRDefault="00F65C98" w:rsidP="007732C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Točke na podlagi tega merila se dodelijo upravičencu</w:t>
            </w:r>
            <w:r w:rsidR="00DD31A6">
              <w:rPr>
                <w:rFonts w:cs="Arial"/>
                <w:lang w:val="sl-SI"/>
              </w:rPr>
              <w:t>,</w:t>
            </w:r>
            <w:r>
              <w:rPr>
                <w:rFonts w:cs="Arial"/>
                <w:lang w:val="sl-SI"/>
              </w:rPr>
              <w:t xml:space="preserve"> pri katerem je v komasacijsko območje vključenih </w:t>
            </w:r>
            <w:r w:rsidR="00D87F6B">
              <w:rPr>
                <w:rFonts w:cs="Arial"/>
                <w:lang w:val="sl-SI"/>
              </w:rPr>
              <w:t xml:space="preserve">najmanj 70 % zemljišč, ki so po namenski in dejanski rabi </w:t>
            </w:r>
            <w:r w:rsidR="00FB0866">
              <w:rPr>
                <w:rFonts w:cs="Arial"/>
                <w:lang w:val="sl-SI"/>
              </w:rPr>
              <w:t xml:space="preserve">prostora opredeljena kot kmetijska zemljišča. </w:t>
            </w:r>
            <w:r w:rsidR="007732C2">
              <w:rPr>
                <w:rFonts w:cs="Arial"/>
                <w:lang w:val="sl-SI"/>
              </w:rPr>
              <w:t xml:space="preserve">Namenska raba prostora je </w:t>
            </w:r>
            <w:r w:rsidR="007732C2" w:rsidRPr="00813870">
              <w:rPr>
                <w:rFonts w:cs="Arial"/>
                <w:lang w:val="sl-SI"/>
              </w:rPr>
              <w:t>razvidn</w:t>
            </w:r>
            <w:r w:rsidR="007732C2">
              <w:rPr>
                <w:rFonts w:cs="Arial"/>
                <w:lang w:val="sl-SI"/>
              </w:rPr>
              <w:t>a iz</w:t>
            </w:r>
            <w:r w:rsidR="007732C2" w:rsidRPr="00813870">
              <w:rPr>
                <w:rFonts w:cs="Arial"/>
                <w:lang w:val="sl-SI"/>
              </w:rPr>
              <w:t xml:space="preserve"> lokacijske informacije lokalne skupnosti</w:t>
            </w:r>
            <w:r w:rsidR="007732C2">
              <w:rPr>
                <w:rFonts w:cs="Arial"/>
                <w:lang w:val="sl-SI"/>
              </w:rPr>
              <w:t xml:space="preserve">, dejanska raba pa iz </w:t>
            </w:r>
            <w:r w:rsidR="00370C6F" w:rsidRPr="00813870">
              <w:rPr>
                <w:rFonts w:cs="Arial"/>
                <w:lang w:val="sl-SI"/>
              </w:rPr>
              <w:t xml:space="preserve">spletnega pregledovalnika </w:t>
            </w:r>
            <w:r w:rsidR="00813870" w:rsidRPr="00813870">
              <w:rPr>
                <w:rFonts w:cs="Arial"/>
                <w:lang w:val="sl-SI"/>
              </w:rPr>
              <w:t>dejanske rabe prostora</w:t>
            </w:r>
            <w:r w:rsidR="00813870">
              <w:rPr>
                <w:rFonts w:cs="Arial"/>
                <w:lang w:val="sl-SI"/>
              </w:rPr>
              <w:t>.</w:t>
            </w:r>
          </w:p>
          <w:p w14:paraId="15711B37" w14:textId="77777777" w:rsidR="005D6572" w:rsidRDefault="005D6572" w:rsidP="007732C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lang w:val="sl-SI"/>
              </w:rPr>
            </w:pPr>
          </w:p>
          <w:p w14:paraId="1E14DC7E" w14:textId="0999AE55" w:rsidR="005D6572" w:rsidRPr="00813870" w:rsidRDefault="005D6572" w:rsidP="007732C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lang w:val="sl-SI"/>
              </w:rPr>
            </w:pPr>
            <w:r w:rsidRPr="00053CFB">
              <w:rPr>
                <w:rFonts w:cs="Arial"/>
                <w:lang w:val="sl-SI"/>
              </w:rPr>
              <w:t>Delež zemljišč, ki so po namenski in dejanski rabi prostora opredeljena kot kmetijska zemljišča</w:t>
            </w:r>
            <w:r w:rsidR="00DD31A6">
              <w:rPr>
                <w:rFonts w:cs="Arial"/>
                <w:lang w:val="sl-SI"/>
              </w:rPr>
              <w:t>,</w:t>
            </w:r>
            <w:r>
              <w:rPr>
                <w:rFonts w:cs="Arial"/>
                <w:lang w:val="sl-SI"/>
              </w:rPr>
              <w:t xml:space="preserve"> je:</w:t>
            </w:r>
          </w:p>
        </w:tc>
        <w:tc>
          <w:tcPr>
            <w:tcW w:w="1459" w:type="dxa"/>
            <w:shd w:val="clear" w:color="auto" w:fill="auto"/>
          </w:tcPr>
          <w:p w14:paraId="215B9508" w14:textId="77777777" w:rsidR="006A6EF9" w:rsidRPr="006021DF" w:rsidRDefault="006A6EF9" w:rsidP="006A6EF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lang w:val="sl-SI"/>
              </w:rPr>
            </w:pPr>
            <w:r w:rsidRPr="006021DF">
              <w:rPr>
                <w:rFonts w:cs="Arial"/>
                <w:b/>
                <w:lang w:val="sl-SI"/>
              </w:rPr>
              <w:t>20</w:t>
            </w:r>
          </w:p>
        </w:tc>
      </w:tr>
      <w:tr w:rsidR="006A6EF9" w:rsidRPr="006A6EF9" w14:paraId="4AE7AD5D" w14:textId="77777777" w:rsidTr="00194120">
        <w:tc>
          <w:tcPr>
            <w:tcW w:w="6921" w:type="dxa"/>
            <w:shd w:val="clear" w:color="auto" w:fill="auto"/>
          </w:tcPr>
          <w:p w14:paraId="7C767B41" w14:textId="3F71E4E4" w:rsidR="006A6EF9" w:rsidRPr="006A6EF9" w:rsidRDefault="006A6EF9" w:rsidP="007F05CF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Arial"/>
                <w:lang w:val="sl-SI"/>
              </w:rPr>
            </w:pPr>
            <w:r w:rsidRPr="006A6EF9">
              <w:rPr>
                <w:lang w:val="sl-SI"/>
              </w:rPr>
              <w:t>95 %</w:t>
            </w:r>
            <w:r w:rsidR="007F05CF">
              <w:rPr>
                <w:lang w:val="sl-SI"/>
              </w:rPr>
              <w:t xml:space="preserve"> ali več</w:t>
            </w:r>
            <w:r w:rsidR="005D6572">
              <w:rPr>
                <w:lang w:val="sl-SI"/>
              </w:rPr>
              <w:t>.</w:t>
            </w:r>
          </w:p>
        </w:tc>
        <w:tc>
          <w:tcPr>
            <w:tcW w:w="1459" w:type="dxa"/>
            <w:shd w:val="clear" w:color="auto" w:fill="auto"/>
          </w:tcPr>
          <w:p w14:paraId="68637761" w14:textId="77777777" w:rsidR="006A6EF9" w:rsidRPr="006A6EF9" w:rsidRDefault="006A6EF9" w:rsidP="006A6EF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lang w:val="sl-SI"/>
              </w:rPr>
            </w:pPr>
            <w:r w:rsidRPr="006A6EF9">
              <w:rPr>
                <w:rFonts w:cs="Arial"/>
                <w:lang w:val="sl-SI"/>
              </w:rPr>
              <w:t>20</w:t>
            </w:r>
          </w:p>
        </w:tc>
      </w:tr>
      <w:tr w:rsidR="006A6EF9" w:rsidRPr="006A6EF9" w14:paraId="1B7EDB5C" w14:textId="77777777" w:rsidTr="00194120">
        <w:tc>
          <w:tcPr>
            <w:tcW w:w="6921" w:type="dxa"/>
            <w:shd w:val="clear" w:color="auto" w:fill="auto"/>
          </w:tcPr>
          <w:p w14:paraId="34F29C8E" w14:textId="0F66D274" w:rsidR="006A6EF9" w:rsidRPr="006A6EF9" w:rsidRDefault="006A6EF9" w:rsidP="00415737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Arial"/>
                <w:lang w:val="sl-SI"/>
              </w:rPr>
            </w:pPr>
            <w:r w:rsidRPr="006A6EF9">
              <w:rPr>
                <w:lang w:val="sl-SI"/>
              </w:rPr>
              <w:t xml:space="preserve">90 % do </w:t>
            </w:r>
            <w:r w:rsidR="00415737">
              <w:rPr>
                <w:lang w:val="sl-SI"/>
              </w:rPr>
              <w:t>manj kot 95</w:t>
            </w:r>
            <w:r w:rsidRPr="006A6EF9">
              <w:rPr>
                <w:lang w:val="sl-SI"/>
              </w:rPr>
              <w:t xml:space="preserve"> %</w:t>
            </w:r>
            <w:r w:rsidR="005D6572">
              <w:rPr>
                <w:lang w:val="sl-SI"/>
              </w:rPr>
              <w:t>.</w:t>
            </w:r>
          </w:p>
        </w:tc>
        <w:tc>
          <w:tcPr>
            <w:tcW w:w="1459" w:type="dxa"/>
            <w:shd w:val="clear" w:color="auto" w:fill="auto"/>
          </w:tcPr>
          <w:p w14:paraId="5A6CD045" w14:textId="77777777" w:rsidR="006A6EF9" w:rsidRPr="006A6EF9" w:rsidRDefault="006A6EF9" w:rsidP="006A6EF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lang w:val="sl-SI"/>
              </w:rPr>
            </w:pPr>
            <w:r w:rsidRPr="006A6EF9">
              <w:rPr>
                <w:rFonts w:cs="Arial"/>
                <w:lang w:val="sl-SI"/>
              </w:rPr>
              <w:t>15</w:t>
            </w:r>
          </w:p>
        </w:tc>
      </w:tr>
      <w:tr w:rsidR="006A6EF9" w:rsidRPr="006A6EF9" w14:paraId="51CED7DB" w14:textId="77777777" w:rsidTr="00194120">
        <w:tc>
          <w:tcPr>
            <w:tcW w:w="6921" w:type="dxa"/>
            <w:shd w:val="clear" w:color="auto" w:fill="auto"/>
          </w:tcPr>
          <w:p w14:paraId="6CB2084C" w14:textId="194B9537" w:rsidR="006A6EF9" w:rsidRPr="004473BB" w:rsidRDefault="00415737" w:rsidP="00415737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Arial"/>
                <w:lang w:val="sl-SI"/>
              </w:rPr>
            </w:pPr>
            <w:r w:rsidRPr="004473BB">
              <w:rPr>
                <w:lang w:val="sl-SI"/>
              </w:rPr>
              <w:t>80 % do manj kot 90</w:t>
            </w:r>
            <w:r w:rsidR="006A6EF9" w:rsidRPr="004473BB">
              <w:rPr>
                <w:lang w:val="sl-SI"/>
              </w:rPr>
              <w:t xml:space="preserve"> %</w:t>
            </w:r>
            <w:r w:rsidR="005D6572" w:rsidRPr="004473BB">
              <w:rPr>
                <w:lang w:val="sl-SI"/>
              </w:rPr>
              <w:t>.</w:t>
            </w:r>
          </w:p>
        </w:tc>
        <w:tc>
          <w:tcPr>
            <w:tcW w:w="1459" w:type="dxa"/>
            <w:shd w:val="clear" w:color="auto" w:fill="auto"/>
          </w:tcPr>
          <w:p w14:paraId="04F54E70" w14:textId="77777777" w:rsidR="006A6EF9" w:rsidRPr="006A6EF9" w:rsidRDefault="006A6EF9" w:rsidP="006A6EF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lang w:val="sl-SI"/>
              </w:rPr>
            </w:pPr>
            <w:r w:rsidRPr="006A6EF9">
              <w:rPr>
                <w:rFonts w:cs="Arial"/>
                <w:lang w:val="sl-SI"/>
              </w:rPr>
              <w:t>10</w:t>
            </w:r>
          </w:p>
        </w:tc>
      </w:tr>
      <w:tr w:rsidR="006A6EF9" w:rsidRPr="006A6EF9" w14:paraId="2EADF5D5" w14:textId="77777777" w:rsidTr="00194120">
        <w:tc>
          <w:tcPr>
            <w:tcW w:w="6921" w:type="dxa"/>
            <w:shd w:val="clear" w:color="auto" w:fill="auto"/>
          </w:tcPr>
          <w:p w14:paraId="073BDD1B" w14:textId="03A80E44" w:rsidR="006A6EF9" w:rsidRPr="004473BB" w:rsidRDefault="003D54C2" w:rsidP="003D54C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Arial"/>
                <w:lang w:val="sl-SI"/>
              </w:rPr>
            </w:pPr>
            <w:r w:rsidRPr="004473BB">
              <w:rPr>
                <w:lang w:val="sl-SI"/>
              </w:rPr>
              <w:t xml:space="preserve">od </w:t>
            </w:r>
            <w:r w:rsidR="006A6EF9" w:rsidRPr="004473BB">
              <w:rPr>
                <w:lang w:val="sl-SI"/>
              </w:rPr>
              <w:t xml:space="preserve">70 % do </w:t>
            </w:r>
            <w:r w:rsidR="00DA60C4" w:rsidRPr="004473BB">
              <w:rPr>
                <w:lang w:val="sl-SI"/>
              </w:rPr>
              <w:t xml:space="preserve">manj kot </w:t>
            </w:r>
            <w:r w:rsidR="00415737" w:rsidRPr="004473BB">
              <w:rPr>
                <w:lang w:val="sl-SI"/>
              </w:rPr>
              <w:t>80</w:t>
            </w:r>
            <w:r w:rsidR="006A6EF9" w:rsidRPr="004473BB">
              <w:rPr>
                <w:lang w:val="sl-SI"/>
              </w:rPr>
              <w:t xml:space="preserve"> %</w:t>
            </w:r>
            <w:r w:rsidR="005D6572" w:rsidRPr="004473BB">
              <w:rPr>
                <w:lang w:val="sl-SI"/>
              </w:rPr>
              <w:t>.</w:t>
            </w:r>
          </w:p>
        </w:tc>
        <w:tc>
          <w:tcPr>
            <w:tcW w:w="1459" w:type="dxa"/>
            <w:shd w:val="clear" w:color="auto" w:fill="auto"/>
          </w:tcPr>
          <w:p w14:paraId="1E9E018B" w14:textId="1A793B70" w:rsidR="006A6EF9" w:rsidRPr="006A6EF9" w:rsidRDefault="006A6EF9" w:rsidP="006A6EF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lang w:val="sl-SI"/>
              </w:rPr>
            </w:pPr>
            <w:r w:rsidRPr="006A6EF9">
              <w:rPr>
                <w:rFonts w:cs="Arial"/>
                <w:lang w:val="sl-SI"/>
              </w:rPr>
              <w:t>5</w:t>
            </w:r>
          </w:p>
        </w:tc>
      </w:tr>
    </w:tbl>
    <w:p w14:paraId="045422BF" w14:textId="77777777" w:rsidR="00A76F1E" w:rsidRDefault="00A76F1E" w:rsidP="003F1F7B">
      <w:pPr>
        <w:pStyle w:val="Golobesedilo"/>
        <w:spacing w:line="260" w:lineRule="atLeast"/>
        <w:rPr>
          <w:rFonts w:ascii="Arial" w:hAnsi="Arial" w:cs="Arial"/>
          <w:b/>
          <w:lang w:val="sl-SI"/>
        </w:rPr>
      </w:pPr>
    </w:p>
    <w:p w14:paraId="580D7A3D" w14:textId="77777777" w:rsidR="00407992" w:rsidRDefault="00407992" w:rsidP="003F1F7B">
      <w:pPr>
        <w:pStyle w:val="Golobesedilo"/>
        <w:spacing w:line="260" w:lineRule="atLeast"/>
        <w:rPr>
          <w:rFonts w:ascii="Arial" w:hAnsi="Arial" w:cs="Arial"/>
          <w:b/>
          <w:lang w:val="sl-SI"/>
        </w:rPr>
      </w:pPr>
    </w:p>
    <w:p w14:paraId="25CEBBAF" w14:textId="1C6DD57F" w:rsidR="003F1F7B" w:rsidRPr="003F1F7B" w:rsidRDefault="003F1F7B" w:rsidP="003F1F7B">
      <w:pPr>
        <w:pStyle w:val="Golobesedilo"/>
        <w:spacing w:line="260" w:lineRule="atLeast"/>
        <w:rPr>
          <w:rFonts w:ascii="Arial" w:hAnsi="Arial" w:cs="Arial"/>
          <w:b/>
          <w:lang w:val="sl-SI"/>
        </w:rPr>
      </w:pPr>
      <w:r w:rsidRPr="003F1F7B">
        <w:rPr>
          <w:rFonts w:ascii="Arial" w:hAnsi="Arial" w:cs="Arial"/>
          <w:b/>
          <w:lang w:val="sl-SI"/>
        </w:rPr>
        <w:t>7. FINANČNE DOLOČBE</w:t>
      </w:r>
    </w:p>
    <w:p w14:paraId="0702F4DB" w14:textId="77777777" w:rsidR="003F1F7B" w:rsidRPr="003F1F7B" w:rsidRDefault="003F1F7B" w:rsidP="003F1F7B">
      <w:pPr>
        <w:pStyle w:val="Golobesedilo"/>
        <w:spacing w:after="120" w:line="260" w:lineRule="atLeast"/>
        <w:ind w:left="1021" w:hanging="1021"/>
        <w:jc w:val="both"/>
        <w:rPr>
          <w:rFonts w:ascii="Arial" w:hAnsi="Arial" w:cs="Arial"/>
          <w:lang w:val="sl-SI"/>
        </w:rPr>
      </w:pPr>
    </w:p>
    <w:p w14:paraId="17782597" w14:textId="3235C850" w:rsidR="003F1F7B" w:rsidRDefault="00822D14" w:rsidP="00916870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lastRenderedPageBreak/>
        <w:t xml:space="preserve">(1) </w:t>
      </w:r>
      <w:r w:rsidR="00916870" w:rsidRPr="003F1F7B">
        <w:rPr>
          <w:rFonts w:ascii="Arial" w:hAnsi="Arial" w:cs="Arial"/>
          <w:lang w:val="sl-SI"/>
        </w:rPr>
        <w:t xml:space="preserve">Finančne določbe so določene v </w:t>
      </w:r>
      <w:r w:rsidR="00916870">
        <w:rPr>
          <w:rFonts w:ascii="Arial" w:hAnsi="Arial" w:cs="Arial"/>
          <w:lang w:val="sl-SI"/>
        </w:rPr>
        <w:t>3</w:t>
      </w:r>
      <w:r w:rsidR="00916870" w:rsidRPr="003F1F7B">
        <w:rPr>
          <w:rFonts w:ascii="Arial" w:hAnsi="Arial" w:cs="Arial"/>
          <w:lang w:val="sl-SI"/>
        </w:rPr>
        <w:t>. členu</w:t>
      </w:r>
      <w:r w:rsidR="00916870">
        <w:rPr>
          <w:rFonts w:ascii="Arial" w:hAnsi="Arial" w:cs="Arial"/>
          <w:lang w:val="sl-SI"/>
        </w:rPr>
        <w:t xml:space="preserve"> u</w:t>
      </w:r>
      <w:r w:rsidR="00916870" w:rsidRPr="003F1F7B">
        <w:rPr>
          <w:rFonts w:ascii="Arial" w:hAnsi="Arial" w:cs="Arial"/>
          <w:lang w:val="sl-SI"/>
        </w:rPr>
        <w:t>redbe</w:t>
      </w:r>
      <w:r w:rsidR="00916870" w:rsidRPr="00261AF3">
        <w:t xml:space="preserve"> </w:t>
      </w:r>
      <w:r w:rsidR="00916870" w:rsidRPr="00261AF3">
        <w:rPr>
          <w:rFonts w:ascii="Arial" w:hAnsi="Arial" w:cs="Arial"/>
          <w:lang w:val="sl-SI"/>
        </w:rPr>
        <w:t>o izvajanju intervencij s področja zemljiških operacij</w:t>
      </w:r>
      <w:r w:rsidR="00916870">
        <w:rPr>
          <w:rFonts w:ascii="Arial" w:hAnsi="Arial" w:cs="Arial"/>
          <w:lang w:val="sl-SI"/>
        </w:rPr>
        <w:t xml:space="preserve">, razen v tretjem in petem odstavku 3. člena </w:t>
      </w:r>
      <w:r w:rsidR="00916870" w:rsidRPr="0095065C">
        <w:rPr>
          <w:rFonts w:ascii="Arial" w:hAnsi="Arial" w:cs="Arial"/>
          <w:lang w:val="sl-SI"/>
        </w:rPr>
        <w:t>uredbe o izvajanju intervencij s področja zemljiških operacij</w:t>
      </w:r>
      <w:r w:rsidR="00916870" w:rsidRPr="003F1F7B">
        <w:rPr>
          <w:rFonts w:ascii="Arial" w:hAnsi="Arial" w:cs="Arial"/>
          <w:lang w:val="sl-SI"/>
        </w:rPr>
        <w:t>.</w:t>
      </w:r>
    </w:p>
    <w:p w14:paraId="3262E9F7" w14:textId="05E4F2E5" w:rsidR="00822D14" w:rsidRPr="00442A5E" w:rsidRDefault="00822D14" w:rsidP="00822D14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(2) </w:t>
      </w:r>
      <w:r w:rsidRPr="00A17EA3">
        <w:rPr>
          <w:rFonts w:ascii="Arial" w:hAnsi="Arial" w:cs="Arial"/>
          <w:lang w:val="sl-SI"/>
        </w:rPr>
        <w:t xml:space="preserve">Če vlagatelj uveljavlja davek na dodano vrednosti kot upravičen strošek v skladu z osmim, devetim in desetim odstavkom 3. člena </w:t>
      </w:r>
      <w:r>
        <w:rPr>
          <w:rFonts w:ascii="Arial" w:hAnsi="Arial" w:cs="Arial"/>
          <w:lang w:val="sl-SI"/>
        </w:rPr>
        <w:t>u</w:t>
      </w:r>
      <w:r w:rsidRPr="00A17EA3">
        <w:rPr>
          <w:rFonts w:ascii="Arial" w:hAnsi="Arial" w:cs="Arial"/>
          <w:lang w:val="sl-SI"/>
        </w:rPr>
        <w:t>redbe o izvajanju intervencij s področja zemljiških operacij</w:t>
      </w:r>
      <w:r w:rsidR="00DD31A6">
        <w:rPr>
          <w:rFonts w:ascii="Arial" w:hAnsi="Arial" w:cs="Arial"/>
          <w:lang w:val="sl-SI"/>
        </w:rPr>
        <w:t>,</w:t>
      </w:r>
      <w:r>
        <w:rPr>
          <w:rFonts w:ascii="Arial" w:hAnsi="Arial" w:cs="Arial"/>
          <w:lang w:val="sl-SI"/>
        </w:rPr>
        <w:t xml:space="preserve"> mora izpolniti »Izjavo o upravičenosti stroška davka na dodano </w:t>
      </w:r>
      <w:r w:rsidR="00A92C86">
        <w:rPr>
          <w:rFonts w:ascii="Arial" w:hAnsi="Arial" w:cs="Arial"/>
          <w:lang w:val="sl-SI"/>
        </w:rPr>
        <w:t>vrednost</w:t>
      </w:r>
      <w:r>
        <w:rPr>
          <w:rFonts w:ascii="Arial" w:hAnsi="Arial" w:cs="Arial"/>
          <w:lang w:val="sl-SI"/>
        </w:rPr>
        <w:t xml:space="preserve">«, ki je v prilogi razpisne dokumentacije. </w:t>
      </w:r>
    </w:p>
    <w:p w14:paraId="3D701920" w14:textId="77777777" w:rsidR="00442A5E" w:rsidRPr="003F1F7B" w:rsidRDefault="00442A5E" w:rsidP="003F1F7B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</w:p>
    <w:p w14:paraId="738862F8" w14:textId="694A2196" w:rsidR="003F1F7B" w:rsidRDefault="003F1F7B" w:rsidP="003F1F7B">
      <w:pPr>
        <w:pStyle w:val="Golobesedilo"/>
        <w:spacing w:line="260" w:lineRule="atLeast"/>
        <w:rPr>
          <w:rFonts w:ascii="Arial" w:hAnsi="Arial" w:cs="Arial"/>
          <w:b/>
          <w:lang w:val="sl-SI"/>
        </w:rPr>
      </w:pPr>
      <w:r w:rsidRPr="003F1F7B">
        <w:rPr>
          <w:rFonts w:ascii="Arial" w:hAnsi="Arial" w:cs="Arial"/>
          <w:b/>
          <w:lang w:val="sl-SI"/>
        </w:rPr>
        <w:t xml:space="preserve">8. </w:t>
      </w:r>
      <w:r w:rsidR="003F4C33">
        <w:rPr>
          <w:rFonts w:ascii="Arial" w:hAnsi="Arial" w:cs="Arial"/>
          <w:b/>
          <w:lang w:val="sl-SI"/>
        </w:rPr>
        <w:t xml:space="preserve">VLAGANJE </w:t>
      </w:r>
      <w:r w:rsidRPr="003F1F7B">
        <w:rPr>
          <w:rFonts w:ascii="Arial" w:hAnsi="Arial" w:cs="Arial"/>
          <w:b/>
          <w:lang w:val="sl-SI"/>
        </w:rPr>
        <w:t>VLOG</w:t>
      </w:r>
      <w:r w:rsidR="003F4C33">
        <w:rPr>
          <w:rFonts w:ascii="Arial" w:hAnsi="Arial" w:cs="Arial"/>
          <w:b/>
          <w:lang w:val="sl-SI"/>
        </w:rPr>
        <w:t>E</w:t>
      </w:r>
      <w:r w:rsidR="007A75E0">
        <w:rPr>
          <w:rFonts w:ascii="Arial" w:hAnsi="Arial" w:cs="Arial"/>
          <w:b/>
          <w:lang w:val="sl-SI"/>
        </w:rPr>
        <w:t>, OBRAVNAVA VLOGE</w:t>
      </w:r>
      <w:r w:rsidRPr="003F1F7B">
        <w:rPr>
          <w:rFonts w:ascii="Arial" w:hAnsi="Arial" w:cs="Arial"/>
          <w:b/>
          <w:lang w:val="sl-SI"/>
        </w:rPr>
        <w:t xml:space="preserve"> IN POSTOPEK ZA DODELITEV SREDSTEV </w:t>
      </w:r>
    </w:p>
    <w:p w14:paraId="5BF77213" w14:textId="77777777" w:rsidR="007A75E0" w:rsidRPr="003F1F7B" w:rsidRDefault="007A75E0" w:rsidP="003F1F7B">
      <w:pPr>
        <w:pStyle w:val="Golobesedilo"/>
        <w:spacing w:line="260" w:lineRule="atLeast"/>
        <w:rPr>
          <w:rFonts w:ascii="Arial" w:hAnsi="Arial" w:cs="Arial"/>
          <w:b/>
          <w:lang w:val="sl-SI"/>
        </w:rPr>
      </w:pPr>
    </w:p>
    <w:p w14:paraId="6EAC9B04" w14:textId="54CF7B97" w:rsidR="003F1F7B" w:rsidRDefault="00721805" w:rsidP="0072180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(</w:t>
      </w:r>
      <w:r w:rsidRPr="00721805">
        <w:rPr>
          <w:rFonts w:ascii="Arial" w:hAnsi="Arial" w:cs="Arial"/>
          <w:lang w:val="sl-SI"/>
        </w:rPr>
        <w:t>1</w:t>
      </w:r>
      <w:r>
        <w:rPr>
          <w:rFonts w:ascii="Arial" w:hAnsi="Arial" w:cs="Arial"/>
          <w:lang w:val="sl-SI"/>
        </w:rPr>
        <w:t>) Vl</w:t>
      </w:r>
      <w:r w:rsidR="003F4C33">
        <w:rPr>
          <w:rFonts w:ascii="Arial" w:hAnsi="Arial" w:cs="Arial"/>
          <w:lang w:val="sl-SI"/>
        </w:rPr>
        <w:t>aganje</w:t>
      </w:r>
      <w:r>
        <w:rPr>
          <w:rFonts w:ascii="Arial" w:hAnsi="Arial" w:cs="Arial"/>
          <w:lang w:val="sl-SI"/>
        </w:rPr>
        <w:t xml:space="preserve"> vloge na javni razpis</w:t>
      </w:r>
      <w:r w:rsidR="00BF022A">
        <w:rPr>
          <w:rFonts w:ascii="Arial" w:hAnsi="Arial" w:cs="Arial"/>
          <w:lang w:val="sl-SI"/>
        </w:rPr>
        <w:t>, obravnava vloge</w:t>
      </w:r>
      <w:r w:rsidR="003F4C33">
        <w:rPr>
          <w:rFonts w:ascii="Arial" w:hAnsi="Arial" w:cs="Arial"/>
          <w:lang w:val="sl-SI"/>
        </w:rPr>
        <w:t xml:space="preserve"> in postopek za dodelitev sredstev s</w:t>
      </w:r>
      <w:r w:rsidR="00BF022A">
        <w:rPr>
          <w:rFonts w:ascii="Arial" w:hAnsi="Arial" w:cs="Arial"/>
          <w:lang w:val="sl-SI"/>
        </w:rPr>
        <w:t>o</w:t>
      </w:r>
      <w:r>
        <w:rPr>
          <w:rFonts w:ascii="Arial" w:hAnsi="Arial" w:cs="Arial"/>
          <w:lang w:val="sl-SI"/>
        </w:rPr>
        <w:t xml:space="preserve"> določen</w:t>
      </w:r>
      <w:r w:rsidR="00BF022A">
        <w:rPr>
          <w:rFonts w:ascii="Arial" w:hAnsi="Arial" w:cs="Arial"/>
          <w:lang w:val="sl-SI"/>
        </w:rPr>
        <w:t>i</w:t>
      </w:r>
      <w:r>
        <w:rPr>
          <w:rFonts w:ascii="Arial" w:hAnsi="Arial" w:cs="Arial"/>
          <w:lang w:val="sl-SI"/>
        </w:rPr>
        <w:t xml:space="preserve"> v </w:t>
      </w:r>
      <w:r w:rsidR="003F4C33">
        <w:rPr>
          <w:rFonts w:ascii="Arial" w:hAnsi="Arial" w:cs="Arial"/>
          <w:lang w:val="sl-SI"/>
        </w:rPr>
        <w:t xml:space="preserve">5., </w:t>
      </w:r>
      <w:r>
        <w:rPr>
          <w:rFonts w:ascii="Arial" w:hAnsi="Arial" w:cs="Arial"/>
          <w:lang w:val="sl-SI"/>
        </w:rPr>
        <w:t xml:space="preserve">6. </w:t>
      </w:r>
      <w:r w:rsidR="003F4C33">
        <w:rPr>
          <w:rFonts w:ascii="Arial" w:hAnsi="Arial" w:cs="Arial"/>
          <w:lang w:val="sl-SI"/>
        </w:rPr>
        <w:t xml:space="preserve">in 7. </w:t>
      </w:r>
      <w:r>
        <w:rPr>
          <w:rFonts w:ascii="Arial" w:hAnsi="Arial" w:cs="Arial"/>
          <w:lang w:val="sl-SI"/>
        </w:rPr>
        <w:t xml:space="preserve">členu </w:t>
      </w:r>
      <w:r w:rsidR="005B3E96">
        <w:rPr>
          <w:rFonts w:ascii="Arial" w:hAnsi="Arial" w:cs="Arial"/>
          <w:lang w:val="sl-SI"/>
        </w:rPr>
        <w:t>uredbe</w:t>
      </w:r>
      <w:r w:rsidR="005B3E96" w:rsidRPr="005B3E96">
        <w:rPr>
          <w:rFonts w:ascii="Arial" w:hAnsi="Arial" w:cs="Arial"/>
          <w:lang w:val="sl-SI"/>
        </w:rPr>
        <w:t xml:space="preserve"> o skupnih določbah za izvajanje intervencij</w:t>
      </w:r>
      <w:r w:rsidR="003F4C33">
        <w:rPr>
          <w:rFonts w:ascii="Arial" w:hAnsi="Arial" w:cs="Arial"/>
          <w:lang w:val="sl-SI"/>
        </w:rPr>
        <w:t xml:space="preserve"> ter </w:t>
      </w:r>
      <w:r w:rsidR="00BF022A">
        <w:rPr>
          <w:rFonts w:ascii="Arial" w:hAnsi="Arial" w:cs="Arial"/>
          <w:lang w:val="sl-SI"/>
        </w:rPr>
        <w:t xml:space="preserve">v </w:t>
      </w:r>
      <w:r w:rsidR="003F4C33">
        <w:rPr>
          <w:rFonts w:ascii="Arial" w:hAnsi="Arial" w:cs="Arial"/>
          <w:lang w:val="sl-SI"/>
        </w:rPr>
        <w:t>60. členu uredbe</w:t>
      </w:r>
      <w:r w:rsidR="00F02585">
        <w:rPr>
          <w:rFonts w:ascii="Arial" w:hAnsi="Arial" w:cs="Arial"/>
          <w:lang w:val="sl-SI"/>
        </w:rPr>
        <w:t xml:space="preserve"> o </w:t>
      </w:r>
      <w:r w:rsidR="003F4C33" w:rsidRPr="00261AF3">
        <w:rPr>
          <w:rFonts w:ascii="Arial" w:hAnsi="Arial" w:cs="Arial"/>
          <w:lang w:val="sl-SI"/>
        </w:rPr>
        <w:t>izvajanju intervencij s področja zemljiških operacij</w:t>
      </w:r>
      <w:r w:rsidR="003F1F7B" w:rsidRPr="003F1F7B">
        <w:rPr>
          <w:rFonts w:ascii="Arial" w:hAnsi="Arial" w:cs="Arial"/>
          <w:lang w:val="sl-SI"/>
        </w:rPr>
        <w:t>.</w:t>
      </w:r>
    </w:p>
    <w:p w14:paraId="6EC3D266" w14:textId="77777777" w:rsidR="00721805" w:rsidRDefault="00721805" w:rsidP="0072180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696B8D43" w14:textId="135E1980" w:rsidR="003F4C33" w:rsidRDefault="00721805" w:rsidP="007A75E0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(</w:t>
      </w:r>
      <w:r w:rsidR="00BF022A">
        <w:rPr>
          <w:rFonts w:ascii="Arial" w:hAnsi="Arial" w:cs="Arial"/>
          <w:lang w:val="sl-SI"/>
        </w:rPr>
        <w:t>2</w:t>
      </w:r>
      <w:r>
        <w:rPr>
          <w:rFonts w:ascii="Arial" w:hAnsi="Arial" w:cs="Arial"/>
          <w:lang w:val="sl-SI"/>
        </w:rPr>
        <w:t xml:space="preserve">) </w:t>
      </w:r>
      <w:r w:rsidR="003F4C33">
        <w:rPr>
          <w:rFonts w:ascii="Arial" w:hAnsi="Arial" w:cs="Arial"/>
          <w:lang w:val="sl-SI"/>
        </w:rPr>
        <w:t>Javna o</w:t>
      </w:r>
      <w:r w:rsidR="003F4C33" w:rsidRPr="003F1F7B">
        <w:rPr>
          <w:rFonts w:ascii="Arial" w:hAnsi="Arial" w:cs="Arial"/>
          <w:lang w:val="sl-SI"/>
        </w:rPr>
        <w:t xml:space="preserve">bjava </w:t>
      </w:r>
      <w:r w:rsidR="003F4C33">
        <w:rPr>
          <w:rFonts w:ascii="Arial" w:hAnsi="Arial" w:cs="Arial"/>
          <w:lang w:val="sl-SI"/>
        </w:rPr>
        <w:t>upravičencev</w:t>
      </w:r>
      <w:r w:rsidR="003F4C33" w:rsidRPr="003F1F7B">
        <w:rPr>
          <w:rFonts w:ascii="Arial" w:hAnsi="Arial" w:cs="Arial"/>
          <w:lang w:val="sl-SI"/>
        </w:rPr>
        <w:t xml:space="preserve"> je določena v </w:t>
      </w:r>
      <w:r w:rsidR="003F4C33">
        <w:rPr>
          <w:rFonts w:ascii="Arial" w:hAnsi="Arial" w:cs="Arial"/>
          <w:lang w:val="sl-SI"/>
        </w:rPr>
        <w:t>8</w:t>
      </w:r>
      <w:r w:rsidR="003F4C33" w:rsidRPr="003F1F7B">
        <w:rPr>
          <w:rFonts w:ascii="Arial" w:hAnsi="Arial" w:cs="Arial"/>
          <w:lang w:val="sl-SI"/>
        </w:rPr>
        <w:t xml:space="preserve">. členu </w:t>
      </w:r>
      <w:r w:rsidR="003F4C33">
        <w:rPr>
          <w:rFonts w:ascii="Arial" w:hAnsi="Arial" w:cs="Arial"/>
          <w:lang w:val="sl-SI"/>
        </w:rPr>
        <w:t>uredbe o skupnih določbah za izvajanje intervencij</w:t>
      </w:r>
      <w:r w:rsidR="003F4C33" w:rsidRPr="003F1F7B">
        <w:rPr>
          <w:rFonts w:ascii="Arial" w:hAnsi="Arial" w:cs="Arial"/>
          <w:lang w:val="sl-SI"/>
        </w:rPr>
        <w:t>.</w:t>
      </w:r>
    </w:p>
    <w:p w14:paraId="5A535D56" w14:textId="4B3098F6" w:rsidR="007A75E0" w:rsidRDefault="007A75E0" w:rsidP="003F4C33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54A68C58" w14:textId="7F6CAB21" w:rsidR="007A75E0" w:rsidRDefault="007A75E0" w:rsidP="00CA25F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(</w:t>
      </w:r>
      <w:r w:rsidR="00BF022A">
        <w:rPr>
          <w:rFonts w:ascii="Arial" w:hAnsi="Arial" w:cs="Arial"/>
          <w:lang w:val="sl-SI"/>
        </w:rPr>
        <w:t>3</w:t>
      </w:r>
      <w:r>
        <w:rPr>
          <w:rFonts w:ascii="Arial" w:hAnsi="Arial" w:cs="Arial"/>
          <w:lang w:val="sl-SI"/>
        </w:rPr>
        <w:t>) Odrek pravici do sredstev je določen v 62. členu uredbe</w:t>
      </w:r>
      <w:r w:rsidR="00F02585">
        <w:rPr>
          <w:rFonts w:ascii="Arial" w:hAnsi="Arial" w:cs="Arial"/>
          <w:lang w:val="sl-SI"/>
        </w:rPr>
        <w:t xml:space="preserve"> o </w:t>
      </w:r>
      <w:r w:rsidRPr="00261AF3">
        <w:rPr>
          <w:rFonts w:ascii="Arial" w:hAnsi="Arial" w:cs="Arial"/>
          <w:lang w:val="sl-SI"/>
        </w:rPr>
        <w:t>izvajanju intervencij s področja zemljiških operacij</w:t>
      </w:r>
      <w:r>
        <w:rPr>
          <w:rFonts w:ascii="Arial" w:hAnsi="Arial" w:cs="Arial"/>
          <w:lang w:val="sl-SI"/>
        </w:rPr>
        <w:t xml:space="preserve"> </w:t>
      </w:r>
    </w:p>
    <w:p w14:paraId="6B635620" w14:textId="7AFCBA1F" w:rsidR="003F1F7B" w:rsidRDefault="003F1F7B" w:rsidP="00CA25F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5375C9E0" w14:textId="77777777" w:rsidR="00407992" w:rsidRDefault="00407992" w:rsidP="00CA25F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16B29956" w14:textId="6B6D3207" w:rsidR="00C66D8F" w:rsidRPr="00CA25F5" w:rsidRDefault="00C66D8F" w:rsidP="00CA25F5">
      <w:pPr>
        <w:pStyle w:val="Golobesedilo"/>
        <w:spacing w:line="260" w:lineRule="atLeast"/>
        <w:jc w:val="both"/>
        <w:rPr>
          <w:rFonts w:ascii="Arial" w:hAnsi="Arial" w:cs="Arial"/>
          <w:b/>
          <w:lang w:val="sl-SI"/>
        </w:rPr>
      </w:pPr>
      <w:r w:rsidRPr="00CA25F5">
        <w:rPr>
          <w:rFonts w:ascii="Arial" w:hAnsi="Arial" w:cs="Arial"/>
          <w:b/>
          <w:lang w:val="sl-SI"/>
        </w:rPr>
        <w:t>9. PREDPLAČILO</w:t>
      </w:r>
    </w:p>
    <w:p w14:paraId="4C7D1E36" w14:textId="1C38592E" w:rsidR="00C66D8F" w:rsidRDefault="00C66D8F" w:rsidP="00CA25F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06A60EB8" w14:textId="65C53116" w:rsidR="00C66D8F" w:rsidRPr="00F40DD4" w:rsidRDefault="00BF022A" w:rsidP="00F40DD4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Pravica do predplačila je določena v 24. členu </w:t>
      </w:r>
      <w:r w:rsidRPr="00BF022A">
        <w:rPr>
          <w:rFonts w:ascii="Arial" w:hAnsi="Arial" w:cs="Arial"/>
          <w:lang w:val="sl-SI"/>
        </w:rPr>
        <w:t xml:space="preserve">uredbe o skupnih določbah za izvajanje intervencij </w:t>
      </w:r>
      <w:r>
        <w:rPr>
          <w:rFonts w:ascii="Arial" w:hAnsi="Arial" w:cs="Arial"/>
          <w:lang w:val="sl-SI"/>
        </w:rPr>
        <w:t xml:space="preserve">in šestem odstavku 3. člena </w:t>
      </w:r>
      <w:r w:rsidRPr="00BF022A">
        <w:rPr>
          <w:rFonts w:ascii="Arial" w:hAnsi="Arial" w:cs="Arial"/>
          <w:lang w:val="sl-SI"/>
        </w:rPr>
        <w:t>uredbe o izvajanju intervencij s področja zemljiških operacij</w:t>
      </w:r>
      <w:r w:rsidR="00050B76">
        <w:rPr>
          <w:rFonts w:ascii="Arial" w:hAnsi="Arial" w:cs="Arial"/>
          <w:lang w:val="sl-SI"/>
        </w:rPr>
        <w:t xml:space="preserve">. </w:t>
      </w:r>
      <w:r w:rsidR="00D528D0">
        <w:rPr>
          <w:rFonts w:ascii="Arial" w:hAnsi="Arial" w:cs="Arial"/>
          <w:lang w:val="sl-SI"/>
        </w:rPr>
        <w:t>Za uveljavljanje pravice do predplačila mora upravičen</w:t>
      </w:r>
      <w:r>
        <w:rPr>
          <w:rFonts w:ascii="Arial" w:hAnsi="Arial" w:cs="Arial"/>
          <w:lang w:val="sl-SI"/>
        </w:rPr>
        <w:t>e</w:t>
      </w:r>
      <w:r w:rsidR="00D528D0">
        <w:rPr>
          <w:rFonts w:ascii="Arial" w:hAnsi="Arial" w:cs="Arial"/>
          <w:lang w:val="sl-SI"/>
        </w:rPr>
        <w:t>c izpolniti pogoje iz 24. člena uredbe o skupnih določbah za izvajanje intervencij.</w:t>
      </w:r>
    </w:p>
    <w:p w14:paraId="07499862" w14:textId="77777777" w:rsidR="00CF2827" w:rsidRDefault="00CF2827" w:rsidP="00CA25F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53FB70E9" w14:textId="77777777" w:rsidR="00407992" w:rsidRPr="003F1F7B" w:rsidRDefault="00407992" w:rsidP="00CA25F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5CEBEE07" w14:textId="373B38E2" w:rsidR="003F1F7B" w:rsidRPr="00CA25F5" w:rsidRDefault="00C66D8F" w:rsidP="00CA25F5">
      <w:pPr>
        <w:pStyle w:val="Golobesedilo"/>
        <w:spacing w:line="260" w:lineRule="atLeast"/>
        <w:jc w:val="both"/>
        <w:rPr>
          <w:rFonts w:ascii="Arial" w:hAnsi="Arial" w:cs="Arial"/>
          <w:b/>
          <w:lang w:val="sl-SI"/>
        </w:rPr>
      </w:pPr>
      <w:r w:rsidRPr="00CA25F5">
        <w:rPr>
          <w:rFonts w:ascii="Arial" w:hAnsi="Arial" w:cs="Arial"/>
          <w:b/>
          <w:lang w:val="sl-SI"/>
        </w:rPr>
        <w:t>10</w:t>
      </w:r>
      <w:r w:rsidR="003F1F7B" w:rsidRPr="00CA25F5">
        <w:rPr>
          <w:rFonts w:ascii="Arial" w:hAnsi="Arial" w:cs="Arial"/>
          <w:b/>
          <w:lang w:val="sl-SI"/>
        </w:rPr>
        <w:t>. ZAHTEV</w:t>
      </w:r>
      <w:r w:rsidR="00DA63D1" w:rsidRPr="00CA25F5">
        <w:rPr>
          <w:rFonts w:ascii="Arial" w:hAnsi="Arial" w:cs="Arial"/>
          <w:b/>
          <w:lang w:val="sl-SI"/>
        </w:rPr>
        <w:t>E</w:t>
      </w:r>
      <w:r w:rsidR="003F1F7B" w:rsidRPr="00CA25F5">
        <w:rPr>
          <w:rFonts w:ascii="Arial" w:hAnsi="Arial" w:cs="Arial"/>
          <w:b/>
          <w:lang w:val="sl-SI"/>
        </w:rPr>
        <w:t xml:space="preserve">K ZA IZPLAČILO SREDSTEV </w:t>
      </w:r>
    </w:p>
    <w:p w14:paraId="62176BAA" w14:textId="77777777" w:rsidR="003F1F7B" w:rsidRPr="003F1F7B" w:rsidRDefault="003F1F7B" w:rsidP="00CA25F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1203A955" w14:textId="347EA2CB" w:rsidR="00A8353C" w:rsidRDefault="00A8353C" w:rsidP="00A8353C">
      <w:pPr>
        <w:pStyle w:val="Golobesedilo"/>
        <w:spacing w:after="120"/>
        <w:jc w:val="both"/>
        <w:rPr>
          <w:rFonts w:ascii="Arial" w:hAnsi="Arial" w:cs="Arial"/>
          <w:lang w:val="sl-SI"/>
        </w:rPr>
      </w:pPr>
      <w:r w:rsidRPr="00A8353C">
        <w:rPr>
          <w:rFonts w:ascii="Arial" w:hAnsi="Arial" w:cs="Arial"/>
          <w:lang w:val="sl-SI"/>
        </w:rPr>
        <w:t>(1</w:t>
      </w:r>
      <w:r>
        <w:rPr>
          <w:rFonts w:ascii="Arial" w:hAnsi="Arial" w:cs="Arial"/>
          <w:lang w:val="sl-SI"/>
        </w:rPr>
        <w:t xml:space="preserve">) </w:t>
      </w:r>
      <w:r w:rsidR="00C66D8F" w:rsidRPr="00D843B6">
        <w:rPr>
          <w:rFonts w:ascii="Arial" w:hAnsi="Arial" w:cs="Arial"/>
          <w:lang w:val="sl-SI"/>
        </w:rPr>
        <w:t>Upravičenec mora izpolniti pogoje</w:t>
      </w:r>
      <w:r w:rsidR="00C66D8F" w:rsidRPr="00A165AE">
        <w:rPr>
          <w:rFonts w:ascii="Arial" w:hAnsi="Arial" w:cs="Arial"/>
          <w:lang w:val="sl-SI"/>
        </w:rPr>
        <w:t xml:space="preserve"> iz 1. do 6. točke prvega odstavka</w:t>
      </w:r>
      <w:r w:rsidR="00C66D8F">
        <w:rPr>
          <w:rFonts w:ascii="Arial" w:hAnsi="Arial" w:cs="Arial"/>
          <w:lang w:val="sl-SI"/>
        </w:rPr>
        <w:t>, pogoj</w:t>
      </w:r>
      <w:r w:rsidR="00B621EC">
        <w:rPr>
          <w:rFonts w:ascii="Arial" w:hAnsi="Arial" w:cs="Arial"/>
          <w:lang w:val="sl-SI"/>
        </w:rPr>
        <w:t>a</w:t>
      </w:r>
      <w:r w:rsidR="00C66D8F">
        <w:rPr>
          <w:rFonts w:ascii="Arial" w:hAnsi="Arial" w:cs="Arial"/>
          <w:lang w:val="sl-SI"/>
        </w:rPr>
        <w:t xml:space="preserve"> iz 2. točke drugega odstavka,</w:t>
      </w:r>
      <w:r w:rsidR="00C66D8F" w:rsidRPr="00A165AE">
        <w:rPr>
          <w:rFonts w:ascii="Arial" w:hAnsi="Arial" w:cs="Arial"/>
          <w:lang w:val="sl-SI"/>
        </w:rPr>
        <w:t xml:space="preserve"> pogoj iz četrtega odstavka 9. člena</w:t>
      </w:r>
      <w:r w:rsidR="00F02585">
        <w:rPr>
          <w:rFonts w:ascii="Arial" w:hAnsi="Arial" w:cs="Arial"/>
          <w:lang w:val="sl-SI"/>
        </w:rPr>
        <w:t xml:space="preserve"> ter</w:t>
      </w:r>
      <w:r w:rsidR="00C66D8F">
        <w:rPr>
          <w:rFonts w:ascii="Arial" w:hAnsi="Arial" w:cs="Arial"/>
          <w:lang w:val="sl-SI"/>
        </w:rPr>
        <w:t xml:space="preserve"> pogoje </w:t>
      </w:r>
      <w:r w:rsidR="00C66D8F" w:rsidRPr="00D843B6">
        <w:rPr>
          <w:rFonts w:ascii="Arial" w:hAnsi="Arial" w:cs="Arial"/>
          <w:lang w:val="sl-SI"/>
        </w:rPr>
        <w:t>iz prvega</w:t>
      </w:r>
      <w:r w:rsidR="00C66D8F">
        <w:rPr>
          <w:rFonts w:ascii="Arial" w:hAnsi="Arial" w:cs="Arial"/>
          <w:lang w:val="sl-SI"/>
        </w:rPr>
        <w:t xml:space="preserve">, drugega in </w:t>
      </w:r>
      <w:r w:rsidR="00B621EC">
        <w:rPr>
          <w:rFonts w:ascii="Arial" w:hAnsi="Arial" w:cs="Arial"/>
          <w:lang w:val="sl-SI"/>
        </w:rPr>
        <w:t>četrtega</w:t>
      </w:r>
      <w:r w:rsidR="00B621EC" w:rsidRPr="00D843B6">
        <w:rPr>
          <w:rFonts w:ascii="Arial" w:hAnsi="Arial" w:cs="Arial"/>
          <w:lang w:val="sl-SI"/>
        </w:rPr>
        <w:t xml:space="preserve"> </w:t>
      </w:r>
      <w:r w:rsidR="00C66D8F" w:rsidRPr="00D843B6">
        <w:rPr>
          <w:rFonts w:ascii="Arial" w:hAnsi="Arial" w:cs="Arial"/>
          <w:lang w:val="sl-SI"/>
        </w:rPr>
        <w:t>odstavka</w:t>
      </w:r>
      <w:r w:rsidR="00C66D8F">
        <w:rPr>
          <w:rFonts w:ascii="Arial" w:hAnsi="Arial" w:cs="Arial"/>
          <w:lang w:val="sl-SI"/>
        </w:rPr>
        <w:t xml:space="preserve"> 22. člena</w:t>
      </w:r>
      <w:r w:rsidR="00C66D8F" w:rsidRPr="00D843B6">
        <w:rPr>
          <w:rFonts w:ascii="Arial" w:hAnsi="Arial" w:cs="Arial"/>
          <w:lang w:val="sl-SI"/>
        </w:rPr>
        <w:t xml:space="preserve"> uredbe o skupnih določbah za izvajanje intervencij.</w:t>
      </w:r>
      <w:r w:rsidR="00916870">
        <w:rPr>
          <w:rFonts w:ascii="Arial" w:hAnsi="Arial" w:cs="Arial"/>
          <w:lang w:val="sl-SI"/>
        </w:rPr>
        <w:t xml:space="preserve"> </w:t>
      </w:r>
    </w:p>
    <w:p w14:paraId="4CAED3CA" w14:textId="459A6E7A" w:rsidR="00A8353C" w:rsidRDefault="00A8353C" w:rsidP="00A8353C">
      <w:pPr>
        <w:pStyle w:val="Golobesedilo"/>
        <w:spacing w:after="120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(2</w:t>
      </w:r>
      <w:r w:rsidR="00815242">
        <w:rPr>
          <w:rFonts w:ascii="Arial" w:hAnsi="Arial" w:cs="Arial"/>
          <w:lang w:val="sl-SI"/>
        </w:rPr>
        <w:t xml:space="preserve">) </w:t>
      </w:r>
      <w:r w:rsidR="00A94B52">
        <w:rPr>
          <w:rFonts w:ascii="Arial" w:hAnsi="Arial" w:cs="Arial"/>
          <w:lang w:val="sl-SI"/>
        </w:rPr>
        <w:t>Poleg p</w:t>
      </w:r>
      <w:r w:rsidR="00815242">
        <w:rPr>
          <w:rFonts w:ascii="Arial" w:hAnsi="Arial" w:cs="Arial"/>
          <w:lang w:val="sl-SI"/>
        </w:rPr>
        <w:t>ogo</w:t>
      </w:r>
      <w:r w:rsidR="003D2527">
        <w:rPr>
          <w:rFonts w:ascii="Arial" w:hAnsi="Arial" w:cs="Arial"/>
          <w:lang w:val="sl-SI"/>
        </w:rPr>
        <w:t>jev</w:t>
      </w:r>
      <w:r w:rsidR="00815242">
        <w:rPr>
          <w:rFonts w:ascii="Arial" w:hAnsi="Arial" w:cs="Arial"/>
          <w:lang w:val="sl-SI"/>
        </w:rPr>
        <w:t xml:space="preserve"> </w:t>
      </w:r>
      <w:r w:rsidR="00A94B52">
        <w:rPr>
          <w:rFonts w:ascii="Arial" w:hAnsi="Arial" w:cs="Arial"/>
          <w:lang w:val="sl-SI"/>
        </w:rPr>
        <w:t>iz prejšnje točke mora u</w:t>
      </w:r>
      <w:r w:rsidR="003D2527">
        <w:rPr>
          <w:rFonts w:ascii="Arial" w:hAnsi="Arial" w:cs="Arial"/>
          <w:lang w:val="sl-SI"/>
        </w:rPr>
        <w:t xml:space="preserve">pravičenec </w:t>
      </w:r>
      <w:r w:rsidR="00B621EC">
        <w:rPr>
          <w:rFonts w:ascii="Arial" w:hAnsi="Arial" w:cs="Arial"/>
          <w:lang w:val="sl-SI"/>
        </w:rPr>
        <w:t xml:space="preserve">izpolniti tudi pogoje iz </w:t>
      </w:r>
      <w:r w:rsidR="00424A7E">
        <w:rPr>
          <w:rFonts w:ascii="Arial" w:hAnsi="Arial" w:cs="Arial"/>
          <w:lang w:val="sl-SI"/>
        </w:rPr>
        <w:t>17</w:t>
      </w:r>
      <w:r w:rsidR="00815242">
        <w:rPr>
          <w:rFonts w:ascii="Arial" w:hAnsi="Arial" w:cs="Arial"/>
          <w:lang w:val="sl-SI"/>
        </w:rPr>
        <w:t>. člen</w:t>
      </w:r>
      <w:r w:rsidR="00A94B52">
        <w:rPr>
          <w:rFonts w:ascii="Arial" w:hAnsi="Arial" w:cs="Arial"/>
          <w:lang w:val="sl-SI"/>
        </w:rPr>
        <w:t>a</w:t>
      </w:r>
      <w:r w:rsidR="00815242">
        <w:rPr>
          <w:rFonts w:ascii="Arial" w:hAnsi="Arial" w:cs="Arial"/>
          <w:lang w:val="sl-SI"/>
        </w:rPr>
        <w:t xml:space="preserve"> uredbe o izvajanju intervencij s področja zemljiških operacij. </w:t>
      </w:r>
      <w:r w:rsidRPr="004331D5">
        <w:rPr>
          <w:rFonts w:ascii="Arial" w:hAnsi="Arial" w:cs="Arial"/>
          <w:lang w:val="sl-SI"/>
        </w:rPr>
        <w:t>Upravičenec mora zahtevku za izplačilo priložiti obračunsko situacijo</w:t>
      </w:r>
      <w:r>
        <w:rPr>
          <w:rFonts w:ascii="Arial" w:hAnsi="Arial" w:cs="Arial"/>
          <w:lang w:val="sl-SI"/>
        </w:rPr>
        <w:t>.</w:t>
      </w:r>
    </w:p>
    <w:p w14:paraId="50FDC7FB" w14:textId="77777777" w:rsidR="003F1F7B" w:rsidRDefault="003F1F7B" w:rsidP="00CA25F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36AEB221" w14:textId="77777777" w:rsidR="0000576F" w:rsidRPr="00CA25F5" w:rsidRDefault="0000576F" w:rsidP="00CA25F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32EDC4A5" w14:textId="7A61D00B" w:rsidR="003F1F7B" w:rsidRPr="00CA25F5" w:rsidRDefault="003F1F7B" w:rsidP="00CA25F5">
      <w:pPr>
        <w:pStyle w:val="Golobesedilo"/>
        <w:spacing w:line="260" w:lineRule="atLeast"/>
        <w:jc w:val="both"/>
        <w:rPr>
          <w:rFonts w:ascii="Arial" w:hAnsi="Arial" w:cs="Arial"/>
          <w:b/>
          <w:lang w:val="sl-SI"/>
        </w:rPr>
      </w:pPr>
      <w:r w:rsidRPr="00CA25F5">
        <w:rPr>
          <w:rFonts w:ascii="Arial" w:hAnsi="Arial" w:cs="Arial"/>
          <w:b/>
          <w:lang w:val="sl-SI"/>
        </w:rPr>
        <w:t>1</w:t>
      </w:r>
      <w:r w:rsidR="00C66D8F" w:rsidRPr="00CA25F5">
        <w:rPr>
          <w:rFonts w:ascii="Arial" w:hAnsi="Arial" w:cs="Arial"/>
          <w:b/>
          <w:lang w:val="sl-SI"/>
        </w:rPr>
        <w:t>1</w:t>
      </w:r>
      <w:r w:rsidRPr="00CA25F5">
        <w:rPr>
          <w:rFonts w:ascii="Arial" w:hAnsi="Arial" w:cs="Arial"/>
          <w:b/>
          <w:lang w:val="sl-SI"/>
        </w:rPr>
        <w:t xml:space="preserve">. OBVEZNOSTI UPRAVIČENCA </w:t>
      </w:r>
    </w:p>
    <w:p w14:paraId="669DCD53" w14:textId="77777777" w:rsidR="003F1F7B" w:rsidRPr="003F1F7B" w:rsidRDefault="003F1F7B" w:rsidP="00CA25F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4EDACBC2" w14:textId="70E48BB9" w:rsidR="003F1F7B" w:rsidRPr="003F1F7B" w:rsidRDefault="0055453E" w:rsidP="003F1F7B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U</w:t>
      </w:r>
      <w:r w:rsidR="003F1F7B" w:rsidRPr="003F1F7B">
        <w:rPr>
          <w:rFonts w:ascii="Arial" w:hAnsi="Arial" w:cs="Arial"/>
          <w:lang w:val="sl-SI"/>
        </w:rPr>
        <w:t>pravičen</w:t>
      </w:r>
      <w:r>
        <w:rPr>
          <w:rFonts w:ascii="Arial" w:hAnsi="Arial" w:cs="Arial"/>
          <w:lang w:val="sl-SI"/>
        </w:rPr>
        <w:t>e</w:t>
      </w:r>
      <w:r w:rsidR="003F1F7B" w:rsidRPr="003F1F7B">
        <w:rPr>
          <w:rFonts w:ascii="Arial" w:hAnsi="Arial" w:cs="Arial"/>
          <w:lang w:val="sl-SI"/>
        </w:rPr>
        <w:t xml:space="preserve">c </w:t>
      </w:r>
      <w:r>
        <w:rPr>
          <w:rFonts w:ascii="Arial" w:hAnsi="Arial" w:cs="Arial"/>
          <w:lang w:val="sl-SI"/>
        </w:rPr>
        <w:t xml:space="preserve">mora </w:t>
      </w:r>
      <w:r w:rsidR="007431C5">
        <w:rPr>
          <w:rFonts w:ascii="Arial" w:hAnsi="Arial" w:cs="Arial"/>
          <w:lang w:val="sl-SI"/>
        </w:rPr>
        <w:t>izpolnjevati obveznosti</w:t>
      </w:r>
      <w:r w:rsidR="005E1271">
        <w:rPr>
          <w:rFonts w:ascii="Arial" w:hAnsi="Arial" w:cs="Arial"/>
          <w:lang w:val="sl-SI"/>
        </w:rPr>
        <w:t xml:space="preserve"> </w:t>
      </w:r>
      <w:r w:rsidR="005E1271" w:rsidRPr="00A43AF7">
        <w:rPr>
          <w:rFonts w:ascii="Arial" w:hAnsi="Arial" w:cs="Arial"/>
          <w:lang w:val="sl-SI"/>
        </w:rPr>
        <w:t>iz</w:t>
      </w:r>
      <w:r w:rsidR="00A43AF7" w:rsidRPr="00A43AF7">
        <w:rPr>
          <w:rFonts w:ascii="Arial" w:hAnsi="Arial" w:cs="Arial"/>
        </w:rPr>
        <w:t xml:space="preserve"> prvega do tretjega in petega odstavka </w:t>
      </w:r>
      <w:r w:rsidR="00243857" w:rsidRPr="00A43AF7">
        <w:rPr>
          <w:rFonts w:ascii="Arial" w:hAnsi="Arial" w:cs="Arial"/>
          <w:lang w:val="sl-SI"/>
        </w:rPr>
        <w:t>25</w:t>
      </w:r>
      <w:r w:rsidRPr="00A43AF7">
        <w:rPr>
          <w:rFonts w:ascii="Arial" w:hAnsi="Arial" w:cs="Arial"/>
          <w:lang w:val="sl-SI"/>
        </w:rPr>
        <w:t xml:space="preserve">. člena </w:t>
      </w:r>
      <w:r w:rsidRPr="00A8353C">
        <w:rPr>
          <w:rFonts w:ascii="Arial" w:hAnsi="Arial" w:cs="Arial"/>
          <w:lang w:val="sl-SI"/>
        </w:rPr>
        <w:t>ur</w:t>
      </w:r>
      <w:r w:rsidR="007431C5" w:rsidRPr="00A8353C">
        <w:rPr>
          <w:rFonts w:ascii="Arial" w:hAnsi="Arial" w:cs="Arial"/>
          <w:lang w:val="sl-SI"/>
        </w:rPr>
        <w:t>edbe</w:t>
      </w:r>
      <w:r w:rsidR="007431C5">
        <w:rPr>
          <w:rFonts w:ascii="Arial" w:hAnsi="Arial" w:cs="Arial"/>
          <w:lang w:val="sl-SI"/>
        </w:rPr>
        <w:t xml:space="preserve"> o skupnih določbah za izvaj</w:t>
      </w:r>
      <w:r>
        <w:rPr>
          <w:rFonts w:ascii="Arial" w:hAnsi="Arial" w:cs="Arial"/>
          <w:lang w:val="sl-SI"/>
        </w:rPr>
        <w:t xml:space="preserve">anje intervencij in obveznosti iz </w:t>
      </w:r>
      <w:r w:rsidR="00424A7E">
        <w:rPr>
          <w:rFonts w:ascii="Arial" w:hAnsi="Arial" w:cs="Arial"/>
          <w:lang w:val="sl-SI"/>
        </w:rPr>
        <w:t>2</w:t>
      </w:r>
      <w:r w:rsidR="00384B2B">
        <w:rPr>
          <w:rFonts w:ascii="Arial" w:hAnsi="Arial" w:cs="Arial"/>
          <w:lang w:val="sl-SI"/>
        </w:rPr>
        <w:t>. točke</w:t>
      </w:r>
      <w:r w:rsidR="00E46DD2">
        <w:rPr>
          <w:rFonts w:ascii="Arial" w:hAnsi="Arial" w:cs="Arial"/>
          <w:lang w:val="sl-SI"/>
        </w:rPr>
        <w:t xml:space="preserve"> 64. </w:t>
      </w:r>
      <w:r w:rsidR="007431C5">
        <w:rPr>
          <w:rFonts w:ascii="Arial" w:hAnsi="Arial" w:cs="Arial"/>
          <w:lang w:val="sl-SI"/>
        </w:rPr>
        <w:t xml:space="preserve">člena </w:t>
      </w:r>
      <w:r w:rsidR="00E46DD2">
        <w:rPr>
          <w:rFonts w:ascii="Arial" w:hAnsi="Arial" w:cs="Arial"/>
          <w:lang w:val="sl-SI"/>
        </w:rPr>
        <w:t>uredbe o izvajanju intervencij s področja zemljiških operacij</w:t>
      </w:r>
      <w:r w:rsidR="007431C5">
        <w:rPr>
          <w:rFonts w:ascii="Arial" w:hAnsi="Arial" w:cs="Arial"/>
          <w:lang w:val="sl-SI"/>
        </w:rPr>
        <w:t>.</w:t>
      </w:r>
      <w:r w:rsidR="00E46DD2">
        <w:rPr>
          <w:rFonts w:ascii="Arial" w:hAnsi="Arial" w:cs="Arial"/>
          <w:lang w:val="sl-SI"/>
        </w:rPr>
        <w:t xml:space="preserve"> </w:t>
      </w:r>
    </w:p>
    <w:p w14:paraId="22759635" w14:textId="77777777" w:rsidR="003F1F7B" w:rsidRDefault="003F1F7B" w:rsidP="00CA25F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4A566354" w14:textId="77777777" w:rsidR="0000576F" w:rsidRPr="003F1F7B" w:rsidRDefault="0000576F" w:rsidP="00CA25F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14104520" w14:textId="6D3FF7E6" w:rsidR="003F1F7B" w:rsidRPr="00CA25F5" w:rsidRDefault="003F1F7B" w:rsidP="00CA25F5">
      <w:pPr>
        <w:pStyle w:val="Golobesedilo"/>
        <w:spacing w:line="260" w:lineRule="atLeast"/>
        <w:jc w:val="both"/>
        <w:rPr>
          <w:rFonts w:ascii="Arial" w:hAnsi="Arial" w:cs="Arial"/>
          <w:b/>
          <w:lang w:val="sl-SI"/>
        </w:rPr>
      </w:pPr>
      <w:r w:rsidRPr="00CA25F5">
        <w:rPr>
          <w:rFonts w:ascii="Arial" w:hAnsi="Arial" w:cs="Arial"/>
          <w:b/>
          <w:lang w:val="sl-SI"/>
        </w:rPr>
        <w:t xml:space="preserve">12. </w:t>
      </w:r>
      <w:r w:rsidR="00AD3C8C" w:rsidRPr="00CA25F5">
        <w:rPr>
          <w:rFonts w:ascii="Arial" w:hAnsi="Arial" w:cs="Arial"/>
          <w:b/>
          <w:lang w:val="sl-SI"/>
        </w:rPr>
        <w:t xml:space="preserve">SISTEM </w:t>
      </w:r>
      <w:r w:rsidR="00E46DD2" w:rsidRPr="00CA25F5">
        <w:rPr>
          <w:rFonts w:ascii="Arial" w:hAnsi="Arial" w:cs="Arial"/>
          <w:b/>
          <w:lang w:val="sl-SI"/>
        </w:rPr>
        <w:t>KONTROL</w:t>
      </w:r>
    </w:p>
    <w:p w14:paraId="4F38963F" w14:textId="77777777" w:rsidR="003F1F7B" w:rsidRPr="003F1F7B" w:rsidRDefault="003F1F7B" w:rsidP="00CA25F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48E8BC83" w14:textId="005271E0" w:rsidR="00E46DD2" w:rsidRDefault="008E01B5" w:rsidP="008E01B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8E01B5">
        <w:rPr>
          <w:rFonts w:ascii="Arial" w:hAnsi="Arial" w:cs="Arial"/>
          <w:lang w:val="sl-SI"/>
        </w:rPr>
        <w:t>(1</w:t>
      </w:r>
      <w:r>
        <w:rPr>
          <w:rFonts w:ascii="Arial" w:hAnsi="Arial" w:cs="Arial"/>
          <w:lang w:val="sl-SI"/>
        </w:rPr>
        <w:t xml:space="preserve">) </w:t>
      </w:r>
      <w:r w:rsidR="00E46DD2">
        <w:rPr>
          <w:rFonts w:ascii="Arial" w:hAnsi="Arial" w:cs="Arial"/>
          <w:lang w:val="sl-SI"/>
        </w:rPr>
        <w:t xml:space="preserve">Sistem kontrol je </w:t>
      </w:r>
      <w:r w:rsidR="00AD3C8C">
        <w:rPr>
          <w:rFonts w:ascii="Arial" w:hAnsi="Arial" w:cs="Arial"/>
          <w:lang w:val="sl-SI"/>
        </w:rPr>
        <w:t xml:space="preserve">določen </w:t>
      </w:r>
      <w:r w:rsidR="00E46DD2">
        <w:rPr>
          <w:rFonts w:ascii="Arial" w:hAnsi="Arial" w:cs="Arial"/>
          <w:lang w:val="sl-SI"/>
        </w:rPr>
        <w:t xml:space="preserve">v 26. do </w:t>
      </w:r>
      <w:r w:rsidR="00A023F7">
        <w:rPr>
          <w:rFonts w:ascii="Arial" w:hAnsi="Arial" w:cs="Arial"/>
          <w:lang w:val="sl-SI"/>
        </w:rPr>
        <w:t>32. členu</w:t>
      </w:r>
      <w:r w:rsidR="00E46DD2">
        <w:rPr>
          <w:rFonts w:ascii="Arial" w:hAnsi="Arial" w:cs="Arial"/>
          <w:lang w:val="sl-SI"/>
        </w:rPr>
        <w:t xml:space="preserve"> uredbe o skupnih določbah za izvajanje intervencij.</w:t>
      </w:r>
    </w:p>
    <w:p w14:paraId="6EF94505" w14:textId="77777777" w:rsidR="008E01B5" w:rsidRDefault="008E01B5" w:rsidP="008E01B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5A6CF191" w14:textId="470AC873" w:rsidR="008E01B5" w:rsidRPr="003F1F7B" w:rsidRDefault="008E01B5" w:rsidP="008E01B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lastRenderedPageBreak/>
        <w:t xml:space="preserve">(2) </w:t>
      </w:r>
      <w:r w:rsidR="00A023F7">
        <w:rPr>
          <w:rFonts w:ascii="Arial" w:hAnsi="Arial" w:cs="Arial"/>
          <w:lang w:val="sl-SI"/>
        </w:rPr>
        <w:t>M</w:t>
      </w:r>
      <w:r>
        <w:rPr>
          <w:rFonts w:ascii="Arial" w:hAnsi="Arial" w:cs="Arial"/>
          <w:lang w:val="sl-SI"/>
        </w:rPr>
        <w:t xml:space="preserve">ajhna naložba in majhno tveganje </w:t>
      </w:r>
      <w:r w:rsidR="00A023F7">
        <w:rPr>
          <w:rFonts w:ascii="Arial" w:hAnsi="Arial" w:cs="Arial"/>
          <w:lang w:val="sl-SI"/>
        </w:rPr>
        <w:t>sta določena v prvem odstavku</w:t>
      </w:r>
      <w:r>
        <w:rPr>
          <w:rFonts w:ascii="Arial" w:hAnsi="Arial" w:cs="Arial"/>
          <w:lang w:val="sl-SI"/>
        </w:rPr>
        <w:t xml:space="preserve"> 61. člen</w:t>
      </w:r>
      <w:r w:rsidR="00A023F7">
        <w:rPr>
          <w:rFonts w:ascii="Arial" w:hAnsi="Arial" w:cs="Arial"/>
          <w:lang w:val="sl-SI"/>
        </w:rPr>
        <w:t>a</w:t>
      </w:r>
      <w:r>
        <w:rPr>
          <w:rFonts w:ascii="Arial" w:hAnsi="Arial" w:cs="Arial"/>
          <w:lang w:val="sl-SI"/>
        </w:rPr>
        <w:t xml:space="preserve"> uredbe</w:t>
      </w:r>
      <w:r w:rsidRPr="00261AF3">
        <w:t xml:space="preserve"> </w:t>
      </w:r>
      <w:r w:rsidRPr="00261AF3">
        <w:rPr>
          <w:rFonts w:ascii="Arial" w:hAnsi="Arial" w:cs="Arial"/>
          <w:lang w:val="sl-SI"/>
        </w:rPr>
        <w:t>o izvajanju intervencij s področja zemljiških operacij</w:t>
      </w:r>
      <w:r>
        <w:rPr>
          <w:rFonts w:ascii="Arial" w:hAnsi="Arial" w:cs="Arial"/>
          <w:lang w:val="sl-SI"/>
        </w:rPr>
        <w:t>.</w:t>
      </w:r>
    </w:p>
    <w:p w14:paraId="207C1D19" w14:textId="77777777" w:rsidR="008E01B5" w:rsidRDefault="008E01B5" w:rsidP="008E01B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33311BCA" w14:textId="77777777" w:rsidR="00407992" w:rsidRPr="003F1F7B" w:rsidRDefault="00407992" w:rsidP="008E01B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7AF9E366" w14:textId="77777777" w:rsidR="00D05D06" w:rsidRPr="00CA25F5" w:rsidRDefault="00026385" w:rsidP="00CA25F5">
      <w:pPr>
        <w:pStyle w:val="Golobesedilo"/>
        <w:spacing w:line="260" w:lineRule="atLeast"/>
        <w:jc w:val="both"/>
        <w:rPr>
          <w:rFonts w:ascii="Arial" w:hAnsi="Arial" w:cs="Arial"/>
          <w:b/>
          <w:lang w:val="sl-SI"/>
        </w:rPr>
      </w:pPr>
      <w:r w:rsidRPr="00CA25F5">
        <w:rPr>
          <w:rFonts w:ascii="Arial" w:hAnsi="Arial" w:cs="Arial"/>
          <w:b/>
          <w:lang w:val="sl-SI"/>
        </w:rPr>
        <w:t>13. UPRAVNE SANKCIJE</w:t>
      </w:r>
      <w:r w:rsidR="00AD3C8C" w:rsidRPr="00CA25F5">
        <w:rPr>
          <w:rFonts w:ascii="Arial" w:hAnsi="Arial" w:cs="Arial"/>
          <w:b/>
          <w:lang w:val="sl-SI"/>
        </w:rPr>
        <w:t xml:space="preserve"> IN VIŠJA SILA</w:t>
      </w:r>
    </w:p>
    <w:p w14:paraId="5F95C773" w14:textId="77777777" w:rsidR="00D05D06" w:rsidRPr="00CA25F5" w:rsidRDefault="00D05D06" w:rsidP="00CA25F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10116950" w14:textId="126828F1" w:rsidR="00026385" w:rsidRDefault="00AD3C8C" w:rsidP="00026385">
      <w:pPr>
        <w:jc w:val="both"/>
        <w:rPr>
          <w:rFonts w:cs="Arial"/>
          <w:lang w:val="sl-SI"/>
        </w:rPr>
      </w:pPr>
      <w:r>
        <w:rPr>
          <w:rFonts w:cs="Arial"/>
          <w:lang w:val="sl-SI"/>
        </w:rPr>
        <w:t xml:space="preserve">(1) </w:t>
      </w:r>
      <w:r w:rsidR="00026385">
        <w:rPr>
          <w:rFonts w:cs="Arial"/>
          <w:lang w:val="sl-SI"/>
        </w:rPr>
        <w:t xml:space="preserve">Upravne sankcije so določene v 33. členu uredbe o skupnih določbah za izvajanje intervencij in </w:t>
      </w:r>
      <w:r w:rsidR="00A023F7">
        <w:rPr>
          <w:rFonts w:cs="Arial"/>
          <w:lang w:val="sl-SI"/>
        </w:rPr>
        <w:t xml:space="preserve">v </w:t>
      </w:r>
      <w:r w:rsidR="00026385">
        <w:rPr>
          <w:rFonts w:cs="Arial"/>
          <w:lang w:val="sl-SI"/>
        </w:rPr>
        <w:t>63. členu uredbe o izvajanju intervencij s področja zemljiških operacij.</w:t>
      </w:r>
    </w:p>
    <w:p w14:paraId="0701D013" w14:textId="77777777" w:rsidR="00AD3C8C" w:rsidRDefault="00AD3C8C" w:rsidP="00026385">
      <w:pPr>
        <w:jc w:val="both"/>
        <w:rPr>
          <w:rFonts w:cs="Arial"/>
          <w:lang w:val="sl-SI"/>
        </w:rPr>
      </w:pPr>
    </w:p>
    <w:p w14:paraId="6B980A3E" w14:textId="78A9F779" w:rsidR="00AD3C8C" w:rsidRDefault="00AD3C8C" w:rsidP="00026385">
      <w:pPr>
        <w:jc w:val="both"/>
        <w:rPr>
          <w:rFonts w:cs="Arial"/>
          <w:lang w:val="sl-SI"/>
        </w:rPr>
      </w:pPr>
      <w:r>
        <w:rPr>
          <w:rFonts w:cs="Arial"/>
          <w:lang w:val="sl-SI"/>
        </w:rPr>
        <w:t>(2) Višja sila ali izjemne okoliščine so določene v 34. členu uredbe o skupnih določbah za izvajanje intervencij.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147"/>
        <w:gridCol w:w="4351"/>
      </w:tblGrid>
      <w:tr w:rsidR="003B4727" w:rsidRPr="007C5ED5" w14:paraId="5210CC1F" w14:textId="77777777" w:rsidTr="0018003C">
        <w:tc>
          <w:tcPr>
            <w:tcW w:w="4147" w:type="dxa"/>
            <w:shd w:val="clear" w:color="auto" w:fill="auto"/>
          </w:tcPr>
          <w:p w14:paraId="7005587E" w14:textId="77777777" w:rsidR="003B4727" w:rsidRPr="00124FF3" w:rsidRDefault="003B4727" w:rsidP="00FB3290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51" w:type="dxa"/>
            <w:shd w:val="clear" w:color="auto" w:fill="auto"/>
          </w:tcPr>
          <w:p w14:paraId="3F3BF703" w14:textId="77777777" w:rsidR="00E17170" w:rsidRDefault="003F273D" w:rsidP="00FB3290">
            <w:pPr>
              <w:pStyle w:val="Sprotnaopomba-besedil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</w:t>
            </w:r>
          </w:p>
          <w:p w14:paraId="1EB41081" w14:textId="77777777" w:rsidR="00E17170" w:rsidRDefault="00E17170" w:rsidP="00FB3290">
            <w:pPr>
              <w:pStyle w:val="Sprotnaopomba-besedilo"/>
              <w:jc w:val="center"/>
              <w:rPr>
                <w:rFonts w:ascii="Arial" w:hAnsi="Arial" w:cs="Arial"/>
                <w:szCs w:val="22"/>
              </w:rPr>
            </w:pPr>
          </w:p>
          <w:p w14:paraId="3337069B" w14:textId="77777777" w:rsidR="00E17170" w:rsidRDefault="00E17170" w:rsidP="00FB3290">
            <w:pPr>
              <w:pStyle w:val="Sprotnaopomba-besedilo"/>
              <w:jc w:val="center"/>
              <w:rPr>
                <w:rFonts w:ascii="Arial" w:hAnsi="Arial" w:cs="Arial"/>
                <w:szCs w:val="22"/>
              </w:rPr>
            </w:pPr>
          </w:p>
          <w:p w14:paraId="1EAE212C" w14:textId="77777777" w:rsidR="00E17170" w:rsidRDefault="00E17170" w:rsidP="00FB3290">
            <w:pPr>
              <w:pStyle w:val="Sprotnaopomba-besedilo"/>
              <w:jc w:val="center"/>
              <w:rPr>
                <w:rFonts w:ascii="Arial" w:hAnsi="Arial" w:cs="Arial"/>
                <w:szCs w:val="22"/>
              </w:rPr>
            </w:pPr>
          </w:p>
          <w:p w14:paraId="1600BE62" w14:textId="77777777" w:rsidR="00E17170" w:rsidRDefault="00E17170" w:rsidP="00FB3290">
            <w:pPr>
              <w:pStyle w:val="Sprotnaopomba-besedilo"/>
              <w:jc w:val="center"/>
              <w:rPr>
                <w:rFonts w:ascii="Arial" w:hAnsi="Arial" w:cs="Arial"/>
                <w:szCs w:val="22"/>
              </w:rPr>
            </w:pPr>
          </w:p>
          <w:p w14:paraId="1961F802" w14:textId="77777777" w:rsidR="00E17170" w:rsidRDefault="00E17170" w:rsidP="00FB3290">
            <w:pPr>
              <w:pStyle w:val="Sprotnaopomba-besedilo"/>
              <w:jc w:val="center"/>
              <w:rPr>
                <w:rFonts w:ascii="Arial" w:hAnsi="Arial" w:cs="Arial"/>
                <w:szCs w:val="22"/>
              </w:rPr>
            </w:pPr>
          </w:p>
          <w:p w14:paraId="3B82E9BE" w14:textId="37A6DF86" w:rsidR="003B4727" w:rsidRDefault="00E17170" w:rsidP="00FB3290">
            <w:pPr>
              <w:pStyle w:val="Sprotnaopomba-besedil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</w:t>
            </w:r>
            <w:r w:rsidR="003F273D">
              <w:rPr>
                <w:rFonts w:ascii="Arial" w:hAnsi="Arial" w:cs="Arial"/>
                <w:szCs w:val="22"/>
              </w:rPr>
              <w:t>Mateja Čalušić</w:t>
            </w:r>
          </w:p>
          <w:p w14:paraId="284DF731" w14:textId="03B8C6E9" w:rsidR="003B4727" w:rsidRPr="00CB0206" w:rsidRDefault="003F273D" w:rsidP="003F273D">
            <w:pPr>
              <w:pStyle w:val="Sprotnaopomba-besedil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</w:t>
            </w:r>
            <w:r w:rsidR="00A023F7">
              <w:rPr>
                <w:rFonts w:ascii="Arial" w:hAnsi="Arial" w:cs="Arial"/>
                <w:szCs w:val="22"/>
              </w:rPr>
              <w:t>m</w:t>
            </w:r>
            <w:r w:rsidR="003B4727">
              <w:rPr>
                <w:rFonts w:ascii="Arial" w:hAnsi="Arial" w:cs="Arial"/>
                <w:szCs w:val="22"/>
              </w:rPr>
              <w:t>inist</w:t>
            </w:r>
            <w:r>
              <w:rPr>
                <w:rFonts w:ascii="Arial" w:hAnsi="Arial" w:cs="Arial"/>
                <w:szCs w:val="22"/>
              </w:rPr>
              <w:t>rica za kmetijstvo, gozdarstvo in prehrano</w:t>
            </w:r>
          </w:p>
        </w:tc>
      </w:tr>
    </w:tbl>
    <w:p w14:paraId="69739960" w14:textId="3378B983" w:rsidR="003B4727" w:rsidRDefault="003B4727" w:rsidP="0018003C">
      <w:pPr>
        <w:jc w:val="both"/>
        <w:rPr>
          <w:rFonts w:cs="Arial"/>
          <w:b/>
          <w:sz w:val="18"/>
          <w:szCs w:val="22"/>
          <w:lang w:val="sl-SI" w:eastAsia="sl-SI"/>
        </w:rPr>
      </w:pPr>
    </w:p>
    <w:p w14:paraId="39719BD3" w14:textId="5673C132" w:rsidR="00F40DD4" w:rsidRDefault="00F40DD4" w:rsidP="0018003C">
      <w:pPr>
        <w:jc w:val="both"/>
        <w:rPr>
          <w:rFonts w:cs="Arial"/>
          <w:b/>
          <w:sz w:val="18"/>
          <w:szCs w:val="22"/>
          <w:lang w:val="sl-SI" w:eastAsia="sl-SI"/>
        </w:rPr>
      </w:pPr>
    </w:p>
    <w:p w14:paraId="29826CC3" w14:textId="77777777" w:rsidR="00F40DD4" w:rsidRPr="005F28E2" w:rsidRDefault="00F40DD4" w:rsidP="0018003C">
      <w:pPr>
        <w:jc w:val="both"/>
        <w:rPr>
          <w:rFonts w:cs="Arial"/>
          <w:b/>
          <w:strike/>
          <w:sz w:val="18"/>
          <w:szCs w:val="22"/>
          <w:lang w:val="sl-SI" w:eastAsia="sl-SI"/>
        </w:rPr>
      </w:pPr>
    </w:p>
    <w:sectPr w:rsidR="00F40DD4" w:rsidRPr="005F28E2" w:rsidSect="00A0789E">
      <w:head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964" w:footer="32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9D321" w14:textId="77777777" w:rsidR="00BD7DB9" w:rsidRDefault="00BD7DB9">
      <w:r>
        <w:separator/>
      </w:r>
    </w:p>
  </w:endnote>
  <w:endnote w:type="continuationSeparator" w:id="0">
    <w:p w14:paraId="59E7ADCF" w14:textId="77777777" w:rsidR="00BD7DB9" w:rsidRDefault="00BD7DB9">
      <w:r>
        <w:continuationSeparator/>
      </w:r>
    </w:p>
  </w:endnote>
  <w:endnote w:type="continuationNotice" w:id="1">
    <w:p w14:paraId="324C32AF" w14:textId="77777777" w:rsidR="00BD7DB9" w:rsidRDefault="00BD7DB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SUnivers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88696" w14:textId="3B65B9DB" w:rsidR="002D7481" w:rsidRDefault="00FD547E" w:rsidP="002036DF">
    <w:pPr>
      <w:pStyle w:val="Noga"/>
      <w:jc w:val="right"/>
    </w:pPr>
    <w:r>
      <w:rPr>
        <w:noProof/>
        <w:lang w:val="sl-SI" w:eastAsia="sl-SI"/>
      </w:rPr>
      <w:drawing>
        <wp:inline distT="0" distB="0" distL="0" distR="0" wp14:anchorId="4897E618" wp14:editId="0076E9E1">
          <wp:extent cx="4219575" cy="414144"/>
          <wp:effectExtent l="0" t="0" r="0" b="5080"/>
          <wp:docPr id="2" name="Slika 2" descr="komplet logotipov za Strateški načrt skupne kmetijske politike 2023-2027 za Slovenijo, sestavljen iz treh logotipov: emblema EU, zastave Republike Slovenije in nacionalnega logotipa za skupno kmetijsko politi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komplet logotipov za Strateški načrt skupne kmetijske politike 2023-2027 za Slovenijo, sestavljen iz treh logotipov: emblema EU, zastave Republike Slovenije in nacionalnega logotipa za skupno kmetijsko politi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7594" cy="415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105DC" w14:textId="77777777" w:rsidR="00BD7DB9" w:rsidRDefault="00BD7DB9">
      <w:r>
        <w:separator/>
      </w:r>
    </w:p>
  </w:footnote>
  <w:footnote w:type="continuationSeparator" w:id="0">
    <w:p w14:paraId="12F59D34" w14:textId="77777777" w:rsidR="00BD7DB9" w:rsidRDefault="00BD7DB9">
      <w:r>
        <w:continuationSeparator/>
      </w:r>
    </w:p>
  </w:footnote>
  <w:footnote w:type="continuationNotice" w:id="1">
    <w:p w14:paraId="56471B3A" w14:textId="77777777" w:rsidR="00BD7DB9" w:rsidRDefault="00BD7DB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AE5F2" w14:textId="77777777" w:rsidR="00164BE3" w:rsidRPr="00110CBD" w:rsidRDefault="00164BE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164BE3" w:rsidRPr="008F3500" w14:paraId="3F7609D8" w14:textId="77777777">
      <w:trPr>
        <w:cantSplit/>
        <w:trHeight w:hRule="exact" w:val="847"/>
      </w:trPr>
      <w:tc>
        <w:tcPr>
          <w:tcW w:w="567" w:type="dxa"/>
        </w:tcPr>
        <w:p w14:paraId="62B80953" w14:textId="77777777" w:rsidR="00164BE3" w:rsidRDefault="00164BE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494AA0AD" w14:textId="77777777" w:rsidR="00164BE3" w:rsidRPr="006D42D9" w:rsidRDefault="00164BE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F02D96C" w14:textId="77777777" w:rsidR="00164BE3" w:rsidRPr="006D42D9" w:rsidRDefault="00164BE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5BF680" w14:textId="77777777" w:rsidR="00164BE3" w:rsidRPr="006D42D9" w:rsidRDefault="00164BE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20C666A" w14:textId="77777777" w:rsidR="00164BE3" w:rsidRPr="006D42D9" w:rsidRDefault="00164BE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0C1C926" w14:textId="77777777" w:rsidR="00164BE3" w:rsidRPr="006D42D9" w:rsidRDefault="00164BE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54E8C12" w14:textId="77777777" w:rsidR="00164BE3" w:rsidRPr="006D42D9" w:rsidRDefault="00164BE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1608381" w14:textId="77777777" w:rsidR="00164BE3" w:rsidRPr="006D42D9" w:rsidRDefault="00164BE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EA1B418" w14:textId="77777777" w:rsidR="00164BE3" w:rsidRPr="006D42D9" w:rsidRDefault="00164BE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C86DA74" w14:textId="77777777" w:rsidR="00164BE3" w:rsidRPr="006D42D9" w:rsidRDefault="00164BE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C7776E6" w14:textId="77777777" w:rsidR="00164BE3" w:rsidRPr="006D42D9" w:rsidRDefault="00164BE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E191877" w14:textId="77777777" w:rsidR="00164BE3" w:rsidRPr="006D42D9" w:rsidRDefault="00164BE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3CC6EF0" w14:textId="77777777" w:rsidR="00164BE3" w:rsidRPr="006D42D9" w:rsidRDefault="00164BE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4C8C1A2" w14:textId="77777777" w:rsidR="00164BE3" w:rsidRPr="006D42D9" w:rsidRDefault="00164BE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4B93286" w14:textId="77777777" w:rsidR="00164BE3" w:rsidRPr="006D42D9" w:rsidRDefault="00164BE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FD4343E" w14:textId="77777777" w:rsidR="00164BE3" w:rsidRPr="006D42D9" w:rsidRDefault="00164BE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E50822" w14:textId="77777777" w:rsidR="00164BE3" w:rsidRPr="006D42D9" w:rsidRDefault="00164BE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2E64894C" w14:textId="6CF7013A" w:rsidR="00164BE3" w:rsidRPr="008F3500" w:rsidRDefault="00164BE3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61F3FCAD" w14:textId="77777777" w:rsidR="00164BE3" w:rsidRPr="008F3500" w:rsidRDefault="00F2320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 xml:space="preserve">Ministrstvo za kmetijstvo, </w:t>
    </w:r>
    <w:r w:rsidR="00F25603">
      <w:rPr>
        <w:rFonts w:ascii="Republika Bold" w:hAnsi="Republika Bold"/>
        <w:b/>
        <w:caps/>
        <w:lang w:val="sl-SI"/>
      </w:rPr>
      <w:br/>
    </w:r>
    <w:r>
      <w:rPr>
        <w:rFonts w:ascii="Republika Bold" w:hAnsi="Republika Bold"/>
        <w:b/>
        <w:caps/>
        <w:lang w:val="sl-SI"/>
      </w:rPr>
      <w:t>gozdarstvo in prehrano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84E9FEA"/>
    <w:lvl w:ilvl="0">
      <w:start w:val="1"/>
      <w:numFmt w:val="decimal"/>
      <w:pStyle w:val="Otevile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80247C"/>
    <w:multiLevelType w:val="hybridMultilevel"/>
    <w:tmpl w:val="65F868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8767F"/>
    <w:multiLevelType w:val="hybridMultilevel"/>
    <w:tmpl w:val="0A8E5E88"/>
    <w:lvl w:ilvl="0" w:tplc="005E9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0F14ED"/>
    <w:multiLevelType w:val="hybridMultilevel"/>
    <w:tmpl w:val="219CD63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47AA4"/>
    <w:multiLevelType w:val="hybridMultilevel"/>
    <w:tmpl w:val="83D4FF82"/>
    <w:lvl w:ilvl="0" w:tplc="26ACEF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1D9F0FA0"/>
    <w:multiLevelType w:val="hybridMultilevel"/>
    <w:tmpl w:val="BAA259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74BA1"/>
    <w:multiLevelType w:val="hybridMultilevel"/>
    <w:tmpl w:val="26FAB760"/>
    <w:lvl w:ilvl="0" w:tplc="C81ED9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A114C"/>
    <w:multiLevelType w:val="hybridMultilevel"/>
    <w:tmpl w:val="7570AC92"/>
    <w:lvl w:ilvl="0" w:tplc="28FE211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EB0FEC"/>
    <w:multiLevelType w:val="hybridMultilevel"/>
    <w:tmpl w:val="E78A1984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94183"/>
    <w:multiLevelType w:val="hybridMultilevel"/>
    <w:tmpl w:val="E78A1984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300EB"/>
    <w:multiLevelType w:val="hybridMultilevel"/>
    <w:tmpl w:val="114002CC"/>
    <w:lvl w:ilvl="0" w:tplc="BEF2FE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F358D"/>
    <w:multiLevelType w:val="hybridMultilevel"/>
    <w:tmpl w:val="45B23E9E"/>
    <w:lvl w:ilvl="0" w:tplc="3A6A842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AA2B90"/>
    <w:multiLevelType w:val="hybridMultilevel"/>
    <w:tmpl w:val="100ACB36"/>
    <w:lvl w:ilvl="0" w:tplc="213082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076C74"/>
    <w:multiLevelType w:val="multilevel"/>
    <w:tmpl w:val="90A23962"/>
    <w:name w:val="0,61351572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9" w15:restartNumberingAfterBreak="0">
    <w:nsid w:val="302E7ED0"/>
    <w:multiLevelType w:val="hybridMultilevel"/>
    <w:tmpl w:val="A4942EF4"/>
    <w:lvl w:ilvl="0" w:tplc="9BF4613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eastAsia="Times New Roman" w:hAnsi="TimesNewRoman" w:cs="TimesNew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6D5B6B"/>
    <w:multiLevelType w:val="hybridMultilevel"/>
    <w:tmpl w:val="22849D46"/>
    <w:lvl w:ilvl="0" w:tplc="B13CEF2C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AFA40FE"/>
    <w:multiLevelType w:val="hybridMultilevel"/>
    <w:tmpl w:val="9B5A63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8763E"/>
    <w:multiLevelType w:val="hybridMultilevel"/>
    <w:tmpl w:val="B6E86C7E"/>
    <w:lvl w:ilvl="0" w:tplc="7EC827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0083C"/>
    <w:multiLevelType w:val="hybridMultilevel"/>
    <w:tmpl w:val="D922839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93516C"/>
    <w:multiLevelType w:val="multilevel"/>
    <w:tmpl w:val="CBC25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7D61D5"/>
    <w:multiLevelType w:val="hybridMultilevel"/>
    <w:tmpl w:val="CEEA6FF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D61377"/>
    <w:multiLevelType w:val="hybridMultilevel"/>
    <w:tmpl w:val="FC8C528E"/>
    <w:lvl w:ilvl="0" w:tplc="EC1C9B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DD70896"/>
    <w:multiLevelType w:val="hybridMultilevel"/>
    <w:tmpl w:val="254085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E16CE"/>
    <w:multiLevelType w:val="hybridMultilevel"/>
    <w:tmpl w:val="17B02C0A"/>
    <w:lvl w:ilvl="0" w:tplc="E58CF04E">
      <w:start w:val="1"/>
      <w:numFmt w:val="upperLetter"/>
      <w:lvlText w:val="%1)"/>
      <w:lvlJc w:val="left"/>
      <w:pPr>
        <w:ind w:left="1080" w:hanging="360"/>
      </w:pPr>
    </w:lvl>
    <w:lvl w:ilvl="1" w:tplc="A51A8AA6">
      <w:start w:val="1"/>
      <w:numFmt w:val="upperLetter"/>
      <w:lvlText w:val="%2)"/>
      <w:lvlJc w:val="left"/>
      <w:pPr>
        <w:ind w:left="1080" w:hanging="360"/>
      </w:pPr>
    </w:lvl>
    <w:lvl w:ilvl="2" w:tplc="A1F4B2D4">
      <w:start w:val="1"/>
      <w:numFmt w:val="upperLetter"/>
      <w:lvlText w:val="%3)"/>
      <w:lvlJc w:val="left"/>
      <w:pPr>
        <w:ind w:left="1080" w:hanging="360"/>
      </w:pPr>
    </w:lvl>
    <w:lvl w:ilvl="3" w:tplc="F510F422">
      <w:start w:val="1"/>
      <w:numFmt w:val="upperLetter"/>
      <w:lvlText w:val="%4)"/>
      <w:lvlJc w:val="left"/>
      <w:pPr>
        <w:ind w:left="1080" w:hanging="360"/>
      </w:pPr>
    </w:lvl>
    <w:lvl w:ilvl="4" w:tplc="5F0E2B0C">
      <w:start w:val="1"/>
      <w:numFmt w:val="upperLetter"/>
      <w:lvlText w:val="%5)"/>
      <w:lvlJc w:val="left"/>
      <w:pPr>
        <w:ind w:left="1080" w:hanging="360"/>
      </w:pPr>
    </w:lvl>
    <w:lvl w:ilvl="5" w:tplc="F24269B0">
      <w:start w:val="1"/>
      <w:numFmt w:val="upperLetter"/>
      <w:lvlText w:val="%6)"/>
      <w:lvlJc w:val="left"/>
      <w:pPr>
        <w:ind w:left="1080" w:hanging="360"/>
      </w:pPr>
    </w:lvl>
    <w:lvl w:ilvl="6" w:tplc="F1620048">
      <w:start w:val="1"/>
      <w:numFmt w:val="upperLetter"/>
      <w:lvlText w:val="%7)"/>
      <w:lvlJc w:val="left"/>
      <w:pPr>
        <w:ind w:left="1080" w:hanging="360"/>
      </w:pPr>
    </w:lvl>
    <w:lvl w:ilvl="7" w:tplc="32789E86">
      <w:start w:val="1"/>
      <w:numFmt w:val="upperLetter"/>
      <w:lvlText w:val="%8)"/>
      <w:lvlJc w:val="left"/>
      <w:pPr>
        <w:ind w:left="1080" w:hanging="360"/>
      </w:pPr>
    </w:lvl>
    <w:lvl w:ilvl="8" w:tplc="080E43FA">
      <w:start w:val="1"/>
      <w:numFmt w:val="upperLetter"/>
      <w:lvlText w:val="%9)"/>
      <w:lvlJc w:val="left"/>
      <w:pPr>
        <w:ind w:left="1080" w:hanging="360"/>
      </w:pPr>
    </w:lvl>
  </w:abstractNum>
  <w:abstractNum w:abstractNumId="30" w15:restartNumberingAfterBreak="0">
    <w:nsid w:val="509D4DD2"/>
    <w:multiLevelType w:val="hybridMultilevel"/>
    <w:tmpl w:val="D2D4A50A"/>
    <w:lvl w:ilvl="0" w:tplc="D7D833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365220"/>
    <w:multiLevelType w:val="hybridMultilevel"/>
    <w:tmpl w:val="84565A58"/>
    <w:lvl w:ilvl="0" w:tplc="2996D398">
      <w:start w:val="1"/>
      <w:numFmt w:val="bullet"/>
      <w:lvlText w:val="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2" w15:restartNumberingAfterBreak="0">
    <w:nsid w:val="5CC42540"/>
    <w:multiLevelType w:val="multilevel"/>
    <w:tmpl w:val="72EC4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EDC6CBD"/>
    <w:multiLevelType w:val="hybridMultilevel"/>
    <w:tmpl w:val="3924AB66"/>
    <w:lvl w:ilvl="0" w:tplc="99FCC904">
      <w:start w:val="1"/>
      <w:numFmt w:val="decimal"/>
      <w:lvlText w:val="%1."/>
      <w:lvlJc w:val="left"/>
      <w:pPr>
        <w:ind w:left="4440" w:hanging="40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260143"/>
    <w:multiLevelType w:val="hybridMultilevel"/>
    <w:tmpl w:val="93524870"/>
    <w:lvl w:ilvl="0" w:tplc="73945F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2F5EB6"/>
    <w:multiLevelType w:val="hybridMultilevel"/>
    <w:tmpl w:val="FC8C528E"/>
    <w:lvl w:ilvl="0" w:tplc="EC1C9B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E15586"/>
    <w:multiLevelType w:val="hybridMultilevel"/>
    <w:tmpl w:val="406E256C"/>
    <w:lvl w:ilvl="0" w:tplc="7BD2B4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406A60"/>
    <w:multiLevelType w:val="hybridMultilevel"/>
    <w:tmpl w:val="24CC07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A71D01"/>
    <w:multiLevelType w:val="hybridMultilevel"/>
    <w:tmpl w:val="FC724B96"/>
    <w:lvl w:ilvl="0" w:tplc="0424000F">
      <w:start w:val="1"/>
      <w:numFmt w:val="decimal"/>
      <w:lvlText w:val="%1."/>
      <w:lvlJc w:val="left"/>
      <w:pPr>
        <w:ind w:left="333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522981"/>
    <w:multiLevelType w:val="hybridMultilevel"/>
    <w:tmpl w:val="49443DBA"/>
    <w:lvl w:ilvl="0" w:tplc="327C39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982D32"/>
    <w:multiLevelType w:val="hybridMultilevel"/>
    <w:tmpl w:val="39225CC6"/>
    <w:lvl w:ilvl="0" w:tplc="C81ED9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53127D"/>
    <w:multiLevelType w:val="hybridMultilevel"/>
    <w:tmpl w:val="219CD63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C52517"/>
    <w:multiLevelType w:val="hybridMultilevel"/>
    <w:tmpl w:val="7DC220BA"/>
    <w:lvl w:ilvl="0" w:tplc="1D84C1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233FAB"/>
    <w:multiLevelType w:val="hybridMultilevel"/>
    <w:tmpl w:val="B6A0C694"/>
    <w:lvl w:ilvl="0" w:tplc="F0E6551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7"/>
  </w:num>
  <w:num w:numId="3">
    <w:abstractNumId w:val="25"/>
  </w:num>
  <w:num w:numId="4">
    <w:abstractNumId w:val="4"/>
  </w:num>
  <w:num w:numId="5">
    <w:abstractNumId w:val="7"/>
  </w:num>
  <w:num w:numId="6">
    <w:abstractNumId w:val="39"/>
  </w:num>
  <w:num w:numId="7">
    <w:abstractNumId w:val="13"/>
  </w:num>
  <w:num w:numId="8">
    <w:abstractNumId w:val="12"/>
  </w:num>
  <w:num w:numId="9">
    <w:abstractNumId w:val="10"/>
  </w:num>
  <w:num w:numId="10">
    <w:abstractNumId w:val="4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0"/>
  </w:num>
  <w:num w:numId="14">
    <w:abstractNumId w:val="35"/>
  </w:num>
  <w:num w:numId="15">
    <w:abstractNumId w:val="20"/>
  </w:num>
  <w:num w:numId="16">
    <w:abstractNumId w:val="22"/>
  </w:num>
  <w:num w:numId="17">
    <w:abstractNumId w:val="15"/>
  </w:num>
  <w:num w:numId="18">
    <w:abstractNumId w:val="30"/>
  </w:num>
  <w:num w:numId="19">
    <w:abstractNumId w:val="6"/>
  </w:num>
  <w:num w:numId="20">
    <w:abstractNumId w:val="27"/>
  </w:num>
  <w:num w:numId="21">
    <w:abstractNumId w:val="11"/>
  </w:num>
  <w:num w:numId="22">
    <w:abstractNumId w:val="42"/>
  </w:num>
  <w:num w:numId="23">
    <w:abstractNumId w:val="34"/>
  </w:num>
  <w:num w:numId="24">
    <w:abstractNumId w:val="43"/>
  </w:num>
  <w:num w:numId="25">
    <w:abstractNumId w:val="44"/>
  </w:num>
  <w:num w:numId="26">
    <w:abstractNumId w:val="5"/>
  </w:num>
  <w:num w:numId="27">
    <w:abstractNumId w:val="23"/>
  </w:num>
  <w:num w:numId="28">
    <w:abstractNumId w:val="31"/>
  </w:num>
  <w:num w:numId="29">
    <w:abstractNumId w:val="19"/>
  </w:num>
  <w:num w:numId="30">
    <w:abstractNumId w:val="18"/>
  </w:num>
  <w:num w:numId="31">
    <w:abstractNumId w:val="28"/>
  </w:num>
  <w:num w:numId="32">
    <w:abstractNumId w:val="1"/>
  </w:num>
  <w:num w:numId="33">
    <w:abstractNumId w:val="26"/>
  </w:num>
  <w:num w:numId="34">
    <w:abstractNumId w:val="38"/>
  </w:num>
  <w:num w:numId="35">
    <w:abstractNumId w:val="33"/>
  </w:num>
  <w:num w:numId="36">
    <w:abstractNumId w:val="2"/>
  </w:num>
  <w:num w:numId="37">
    <w:abstractNumId w:val="21"/>
  </w:num>
  <w:num w:numId="38">
    <w:abstractNumId w:val="9"/>
  </w:num>
  <w:num w:numId="39">
    <w:abstractNumId w:val="40"/>
  </w:num>
  <w:num w:numId="40">
    <w:abstractNumId w:val="14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 w:numId="43">
    <w:abstractNumId w:val="37"/>
  </w:num>
  <w:num w:numId="44">
    <w:abstractNumId w:val="29"/>
  </w:num>
  <w:num w:numId="45">
    <w:abstractNumId w:val="3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0576F"/>
    <w:rsid w:val="000114DD"/>
    <w:rsid w:val="00011CB7"/>
    <w:rsid w:val="00011D93"/>
    <w:rsid w:val="00015417"/>
    <w:rsid w:val="00023A88"/>
    <w:rsid w:val="00026385"/>
    <w:rsid w:val="000321A1"/>
    <w:rsid w:val="00034DC3"/>
    <w:rsid w:val="00041471"/>
    <w:rsid w:val="00042310"/>
    <w:rsid w:val="00043662"/>
    <w:rsid w:val="00045D0A"/>
    <w:rsid w:val="00050120"/>
    <w:rsid w:val="00050B76"/>
    <w:rsid w:val="0005392B"/>
    <w:rsid w:val="000805C7"/>
    <w:rsid w:val="00085711"/>
    <w:rsid w:val="000951FE"/>
    <w:rsid w:val="0009537C"/>
    <w:rsid w:val="000A11C3"/>
    <w:rsid w:val="000A20EF"/>
    <w:rsid w:val="000A5615"/>
    <w:rsid w:val="000A5663"/>
    <w:rsid w:val="000A7238"/>
    <w:rsid w:val="000B555F"/>
    <w:rsid w:val="000B76A2"/>
    <w:rsid w:val="000C3A71"/>
    <w:rsid w:val="000D2D80"/>
    <w:rsid w:val="000D43D3"/>
    <w:rsid w:val="000E70A6"/>
    <w:rsid w:val="000F721F"/>
    <w:rsid w:val="000F7FFB"/>
    <w:rsid w:val="001000E9"/>
    <w:rsid w:val="001026B7"/>
    <w:rsid w:val="00105349"/>
    <w:rsid w:val="0012281C"/>
    <w:rsid w:val="00122CEA"/>
    <w:rsid w:val="001357B2"/>
    <w:rsid w:val="00140203"/>
    <w:rsid w:val="00143B73"/>
    <w:rsid w:val="001531D9"/>
    <w:rsid w:val="001536F6"/>
    <w:rsid w:val="00160D4E"/>
    <w:rsid w:val="00163C77"/>
    <w:rsid w:val="001648EF"/>
    <w:rsid w:val="00164BE3"/>
    <w:rsid w:val="001651D5"/>
    <w:rsid w:val="0018003C"/>
    <w:rsid w:val="001801AD"/>
    <w:rsid w:val="00194120"/>
    <w:rsid w:val="001B6C01"/>
    <w:rsid w:val="001C0097"/>
    <w:rsid w:val="001D36FB"/>
    <w:rsid w:val="001D4CD3"/>
    <w:rsid w:val="001F6B16"/>
    <w:rsid w:val="00202A77"/>
    <w:rsid w:val="002036DF"/>
    <w:rsid w:val="0020454D"/>
    <w:rsid w:val="00207DFA"/>
    <w:rsid w:val="00217A88"/>
    <w:rsid w:val="00227B0F"/>
    <w:rsid w:val="002345E1"/>
    <w:rsid w:val="002353EA"/>
    <w:rsid w:val="00236C23"/>
    <w:rsid w:val="00240A28"/>
    <w:rsid w:val="00241311"/>
    <w:rsid w:val="002413C5"/>
    <w:rsid w:val="00243857"/>
    <w:rsid w:val="00243F84"/>
    <w:rsid w:val="00245499"/>
    <w:rsid w:val="0024691D"/>
    <w:rsid w:val="0025342F"/>
    <w:rsid w:val="00260F8A"/>
    <w:rsid w:val="00261AF3"/>
    <w:rsid w:val="00262AB7"/>
    <w:rsid w:val="00264FAE"/>
    <w:rsid w:val="00271CE5"/>
    <w:rsid w:val="00272A53"/>
    <w:rsid w:val="00274225"/>
    <w:rsid w:val="00280691"/>
    <w:rsid w:val="00282020"/>
    <w:rsid w:val="00294234"/>
    <w:rsid w:val="00294892"/>
    <w:rsid w:val="00295172"/>
    <w:rsid w:val="002B6957"/>
    <w:rsid w:val="002D157E"/>
    <w:rsid w:val="002D7481"/>
    <w:rsid w:val="002E3ED7"/>
    <w:rsid w:val="002E5C10"/>
    <w:rsid w:val="002E69ED"/>
    <w:rsid w:val="002E7ED3"/>
    <w:rsid w:val="002F60B8"/>
    <w:rsid w:val="00300867"/>
    <w:rsid w:val="00302679"/>
    <w:rsid w:val="00304012"/>
    <w:rsid w:val="00312B9B"/>
    <w:rsid w:val="00313B62"/>
    <w:rsid w:val="00316649"/>
    <w:rsid w:val="003429FD"/>
    <w:rsid w:val="003516D0"/>
    <w:rsid w:val="0035263F"/>
    <w:rsid w:val="003569DB"/>
    <w:rsid w:val="00356C92"/>
    <w:rsid w:val="0035749A"/>
    <w:rsid w:val="00360605"/>
    <w:rsid w:val="0036219F"/>
    <w:rsid w:val="003636BF"/>
    <w:rsid w:val="00364673"/>
    <w:rsid w:val="0036609F"/>
    <w:rsid w:val="003707FC"/>
    <w:rsid w:val="00370C6F"/>
    <w:rsid w:val="00372332"/>
    <w:rsid w:val="0037479F"/>
    <w:rsid w:val="003845B4"/>
    <w:rsid w:val="00384B2B"/>
    <w:rsid w:val="00387B1A"/>
    <w:rsid w:val="0039289F"/>
    <w:rsid w:val="003B4727"/>
    <w:rsid w:val="003B626A"/>
    <w:rsid w:val="003C25FD"/>
    <w:rsid w:val="003D2527"/>
    <w:rsid w:val="003D54C2"/>
    <w:rsid w:val="003D608B"/>
    <w:rsid w:val="003D6157"/>
    <w:rsid w:val="003E0CCE"/>
    <w:rsid w:val="003E1C74"/>
    <w:rsid w:val="003E694A"/>
    <w:rsid w:val="003E75F5"/>
    <w:rsid w:val="003F1F7B"/>
    <w:rsid w:val="003F273D"/>
    <w:rsid w:val="003F345D"/>
    <w:rsid w:val="003F4C33"/>
    <w:rsid w:val="004007ED"/>
    <w:rsid w:val="004007F8"/>
    <w:rsid w:val="00407992"/>
    <w:rsid w:val="00415737"/>
    <w:rsid w:val="00420E96"/>
    <w:rsid w:val="004241C4"/>
    <w:rsid w:val="00424A7E"/>
    <w:rsid w:val="004331D5"/>
    <w:rsid w:val="00442A5E"/>
    <w:rsid w:val="00447351"/>
    <w:rsid w:val="004473BB"/>
    <w:rsid w:val="004515F1"/>
    <w:rsid w:val="004569AB"/>
    <w:rsid w:val="00466090"/>
    <w:rsid w:val="004678A4"/>
    <w:rsid w:val="004701D5"/>
    <w:rsid w:val="00472021"/>
    <w:rsid w:val="00472071"/>
    <w:rsid w:val="00492005"/>
    <w:rsid w:val="00493710"/>
    <w:rsid w:val="00495FEA"/>
    <w:rsid w:val="004A11B1"/>
    <w:rsid w:val="004A5090"/>
    <w:rsid w:val="004A68E3"/>
    <w:rsid w:val="004C252C"/>
    <w:rsid w:val="004C4F29"/>
    <w:rsid w:val="004C5857"/>
    <w:rsid w:val="004D26F4"/>
    <w:rsid w:val="004D7161"/>
    <w:rsid w:val="004D7DCE"/>
    <w:rsid w:val="004E4B85"/>
    <w:rsid w:val="004E6747"/>
    <w:rsid w:val="004F1F02"/>
    <w:rsid w:val="0050024C"/>
    <w:rsid w:val="0050167A"/>
    <w:rsid w:val="00504F3C"/>
    <w:rsid w:val="00512C4C"/>
    <w:rsid w:val="005148B4"/>
    <w:rsid w:val="00517D7B"/>
    <w:rsid w:val="005238C5"/>
    <w:rsid w:val="00526246"/>
    <w:rsid w:val="00534CE0"/>
    <w:rsid w:val="005361F2"/>
    <w:rsid w:val="005369F1"/>
    <w:rsid w:val="00543201"/>
    <w:rsid w:val="00554171"/>
    <w:rsid w:val="0055453E"/>
    <w:rsid w:val="00554699"/>
    <w:rsid w:val="005547BC"/>
    <w:rsid w:val="00555267"/>
    <w:rsid w:val="005662E5"/>
    <w:rsid w:val="00567106"/>
    <w:rsid w:val="00585CE4"/>
    <w:rsid w:val="00594E0E"/>
    <w:rsid w:val="0059677C"/>
    <w:rsid w:val="005A3337"/>
    <w:rsid w:val="005A5681"/>
    <w:rsid w:val="005A7ECE"/>
    <w:rsid w:val="005B3E57"/>
    <w:rsid w:val="005B3E96"/>
    <w:rsid w:val="005B5B36"/>
    <w:rsid w:val="005B5B52"/>
    <w:rsid w:val="005C12DD"/>
    <w:rsid w:val="005D2ECF"/>
    <w:rsid w:val="005D5198"/>
    <w:rsid w:val="005D6572"/>
    <w:rsid w:val="005E034F"/>
    <w:rsid w:val="005E1271"/>
    <w:rsid w:val="005E1B02"/>
    <w:rsid w:val="005E1D3C"/>
    <w:rsid w:val="005E24D4"/>
    <w:rsid w:val="005F2296"/>
    <w:rsid w:val="005F28E2"/>
    <w:rsid w:val="005F426D"/>
    <w:rsid w:val="00601781"/>
    <w:rsid w:val="00601DD4"/>
    <w:rsid w:val="00606393"/>
    <w:rsid w:val="00615294"/>
    <w:rsid w:val="0061586B"/>
    <w:rsid w:val="00616CCD"/>
    <w:rsid w:val="006201F2"/>
    <w:rsid w:val="0062648E"/>
    <w:rsid w:val="00631E7C"/>
    <w:rsid w:val="00632253"/>
    <w:rsid w:val="00633622"/>
    <w:rsid w:val="0064107B"/>
    <w:rsid w:val="0064250D"/>
    <w:rsid w:val="00642714"/>
    <w:rsid w:val="006450F4"/>
    <w:rsid w:val="006455CE"/>
    <w:rsid w:val="00654A4E"/>
    <w:rsid w:val="00654FFF"/>
    <w:rsid w:val="00670E4A"/>
    <w:rsid w:val="0067205F"/>
    <w:rsid w:val="00681DCC"/>
    <w:rsid w:val="00685DEA"/>
    <w:rsid w:val="006901D3"/>
    <w:rsid w:val="00693338"/>
    <w:rsid w:val="00693CE3"/>
    <w:rsid w:val="00695F24"/>
    <w:rsid w:val="006A5F38"/>
    <w:rsid w:val="006A6EF9"/>
    <w:rsid w:val="006B7979"/>
    <w:rsid w:val="006C36A8"/>
    <w:rsid w:val="006D2688"/>
    <w:rsid w:val="006D42D9"/>
    <w:rsid w:val="006D6DC6"/>
    <w:rsid w:val="006E17FA"/>
    <w:rsid w:val="006E3780"/>
    <w:rsid w:val="006F2399"/>
    <w:rsid w:val="006F2812"/>
    <w:rsid w:val="006F32AC"/>
    <w:rsid w:val="006F4CA5"/>
    <w:rsid w:val="006F5FA4"/>
    <w:rsid w:val="007009D8"/>
    <w:rsid w:val="007114D7"/>
    <w:rsid w:val="00712DE4"/>
    <w:rsid w:val="00713E81"/>
    <w:rsid w:val="00715546"/>
    <w:rsid w:val="007161FC"/>
    <w:rsid w:val="00720872"/>
    <w:rsid w:val="00720BE3"/>
    <w:rsid w:val="00721805"/>
    <w:rsid w:val="007230C6"/>
    <w:rsid w:val="00723342"/>
    <w:rsid w:val="007250C8"/>
    <w:rsid w:val="007277C8"/>
    <w:rsid w:val="0072783C"/>
    <w:rsid w:val="00731ADE"/>
    <w:rsid w:val="00733017"/>
    <w:rsid w:val="00741E32"/>
    <w:rsid w:val="00742630"/>
    <w:rsid w:val="007431C5"/>
    <w:rsid w:val="00743EFF"/>
    <w:rsid w:val="00744254"/>
    <w:rsid w:val="00744573"/>
    <w:rsid w:val="00745C68"/>
    <w:rsid w:val="007544B4"/>
    <w:rsid w:val="0075559F"/>
    <w:rsid w:val="007732C2"/>
    <w:rsid w:val="00775A1E"/>
    <w:rsid w:val="00777F4E"/>
    <w:rsid w:val="00783310"/>
    <w:rsid w:val="007A1784"/>
    <w:rsid w:val="007A4A6D"/>
    <w:rsid w:val="007A7201"/>
    <w:rsid w:val="007A75E0"/>
    <w:rsid w:val="007B0353"/>
    <w:rsid w:val="007B26A0"/>
    <w:rsid w:val="007B28CD"/>
    <w:rsid w:val="007B56D0"/>
    <w:rsid w:val="007B685E"/>
    <w:rsid w:val="007B6D37"/>
    <w:rsid w:val="007B7F61"/>
    <w:rsid w:val="007C119C"/>
    <w:rsid w:val="007C1638"/>
    <w:rsid w:val="007C5A8B"/>
    <w:rsid w:val="007C5ED5"/>
    <w:rsid w:val="007C64C6"/>
    <w:rsid w:val="007C71CF"/>
    <w:rsid w:val="007D1BCF"/>
    <w:rsid w:val="007D2908"/>
    <w:rsid w:val="007D75CF"/>
    <w:rsid w:val="007E6A06"/>
    <w:rsid w:val="007E6DC5"/>
    <w:rsid w:val="007F05CF"/>
    <w:rsid w:val="007F58AA"/>
    <w:rsid w:val="00805644"/>
    <w:rsid w:val="00813870"/>
    <w:rsid w:val="0081499F"/>
    <w:rsid w:val="00814E8A"/>
    <w:rsid w:val="00815242"/>
    <w:rsid w:val="008204C7"/>
    <w:rsid w:val="00822D14"/>
    <w:rsid w:val="00825A2A"/>
    <w:rsid w:val="00830B30"/>
    <w:rsid w:val="00832BC2"/>
    <w:rsid w:val="008332C4"/>
    <w:rsid w:val="00845A13"/>
    <w:rsid w:val="00850599"/>
    <w:rsid w:val="00854B5B"/>
    <w:rsid w:val="00864B91"/>
    <w:rsid w:val="00866870"/>
    <w:rsid w:val="0086741E"/>
    <w:rsid w:val="0088043C"/>
    <w:rsid w:val="0088076E"/>
    <w:rsid w:val="00883776"/>
    <w:rsid w:val="00884539"/>
    <w:rsid w:val="008906C9"/>
    <w:rsid w:val="008931DB"/>
    <w:rsid w:val="008946B5"/>
    <w:rsid w:val="008976B1"/>
    <w:rsid w:val="00897E40"/>
    <w:rsid w:val="008A191C"/>
    <w:rsid w:val="008A3415"/>
    <w:rsid w:val="008A4840"/>
    <w:rsid w:val="008A48B9"/>
    <w:rsid w:val="008A4E0E"/>
    <w:rsid w:val="008A622F"/>
    <w:rsid w:val="008A63A4"/>
    <w:rsid w:val="008B4C6F"/>
    <w:rsid w:val="008B4EE4"/>
    <w:rsid w:val="008B5B4D"/>
    <w:rsid w:val="008C5738"/>
    <w:rsid w:val="008D04F0"/>
    <w:rsid w:val="008E01B5"/>
    <w:rsid w:val="008E7472"/>
    <w:rsid w:val="008F1023"/>
    <w:rsid w:val="008F3500"/>
    <w:rsid w:val="008F63F0"/>
    <w:rsid w:val="00900BD6"/>
    <w:rsid w:val="00901381"/>
    <w:rsid w:val="00901F10"/>
    <w:rsid w:val="00903211"/>
    <w:rsid w:val="009041A1"/>
    <w:rsid w:val="00905D08"/>
    <w:rsid w:val="009101C0"/>
    <w:rsid w:val="00912393"/>
    <w:rsid w:val="00914E38"/>
    <w:rsid w:val="00916870"/>
    <w:rsid w:val="00917F2D"/>
    <w:rsid w:val="00920598"/>
    <w:rsid w:val="00920645"/>
    <w:rsid w:val="00922191"/>
    <w:rsid w:val="009227B9"/>
    <w:rsid w:val="00922952"/>
    <w:rsid w:val="0092304B"/>
    <w:rsid w:val="00924E3C"/>
    <w:rsid w:val="009310F6"/>
    <w:rsid w:val="009364C0"/>
    <w:rsid w:val="00936A65"/>
    <w:rsid w:val="00936AEA"/>
    <w:rsid w:val="009404A6"/>
    <w:rsid w:val="009417A7"/>
    <w:rsid w:val="0094740F"/>
    <w:rsid w:val="00953485"/>
    <w:rsid w:val="009570F1"/>
    <w:rsid w:val="009612BB"/>
    <w:rsid w:val="00961332"/>
    <w:rsid w:val="00961C7E"/>
    <w:rsid w:val="00967095"/>
    <w:rsid w:val="009705AE"/>
    <w:rsid w:val="0097111C"/>
    <w:rsid w:val="009721C1"/>
    <w:rsid w:val="009823A2"/>
    <w:rsid w:val="009827AA"/>
    <w:rsid w:val="00991AD6"/>
    <w:rsid w:val="009A6915"/>
    <w:rsid w:val="009B3EAB"/>
    <w:rsid w:val="009B7627"/>
    <w:rsid w:val="009C39D8"/>
    <w:rsid w:val="009D5BCC"/>
    <w:rsid w:val="009D644D"/>
    <w:rsid w:val="009E3C01"/>
    <w:rsid w:val="009F06A7"/>
    <w:rsid w:val="009F0866"/>
    <w:rsid w:val="009F1C6E"/>
    <w:rsid w:val="009F3DEF"/>
    <w:rsid w:val="009F5CFF"/>
    <w:rsid w:val="00A00586"/>
    <w:rsid w:val="00A023F7"/>
    <w:rsid w:val="00A0789E"/>
    <w:rsid w:val="00A125C5"/>
    <w:rsid w:val="00A135F0"/>
    <w:rsid w:val="00A13F8E"/>
    <w:rsid w:val="00A13F9C"/>
    <w:rsid w:val="00A147C3"/>
    <w:rsid w:val="00A165AE"/>
    <w:rsid w:val="00A17EA3"/>
    <w:rsid w:val="00A2796B"/>
    <w:rsid w:val="00A35299"/>
    <w:rsid w:val="00A413B5"/>
    <w:rsid w:val="00A4150A"/>
    <w:rsid w:val="00A415F2"/>
    <w:rsid w:val="00A420A0"/>
    <w:rsid w:val="00A439C2"/>
    <w:rsid w:val="00A43AF7"/>
    <w:rsid w:val="00A44E19"/>
    <w:rsid w:val="00A5039D"/>
    <w:rsid w:val="00A5169F"/>
    <w:rsid w:val="00A64000"/>
    <w:rsid w:val="00A65EE7"/>
    <w:rsid w:val="00A70133"/>
    <w:rsid w:val="00A7266B"/>
    <w:rsid w:val="00A739CB"/>
    <w:rsid w:val="00A76F1E"/>
    <w:rsid w:val="00A8353C"/>
    <w:rsid w:val="00A84389"/>
    <w:rsid w:val="00A864F6"/>
    <w:rsid w:val="00A92C86"/>
    <w:rsid w:val="00A94B52"/>
    <w:rsid w:val="00AA0D85"/>
    <w:rsid w:val="00AA0E21"/>
    <w:rsid w:val="00AA610E"/>
    <w:rsid w:val="00AB425A"/>
    <w:rsid w:val="00AB5CC2"/>
    <w:rsid w:val="00AC6B7A"/>
    <w:rsid w:val="00AD334C"/>
    <w:rsid w:val="00AD3C8C"/>
    <w:rsid w:val="00AD79C8"/>
    <w:rsid w:val="00AF269A"/>
    <w:rsid w:val="00B10064"/>
    <w:rsid w:val="00B14D09"/>
    <w:rsid w:val="00B17141"/>
    <w:rsid w:val="00B26CD0"/>
    <w:rsid w:val="00B30B5F"/>
    <w:rsid w:val="00B31575"/>
    <w:rsid w:val="00B31CD5"/>
    <w:rsid w:val="00B36D3A"/>
    <w:rsid w:val="00B41F41"/>
    <w:rsid w:val="00B444E1"/>
    <w:rsid w:val="00B4455F"/>
    <w:rsid w:val="00B4727D"/>
    <w:rsid w:val="00B47C57"/>
    <w:rsid w:val="00B5036C"/>
    <w:rsid w:val="00B515BB"/>
    <w:rsid w:val="00B55FF6"/>
    <w:rsid w:val="00B608AF"/>
    <w:rsid w:val="00B621EC"/>
    <w:rsid w:val="00B66CA1"/>
    <w:rsid w:val="00B70B31"/>
    <w:rsid w:val="00B7696F"/>
    <w:rsid w:val="00B8547D"/>
    <w:rsid w:val="00B86CD1"/>
    <w:rsid w:val="00B96D1E"/>
    <w:rsid w:val="00BA1113"/>
    <w:rsid w:val="00BB26FB"/>
    <w:rsid w:val="00BB29E1"/>
    <w:rsid w:val="00BB6194"/>
    <w:rsid w:val="00BC2769"/>
    <w:rsid w:val="00BD4B40"/>
    <w:rsid w:val="00BD6D9F"/>
    <w:rsid w:val="00BD7DB9"/>
    <w:rsid w:val="00BE4A11"/>
    <w:rsid w:val="00BE4A92"/>
    <w:rsid w:val="00BE4C2A"/>
    <w:rsid w:val="00BE7033"/>
    <w:rsid w:val="00BE71C0"/>
    <w:rsid w:val="00BF022A"/>
    <w:rsid w:val="00BF05A3"/>
    <w:rsid w:val="00BF1FE0"/>
    <w:rsid w:val="00BF606F"/>
    <w:rsid w:val="00C15EC7"/>
    <w:rsid w:val="00C174A4"/>
    <w:rsid w:val="00C2246B"/>
    <w:rsid w:val="00C250D5"/>
    <w:rsid w:val="00C252EB"/>
    <w:rsid w:val="00C2717A"/>
    <w:rsid w:val="00C2758A"/>
    <w:rsid w:val="00C30250"/>
    <w:rsid w:val="00C31308"/>
    <w:rsid w:val="00C44D1A"/>
    <w:rsid w:val="00C4682C"/>
    <w:rsid w:val="00C52B32"/>
    <w:rsid w:val="00C54F3E"/>
    <w:rsid w:val="00C60C84"/>
    <w:rsid w:val="00C634E8"/>
    <w:rsid w:val="00C64F88"/>
    <w:rsid w:val="00C66D8F"/>
    <w:rsid w:val="00C67AA5"/>
    <w:rsid w:val="00C75FEE"/>
    <w:rsid w:val="00C82B9F"/>
    <w:rsid w:val="00C84FB2"/>
    <w:rsid w:val="00C90C13"/>
    <w:rsid w:val="00C92898"/>
    <w:rsid w:val="00C94D62"/>
    <w:rsid w:val="00C97DCB"/>
    <w:rsid w:val="00CA25F5"/>
    <w:rsid w:val="00CB6462"/>
    <w:rsid w:val="00CC48B6"/>
    <w:rsid w:val="00CD2775"/>
    <w:rsid w:val="00CD6FF3"/>
    <w:rsid w:val="00CE2A2E"/>
    <w:rsid w:val="00CE7514"/>
    <w:rsid w:val="00CF0657"/>
    <w:rsid w:val="00CF15B0"/>
    <w:rsid w:val="00CF2827"/>
    <w:rsid w:val="00D04605"/>
    <w:rsid w:val="00D0487E"/>
    <w:rsid w:val="00D05748"/>
    <w:rsid w:val="00D05D06"/>
    <w:rsid w:val="00D07B8D"/>
    <w:rsid w:val="00D14E76"/>
    <w:rsid w:val="00D246E1"/>
    <w:rsid w:val="00D248DE"/>
    <w:rsid w:val="00D25B25"/>
    <w:rsid w:val="00D3265C"/>
    <w:rsid w:val="00D34371"/>
    <w:rsid w:val="00D3718D"/>
    <w:rsid w:val="00D436CA"/>
    <w:rsid w:val="00D455BF"/>
    <w:rsid w:val="00D528D0"/>
    <w:rsid w:val="00D71EEC"/>
    <w:rsid w:val="00D843B6"/>
    <w:rsid w:val="00D8542D"/>
    <w:rsid w:val="00D877C9"/>
    <w:rsid w:val="00D87F6B"/>
    <w:rsid w:val="00D90654"/>
    <w:rsid w:val="00DA5B15"/>
    <w:rsid w:val="00DA60C4"/>
    <w:rsid w:val="00DA63D1"/>
    <w:rsid w:val="00DA672A"/>
    <w:rsid w:val="00DB3FA5"/>
    <w:rsid w:val="00DB7E6A"/>
    <w:rsid w:val="00DC0044"/>
    <w:rsid w:val="00DC4224"/>
    <w:rsid w:val="00DC6A71"/>
    <w:rsid w:val="00DC6E33"/>
    <w:rsid w:val="00DD09AF"/>
    <w:rsid w:val="00DD31A6"/>
    <w:rsid w:val="00DD6965"/>
    <w:rsid w:val="00DE5B46"/>
    <w:rsid w:val="00DE5CBA"/>
    <w:rsid w:val="00DF2590"/>
    <w:rsid w:val="00E0357D"/>
    <w:rsid w:val="00E07547"/>
    <w:rsid w:val="00E17170"/>
    <w:rsid w:val="00E2295D"/>
    <w:rsid w:val="00E24EC2"/>
    <w:rsid w:val="00E259CE"/>
    <w:rsid w:val="00E2773F"/>
    <w:rsid w:val="00E33774"/>
    <w:rsid w:val="00E4177C"/>
    <w:rsid w:val="00E46DD2"/>
    <w:rsid w:val="00E51955"/>
    <w:rsid w:val="00E537A3"/>
    <w:rsid w:val="00E54822"/>
    <w:rsid w:val="00E5586C"/>
    <w:rsid w:val="00E670FA"/>
    <w:rsid w:val="00E71511"/>
    <w:rsid w:val="00E91AB4"/>
    <w:rsid w:val="00E95AA9"/>
    <w:rsid w:val="00E97D75"/>
    <w:rsid w:val="00EC00C9"/>
    <w:rsid w:val="00EC286D"/>
    <w:rsid w:val="00ED0F28"/>
    <w:rsid w:val="00ED33EF"/>
    <w:rsid w:val="00ED676A"/>
    <w:rsid w:val="00EE53EC"/>
    <w:rsid w:val="00EE7098"/>
    <w:rsid w:val="00EF07BE"/>
    <w:rsid w:val="00EF114A"/>
    <w:rsid w:val="00EF6FBE"/>
    <w:rsid w:val="00EF7292"/>
    <w:rsid w:val="00F01727"/>
    <w:rsid w:val="00F02585"/>
    <w:rsid w:val="00F14E32"/>
    <w:rsid w:val="00F23209"/>
    <w:rsid w:val="00F240BB"/>
    <w:rsid w:val="00F25603"/>
    <w:rsid w:val="00F27503"/>
    <w:rsid w:val="00F36022"/>
    <w:rsid w:val="00F40DD4"/>
    <w:rsid w:val="00F43601"/>
    <w:rsid w:val="00F46724"/>
    <w:rsid w:val="00F57FED"/>
    <w:rsid w:val="00F631BD"/>
    <w:rsid w:val="00F65C98"/>
    <w:rsid w:val="00F71DB8"/>
    <w:rsid w:val="00F83C73"/>
    <w:rsid w:val="00F85A14"/>
    <w:rsid w:val="00F92675"/>
    <w:rsid w:val="00F9640B"/>
    <w:rsid w:val="00F9755B"/>
    <w:rsid w:val="00FB0529"/>
    <w:rsid w:val="00FB0866"/>
    <w:rsid w:val="00FB21C1"/>
    <w:rsid w:val="00FB2491"/>
    <w:rsid w:val="00FB6D50"/>
    <w:rsid w:val="00FB7D42"/>
    <w:rsid w:val="00FC61DC"/>
    <w:rsid w:val="00FC73B1"/>
    <w:rsid w:val="00FD35B4"/>
    <w:rsid w:val="00FD547E"/>
    <w:rsid w:val="00FE2DBC"/>
    <w:rsid w:val="00FF17DA"/>
    <w:rsid w:val="00FF490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45C6ED3D"/>
  <w15:chartTrackingRefBased/>
  <w15:docId w15:val="{FEABC10E-D0A8-4F17-B98C-40D7E68B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4007E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D74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2D7481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rsid w:val="00EF6FBE"/>
    <w:rPr>
      <w:rFonts w:ascii="Arial" w:hAnsi="Arial"/>
      <w:szCs w:val="24"/>
      <w:lang w:val="en-US" w:eastAsia="en-US"/>
    </w:rPr>
  </w:style>
  <w:style w:type="paragraph" w:styleId="Telobesedila">
    <w:name w:val="Body Text"/>
    <w:basedOn w:val="Navaden"/>
    <w:link w:val="TelobesedilaZnak"/>
    <w:rsid w:val="00EF6FBE"/>
    <w:pPr>
      <w:spacing w:after="120" w:line="240" w:lineRule="auto"/>
    </w:pPr>
    <w:rPr>
      <w:rFonts w:ascii="SSUniversCond" w:hAnsi="SSUniversCond"/>
      <w:i/>
      <w:sz w:val="18"/>
      <w:szCs w:val="20"/>
      <w:lang w:eastAsia="sl-SI"/>
    </w:rPr>
  </w:style>
  <w:style w:type="character" w:customStyle="1" w:styleId="TelobesedilaZnak">
    <w:name w:val="Telo besedila Znak"/>
    <w:link w:val="Telobesedila"/>
    <w:rsid w:val="00EF6FBE"/>
    <w:rPr>
      <w:rFonts w:ascii="SSUniversCond" w:hAnsi="SSUniversCond"/>
      <w:i/>
      <w:sz w:val="18"/>
      <w:lang w:val="en-US"/>
    </w:rPr>
  </w:style>
  <w:style w:type="paragraph" w:customStyle="1" w:styleId="1">
    <w:name w:val="1"/>
    <w:basedOn w:val="Navaden"/>
    <w:rsid w:val="00EF6FBE"/>
    <w:pPr>
      <w:spacing w:after="160" w:line="240" w:lineRule="exact"/>
    </w:pPr>
    <w:rPr>
      <w:rFonts w:ascii="Tahoma" w:hAnsi="Tahoma"/>
      <w:szCs w:val="20"/>
    </w:rPr>
  </w:style>
  <w:style w:type="paragraph" w:customStyle="1" w:styleId="Nav">
    <w:name w:val="Navđ"/>
    <w:basedOn w:val="Navaden"/>
    <w:rsid w:val="00EF6FBE"/>
    <w:pPr>
      <w:tabs>
        <w:tab w:val="left" w:pos="1418"/>
      </w:tabs>
      <w:jc w:val="both"/>
    </w:pPr>
    <w:rPr>
      <w:rFonts w:cs="Arial"/>
      <w:szCs w:val="20"/>
      <w:lang w:val="sl-SI"/>
    </w:rPr>
  </w:style>
  <w:style w:type="paragraph" w:customStyle="1" w:styleId="ZnakCharCharZnak">
    <w:name w:val="Znak Char Char Znak"/>
    <w:basedOn w:val="Navaden"/>
    <w:rsid w:val="00EF6FBE"/>
    <w:pPr>
      <w:spacing w:after="160" w:line="240" w:lineRule="exact"/>
    </w:pPr>
    <w:rPr>
      <w:rFonts w:ascii="Tahoma" w:hAnsi="Tahoma" w:cs="Tahoma"/>
      <w:szCs w:val="20"/>
    </w:rPr>
  </w:style>
  <w:style w:type="paragraph" w:customStyle="1" w:styleId="Znak1ZnakZnak">
    <w:name w:val="Znak1 Znak Znak"/>
    <w:basedOn w:val="Navaden"/>
    <w:rsid w:val="00EF6FBE"/>
    <w:pPr>
      <w:spacing w:after="160" w:line="240" w:lineRule="exact"/>
    </w:pPr>
    <w:rPr>
      <w:rFonts w:ascii="Tahoma" w:hAnsi="Tahoma" w:cs="Tahoma"/>
      <w:szCs w:val="20"/>
    </w:rPr>
  </w:style>
  <w:style w:type="paragraph" w:styleId="Odstavekseznama">
    <w:name w:val="List Paragraph"/>
    <w:basedOn w:val="Navaden"/>
    <w:link w:val="OdstavekseznamaZnak"/>
    <w:uiPriority w:val="34"/>
    <w:qFormat/>
    <w:rsid w:val="00A7266B"/>
    <w:pPr>
      <w:spacing w:line="240" w:lineRule="auto"/>
      <w:ind w:left="720"/>
      <w:contextualSpacing/>
    </w:pPr>
    <w:rPr>
      <w:rFonts w:ascii="Times New Roman" w:hAnsi="Times New Roman"/>
      <w:sz w:val="24"/>
    </w:rPr>
  </w:style>
  <w:style w:type="paragraph" w:customStyle="1" w:styleId="Default">
    <w:name w:val="Default"/>
    <w:rsid w:val="004D26F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styleId="Pripombasklic">
    <w:name w:val="annotation reference"/>
    <w:uiPriority w:val="99"/>
    <w:rsid w:val="004D26F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4D26F4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4D26F4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4D26F4"/>
    <w:rPr>
      <w:b/>
      <w:bCs/>
    </w:rPr>
  </w:style>
  <w:style w:type="character" w:customStyle="1" w:styleId="ZadevapripombeZnak">
    <w:name w:val="Zadeva pripombe Znak"/>
    <w:link w:val="Zadevapripombe"/>
    <w:rsid w:val="004D26F4"/>
    <w:rPr>
      <w:rFonts w:ascii="Arial" w:hAnsi="Arial"/>
      <w:b/>
      <w:bCs/>
      <w:lang w:val="en-US" w:eastAsia="en-US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unhideWhenUsed/>
    <w:rsid w:val="0062648E"/>
    <w:pPr>
      <w:spacing w:line="240" w:lineRule="auto"/>
      <w:ind w:left="720" w:hanging="720"/>
      <w:jc w:val="both"/>
    </w:pPr>
    <w:rPr>
      <w:rFonts w:ascii="Times New Roman" w:eastAsia="Calibri" w:hAnsi="Times New Roman"/>
      <w:szCs w:val="20"/>
      <w:lang w:val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link w:val="Sprotnaopomba-besedilo"/>
    <w:rsid w:val="0062648E"/>
    <w:rPr>
      <w:rFonts w:eastAsia="Calibri"/>
      <w:lang w:eastAsia="en-US"/>
    </w:rPr>
  </w:style>
  <w:style w:type="character" w:styleId="Sprotnaopomba-sklic">
    <w:name w:val="footnote reference"/>
    <w:uiPriority w:val="99"/>
    <w:unhideWhenUsed/>
    <w:rsid w:val="0062648E"/>
    <w:rPr>
      <w:shd w:val="clear" w:color="auto" w:fill="auto"/>
      <w:vertAlign w:val="superscript"/>
    </w:rPr>
  </w:style>
  <w:style w:type="paragraph" w:customStyle="1" w:styleId="Point0number">
    <w:name w:val="Point 0 (number)"/>
    <w:basedOn w:val="Navaden"/>
    <w:rsid w:val="0062648E"/>
    <w:pPr>
      <w:numPr>
        <w:numId w:val="11"/>
      </w:numPr>
      <w:tabs>
        <w:tab w:val="clear" w:pos="850"/>
        <w:tab w:val="num" w:pos="360"/>
      </w:tabs>
      <w:spacing w:before="120" w:after="120" w:line="240" w:lineRule="auto"/>
      <w:ind w:left="0" w:firstLine="0"/>
      <w:jc w:val="both"/>
    </w:pPr>
    <w:rPr>
      <w:rFonts w:ascii="Times New Roman" w:eastAsia="Calibri" w:hAnsi="Times New Roman"/>
      <w:sz w:val="24"/>
      <w:szCs w:val="22"/>
      <w:lang w:val="sl-SI"/>
    </w:rPr>
  </w:style>
  <w:style w:type="paragraph" w:customStyle="1" w:styleId="Point1number">
    <w:name w:val="Point 1 (number)"/>
    <w:basedOn w:val="Navaden"/>
    <w:rsid w:val="0062648E"/>
    <w:pPr>
      <w:numPr>
        <w:ilvl w:val="2"/>
        <w:numId w:val="11"/>
      </w:numPr>
      <w:tabs>
        <w:tab w:val="clear" w:pos="1417"/>
        <w:tab w:val="num" w:pos="360"/>
      </w:tabs>
      <w:spacing w:before="120" w:after="120" w:line="240" w:lineRule="auto"/>
      <w:ind w:left="0" w:firstLine="0"/>
      <w:jc w:val="both"/>
    </w:pPr>
    <w:rPr>
      <w:rFonts w:ascii="Times New Roman" w:eastAsia="Calibri" w:hAnsi="Times New Roman"/>
      <w:sz w:val="24"/>
      <w:szCs w:val="22"/>
      <w:lang w:val="sl-SI"/>
    </w:rPr>
  </w:style>
  <w:style w:type="paragraph" w:customStyle="1" w:styleId="Point2number">
    <w:name w:val="Point 2 (number)"/>
    <w:basedOn w:val="Navaden"/>
    <w:rsid w:val="0062648E"/>
    <w:pPr>
      <w:numPr>
        <w:ilvl w:val="4"/>
        <w:numId w:val="11"/>
      </w:numPr>
      <w:tabs>
        <w:tab w:val="clear" w:pos="1984"/>
        <w:tab w:val="num" w:pos="360"/>
      </w:tabs>
      <w:spacing w:before="120" w:after="120" w:line="240" w:lineRule="auto"/>
      <w:ind w:left="0" w:firstLine="0"/>
      <w:jc w:val="both"/>
    </w:pPr>
    <w:rPr>
      <w:rFonts w:ascii="Times New Roman" w:eastAsia="Calibri" w:hAnsi="Times New Roman"/>
      <w:sz w:val="24"/>
      <w:szCs w:val="22"/>
      <w:lang w:val="sl-SI"/>
    </w:rPr>
  </w:style>
  <w:style w:type="paragraph" w:customStyle="1" w:styleId="Point3number">
    <w:name w:val="Point 3 (number)"/>
    <w:basedOn w:val="Navaden"/>
    <w:rsid w:val="0062648E"/>
    <w:pPr>
      <w:numPr>
        <w:ilvl w:val="6"/>
        <w:numId w:val="11"/>
      </w:numPr>
      <w:tabs>
        <w:tab w:val="clear" w:pos="2551"/>
        <w:tab w:val="num" w:pos="360"/>
      </w:tabs>
      <w:spacing w:before="120" w:after="120" w:line="240" w:lineRule="auto"/>
      <w:ind w:left="0" w:firstLine="0"/>
      <w:jc w:val="both"/>
    </w:pPr>
    <w:rPr>
      <w:rFonts w:ascii="Times New Roman" w:eastAsia="Calibri" w:hAnsi="Times New Roman"/>
      <w:sz w:val="24"/>
      <w:szCs w:val="22"/>
      <w:lang w:val="sl-SI"/>
    </w:rPr>
  </w:style>
  <w:style w:type="paragraph" w:customStyle="1" w:styleId="Point0letter">
    <w:name w:val="Point 0 (letter)"/>
    <w:basedOn w:val="Navaden"/>
    <w:rsid w:val="0062648E"/>
    <w:pPr>
      <w:numPr>
        <w:ilvl w:val="1"/>
        <w:numId w:val="11"/>
      </w:numPr>
      <w:tabs>
        <w:tab w:val="clear" w:pos="850"/>
        <w:tab w:val="num" w:pos="360"/>
      </w:tabs>
      <w:spacing w:before="120" w:after="120" w:line="240" w:lineRule="auto"/>
      <w:ind w:left="0" w:firstLine="0"/>
      <w:jc w:val="both"/>
    </w:pPr>
    <w:rPr>
      <w:rFonts w:ascii="Times New Roman" w:eastAsia="Calibri" w:hAnsi="Times New Roman"/>
      <w:sz w:val="24"/>
      <w:szCs w:val="22"/>
      <w:lang w:val="sl-SI"/>
    </w:rPr>
  </w:style>
  <w:style w:type="paragraph" w:customStyle="1" w:styleId="Point1letter">
    <w:name w:val="Point 1 (letter)"/>
    <w:basedOn w:val="Navaden"/>
    <w:rsid w:val="0062648E"/>
    <w:pPr>
      <w:numPr>
        <w:ilvl w:val="3"/>
        <w:numId w:val="11"/>
      </w:numPr>
      <w:tabs>
        <w:tab w:val="clear" w:pos="1417"/>
        <w:tab w:val="num" w:pos="360"/>
      </w:tabs>
      <w:spacing w:before="120" w:after="120" w:line="240" w:lineRule="auto"/>
      <w:ind w:left="0" w:firstLine="0"/>
      <w:jc w:val="both"/>
    </w:pPr>
    <w:rPr>
      <w:rFonts w:ascii="Times New Roman" w:eastAsia="Calibri" w:hAnsi="Times New Roman"/>
      <w:sz w:val="24"/>
      <w:szCs w:val="22"/>
      <w:lang w:val="sl-SI"/>
    </w:rPr>
  </w:style>
  <w:style w:type="paragraph" w:customStyle="1" w:styleId="Point2letter">
    <w:name w:val="Point 2 (letter)"/>
    <w:basedOn w:val="Navaden"/>
    <w:rsid w:val="0062648E"/>
    <w:pPr>
      <w:numPr>
        <w:ilvl w:val="5"/>
        <w:numId w:val="11"/>
      </w:numPr>
      <w:tabs>
        <w:tab w:val="clear" w:pos="1984"/>
        <w:tab w:val="num" w:pos="360"/>
      </w:tabs>
      <w:spacing w:before="120" w:after="120" w:line="240" w:lineRule="auto"/>
      <w:ind w:left="0" w:firstLine="0"/>
      <w:jc w:val="both"/>
    </w:pPr>
    <w:rPr>
      <w:rFonts w:ascii="Times New Roman" w:eastAsia="Calibri" w:hAnsi="Times New Roman"/>
      <w:sz w:val="24"/>
      <w:szCs w:val="22"/>
      <w:lang w:val="sl-SI"/>
    </w:rPr>
  </w:style>
  <w:style w:type="paragraph" w:customStyle="1" w:styleId="Point3letter">
    <w:name w:val="Point 3 (letter)"/>
    <w:basedOn w:val="Navaden"/>
    <w:rsid w:val="0062648E"/>
    <w:pPr>
      <w:numPr>
        <w:ilvl w:val="7"/>
        <w:numId w:val="11"/>
      </w:numPr>
      <w:tabs>
        <w:tab w:val="clear" w:pos="2551"/>
        <w:tab w:val="num" w:pos="360"/>
      </w:tabs>
      <w:spacing w:before="120" w:after="120" w:line="240" w:lineRule="auto"/>
      <w:ind w:left="0" w:firstLine="0"/>
      <w:jc w:val="both"/>
    </w:pPr>
    <w:rPr>
      <w:rFonts w:ascii="Times New Roman" w:eastAsia="Calibri" w:hAnsi="Times New Roman"/>
      <w:sz w:val="24"/>
      <w:szCs w:val="22"/>
      <w:lang w:val="sl-SI"/>
    </w:rPr>
  </w:style>
  <w:style w:type="paragraph" w:customStyle="1" w:styleId="Point4letter">
    <w:name w:val="Point 4 (letter)"/>
    <w:basedOn w:val="Navaden"/>
    <w:rsid w:val="0062648E"/>
    <w:pPr>
      <w:numPr>
        <w:ilvl w:val="8"/>
        <w:numId w:val="11"/>
      </w:numPr>
      <w:tabs>
        <w:tab w:val="clear" w:pos="3118"/>
        <w:tab w:val="num" w:pos="360"/>
      </w:tabs>
      <w:spacing w:before="120" w:after="120" w:line="240" w:lineRule="auto"/>
      <w:ind w:left="0" w:firstLine="0"/>
      <w:jc w:val="both"/>
    </w:pPr>
    <w:rPr>
      <w:rFonts w:ascii="Times New Roman" w:eastAsia="Calibri" w:hAnsi="Times New Roman"/>
      <w:sz w:val="24"/>
      <w:szCs w:val="22"/>
      <w:lang w:val="sl-SI"/>
    </w:rPr>
  </w:style>
  <w:style w:type="paragraph" w:styleId="Otevilenseznam">
    <w:name w:val="List Number"/>
    <w:basedOn w:val="Navaden"/>
    <w:uiPriority w:val="99"/>
    <w:unhideWhenUsed/>
    <w:rsid w:val="0062648E"/>
    <w:pPr>
      <w:numPr>
        <w:numId w:val="13"/>
      </w:numPr>
      <w:tabs>
        <w:tab w:val="clear" w:pos="360"/>
        <w:tab w:val="num" w:pos="720"/>
      </w:tabs>
      <w:spacing w:before="120" w:after="120" w:line="240" w:lineRule="auto"/>
      <w:ind w:left="720"/>
      <w:contextualSpacing/>
      <w:jc w:val="both"/>
    </w:pPr>
    <w:rPr>
      <w:rFonts w:ascii="Times New Roman" w:eastAsia="Calibri" w:hAnsi="Times New Roman"/>
      <w:sz w:val="24"/>
      <w:szCs w:val="22"/>
      <w:lang w:val="sl-SI"/>
    </w:rPr>
  </w:style>
  <w:style w:type="paragraph" w:styleId="Revizija">
    <w:name w:val="Revision"/>
    <w:hidden/>
    <w:uiPriority w:val="99"/>
    <w:semiHidden/>
    <w:rsid w:val="00825A2A"/>
    <w:rPr>
      <w:rFonts w:ascii="Arial" w:hAnsi="Arial"/>
      <w:szCs w:val="24"/>
      <w:lang w:val="en-US" w:eastAsia="en-US"/>
    </w:rPr>
  </w:style>
  <w:style w:type="paragraph" w:styleId="Konnaopomba-besedilo">
    <w:name w:val="endnote text"/>
    <w:basedOn w:val="Navaden"/>
    <w:link w:val="Konnaopomba-besediloZnak"/>
    <w:rsid w:val="00011CB7"/>
    <w:rPr>
      <w:szCs w:val="20"/>
    </w:rPr>
  </w:style>
  <w:style w:type="character" w:customStyle="1" w:styleId="Konnaopomba-besediloZnak">
    <w:name w:val="Končna opomba - besedilo Znak"/>
    <w:link w:val="Konnaopomba-besedilo"/>
    <w:rsid w:val="00011CB7"/>
    <w:rPr>
      <w:rFonts w:ascii="Arial" w:hAnsi="Arial"/>
      <w:lang w:val="en-US" w:eastAsia="en-US"/>
    </w:rPr>
  </w:style>
  <w:style w:type="character" w:styleId="Konnaopomba-sklic">
    <w:name w:val="endnote reference"/>
    <w:rsid w:val="00011CB7"/>
    <w:rPr>
      <w:vertAlign w:val="superscript"/>
    </w:rPr>
  </w:style>
  <w:style w:type="character" w:customStyle="1" w:styleId="Naslov3Znak">
    <w:name w:val="Naslov 3 Znak"/>
    <w:basedOn w:val="Privzetapisavaodstavka"/>
    <w:link w:val="Naslov3"/>
    <w:semiHidden/>
    <w:rsid w:val="004007E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Golobesedilo">
    <w:name w:val="Plain Text"/>
    <w:basedOn w:val="Navaden"/>
    <w:link w:val="GolobesediloZnak"/>
    <w:rsid w:val="00FC73B1"/>
    <w:pPr>
      <w:spacing w:line="240" w:lineRule="auto"/>
    </w:pPr>
    <w:rPr>
      <w:rFonts w:ascii="Courier New" w:hAnsi="Courier New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FC73B1"/>
    <w:rPr>
      <w:rFonts w:ascii="Courier New" w:hAnsi="Courier New"/>
      <w:lang w:val="x-none" w:eastAsia="x-none"/>
    </w:rPr>
  </w:style>
  <w:style w:type="paragraph" w:customStyle="1" w:styleId="Telobesedila21">
    <w:name w:val="Telo besedila 21"/>
    <w:basedOn w:val="Navaden"/>
    <w:rsid w:val="00FC73B1"/>
    <w:pPr>
      <w:widowControl w:val="0"/>
      <w:spacing w:after="120" w:line="240" w:lineRule="auto"/>
      <w:jc w:val="both"/>
    </w:pPr>
    <w:rPr>
      <w:rFonts w:ascii="Times New Roman" w:hAnsi="Times New Roman"/>
      <w:sz w:val="22"/>
      <w:szCs w:val="20"/>
      <w:lang w:eastAsia="sl-SI"/>
    </w:rPr>
  </w:style>
  <w:style w:type="paragraph" w:customStyle="1" w:styleId="Telobesedila23">
    <w:name w:val="Telo besedila 23"/>
    <w:basedOn w:val="Navaden"/>
    <w:rsid w:val="00FC73B1"/>
    <w:pPr>
      <w:widowControl w:val="0"/>
      <w:spacing w:after="120" w:line="240" w:lineRule="auto"/>
      <w:jc w:val="both"/>
    </w:pPr>
    <w:rPr>
      <w:rFonts w:ascii="Times New Roman" w:hAnsi="Times New Roman"/>
      <w:sz w:val="22"/>
      <w:szCs w:val="20"/>
      <w:lang w:eastAsia="sl-SI"/>
    </w:rPr>
  </w:style>
  <w:style w:type="paragraph" w:styleId="Brezrazmikov">
    <w:name w:val="No Spacing"/>
    <w:link w:val="BrezrazmikovZnak"/>
    <w:uiPriority w:val="1"/>
    <w:qFormat/>
    <w:rsid w:val="003F1F7B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3F1F7B"/>
    <w:rPr>
      <w:rFonts w:ascii="Calibri" w:hAnsi="Calibri"/>
      <w:sz w:val="22"/>
      <w:szCs w:val="22"/>
      <w:lang w:eastAsia="en-US"/>
    </w:rPr>
  </w:style>
  <w:style w:type="character" w:customStyle="1" w:styleId="OdstavekseznamaZnak">
    <w:name w:val="Odstavek seznama Znak"/>
    <w:link w:val="Odstavekseznama"/>
    <w:uiPriority w:val="34"/>
    <w:rsid w:val="003F1F7B"/>
    <w:rPr>
      <w:sz w:val="24"/>
      <w:szCs w:val="24"/>
      <w:lang w:val="en-US" w:eastAsia="en-US"/>
    </w:rPr>
  </w:style>
  <w:style w:type="paragraph" w:styleId="Oznaenseznam">
    <w:name w:val="List Bullet"/>
    <w:basedOn w:val="Navaden"/>
    <w:rsid w:val="003F1F7B"/>
    <w:pPr>
      <w:numPr>
        <w:numId w:val="32"/>
      </w:numPr>
      <w:spacing w:before="120" w:after="120" w:line="240" w:lineRule="auto"/>
      <w:jc w:val="both"/>
    </w:pPr>
    <w:rPr>
      <w:rFonts w:ascii="Times New Roman" w:hAnsi="Times New Roman"/>
      <w:sz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86D672BB670F46907B1CF952D79B27" ma:contentTypeVersion="2" ma:contentTypeDescription="Ustvari nov dokument." ma:contentTypeScope="" ma:versionID="b09c4ee97118f2e73ba3da7da03e60d8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5D5BEA-509E-4093-8CD3-6510D82BED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11FDB1-17D1-403D-BA20-9B018D1B6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BD808F-8CDF-49EF-B934-3CB5D0555042}">
  <ds:schemaRefs>
    <ds:schemaRef ds:uri="http://purl.org/dc/dcmitype/"/>
    <ds:schemaRef ds:uri="http://schemas.microsoft.com/office/2006/metadata/properties"/>
    <ds:schemaRef ds:uri="http://purl.org/dc/elements/1.1/"/>
    <ds:schemaRef ds:uri="84ca1889-42b5-42b4-bbe6-936a0a133ecd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CEAAA3B-630A-4EEF-8277-6D910CFC81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1507</Words>
  <Characters>8634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10121</CharactersWithSpaces>
  <SharedDoc>false</SharedDoc>
  <HLinks>
    <vt:vector size="30" baseType="variant">
      <vt:variant>
        <vt:i4>6094932</vt:i4>
      </vt:variant>
      <vt:variant>
        <vt:i4>12</vt:i4>
      </vt:variant>
      <vt:variant>
        <vt:i4>0</vt:i4>
      </vt:variant>
      <vt:variant>
        <vt:i4>5</vt:i4>
      </vt:variant>
      <vt:variant>
        <vt:lpwstr>https://eur-lex.europa.eu/legal-content/SL/TXT/PDF/?uri=CELEX:32021R2116&amp;from=SL</vt:lpwstr>
      </vt:variant>
      <vt:variant>
        <vt:lpwstr/>
      </vt:variant>
      <vt:variant>
        <vt:i4>6946914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https://eur-lex.europa.eu/legal-content/SL/TXT/?uri=CELEX%3A32021R1060</vt:lpwstr>
      </vt:variant>
      <vt:variant>
        <vt:lpwstr/>
      </vt:variant>
      <vt:variant>
        <vt:i4>5046338</vt:i4>
      </vt:variant>
      <vt:variant>
        <vt:i4>6</vt:i4>
      </vt:variant>
      <vt:variant>
        <vt:i4>0</vt:i4>
      </vt:variant>
      <vt:variant>
        <vt:i4>5</vt:i4>
      </vt:variant>
      <vt:variant>
        <vt:lpwstr>https://eur-lex.europa.eu/legal-content/SL/TXT/PDF/?uri=CELEX:32013R1308&amp;from=ES</vt:lpwstr>
      </vt:variant>
      <vt:variant>
        <vt:lpwstr/>
      </vt:variant>
      <vt:variant>
        <vt:i4>1507411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https://eur-lex.europa.eu/legal-content/SL/TXT/?uri=CELEX:32023R0370</vt:lpwstr>
      </vt:variant>
      <vt:variant>
        <vt:lpwstr/>
      </vt:variant>
      <vt:variant>
        <vt:i4>6160468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https://eur-lex.europa.eu/legal-content/SL/TXT/PDF/?uri=CELEX:32021R2115&amp;from=SL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Tina Šetina</cp:lastModifiedBy>
  <cp:revision>5</cp:revision>
  <cp:lastPrinted>2023-12-21T12:32:00Z</cp:lastPrinted>
  <dcterms:created xsi:type="dcterms:W3CDTF">2024-05-22T12:57:00Z</dcterms:created>
  <dcterms:modified xsi:type="dcterms:W3CDTF">2024-06-07T11:12:00Z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6c7e9dc02a712185b0c31d6428895831bf4e566872b4f13ea74488383ad5d966</vt:lpwstr>
  </property>
  <property fmtid="{D5CDD505-2E9C-101B-9397-08002B2CF9AE}" pid="3" name="ContentTypeId">
    <vt:lpwstr>0x010100A186D672BB670F46907B1CF952D79B27</vt:lpwstr>
  </property>
</Properties>
</file>