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86269A" w:rsidRDefault="0053623E" w:rsidP="0053623E">
      <w:pPr>
        <w:pBdr>
          <w:bottom w:val="single" w:sz="4" w:space="1" w:color="auto"/>
        </w:pBdr>
        <w:autoSpaceDE w:val="0"/>
        <w:autoSpaceDN w:val="0"/>
        <w:adjustRightInd w:val="0"/>
        <w:spacing w:after="120"/>
        <w:jc w:val="both"/>
        <w:outlineLvl w:val="0"/>
        <w:rPr>
          <w:rFonts w:ascii="Arial" w:hAnsi="Arial" w:cs="Arial"/>
          <w:b/>
          <w:color w:val="000000"/>
        </w:rPr>
      </w:pPr>
      <w:bookmarkStart w:id="0" w:name="_GoBack"/>
      <w:bookmarkEnd w:id="0"/>
      <w:r w:rsidRPr="007C0970">
        <w:rPr>
          <w:rFonts w:ascii="Arial" w:hAnsi="Arial" w:cs="Arial"/>
          <w:b/>
          <w:color w:val="000000"/>
        </w:rPr>
        <w:t xml:space="preserve">Priloga </w:t>
      </w:r>
      <w:r w:rsidR="00EA05EA">
        <w:rPr>
          <w:rFonts w:ascii="Arial" w:hAnsi="Arial" w:cs="Arial"/>
          <w:b/>
          <w:color w:val="000000"/>
        </w:rPr>
        <w:t>2</w:t>
      </w:r>
      <w:r w:rsidRPr="007C0970">
        <w:rPr>
          <w:rFonts w:ascii="Arial" w:hAnsi="Arial" w:cs="Arial"/>
          <w:b/>
          <w:color w:val="000000"/>
        </w:rPr>
        <w:t>: Katalog kršitev in sankcij</w:t>
      </w:r>
    </w:p>
    <w:p w:rsidR="003135F7" w:rsidRPr="003135F7" w:rsidRDefault="003135F7" w:rsidP="003135F7">
      <w:pPr>
        <w:autoSpaceDE w:val="0"/>
        <w:autoSpaceDN w:val="0"/>
        <w:adjustRightInd w:val="0"/>
        <w:spacing w:after="0" w:line="240" w:lineRule="auto"/>
        <w:rPr>
          <w:rFonts w:ascii="Arial" w:hAnsi="Arial" w:cs="Arial"/>
          <w:color w:val="000000"/>
          <w:sz w:val="24"/>
          <w:szCs w:val="24"/>
        </w:rPr>
      </w:pP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bCs/>
          <w:color w:val="000000"/>
          <w:sz w:val="20"/>
          <w:szCs w:val="20"/>
        </w:rPr>
        <w:t xml:space="preserve">(1) V skladu s prvim odstavkom 57. člena zakona, ki ureja kmetijstvo, pri namerni vložitvi napačne vloge ali zahtevka, namerni nepravilnosti v skladu s predpisi Unije in kadar upravičenec sredstva uporablja v nasprotju z namenom, za katerega so mu bila dodeljena, ali je sredstva pridobil nezakonito, na podlagi lažnih podatkov ali lažnih izjav, ARSKTRP zahteva vračilo dodeljenih sredstev. V primerih iz prejšnjega stavka, se upravičenca izključi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Če gre za skupino kmetov iz 3. točke osmega odstavka 6. člena </w:t>
      </w:r>
      <w:r w:rsidR="00EA05EA">
        <w:rPr>
          <w:rFonts w:ascii="Arial" w:hAnsi="Arial" w:cs="Arial"/>
          <w:bCs/>
          <w:color w:val="000000"/>
          <w:sz w:val="20"/>
          <w:szCs w:val="20"/>
        </w:rPr>
        <w:t>Uredbe</w:t>
      </w:r>
      <w:r w:rsidR="00EA05EA" w:rsidRPr="00EA05EA">
        <w:rPr>
          <w:rFonts w:ascii="Arial" w:hAnsi="Arial" w:cs="Arial"/>
          <w:bCs/>
          <w:color w:val="000000"/>
          <w:sz w:val="20"/>
          <w:szCs w:val="20"/>
        </w:rPr>
        <w:t xml:space="preserve"> o izvajanju ukrepa naložbe v osnovna sredstva in </w:t>
      </w:r>
      <w:proofErr w:type="spellStart"/>
      <w:r w:rsidR="00EA05EA" w:rsidRPr="00EA05EA">
        <w:rPr>
          <w:rFonts w:ascii="Arial" w:hAnsi="Arial" w:cs="Arial"/>
          <w:bCs/>
          <w:color w:val="000000"/>
          <w:sz w:val="20"/>
          <w:szCs w:val="20"/>
        </w:rPr>
        <w:t>podukrepa</w:t>
      </w:r>
      <w:proofErr w:type="spellEnd"/>
      <w:r w:rsidR="00EA05EA" w:rsidRPr="00EA05EA">
        <w:rPr>
          <w:rFonts w:ascii="Arial" w:hAnsi="Arial" w:cs="Arial"/>
          <w:bCs/>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00EA05EA" w:rsidRPr="00EA05EA">
        <w:rPr>
          <w:rFonts w:ascii="Arial" w:hAnsi="Arial" w:cs="Arial"/>
          <w:bCs/>
          <w:color w:val="000000"/>
          <w:sz w:val="20"/>
          <w:szCs w:val="20"/>
        </w:rPr>
        <w:t>popr</w:t>
      </w:r>
      <w:proofErr w:type="spellEnd"/>
      <w:r w:rsidR="00EA05EA" w:rsidRPr="00EA05EA">
        <w:rPr>
          <w:rFonts w:ascii="Arial" w:hAnsi="Arial" w:cs="Arial"/>
          <w:bCs/>
          <w:color w:val="000000"/>
          <w:sz w:val="20"/>
          <w:szCs w:val="20"/>
        </w:rPr>
        <w:t>.</w:t>
      </w:r>
      <w:r w:rsidR="00EA05EA">
        <w:rPr>
          <w:rFonts w:ascii="Arial" w:hAnsi="Arial" w:cs="Arial"/>
          <w:bCs/>
          <w:color w:val="000000"/>
          <w:sz w:val="20"/>
          <w:szCs w:val="20"/>
        </w:rPr>
        <w:t>, 19/18, 82/18, 89/20 in 152/20; v nadaljevanju:</w:t>
      </w:r>
      <w:r w:rsidRPr="003135F7">
        <w:rPr>
          <w:rFonts w:ascii="Arial" w:hAnsi="Arial" w:cs="Arial"/>
          <w:bCs/>
          <w:color w:val="000000"/>
          <w:sz w:val="20"/>
          <w:szCs w:val="20"/>
        </w:rPr>
        <w:t xml:space="preserve"> uredba), se iz prejemanj podpore v okviru tega ukrepa in </w:t>
      </w:r>
      <w:proofErr w:type="spellStart"/>
      <w:r w:rsidRPr="003135F7">
        <w:rPr>
          <w:rFonts w:ascii="Arial" w:hAnsi="Arial" w:cs="Arial"/>
          <w:bCs/>
          <w:color w:val="000000"/>
          <w:sz w:val="20"/>
          <w:szCs w:val="20"/>
        </w:rPr>
        <w:t>podukrepa</w:t>
      </w:r>
      <w:proofErr w:type="spellEnd"/>
      <w:r w:rsidRPr="003135F7">
        <w:rPr>
          <w:rFonts w:ascii="Arial" w:hAnsi="Arial" w:cs="Arial"/>
          <w:bCs/>
          <w:color w:val="000000"/>
          <w:sz w:val="20"/>
          <w:szCs w:val="20"/>
        </w:rPr>
        <w:t xml:space="preserve"> za koledarsko leto ugotovitve in naslednje koledarsko leto izključijo vsi člani te skupine. Če pride do neupravičenega </w:t>
      </w:r>
      <w:r w:rsidRPr="003135F7">
        <w:rPr>
          <w:rFonts w:ascii="Arial" w:hAnsi="Arial" w:cs="Arial"/>
          <w:color w:val="000000"/>
          <w:sz w:val="20"/>
          <w:szCs w:val="20"/>
        </w:rPr>
        <w:t xml:space="preserve">plačila, se v skladu z drugim odstavkom 57. člena zakona, ki ureja kmetijstvo upravičencu izda odločba, s katero se zahteva vračilo dodeljenih sredstev in določi rok vračila dodeljenih sredstev. Če stranka sredstev ne vrne v roku, določenem s to odločbo, se ji zaračunajo zakonite zamudne obresti.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(2) Upravičenec, ki iz neutemeljenega razloga ne omogoči kontrole na kraju samem oziroma ne omogoči dostopa do dokumentacije o naložbi (četrti odstavek 106. člena uredbe), mora v proračun Republike Slovenije vrniti vsa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(3) Če upravičenec ne odstopi od pravice do sredstev v skladu s 55. členom zakona, ki ureja kmetijstvo, in ne vloži zahtevka za izplačilo sredstev, se ga izključi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Če gre za skupino kmetov iz 3. točke osmega odstavka 6. člena te uredbe, se iz zadevnega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(4) Upravičenec, ki uvede bistvene spremembe, določene v 71. členu Uredbe 1303/2013/EU oziroma odtuji predmet podpore ali premesti podprto dejavnost iz Evropske unije (drugi odstavek 106. člena te uredbe), mora vsa prejeta sredstva vrniti v proračun Republike Slovenije. Upravičenca se izključi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ugotovitve kršitve in naslednje koledarsko leto. Če gre za skupino kmetov iz 3. točke osmega odstavka 6. člena te uredbe, se iz prejemanja podpore v okviru istega ukrepa ali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za koledarsko leto neizpolnitve obveznosti in naslednje koledarsko leto izključi vse člane te skupine.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(5) Če upravičenec ne uporablja naložbe za namen </w:t>
      </w:r>
      <w:proofErr w:type="spellStart"/>
      <w:r w:rsidRPr="003135F7">
        <w:rPr>
          <w:rFonts w:ascii="Arial" w:hAnsi="Arial" w:cs="Arial"/>
          <w:color w:val="000000"/>
          <w:sz w:val="20"/>
          <w:szCs w:val="20"/>
        </w:rPr>
        <w:t>podukrepa</w:t>
      </w:r>
      <w:proofErr w:type="spellEnd"/>
      <w:r w:rsidRPr="003135F7">
        <w:rPr>
          <w:rFonts w:ascii="Arial" w:hAnsi="Arial" w:cs="Arial"/>
          <w:color w:val="000000"/>
          <w:sz w:val="20"/>
          <w:szCs w:val="20"/>
        </w:rPr>
        <w:t xml:space="preserve"> ali operacije za katerega so mu bila dodeljena sredstva po tej uredbi še najmanj naslednjih pet let po zadnjem izplačilu sredstev (prvi odstavek 106. člena te uredbe, se uporabita naslednji sankciji: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v proračun Republike Slovenije vrniti izplačana sredstva.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(6) Upravičenec, ki ne hrani dokumentacije (tretji odstavek 106. člena </w:t>
      </w:r>
      <w:r>
        <w:rPr>
          <w:rFonts w:ascii="Arial" w:hAnsi="Arial" w:cs="Arial"/>
          <w:color w:val="000000"/>
          <w:sz w:val="20"/>
          <w:szCs w:val="20"/>
        </w:rPr>
        <w:t>U</w:t>
      </w:r>
      <w:r w:rsidRPr="003135F7">
        <w:rPr>
          <w:rFonts w:ascii="Arial" w:hAnsi="Arial" w:cs="Arial"/>
          <w:color w:val="000000"/>
          <w:sz w:val="20"/>
          <w:szCs w:val="20"/>
        </w:rPr>
        <w:t xml:space="preserve">redbe), mora v proračun Republike Slovenije vrniti deset odstotkov izplačanih sredstev. </w:t>
      </w:r>
    </w:p>
    <w:p w:rsidR="003135F7" w:rsidRPr="003135F7" w:rsidRDefault="003135F7" w:rsidP="003135F7">
      <w:pPr>
        <w:autoSpaceDE w:val="0"/>
        <w:autoSpaceDN w:val="0"/>
        <w:adjustRightInd w:val="0"/>
        <w:spacing w:after="133" w:line="240" w:lineRule="auto"/>
        <w:jc w:val="both"/>
        <w:rPr>
          <w:rFonts w:ascii="Arial" w:hAnsi="Arial" w:cs="Arial"/>
          <w:color w:val="000000"/>
          <w:sz w:val="20"/>
          <w:szCs w:val="20"/>
        </w:rPr>
      </w:pPr>
      <w:r w:rsidRPr="003135F7">
        <w:rPr>
          <w:rFonts w:ascii="Arial" w:hAnsi="Arial" w:cs="Arial"/>
          <w:color w:val="000000"/>
          <w:sz w:val="20"/>
          <w:szCs w:val="20"/>
        </w:rPr>
        <w:t xml:space="preserve">(7) Če upravičenec ne označi naložbe v skladu s sedemnajstim odstavkom 102. člena te uredbe ali označenosti ne zagotavlja v obdobju trajanja obveznosti v skladu s petim odstavkom 106. člena te uredbe, se določijo sankcije v naslednjih deležih: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prvi ugotovljeni kršitvi dobi upravičenec opozorilo,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drugi ugotovljeni kršitvi mora upravičenec v proračun Republike Slovenije vrniti 20 odstotkov izplačanih sredstev, </w:t>
      </w:r>
    </w:p>
    <w:p w:rsidR="003135F7" w:rsidRPr="003135F7" w:rsidRDefault="003135F7" w:rsidP="003135F7">
      <w:pPr>
        <w:autoSpaceDE w:val="0"/>
        <w:autoSpaceDN w:val="0"/>
        <w:adjustRightInd w:val="0"/>
        <w:spacing w:after="13" w:line="240" w:lineRule="auto"/>
        <w:jc w:val="both"/>
        <w:rPr>
          <w:rFonts w:ascii="Arial" w:hAnsi="Arial" w:cs="Arial"/>
          <w:color w:val="000000"/>
          <w:sz w:val="20"/>
          <w:szCs w:val="20"/>
        </w:rPr>
      </w:pPr>
      <w:r w:rsidRPr="003135F7">
        <w:rPr>
          <w:rFonts w:ascii="Arial" w:hAnsi="Arial" w:cs="Arial"/>
          <w:color w:val="000000"/>
          <w:sz w:val="20"/>
          <w:szCs w:val="20"/>
        </w:rPr>
        <w:t xml:space="preserve">- po tretji ugotovljeni kršitvi mora upravičenec v proračun Republike Slovenije vrniti 50 odstotkov izplačanih sredstev, </w:t>
      </w:r>
    </w:p>
    <w:p w:rsidR="003135F7" w:rsidRPr="003135F7" w:rsidRDefault="003135F7" w:rsidP="003135F7">
      <w:pPr>
        <w:autoSpaceDE w:val="0"/>
        <w:autoSpaceDN w:val="0"/>
        <w:adjustRightInd w:val="0"/>
        <w:spacing w:after="0" w:line="240" w:lineRule="auto"/>
        <w:jc w:val="both"/>
        <w:rPr>
          <w:rFonts w:ascii="Arial" w:hAnsi="Arial" w:cs="Arial"/>
          <w:color w:val="000000"/>
          <w:sz w:val="20"/>
          <w:szCs w:val="20"/>
        </w:rPr>
      </w:pPr>
      <w:r w:rsidRPr="003135F7">
        <w:rPr>
          <w:rFonts w:ascii="Arial" w:hAnsi="Arial" w:cs="Arial"/>
          <w:color w:val="000000"/>
          <w:sz w:val="20"/>
          <w:szCs w:val="20"/>
        </w:rPr>
        <w:t xml:space="preserve">- po četrti ugotovljeni kršitvi mora upravičenec v proračun Republike Slovenije vrniti vsa izplačana sredstva. </w:t>
      </w:r>
    </w:p>
    <w:sectPr w:rsidR="003135F7" w:rsidRPr="0031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2AE"/>
    <w:multiLevelType w:val="hybridMultilevel"/>
    <w:tmpl w:val="00006952"/>
    <w:lvl w:ilvl="0" w:tplc="00005F90">
      <w:start w:val="6"/>
      <w:numFmt w:val="decimal"/>
      <w:lvlText w:val="(%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E51B5"/>
    <w:multiLevelType w:val="hybridMultilevel"/>
    <w:tmpl w:val="921E04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9B2175"/>
    <w:multiLevelType w:val="multilevel"/>
    <w:tmpl w:val="BA2EEF5E"/>
    <w:lvl w:ilvl="0">
      <w:start w:val="1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8E6A18"/>
    <w:multiLevelType w:val="hybridMultilevel"/>
    <w:tmpl w:val="EB42C7B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081D51"/>
    <w:multiLevelType w:val="hybridMultilevel"/>
    <w:tmpl w:val="C41CD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3922E3C"/>
    <w:multiLevelType w:val="multilevel"/>
    <w:tmpl w:val="0C604300"/>
    <w:lvl w:ilvl="0">
      <w:start w:val="13"/>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16"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1E2AA7"/>
    <w:multiLevelType w:val="multilevel"/>
    <w:tmpl w:val="C8BEC472"/>
    <w:lvl w:ilvl="0">
      <w:start w:val="12"/>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5"/>
  </w:num>
  <w:num w:numId="3">
    <w:abstractNumId w:val="5"/>
  </w:num>
  <w:num w:numId="4">
    <w:abstractNumId w:val="10"/>
  </w:num>
  <w:num w:numId="5">
    <w:abstractNumId w:val="4"/>
  </w:num>
  <w:num w:numId="6">
    <w:abstractNumId w:val="7"/>
  </w:num>
  <w:num w:numId="7">
    <w:abstractNumId w:val="6"/>
  </w:num>
  <w:num w:numId="8">
    <w:abstractNumId w:val="2"/>
  </w:num>
  <w:num w:numId="9">
    <w:abstractNumId w:val="16"/>
  </w:num>
  <w:num w:numId="10">
    <w:abstractNumId w:val="1"/>
  </w:num>
  <w:num w:numId="11">
    <w:abstractNumId w:val="12"/>
  </w:num>
  <w:num w:numId="12">
    <w:abstractNumId w:val="0"/>
  </w:num>
  <w:num w:numId="13">
    <w:abstractNumId w:val="3"/>
  </w:num>
  <w:num w:numId="14">
    <w:abstractNumId w:val="9"/>
  </w:num>
  <w:num w:numId="15">
    <w:abstractNumId w:val="11"/>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52933"/>
    <w:rsid w:val="0007165C"/>
    <w:rsid w:val="00197CC7"/>
    <w:rsid w:val="00296F78"/>
    <w:rsid w:val="002F0852"/>
    <w:rsid w:val="003135F7"/>
    <w:rsid w:val="003419CB"/>
    <w:rsid w:val="003D7EAC"/>
    <w:rsid w:val="00417F1F"/>
    <w:rsid w:val="00441770"/>
    <w:rsid w:val="0053623E"/>
    <w:rsid w:val="00611F10"/>
    <w:rsid w:val="007117CA"/>
    <w:rsid w:val="00732972"/>
    <w:rsid w:val="007C0970"/>
    <w:rsid w:val="00853212"/>
    <w:rsid w:val="008E728C"/>
    <w:rsid w:val="008E771A"/>
    <w:rsid w:val="009370D1"/>
    <w:rsid w:val="009A3CC9"/>
    <w:rsid w:val="00AB744B"/>
    <w:rsid w:val="00BE6FB9"/>
    <w:rsid w:val="00D3791B"/>
    <w:rsid w:val="00D464DD"/>
    <w:rsid w:val="00DA2F29"/>
    <w:rsid w:val="00DE299D"/>
    <w:rsid w:val="00E7410E"/>
    <w:rsid w:val="00EA0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E107-114C-418C-BF5B-D7EF9D3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313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441770"/>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8E72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728C"/>
    <w:rPr>
      <w:rFonts w:ascii="Tahoma" w:hAnsi="Tahoma" w:cs="Tahoma"/>
      <w:sz w:val="16"/>
      <w:szCs w:val="16"/>
    </w:rPr>
  </w:style>
  <w:style w:type="character" w:customStyle="1" w:styleId="Naslov1Znak">
    <w:name w:val="Naslov 1 Znak"/>
    <w:basedOn w:val="Privzetapisavaodstavka"/>
    <w:link w:val="Naslov1"/>
    <w:uiPriority w:val="9"/>
    <w:rsid w:val="003135F7"/>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Tomaž Primožič</cp:lastModifiedBy>
  <cp:revision>2</cp:revision>
  <dcterms:created xsi:type="dcterms:W3CDTF">2022-12-28T08:15:00Z</dcterms:created>
  <dcterms:modified xsi:type="dcterms:W3CDTF">2022-12-28T08:15:00Z</dcterms:modified>
</cp:coreProperties>
</file>