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A" w:rsidRPr="004E68F3" w:rsidRDefault="00696A34" w:rsidP="00696A34">
      <w:pPr>
        <w:rPr>
          <w:rFonts w:ascii="Arial" w:hAnsi="Arial" w:cs="Arial"/>
        </w:rPr>
      </w:pPr>
      <w:bookmarkStart w:id="0" w:name="_GoBack"/>
      <w:bookmarkEnd w:id="0"/>
      <w:r w:rsidRPr="004E68F3">
        <w:rPr>
          <w:rFonts w:ascii="Arial" w:hAnsi="Arial" w:cs="Arial"/>
        </w:rPr>
        <w:t xml:space="preserve">Ministrstvo za kmetijstvo, gozdarstvo in prehrano Republike Slovenije (v nadaljnjem besedilu: MKGP), Dunajska </w:t>
      </w:r>
      <w:r w:rsidR="00B72987">
        <w:rPr>
          <w:rFonts w:ascii="Arial" w:hAnsi="Arial" w:cs="Arial"/>
        </w:rPr>
        <w:t xml:space="preserve">cesta </w:t>
      </w:r>
      <w:r w:rsidRPr="004E68F3">
        <w:rPr>
          <w:rFonts w:ascii="Arial" w:hAnsi="Arial" w:cs="Arial"/>
        </w:rPr>
        <w:t xml:space="preserve">22, 1000 Ljubljana, na podlagi 11. člena Uredbe o sofinanciranju izvedbe praktičnega pouka v kmetijstvu in za usposobitev zavodov in razvojnih centrov v kmetijstvu </w:t>
      </w:r>
      <w:r w:rsidR="00DA12EA" w:rsidRPr="00755F3C">
        <w:rPr>
          <w:rFonts w:ascii="Arial" w:hAnsi="Arial" w:cs="Arial"/>
        </w:rPr>
        <w:t xml:space="preserve">(Uradni list RS, št. </w:t>
      </w:r>
      <w:r w:rsidR="00B72987" w:rsidRPr="00755F3C">
        <w:rPr>
          <w:rFonts w:ascii="Arial" w:hAnsi="Arial" w:cs="Arial"/>
        </w:rPr>
        <w:t>20/22</w:t>
      </w:r>
      <w:r w:rsidR="00D374D1" w:rsidRPr="00755F3C">
        <w:rPr>
          <w:rFonts w:ascii="Arial" w:hAnsi="Arial" w:cs="Arial"/>
        </w:rPr>
        <w:t xml:space="preserve"> in</w:t>
      </w:r>
      <w:r w:rsidR="00D374D1">
        <w:rPr>
          <w:rFonts w:ascii="Arial" w:hAnsi="Arial" w:cs="Arial"/>
        </w:rPr>
        <w:t xml:space="preserve"> </w:t>
      </w:r>
      <w:r w:rsidR="00755F3C">
        <w:rPr>
          <w:rFonts w:ascii="Arial" w:hAnsi="Arial" w:cs="Arial"/>
        </w:rPr>
        <w:t>42/23</w:t>
      </w:r>
      <w:r w:rsidR="000622C5">
        <w:rPr>
          <w:rFonts w:ascii="Arial" w:hAnsi="Arial" w:cs="Arial"/>
        </w:rPr>
        <w:t>; v nadaljnjem besedilu: uredba</w:t>
      </w:r>
      <w:r w:rsidR="00DA12EA" w:rsidRPr="004E68F3">
        <w:rPr>
          <w:rFonts w:ascii="Arial" w:hAnsi="Arial" w:cs="Arial"/>
        </w:rPr>
        <w:t xml:space="preserve">) </w:t>
      </w:r>
      <w:r w:rsidRPr="004E68F3">
        <w:rPr>
          <w:rFonts w:ascii="Arial" w:hAnsi="Arial" w:cs="Arial"/>
        </w:rPr>
        <w:t>objavlja</w:t>
      </w:r>
    </w:p>
    <w:p w:rsidR="00696A34" w:rsidRPr="004E68F3" w:rsidRDefault="00696A34" w:rsidP="00696A34">
      <w:pPr>
        <w:rPr>
          <w:rFonts w:ascii="Arial" w:hAnsi="Arial" w:cs="Arial"/>
        </w:rPr>
      </w:pPr>
    </w:p>
    <w:p w:rsidR="00696A34" w:rsidRPr="000622C5" w:rsidRDefault="00696A34" w:rsidP="00696A34">
      <w:pPr>
        <w:jc w:val="center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 xml:space="preserve">JAVNI RAZPIS ZA </w:t>
      </w:r>
      <w:r w:rsidR="00C104C8" w:rsidRPr="000622C5">
        <w:rPr>
          <w:rFonts w:ascii="Arial" w:hAnsi="Arial" w:cs="Arial"/>
          <w:b/>
        </w:rPr>
        <w:t xml:space="preserve">SOFINANCIRANJE </w:t>
      </w:r>
      <w:r w:rsidR="00C104C8">
        <w:rPr>
          <w:rFonts w:ascii="Arial" w:hAnsi="Arial" w:cs="Arial"/>
          <w:b/>
        </w:rPr>
        <w:t>USPOSOBITVE ZAVODOV IN RAZVOJNIH CENTROV V KMETIJSTVU, GOZDARSTVU IN PREHRANI</w:t>
      </w:r>
    </w:p>
    <w:p w:rsidR="00696A34" w:rsidRPr="004E68F3" w:rsidRDefault="00696A34" w:rsidP="00696A34">
      <w:pPr>
        <w:jc w:val="center"/>
        <w:rPr>
          <w:rFonts w:ascii="Arial" w:hAnsi="Arial" w:cs="Arial"/>
          <w:b/>
        </w:rPr>
      </w:pPr>
    </w:p>
    <w:p w:rsidR="00A63673" w:rsidRPr="004E68F3" w:rsidRDefault="00A63673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OSNOVNI PODATKI O JAVNEM RAZPISU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6A34" w:rsidRPr="004E68F3" w:rsidTr="00696A34">
        <w:tc>
          <w:tcPr>
            <w:tcW w:w="4531" w:type="dxa"/>
          </w:tcPr>
          <w:p w:rsidR="00696A34" w:rsidRPr="004E68F3" w:rsidRDefault="00696A3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Predmet javnega razpisa:</w:t>
            </w:r>
          </w:p>
        </w:tc>
        <w:tc>
          <w:tcPr>
            <w:tcW w:w="4531" w:type="dxa"/>
          </w:tcPr>
          <w:p w:rsidR="00696A34" w:rsidRPr="004E68F3" w:rsidRDefault="00964639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 xml:space="preserve">Predmet javnega razpisa je sofinanciranje </w:t>
            </w:r>
            <w:r w:rsidR="006446D5">
              <w:rPr>
                <w:rFonts w:ascii="Arial" w:hAnsi="Arial" w:cs="Arial"/>
              </w:rPr>
              <w:t xml:space="preserve">nakupa novih aparatov, naprav, strojev, priključkov in opreme, ki se uporabljajo za izvajanje praktičnega pouka oziroma izobraževanja </w:t>
            </w:r>
            <w:r w:rsidR="006446D5" w:rsidRPr="006446D5">
              <w:rPr>
                <w:rFonts w:ascii="Arial" w:hAnsi="Arial" w:cs="Arial"/>
              </w:rPr>
              <w:t>po javnoveljavnih izobraževalnih oziroma študijskih programih ali za izvajanje raziskovanja s področij</w:t>
            </w:r>
            <w:r w:rsidR="006446D5">
              <w:rPr>
                <w:rFonts w:ascii="Arial" w:hAnsi="Arial" w:cs="Arial"/>
              </w:rPr>
              <w:t xml:space="preserve"> </w:t>
            </w:r>
            <w:r w:rsidR="006446D5" w:rsidRPr="006446D5">
              <w:rPr>
                <w:rFonts w:ascii="Arial" w:hAnsi="Arial" w:cs="Arial"/>
              </w:rPr>
              <w:t>agroživilstva, gozdarstva, veterinarstva in živilstva.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4E68F3" w:rsidRDefault="00696A3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 xml:space="preserve">Razpisana sredstva: </w:t>
            </w:r>
          </w:p>
        </w:tc>
        <w:tc>
          <w:tcPr>
            <w:tcW w:w="4531" w:type="dxa"/>
          </w:tcPr>
          <w:p w:rsidR="00964639" w:rsidRPr="004C4DAF" w:rsidRDefault="00964639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 xml:space="preserve">Višina razpisanih nepovratnih sredstev znaša do </w:t>
            </w:r>
            <w:r w:rsidR="006446D5" w:rsidRPr="004C4DAF">
              <w:rPr>
                <w:rFonts w:ascii="Arial" w:hAnsi="Arial" w:cs="Arial"/>
              </w:rPr>
              <w:t>500.000</w:t>
            </w:r>
            <w:r w:rsidRPr="004C4DAF">
              <w:rPr>
                <w:rFonts w:ascii="Arial" w:hAnsi="Arial" w:cs="Arial"/>
              </w:rPr>
              <w:t xml:space="preserve"> e</w:t>
            </w:r>
            <w:r w:rsidR="00983376" w:rsidRPr="004C4DAF">
              <w:rPr>
                <w:rFonts w:ascii="Arial" w:hAnsi="Arial" w:cs="Arial"/>
              </w:rPr>
              <w:t>u</w:t>
            </w:r>
            <w:r w:rsidRPr="004C4DAF">
              <w:rPr>
                <w:rFonts w:ascii="Arial" w:hAnsi="Arial" w:cs="Arial"/>
              </w:rPr>
              <w:t xml:space="preserve">rov. </w:t>
            </w:r>
          </w:p>
          <w:p w:rsidR="00696A34" w:rsidRPr="004E68F3" w:rsidRDefault="00964639">
            <w:pPr>
              <w:rPr>
                <w:rFonts w:ascii="Arial" w:hAnsi="Arial" w:cs="Arial"/>
              </w:rPr>
            </w:pPr>
            <w:r w:rsidRPr="004C4DAF">
              <w:rPr>
                <w:rFonts w:ascii="Arial" w:hAnsi="Arial" w:cs="Arial"/>
              </w:rPr>
              <w:t>Sredstva se</w:t>
            </w:r>
            <w:r w:rsidR="002342B8" w:rsidRPr="004C4DAF">
              <w:rPr>
                <w:rFonts w:ascii="Arial" w:hAnsi="Arial" w:cs="Arial"/>
              </w:rPr>
              <w:t xml:space="preserve"> v letu </w:t>
            </w:r>
            <w:r w:rsidR="007C0CAC" w:rsidRPr="004C4DAF">
              <w:rPr>
                <w:rFonts w:ascii="Arial" w:hAnsi="Arial" w:cs="Arial"/>
              </w:rPr>
              <w:t>2023</w:t>
            </w:r>
            <w:r w:rsidRPr="004C4DAF">
              <w:rPr>
                <w:rFonts w:ascii="Arial" w:hAnsi="Arial" w:cs="Arial"/>
              </w:rPr>
              <w:t xml:space="preserve"> zagotavljajo</w:t>
            </w:r>
            <w:r w:rsidRPr="004E68F3">
              <w:rPr>
                <w:rFonts w:ascii="Arial" w:hAnsi="Arial" w:cs="Arial"/>
              </w:rPr>
              <w:t xml:space="preserve"> iz proračunskih postavk MKGP, in sicer: </w:t>
            </w:r>
            <w:r w:rsidR="00767BDB">
              <w:rPr>
                <w:rFonts w:ascii="Arial" w:hAnsi="Arial" w:cs="Arial"/>
              </w:rPr>
              <w:t>655710 Usposobitev javnih zavodov</w:t>
            </w:r>
            <w:r w:rsidR="002342B8">
              <w:rPr>
                <w:rFonts w:ascii="Arial" w:hAnsi="Arial" w:cs="Arial"/>
              </w:rPr>
              <w:t>, NRP 2330-21-5090</w:t>
            </w:r>
            <w:r w:rsidR="00767BDB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4E68F3" w:rsidRDefault="00696A3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Vrsta javnega razpisa:</w:t>
            </w:r>
          </w:p>
        </w:tc>
        <w:tc>
          <w:tcPr>
            <w:tcW w:w="4531" w:type="dxa"/>
          </w:tcPr>
          <w:p w:rsidR="00696A34" w:rsidRPr="004E68F3" w:rsidRDefault="00B457B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ZAPRTI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4E68F3" w:rsidRDefault="00696A3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Obdobje vlaganja vlog na javni razpis:</w:t>
            </w:r>
          </w:p>
        </w:tc>
        <w:tc>
          <w:tcPr>
            <w:tcW w:w="4531" w:type="dxa"/>
          </w:tcPr>
          <w:p w:rsidR="00696A34" w:rsidRPr="004E68F3" w:rsidRDefault="00843062" w:rsidP="004C4DAF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Rok za oddajo vlog začne teči z naslednjim </w:t>
            </w:r>
            <w:r>
              <w:rPr>
                <w:rFonts w:ascii="Arial" w:hAnsi="Arial" w:cs="Arial"/>
              </w:rPr>
              <w:t xml:space="preserve">delovnim </w:t>
            </w:r>
            <w:r w:rsidRPr="00843062">
              <w:rPr>
                <w:rFonts w:ascii="Arial" w:hAnsi="Arial" w:cs="Arial"/>
              </w:rPr>
              <w:t xml:space="preserve">dnem po objavi javnega razpisa v Uradnem listu Republike Slovenije in traja do </w:t>
            </w:r>
            <w:r w:rsidRPr="00C570AA">
              <w:rPr>
                <w:rFonts w:ascii="Arial" w:hAnsi="Arial" w:cs="Arial"/>
              </w:rPr>
              <w:t xml:space="preserve">vključno </w:t>
            </w:r>
            <w:r w:rsidR="004C4DAF" w:rsidRPr="004C4DAF">
              <w:rPr>
                <w:rFonts w:ascii="Arial" w:hAnsi="Arial" w:cs="Arial"/>
              </w:rPr>
              <w:t>15. maja</w:t>
            </w:r>
            <w:r w:rsidR="00C570AA" w:rsidRPr="004C4DAF">
              <w:rPr>
                <w:rFonts w:ascii="Arial" w:hAnsi="Arial" w:cs="Arial"/>
              </w:rPr>
              <w:t xml:space="preserve"> </w:t>
            </w:r>
            <w:r w:rsidR="003E51A3" w:rsidRPr="004C4DAF">
              <w:rPr>
                <w:rFonts w:ascii="Arial" w:hAnsi="Arial" w:cs="Arial"/>
              </w:rPr>
              <w:t>2023</w:t>
            </w:r>
            <w:r w:rsidRPr="004C4DAF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4E68F3" w:rsidRDefault="00696A3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 xml:space="preserve">Obdobje upravičenosti stroškov: </w:t>
            </w:r>
          </w:p>
        </w:tc>
        <w:tc>
          <w:tcPr>
            <w:tcW w:w="4531" w:type="dxa"/>
          </w:tcPr>
          <w:p w:rsidR="00696A34" w:rsidRPr="006A1B3B" w:rsidRDefault="00DA12EA">
            <w:pPr>
              <w:rPr>
                <w:rFonts w:ascii="Arial" w:hAnsi="Arial" w:cs="Arial"/>
              </w:rPr>
            </w:pPr>
            <w:r w:rsidRPr="006A1B3B">
              <w:rPr>
                <w:rFonts w:ascii="Arial" w:hAnsi="Arial" w:cs="Arial"/>
              </w:rPr>
              <w:t xml:space="preserve">V skladu </w:t>
            </w:r>
            <w:r w:rsidR="00767BDB">
              <w:rPr>
                <w:rFonts w:ascii="Arial" w:hAnsi="Arial" w:cs="Arial"/>
              </w:rPr>
              <w:t>z drugim</w:t>
            </w:r>
            <w:r w:rsidRPr="006A1B3B">
              <w:rPr>
                <w:rFonts w:ascii="Arial" w:hAnsi="Arial" w:cs="Arial"/>
              </w:rPr>
              <w:t xml:space="preserve"> odstavkom </w:t>
            </w:r>
            <w:r w:rsidR="00767BDB">
              <w:rPr>
                <w:rFonts w:ascii="Arial" w:hAnsi="Arial" w:cs="Arial"/>
              </w:rPr>
              <w:t>8</w:t>
            </w:r>
            <w:r w:rsidRPr="006A1B3B">
              <w:rPr>
                <w:rFonts w:ascii="Arial" w:hAnsi="Arial" w:cs="Arial"/>
              </w:rPr>
              <w:t xml:space="preserve">. člena </w:t>
            </w:r>
            <w:r w:rsidR="00767BDB" w:rsidRPr="006A1B3B">
              <w:rPr>
                <w:rFonts w:ascii="Arial" w:hAnsi="Arial" w:cs="Arial"/>
              </w:rPr>
              <w:t xml:space="preserve">uredbe </w:t>
            </w:r>
            <w:r w:rsidRPr="006A1B3B">
              <w:rPr>
                <w:rFonts w:ascii="Arial" w:hAnsi="Arial" w:cs="Arial"/>
              </w:rPr>
              <w:t xml:space="preserve">so do podpore upravičeni stroški, ki so nastali </w:t>
            </w:r>
            <w:r w:rsidR="007A4B23">
              <w:rPr>
                <w:rFonts w:ascii="Arial" w:hAnsi="Arial" w:cs="Arial"/>
              </w:rPr>
              <w:t xml:space="preserve">od </w:t>
            </w:r>
            <w:r w:rsidR="007A4B23" w:rsidRPr="004C4DAF">
              <w:rPr>
                <w:rFonts w:ascii="Arial" w:hAnsi="Arial" w:cs="Arial"/>
              </w:rPr>
              <w:t xml:space="preserve">1. januarja do </w:t>
            </w:r>
            <w:r w:rsidR="00674D1B" w:rsidRPr="004C4DAF">
              <w:rPr>
                <w:rFonts w:ascii="Arial" w:hAnsi="Arial" w:cs="Arial"/>
              </w:rPr>
              <w:t>30</w:t>
            </w:r>
            <w:r w:rsidRPr="004C4DAF">
              <w:rPr>
                <w:rFonts w:ascii="Arial" w:hAnsi="Arial" w:cs="Arial"/>
              </w:rPr>
              <w:t xml:space="preserve">. oktobra </w:t>
            </w:r>
            <w:r w:rsidR="00674D1B" w:rsidRPr="004C4DAF">
              <w:rPr>
                <w:rFonts w:ascii="Arial" w:hAnsi="Arial" w:cs="Arial"/>
              </w:rPr>
              <w:t>2023</w:t>
            </w:r>
            <w:r w:rsidR="007A4B23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4E68F3" w:rsidRDefault="00696A34" w:rsidP="00843062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Informacije o javnem razpisu:</w:t>
            </w:r>
          </w:p>
        </w:tc>
        <w:tc>
          <w:tcPr>
            <w:tcW w:w="4531" w:type="dxa"/>
          </w:tcPr>
          <w:p w:rsidR="00843062" w:rsidRPr="00843062" w:rsidRDefault="00843062" w:rsidP="00843062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INFO točka: </w:t>
            </w:r>
            <w:r w:rsidR="00674D1B">
              <w:rPr>
                <w:rFonts w:ascii="Arial" w:hAnsi="Arial" w:cs="Arial"/>
              </w:rPr>
              <w:t>1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Agencija Republike Slovenije za kmetijske trge in razvoj podeželja, Dunajska 160, 1000 Ljubljana.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Tel. 01/580 7792: ponedeljek, torek in četrtek od 9.00 do 15.00 ure, sreda od 8.30 do 15.00 ure in petek od 8.30 do 14.00 ure.</w:t>
            </w:r>
          </w:p>
          <w:p w:rsidR="00696A34" w:rsidRP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 xml:space="preserve">Vprašanja se lahko posredujejo tudi po elektronski pošti na naslov: </w:t>
            </w:r>
            <w:hyperlink r:id="rId5" w:history="1">
              <w:r w:rsidRPr="005E24E9">
                <w:rPr>
                  <w:rStyle w:val="Hiperpovezava"/>
                  <w:rFonts w:ascii="Arial" w:hAnsi="Arial" w:cs="Arial"/>
                </w:rPr>
                <w:t>aktrp@gov.si</w:t>
              </w:r>
            </w:hyperlink>
            <w:r w:rsidRPr="005E24E9">
              <w:rPr>
                <w:rFonts w:ascii="Arial" w:hAnsi="Arial" w:cs="Arial"/>
              </w:rPr>
              <w:t>.</w:t>
            </w:r>
          </w:p>
        </w:tc>
      </w:tr>
    </w:tbl>
    <w:p w:rsidR="00696A34" w:rsidRPr="004E68F3" w:rsidRDefault="00696A34" w:rsidP="00696A34">
      <w:pPr>
        <w:rPr>
          <w:rFonts w:ascii="Arial" w:hAnsi="Arial" w:cs="Arial"/>
        </w:rPr>
      </w:pPr>
    </w:p>
    <w:p w:rsidR="00A63673" w:rsidRDefault="00A63673" w:rsidP="000622C5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NAMEN PODPORE </w:t>
      </w:r>
    </w:p>
    <w:p w:rsidR="000622C5" w:rsidRPr="000622C5" w:rsidRDefault="000622C5" w:rsidP="000622C5">
      <w:p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Namen podpore je določen v 1. členu uredbe. </w:t>
      </w:r>
    </w:p>
    <w:p w:rsidR="00A63673" w:rsidRPr="004E68F3" w:rsidRDefault="007D21C3" w:rsidP="000622C5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VLAGATELJ IN </w:t>
      </w:r>
      <w:r w:rsidR="00A63673" w:rsidRPr="004E68F3">
        <w:rPr>
          <w:rFonts w:ascii="Arial" w:hAnsi="Arial" w:cs="Arial"/>
          <w:b/>
        </w:rPr>
        <w:t>UPRAVIČENEC</w:t>
      </w:r>
    </w:p>
    <w:p w:rsidR="000622C5" w:rsidRDefault="007D21C3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>Vlagatelj je določen v prvem odstavku 2. člena</w:t>
      </w:r>
      <w:r w:rsidR="00B72987">
        <w:rPr>
          <w:rFonts w:ascii="Arial" w:hAnsi="Arial" w:cs="Arial"/>
        </w:rPr>
        <w:t xml:space="preserve"> uredb</w:t>
      </w:r>
      <w:r w:rsidR="006D1F1E">
        <w:rPr>
          <w:rFonts w:ascii="Arial" w:hAnsi="Arial" w:cs="Arial"/>
        </w:rPr>
        <w:t>e</w:t>
      </w:r>
      <w:r w:rsidRPr="000622C5">
        <w:rPr>
          <w:rFonts w:ascii="Arial" w:hAnsi="Arial" w:cs="Arial"/>
        </w:rPr>
        <w:t xml:space="preserve">. </w:t>
      </w:r>
    </w:p>
    <w:p w:rsidR="00A63673" w:rsidRPr="000622C5" w:rsidRDefault="00A63673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Upravičenec do podpore je določen v drugem odstavku 2. člena </w:t>
      </w:r>
      <w:r w:rsidR="00B72987">
        <w:rPr>
          <w:rFonts w:ascii="Arial" w:hAnsi="Arial" w:cs="Arial"/>
        </w:rPr>
        <w:t>u</w:t>
      </w:r>
      <w:r w:rsidRPr="000622C5">
        <w:rPr>
          <w:rFonts w:ascii="Arial" w:hAnsi="Arial" w:cs="Arial"/>
        </w:rPr>
        <w:t xml:space="preserve">redbe. </w:t>
      </w:r>
    </w:p>
    <w:p w:rsidR="000622C5" w:rsidRPr="000622C5" w:rsidRDefault="000622C5" w:rsidP="000622C5">
      <w:pPr>
        <w:pStyle w:val="Odstavekseznama"/>
        <w:ind w:left="360"/>
        <w:rPr>
          <w:rFonts w:ascii="Arial" w:hAnsi="Arial" w:cs="Arial"/>
        </w:rPr>
      </w:pPr>
    </w:p>
    <w:p w:rsidR="007D21C3" w:rsidRPr="000622C5" w:rsidRDefault="007D21C3" w:rsidP="000622C5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>POGOJI ZA PRIDOBITEV SREDSTEV</w:t>
      </w:r>
    </w:p>
    <w:p w:rsidR="000622C5" w:rsidRPr="000622C5" w:rsidRDefault="00CF0518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Pogoji za pridobitev </w:t>
      </w:r>
      <w:r w:rsidR="00983376">
        <w:rPr>
          <w:rFonts w:ascii="Arial" w:hAnsi="Arial" w:cs="Arial"/>
        </w:rPr>
        <w:t>sredstev</w:t>
      </w:r>
      <w:r w:rsidR="00983376" w:rsidRPr="000622C5">
        <w:rPr>
          <w:rFonts w:ascii="Arial" w:hAnsi="Arial" w:cs="Arial"/>
        </w:rPr>
        <w:t xml:space="preserve"> </w:t>
      </w:r>
      <w:r w:rsidRPr="000622C5">
        <w:rPr>
          <w:rFonts w:ascii="Arial" w:hAnsi="Arial" w:cs="Arial"/>
        </w:rPr>
        <w:t>iz tega javnega razpisa morajo biti izpolnjeni ob vložitvi vloge.</w:t>
      </w:r>
    </w:p>
    <w:p w:rsidR="00CF0518" w:rsidRPr="000622C5" w:rsidRDefault="00CF0518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V skladu s </w:t>
      </w:r>
      <w:r w:rsidR="00901937">
        <w:rPr>
          <w:rFonts w:ascii="Arial" w:hAnsi="Arial" w:cs="Arial"/>
        </w:rPr>
        <w:t>7</w:t>
      </w:r>
      <w:r w:rsidRPr="000622C5">
        <w:rPr>
          <w:rFonts w:ascii="Arial" w:hAnsi="Arial" w:cs="Arial"/>
        </w:rPr>
        <w:t xml:space="preserve">. členom </w:t>
      </w:r>
      <w:r w:rsidR="00671881">
        <w:rPr>
          <w:rFonts w:ascii="Arial" w:hAnsi="Arial" w:cs="Arial"/>
        </w:rPr>
        <w:t>in tretjim odstavkom 8. člena</w:t>
      </w:r>
      <w:r w:rsidRPr="000622C5">
        <w:rPr>
          <w:rFonts w:ascii="Arial" w:hAnsi="Arial" w:cs="Arial"/>
        </w:rPr>
        <w:t xml:space="preserve"> </w:t>
      </w:r>
      <w:r w:rsidR="00671881" w:rsidRPr="000622C5">
        <w:rPr>
          <w:rFonts w:ascii="Arial" w:hAnsi="Arial" w:cs="Arial"/>
        </w:rPr>
        <w:t xml:space="preserve">uredbe </w:t>
      </w:r>
      <w:r w:rsidRPr="000622C5">
        <w:rPr>
          <w:rFonts w:ascii="Arial" w:hAnsi="Arial" w:cs="Arial"/>
        </w:rPr>
        <w:t xml:space="preserve">mora vlagatelj k vlogi </w:t>
      </w:r>
      <w:r w:rsidR="00B72987">
        <w:rPr>
          <w:rFonts w:ascii="Arial" w:hAnsi="Arial" w:cs="Arial"/>
        </w:rPr>
        <w:t xml:space="preserve">za javni razpis </w:t>
      </w:r>
      <w:r w:rsidRPr="000622C5">
        <w:rPr>
          <w:rFonts w:ascii="Arial" w:hAnsi="Arial" w:cs="Arial"/>
        </w:rPr>
        <w:t>priložiti naslednje priloge:</w:t>
      </w:r>
    </w:p>
    <w:p w:rsidR="007D21C3" w:rsidRPr="004E68F3" w:rsidRDefault="00755CD6" w:rsidP="00CF051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 xml:space="preserve">iz katerega je razvidno izvajanje rednega izobraževanja s praktičnim poukom </w:t>
      </w:r>
      <w:r w:rsidR="006D1F1E">
        <w:rPr>
          <w:rFonts w:ascii="Arial" w:hAnsi="Arial" w:cs="Arial"/>
        </w:rPr>
        <w:t xml:space="preserve">ali raziskovanje s področja </w:t>
      </w:r>
      <w:r w:rsidR="00CF0518" w:rsidRPr="004E68F3">
        <w:rPr>
          <w:rFonts w:ascii="Arial" w:hAnsi="Arial" w:cs="Arial"/>
        </w:rPr>
        <w:t>agroživilstva, gozdarstva, veterinarstva in živilstva;</w:t>
      </w:r>
    </w:p>
    <w:p w:rsidR="00767BDB" w:rsidRPr="0087485F" w:rsidRDefault="00755CD6" w:rsidP="00767BDB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 xml:space="preserve">o </w:t>
      </w:r>
      <w:r w:rsidR="00D64AEC" w:rsidRPr="004E68F3">
        <w:rPr>
          <w:rFonts w:ascii="Arial" w:hAnsi="Arial" w:cs="Arial"/>
        </w:rPr>
        <w:t xml:space="preserve">lastništvu, solastništvu ali zakupni pravici oziroma dokazilo iz katerega je razvidno, da ima </w:t>
      </w:r>
      <w:r w:rsidR="006D1F1E">
        <w:rPr>
          <w:rFonts w:ascii="Arial" w:hAnsi="Arial" w:cs="Arial"/>
        </w:rPr>
        <w:t xml:space="preserve">vlagatelj </w:t>
      </w:r>
      <w:r w:rsidR="00D64AEC" w:rsidRPr="004E68F3">
        <w:rPr>
          <w:rFonts w:ascii="Arial" w:hAnsi="Arial" w:cs="Arial"/>
        </w:rPr>
        <w:t xml:space="preserve">status </w:t>
      </w:r>
      <w:r w:rsidR="00F45B80" w:rsidRPr="004E68F3">
        <w:rPr>
          <w:rFonts w:ascii="Arial" w:eastAsia="Times New Roman" w:hAnsi="Arial" w:cs="Arial"/>
        </w:rPr>
        <w:t>upravljalca nepremičnine v lasti Republike Slovenije na nepremičnini, na kateri se izvaja naložba</w:t>
      </w:r>
      <w:r w:rsidR="00767BDB">
        <w:rPr>
          <w:rFonts w:ascii="Arial" w:eastAsia="Times New Roman" w:hAnsi="Arial" w:cs="Arial"/>
        </w:rPr>
        <w:t xml:space="preserve">. V primeru, da vlagatelj ni lastnik </w:t>
      </w:r>
      <w:r w:rsidR="00767BDB" w:rsidRPr="00767BDB">
        <w:rPr>
          <w:rFonts w:ascii="Arial" w:eastAsia="Times New Roman" w:hAnsi="Arial" w:cs="Arial"/>
        </w:rPr>
        <w:t>objekta,</w:t>
      </w:r>
      <w:r w:rsidR="00767BDB">
        <w:rPr>
          <w:rFonts w:ascii="Arial" w:eastAsia="Times New Roman" w:hAnsi="Arial" w:cs="Arial"/>
        </w:rPr>
        <w:t xml:space="preserve"> </w:t>
      </w:r>
      <w:r w:rsidR="00767BDB" w:rsidRPr="00767BDB">
        <w:rPr>
          <w:rFonts w:ascii="Arial" w:eastAsia="Times New Roman" w:hAnsi="Arial" w:cs="Arial"/>
        </w:rPr>
        <w:t>mora k vlogi priložiti najemno pogodbo, sklenjeno za obdobje najmanj petih let od oddaje vloge na</w:t>
      </w:r>
      <w:r w:rsidR="00767BDB">
        <w:rPr>
          <w:rFonts w:ascii="Arial" w:eastAsia="Times New Roman" w:hAnsi="Arial" w:cs="Arial"/>
        </w:rPr>
        <w:t xml:space="preserve"> </w:t>
      </w:r>
      <w:r w:rsidR="00767BDB" w:rsidRPr="00767BDB">
        <w:rPr>
          <w:rFonts w:ascii="Arial" w:eastAsia="Times New Roman" w:hAnsi="Arial" w:cs="Arial"/>
        </w:rPr>
        <w:t>javni razpis za nepremičnino, na kateri se izvaja naložba;</w:t>
      </w:r>
    </w:p>
    <w:p w:rsidR="00CF0518" w:rsidRPr="004E68F3" w:rsidRDefault="00767BDB" w:rsidP="00767BDB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>
        <w:rPr>
          <w:rFonts w:ascii="Arial" w:eastAsia="Times New Roman" w:hAnsi="Arial" w:cs="Arial"/>
        </w:rPr>
        <w:t>dokazilo, da ima objekt, v katerega se namestijo aparati, oprema in naprave, ki so predmet vloge uporabno dovoljenje;</w:t>
      </w:r>
      <w:r w:rsidR="00F45B80" w:rsidRPr="004E68F3">
        <w:rPr>
          <w:rFonts w:ascii="Arial" w:eastAsia="Times New Roman" w:hAnsi="Arial" w:cs="Arial"/>
        </w:rPr>
        <w:t xml:space="preserve"> </w:t>
      </w:r>
    </w:p>
    <w:p w:rsidR="006E119A" w:rsidRPr="0087485F" w:rsidRDefault="006E119A" w:rsidP="006E119A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>
        <w:rPr>
          <w:rFonts w:ascii="Arial" w:eastAsia="Times New Roman" w:hAnsi="Arial" w:cs="Arial"/>
        </w:rPr>
        <w:t>sklep</w:t>
      </w:r>
      <w:r w:rsidRPr="006E119A">
        <w:rPr>
          <w:rFonts w:ascii="Arial" w:eastAsia="Times New Roman" w:hAnsi="Arial" w:cs="Arial"/>
        </w:rPr>
        <w:t xml:space="preserve"> sveta zavoda, s katerim sta bila potrjena finančni načrt in program dela javnega</w:t>
      </w:r>
      <w:r>
        <w:rPr>
          <w:rFonts w:ascii="Arial" w:eastAsia="Times New Roman" w:hAnsi="Arial" w:cs="Arial"/>
        </w:rPr>
        <w:t xml:space="preserve"> </w:t>
      </w:r>
      <w:r w:rsidRPr="006E119A">
        <w:rPr>
          <w:rFonts w:ascii="Arial" w:eastAsia="Times New Roman" w:hAnsi="Arial" w:cs="Arial"/>
        </w:rPr>
        <w:t xml:space="preserve">zavoda za </w:t>
      </w:r>
      <w:r w:rsidRPr="004C4DAF">
        <w:rPr>
          <w:rFonts w:ascii="Arial" w:eastAsia="Times New Roman" w:hAnsi="Arial" w:cs="Arial"/>
        </w:rPr>
        <w:t xml:space="preserve">leto </w:t>
      </w:r>
      <w:r w:rsidR="00901937" w:rsidRPr="004C4DAF">
        <w:rPr>
          <w:rFonts w:ascii="Arial" w:eastAsia="Times New Roman" w:hAnsi="Arial" w:cs="Arial"/>
        </w:rPr>
        <w:t>2023</w:t>
      </w:r>
      <w:r w:rsidRPr="006E119A">
        <w:rPr>
          <w:rFonts w:ascii="Arial" w:eastAsia="Times New Roman" w:hAnsi="Arial" w:cs="Arial"/>
        </w:rPr>
        <w:t xml:space="preserve">, iz katerega </w:t>
      </w:r>
      <w:r>
        <w:rPr>
          <w:rFonts w:ascii="Arial" w:eastAsia="Times New Roman" w:hAnsi="Arial" w:cs="Arial"/>
        </w:rPr>
        <w:t xml:space="preserve">je </w:t>
      </w:r>
      <w:r w:rsidRPr="006E119A">
        <w:rPr>
          <w:rFonts w:ascii="Arial" w:eastAsia="Times New Roman" w:hAnsi="Arial" w:cs="Arial"/>
        </w:rPr>
        <w:t>razvidn</w:t>
      </w:r>
      <w:r>
        <w:rPr>
          <w:rFonts w:ascii="Arial" w:eastAsia="Times New Roman" w:hAnsi="Arial" w:cs="Arial"/>
        </w:rPr>
        <w:t>o, da so</w:t>
      </w:r>
      <w:r w:rsidRPr="006E119A">
        <w:rPr>
          <w:rFonts w:ascii="Arial" w:eastAsia="Times New Roman" w:hAnsi="Arial" w:cs="Arial"/>
        </w:rPr>
        <w:t xml:space="preserve"> zagotovljena sredstva za</w:t>
      </w:r>
      <w:r>
        <w:rPr>
          <w:rFonts w:ascii="Arial" w:eastAsia="Times New Roman" w:hAnsi="Arial" w:cs="Arial"/>
        </w:rPr>
        <w:t xml:space="preserve"> </w:t>
      </w:r>
      <w:r w:rsidRPr="006E119A">
        <w:rPr>
          <w:rFonts w:ascii="Arial" w:eastAsia="Times New Roman" w:hAnsi="Arial" w:cs="Arial"/>
        </w:rPr>
        <w:t>namen izvedbe naložbe, s katero se vlagatelj prijavlja na javni razpis</w:t>
      </w:r>
      <w:r>
        <w:rPr>
          <w:rFonts w:ascii="Arial" w:eastAsia="Times New Roman" w:hAnsi="Arial" w:cs="Arial"/>
        </w:rPr>
        <w:t>;</w:t>
      </w:r>
    </w:p>
    <w:p w:rsidR="00F45B80" w:rsidRPr="004C4DAF" w:rsidRDefault="006E119A" w:rsidP="006E119A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C4DAF">
        <w:rPr>
          <w:rFonts w:ascii="Arial" w:eastAsia="Times New Roman" w:hAnsi="Arial" w:cs="Arial"/>
        </w:rPr>
        <w:t xml:space="preserve">tržno primerljivo pisno ponudbo za </w:t>
      </w:r>
      <w:r w:rsidR="000F57CF" w:rsidRPr="004C4DAF">
        <w:rPr>
          <w:rFonts w:ascii="Arial" w:eastAsia="Times New Roman" w:hAnsi="Arial" w:cs="Arial"/>
        </w:rPr>
        <w:t>investicijo, ki je predmet prijave</w:t>
      </w:r>
      <w:r w:rsidRPr="004C4DAF">
        <w:rPr>
          <w:rFonts w:ascii="Arial" w:eastAsia="Times New Roman" w:hAnsi="Arial" w:cs="Arial"/>
        </w:rPr>
        <w:t xml:space="preserve"> na razpis. </w:t>
      </w:r>
    </w:p>
    <w:p w:rsidR="00F45B80" w:rsidRPr="004E68F3" w:rsidRDefault="00F45B80" w:rsidP="00F45B80">
      <w:pPr>
        <w:pStyle w:val="Odstavekseznama"/>
        <w:rPr>
          <w:rFonts w:ascii="Arial" w:hAnsi="Arial" w:cs="Arial"/>
        </w:rPr>
      </w:pPr>
    </w:p>
    <w:p w:rsidR="000622C5" w:rsidRDefault="00F45B80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UPRAVIČENI STROŠKI</w:t>
      </w:r>
    </w:p>
    <w:p w:rsidR="000622C5" w:rsidRPr="000622C5" w:rsidRDefault="00F45B80" w:rsidP="000622C5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Upravičeni stroški so določeni v </w:t>
      </w:r>
      <w:r w:rsidR="00B72987">
        <w:rPr>
          <w:rFonts w:ascii="Arial" w:hAnsi="Arial" w:cs="Arial"/>
        </w:rPr>
        <w:t xml:space="preserve">prvem odstavku </w:t>
      </w:r>
      <w:r w:rsidR="006E119A">
        <w:rPr>
          <w:rFonts w:ascii="Arial" w:hAnsi="Arial" w:cs="Arial"/>
        </w:rPr>
        <w:t>8</w:t>
      </w:r>
      <w:r w:rsidRPr="000622C5">
        <w:rPr>
          <w:rFonts w:ascii="Arial" w:hAnsi="Arial" w:cs="Arial"/>
        </w:rPr>
        <w:t>. člen</w:t>
      </w:r>
      <w:r w:rsidR="00F3233B">
        <w:rPr>
          <w:rFonts w:ascii="Arial" w:hAnsi="Arial" w:cs="Arial"/>
        </w:rPr>
        <w:t>a</w:t>
      </w:r>
      <w:r w:rsidRPr="000622C5">
        <w:rPr>
          <w:rFonts w:ascii="Arial" w:hAnsi="Arial" w:cs="Arial"/>
        </w:rPr>
        <w:t xml:space="preserve"> uredbe. </w:t>
      </w:r>
    </w:p>
    <w:p w:rsidR="00755CD6" w:rsidRPr="000622C5" w:rsidRDefault="00755CD6" w:rsidP="000622C5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V skladu </w:t>
      </w:r>
      <w:r w:rsidR="006E119A">
        <w:rPr>
          <w:rFonts w:ascii="Arial" w:hAnsi="Arial" w:cs="Arial"/>
        </w:rPr>
        <w:t xml:space="preserve">z drugim </w:t>
      </w:r>
      <w:r w:rsidRPr="000622C5">
        <w:rPr>
          <w:rFonts w:ascii="Arial" w:hAnsi="Arial" w:cs="Arial"/>
        </w:rPr>
        <w:t xml:space="preserve">odstavkom </w:t>
      </w:r>
      <w:r w:rsidR="006E119A">
        <w:rPr>
          <w:rFonts w:ascii="Arial" w:hAnsi="Arial" w:cs="Arial"/>
        </w:rPr>
        <w:t>8</w:t>
      </w:r>
      <w:r w:rsidRPr="000622C5">
        <w:rPr>
          <w:rFonts w:ascii="Arial" w:hAnsi="Arial" w:cs="Arial"/>
        </w:rPr>
        <w:t xml:space="preserve">. člena </w:t>
      </w:r>
      <w:r w:rsidR="00677319">
        <w:rPr>
          <w:rFonts w:ascii="Arial" w:hAnsi="Arial" w:cs="Arial"/>
        </w:rPr>
        <w:t xml:space="preserve">uredbe </w:t>
      </w:r>
      <w:r w:rsidRPr="000622C5">
        <w:rPr>
          <w:rFonts w:ascii="Arial" w:hAnsi="Arial" w:cs="Arial"/>
        </w:rPr>
        <w:t xml:space="preserve">se za upravičene stroške štejejo stroški, ki so nastali v </w:t>
      </w:r>
      <w:r w:rsidR="00B72987">
        <w:rPr>
          <w:rFonts w:ascii="Arial" w:hAnsi="Arial" w:cs="Arial"/>
        </w:rPr>
        <w:t xml:space="preserve">koledarskem </w:t>
      </w:r>
      <w:r w:rsidRPr="000622C5">
        <w:rPr>
          <w:rFonts w:ascii="Arial" w:hAnsi="Arial" w:cs="Arial"/>
        </w:rPr>
        <w:t xml:space="preserve">letu </w:t>
      </w:r>
      <w:r w:rsidR="00B72987">
        <w:rPr>
          <w:rFonts w:ascii="Arial" w:hAnsi="Arial" w:cs="Arial"/>
        </w:rPr>
        <w:t xml:space="preserve">objave </w:t>
      </w:r>
      <w:r w:rsidRPr="000622C5">
        <w:rPr>
          <w:rFonts w:ascii="Arial" w:hAnsi="Arial" w:cs="Arial"/>
        </w:rPr>
        <w:t xml:space="preserve">tega javnega </w:t>
      </w:r>
      <w:r w:rsidR="00901937">
        <w:rPr>
          <w:rFonts w:ascii="Arial" w:hAnsi="Arial" w:cs="Arial"/>
        </w:rPr>
        <w:t xml:space="preserve">razpisa, vendar ne pozneje kot </w:t>
      </w:r>
      <w:r w:rsidR="00901937" w:rsidRPr="004C4DAF">
        <w:rPr>
          <w:rFonts w:ascii="Arial" w:hAnsi="Arial" w:cs="Arial"/>
        </w:rPr>
        <w:t>30</w:t>
      </w:r>
      <w:r w:rsidRPr="004C4DAF">
        <w:rPr>
          <w:rFonts w:ascii="Arial" w:hAnsi="Arial" w:cs="Arial"/>
        </w:rPr>
        <w:t>. oktobra</w:t>
      </w:r>
      <w:r w:rsidR="00677319" w:rsidRPr="004C4DAF">
        <w:rPr>
          <w:rFonts w:ascii="Arial" w:hAnsi="Arial" w:cs="Arial"/>
        </w:rPr>
        <w:t xml:space="preserve"> v letu</w:t>
      </w:r>
      <w:r w:rsidR="00677319">
        <w:rPr>
          <w:rFonts w:ascii="Arial" w:hAnsi="Arial" w:cs="Arial"/>
        </w:rPr>
        <w:t xml:space="preserve"> objave tega javnega razpisa</w:t>
      </w:r>
      <w:r w:rsidRPr="000622C5">
        <w:rPr>
          <w:rFonts w:ascii="Arial" w:hAnsi="Arial" w:cs="Arial"/>
        </w:rPr>
        <w:t xml:space="preserve">. </w:t>
      </w:r>
    </w:p>
    <w:p w:rsidR="001E20CB" w:rsidRPr="004E68F3" w:rsidRDefault="001E20CB" w:rsidP="001E20CB">
      <w:pPr>
        <w:pStyle w:val="Odstavekseznama"/>
        <w:rPr>
          <w:rFonts w:ascii="Arial" w:hAnsi="Arial" w:cs="Arial"/>
        </w:rPr>
      </w:pPr>
    </w:p>
    <w:p w:rsidR="001E20CB" w:rsidRPr="004E68F3" w:rsidRDefault="001E20CB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FINANČNI POGOJI</w:t>
      </w:r>
    </w:p>
    <w:p w:rsidR="001E20CB" w:rsidRPr="004E68F3" w:rsidRDefault="001E20CB" w:rsidP="00B457B4">
      <w:p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Finančni pogoji so določeni v </w:t>
      </w:r>
      <w:r w:rsidR="006E119A">
        <w:rPr>
          <w:rFonts w:ascii="Arial" w:hAnsi="Arial" w:cs="Arial"/>
        </w:rPr>
        <w:t>10</w:t>
      </w:r>
      <w:r w:rsidRPr="004E68F3">
        <w:rPr>
          <w:rFonts w:ascii="Arial" w:hAnsi="Arial" w:cs="Arial"/>
        </w:rPr>
        <w:t xml:space="preserve">. členu uredbe. </w:t>
      </w:r>
    </w:p>
    <w:p w:rsidR="00F45B80" w:rsidRPr="004E68F3" w:rsidRDefault="00755CD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MER</w:t>
      </w:r>
      <w:r w:rsidR="00F45B80" w:rsidRPr="004E68F3">
        <w:rPr>
          <w:rFonts w:ascii="Arial" w:hAnsi="Arial" w:cs="Arial"/>
          <w:b/>
        </w:rPr>
        <w:t>IL</w:t>
      </w:r>
      <w:r w:rsidRPr="004E68F3">
        <w:rPr>
          <w:rFonts w:ascii="Arial" w:hAnsi="Arial" w:cs="Arial"/>
          <w:b/>
        </w:rPr>
        <w:t>A ZA OCENJE</w:t>
      </w:r>
      <w:r w:rsidR="00F45B80" w:rsidRPr="004E68F3">
        <w:rPr>
          <w:rFonts w:ascii="Arial" w:hAnsi="Arial" w:cs="Arial"/>
          <w:b/>
        </w:rPr>
        <w:t>VANJE</w:t>
      </w:r>
      <w:r w:rsidRPr="004E68F3">
        <w:rPr>
          <w:rFonts w:ascii="Arial" w:hAnsi="Arial" w:cs="Arial"/>
          <w:b/>
        </w:rPr>
        <w:t xml:space="preserve"> VLOG</w:t>
      </w:r>
    </w:p>
    <w:p w:rsidR="001E20CB" w:rsidRDefault="002721C3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Merila za ocenjevanje vlog so določena v 9. členu uredbe in podrobneje opredeljena v tem poglavju.</w:t>
      </w:r>
    </w:p>
    <w:p w:rsidR="002721C3" w:rsidRDefault="002721C3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0F57CF" w:rsidRPr="004E68F3" w:rsidRDefault="002721C3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Merila za izbor vlog in točkovnik: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14"/>
        <w:gridCol w:w="2172"/>
      </w:tblGrid>
      <w:tr w:rsidR="000F57CF" w:rsidRPr="000F57CF" w:rsidTr="0087485F">
        <w:trPr>
          <w:trHeight w:val="509"/>
        </w:trPr>
        <w:tc>
          <w:tcPr>
            <w:tcW w:w="493" w:type="dxa"/>
            <w:vAlign w:val="center"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6314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7485F">
              <w:rPr>
                <w:rFonts w:ascii="Arial" w:hAnsi="Arial" w:cs="Arial"/>
                <w:b/>
                <w:bCs/>
              </w:rPr>
              <w:t>Merilo</w:t>
            </w:r>
          </w:p>
        </w:tc>
        <w:tc>
          <w:tcPr>
            <w:tcW w:w="2172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7485F">
              <w:rPr>
                <w:rFonts w:ascii="Arial" w:hAnsi="Arial" w:cs="Arial"/>
                <w:b/>
                <w:bCs/>
              </w:rPr>
              <w:t xml:space="preserve">Najvišje štev. točk </w:t>
            </w:r>
          </w:p>
        </w:tc>
      </w:tr>
      <w:tr w:rsidR="000F57CF" w:rsidRPr="000F57CF" w:rsidTr="0087485F">
        <w:trPr>
          <w:trHeight w:val="255"/>
        </w:trPr>
        <w:tc>
          <w:tcPr>
            <w:tcW w:w="493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</w:rPr>
            </w:pPr>
            <w:r w:rsidRPr="0087485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314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Delež lastne udeležbe</w:t>
            </w:r>
          </w:p>
        </w:tc>
        <w:tc>
          <w:tcPr>
            <w:tcW w:w="2172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40</w:t>
            </w:r>
          </w:p>
        </w:tc>
      </w:tr>
      <w:tr w:rsidR="000F57CF" w:rsidRPr="000F57CF" w:rsidTr="0087485F">
        <w:trPr>
          <w:trHeight w:val="255"/>
        </w:trPr>
        <w:tc>
          <w:tcPr>
            <w:tcW w:w="493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</w:rPr>
            </w:pPr>
            <w:r w:rsidRPr="0087485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314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Število dijakov oziroma študentov vključenih v izobraževanje</w:t>
            </w:r>
          </w:p>
        </w:tc>
        <w:tc>
          <w:tcPr>
            <w:tcW w:w="2172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40</w:t>
            </w:r>
          </w:p>
        </w:tc>
      </w:tr>
      <w:tr w:rsidR="000F57CF" w:rsidRPr="000F57CF" w:rsidTr="0087485F">
        <w:trPr>
          <w:trHeight w:val="255"/>
        </w:trPr>
        <w:tc>
          <w:tcPr>
            <w:tcW w:w="493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</w:rPr>
            </w:pPr>
            <w:r w:rsidRPr="0087485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314" w:type="dxa"/>
            <w:vAlign w:val="center"/>
            <w:hideMark/>
          </w:tcPr>
          <w:p w:rsidR="000F57CF" w:rsidRPr="0087485F" w:rsidRDefault="000F57CF" w:rsidP="006D1F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Števi</w:t>
            </w:r>
            <w:r w:rsidR="00E521D7">
              <w:rPr>
                <w:rFonts w:ascii="Arial" w:hAnsi="Arial" w:cs="Arial"/>
              </w:rPr>
              <w:t>lo hektar</w:t>
            </w:r>
            <w:r w:rsidR="006D1F1E">
              <w:rPr>
                <w:rFonts w:ascii="Arial" w:hAnsi="Arial" w:cs="Arial"/>
              </w:rPr>
              <w:t>jev</w:t>
            </w:r>
            <w:r w:rsidR="00E521D7">
              <w:rPr>
                <w:rFonts w:ascii="Arial" w:hAnsi="Arial" w:cs="Arial"/>
              </w:rPr>
              <w:t xml:space="preserve"> kmetijskih </w:t>
            </w:r>
            <w:r w:rsidRPr="0087485F">
              <w:rPr>
                <w:rFonts w:ascii="Arial" w:hAnsi="Arial" w:cs="Arial"/>
              </w:rPr>
              <w:t>ali gozdnih zemljišč ali št</w:t>
            </w:r>
            <w:r w:rsidR="00C570AA">
              <w:rPr>
                <w:rFonts w:ascii="Arial" w:hAnsi="Arial" w:cs="Arial"/>
              </w:rPr>
              <w:t>evilo</w:t>
            </w:r>
            <w:r w:rsidRPr="0087485F">
              <w:rPr>
                <w:rFonts w:ascii="Arial" w:hAnsi="Arial" w:cs="Arial"/>
              </w:rPr>
              <w:t xml:space="preserve"> učnih delavnic</w:t>
            </w:r>
          </w:p>
        </w:tc>
        <w:tc>
          <w:tcPr>
            <w:tcW w:w="2172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7485F">
              <w:rPr>
                <w:rFonts w:ascii="Arial" w:hAnsi="Arial" w:cs="Arial"/>
              </w:rPr>
              <w:t>20</w:t>
            </w:r>
          </w:p>
        </w:tc>
      </w:tr>
      <w:tr w:rsidR="000F57CF" w:rsidRPr="000F57CF" w:rsidTr="0087485F">
        <w:trPr>
          <w:trHeight w:val="509"/>
        </w:trPr>
        <w:tc>
          <w:tcPr>
            <w:tcW w:w="493" w:type="dxa"/>
            <w:vAlign w:val="center"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6314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7485F">
              <w:rPr>
                <w:rFonts w:ascii="Arial" w:hAnsi="Arial" w:cs="Arial"/>
                <w:b/>
                <w:bCs/>
              </w:rPr>
              <w:t>Skupaj:</w:t>
            </w:r>
          </w:p>
        </w:tc>
        <w:tc>
          <w:tcPr>
            <w:tcW w:w="2172" w:type="dxa"/>
            <w:vAlign w:val="center"/>
            <w:hideMark/>
          </w:tcPr>
          <w:p w:rsidR="000F57CF" w:rsidRPr="0087485F" w:rsidRDefault="000F57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87485F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0F57CF" w:rsidRDefault="000F57CF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0F57CF" w:rsidRPr="0087485F" w:rsidRDefault="000F57CF" w:rsidP="000F57CF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  <w:r w:rsidRPr="0087485F">
        <w:rPr>
          <w:rFonts w:ascii="Arial" w:eastAsia="MS Mincho" w:hAnsi="Arial" w:cs="Arial"/>
          <w:b/>
          <w:color w:val="000000"/>
          <w:sz w:val="22"/>
          <w:szCs w:val="22"/>
        </w:rPr>
        <w:t>Delež lastne udeležbe:</w:t>
      </w:r>
    </w:p>
    <w:p w:rsidR="000F57CF" w:rsidRPr="000F57CF" w:rsidRDefault="000F57CF" w:rsidP="0087485F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10 točk – od 50 % do vključno 55 % lastne udeležbe</w:t>
      </w:r>
    </w:p>
    <w:p w:rsidR="000F57CF" w:rsidRPr="000F57CF" w:rsidRDefault="000F57CF" w:rsidP="0087485F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20 točk – nad 55 % do vključno 60 % lastne udeležbe</w:t>
      </w:r>
    </w:p>
    <w:p w:rsidR="000F57CF" w:rsidRPr="000F57CF" w:rsidRDefault="000F57CF" w:rsidP="0087485F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30 točk – nad 60 % do vključno 65 % lastne udeležbe</w:t>
      </w:r>
    </w:p>
    <w:p w:rsidR="000F57CF" w:rsidRPr="000F57CF" w:rsidRDefault="000F57CF" w:rsidP="0087485F">
      <w:pPr>
        <w:pStyle w:val="Golobesedilo"/>
        <w:numPr>
          <w:ilvl w:val="0"/>
          <w:numId w:val="9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40 točk – nad 65 % lastne udeležbe.</w:t>
      </w:r>
    </w:p>
    <w:p w:rsidR="000F57CF" w:rsidRPr="000F57CF" w:rsidRDefault="000F57CF" w:rsidP="000F57CF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0F57CF" w:rsidRPr="000F57CF" w:rsidRDefault="00E565CA" w:rsidP="000F57CF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 w:rsidRPr="00CA2663">
        <w:rPr>
          <w:rFonts w:ascii="Arial" w:eastAsia="MS Mincho" w:hAnsi="Arial" w:cs="Arial"/>
          <w:b/>
          <w:color w:val="000000"/>
          <w:sz w:val="22"/>
          <w:szCs w:val="22"/>
        </w:rPr>
        <w:lastRenderedPageBreak/>
        <w:t xml:space="preserve">Število dijakov, vključenih v izobraževanje na dan 5. oktobra šolskega leta oziroma število študentov, vključenih v izobraževanje na dan 30. oktobra študijskega leta </w:t>
      </w:r>
      <w:r w:rsidRPr="00CA2663">
        <w:rPr>
          <w:rFonts w:ascii="Arial" w:eastAsia="MS Mincho" w:hAnsi="Arial" w:cs="Arial"/>
          <w:i/>
          <w:color w:val="000000"/>
        </w:rPr>
        <w:t>(upošteva se podatek iz uradne evidence Ministrstva za vzgojo in izobraževanje oziroma Ministrstva za visoko šolstvo, znanost in inovacije)</w:t>
      </w:r>
      <w:r w:rsidRPr="00CA2663">
        <w:rPr>
          <w:rFonts w:ascii="Arial" w:eastAsia="MS Mincho" w:hAnsi="Arial" w:cs="Arial"/>
          <w:color w:val="000000"/>
          <w:sz w:val="22"/>
          <w:szCs w:val="22"/>
        </w:rPr>
        <w:t>:</w:t>
      </w:r>
    </w:p>
    <w:p w:rsidR="000F57CF" w:rsidRPr="000F57CF" w:rsidRDefault="000F57CF" w:rsidP="0087485F">
      <w:pPr>
        <w:pStyle w:val="Golobesedilo"/>
        <w:numPr>
          <w:ilvl w:val="0"/>
          <w:numId w:val="10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10 točk – do vključno 100 dijakov oziroma študentov</w:t>
      </w:r>
    </w:p>
    <w:p w:rsidR="000F57CF" w:rsidRPr="000F57CF" w:rsidRDefault="000F57CF" w:rsidP="0087485F">
      <w:pPr>
        <w:pStyle w:val="Golobesedilo"/>
        <w:numPr>
          <w:ilvl w:val="0"/>
          <w:numId w:val="10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20 točk – od 101 do vključno 250 dijakov oziroma študentov</w:t>
      </w:r>
    </w:p>
    <w:p w:rsidR="000F57CF" w:rsidRPr="000F57CF" w:rsidRDefault="000F57CF" w:rsidP="0087485F">
      <w:pPr>
        <w:pStyle w:val="Golobesedilo"/>
        <w:numPr>
          <w:ilvl w:val="0"/>
          <w:numId w:val="10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30 točk – od 251 do vključno 500 dijakov oziroma študentov</w:t>
      </w:r>
    </w:p>
    <w:p w:rsidR="000F57CF" w:rsidRPr="000F57CF" w:rsidRDefault="000F57CF" w:rsidP="0087485F">
      <w:pPr>
        <w:pStyle w:val="Golobesedilo"/>
        <w:numPr>
          <w:ilvl w:val="0"/>
          <w:numId w:val="10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40 točk – več kot 501 dijak</w:t>
      </w:r>
      <w:r w:rsidR="00671881">
        <w:rPr>
          <w:rFonts w:ascii="Arial" w:eastAsia="MS Mincho" w:hAnsi="Arial" w:cs="Arial"/>
          <w:color w:val="000000"/>
          <w:sz w:val="22"/>
          <w:szCs w:val="22"/>
        </w:rPr>
        <w:t>ov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 xml:space="preserve"> oziroma študent</w:t>
      </w:r>
      <w:r w:rsidR="00671881">
        <w:rPr>
          <w:rFonts w:ascii="Arial" w:eastAsia="MS Mincho" w:hAnsi="Arial" w:cs="Arial"/>
          <w:color w:val="000000"/>
          <w:sz w:val="22"/>
          <w:szCs w:val="22"/>
        </w:rPr>
        <w:t>ov</w:t>
      </w:r>
      <w:r w:rsidRPr="000F57CF">
        <w:rPr>
          <w:rFonts w:ascii="Arial" w:eastAsia="MS Mincho" w:hAnsi="Arial" w:cs="Arial"/>
          <w:color w:val="000000"/>
          <w:sz w:val="22"/>
          <w:szCs w:val="22"/>
        </w:rPr>
        <w:t>.</w:t>
      </w:r>
    </w:p>
    <w:p w:rsidR="000F57CF" w:rsidRPr="000F57CF" w:rsidRDefault="000F57CF" w:rsidP="000F57CF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0F57CF" w:rsidRPr="0087485F" w:rsidRDefault="006D1F1E" w:rsidP="000F57CF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  <w:r>
        <w:rPr>
          <w:rFonts w:ascii="Arial" w:eastAsia="MS Mincho" w:hAnsi="Arial" w:cs="Arial"/>
          <w:b/>
          <w:color w:val="000000"/>
          <w:sz w:val="22"/>
          <w:szCs w:val="22"/>
        </w:rPr>
        <w:t>Število hektarjev</w:t>
      </w:r>
      <w:r w:rsidR="000F57CF" w:rsidRPr="0087485F">
        <w:rPr>
          <w:rFonts w:ascii="Arial" w:eastAsia="MS Mincho" w:hAnsi="Arial" w:cs="Arial"/>
          <w:b/>
          <w:color w:val="000000"/>
          <w:sz w:val="22"/>
          <w:szCs w:val="22"/>
        </w:rPr>
        <w:t xml:space="preserve"> kmetijskih ali gozdnih zemljišč ali število učnih delavnic:</w:t>
      </w:r>
    </w:p>
    <w:p w:rsidR="000F57CF" w:rsidRPr="000F57CF" w:rsidRDefault="000F57CF" w:rsidP="0087485F">
      <w:pPr>
        <w:pStyle w:val="Golobesedilo"/>
        <w:numPr>
          <w:ilvl w:val="0"/>
          <w:numId w:val="11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10 točk – do vključno 10 ha zemljišč ali do vključno 3 delavnice</w:t>
      </w:r>
    </w:p>
    <w:p w:rsidR="000F57CF" w:rsidRPr="004E68F3" w:rsidRDefault="000F57CF" w:rsidP="0087485F">
      <w:pPr>
        <w:pStyle w:val="Golobesedilo"/>
        <w:numPr>
          <w:ilvl w:val="0"/>
          <w:numId w:val="11"/>
        </w:numPr>
        <w:rPr>
          <w:rFonts w:ascii="Arial" w:eastAsia="MS Mincho" w:hAnsi="Arial" w:cs="Arial"/>
          <w:color w:val="000000"/>
          <w:sz w:val="22"/>
          <w:szCs w:val="22"/>
        </w:rPr>
      </w:pPr>
      <w:r w:rsidRPr="000F57CF">
        <w:rPr>
          <w:rFonts w:ascii="Arial" w:eastAsia="MS Mincho" w:hAnsi="Arial" w:cs="Arial"/>
          <w:color w:val="000000"/>
          <w:sz w:val="22"/>
          <w:szCs w:val="22"/>
        </w:rPr>
        <w:t>20 točk – nad 10 ha zemljišč ali več kot 3 delavnice.</w:t>
      </w:r>
    </w:p>
    <w:p w:rsidR="001E20CB" w:rsidRPr="004E68F3" w:rsidRDefault="001E20CB" w:rsidP="001E20CB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1E20CB" w:rsidRPr="00B457B4" w:rsidRDefault="008E3129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VLOGA IN POSTOPEK ZA DODELITEV SREDSTEV</w:t>
      </w:r>
    </w:p>
    <w:p w:rsidR="008E3129" w:rsidRPr="004E68F3" w:rsidRDefault="008E3129" w:rsidP="008E3129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vloge na javni razpis in postopek za dodelitev sredstev sta določena v 12., 13. in 14. členu </w:t>
      </w:r>
      <w:r w:rsidR="00F3233B">
        <w:rPr>
          <w:rFonts w:ascii="Arial" w:eastAsia="MS Mincho" w:hAnsi="Arial" w:cs="Arial"/>
        </w:rPr>
        <w:t>u</w:t>
      </w:r>
      <w:r w:rsidRPr="004E68F3">
        <w:rPr>
          <w:rFonts w:ascii="Arial" w:eastAsia="MS Mincho" w:hAnsi="Arial" w:cs="Arial"/>
        </w:rPr>
        <w:t>redbe</w:t>
      </w:r>
      <w:r w:rsidR="00500BB6" w:rsidRPr="004E68F3">
        <w:rPr>
          <w:rFonts w:ascii="Arial" w:eastAsia="MS Mincho" w:hAnsi="Arial" w:cs="Arial"/>
        </w:rPr>
        <w:t>.</w:t>
      </w: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VLAGANJE ZAHTEVKOV ZA IZPLAČILO SREDSTEV</w:t>
      </w:r>
    </w:p>
    <w:p w:rsidR="00500BB6" w:rsidRPr="00E565CA" w:rsidRDefault="00500BB6" w:rsidP="00E565CA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zahtevkov za izplačilo sredstev je določeno v 15. členu uredbe. </w:t>
      </w:r>
      <w:r w:rsidR="00E565CA" w:rsidRPr="00CA2663">
        <w:rPr>
          <w:rFonts w:ascii="Arial" w:eastAsia="MS Mincho" w:hAnsi="Arial" w:cs="Arial"/>
        </w:rPr>
        <w:t>K zahtevku se priloži</w:t>
      </w:r>
      <w:r w:rsidR="009B5FD3" w:rsidRPr="00CA2663">
        <w:rPr>
          <w:rFonts w:ascii="Arial" w:eastAsia="MS Mincho" w:hAnsi="Arial" w:cs="Arial"/>
        </w:rPr>
        <w:t>ta</w:t>
      </w:r>
      <w:r w:rsidR="00E565CA" w:rsidRPr="00CA2663">
        <w:rPr>
          <w:rFonts w:ascii="Arial" w:eastAsia="MS Mincho" w:hAnsi="Arial" w:cs="Arial"/>
        </w:rPr>
        <w:t xml:space="preserve"> tudi Priloga 2 in Priloga 3 razpisa.</w:t>
      </w: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OBVEZNOSTI UPRAVIČENCA PO IZPLAČILU SREDSTEV</w:t>
      </w:r>
    </w:p>
    <w:p w:rsidR="00500BB6" w:rsidRPr="004E68F3" w:rsidRDefault="00500BB6" w:rsidP="00500BB6">
      <w:pPr>
        <w:rPr>
          <w:rFonts w:ascii="Arial" w:eastAsia="MS Mincho" w:hAnsi="Arial" w:cs="Arial"/>
          <w:b/>
        </w:rPr>
      </w:pPr>
      <w:r w:rsidRPr="004E68F3">
        <w:rPr>
          <w:rFonts w:ascii="Arial" w:eastAsia="MS Mincho" w:hAnsi="Arial" w:cs="Arial"/>
        </w:rPr>
        <w:t xml:space="preserve">Obveznosti upravičenca po izplačilu sredstev so določene v 16. členu uredbe. </w:t>
      </w: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IZVEDBA PREGLEDOV IN NEIZPOLNJEVANJE OBVEZNOSTI</w:t>
      </w:r>
    </w:p>
    <w:p w:rsidR="001E20CB" w:rsidRPr="004E68F3" w:rsidRDefault="00500BB6" w:rsidP="00500BB6">
      <w:p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Izvedba pregledov in določila, ki se nanašajo na neizpolnjevanje pogojev upravičenca so določeni v 17. členu uredbe. </w:t>
      </w:r>
    </w:p>
    <w:p w:rsidR="00500BB6" w:rsidRPr="004E68F3" w:rsidRDefault="00500BB6" w:rsidP="00500BB6">
      <w:pPr>
        <w:rPr>
          <w:rFonts w:ascii="Arial" w:hAnsi="Arial" w:cs="Arial"/>
        </w:rPr>
      </w:pPr>
    </w:p>
    <w:p w:rsidR="00704D97" w:rsidRPr="004C4DAF" w:rsidRDefault="00704D97" w:rsidP="00B457B4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C4DAF">
        <w:rPr>
          <w:rFonts w:ascii="Arial" w:hAnsi="Arial" w:cs="Arial"/>
        </w:rPr>
        <w:t>Irena Šinko</w:t>
      </w:r>
    </w:p>
    <w:p w:rsidR="00500BB6" w:rsidRPr="004E68F3" w:rsidRDefault="004C4DAF" w:rsidP="00B457B4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C4DAF">
        <w:rPr>
          <w:rFonts w:ascii="Arial" w:hAnsi="Arial" w:cs="Arial"/>
        </w:rPr>
        <w:t>ministrica</w:t>
      </w:r>
    </w:p>
    <w:p w:rsidR="006D61DB" w:rsidRPr="004E68F3" w:rsidRDefault="006D61DB" w:rsidP="006D61DB">
      <w:pPr>
        <w:spacing w:after="0" w:line="240" w:lineRule="auto"/>
        <w:ind w:left="708" w:firstLine="709"/>
        <w:jc w:val="center"/>
        <w:rPr>
          <w:rFonts w:ascii="Arial" w:hAnsi="Arial" w:cs="Arial"/>
        </w:rPr>
      </w:pPr>
    </w:p>
    <w:p w:rsidR="006D61DB" w:rsidRDefault="006D61DB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Pr="004E68F3" w:rsidRDefault="00060AF2" w:rsidP="006D61DB">
      <w:pPr>
        <w:spacing w:after="0" w:line="240" w:lineRule="auto"/>
        <w:rPr>
          <w:rFonts w:ascii="Arial" w:hAnsi="Arial" w:cs="Arial"/>
        </w:rPr>
      </w:pPr>
    </w:p>
    <w:p w:rsidR="004E68F3" w:rsidRDefault="004E68F3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Default="00060AF2" w:rsidP="006D61DB">
      <w:pPr>
        <w:spacing w:after="0" w:line="240" w:lineRule="auto"/>
        <w:rPr>
          <w:rFonts w:ascii="Arial" w:hAnsi="Arial" w:cs="Arial"/>
        </w:rPr>
      </w:pPr>
    </w:p>
    <w:p w:rsidR="00060AF2" w:rsidRPr="004E68F3" w:rsidRDefault="00060AF2" w:rsidP="006D61DB">
      <w:pPr>
        <w:spacing w:after="0" w:line="240" w:lineRule="auto"/>
        <w:rPr>
          <w:rFonts w:ascii="Arial" w:hAnsi="Arial" w:cs="Arial"/>
        </w:rPr>
      </w:pPr>
    </w:p>
    <w:p w:rsidR="00E565CA" w:rsidRPr="00E565CA" w:rsidRDefault="00E565CA" w:rsidP="00E565CA">
      <w:pPr>
        <w:spacing w:after="0" w:line="240" w:lineRule="auto"/>
        <w:rPr>
          <w:rFonts w:ascii="Arial" w:hAnsi="Arial" w:cs="Arial"/>
        </w:rPr>
      </w:pPr>
      <w:r w:rsidRPr="00E565CA">
        <w:rPr>
          <w:rFonts w:ascii="Arial" w:hAnsi="Arial" w:cs="Arial"/>
        </w:rPr>
        <w:t>-</w:t>
      </w:r>
      <w:r w:rsidRPr="00E565CA">
        <w:rPr>
          <w:rFonts w:ascii="Arial" w:hAnsi="Arial" w:cs="Arial"/>
        </w:rPr>
        <w:tab/>
        <w:t>Priloga 1: Specifikacija stroškov ob vlogi</w:t>
      </w:r>
      <w:r>
        <w:rPr>
          <w:rFonts w:ascii="Arial" w:hAnsi="Arial" w:cs="Arial"/>
        </w:rPr>
        <w:t xml:space="preserve"> – usposobitev zavodov</w:t>
      </w:r>
      <w:r w:rsidRPr="00E565CA">
        <w:rPr>
          <w:rFonts w:ascii="Arial" w:hAnsi="Arial" w:cs="Arial"/>
        </w:rPr>
        <w:t>;</w:t>
      </w:r>
    </w:p>
    <w:p w:rsidR="00E565CA" w:rsidRPr="00E565CA" w:rsidRDefault="00E565CA" w:rsidP="00E565CA">
      <w:pPr>
        <w:spacing w:after="0" w:line="240" w:lineRule="auto"/>
        <w:rPr>
          <w:rFonts w:ascii="Arial" w:hAnsi="Arial" w:cs="Arial"/>
        </w:rPr>
      </w:pPr>
      <w:r w:rsidRPr="00E565CA">
        <w:rPr>
          <w:rFonts w:ascii="Arial" w:hAnsi="Arial" w:cs="Arial"/>
        </w:rPr>
        <w:t>-</w:t>
      </w:r>
      <w:r w:rsidRPr="00E565CA">
        <w:rPr>
          <w:rFonts w:ascii="Arial" w:hAnsi="Arial" w:cs="Arial"/>
        </w:rPr>
        <w:tab/>
        <w:t>Priloga 2: Specifikacija stroškov ob zahtevku</w:t>
      </w:r>
      <w:r>
        <w:rPr>
          <w:rFonts w:ascii="Arial" w:hAnsi="Arial" w:cs="Arial"/>
        </w:rPr>
        <w:t xml:space="preserve"> – usposobitev zavodov</w:t>
      </w:r>
      <w:r w:rsidRPr="00E565CA">
        <w:rPr>
          <w:rFonts w:ascii="Arial" w:hAnsi="Arial" w:cs="Arial"/>
        </w:rPr>
        <w:t>;</w:t>
      </w:r>
    </w:p>
    <w:p w:rsidR="00E565CA" w:rsidRPr="00E565CA" w:rsidRDefault="00E565CA" w:rsidP="00E565CA">
      <w:pPr>
        <w:spacing w:after="0" w:line="240" w:lineRule="auto"/>
        <w:rPr>
          <w:rFonts w:ascii="Arial" w:hAnsi="Arial" w:cs="Arial"/>
        </w:rPr>
      </w:pPr>
      <w:r w:rsidRPr="00E565CA">
        <w:rPr>
          <w:rFonts w:ascii="Arial" w:hAnsi="Arial" w:cs="Arial"/>
        </w:rPr>
        <w:t>-</w:t>
      </w:r>
      <w:r w:rsidRPr="00E565CA">
        <w:rPr>
          <w:rFonts w:ascii="Arial" w:hAnsi="Arial" w:cs="Arial"/>
        </w:rPr>
        <w:tab/>
        <w:t>Priloga 3: Poročilo ob zaključku investicije</w:t>
      </w:r>
      <w:r>
        <w:rPr>
          <w:rFonts w:ascii="Arial" w:hAnsi="Arial" w:cs="Arial"/>
        </w:rPr>
        <w:t xml:space="preserve"> – usposobitev zavodov</w:t>
      </w:r>
      <w:r w:rsidRPr="00E565CA">
        <w:rPr>
          <w:rFonts w:ascii="Arial" w:hAnsi="Arial" w:cs="Arial"/>
        </w:rPr>
        <w:t>.</w:t>
      </w: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sectPr w:rsidR="0067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4C"/>
    <w:multiLevelType w:val="hybridMultilevel"/>
    <w:tmpl w:val="96781434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2BC"/>
    <w:multiLevelType w:val="hybridMultilevel"/>
    <w:tmpl w:val="8F28637A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1511"/>
    <w:multiLevelType w:val="hybridMultilevel"/>
    <w:tmpl w:val="AFA82C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4B51"/>
    <w:multiLevelType w:val="multilevel"/>
    <w:tmpl w:val="2F4CC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117EA3"/>
    <w:multiLevelType w:val="hybridMultilevel"/>
    <w:tmpl w:val="8B28FDC4"/>
    <w:lvl w:ilvl="0" w:tplc="98125F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42F0"/>
    <w:multiLevelType w:val="hybridMultilevel"/>
    <w:tmpl w:val="457E6A06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54A6"/>
    <w:multiLevelType w:val="hybridMultilevel"/>
    <w:tmpl w:val="9356D9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D6360"/>
    <w:multiLevelType w:val="multilevel"/>
    <w:tmpl w:val="28F6E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2477A0"/>
    <w:multiLevelType w:val="hybridMultilevel"/>
    <w:tmpl w:val="05C47F92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295C"/>
    <w:multiLevelType w:val="hybridMultilevel"/>
    <w:tmpl w:val="DC5A0C8E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23EF"/>
    <w:multiLevelType w:val="hybridMultilevel"/>
    <w:tmpl w:val="83F6F3A0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4"/>
    <w:rsid w:val="00060AF2"/>
    <w:rsid w:val="000622C5"/>
    <w:rsid w:val="00065DB6"/>
    <w:rsid w:val="000F57CF"/>
    <w:rsid w:val="00175E4C"/>
    <w:rsid w:val="001E20CB"/>
    <w:rsid w:val="002342B8"/>
    <w:rsid w:val="002721C3"/>
    <w:rsid w:val="00292B21"/>
    <w:rsid w:val="00324250"/>
    <w:rsid w:val="003E51A3"/>
    <w:rsid w:val="004C4DAF"/>
    <w:rsid w:val="004E68F3"/>
    <w:rsid w:val="00500BB6"/>
    <w:rsid w:val="00534BE6"/>
    <w:rsid w:val="00593861"/>
    <w:rsid w:val="005E24E9"/>
    <w:rsid w:val="006017A4"/>
    <w:rsid w:val="00614B95"/>
    <w:rsid w:val="006446D5"/>
    <w:rsid w:val="00671881"/>
    <w:rsid w:val="00674D1B"/>
    <w:rsid w:val="00677319"/>
    <w:rsid w:val="00696A34"/>
    <w:rsid w:val="006A1B3B"/>
    <w:rsid w:val="006D1F1E"/>
    <w:rsid w:val="006D61DB"/>
    <w:rsid w:val="006E119A"/>
    <w:rsid w:val="00704D97"/>
    <w:rsid w:val="0072632A"/>
    <w:rsid w:val="00755CD6"/>
    <w:rsid w:val="00755E64"/>
    <w:rsid w:val="00755F3C"/>
    <w:rsid w:val="007646A3"/>
    <w:rsid w:val="00767BDB"/>
    <w:rsid w:val="00780098"/>
    <w:rsid w:val="00790F8A"/>
    <w:rsid w:val="007A4B23"/>
    <w:rsid w:val="007C0CAC"/>
    <w:rsid w:val="007D21C3"/>
    <w:rsid w:val="00843062"/>
    <w:rsid w:val="0087485F"/>
    <w:rsid w:val="008E3129"/>
    <w:rsid w:val="00901937"/>
    <w:rsid w:val="00964639"/>
    <w:rsid w:val="00966BF8"/>
    <w:rsid w:val="00983376"/>
    <w:rsid w:val="009B5FD3"/>
    <w:rsid w:val="00A50F10"/>
    <w:rsid w:val="00A63673"/>
    <w:rsid w:val="00B161BA"/>
    <w:rsid w:val="00B457B4"/>
    <w:rsid w:val="00B72987"/>
    <w:rsid w:val="00BD11EE"/>
    <w:rsid w:val="00C104C8"/>
    <w:rsid w:val="00C570AA"/>
    <w:rsid w:val="00CA2663"/>
    <w:rsid w:val="00CF0518"/>
    <w:rsid w:val="00D374D1"/>
    <w:rsid w:val="00D64AEC"/>
    <w:rsid w:val="00DA12EA"/>
    <w:rsid w:val="00E521D7"/>
    <w:rsid w:val="00E565CA"/>
    <w:rsid w:val="00E64F89"/>
    <w:rsid w:val="00F1162A"/>
    <w:rsid w:val="00F3233B"/>
    <w:rsid w:val="00F45B80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B2D-3D84-4F51-91C1-8AD7F4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2C5"/>
  </w:style>
  <w:style w:type="paragraph" w:styleId="Naslov1">
    <w:name w:val="heading 1"/>
    <w:basedOn w:val="Navaden"/>
    <w:next w:val="Navaden"/>
    <w:link w:val="Naslov1Znak"/>
    <w:uiPriority w:val="9"/>
    <w:qFormat/>
    <w:rsid w:val="000622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22C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22C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22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22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22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22C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22C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22C5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3673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1E20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E20C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622C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2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22C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22C5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2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22C5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22C5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22C5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622C5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622C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0622C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22C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622C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0622C5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0622C5"/>
    <w:rPr>
      <w:i/>
      <w:iCs/>
      <w:color w:val="auto"/>
    </w:rPr>
  </w:style>
  <w:style w:type="paragraph" w:styleId="Brezrazmikov">
    <w:name w:val="No Spacing"/>
    <w:uiPriority w:val="1"/>
    <w:qFormat/>
    <w:rsid w:val="000622C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622C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22C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22C5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0622C5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0622C5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0622C5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0622C5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0622C5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622C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84306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r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23</cp:revision>
  <dcterms:created xsi:type="dcterms:W3CDTF">2022-02-22T12:38:00Z</dcterms:created>
  <dcterms:modified xsi:type="dcterms:W3CDTF">2023-04-12T10:20:00Z</dcterms:modified>
</cp:coreProperties>
</file>