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8908" w14:textId="2E187997" w:rsidR="00206175" w:rsidRPr="000F7CC6" w:rsidRDefault="009D74EA" w:rsidP="00AA5F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A47A0">
        <w:rPr>
          <w:rFonts w:ascii="Arial" w:hAnsi="Arial" w:cs="Arial"/>
          <w:sz w:val="20"/>
          <w:szCs w:val="20"/>
        </w:rPr>
        <w:t>Ministrstvo za kmetijstvo, gozdarstvo in prehrano Republike Slovenije, Dunajska 22, 1000 Ljubljana, na podlagi</w:t>
      </w:r>
      <w:r w:rsidR="00CC1181" w:rsidRPr="00FA47A0">
        <w:rPr>
          <w:rFonts w:ascii="Arial" w:hAnsi="Arial" w:cs="Arial"/>
          <w:sz w:val="20"/>
          <w:szCs w:val="20"/>
        </w:rPr>
        <w:t xml:space="preserve"> </w:t>
      </w:r>
      <w:r w:rsidR="004156AB" w:rsidRPr="00FA47A0">
        <w:rPr>
          <w:rFonts w:ascii="Arial" w:hAnsi="Arial" w:cs="Arial"/>
          <w:sz w:val="20"/>
          <w:szCs w:val="20"/>
        </w:rPr>
        <w:t xml:space="preserve">91. člena </w:t>
      </w:r>
      <w:r w:rsidR="00206175" w:rsidRPr="000F7CC6">
        <w:rPr>
          <w:rFonts w:ascii="Arial" w:hAnsi="Arial" w:cs="Arial"/>
          <w:color w:val="000000"/>
          <w:sz w:val="20"/>
          <w:szCs w:val="20"/>
        </w:rPr>
        <w:t>Uredbe o izvajanju ukrepa naložbe v osnovna sredstva ter podukrepa podpora za naložbe v gozdarske tehnologije ter predelavo, mobilizacijo in trženje gozdarskih proizvodov iz Programa razvoja podeželja Republike Slovenije za obdobje 2014-2020 (</w:t>
      </w:r>
      <w:r w:rsidR="000570DA" w:rsidRPr="000F7CC6">
        <w:rPr>
          <w:rFonts w:ascii="Arial" w:hAnsi="Arial" w:cs="Arial"/>
          <w:color w:val="000000"/>
          <w:sz w:val="20"/>
          <w:szCs w:val="20"/>
        </w:rPr>
        <w:t xml:space="preserve">Uradni list RS, št. 104/15, 32/16, 66/16, 14/17, 38/17, 40/17 – popr., 19/18, 82/18, 89/20 in 152/20; </w:t>
      </w:r>
      <w:r w:rsidR="00206175" w:rsidRPr="000F7CC6">
        <w:rPr>
          <w:rFonts w:ascii="Arial" w:hAnsi="Arial" w:cs="Arial"/>
          <w:color w:val="000000"/>
          <w:sz w:val="20"/>
          <w:szCs w:val="20"/>
        </w:rPr>
        <w:t>v nadaljnjem besedilu: Uredba)</w:t>
      </w:r>
      <w:r w:rsidR="004156AB" w:rsidRPr="000F7CC6">
        <w:rPr>
          <w:rFonts w:ascii="Arial" w:hAnsi="Arial" w:cs="Arial"/>
          <w:color w:val="000000"/>
          <w:sz w:val="20"/>
          <w:szCs w:val="20"/>
        </w:rPr>
        <w:t>, objavlja</w:t>
      </w:r>
    </w:p>
    <w:p w14:paraId="09FB99FE" w14:textId="77777777" w:rsidR="009D74EA" w:rsidRPr="00124FF3" w:rsidRDefault="009D74EA" w:rsidP="009D74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CD7DC7" w14:textId="42A7A8E0" w:rsidR="009D74EA" w:rsidRDefault="000570DA" w:rsidP="009D74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206175" w:rsidRPr="004929F7">
        <w:rPr>
          <w:rFonts w:ascii="Arial" w:hAnsi="Arial" w:cs="Arial"/>
          <w:sz w:val="28"/>
        </w:rPr>
        <w:t xml:space="preserve">. </w:t>
      </w:r>
      <w:r w:rsidR="00D31ED0" w:rsidRPr="004929F7">
        <w:rPr>
          <w:rFonts w:ascii="Arial" w:hAnsi="Arial" w:cs="Arial"/>
          <w:sz w:val="28"/>
        </w:rPr>
        <w:t>JAVNI RAZPIS ZA PODUKREP 4.3</w:t>
      </w:r>
      <w:r w:rsidR="004156AB" w:rsidRPr="004929F7">
        <w:rPr>
          <w:rFonts w:ascii="Arial" w:hAnsi="Arial" w:cs="Arial"/>
          <w:sz w:val="28"/>
        </w:rPr>
        <w:t>:</w:t>
      </w:r>
      <w:r w:rsidR="004156AB">
        <w:rPr>
          <w:rFonts w:ascii="Arial" w:hAnsi="Arial" w:cs="Arial"/>
          <w:b/>
        </w:rPr>
        <w:t xml:space="preserve"> </w:t>
      </w:r>
      <w:r w:rsidR="009D74EA" w:rsidRPr="00D31ED0">
        <w:rPr>
          <w:rFonts w:ascii="Arial" w:hAnsi="Arial" w:cs="Arial"/>
          <w:sz w:val="28"/>
        </w:rPr>
        <w:t xml:space="preserve">Podpora za naložbe </w:t>
      </w:r>
      <w:r w:rsidR="00D31ED0" w:rsidRPr="00D31ED0">
        <w:rPr>
          <w:rFonts w:ascii="Arial" w:hAnsi="Arial" w:cs="Arial"/>
          <w:sz w:val="28"/>
        </w:rPr>
        <w:t>v infrastrukturo, povezano z razvojem, posodabljanjem ali prilagoditvijo kmetijstva in gozdarstva</w:t>
      </w:r>
      <w:r w:rsidR="009D74EA" w:rsidRPr="00D31ED0">
        <w:rPr>
          <w:rFonts w:ascii="Arial" w:hAnsi="Arial" w:cs="Arial"/>
          <w:sz w:val="28"/>
        </w:rPr>
        <w:t xml:space="preserve">  </w:t>
      </w:r>
    </w:p>
    <w:p w14:paraId="76148DF5" w14:textId="77777777" w:rsidR="00D31ED0" w:rsidRPr="000E5255" w:rsidRDefault="00D31ED0" w:rsidP="00D31ED0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OPERACIJA: Izvedba agromelioracij na komasacijskih območjih</w:t>
      </w:r>
    </w:p>
    <w:p w14:paraId="1E386F5A" w14:textId="77777777" w:rsidR="00D31ED0" w:rsidRPr="00D31ED0" w:rsidRDefault="00D31ED0" w:rsidP="009D74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8"/>
        </w:rPr>
      </w:pPr>
    </w:p>
    <w:p w14:paraId="035F11C4" w14:textId="77777777" w:rsidR="009D74EA" w:rsidRPr="00124FF3" w:rsidRDefault="009D74EA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2"/>
          <w:lang w:val="sl-SI"/>
        </w:rPr>
      </w:pPr>
    </w:p>
    <w:p w14:paraId="713930D7" w14:textId="77777777" w:rsidR="009D74EA" w:rsidRPr="00124FF3" w:rsidRDefault="009D74EA" w:rsidP="003839E6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>1</w:t>
      </w:r>
      <w:r w:rsidR="001D748E" w:rsidRPr="00124FF3">
        <w:rPr>
          <w:rFonts w:ascii="Arial" w:hAnsi="Arial" w:cs="Arial"/>
          <w:b/>
        </w:rPr>
        <w:t>.</w:t>
      </w:r>
      <w:r w:rsidRPr="00124FF3">
        <w:rPr>
          <w:rFonts w:ascii="Arial" w:hAnsi="Arial" w:cs="Arial"/>
          <w:b/>
        </w:rPr>
        <w:t xml:space="preserve"> OSNOVNI PODATKI O JAVNEM RAZPISU</w:t>
      </w:r>
    </w:p>
    <w:p w14:paraId="3A13A17D" w14:textId="77777777" w:rsidR="009D74EA" w:rsidRPr="00124FF3" w:rsidRDefault="009D74EA" w:rsidP="009D74EA">
      <w:pPr>
        <w:jc w:val="both"/>
        <w:outlineLvl w:val="0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76"/>
        <w:gridCol w:w="6278"/>
      </w:tblGrid>
      <w:tr w:rsidR="009D74EA" w:rsidRPr="00124FF3" w14:paraId="1509BAB2" w14:textId="77777777" w:rsidTr="00FA47A0">
        <w:trPr>
          <w:trHeight w:val="672"/>
        </w:trPr>
        <w:tc>
          <w:tcPr>
            <w:tcW w:w="2676" w:type="dxa"/>
            <w:shd w:val="clear" w:color="auto" w:fill="F2F2F2"/>
            <w:vAlign w:val="center"/>
          </w:tcPr>
          <w:p w14:paraId="1E271C24" w14:textId="77777777" w:rsidR="009D74EA" w:rsidRPr="00124FF3" w:rsidRDefault="009D74EA" w:rsidP="00E02D08">
            <w:pPr>
              <w:rPr>
                <w:rFonts w:ascii="Arial" w:hAnsi="Arial" w:cs="Arial"/>
                <w:b/>
              </w:rPr>
            </w:pPr>
            <w:r w:rsidRPr="00124FF3">
              <w:rPr>
                <w:rFonts w:ascii="Arial" w:hAnsi="Arial" w:cs="Arial"/>
                <w:b/>
              </w:rPr>
              <w:t>Predmet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D6F61D9" w14:textId="442C3A50" w:rsidR="009D74EA" w:rsidRPr="00FD5741" w:rsidRDefault="00EC58C4" w:rsidP="00EC5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161C">
              <w:rPr>
                <w:rFonts w:ascii="Arial" w:hAnsi="Arial" w:cs="Arial"/>
                <w:sz w:val="20"/>
                <w:szCs w:val="20"/>
              </w:rPr>
              <w:t xml:space="preserve">redmet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D161C">
              <w:rPr>
                <w:rFonts w:ascii="Arial" w:hAnsi="Arial" w:cs="Arial"/>
                <w:sz w:val="20"/>
                <w:szCs w:val="20"/>
              </w:rPr>
              <w:t>avnega razpisa</w:t>
            </w:r>
            <w:r>
              <w:rPr>
                <w:rFonts w:ascii="Arial" w:hAnsi="Arial" w:cs="Arial"/>
                <w:sz w:val="20"/>
                <w:szCs w:val="20"/>
              </w:rPr>
              <w:t xml:space="preserve"> je podpora za</w:t>
            </w:r>
            <w:r w:rsidR="00ED161C">
              <w:rPr>
                <w:rFonts w:ascii="Arial" w:hAnsi="Arial" w:cs="Arial"/>
                <w:sz w:val="20"/>
                <w:szCs w:val="20"/>
              </w:rPr>
              <w:t xml:space="preserve"> naložbe </w:t>
            </w:r>
            <w:r>
              <w:rPr>
                <w:rFonts w:ascii="Arial" w:hAnsi="Arial" w:cs="Arial"/>
                <w:sz w:val="20"/>
                <w:szCs w:val="20"/>
              </w:rPr>
              <w:t>v izvedbo agromelioracij na komasacijskih območjih</w:t>
            </w:r>
            <w:r w:rsidR="00470E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124FF3" w14:paraId="20C2BC1A" w14:textId="77777777" w:rsidTr="00FA47A0">
        <w:trPr>
          <w:cantSplit/>
          <w:trHeight w:val="94"/>
        </w:trPr>
        <w:tc>
          <w:tcPr>
            <w:tcW w:w="2676" w:type="dxa"/>
            <w:vMerge w:val="restart"/>
            <w:shd w:val="clear" w:color="auto" w:fill="F2F2F2"/>
            <w:vAlign w:val="center"/>
          </w:tcPr>
          <w:p w14:paraId="314BF19E" w14:textId="3BED23AA" w:rsidR="009D74EA" w:rsidRPr="00124FF3" w:rsidRDefault="009D74EA" w:rsidP="00E02D08">
            <w:pPr>
              <w:rPr>
                <w:rFonts w:ascii="Arial" w:hAnsi="Arial" w:cs="Arial"/>
                <w:b/>
              </w:rPr>
            </w:pPr>
            <w:r w:rsidRPr="00124FF3">
              <w:rPr>
                <w:rFonts w:ascii="Arial" w:hAnsi="Arial" w:cs="Arial"/>
                <w:b/>
              </w:rPr>
              <w:t>Razpisana sredstva:</w:t>
            </w:r>
          </w:p>
          <w:p w14:paraId="498101A8" w14:textId="77777777" w:rsidR="009D74EA" w:rsidRPr="00124FF3" w:rsidRDefault="009D74EA" w:rsidP="00E02D08">
            <w:pPr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3E641692" w14:textId="6621E607" w:rsidR="009D74EA" w:rsidRPr="00113E00" w:rsidRDefault="006F35C4" w:rsidP="00875B28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sl-SI"/>
              </w:rPr>
              <w:t>V</w:t>
            </w:r>
            <w:r w:rsidR="009D74EA" w:rsidRPr="00113E00">
              <w:rPr>
                <w:rFonts w:ascii="Arial" w:hAnsi="Arial" w:cs="Arial"/>
                <w:sz w:val="20"/>
                <w:lang w:val="sl-SI"/>
              </w:rPr>
              <w:t xml:space="preserve">išina razpisanih nepovratnih sredstev znaša do </w:t>
            </w:r>
            <w:r w:rsidR="009D74EA" w:rsidRPr="00C50D7A">
              <w:rPr>
                <w:rFonts w:ascii="Arial" w:hAnsi="Arial" w:cs="Arial"/>
                <w:sz w:val="20"/>
                <w:lang w:val="sl-SI"/>
              </w:rPr>
              <w:t xml:space="preserve">vključno </w:t>
            </w:r>
            <w:r w:rsidR="00875B28">
              <w:rPr>
                <w:rFonts w:ascii="Arial" w:hAnsi="Arial" w:cs="Arial"/>
                <w:sz w:val="20"/>
                <w:lang w:val="sl-SI"/>
              </w:rPr>
              <w:t>1</w:t>
            </w:r>
            <w:r w:rsidR="009D74EA" w:rsidRPr="004929F7">
              <w:rPr>
                <w:rFonts w:ascii="Arial" w:hAnsi="Arial" w:cs="Arial"/>
                <w:sz w:val="20"/>
                <w:lang w:val="sl-SI"/>
              </w:rPr>
              <w:t>.</w:t>
            </w:r>
            <w:r w:rsidR="00875B28">
              <w:rPr>
                <w:rFonts w:ascii="Arial" w:hAnsi="Arial" w:cs="Arial"/>
                <w:sz w:val="20"/>
                <w:lang w:val="sl-SI"/>
              </w:rPr>
              <w:t>7</w:t>
            </w:r>
            <w:r w:rsidR="009D74EA" w:rsidRPr="004929F7">
              <w:rPr>
                <w:rFonts w:ascii="Arial" w:hAnsi="Arial" w:cs="Arial"/>
                <w:sz w:val="20"/>
                <w:lang w:val="sl-SI"/>
              </w:rPr>
              <w:t>00.000</w:t>
            </w:r>
            <w:r w:rsidR="009D74EA" w:rsidRPr="00ED161C">
              <w:rPr>
                <w:rFonts w:ascii="Arial" w:hAnsi="Arial" w:cs="Arial"/>
                <w:sz w:val="20"/>
                <w:lang w:val="sl-SI"/>
              </w:rPr>
              <w:t xml:space="preserve"> EUR. </w:t>
            </w:r>
          </w:p>
        </w:tc>
      </w:tr>
      <w:tr w:rsidR="009D74EA" w:rsidRPr="00124FF3" w14:paraId="361BB26E" w14:textId="77777777" w:rsidTr="00FA47A0">
        <w:trPr>
          <w:cantSplit/>
          <w:trHeight w:val="1557"/>
        </w:trPr>
        <w:tc>
          <w:tcPr>
            <w:tcW w:w="2676" w:type="dxa"/>
            <w:vMerge/>
            <w:shd w:val="clear" w:color="auto" w:fill="F2F2F2"/>
            <w:vAlign w:val="center"/>
          </w:tcPr>
          <w:p w14:paraId="69B6FBD9" w14:textId="77777777" w:rsidR="009D74EA" w:rsidRPr="00124FF3" w:rsidRDefault="009D74EA" w:rsidP="00E02D08">
            <w:pPr>
              <w:rPr>
                <w:rFonts w:ascii="Arial" w:hAnsi="Arial" w:cs="Arial"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2BE89BD6" w14:textId="1FD158BD" w:rsidR="009D74EA" w:rsidRPr="00124FF3" w:rsidRDefault="009D74EA" w:rsidP="00E02D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F3">
              <w:rPr>
                <w:rFonts w:ascii="Arial" w:hAnsi="Arial" w:cs="Arial"/>
                <w:sz w:val="20"/>
                <w:szCs w:val="20"/>
              </w:rPr>
              <w:t xml:space="preserve">Sredstva se zagotavljajo iz proračunskih postavk </w:t>
            </w:r>
            <w:r w:rsidR="00DF4444" w:rsidRPr="00124FF3">
              <w:rPr>
                <w:rFonts w:ascii="Arial" w:hAnsi="Arial" w:cs="Arial"/>
                <w:sz w:val="20"/>
                <w:szCs w:val="20"/>
              </w:rPr>
              <w:t>MKGP</w:t>
            </w:r>
            <w:r w:rsidRPr="00124FF3">
              <w:rPr>
                <w:rFonts w:ascii="Arial" w:hAnsi="Arial" w:cs="Arial"/>
                <w:sz w:val="20"/>
                <w:szCs w:val="20"/>
              </w:rPr>
              <w:t xml:space="preserve">, in sicer: </w:t>
            </w:r>
          </w:p>
          <w:p w14:paraId="15AF18B7" w14:textId="490895A0" w:rsidR="009D74EA" w:rsidRPr="00AB1701" w:rsidRDefault="00924B76" w:rsidP="00E02D08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9F7">
              <w:rPr>
                <w:rFonts w:ascii="Arial" w:hAnsi="Arial" w:cs="Arial"/>
                <w:sz w:val="20"/>
                <w:szCs w:val="20"/>
              </w:rPr>
              <w:t>1</w:t>
            </w:r>
            <w:r w:rsidR="009D74EA" w:rsidRPr="004929F7">
              <w:rPr>
                <w:rFonts w:ascii="Arial" w:hAnsi="Arial" w:cs="Arial"/>
                <w:sz w:val="20"/>
                <w:szCs w:val="20"/>
              </w:rPr>
              <w:t>.</w:t>
            </w:r>
            <w:r w:rsidR="00875B28">
              <w:rPr>
                <w:rFonts w:ascii="Arial" w:hAnsi="Arial" w:cs="Arial"/>
                <w:sz w:val="20"/>
                <w:szCs w:val="20"/>
              </w:rPr>
              <w:t>275</w:t>
            </w:r>
            <w:r w:rsidR="009D74EA" w:rsidRPr="004929F7">
              <w:rPr>
                <w:rFonts w:ascii="Arial" w:hAnsi="Arial" w:cs="Arial"/>
                <w:sz w:val="20"/>
                <w:szCs w:val="20"/>
              </w:rPr>
              <w:t>.000</w:t>
            </w:r>
            <w:r w:rsidR="009D74EA" w:rsidRPr="00C50D7A">
              <w:rPr>
                <w:rFonts w:ascii="Arial" w:hAnsi="Arial" w:cs="Arial"/>
                <w:sz w:val="20"/>
                <w:szCs w:val="20"/>
              </w:rPr>
              <w:t xml:space="preserve"> EUR iz proračunske postavke 140021 Program razvoja podeželja 2014–2020 – EU</w:t>
            </w:r>
            <w:r w:rsidR="00AB17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53F241" w14:textId="47499EB5" w:rsidR="009D74EA" w:rsidRPr="00124FF3" w:rsidRDefault="00875B28" w:rsidP="00E02D08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  <w:r w:rsidR="009D74EA" w:rsidRPr="004929F7">
              <w:rPr>
                <w:rFonts w:ascii="Arial" w:hAnsi="Arial" w:cs="Arial"/>
                <w:sz w:val="20"/>
                <w:szCs w:val="20"/>
              </w:rPr>
              <w:t>.000</w:t>
            </w:r>
            <w:r w:rsidR="009D74EA" w:rsidRPr="00C50D7A">
              <w:rPr>
                <w:rFonts w:ascii="Arial" w:hAnsi="Arial" w:cs="Arial"/>
                <w:sz w:val="20"/>
                <w:szCs w:val="20"/>
              </w:rPr>
              <w:t xml:space="preserve"> EUR</w:t>
            </w:r>
            <w:r w:rsidR="009D74EA" w:rsidRPr="00124FF3">
              <w:rPr>
                <w:rFonts w:ascii="Arial" w:hAnsi="Arial" w:cs="Arial"/>
                <w:sz w:val="20"/>
                <w:szCs w:val="20"/>
              </w:rPr>
              <w:t xml:space="preserve"> iz proračunske postavke 140022 Program razvoja podeželja 2014–2020</w:t>
            </w:r>
            <w:r w:rsidR="00E810B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D74EA" w:rsidRPr="00124FF3">
              <w:rPr>
                <w:rFonts w:ascii="Arial" w:hAnsi="Arial" w:cs="Arial"/>
                <w:sz w:val="20"/>
                <w:szCs w:val="20"/>
              </w:rPr>
              <w:t xml:space="preserve">slovenska udeležba. </w:t>
            </w:r>
          </w:p>
          <w:p w14:paraId="24819649" w14:textId="77777777" w:rsidR="009D74EA" w:rsidRPr="00124FF3" w:rsidRDefault="009D74EA" w:rsidP="00E02D08">
            <w:pPr>
              <w:autoSpaceDE w:val="0"/>
              <w:autoSpaceDN w:val="0"/>
              <w:adjustRightInd w:val="0"/>
              <w:ind w:left="312"/>
              <w:jc w:val="both"/>
              <w:rPr>
                <w:rFonts w:ascii="Arial" w:hAnsi="Arial" w:cs="Arial"/>
                <w:sz w:val="20"/>
              </w:rPr>
            </w:pPr>
          </w:p>
          <w:p w14:paraId="1A6F2CF0" w14:textId="6CF0FCF6" w:rsidR="009D74EA" w:rsidRPr="00124FF3" w:rsidRDefault="009D74EA" w:rsidP="002D024D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24FF3">
              <w:rPr>
                <w:rFonts w:ascii="Arial" w:hAnsi="Arial" w:cs="Arial"/>
                <w:sz w:val="20"/>
              </w:rPr>
              <w:t xml:space="preserve">Delež </w:t>
            </w:r>
            <w:r w:rsidR="009D6703">
              <w:rPr>
                <w:rFonts w:ascii="Arial" w:hAnsi="Arial" w:cs="Arial"/>
                <w:sz w:val="20"/>
              </w:rPr>
              <w:t xml:space="preserve">sredstev iz </w:t>
            </w:r>
            <w:r w:rsidRPr="00124FF3">
              <w:rPr>
                <w:rFonts w:ascii="Arial" w:hAnsi="Arial" w:cs="Arial"/>
                <w:sz w:val="20"/>
              </w:rPr>
              <w:t>Evropskega kmetijskega sklada za razvoj podeželja znaša 75</w:t>
            </w:r>
            <w:r w:rsidR="00C17260" w:rsidRPr="00124FF3">
              <w:rPr>
                <w:rFonts w:ascii="Arial" w:hAnsi="Arial" w:cs="Arial"/>
                <w:sz w:val="20"/>
              </w:rPr>
              <w:t xml:space="preserve"> </w:t>
            </w:r>
            <w:r w:rsidRPr="00124FF3">
              <w:rPr>
                <w:rFonts w:ascii="Arial" w:hAnsi="Arial" w:cs="Arial"/>
                <w:sz w:val="20"/>
              </w:rPr>
              <w:t>%, delež</w:t>
            </w:r>
            <w:r w:rsidR="009D6703">
              <w:rPr>
                <w:rFonts w:ascii="Arial" w:hAnsi="Arial" w:cs="Arial"/>
                <w:sz w:val="20"/>
              </w:rPr>
              <w:t xml:space="preserve"> sredstev</w:t>
            </w:r>
            <w:r w:rsidRPr="00124FF3">
              <w:rPr>
                <w:rFonts w:ascii="Arial" w:hAnsi="Arial" w:cs="Arial"/>
                <w:sz w:val="20"/>
              </w:rPr>
              <w:t xml:space="preserve"> </w:t>
            </w:r>
            <w:r w:rsidR="00ED161C">
              <w:rPr>
                <w:rFonts w:ascii="Arial" w:hAnsi="Arial" w:cs="Arial"/>
                <w:sz w:val="20"/>
              </w:rPr>
              <w:t xml:space="preserve">iz </w:t>
            </w:r>
            <w:r w:rsidR="00113E00">
              <w:rPr>
                <w:rFonts w:ascii="Arial" w:hAnsi="Arial" w:cs="Arial"/>
                <w:sz w:val="20"/>
              </w:rPr>
              <w:t xml:space="preserve">proračuna </w:t>
            </w:r>
            <w:r w:rsidRPr="00124FF3">
              <w:rPr>
                <w:rFonts w:ascii="Arial" w:hAnsi="Arial" w:cs="Arial"/>
                <w:sz w:val="20"/>
              </w:rPr>
              <w:t>Republike Slovenije</w:t>
            </w:r>
            <w:r w:rsidR="00973AD5">
              <w:rPr>
                <w:rFonts w:ascii="Arial" w:hAnsi="Arial" w:cs="Arial"/>
                <w:sz w:val="20"/>
              </w:rPr>
              <w:t xml:space="preserve"> pa</w:t>
            </w:r>
            <w:r w:rsidRPr="00124FF3">
              <w:rPr>
                <w:rFonts w:ascii="Arial" w:hAnsi="Arial" w:cs="Arial"/>
                <w:sz w:val="20"/>
              </w:rPr>
              <w:t xml:space="preserve"> 25 %.</w:t>
            </w:r>
          </w:p>
        </w:tc>
      </w:tr>
      <w:tr w:rsidR="009D74EA" w:rsidRPr="00124FF3" w14:paraId="5AD77CC1" w14:textId="77777777" w:rsidTr="00FA47A0">
        <w:trPr>
          <w:trHeight w:val="445"/>
        </w:trPr>
        <w:tc>
          <w:tcPr>
            <w:tcW w:w="2676" w:type="dxa"/>
            <w:shd w:val="clear" w:color="auto" w:fill="F2F2F2"/>
            <w:vAlign w:val="center"/>
          </w:tcPr>
          <w:p w14:paraId="5F98E520" w14:textId="4031104D" w:rsidR="009D74EA" w:rsidRPr="00124FF3" w:rsidRDefault="009D74EA" w:rsidP="00E02D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24FF3">
              <w:rPr>
                <w:rFonts w:ascii="Arial" w:hAnsi="Arial" w:cs="Arial"/>
                <w:b/>
              </w:rPr>
              <w:t>Vrsta javnega razpisa</w:t>
            </w:r>
            <w:r w:rsidR="006F35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079ADB30" w14:textId="77777777" w:rsidR="009D74EA" w:rsidRPr="00124FF3" w:rsidRDefault="009D74EA" w:rsidP="002F5523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 w:rsidRPr="00124FF3">
              <w:rPr>
                <w:rFonts w:ascii="Arial" w:hAnsi="Arial" w:cs="Arial"/>
                <w:sz w:val="20"/>
              </w:rPr>
              <w:t xml:space="preserve">ZAPRTI                                              </w:t>
            </w:r>
          </w:p>
        </w:tc>
      </w:tr>
      <w:tr w:rsidR="00BD53DC" w:rsidRPr="00124FF3" w14:paraId="3085AB63" w14:textId="77777777" w:rsidTr="00FA47A0">
        <w:trPr>
          <w:trHeight w:val="744"/>
        </w:trPr>
        <w:tc>
          <w:tcPr>
            <w:tcW w:w="2676" w:type="dxa"/>
            <w:shd w:val="clear" w:color="auto" w:fill="F2F2F2"/>
            <w:vAlign w:val="center"/>
          </w:tcPr>
          <w:p w14:paraId="5233FF1D" w14:textId="1BBEA3F3" w:rsidR="00BD53DC" w:rsidRPr="000F7CC6" w:rsidRDefault="00BD53DC" w:rsidP="00CA0C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F7CC6">
              <w:rPr>
                <w:rFonts w:ascii="Arial" w:hAnsi="Arial" w:cs="Arial"/>
                <w:b/>
              </w:rPr>
              <w:t>Vloga na javni razpis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2FCEEDCD" w14:textId="440BC9CE" w:rsidR="00BD53DC" w:rsidRPr="000F7CC6" w:rsidRDefault="00BD53DC" w:rsidP="00E81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CC6">
              <w:rPr>
                <w:rFonts w:ascii="Arial" w:hAnsi="Arial" w:cs="Arial"/>
                <w:sz w:val="20"/>
                <w:szCs w:val="20"/>
              </w:rPr>
              <w:t>Vlogo na javni razpis se vloži v skladu z 92. členom Uredbe.</w:t>
            </w:r>
          </w:p>
        </w:tc>
      </w:tr>
      <w:tr w:rsidR="009D74EA" w:rsidRPr="00124FF3" w14:paraId="75FC4718" w14:textId="77777777" w:rsidTr="00FA47A0">
        <w:trPr>
          <w:trHeight w:val="744"/>
        </w:trPr>
        <w:tc>
          <w:tcPr>
            <w:tcW w:w="2676" w:type="dxa"/>
            <w:shd w:val="clear" w:color="auto" w:fill="F2F2F2"/>
            <w:vAlign w:val="center"/>
          </w:tcPr>
          <w:p w14:paraId="17D9DA6C" w14:textId="72C354D5" w:rsidR="009D74EA" w:rsidRPr="00124FF3" w:rsidRDefault="009D74EA" w:rsidP="00CA0C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24FF3">
              <w:rPr>
                <w:rFonts w:ascii="Arial" w:hAnsi="Arial" w:cs="Arial"/>
                <w:b/>
              </w:rPr>
              <w:t xml:space="preserve">Začetek vnosa vlog in zaključek javnega razpisa: 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00263A55" w14:textId="3AB51BA7" w:rsidR="00E810BB" w:rsidRDefault="00E810BB" w:rsidP="00E81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Javni razpis za operacijo Izvedba agromelioracij na komasacijskih območjih (v nadaljnjem besedilu: javni razpis) velja od naslednjega dne po objavi v Uradnem listu Republike Slovenije.</w:t>
            </w:r>
          </w:p>
          <w:p w14:paraId="1B9D20B4" w14:textId="71DABC47" w:rsidR="009D74EA" w:rsidRPr="00124FF3" w:rsidRDefault="009D74EA" w:rsidP="003E3E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F3">
              <w:rPr>
                <w:rFonts w:ascii="Arial" w:hAnsi="Arial" w:cs="Arial"/>
                <w:sz w:val="20"/>
                <w:szCs w:val="20"/>
              </w:rPr>
              <w:t xml:space="preserve">Vnos vloge v elektronski sistem </w:t>
            </w:r>
            <w:bookmarkStart w:id="0" w:name="_GoBack"/>
            <w:bookmarkEnd w:id="0"/>
            <w:r w:rsidRPr="00124FF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FE362E" w:rsidRPr="00124FF3">
              <w:rPr>
                <w:rFonts w:ascii="Arial" w:hAnsi="Arial" w:cs="Arial"/>
                <w:sz w:val="20"/>
                <w:szCs w:val="20"/>
              </w:rPr>
              <w:t xml:space="preserve">vložitev </w:t>
            </w:r>
            <w:r w:rsidRPr="00124FF3">
              <w:rPr>
                <w:rFonts w:ascii="Arial" w:hAnsi="Arial" w:cs="Arial"/>
                <w:sz w:val="20"/>
                <w:szCs w:val="20"/>
              </w:rPr>
              <w:t xml:space="preserve">vloge </w:t>
            </w:r>
            <w:r w:rsidR="00BD53DC">
              <w:rPr>
                <w:rFonts w:ascii="Arial" w:hAnsi="Arial" w:cs="Arial"/>
                <w:sz w:val="20"/>
                <w:szCs w:val="20"/>
              </w:rPr>
              <w:t xml:space="preserve">na javni razpis </w:t>
            </w:r>
            <w:r w:rsidRPr="00124FF3">
              <w:rPr>
                <w:rFonts w:ascii="Arial" w:hAnsi="Arial" w:cs="Arial"/>
                <w:sz w:val="20"/>
                <w:szCs w:val="20"/>
              </w:rPr>
              <w:t xml:space="preserve">poteka od </w:t>
            </w:r>
            <w:r w:rsidR="003E3E4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E3E4D" w:rsidRPr="003E3E4D">
              <w:rPr>
                <w:rFonts w:ascii="Arial" w:hAnsi="Arial" w:cs="Arial"/>
                <w:sz w:val="20"/>
                <w:szCs w:val="20"/>
              </w:rPr>
              <w:t>aprila</w:t>
            </w:r>
            <w:r w:rsidRPr="003E3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0DA" w:rsidRPr="003E3E4D">
              <w:rPr>
                <w:rFonts w:ascii="Arial" w:hAnsi="Arial" w:cs="Arial"/>
                <w:sz w:val="20"/>
                <w:szCs w:val="20"/>
              </w:rPr>
              <w:t>2021</w:t>
            </w:r>
            <w:r w:rsidRPr="003E3E4D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3E3E4D" w:rsidRPr="003E3E4D">
              <w:rPr>
                <w:rFonts w:ascii="Arial" w:hAnsi="Arial" w:cs="Arial"/>
                <w:sz w:val="20"/>
                <w:szCs w:val="20"/>
              </w:rPr>
              <w:t>2</w:t>
            </w:r>
            <w:r w:rsidR="003E3E4D">
              <w:rPr>
                <w:rFonts w:ascii="Arial" w:hAnsi="Arial" w:cs="Arial"/>
                <w:sz w:val="20"/>
                <w:szCs w:val="20"/>
              </w:rPr>
              <w:t>1</w:t>
            </w:r>
            <w:r w:rsidR="006C34D9" w:rsidRPr="003E3E4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E3E4D" w:rsidRPr="003E3E4D">
              <w:rPr>
                <w:rFonts w:ascii="Arial" w:hAnsi="Arial" w:cs="Arial"/>
                <w:sz w:val="20"/>
                <w:szCs w:val="20"/>
              </w:rPr>
              <w:t>maja</w:t>
            </w:r>
            <w:r w:rsidR="006C34D9" w:rsidRPr="003E3E4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570DA" w:rsidRPr="003E3E4D">
              <w:rPr>
                <w:rFonts w:ascii="Arial" w:hAnsi="Arial" w:cs="Arial"/>
                <w:sz w:val="20"/>
                <w:szCs w:val="20"/>
              </w:rPr>
              <w:t>21</w:t>
            </w:r>
            <w:r w:rsidR="00BD53DC" w:rsidRPr="003E3E4D">
              <w:rPr>
                <w:rFonts w:ascii="Arial" w:hAnsi="Arial" w:cs="Arial"/>
                <w:sz w:val="20"/>
                <w:szCs w:val="20"/>
              </w:rPr>
              <w:t>,</w:t>
            </w:r>
            <w:r w:rsidRPr="003E3E4D">
              <w:rPr>
                <w:rFonts w:ascii="Arial" w:hAnsi="Arial" w:cs="Arial"/>
                <w:sz w:val="20"/>
                <w:szCs w:val="20"/>
              </w:rPr>
              <w:t xml:space="preserve"> do 2</w:t>
            </w:r>
            <w:r w:rsidR="00BD53DC" w:rsidRPr="003E3E4D">
              <w:rPr>
                <w:rFonts w:ascii="Arial" w:hAnsi="Arial" w:cs="Arial"/>
                <w:sz w:val="20"/>
                <w:szCs w:val="20"/>
              </w:rPr>
              <w:t>3.59</w:t>
            </w:r>
            <w:r w:rsidRPr="003E3E4D">
              <w:rPr>
                <w:rFonts w:ascii="Arial" w:hAnsi="Arial" w:cs="Arial"/>
                <w:sz w:val="20"/>
                <w:szCs w:val="20"/>
              </w:rPr>
              <w:t>. ure.</w:t>
            </w:r>
          </w:p>
        </w:tc>
      </w:tr>
      <w:tr w:rsidR="00CA0CC7" w:rsidRPr="00124FF3" w14:paraId="39D056F0" w14:textId="77777777" w:rsidTr="00FA47A0">
        <w:trPr>
          <w:trHeight w:val="1068"/>
        </w:trPr>
        <w:tc>
          <w:tcPr>
            <w:tcW w:w="2676" w:type="dxa"/>
            <w:shd w:val="clear" w:color="auto" w:fill="F2F2F2"/>
          </w:tcPr>
          <w:p w14:paraId="6A405C47" w14:textId="4DF954FB" w:rsidR="00CA0CC7" w:rsidRPr="00124FF3" w:rsidRDefault="00CA0CC7" w:rsidP="00E02D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F3">
              <w:rPr>
                <w:rFonts w:ascii="Arial" w:hAnsi="Arial" w:cs="Arial"/>
                <w:b/>
                <w:sz w:val="20"/>
                <w:szCs w:val="20"/>
              </w:rPr>
              <w:lastRenderedPageBreak/>
              <w:t>Obdobje upravičenosti stroškov</w:t>
            </w:r>
            <w:r w:rsidR="006F35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78" w:type="dxa"/>
            <w:shd w:val="clear" w:color="auto" w:fill="F2F2F2"/>
          </w:tcPr>
          <w:p w14:paraId="0F1A9374" w14:textId="1311124D" w:rsidR="00E1220A" w:rsidRDefault="00E1220A" w:rsidP="00E1220A">
            <w:pPr>
              <w:tabs>
                <w:tab w:val="num" w:pos="144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upravičenosti je določeno v </w:t>
            </w:r>
            <w:r w:rsidR="00CA0CC7" w:rsidRPr="00124FF3">
              <w:rPr>
                <w:rFonts w:ascii="Arial" w:hAnsi="Arial" w:cs="Arial"/>
                <w:sz w:val="20"/>
                <w:szCs w:val="20"/>
              </w:rPr>
              <w:t>99. člen</w:t>
            </w:r>
            <w:r w:rsidR="00C50D7A">
              <w:rPr>
                <w:rFonts w:ascii="Arial" w:hAnsi="Arial" w:cs="Arial"/>
                <w:sz w:val="20"/>
                <w:szCs w:val="20"/>
              </w:rPr>
              <w:t>u</w:t>
            </w:r>
            <w:r w:rsidR="00CA0CC7" w:rsidRPr="00124FF3">
              <w:rPr>
                <w:rFonts w:ascii="Arial" w:hAnsi="Arial" w:cs="Arial"/>
                <w:sz w:val="20"/>
                <w:szCs w:val="20"/>
              </w:rPr>
              <w:t xml:space="preserve"> Uredbe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E2046B" w14:textId="2DEE921B" w:rsidR="00A15045" w:rsidRPr="00E810BB" w:rsidRDefault="00A15045" w:rsidP="006E2B73">
            <w:pPr>
              <w:tabs>
                <w:tab w:val="num" w:pos="144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Zadnji mož</w:t>
            </w:r>
            <w:r w:rsidRPr="003E3E4D">
              <w:rPr>
                <w:rFonts w:ascii="Arial" w:hAnsi="Arial" w:cs="Arial"/>
                <w:sz w:val="20"/>
                <w:szCs w:val="20"/>
              </w:rPr>
              <w:t>ni rok za vložitev zahtevka za izplačilo sredstev je 3</w:t>
            </w:r>
            <w:r w:rsidR="006E2B73" w:rsidRPr="003E3E4D">
              <w:rPr>
                <w:rFonts w:ascii="Arial" w:hAnsi="Arial" w:cs="Arial"/>
                <w:sz w:val="20"/>
                <w:szCs w:val="20"/>
              </w:rPr>
              <w:t>0</w:t>
            </w:r>
            <w:r w:rsidRPr="003E3E4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E2B73" w:rsidRPr="003E3E4D">
              <w:rPr>
                <w:rFonts w:ascii="Arial" w:hAnsi="Arial" w:cs="Arial"/>
                <w:sz w:val="20"/>
                <w:szCs w:val="20"/>
              </w:rPr>
              <w:t>junij</w:t>
            </w:r>
            <w:r w:rsidRPr="003E3E4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1220A" w:rsidRPr="003E3E4D">
              <w:rPr>
                <w:rFonts w:ascii="Arial" w:hAnsi="Arial" w:cs="Arial"/>
                <w:sz w:val="20"/>
                <w:szCs w:val="20"/>
              </w:rPr>
              <w:t>2</w:t>
            </w:r>
            <w:r w:rsidR="006E2B73" w:rsidRPr="003E3E4D">
              <w:rPr>
                <w:rFonts w:ascii="Arial" w:hAnsi="Arial" w:cs="Arial"/>
                <w:sz w:val="20"/>
                <w:szCs w:val="20"/>
              </w:rPr>
              <w:t>3</w:t>
            </w:r>
            <w:r w:rsidRPr="003E3E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124FF3" w14:paraId="5386712C" w14:textId="77777777" w:rsidTr="00FA47A0">
        <w:trPr>
          <w:trHeight w:val="404"/>
        </w:trPr>
        <w:tc>
          <w:tcPr>
            <w:tcW w:w="2676" w:type="dxa"/>
            <w:shd w:val="clear" w:color="auto" w:fill="F2F2F2"/>
            <w:vAlign w:val="center"/>
          </w:tcPr>
          <w:p w14:paraId="7BF0D963" w14:textId="09977A72" w:rsidR="009D74EA" w:rsidRPr="00124FF3" w:rsidRDefault="009D74EA" w:rsidP="00E02D08">
            <w:pPr>
              <w:rPr>
                <w:rFonts w:ascii="Arial" w:hAnsi="Arial" w:cs="Arial"/>
                <w:b/>
              </w:rPr>
            </w:pPr>
            <w:r w:rsidRPr="00124FF3">
              <w:rPr>
                <w:rFonts w:ascii="Arial" w:hAnsi="Arial" w:cs="Arial"/>
                <w:b/>
              </w:rPr>
              <w:t>Informacije o razpisu: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1D6BA08F" w14:textId="112ACAE2" w:rsidR="009D74EA" w:rsidRPr="00FF603F" w:rsidRDefault="009D74EA" w:rsidP="00FF603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0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 točka Agencije Republike Slovenije za kmetijske trge in razvoj podeželja (v nadaljnjem besedilu: agencija), Dunajska 160, 1000 Ljubljana</w:t>
            </w:r>
            <w:r w:rsidR="00BD53DC" w:rsidRPr="00FF60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FF60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Tel.: </w:t>
            </w:r>
            <w:r w:rsidRPr="00FF603F">
              <w:rPr>
                <w:rFonts w:ascii="Arial" w:hAnsi="Arial" w:cs="Arial"/>
                <w:color w:val="000000"/>
                <w:sz w:val="20"/>
                <w:szCs w:val="20"/>
              </w:rPr>
              <w:t xml:space="preserve">01 580 77 92,  Fax.: 01 478 92 06, E-mail: </w:t>
            </w:r>
            <w:hyperlink r:id="rId8" w:history="1">
              <w:r w:rsidRPr="00FF603F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</w:p>
          <w:p w14:paraId="44FB5AFA" w14:textId="3C172010" w:rsidR="009D74EA" w:rsidRPr="00CA0CC7" w:rsidRDefault="009D74EA" w:rsidP="00E02D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FF3">
              <w:rPr>
                <w:rFonts w:ascii="Arial" w:hAnsi="Arial" w:cs="Arial"/>
                <w:color w:val="000000"/>
                <w:sz w:val="20"/>
                <w:szCs w:val="20"/>
              </w:rPr>
              <w:t xml:space="preserve">INFO točke </w:t>
            </w:r>
            <w:r w:rsidRPr="00CA0CC7">
              <w:rPr>
                <w:rFonts w:ascii="Arial" w:hAnsi="Arial" w:cs="Arial"/>
                <w:color w:val="000000"/>
                <w:sz w:val="20"/>
                <w:szCs w:val="20"/>
              </w:rPr>
              <w:t xml:space="preserve">KGZS </w:t>
            </w:r>
            <w:r w:rsidR="0082079C" w:rsidRPr="00CA0CC7">
              <w:rPr>
                <w:rFonts w:ascii="Arial" w:hAnsi="Arial" w:cs="Arial"/>
                <w:color w:val="000000"/>
                <w:sz w:val="20"/>
                <w:szCs w:val="20"/>
              </w:rPr>
              <w:t>(Priloga št. 12 k razpisni dokumentaciji</w:t>
            </w:r>
            <w:r w:rsidR="00BF4E1C">
              <w:rPr>
                <w:rFonts w:ascii="Arial" w:hAnsi="Arial" w:cs="Arial"/>
                <w:color w:val="000000"/>
                <w:sz w:val="20"/>
                <w:szCs w:val="20"/>
              </w:rPr>
              <w:t xml:space="preserve"> tega javnega razpisa</w:t>
            </w:r>
            <w:r w:rsidR="0082079C" w:rsidRPr="00CA0CC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9DDF82B" w14:textId="77777777" w:rsidR="009D74EA" w:rsidRPr="00124FF3" w:rsidRDefault="009D74EA" w:rsidP="00E02D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B08005" w14:textId="77777777" w:rsidR="009D74EA" w:rsidRPr="00124FF3" w:rsidRDefault="009D74EA" w:rsidP="009D74EA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92C3440" w14:textId="12BD80D7" w:rsidR="001D748E" w:rsidRPr="00124FF3" w:rsidRDefault="001D748E" w:rsidP="009D74EA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 xml:space="preserve">2. </w:t>
      </w:r>
      <w:r w:rsidR="006E2B73">
        <w:rPr>
          <w:rFonts w:ascii="Arial" w:hAnsi="Arial" w:cs="Arial"/>
          <w:b/>
        </w:rPr>
        <w:t>NAMEN</w:t>
      </w:r>
      <w:r w:rsidRPr="00124FF3">
        <w:rPr>
          <w:rFonts w:ascii="Arial" w:hAnsi="Arial" w:cs="Arial"/>
          <w:b/>
        </w:rPr>
        <w:t xml:space="preserve"> PODPORE </w:t>
      </w:r>
    </w:p>
    <w:p w14:paraId="3EA957DA" w14:textId="46CAA055" w:rsidR="00DD5410" w:rsidRPr="00124FF3" w:rsidRDefault="006E2B73" w:rsidP="00E1220A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</w:t>
      </w:r>
      <w:r w:rsidR="00E1220A">
        <w:rPr>
          <w:rFonts w:ascii="Arial" w:hAnsi="Arial" w:cs="Arial"/>
          <w:sz w:val="20"/>
          <w:szCs w:val="20"/>
        </w:rPr>
        <w:t xml:space="preserve"> podpore je določen v </w:t>
      </w:r>
      <w:r w:rsidR="00A15045">
        <w:rPr>
          <w:rFonts w:ascii="Arial" w:hAnsi="Arial" w:cs="Arial"/>
          <w:sz w:val="20"/>
          <w:szCs w:val="20"/>
        </w:rPr>
        <w:t>42. člen</w:t>
      </w:r>
      <w:r w:rsidR="00E35A15">
        <w:rPr>
          <w:rFonts w:ascii="Arial" w:hAnsi="Arial" w:cs="Arial"/>
          <w:sz w:val="20"/>
          <w:szCs w:val="20"/>
        </w:rPr>
        <w:t>u</w:t>
      </w:r>
      <w:r w:rsidR="00A15045">
        <w:rPr>
          <w:rFonts w:ascii="Arial" w:hAnsi="Arial" w:cs="Arial"/>
          <w:sz w:val="20"/>
          <w:szCs w:val="20"/>
        </w:rPr>
        <w:t xml:space="preserve"> Uredbe.</w:t>
      </w:r>
    </w:p>
    <w:p w14:paraId="228DC46B" w14:textId="77777777" w:rsidR="001A1AC9" w:rsidRPr="00124FF3" w:rsidRDefault="001A1AC9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33B50F25" w14:textId="77777777" w:rsidR="001A1AC9" w:rsidRPr="00124FF3" w:rsidRDefault="001A1AC9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4412C2DA" w14:textId="7FA208D2" w:rsidR="009D74EA" w:rsidRPr="00124FF3" w:rsidRDefault="009D74EA" w:rsidP="00E1220A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69622F">
        <w:rPr>
          <w:rFonts w:ascii="Arial" w:hAnsi="Arial" w:cs="Arial"/>
          <w:b/>
        </w:rPr>
        <w:t xml:space="preserve">3. </w:t>
      </w:r>
      <w:r w:rsidR="00792644">
        <w:rPr>
          <w:rFonts w:ascii="Arial" w:hAnsi="Arial" w:cs="Arial"/>
          <w:b/>
        </w:rPr>
        <w:t>U</w:t>
      </w:r>
      <w:r w:rsidR="00B316B3">
        <w:rPr>
          <w:rFonts w:ascii="Arial" w:hAnsi="Arial" w:cs="Arial"/>
          <w:b/>
        </w:rPr>
        <w:t>P</w:t>
      </w:r>
      <w:r w:rsidR="00792644">
        <w:rPr>
          <w:rFonts w:ascii="Arial" w:hAnsi="Arial" w:cs="Arial"/>
          <w:b/>
        </w:rPr>
        <w:t>RAVIČENEC</w:t>
      </w:r>
    </w:p>
    <w:p w14:paraId="445FD5DF" w14:textId="78B13933" w:rsidR="00E1220A" w:rsidRDefault="00E1220A" w:rsidP="00E1220A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Upravičenec je določen v 43. člen</w:t>
      </w:r>
      <w:r w:rsidR="00E35A1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Uredbe.</w:t>
      </w:r>
    </w:p>
    <w:p w14:paraId="1C77CC13" w14:textId="77777777" w:rsidR="00E1220A" w:rsidRPr="00124FF3" w:rsidRDefault="00E1220A" w:rsidP="00E1220A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B814CB3" w14:textId="77777777" w:rsidR="009D74EA" w:rsidRPr="00124FF3" w:rsidRDefault="00A50A78" w:rsidP="00A50A78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  <w:r w:rsidRPr="00124FF3">
        <w:rPr>
          <w:rFonts w:ascii="Arial" w:hAnsi="Arial" w:cs="Arial"/>
          <w:b/>
          <w:sz w:val="22"/>
          <w:szCs w:val="22"/>
          <w:lang w:val="sl-SI"/>
        </w:rPr>
        <w:t xml:space="preserve">4. </w:t>
      </w:r>
      <w:r w:rsidR="009D74EA" w:rsidRPr="00124FF3">
        <w:rPr>
          <w:rFonts w:ascii="Arial" w:hAnsi="Arial" w:cs="Arial"/>
          <w:b/>
          <w:sz w:val="22"/>
          <w:szCs w:val="22"/>
        </w:rPr>
        <w:t>POGOJI ZA PRIDOBITEV PODPORE</w:t>
      </w:r>
    </w:p>
    <w:p w14:paraId="2A686E55" w14:textId="77777777" w:rsidR="009D74EA" w:rsidRPr="00124FF3" w:rsidRDefault="009D74EA" w:rsidP="00A50A78">
      <w:pPr>
        <w:pStyle w:val="Golobesedilo"/>
        <w:spacing w:line="260" w:lineRule="atLeast"/>
        <w:rPr>
          <w:rFonts w:ascii="Arial" w:hAnsi="Arial" w:cs="Arial"/>
          <w:b/>
        </w:rPr>
      </w:pPr>
    </w:p>
    <w:p w14:paraId="035D7DBC" w14:textId="17075D28" w:rsidR="009D74EA" w:rsidRPr="00124FF3" w:rsidRDefault="009D74EA" w:rsidP="00A50A78">
      <w:pPr>
        <w:pStyle w:val="Golobesedilo"/>
        <w:spacing w:line="260" w:lineRule="atLeast"/>
        <w:rPr>
          <w:rFonts w:ascii="Arial" w:hAnsi="Arial" w:cs="Arial"/>
          <w:b/>
        </w:rPr>
      </w:pPr>
      <w:r w:rsidRPr="00124FF3">
        <w:rPr>
          <w:rFonts w:ascii="Arial" w:hAnsi="Arial" w:cs="Arial"/>
          <w:b/>
        </w:rPr>
        <w:t>4</w:t>
      </w:r>
      <w:r w:rsidR="00A50A78" w:rsidRPr="00124FF3">
        <w:rPr>
          <w:rFonts w:ascii="Arial" w:hAnsi="Arial" w:cs="Arial"/>
          <w:b/>
          <w:lang w:val="sl-SI"/>
        </w:rPr>
        <w:t>.</w:t>
      </w:r>
      <w:r w:rsidR="00C53697">
        <w:rPr>
          <w:rFonts w:ascii="Arial" w:hAnsi="Arial" w:cs="Arial"/>
          <w:b/>
          <w:lang w:val="sl-SI"/>
        </w:rPr>
        <w:t xml:space="preserve"> </w:t>
      </w:r>
      <w:r w:rsidR="00A50A78" w:rsidRPr="00124FF3">
        <w:rPr>
          <w:rFonts w:ascii="Arial" w:hAnsi="Arial" w:cs="Arial"/>
          <w:b/>
          <w:lang w:val="sl-SI"/>
        </w:rPr>
        <w:t xml:space="preserve">1. </w:t>
      </w:r>
      <w:r w:rsidRPr="00124FF3">
        <w:rPr>
          <w:rFonts w:ascii="Arial" w:hAnsi="Arial" w:cs="Arial"/>
          <w:b/>
        </w:rPr>
        <w:t>SPLOŠNI</w:t>
      </w:r>
      <w:r w:rsidR="00FE362E" w:rsidRPr="00124FF3">
        <w:rPr>
          <w:rFonts w:ascii="Arial" w:hAnsi="Arial" w:cs="Arial"/>
          <w:b/>
          <w:lang w:val="sl-SI"/>
        </w:rPr>
        <w:t xml:space="preserve"> </w:t>
      </w:r>
      <w:r w:rsidRPr="00124FF3">
        <w:rPr>
          <w:rFonts w:ascii="Arial" w:hAnsi="Arial" w:cs="Arial"/>
          <w:b/>
        </w:rPr>
        <w:t xml:space="preserve"> POGOJI, KI JIH MORA IZPOLNJEVATI </w:t>
      </w:r>
      <w:r w:rsidR="00A50A78" w:rsidRPr="00124FF3">
        <w:rPr>
          <w:rFonts w:ascii="Arial" w:hAnsi="Arial" w:cs="Arial"/>
          <w:b/>
          <w:lang w:val="sl-SI"/>
        </w:rPr>
        <w:t xml:space="preserve">VLAGATELJ </w:t>
      </w:r>
      <w:r w:rsidR="004D7DCE" w:rsidRPr="00124FF3">
        <w:rPr>
          <w:rFonts w:ascii="Arial" w:hAnsi="Arial" w:cs="Arial"/>
          <w:b/>
          <w:lang w:val="sl-SI"/>
        </w:rPr>
        <w:t>OB ODDAJI VLOGE NA JAVN</w:t>
      </w:r>
      <w:r w:rsidR="004C0D1C" w:rsidRPr="00124FF3">
        <w:rPr>
          <w:rFonts w:ascii="Arial" w:hAnsi="Arial" w:cs="Arial"/>
          <w:b/>
          <w:lang w:val="sl-SI"/>
        </w:rPr>
        <w:t>I</w:t>
      </w:r>
      <w:r w:rsidR="004D7DCE" w:rsidRPr="00124FF3">
        <w:rPr>
          <w:rFonts w:ascii="Arial" w:hAnsi="Arial" w:cs="Arial"/>
          <w:b/>
          <w:lang w:val="sl-SI"/>
        </w:rPr>
        <w:t xml:space="preserve"> RAZPIS</w:t>
      </w:r>
      <w:r w:rsidRPr="00124FF3">
        <w:rPr>
          <w:rFonts w:ascii="Arial" w:hAnsi="Arial" w:cs="Arial"/>
          <w:b/>
        </w:rPr>
        <w:t>:</w:t>
      </w:r>
    </w:p>
    <w:p w14:paraId="34AD5A62" w14:textId="77777777" w:rsidR="009D74EA" w:rsidRPr="00124FF3" w:rsidRDefault="009D74EA" w:rsidP="00A50A78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79712735" w14:textId="68DADE50" w:rsidR="00D26E48" w:rsidRDefault="00045F64" w:rsidP="00045F64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045F64">
        <w:rPr>
          <w:rFonts w:ascii="Arial" w:hAnsi="Arial" w:cs="Arial"/>
          <w:lang w:val="sl-SI"/>
        </w:rPr>
        <w:t>(1</w:t>
      </w:r>
      <w:r>
        <w:rPr>
          <w:rFonts w:ascii="Arial" w:hAnsi="Arial" w:cs="Arial"/>
          <w:lang w:val="sl-SI"/>
        </w:rPr>
        <w:t>)</w:t>
      </w:r>
      <w:r w:rsidR="00C5540E">
        <w:rPr>
          <w:rFonts w:ascii="Arial" w:hAnsi="Arial" w:cs="Arial"/>
          <w:lang w:val="sl-SI"/>
        </w:rPr>
        <w:t xml:space="preserve"> </w:t>
      </w:r>
      <w:r w:rsidR="00C5540E" w:rsidRPr="00697880">
        <w:rPr>
          <w:rFonts w:ascii="Arial" w:hAnsi="Arial" w:cs="Arial"/>
          <w:lang w:val="sl-SI"/>
        </w:rPr>
        <w:t xml:space="preserve">Upravičenec mora izpolnjevati pogoje iz 100. člena Uredbe, razen pogojev </w:t>
      </w:r>
      <w:r w:rsidR="00C5540E">
        <w:rPr>
          <w:rFonts w:ascii="Arial" w:hAnsi="Arial" w:cs="Arial"/>
          <w:lang w:val="sl-SI"/>
        </w:rPr>
        <w:t>iz 6. in</w:t>
      </w:r>
      <w:r w:rsidR="00C5540E" w:rsidRPr="00697880">
        <w:rPr>
          <w:rFonts w:ascii="Arial" w:hAnsi="Arial" w:cs="Arial"/>
          <w:lang w:val="sl-SI"/>
        </w:rPr>
        <w:t xml:space="preserve"> 9. točke prvega odstavka 100. člena Uredbe, ter pogojev iz drugega, tretjega, </w:t>
      </w:r>
      <w:r w:rsidR="00C5540E">
        <w:rPr>
          <w:rFonts w:ascii="Arial" w:hAnsi="Arial" w:cs="Arial"/>
          <w:lang w:val="sl-SI"/>
        </w:rPr>
        <w:t xml:space="preserve">četrtega, </w:t>
      </w:r>
      <w:r w:rsidR="00C5540E" w:rsidRPr="00697880">
        <w:rPr>
          <w:rFonts w:ascii="Arial" w:hAnsi="Arial" w:cs="Arial"/>
          <w:lang w:val="sl-SI"/>
        </w:rPr>
        <w:t>petega in šestega odstavka 100. člena Uredbe</w:t>
      </w:r>
    </w:p>
    <w:p w14:paraId="4F97E1C9" w14:textId="1179BC7C" w:rsidR="00045F64" w:rsidRPr="00124FF3" w:rsidRDefault="00045F64" w:rsidP="00045F64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(2) Zaprtost finančne konstrukcije je določena v 101. členu Uredbe.</w:t>
      </w:r>
    </w:p>
    <w:p w14:paraId="6D244B7A" w14:textId="77777777" w:rsidR="00DF45F3" w:rsidRDefault="00DF45F3" w:rsidP="00153365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24707C36" w14:textId="12F37CB1" w:rsidR="009D74EA" w:rsidRPr="00C53697" w:rsidRDefault="00787E08" w:rsidP="009D74EA">
      <w:pPr>
        <w:pStyle w:val="Golobesedilo"/>
        <w:spacing w:line="260" w:lineRule="atLeast"/>
        <w:rPr>
          <w:rFonts w:ascii="Arial" w:hAnsi="Arial" w:cs="Arial"/>
          <w:b/>
        </w:rPr>
      </w:pPr>
      <w:r w:rsidRPr="00C53697">
        <w:rPr>
          <w:rFonts w:ascii="Arial" w:hAnsi="Arial" w:cs="Arial"/>
          <w:b/>
        </w:rPr>
        <w:t>4</w:t>
      </w:r>
      <w:r w:rsidR="00661C9D" w:rsidRPr="00C53697">
        <w:rPr>
          <w:rFonts w:ascii="Arial" w:hAnsi="Arial" w:cs="Arial"/>
          <w:b/>
        </w:rPr>
        <w:t>.</w:t>
      </w:r>
      <w:r w:rsidR="00C53697" w:rsidRPr="00C53697">
        <w:rPr>
          <w:rFonts w:ascii="Arial" w:hAnsi="Arial" w:cs="Arial"/>
          <w:b/>
        </w:rPr>
        <w:t xml:space="preserve"> </w:t>
      </w:r>
      <w:r w:rsidRPr="00C53697">
        <w:rPr>
          <w:rFonts w:ascii="Arial" w:hAnsi="Arial" w:cs="Arial"/>
          <w:b/>
        </w:rPr>
        <w:t xml:space="preserve">2. </w:t>
      </w:r>
      <w:r w:rsidR="009D74EA" w:rsidRPr="008C732A">
        <w:rPr>
          <w:rFonts w:ascii="Arial" w:hAnsi="Arial" w:cs="Arial"/>
          <w:b/>
        </w:rPr>
        <w:t xml:space="preserve">POSEBNI POGOJI, KI JIH MORA IZPOLNJEVATI </w:t>
      </w:r>
      <w:r w:rsidR="00661C9D" w:rsidRPr="00C53697">
        <w:rPr>
          <w:rFonts w:ascii="Arial" w:hAnsi="Arial" w:cs="Arial"/>
          <w:b/>
        </w:rPr>
        <w:t>VLAGATELJ</w:t>
      </w:r>
    </w:p>
    <w:p w14:paraId="5D1B8D27" w14:textId="77777777" w:rsidR="0030553B" w:rsidRDefault="0030553B" w:rsidP="00A4707A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F306730" w14:textId="1B493D9A" w:rsidR="00E1220A" w:rsidRPr="00124FF3" w:rsidRDefault="00E1220A" w:rsidP="00E1220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Posebni pogoji so določeni v 46. člen</w:t>
      </w:r>
      <w:r w:rsidR="00E35A15"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 xml:space="preserve"> Uredbe</w:t>
      </w:r>
      <w:r w:rsidRPr="00124FF3">
        <w:rPr>
          <w:rFonts w:ascii="Arial" w:hAnsi="Arial" w:cs="Arial"/>
          <w:lang w:val="sl-SI"/>
        </w:rPr>
        <w:t>.</w:t>
      </w:r>
    </w:p>
    <w:p w14:paraId="7E6F646B" w14:textId="77777777" w:rsidR="009D74EA" w:rsidRDefault="009D74EA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7E1DB117" w14:textId="77777777" w:rsidR="00F316E5" w:rsidRPr="00F316E5" w:rsidRDefault="00F316E5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126C6791" w14:textId="77777777" w:rsidR="009D74EA" w:rsidRPr="00124FF3" w:rsidRDefault="009D74EA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  <w:r w:rsidRPr="004020D1">
        <w:rPr>
          <w:rFonts w:ascii="Arial" w:hAnsi="Arial" w:cs="Arial"/>
          <w:b/>
          <w:sz w:val="22"/>
          <w:szCs w:val="22"/>
        </w:rPr>
        <w:t>5.</w:t>
      </w:r>
      <w:r w:rsidRPr="004020D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020D1">
        <w:rPr>
          <w:rFonts w:ascii="Arial" w:hAnsi="Arial" w:cs="Arial"/>
          <w:b/>
          <w:sz w:val="22"/>
          <w:szCs w:val="22"/>
        </w:rPr>
        <w:t>UPRAVIČENI STROŠKI</w:t>
      </w:r>
    </w:p>
    <w:p w14:paraId="63CDE18B" w14:textId="77777777" w:rsidR="009D74EA" w:rsidRPr="00124FF3" w:rsidRDefault="009D74EA" w:rsidP="00F316E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9256485" w14:textId="7EA9A74E" w:rsidR="00E1220A" w:rsidRDefault="00E1220A" w:rsidP="00F316E5">
      <w:pPr>
        <w:pStyle w:val="Golobesedilo"/>
        <w:spacing w:line="260" w:lineRule="atLeast"/>
        <w:jc w:val="both"/>
        <w:rPr>
          <w:rFonts w:ascii="Arial" w:hAnsi="Arial" w:cs="Arial"/>
          <w:u w:val="single"/>
          <w:lang w:val="sl-SI"/>
        </w:rPr>
      </w:pPr>
      <w:r>
        <w:rPr>
          <w:rFonts w:ascii="Arial" w:hAnsi="Arial" w:cs="Arial"/>
          <w:lang w:val="sl-SI"/>
        </w:rPr>
        <w:t xml:space="preserve">Upravičeni </w:t>
      </w:r>
      <w:r w:rsidR="00ED6D4E">
        <w:rPr>
          <w:rFonts w:ascii="Arial" w:hAnsi="Arial" w:cs="Arial"/>
          <w:lang w:val="sl-SI"/>
        </w:rPr>
        <w:t xml:space="preserve">in neupravičeni </w:t>
      </w:r>
      <w:r>
        <w:rPr>
          <w:rFonts w:ascii="Arial" w:hAnsi="Arial" w:cs="Arial"/>
          <w:lang w:val="sl-SI"/>
        </w:rPr>
        <w:t xml:space="preserve">stroški so določeni </w:t>
      </w:r>
      <w:r w:rsidR="00E35A15">
        <w:rPr>
          <w:rFonts w:ascii="Arial" w:hAnsi="Arial" w:cs="Arial"/>
          <w:lang w:val="sl-SI"/>
        </w:rPr>
        <w:t>v</w:t>
      </w:r>
      <w:r>
        <w:rPr>
          <w:rFonts w:ascii="Arial" w:hAnsi="Arial" w:cs="Arial"/>
          <w:lang w:val="sl-SI"/>
        </w:rPr>
        <w:t xml:space="preserve"> 44.,</w:t>
      </w:r>
      <w:r w:rsidR="001250C0">
        <w:rPr>
          <w:rFonts w:ascii="Arial" w:hAnsi="Arial" w:cs="Arial"/>
          <w:lang w:val="sl-SI"/>
        </w:rPr>
        <w:t xml:space="preserve"> 45.,</w:t>
      </w:r>
      <w:r>
        <w:rPr>
          <w:rFonts w:ascii="Arial" w:hAnsi="Arial" w:cs="Arial"/>
          <w:lang w:val="sl-SI"/>
        </w:rPr>
        <w:t xml:space="preserve"> 94., 95., 96. in 98. člen</w:t>
      </w:r>
      <w:r w:rsidR="00E35A15"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 xml:space="preserve"> </w:t>
      </w:r>
      <w:r w:rsidRPr="001250C0">
        <w:rPr>
          <w:rFonts w:ascii="Arial" w:hAnsi="Arial" w:cs="Arial"/>
          <w:lang w:val="sl-SI"/>
        </w:rPr>
        <w:t>Uredbe.</w:t>
      </w:r>
    </w:p>
    <w:p w14:paraId="0E8B11C5" w14:textId="656BEC3B" w:rsidR="00A719EF" w:rsidRPr="00124FF3" w:rsidRDefault="00E1220A" w:rsidP="00092E89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  <w:r w:rsidRPr="00F316E5" w:rsidDel="00E1220A">
        <w:rPr>
          <w:rFonts w:ascii="Arial" w:hAnsi="Arial" w:cs="Arial"/>
          <w:lang w:val="sl-SI"/>
        </w:rPr>
        <w:t xml:space="preserve"> </w:t>
      </w:r>
    </w:p>
    <w:p w14:paraId="00F50193" w14:textId="063B1B8F" w:rsidR="009D74EA" w:rsidRPr="00124FF3" w:rsidRDefault="0058685E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9D74EA" w:rsidRPr="009C5C41">
        <w:rPr>
          <w:rFonts w:ascii="Arial" w:hAnsi="Arial" w:cs="Arial"/>
          <w:b/>
          <w:sz w:val="22"/>
          <w:szCs w:val="22"/>
        </w:rPr>
        <w:t>.</w:t>
      </w:r>
      <w:r w:rsidR="009D74EA" w:rsidRPr="009C5C4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D74EA" w:rsidRPr="009C5C41">
        <w:rPr>
          <w:rFonts w:ascii="Arial" w:hAnsi="Arial" w:cs="Arial"/>
          <w:b/>
          <w:sz w:val="22"/>
          <w:szCs w:val="22"/>
        </w:rPr>
        <w:t>MERILA ZA OCENJEVANJE VLOG</w:t>
      </w:r>
      <w:r w:rsidR="00FE0819" w:rsidRPr="00124FF3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524A1B40" w14:textId="77777777" w:rsidR="009D74EA" w:rsidRPr="00124FF3" w:rsidRDefault="009D74EA" w:rsidP="00092E89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1115DE4" w14:textId="292BAE23" w:rsidR="005E5A5D" w:rsidRPr="00124FF3" w:rsidRDefault="001250C0" w:rsidP="001250C0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Merila za ocenjevanje vlog so določena v skladu </w:t>
      </w:r>
      <w:r w:rsidR="008612E9">
        <w:rPr>
          <w:rFonts w:ascii="Arial" w:hAnsi="Arial" w:cs="Arial"/>
          <w:lang w:val="sl-SI"/>
        </w:rPr>
        <w:t>47</w:t>
      </w:r>
      <w:r w:rsidR="005E5A5D" w:rsidRPr="00124FF3">
        <w:rPr>
          <w:rFonts w:ascii="Arial" w:hAnsi="Arial" w:cs="Arial"/>
          <w:lang w:val="sl-SI"/>
        </w:rPr>
        <w:t xml:space="preserve">. členom Uredbe </w:t>
      </w:r>
      <w:r>
        <w:rPr>
          <w:rFonts w:ascii="Arial" w:hAnsi="Arial" w:cs="Arial"/>
          <w:lang w:val="sl-SI"/>
        </w:rPr>
        <w:t xml:space="preserve">in so podrobneje </w:t>
      </w:r>
      <w:r w:rsidR="00225E59">
        <w:rPr>
          <w:rFonts w:ascii="Arial" w:hAnsi="Arial" w:cs="Arial"/>
          <w:lang w:val="sl-SI"/>
        </w:rPr>
        <w:t>opredeljen</w:t>
      </w:r>
      <w:r>
        <w:rPr>
          <w:rFonts w:ascii="Arial" w:hAnsi="Arial" w:cs="Arial"/>
          <w:lang w:val="sl-SI"/>
        </w:rPr>
        <w:t>a</w:t>
      </w:r>
      <w:r w:rsidR="00225E59">
        <w:rPr>
          <w:rFonts w:ascii="Arial" w:hAnsi="Arial" w:cs="Arial"/>
          <w:lang w:val="sl-SI"/>
        </w:rPr>
        <w:t xml:space="preserve"> v tem jav</w:t>
      </w:r>
      <w:r w:rsidR="00AD241E">
        <w:rPr>
          <w:rFonts w:ascii="Arial" w:hAnsi="Arial" w:cs="Arial"/>
          <w:lang w:val="sl-SI"/>
        </w:rPr>
        <w:t>n</w:t>
      </w:r>
      <w:r w:rsidR="00225E59">
        <w:rPr>
          <w:rFonts w:ascii="Arial" w:hAnsi="Arial" w:cs="Arial"/>
          <w:lang w:val="sl-SI"/>
        </w:rPr>
        <w:t>e</w:t>
      </w:r>
      <w:r w:rsidR="00AD241E">
        <w:rPr>
          <w:rFonts w:ascii="Arial" w:hAnsi="Arial" w:cs="Arial"/>
          <w:lang w:val="sl-SI"/>
        </w:rPr>
        <w:t>m razpisu</w:t>
      </w:r>
      <w:r w:rsidR="005E5A5D" w:rsidRPr="00124FF3">
        <w:rPr>
          <w:rFonts w:ascii="Arial" w:hAnsi="Arial" w:cs="Arial"/>
          <w:lang w:val="sl-SI"/>
        </w:rPr>
        <w:t>:</w:t>
      </w:r>
    </w:p>
    <w:p w14:paraId="5ECC39DB" w14:textId="77777777" w:rsidR="009D74EA" w:rsidRPr="00124FF3" w:rsidRDefault="009D74EA" w:rsidP="009D74EA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8"/>
        <w:gridCol w:w="1618"/>
      </w:tblGrid>
      <w:tr w:rsidR="009D74EA" w:rsidRPr="008C458A" w14:paraId="0E5943DF" w14:textId="77777777" w:rsidTr="00FA47A0">
        <w:tc>
          <w:tcPr>
            <w:tcW w:w="7478" w:type="dxa"/>
            <w:shd w:val="clear" w:color="auto" w:fill="BFBFBF" w:themeFill="background1" w:themeFillShade="BF"/>
          </w:tcPr>
          <w:p w14:paraId="5BD4820A" w14:textId="77777777" w:rsidR="009D74EA" w:rsidRPr="008C458A" w:rsidRDefault="009D74EA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</w:rPr>
              <w:t xml:space="preserve">Merila 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028DA0AA" w14:textId="77777777" w:rsidR="009D74EA" w:rsidRPr="008C458A" w:rsidRDefault="009D74E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</w:rPr>
            </w:pPr>
            <w:r w:rsidRPr="008C458A">
              <w:rPr>
                <w:rFonts w:ascii="Arial" w:hAnsi="Arial" w:cs="Arial"/>
                <w:sz w:val="20"/>
                <w:szCs w:val="22"/>
              </w:rPr>
              <w:t>Maks</w:t>
            </w: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imalno</w:t>
            </w:r>
            <w:r w:rsidRPr="008C458A">
              <w:rPr>
                <w:rFonts w:ascii="Arial" w:hAnsi="Arial" w:cs="Arial"/>
                <w:sz w:val="20"/>
                <w:szCs w:val="22"/>
              </w:rPr>
              <w:t>. št. točk</w:t>
            </w:r>
          </w:p>
        </w:tc>
      </w:tr>
      <w:tr w:rsidR="009D74EA" w:rsidRPr="008C458A" w14:paraId="41E5ECB9" w14:textId="77777777" w:rsidTr="00FA47A0">
        <w:tc>
          <w:tcPr>
            <w:tcW w:w="7478" w:type="dxa"/>
            <w:shd w:val="clear" w:color="auto" w:fill="auto"/>
          </w:tcPr>
          <w:p w14:paraId="118D78A4" w14:textId="77777777" w:rsidR="009D74EA" w:rsidRPr="008C458A" w:rsidRDefault="009D74EA" w:rsidP="00A25B6C">
            <w:pPr>
              <w:pStyle w:val="Odstavekseznama"/>
              <w:numPr>
                <w:ilvl w:val="0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 w:hanging="425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</w:rPr>
              <w:t xml:space="preserve">EKONOMSKI VIDIK NALOŽBE </w:t>
            </w:r>
          </w:p>
        </w:tc>
        <w:tc>
          <w:tcPr>
            <w:tcW w:w="1618" w:type="dxa"/>
            <w:shd w:val="clear" w:color="auto" w:fill="auto"/>
          </w:tcPr>
          <w:p w14:paraId="7B59DFA6" w14:textId="03E9BA30" w:rsidR="009D74EA" w:rsidRPr="008C458A" w:rsidRDefault="009D74E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9D74EA" w:rsidRPr="008C458A" w14:paraId="47C599DC" w14:textId="77777777" w:rsidTr="00FA47A0">
        <w:tc>
          <w:tcPr>
            <w:tcW w:w="7478" w:type="dxa"/>
            <w:shd w:val="clear" w:color="auto" w:fill="auto"/>
          </w:tcPr>
          <w:p w14:paraId="2CB75425" w14:textId="212A3F61" w:rsidR="009D74EA" w:rsidRPr="008C458A" w:rsidRDefault="00F11899" w:rsidP="00580723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lastRenderedPageBreak/>
              <w:t>Delež soglasij lastnikov kmetijskih zemljišč za uvedbo agromelioracije, če gre za zahtevno agromelioracijo</w:t>
            </w:r>
          </w:p>
        </w:tc>
        <w:tc>
          <w:tcPr>
            <w:tcW w:w="1618" w:type="dxa"/>
            <w:shd w:val="clear" w:color="auto" w:fill="auto"/>
          </w:tcPr>
          <w:p w14:paraId="1023C83E" w14:textId="760D3862" w:rsidR="009D74EA" w:rsidRPr="008C458A" w:rsidRDefault="0041171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25</w:t>
            </w:r>
          </w:p>
        </w:tc>
      </w:tr>
      <w:tr w:rsidR="00F11899" w:rsidRPr="008C458A" w14:paraId="7C293F1F" w14:textId="77777777" w:rsidTr="00FA47A0">
        <w:tc>
          <w:tcPr>
            <w:tcW w:w="7478" w:type="dxa"/>
            <w:shd w:val="clear" w:color="auto" w:fill="auto"/>
          </w:tcPr>
          <w:p w14:paraId="75CDC8B2" w14:textId="0B56BFAD" w:rsidR="00F11899" w:rsidRPr="008C458A" w:rsidRDefault="00F11899" w:rsidP="001F590E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Velikost agromelioracijskega območja</w:t>
            </w:r>
          </w:p>
        </w:tc>
        <w:tc>
          <w:tcPr>
            <w:tcW w:w="1618" w:type="dxa"/>
            <w:shd w:val="clear" w:color="auto" w:fill="auto"/>
          </w:tcPr>
          <w:p w14:paraId="72993F95" w14:textId="01042A1B" w:rsidR="00F11899" w:rsidRPr="008C458A" w:rsidRDefault="00ED6D4E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>
              <w:rPr>
                <w:rFonts w:ascii="Arial" w:hAnsi="Arial" w:cs="Arial"/>
                <w:sz w:val="20"/>
                <w:szCs w:val="22"/>
                <w:lang w:val="sl-SI"/>
              </w:rPr>
              <w:t>20</w:t>
            </w:r>
          </w:p>
        </w:tc>
      </w:tr>
      <w:tr w:rsidR="009D74EA" w:rsidRPr="008C458A" w14:paraId="626EB8C1" w14:textId="77777777" w:rsidTr="00FA47A0">
        <w:tc>
          <w:tcPr>
            <w:tcW w:w="7478" w:type="dxa"/>
            <w:shd w:val="clear" w:color="auto" w:fill="auto"/>
          </w:tcPr>
          <w:p w14:paraId="02AC74A0" w14:textId="229D7794" w:rsidR="009D74EA" w:rsidRPr="008C458A" w:rsidRDefault="00F11899" w:rsidP="00ED6D4E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Neugodna posestna sestava</w:t>
            </w:r>
            <w:r w:rsidR="00ED6D4E">
              <w:rPr>
                <w:rFonts w:ascii="Arial" w:hAnsi="Arial" w:cs="Arial"/>
                <w:sz w:val="20"/>
                <w:szCs w:val="22"/>
                <w:lang w:val="sl-SI"/>
              </w:rPr>
              <w:t xml:space="preserve"> - </w:t>
            </w: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povprečn</w:t>
            </w:r>
            <w:r w:rsidR="00ED6D4E">
              <w:rPr>
                <w:rFonts w:ascii="Arial" w:hAnsi="Arial" w:cs="Arial"/>
                <w:sz w:val="20"/>
                <w:szCs w:val="22"/>
                <w:lang w:val="sl-SI"/>
              </w:rPr>
              <w:t>o</w:t>
            </w: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 xml:space="preserve"> število parcel na hektar agromelioracijskega območja</w:t>
            </w:r>
          </w:p>
        </w:tc>
        <w:tc>
          <w:tcPr>
            <w:tcW w:w="1618" w:type="dxa"/>
            <w:shd w:val="clear" w:color="auto" w:fill="auto"/>
          </w:tcPr>
          <w:p w14:paraId="2D02E096" w14:textId="68875B68" w:rsidR="009D74EA" w:rsidRPr="008C458A" w:rsidRDefault="0041171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20</w:t>
            </w:r>
          </w:p>
        </w:tc>
      </w:tr>
      <w:tr w:rsidR="009D74EA" w:rsidRPr="008C458A" w14:paraId="5E4FA1A8" w14:textId="77777777" w:rsidTr="00FA47A0">
        <w:tc>
          <w:tcPr>
            <w:tcW w:w="7478" w:type="dxa"/>
            <w:shd w:val="clear" w:color="auto" w:fill="auto"/>
          </w:tcPr>
          <w:p w14:paraId="4CB2A1EC" w14:textId="381E6F99" w:rsidR="009D74EA" w:rsidRPr="008C458A" w:rsidRDefault="009D74EA" w:rsidP="00A25B6C">
            <w:pPr>
              <w:pStyle w:val="Odstavekseznama"/>
              <w:numPr>
                <w:ilvl w:val="0"/>
                <w:numId w:val="26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ind w:left="425" w:hanging="425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</w:rPr>
              <w:t xml:space="preserve">GEOGRAFSKI VIDIK </w:t>
            </w:r>
            <w:r w:rsidR="00F11899"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LOKACIJE NALOŽBE</w:t>
            </w:r>
            <w:r w:rsidRPr="008C458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7BFAC474" w14:textId="38986E86" w:rsidR="009D74EA" w:rsidRPr="008C458A" w:rsidRDefault="009D74E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</w:p>
        </w:tc>
      </w:tr>
      <w:tr w:rsidR="005E5A5D" w:rsidRPr="008C458A" w14:paraId="34480DB8" w14:textId="77777777" w:rsidTr="00FA47A0">
        <w:tc>
          <w:tcPr>
            <w:tcW w:w="7478" w:type="dxa"/>
            <w:shd w:val="clear" w:color="auto" w:fill="auto"/>
          </w:tcPr>
          <w:p w14:paraId="2FF98C43" w14:textId="2144E8D8" w:rsidR="005E5A5D" w:rsidRPr="008C458A" w:rsidRDefault="00F11899" w:rsidP="005E5A5D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Koeficient razvitosti občine</w:t>
            </w:r>
          </w:p>
        </w:tc>
        <w:tc>
          <w:tcPr>
            <w:tcW w:w="1618" w:type="dxa"/>
            <w:shd w:val="clear" w:color="auto" w:fill="auto"/>
          </w:tcPr>
          <w:p w14:paraId="1386C534" w14:textId="2BCA8417" w:rsidR="005E5A5D" w:rsidRPr="008C458A" w:rsidRDefault="0041171A" w:rsidP="00F1189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10</w:t>
            </w:r>
          </w:p>
        </w:tc>
      </w:tr>
      <w:tr w:rsidR="009D74EA" w:rsidRPr="008C458A" w14:paraId="44AC6E2C" w14:textId="77777777" w:rsidTr="00FA47A0">
        <w:tc>
          <w:tcPr>
            <w:tcW w:w="7478" w:type="dxa"/>
            <w:shd w:val="clear" w:color="auto" w:fill="auto"/>
          </w:tcPr>
          <w:p w14:paraId="5937F365" w14:textId="24108411" w:rsidR="009D74EA" w:rsidRPr="008C458A" w:rsidRDefault="009D74EA" w:rsidP="00A25B6C">
            <w:pPr>
              <w:pStyle w:val="Odstavekseznama"/>
              <w:numPr>
                <w:ilvl w:val="0"/>
                <w:numId w:val="26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ind w:left="425" w:hanging="425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</w:rPr>
              <w:t xml:space="preserve">PRISPEVEK K HORIZONTALNIM CILJEM </w:t>
            </w:r>
            <w:r w:rsidR="00F11899"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 xml:space="preserve">PRI </w:t>
            </w:r>
            <w:r w:rsidR="00F11899" w:rsidRPr="008C458A">
              <w:rPr>
                <w:rFonts w:ascii="Arial" w:hAnsi="Arial" w:cs="Arial"/>
                <w:b/>
                <w:sz w:val="20"/>
                <w:szCs w:val="22"/>
              </w:rPr>
              <w:t>PODNEBNIH SPREMEMB</w:t>
            </w:r>
            <w:r w:rsidR="00F11899"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AH</w:t>
            </w:r>
          </w:p>
        </w:tc>
        <w:tc>
          <w:tcPr>
            <w:tcW w:w="1618" w:type="dxa"/>
            <w:shd w:val="clear" w:color="auto" w:fill="auto"/>
          </w:tcPr>
          <w:p w14:paraId="528147CD" w14:textId="3441A566" w:rsidR="009D74EA" w:rsidRPr="008C458A" w:rsidRDefault="009D74EA" w:rsidP="000F0A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D74EA" w:rsidRPr="008C458A" w14:paraId="65740BC8" w14:textId="77777777" w:rsidTr="00FA47A0"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14:paraId="260B5AA3" w14:textId="71050A05" w:rsidR="009D74EA" w:rsidRPr="008C458A" w:rsidRDefault="00F11899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Zmanjšanje spravilnih razdalj</w:t>
            </w:r>
            <w:r w:rsidR="00ED6D4E">
              <w:rPr>
                <w:rFonts w:ascii="Arial" w:hAnsi="Arial" w:cs="Arial"/>
                <w:sz w:val="20"/>
                <w:szCs w:val="22"/>
                <w:lang w:val="sl-SI"/>
              </w:rPr>
              <w:t xml:space="preserve">, </w:t>
            </w:r>
            <w:r w:rsidR="00ED6D4E" w:rsidRPr="00ED6D4E">
              <w:rPr>
                <w:rFonts w:ascii="Arial" w:hAnsi="Arial" w:cs="Arial"/>
                <w:sz w:val="20"/>
                <w:szCs w:val="22"/>
                <w:lang w:val="sl-SI"/>
              </w:rPr>
              <w:t>stanje pred in po naložbi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1CA0F217" w14:textId="133A41FF" w:rsidR="009D74EA" w:rsidRPr="008C458A" w:rsidRDefault="0041171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sz w:val="20"/>
                <w:szCs w:val="22"/>
                <w:lang w:val="sl-SI"/>
              </w:rPr>
              <w:t>25</w:t>
            </w:r>
          </w:p>
        </w:tc>
      </w:tr>
      <w:tr w:rsidR="00F11899" w:rsidRPr="008C458A" w14:paraId="69860132" w14:textId="77777777" w:rsidTr="00FA47A0">
        <w:tc>
          <w:tcPr>
            <w:tcW w:w="7478" w:type="dxa"/>
            <w:shd w:val="clear" w:color="auto" w:fill="A6A6A6" w:themeFill="background1" w:themeFillShade="A6"/>
          </w:tcPr>
          <w:p w14:paraId="05B4C7D0" w14:textId="3BF17709" w:rsidR="00F11899" w:rsidRPr="008C458A" w:rsidRDefault="000F0A39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</w:rPr>
              <w:t>SKUPAJ</w:t>
            </w:r>
          </w:p>
        </w:tc>
        <w:tc>
          <w:tcPr>
            <w:tcW w:w="1618" w:type="dxa"/>
            <w:shd w:val="clear" w:color="auto" w:fill="A6A6A6" w:themeFill="background1" w:themeFillShade="A6"/>
          </w:tcPr>
          <w:p w14:paraId="03623488" w14:textId="3D028CBC" w:rsidR="00F11899" w:rsidRPr="008C458A" w:rsidRDefault="0041171A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100</w:t>
            </w:r>
          </w:p>
        </w:tc>
      </w:tr>
      <w:tr w:rsidR="009D74EA" w:rsidRPr="008C458A" w14:paraId="544607CF" w14:textId="77777777" w:rsidTr="00FA47A0">
        <w:tc>
          <w:tcPr>
            <w:tcW w:w="7478" w:type="dxa"/>
            <w:shd w:val="clear" w:color="auto" w:fill="A6A6A6" w:themeFill="background1" w:themeFillShade="A6"/>
          </w:tcPr>
          <w:p w14:paraId="2FF4F709" w14:textId="54E8D96B" w:rsidR="009D74EA" w:rsidRPr="008C458A" w:rsidRDefault="00F11899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VSTOPNI PRAG TOČK</w:t>
            </w:r>
          </w:p>
        </w:tc>
        <w:tc>
          <w:tcPr>
            <w:tcW w:w="1618" w:type="dxa"/>
            <w:shd w:val="clear" w:color="auto" w:fill="A6A6A6" w:themeFill="background1" w:themeFillShade="A6"/>
          </w:tcPr>
          <w:p w14:paraId="63B5E604" w14:textId="25DDCB82" w:rsidR="009D74EA" w:rsidRPr="008C458A" w:rsidRDefault="0041171A" w:rsidP="00E02D0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30</w:t>
            </w:r>
          </w:p>
        </w:tc>
      </w:tr>
    </w:tbl>
    <w:p w14:paraId="08E831DF" w14:textId="77777777" w:rsidR="009D74EA" w:rsidRPr="000F0A39" w:rsidRDefault="009D74EA" w:rsidP="009D74EA">
      <w:pPr>
        <w:pStyle w:val="Brezrazmikov"/>
        <w:jc w:val="both"/>
        <w:rPr>
          <w:rFonts w:ascii="Arial" w:hAnsi="Arial" w:cs="Arial"/>
        </w:rPr>
      </w:pPr>
    </w:p>
    <w:p w14:paraId="10A3ACD4" w14:textId="77777777" w:rsidR="008C458A" w:rsidRDefault="008C458A" w:rsidP="009D74EA">
      <w:pPr>
        <w:pStyle w:val="Brezrazmikov"/>
        <w:jc w:val="both"/>
        <w:rPr>
          <w:rFonts w:ascii="Arial" w:hAnsi="Arial" w:cs="Arial"/>
          <w:sz w:val="20"/>
        </w:rPr>
      </w:pPr>
    </w:p>
    <w:p w14:paraId="2A356E5E" w14:textId="69E6EC4E" w:rsidR="009D74EA" w:rsidRDefault="00CF6D89" w:rsidP="009D74EA">
      <w:pPr>
        <w:pStyle w:val="Brezrazmikov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Točkovalnik</w:t>
      </w:r>
      <w:r w:rsidR="0041171A" w:rsidRPr="008C458A">
        <w:rPr>
          <w:rFonts w:ascii="Arial" w:hAnsi="Arial" w:cs="Arial"/>
          <w:sz w:val="20"/>
        </w:rPr>
        <w:t>:</w:t>
      </w:r>
    </w:p>
    <w:p w14:paraId="706C952C" w14:textId="77777777" w:rsidR="008C458A" w:rsidRPr="008C458A" w:rsidRDefault="008C458A" w:rsidP="009D74EA">
      <w:pPr>
        <w:pStyle w:val="Brezrazmikov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6"/>
        <w:gridCol w:w="1600"/>
      </w:tblGrid>
      <w:tr w:rsidR="0041171A" w:rsidRPr="008C458A" w14:paraId="5DD2F601" w14:textId="77777777" w:rsidTr="00FA47A0">
        <w:tc>
          <w:tcPr>
            <w:tcW w:w="7496" w:type="dxa"/>
            <w:shd w:val="clear" w:color="auto" w:fill="auto"/>
          </w:tcPr>
          <w:p w14:paraId="73589111" w14:textId="65C5D4B5" w:rsidR="0041171A" w:rsidRPr="008C458A" w:rsidRDefault="0041171A" w:rsidP="004117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</w:rPr>
              <w:t xml:space="preserve">EKONOMSKI VIDIK NALOŽBE (maksimalno število točk </w:t>
            </w:r>
            <w:r w:rsidR="00CF6D8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C458A">
              <w:rPr>
                <w:rFonts w:ascii="Arial" w:hAnsi="Arial" w:cs="Arial"/>
                <w:b/>
                <w:sz w:val="20"/>
                <w:szCs w:val="20"/>
              </w:rPr>
              <w:t>5)</w:t>
            </w:r>
          </w:p>
        </w:tc>
        <w:tc>
          <w:tcPr>
            <w:tcW w:w="1600" w:type="dxa"/>
            <w:shd w:val="clear" w:color="auto" w:fill="auto"/>
          </w:tcPr>
          <w:p w14:paraId="27C2235A" w14:textId="77777777" w:rsidR="0041171A" w:rsidRPr="008C458A" w:rsidRDefault="0041171A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171A" w:rsidRPr="008C458A" w14:paraId="1630279C" w14:textId="77777777" w:rsidTr="00FA47A0">
        <w:tc>
          <w:tcPr>
            <w:tcW w:w="7496" w:type="dxa"/>
            <w:shd w:val="clear" w:color="auto" w:fill="auto"/>
          </w:tcPr>
          <w:p w14:paraId="5E87FAFE" w14:textId="65ABA603" w:rsidR="0041171A" w:rsidRPr="008C458A" w:rsidRDefault="0041171A" w:rsidP="00A25B6C">
            <w:pPr>
              <w:pStyle w:val="Odstavekseznama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  <w:lang w:val="sl-SI"/>
              </w:rPr>
              <w:t>Delež soglasij lastnikov kmetijskih zemljišč za uvedbo agromelioracije, če gre za zahtevno agromelioracijo</w:t>
            </w:r>
          </w:p>
          <w:p w14:paraId="5A984CEA" w14:textId="77777777" w:rsidR="0041171A" w:rsidRPr="008C458A" w:rsidRDefault="0041171A" w:rsidP="0041171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C5C07" w14:textId="022F86E8" w:rsidR="0041171A" w:rsidRPr="008C458A" w:rsidRDefault="0041171A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 xml:space="preserve">Navodilo: Za izvedbo agromelioracij kmetijskih zemljišč na komasacijskih območjih je potrebno soglasje tistih lastnikov zemljišč na komasacijskem območju, ki imajo v lasti več kot 67 odstotkov površin na komasacijskem območju (vstopni pogoj). 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M</w:t>
            </w:r>
            <w:r w:rsidRPr="008C458A">
              <w:rPr>
                <w:rFonts w:ascii="Arial" w:hAnsi="Arial" w:cs="Arial"/>
                <w:sz w:val="20"/>
                <w:szCs w:val="20"/>
              </w:rPr>
              <w:t>aksimalno število točk (25) dobijo tiste operacije, pri katerih je stopnja soglasij višja od 90 odstotkov.</w:t>
            </w:r>
          </w:p>
          <w:p w14:paraId="0388B81C" w14:textId="2F0BBFAC" w:rsidR="00C84F50" w:rsidRPr="008C458A" w:rsidRDefault="00C84F5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458A">
              <w:rPr>
                <w:rFonts w:ascii="Arial" w:hAnsi="Arial" w:cs="Arial"/>
                <w:sz w:val="20"/>
                <w:szCs w:val="20"/>
                <w:u w:val="single"/>
              </w:rPr>
              <w:t>Delež soglasij:</w:t>
            </w:r>
          </w:p>
          <w:p w14:paraId="70C502FB" w14:textId="096B70C5" w:rsidR="00C84F50" w:rsidRPr="008C458A" w:rsidRDefault="00C84F5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 xml:space="preserve">25 – 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delež soglasij je 90 % ali več</w:t>
            </w:r>
          </w:p>
          <w:p w14:paraId="51103B66" w14:textId="5E564208" w:rsidR="00C84F50" w:rsidRPr="008C458A" w:rsidRDefault="00C84F5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 xml:space="preserve">20 – delež soglasij je od 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83 % do vključno 89,99 %</w:t>
            </w:r>
          </w:p>
          <w:p w14:paraId="5DB62B0B" w14:textId="7CCB599A" w:rsidR="00C84F50" w:rsidRPr="008C458A" w:rsidRDefault="00C84F5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15 – delež soglasij je od 7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7</w:t>
            </w:r>
            <w:r w:rsidRPr="008C458A">
              <w:rPr>
                <w:rFonts w:ascii="Arial" w:hAnsi="Arial" w:cs="Arial"/>
                <w:sz w:val="20"/>
                <w:szCs w:val="20"/>
              </w:rPr>
              <w:t xml:space="preserve"> % do vključno 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82</w:t>
            </w:r>
            <w:r w:rsidRPr="008C458A">
              <w:rPr>
                <w:rFonts w:ascii="Arial" w:hAnsi="Arial" w:cs="Arial"/>
                <w:sz w:val="20"/>
                <w:szCs w:val="20"/>
              </w:rPr>
              <w:t xml:space="preserve">,99 % </w:t>
            </w:r>
          </w:p>
          <w:p w14:paraId="6458A1BE" w14:textId="12A6225A" w:rsidR="00C84F50" w:rsidRPr="008C458A" w:rsidRDefault="00C84F5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10 – delež soglasij je od 7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1</w:t>
            </w:r>
            <w:r w:rsidRPr="008C458A">
              <w:rPr>
                <w:rFonts w:ascii="Arial" w:hAnsi="Arial" w:cs="Arial"/>
                <w:sz w:val="20"/>
                <w:szCs w:val="20"/>
              </w:rPr>
              <w:t xml:space="preserve"> % do vključno 7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6</w:t>
            </w:r>
            <w:r w:rsidRPr="008C458A">
              <w:rPr>
                <w:rFonts w:ascii="Arial" w:hAnsi="Arial" w:cs="Arial"/>
                <w:sz w:val="20"/>
                <w:szCs w:val="20"/>
              </w:rPr>
              <w:t>,99 %</w:t>
            </w:r>
          </w:p>
          <w:p w14:paraId="01347B0E" w14:textId="30C0D308" w:rsidR="00E00F82" w:rsidRPr="008C458A" w:rsidRDefault="00C84F50" w:rsidP="00E00F8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 xml:space="preserve">5 – delež soglasij je višji od 67 % do vključno 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>70</w:t>
            </w:r>
            <w:r w:rsidRPr="008C458A">
              <w:rPr>
                <w:rFonts w:ascii="Arial" w:hAnsi="Arial" w:cs="Arial"/>
                <w:sz w:val="20"/>
                <w:szCs w:val="20"/>
              </w:rPr>
              <w:t>,99 %</w:t>
            </w:r>
          </w:p>
        </w:tc>
        <w:tc>
          <w:tcPr>
            <w:tcW w:w="1600" w:type="dxa"/>
            <w:shd w:val="clear" w:color="auto" w:fill="auto"/>
          </w:tcPr>
          <w:p w14:paraId="556170C5" w14:textId="77777777" w:rsidR="0041171A" w:rsidRPr="008C458A" w:rsidRDefault="0041171A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  <w:lang w:val="sl-SI"/>
              </w:rPr>
              <w:t>25</w:t>
            </w:r>
          </w:p>
        </w:tc>
      </w:tr>
      <w:tr w:rsidR="0041171A" w:rsidRPr="008C458A" w14:paraId="546057D9" w14:textId="77777777" w:rsidTr="00FA47A0">
        <w:tc>
          <w:tcPr>
            <w:tcW w:w="7496" w:type="dxa"/>
            <w:shd w:val="clear" w:color="auto" w:fill="auto"/>
          </w:tcPr>
          <w:p w14:paraId="773045EF" w14:textId="7460C307" w:rsidR="0041171A" w:rsidRPr="008C458A" w:rsidRDefault="0041171A" w:rsidP="00A25B6C">
            <w:pPr>
              <w:pStyle w:val="Odstavekseznama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  <w:lang w:val="sl-SI"/>
              </w:rPr>
              <w:t>Velikost agromelioracijskega območja</w:t>
            </w:r>
          </w:p>
          <w:p w14:paraId="5337FF5A" w14:textId="77777777" w:rsidR="00C84F50" w:rsidRPr="008C458A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</w:pPr>
          </w:p>
          <w:p w14:paraId="218F111D" w14:textId="349D64FB" w:rsidR="00C84F50" w:rsidRPr="001250C0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  <w:t xml:space="preserve">Navodilo: Velikost agromelioracijskega območja je povezana z interesom lastnikov </w:t>
            </w:r>
            <w:r w:rsidRPr="001250C0"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  <w:t>zemljišč na posameznem območju.</w:t>
            </w:r>
            <w:r w:rsidR="00302B60"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  <w:t xml:space="preserve"> Velikost agromelioracijskega območja je enaka velikosti komasacijskega območja.</w:t>
            </w:r>
          </w:p>
          <w:p w14:paraId="42558A45" w14:textId="77777777" w:rsidR="00E00F82" w:rsidRPr="001250C0" w:rsidRDefault="00E00F82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</w:pPr>
          </w:p>
          <w:p w14:paraId="4699FA39" w14:textId="77777777" w:rsidR="00E00F82" w:rsidRPr="008C458A" w:rsidRDefault="00E00F82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458A">
              <w:rPr>
                <w:rFonts w:ascii="Arial" w:hAnsi="Arial" w:cs="Arial"/>
                <w:sz w:val="20"/>
                <w:szCs w:val="20"/>
                <w:u w:val="single"/>
              </w:rPr>
              <w:t>Velikost agromelioracijskega območja:</w:t>
            </w:r>
          </w:p>
          <w:p w14:paraId="1C214576" w14:textId="1D884F6A" w:rsidR="00E00F82" w:rsidRPr="008C458A" w:rsidRDefault="00FA47A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 xml:space="preserve"> – agromelioracijsko območje je večje od 300 ha</w:t>
            </w:r>
          </w:p>
          <w:p w14:paraId="185E0D0A" w14:textId="115B45D7" w:rsidR="00E00F82" w:rsidRPr="008C458A" w:rsidRDefault="00E00F82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</w:t>
            </w:r>
            <w:r w:rsidR="00FA47A0">
              <w:rPr>
                <w:rFonts w:ascii="Arial" w:hAnsi="Arial" w:cs="Arial"/>
                <w:sz w:val="20"/>
                <w:szCs w:val="20"/>
              </w:rPr>
              <w:t>7</w:t>
            </w:r>
            <w:r w:rsidRPr="008C458A">
              <w:rPr>
                <w:rFonts w:ascii="Arial" w:hAnsi="Arial" w:cs="Arial"/>
                <w:sz w:val="20"/>
                <w:szCs w:val="20"/>
              </w:rPr>
              <w:t xml:space="preserve"> – agromelioracijsko območje je veliko od 250 ha do vključno 299,99 ha</w:t>
            </w:r>
          </w:p>
          <w:p w14:paraId="7B463A64" w14:textId="759302A6" w:rsidR="00E00F82" w:rsidRPr="008C458A" w:rsidRDefault="00E00F82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</w:t>
            </w:r>
            <w:r w:rsidR="00FA47A0">
              <w:rPr>
                <w:rFonts w:ascii="Arial" w:hAnsi="Arial" w:cs="Arial"/>
                <w:sz w:val="20"/>
                <w:szCs w:val="20"/>
              </w:rPr>
              <w:t>4</w:t>
            </w:r>
            <w:r w:rsidRPr="008C458A">
              <w:rPr>
                <w:rFonts w:ascii="Arial" w:hAnsi="Arial" w:cs="Arial"/>
                <w:sz w:val="20"/>
                <w:szCs w:val="20"/>
              </w:rPr>
              <w:t xml:space="preserve"> – agromelioracijsko območje je veliko od 200 ha do vključno 249,99 ha</w:t>
            </w:r>
          </w:p>
          <w:p w14:paraId="5C26AE2F" w14:textId="23D98754" w:rsidR="00E00F82" w:rsidRPr="008C458A" w:rsidRDefault="00FA47A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 xml:space="preserve"> – agromelioracijsko območje je veliko od 150 ha do vključno 199,99 ha</w:t>
            </w:r>
          </w:p>
          <w:p w14:paraId="065220C6" w14:textId="6B296014" w:rsidR="00E00F82" w:rsidRPr="008C458A" w:rsidRDefault="00FA47A0" w:rsidP="00C84F5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00F82" w:rsidRPr="008C458A">
              <w:rPr>
                <w:rFonts w:ascii="Arial" w:hAnsi="Arial" w:cs="Arial"/>
                <w:sz w:val="20"/>
                <w:szCs w:val="20"/>
              </w:rPr>
              <w:t xml:space="preserve"> – agromelioracijsko območje je veliko od 100 ha do vključno 149,99 ha</w:t>
            </w:r>
          </w:p>
          <w:p w14:paraId="4A4F65D0" w14:textId="412DC3B6" w:rsidR="00E00F82" w:rsidRPr="008C458A" w:rsidRDefault="00E00F82" w:rsidP="00A719E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3 – agromelioracijsko območje je veliko do vključno 99,99 ha</w:t>
            </w:r>
          </w:p>
        </w:tc>
        <w:tc>
          <w:tcPr>
            <w:tcW w:w="1600" w:type="dxa"/>
            <w:shd w:val="clear" w:color="auto" w:fill="auto"/>
          </w:tcPr>
          <w:p w14:paraId="6301BA98" w14:textId="300D7B90" w:rsidR="0041171A" w:rsidRPr="008C458A" w:rsidRDefault="00CF6D89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20</w:t>
            </w:r>
          </w:p>
        </w:tc>
      </w:tr>
      <w:tr w:rsidR="0041171A" w:rsidRPr="008C458A" w14:paraId="40ACC674" w14:textId="77777777" w:rsidTr="00FA47A0">
        <w:tc>
          <w:tcPr>
            <w:tcW w:w="7496" w:type="dxa"/>
            <w:shd w:val="clear" w:color="auto" w:fill="auto"/>
          </w:tcPr>
          <w:p w14:paraId="264BF078" w14:textId="52EEC730" w:rsidR="0041171A" w:rsidRPr="008C458A" w:rsidRDefault="0041171A" w:rsidP="00CF6D89">
            <w:pPr>
              <w:pStyle w:val="Odstavekseznama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Neugodna posestna sestava</w:t>
            </w:r>
            <w:r w:rsidR="00CF6D8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CF6D89" w:rsidRPr="00CF6D89">
              <w:rPr>
                <w:rFonts w:ascii="Arial" w:hAnsi="Arial" w:cs="Arial"/>
                <w:b/>
                <w:sz w:val="20"/>
                <w:szCs w:val="20"/>
                <w:lang w:val="sl-SI"/>
              </w:rPr>
              <w:t>- povprečno število parcel na hektar agromelioracijskega območja</w:t>
            </w:r>
          </w:p>
          <w:p w14:paraId="79CB797E" w14:textId="77777777" w:rsidR="00C84F50" w:rsidRPr="008C458A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</w:pPr>
          </w:p>
          <w:p w14:paraId="1E0CF330" w14:textId="13785DC8" w:rsidR="00C84F50" w:rsidRPr="008C458A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  <w:t>Navodilo: Neugodna posestna struktura se izračuna tako, da se število parcel na posameznem agromelioracijskem območju deli s površino agromelioracijskega območja. Vstopni pogoj za dodelitev sredstev je, da je na agromelioracijskem območju posestna razdrobljenost večja od 2 parcel na hektar.</w:t>
            </w:r>
            <w:r w:rsidR="00302B60">
              <w:rPr>
                <w:rFonts w:ascii="Arial" w:eastAsiaTheme="minorHAnsi" w:hAnsi="Arial" w:cs="Arial"/>
                <w:sz w:val="20"/>
                <w:szCs w:val="20"/>
                <w:lang w:val="sl-SI" w:eastAsia="en-US"/>
              </w:rPr>
              <w:t xml:space="preserve"> Ta pogoj se nanaša na število parcel na ha pred izvedbo komasacije.</w:t>
            </w:r>
          </w:p>
          <w:p w14:paraId="3798E53D" w14:textId="77777777" w:rsidR="004B2FC4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5870E" w14:textId="35EE402B" w:rsidR="004B2FC4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458A">
              <w:rPr>
                <w:rFonts w:ascii="Arial" w:hAnsi="Arial" w:cs="Arial"/>
                <w:sz w:val="20"/>
                <w:szCs w:val="20"/>
                <w:u w:val="single"/>
              </w:rPr>
              <w:t>Neugodna posestna sestava:</w:t>
            </w:r>
          </w:p>
          <w:p w14:paraId="05FAFD1B" w14:textId="0407BAE0" w:rsidR="004B2FC4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20 – število parcel na ha agromelioracijskega območja višje od 3</w:t>
            </w:r>
          </w:p>
          <w:p w14:paraId="08CCA032" w14:textId="644FE21C" w:rsidR="004B2FC4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15 – število parcel na ha agromelioracijskega območja je od 2,60 do vključno 3</w:t>
            </w:r>
          </w:p>
          <w:p w14:paraId="2D2A5829" w14:textId="2F231837" w:rsidR="004B2FC4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10 – število parcel na ha agromelioracijskega območja je od 2,30 do vključno 2,59</w:t>
            </w:r>
          </w:p>
          <w:p w14:paraId="0F16F8A0" w14:textId="7229ED98" w:rsidR="00C84F50" w:rsidRPr="008C458A" w:rsidRDefault="004B2FC4" w:rsidP="004B2FC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458A">
              <w:rPr>
                <w:rFonts w:ascii="Arial" w:hAnsi="Arial" w:cs="Arial"/>
                <w:sz w:val="20"/>
                <w:szCs w:val="20"/>
              </w:rPr>
              <w:t>5 – število parcel na ha agromelioracijskega območja je od 2 do vključno 2,29</w:t>
            </w:r>
          </w:p>
        </w:tc>
        <w:tc>
          <w:tcPr>
            <w:tcW w:w="1600" w:type="dxa"/>
            <w:shd w:val="clear" w:color="auto" w:fill="auto"/>
          </w:tcPr>
          <w:p w14:paraId="7F4CCEF7" w14:textId="77777777" w:rsidR="0041171A" w:rsidRPr="008C458A" w:rsidRDefault="0041171A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0"/>
                <w:lang w:val="sl-SI"/>
              </w:rPr>
              <w:t>20</w:t>
            </w:r>
          </w:p>
        </w:tc>
      </w:tr>
    </w:tbl>
    <w:p w14:paraId="48D51171" w14:textId="77777777" w:rsidR="0041171A" w:rsidRPr="00124FF3" w:rsidRDefault="0041171A" w:rsidP="009D74EA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1"/>
        <w:gridCol w:w="1605"/>
      </w:tblGrid>
      <w:tr w:rsidR="00C84F50" w:rsidRPr="008C458A" w14:paraId="7A4C29A2" w14:textId="77777777" w:rsidTr="00C578C5">
        <w:tc>
          <w:tcPr>
            <w:tcW w:w="7590" w:type="dxa"/>
            <w:shd w:val="clear" w:color="auto" w:fill="auto"/>
          </w:tcPr>
          <w:p w14:paraId="6A74EC5F" w14:textId="77777777" w:rsidR="00C84F50" w:rsidRPr="008C458A" w:rsidRDefault="00C84F50" w:rsidP="00C84F50">
            <w:p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8C458A">
              <w:rPr>
                <w:rFonts w:ascii="Arial" w:hAnsi="Arial" w:cs="Arial"/>
                <w:b/>
                <w:sz w:val="20"/>
              </w:rPr>
              <w:t xml:space="preserve">GEOGRAFSKI VIDIK LOKACIJE NALOŽBE </w:t>
            </w:r>
          </w:p>
        </w:tc>
        <w:tc>
          <w:tcPr>
            <w:tcW w:w="1624" w:type="dxa"/>
            <w:shd w:val="clear" w:color="auto" w:fill="auto"/>
          </w:tcPr>
          <w:p w14:paraId="229CF412" w14:textId="77777777" w:rsidR="00C84F50" w:rsidRPr="008C458A" w:rsidRDefault="00C84F50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</w:p>
        </w:tc>
      </w:tr>
      <w:tr w:rsidR="00C84F50" w:rsidRPr="008C458A" w14:paraId="0294C340" w14:textId="77777777" w:rsidTr="00C578C5">
        <w:tc>
          <w:tcPr>
            <w:tcW w:w="7590" w:type="dxa"/>
            <w:shd w:val="clear" w:color="auto" w:fill="auto"/>
          </w:tcPr>
          <w:p w14:paraId="7134D780" w14:textId="783D2452" w:rsidR="00C84F50" w:rsidRPr="008C458A" w:rsidRDefault="00C84F50" w:rsidP="00C84F50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Koeficient razvitosti občine</w:t>
            </w:r>
          </w:p>
          <w:p w14:paraId="133C315B" w14:textId="77777777" w:rsidR="00C84F50" w:rsidRPr="008C458A" w:rsidRDefault="00C84F50" w:rsidP="00C84F50">
            <w:pPr>
              <w:pStyle w:val="Odstavekseznama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  <w:p w14:paraId="00D77855" w14:textId="45075B0E" w:rsidR="00C84F50" w:rsidRPr="008C458A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t xml:space="preserve">Navodilo: Vlada Republike Slovenije določi koeficient razvitosti občin. Nižji kot je koeficient, slabše je razvita občina. Občine z nižjim koeficientom tako bolj potrebujejo investicijske ukrepe, saj so razmere za razvoj kmetijstva v teh občinah finančno in socialno slabe. </w:t>
            </w:r>
          </w:p>
          <w:p w14:paraId="6B079D8D" w14:textId="77777777" w:rsidR="00E37D7D" w:rsidRPr="008C458A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1E342675" w14:textId="51B41046" w:rsidR="00E37D7D" w:rsidRPr="008C458A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u w:val="single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2"/>
                <w:u w:val="single"/>
                <w:lang w:val="sl-SI" w:eastAsia="en-US"/>
              </w:rPr>
              <w:t>Koeficient razvitosti občine:</w:t>
            </w:r>
          </w:p>
          <w:p w14:paraId="6B348CCA" w14:textId="77777777" w:rsidR="00E37D7D" w:rsidRPr="008C458A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5A0A17FE" w14:textId="46C9A552" w:rsidR="00E37D7D" w:rsidRPr="008C458A" w:rsidRDefault="00E37D7D" w:rsidP="00E37D7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10 – koeficient razvitosti občine je 0,8 ali manjši</w:t>
            </w:r>
          </w:p>
          <w:p w14:paraId="40D80D23" w14:textId="08E1A642" w:rsidR="00E37D7D" w:rsidRPr="008C458A" w:rsidRDefault="00E37D7D" w:rsidP="00E37D7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5 – koeficient razvitosti občine je večji kot 0,8 do vključno 1,00</w:t>
            </w:r>
          </w:p>
          <w:p w14:paraId="2212BB6A" w14:textId="77777777" w:rsidR="00C84F50" w:rsidRDefault="00E37D7D" w:rsidP="00A719E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1 – koeficient raz</w:t>
            </w:r>
            <w:r w:rsidR="00A719EF">
              <w:rPr>
                <w:rFonts w:ascii="Arial" w:hAnsi="Arial" w:cs="Arial"/>
                <w:sz w:val="20"/>
              </w:rPr>
              <w:t>vitosti občine je večji od 1,00</w:t>
            </w:r>
          </w:p>
          <w:p w14:paraId="56E6168C" w14:textId="3CE55A3A" w:rsidR="00FA47A0" w:rsidRPr="008C458A" w:rsidRDefault="00FA47A0" w:rsidP="00FA47A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Seznam občin s pripisanimi koeficienti razvitosti je priloga v razpisni dokumentaciji.</w:t>
            </w:r>
          </w:p>
        </w:tc>
        <w:tc>
          <w:tcPr>
            <w:tcW w:w="1624" w:type="dxa"/>
            <w:shd w:val="clear" w:color="auto" w:fill="auto"/>
          </w:tcPr>
          <w:p w14:paraId="53FBEBE0" w14:textId="77777777" w:rsidR="00C84F50" w:rsidRPr="008C458A" w:rsidRDefault="00C84F50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10</w:t>
            </w:r>
          </w:p>
        </w:tc>
      </w:tr>
    </w:tbl>
    <w:p w14:paraId="5ED7D5BA" w14:textId="77777777" w:rsidR="00495C5C" w:rsidRDefault="00495C5C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3"/>
        <w:gridCol w:w="1603"/>
      </w:tblGrid>
      <w:tr w:rsidR="00C84F50" w:rsidRPr="008C458A" w14:paraId="408F60CE" w14:textId="77777777" w:rsidTr="00C578C5">
        <w:tc>
          <w:tcPr>
            <w:tcW w:w="7590" w:type="dxa"/>
            <w:shd w:val="clear" w:color="auto" w:fill="auto"/>
          </w:tcPr>
          <w:p w14:paraId="321FCC97" w14:textId="77777777" w:rsidR="00C84F50" w:rsidRPr="008C458A" w:rsidRDefault="00C84F50" w:rsidP="00C84F50">
            <w:pPr>
              <w:tabs>
                <w:tab w:val="left" w:pos="42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8C458A">
              <w:rPr>
                <w:rFonts w:ascii="Arial" w:hAnsi="Arial" w:cs="Arial"/>
                <w:b/>
                <w:sz w:val="20"/>
              </w:rPr>
              <w:t>PRISPEVEK K HORIZONTALNIM CILJEM PRI PODNEBNIH SPREMEMBAH</w:t>
            </w:r>
          </w:p>
        </w:tc>
        <w:tc>
          <w:tcPr>
            <w:tcW w:w="1624" w:type="dxa"/>
            <w:shd w:val="clear" w:color="auto" w:fill="auto"/>
          </w:tcPr>
          <w:p w14:paraId="08F88192" w14:textId="77777777" w:rsidR="00C84F50" w:rsidRPr="008C458A" w:rsidRDefault="00C84F50" w:rsidP="00C578C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84F50" w:rsidRPr="008C458A" w14:paraId="09FBB5F7" w14:textId="77777777" w:rsidTr="00C578C5">
        <w:tc>
          <w:tcPr>
            <w:tcW w:w="7590" w:type="dxa"/>
            <w:tcBorders>
              <w:bottom w:val="single" w:sz="4" w:space="0" w:color="auto"/>
            </w:tcBorders>
            <w:shd w:val="clear" w:color="auto" w:fill="auto"/>
          </w:tcPr>
          <w:p w14:paraId="0AC6E410" w14:textId="7EB85518" w:rsidR="00C84F50" w:rsidRPr="008C458A" w:rsidRDefault="00E37D7D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Z</w:t>
            </w:r>
            <w:r w:rsidR="00C84F50"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t>manjšanje spravilnih razdalj</w:t>
            </w:r>
            <w:r w:rsidR="00CF6D89" w:rsidRPr="00CF6D89">
              <w:rPr>
                <w:rFonts w:ascii="Arial" w:hAnsi="Arial" w:cs="Arial"/>
                <w:b/>
                <w:sz w:val="20"/>
                <w:szCs w:val="22"/>
                <w:lang w:val="sl-SI"/>
              </w:rPr>
              <w:t>, stanje pred in po naložbi</w:t>
            </w:r>
          </w:p>
          <w:p w14:paraId="03E128FF" w14:textId="77777777" w:rsidR="00E37D7D" w:rsidRPr="008C458A" w:rsidRDefault="00E37D7D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  <w:p w14:paraId="77900858" w14:textId="00B2EFFB" w:rsidR="00C84F50" w:rsidRPr="008C458A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t xml:space="preserve">Navodilo: Z izvedbo agromelioracij na komasacijskih območjih se uredijo nove poljske poti. Z izvedbo komasacij pa se na novo delijo zemljišča komasacijskega sklada. Cilj komasacije je, da vsak komasacijski udeleženec dobi čim bolj zaokroženo zemljišče. S tem je omogočena hitrejša in racionalnejša obdelava kmetijskih zemljišč. S komasacijo se prav tako zmanjša število obdelovalnih kosov posameznega komasacijskega udeleženca. Z zmanjšanjem števila obdelovalnih kosov se zmanjšajo tudi spravilne razdalje, ki so razdalje od naslova kmetijskega gospodarstva do roba obdelovalnega kosa. </w:t>
            </w:r>
          </w:p>
          <w:p w14:paraId="6B9CFD6B" w14:textId="6676F7EC" w:rsidR="00C84F50" w:rsidRPr="001250C0" w:rsidRDefault="00C84F5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t xml:space="preserve">Za izračun se primerja dolžina spravilnih razdalj posameznega kmetijskega gospodarstva, ki je vključeno v operacijo, in sicer dolžina spravilnih razdalj pred izvedbo </w:t>
            </w:r>
            <w:r w:rsidRPr="001250C0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t>operacije se primerja z dolžino spravilnih razdalj po izvedbi operacije.</w:t>
            </w:r>
          </w:p>
          <w:p w14:paraId="7D857A83" w14:textId="77777777" w:rsidR="00E37D7D" w:rsidRPr="001250C0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14721A2C" w14:textId="436BE6A7" w:rsidR="00E37D7D" w:rsidRPr="001250C0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  <w:r w:rsidRPr="001250C0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lastRenderedPageBreak/>
              <w:t>V izračun se vključijo tista kmetijska gospodarstva, ki imajo sedež kmetijskega gospodarstva znotraj agromelioracijskega območja oziroma so od najbližjega roba agromelioracijskega območja oddaljena manj kot 10 kilometrov.</w:t>
            </w:r>
          </w:p>
          <w:p w14:paraId="264D6317" w14:textId="77777777" w:rsidR="003669B0" w:rsidRPr="001250C0" w:rsidRDefault="003669B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01DF211B" w14:textId="3FE404E2" w:rsidR="003669B0" w:rsidRPr="008C458A" w:rsidRDefault="003669B0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  <w:r w:rsidRPr="001250C0"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  <w:t>Za izhodišče se vzame katastrsko stanje pred izvedbo komasacije kmetijskih zemljišč, ki se primerja s stanjem po izvedeni komasaciji oziroma s stanjem, kot je predvideno po idejni zasnovi ureditve komasacijskega območja.</w:t>
            </w:r>
          </w:p>
          <w:p w14:paraId="7862BE0E" w14:textId="77777777" w:rsidR="00E37D7D" w:rsidRPr="008C458A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04B9FEBC" w14:textId="6E6E319C" w:rsidR="00E37D7D" w:rsidRPr="008C458A" w:rsidRDefault="00E37D7D" w:rsidP="00C84F50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u w:val="single"/>
                <w:lang w:val="sl-SI" w:eastAsia="en-US"/>
              </w:rPr>
            </w:pPr>
            <w:r w:rsidRPr="008C458A">
              <w:rPr>
                <w:rFonts w:ascii="Arial" w:eastAsiaTheme="minorHAnsi" w:hAnsi="Arial" w:cs="Arial"/>
                <w:sz w:val="20"/>
                <w:szCs w:val="22"/>
                <w:u w:val="single"/>
                <w:lang w:val="sl-SI" w:eastAsia="en-US"/>
              </w:rPr>
              <w:t>Zmanjšanje spravilnih razdalj:</w:t>
            </w:r>
          </w:p>
          <w:p w14:paraId="7BECB050" w14:textId="77777777" w:rsidR="00E37D7D" w:rsidRPr="008C458A" w:rsidRDefault="00E37D7D" w:rsidP="00E37D7D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0"/>
                <w:szCs w:val="22"/>
                <w:lang w:val="sl-SI" w:eastAsia="en-US"/>
              </w:rPr>
            </w:pPr>
          </w:p>
          <w:p w14:paraId="4234E061" w14:textId="42E3DBF9" w:rsidR="00E37D7D" w:rsidRPr="008C458A" w:rsidRDefault="00E37D7D" w:rsidP="00E37D7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2</w:t>
            </w:r>
            <w:r w:rsidR="003669B0" w:rsidRPr="008C458A">
              <w:rPr>
                <w:rFonts w:ascii="Arial" w:hAnsi="Arial" w:cs="Arial"/>
                <w:sz w:val="20"/>
              </w:rPr>
              <w:t>5</w:t>
            </w:r>
            <w:r w:rsidRPr="008C458A">
              <w:rPr>
                <w:rFonts w:ascii="Arial" w:hAnsi="Arial" w:cs="Arial"/>
                <w:sz w:val="20"/>
              </w:rPr>
              <w:t xml:space="preserve"> – skupna dolžina sp</w:t>
            </w:r>
            <w:r w:rsidR="006B21A3">
              <w:rPr>
                <w:rFonts w:ascii="Arial" w:hAnsi="Arial" w:cs="Arial"/>
                <w:sz w:val="20"/>
              </w:rPr>
              <w:t>ravilnih razdalj se zmanjša za 35</w:t>
            </w:r>
            <w:r w:rsidRPr="008C458A">
              <w:rPr>
                <w:rFonts w:ascii="Arial" w:hAnsi="Arial" w:cs="Arial"/>
                <w:sz w:val="20"/>
              </w:rPr>
              <w:t xml:space="preserve"> % ali več</w:t>
            </w:r>
          </w:p>
          <w:p w14:paraId="2DCC3C4A" w14:textId="5ECA04F5" w:rsidR="00E37D7D" w:rsidRPr="008C458A" w:rsidRDefault="00E37D7D" w:rsidP="00E37D7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1</w:t>
            </w:r>
            <w:r w:rsidR="003669B0" w:rsidRPr="008C458A">
              <w:rPr>
                <w:rFonts w:ascii="Arial" w:hAnsi="Arial" w:cs="Arial"/>
                <w:sz w:val="20"/>
              </w:rPr>
              <w:t>8</w:t>
            </w:r>
            <w:r w:rsidRPr="008C458A">
              <w:rPr>
                <w:rFonts w:ascii="Arial" w:hAnsi="Arial" w:cs="Arial"/>
                <w:sz w:val="20"/>
              </w:rPr>
              <w:t xml:space="preserve"> – skupna dolžina sp</w:t>
            </w:r>
            <w:r w:rsidR="006B21A3">
              <w:rPr>
                <w:rFonts w:ascii="Arial" w:hAnsi="Arial" w:cs="Arial"/>
                <w:sz w:val="20"/>
              </w:rPr>
              <w:t>ravilnih razdalj se zmanjša za 2</w:t>
            </w:r>
            <w:r w:rsidRPr="008C458A">
              <w:rPr>
                <w:rFonts w:ascii="Arial" w:hAnsi="Arial" w:cs="Arial"/>
                <w:sz w:val="20"/>
              </w:rPr>
              <w:t xml:space="preserve">5 % do vključno </w:t>
            </w:r>
            <w:r w:rsidR="006B21A3">
              <w:rPr>
                <w:rFonts w:ascii="Arial" w:hAnsi="Arial" w:cs="Arial"/>
                <w:sz w:val="20"/>
              </w:rPr>
              <w:t>34</w:t>
            </w:r>
            <w:r w:rsidRPr="008C458A">
              <w:rPr>
                <w:rFonts w:ascii="Arial" w:hAnsi="Arial" w:cs="Arial"/>
                <w:sz w:val="20"/>
              </w:rPr>
              <w:t>,99 %</w:t>
            </w:r>
          </w:p>
          <w:p w14:paraId="7EE8DBFE" w14:textId="672AE43D" w:rsidR="00E37D7D" w:rsidRPr="008C458A" w:rsidRDefault="00E37D7D" w:rsidP="00E37D7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>1</w:t>
            </w:r>
            <w:r w:rsidR="003669B0" w:rsidRPr="008C458A">
              <w:rPr>
                <w:rFonts w:ascii="Arial" w:hAnsi="Arial" w:cs="Arial"/>
                <w:sz w:val="20"/>
              </w:rPr>
              <w:t>2</w:t>
            </w:r>
            <w:r w:rsidRPr="008C458A">
              <w:rPr>
                <w:rFonts w:ascii="Arial" w:hAnsi="Arial" w:cs="Arial"/>
                <w:sz w:val="20"/>
              </w:rPr>
              <w:t xml:space="preserve"> – skupna dolžina spravilnih razdalj </w:t>
            </w:r>
            <w:r w:rsidR="006B21A3">
              <w:rPr>
                <w:rFonts w:ascii="Arial" w:hAnsi="Arial" w:cs="Arial"/>
                <w:sz w:val="20"/>
              </w:rPr>
              <w:t>se zmanjša za 15 % do vključno 2</w:t>
            </w:r>
            <w:r w:rsidRPr="008C458A">
              <w:rPr>
                <w:rFonts w:ascii="Arial" w:hAnsi="Arial" w:cs="Arial"/>
                <w:sz w:val="20"/>
              </w:rPr>
              <w:t>4,99 %</w:t>
            </w:r>
          </w:p>
          <w:p w14:paraId="21717D96" w14:textId="628BF666" w:rsidR="00E37D7D" w:rsidRPr="008C458A" w:rsidRDefault="00E37D7D" w:rsidP="003669B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C458A">
              <w:rPr>
                <w:rFonts w:ascii="Arial" w:hAnsi="Arial" w:cs="Arial"/>
                <w:sz w:val="20"/>
              </w:rPr>
              <w:t xml:space="preserve">5 – skupna dolžina spravilnih razdalj se zmanjša za </w:t>
            </w:r>
            <w:r w:rsidR="003669B0" w:rsidRPr="008C458A">
              <w:rPr>
                <w:rFonts w:ascii="Arial" w:hAnsi="Arial" w:cs="Arial"/>
                <w:sz w:val="20"/>
              </w:rPr>
              <w:t>5</w:t>
            </w:r>
            <w:r w:rsidRPr="008C458A">
              <w:rPr>
                <w:rFonts w:ascii="Arial" w:hAnsi="Arial" w:cs="Arial"/>
                <w:sz w:val="20"/>
              </w:rPr>
              <w:t xml:space="preserve"> % </w:t>
            </w:r>
            <w:r w:rsidR="006B21A3">
              <w:rPr>
                <w:rFonts w:ascii="Arial" w:hAnsi="Arial" w:cs="Arial"/>
                <w:sz w:val="20"/>
              </w:rPr>
              <w:t>do vključno 14</w:t>
            </w:r>
            <w:r w:rsidR="003669B0" w:rsidRPr="008C458A">
              <w:rPr>
                <w:rFonts w:ascii="Arial" w:hAnsi="Arial" w:cs="Arial"/>
                <w:sz w:val="20"/>
              </w:rPr>
              <w:t>,99 %</w:t>
            </w:r>
          </w:p>
          <w:p w14:paraId="5781A377" w14:textId="77777777" w:rsidR="00C84F50" w:rsidRPr="008C458A" w:rsidRDefault="00C84F50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2"/>
                <w:lang w:val="sl-SI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2368E3E6" w14:textId="77777777" w:rsidR="00C84F50" w:rsidRPr="008C458A" w:rsidRDefault="00C84F50" w:rsidP="00C578C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2"/>
                <w:lang w:val="sl-SI"/>
              </w:rPr>
            </w:pPr>
            <w:r w:rsidRPr="008C458A">
              <w:rPr>
                <w:rFonts w:ascii="Arial" w:hAnsi="Arial" w:cs="Arial"/>
                <w:b/>
                <w:sz w:val="20"/>
                <w:szCs w:val="22"/>
                <w:lang w:val="sl-SI"/>
              </w:rPr>
              <w:lastRenderedPageBreak/>
              <w:t>25</w:t>
            </w:r>
          </w:p>
        </w:tc>
      </w:tr>
    </w:tbl>
    <w:p w14:paraId="481A4041" w14:textId="77777777" w:rsidR="00C84F50" w:rsidRDefault="00C84F50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0FA7C03" w14:textId="77777777" w:rsidR="008C458A" w:rsidRPr="00124FF3" w:rsidRDefault="008C458A" w:rsidP="009D74E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5C95D2F" w14:textId="36AE6530" w:rsidR="009D74EA" w:rsidRPr="00C643EA" w:rsidRDefault="00433D8A" w:rsidP="009D74EA">
      <w:pPr>
        <w:pStyle w:val="Brezrazmikov"/>
        <w:jc w:val="both"/>
        <w:rPr>
          <w:rFonts w:ascii="Arial" w:hAnsi="Arial" w:cs="Arial"/>
          <w:b/>
        </w:rPr>
      </w:pPr>
      <w:r w:rsidRPr="00FA47A0">
        <w:rPr>
          <w:rFonts w:ascii="Arial" w:hAnsi="Arial" w:cs="Arial"/>
          <w:b/>
        </w:rPr>
        <w:t>7</w:t>
      </w:r>
      <w:r w:rsidR="00592981" w:rsidRPr="00433D8A">
        <w:rPr>
          <w:rFonts w:ascii="Arial" w:hAnsi="Arial" w:cs="Arial"/>
          <w:b/>
        </w:rPr>
        <w:t xml:space="preserve">. </w:t>
      </w:r>
      <w:r w:rsidR="009D74EA" w:rsidRPr="00433D8A">
        <w:rPr>
          <w:rFonts w:ascii="Arial" w:hAnsi="Arial" w:cs="Arial"/>
          <w:b/>
        </w:rPr>
        <w:t xml:space="preserve">FINANČNE </w:t>
      </w:r>
      <w:r w:rsidR="009D74EA" w:rsidRPr="00C643EA">
        <w:rPr>
          <w:rFonts w:ascii="Arial" w:hAnsi="Arial" w:cs="Arial"/>
          <w:b/>
        </w:rPr>
        <w:t>DOLOČBE</w:t>
      </w:r>
    </w:p>
    <w:p w14:paraId="5908BD92" w14:textId="77777777" w:rsidR="009D74EA" w:rsidRPr="00124FF3" w:rsidRDefault="009D74EA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063CD41D" w14:textId="2868FD26" w:rsidR="008C458A" w:rsidRDefault="001250C0" w:rsidP="008C45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Finančne določbe so opredeljene v 49. člen</w:t>
      </w:r>
      <w:r w:rsidR="00C50D7A"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 xml:space="preserve"> Uredbe.</w:t>
      </w:r>
      <w:r w:rsidRPr="008C458A" w:rsidDel="001250C0">
        <w:rPr>
          <w:rFonts w:ascii="Arial" w:hAnsi="Arial" w:cs="Arial"/>
          <w:lang w:val="sl-SI"/>
        </w:rPr>
        <w:t xml:space="preserve"> </w:t>
      </w:r>
      <w:r w:rsidDel="001250C0">
        <w:rPr>
          <w:rFonts w:ascii="Arial" w:hAnsi="Arial" w:cs="Arial"/>
          <w:lang w:val="sl-SI"/>
        </w:rPr>
        <w:t xml:space="preserve"> </w:t>
      </w:r>
      <w:r w:rsidR="008C458A">
        <w:rPr>
          <w:rFonts w:ascii="Arial" w:hAnsi="Arial" w:cs="Arial"/>
          <w:lang w:val="sl-SI"/>
        </w:rPr>
        <w:t xml:space="preserve"> </w:t>
      </w:r>
    </w:p>
    <w:p w14:paraId="0F687356" w14:textId="77777777" w:rsidR="00FC0517" w:rsidRPr="00124FF3" w:rsidRDefault="00FC0517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51D5EC5" w14:textId="712FB426" w:rsidR="009D74EA" w:rsidRPr="00FA47A0" w:rsidRDefault="00433D8A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FA47A0">
        <w:rPr>
          <w:rFonts w:ascii="Arial" w:hAnsi="Arial" w:cs="Arial"/>
          <w:b/>
          <w:sz w:val="22"/>
          <w:szCs w:val="22"/>
          <w:lang w:val="sl-SI"/>
        </w:rPr>
        <w:t>8</w:t>
      </w:r>
      <w:r w:rsidR="00592981" w:rsidRPr="00FA47A0">
        <w:rPr>
          <w:rFonts w:ascii="Arial" w:hAnsi="Arial" w:cs="Arial"/>
          <w:b/>
          <w:sz w:val="22"/>
          <w:szCs w:val="22"/>
        </w:rPr>
        <w:t>.</w:t>
      </w:r>
      <w:r w:rsidR="00592981" w:rsidRPr="00FA47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D74EA" w:rsidRPr="00FA47A0">
        <w:rPr>
          <w:rFonts w:ascii="Arial" w:hAnsi="Arial" w:cs="Arial"/>
          <w:b/>
          <w:sz w:val="22"/>
          <w:szCs w:val="22"/>
        </w:rPr>
        <w:t>VLOGA IN POSTOPEK ZA DODELITEV SREDSTEV</w:t>
      </w:r>
      <w:r w:rsidR="008C458A" w:rsidRPr="00FA47A0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42C96BB5" w14:textId="77777777" w:rsidR="009D74EA" w:rsidRPr="00124FF3" w:rsidRDefault="009D74EA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7BD47A77" w14:textId="7D58E9A2" w:rsidR="001250C0" w:rsidRDefault="001250C0" w:rsidP="008C45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(1) Vloga in postopek za dodelitev sredstev </w:t>
      </w:r>
      <w:r w:rsidR="00D863A9">
        <w:rPr>
          <w:rFonts w:ascii="Arial" w:hAnsi="Arial" w:cs="Arial"/>
          <w:lang w:val="sl-SI"/>
        </w:rPr>
        <w:t>sta</w:t>
      </w:r>
      <w:r w:rsidR="00C50D7A">
        <w:rPr>
          <w:rFonts w:ascii="Arial" w:hAnsi="Arial" w:cs="Arial"/>
          <w:lang w:val="sl-SI"/>
        </w:rPr>
        <w:t xml:space="preserve"> določen</w:t>
      </w:r>
      <w:r w:rsidR="00D863A9">
        <w:rPr>
          <w:rFonts w:ascii="Arial" w:hAnsi="Arial" w:cs="Arial"/>
          <w:lang w:val="sl-SI"/>
        </w:rPr>
        <w:t>a</w:t>
      </w:r>
      <w:r w:rsidR="00C50D7A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v </w:t>
      </w:r>
      <w:r w:rsidRPr="001250C0">
        <w:rPr>
          <w:rFonts w:ascii="Arial" w:hAnsi="Arial" w:cs="Arial"/>
          <w:lang w:val="sl-SI"/>
        </w:rPr>
        <w:t>91., 92.</w:t>
      </w:r>
      <w:r>
        <w:rPr>
          <w:rFonts w:ascii="Arial" w:hAnsi="Arial" w:cs="Arial"/>
          <w:lang w:val="sl-SI"/>
        </w:rPr>
        <w:t>,</w:t>
      </w:r>
      <w:r w:rsidRPr="001250C0">
        <w:rPr>
          <w:rFonts w:ascii="Arial" w:hAnsi="Arial" w:cs="Arial"/>
          <w:lang w:val="sl-SI"/>
        </w:rPr>
        <w:t xml:space="preserve"> 93.</w:t>
      </w:r>
      <w:r>
        <w:rPr>
          <w:rFonts w:ascii="Arial" w:hAnsi="Arial" w:cs="Arial"/>
          <w:lang w:val="sl-SI"/>
        </w:rPr>
        <w:t xml:space="preserve"> </w:t>
      </w:r>
      <w:r w:rsidR="00E35A15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n 93.a</w:t>
      </w:r>
      <w:r w:rsidRPr="001250C0">
        <w:rPr>
          <w:rFonts w:ascii="Arial" w:hAnsi="Arial" w:cs="Arial"/>
          <w:lang w:val="sl-SI"/>
        </w:rPr>
        <w:t xml:space="preserve"> člen</w:t>
      </w:r>
      <w:r w:rsidR="00C50D7A">
        <w:rPr>
          <w:rFonts w:ascii="Arial" w:hAnsi="Arial" w:cs="Arial"/>
          <w:lang w:val="sl-SI"/>
        </w:rPr>
        <w:t>u</w:t>
      </w:r>
      <w:r w:rsidRPr="001250C0">
        <w:rPr>
          <w:rFonts w:ascii="Arial" w:hAnsi="Arial" w:cs="Arial"/>
          <w:lang w:val="sl-SI"/>
        </w:rPr>
        <w:t xml:space="preserve"> Uredbe</w:t>
      </w:r>
      <w:r>
        <w:rPr>
          <w:rFonts w:ascii="Arial" w:hAnsi="Arial" w:cs="Arial"/>
          <w:lang w:val="sl-SI"/>
        </w:rPr>
        <w:t>.</w:t>
      </w:r>
    </w:p>
    <w:p w14:paraId="0602159E" w14:textId="7174284C" w:rsidR="00C578C5" w:rsidRPr="00C578C5" w:rsidRDefault="00C578C5" w:rsidP="00C578C5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C578C5">
        <w:rPr>
          <w:rFonts w:ascii="Arial" w:hAnsi="Arial" w:cs="Arial"/>
          <w:lang w:val="sl-SI"/>
        </w:rPr>
        <w:t>(</w:t>
      </w:r>
      <w:r w:rsidR="001250C0">
        <w:rPr>
          <w:rFonts w:ascii="Arial" w:hAnsi="Arial" w:cs="Arial"/>
          <w:lang w:val="sl-SI"/>
        </w:rPr>
        <w:t>2</w:t>
      </w:r>
      <w:r w:rsidRPr="00C578C5">
        <w:rPr>
          <w:rFonts w:ascii="Arial" w:hAnsi="Arial" w:cs="Arial"/>
          <w:lang w:val="sl-SI"/>
        </w:rPr>
        <w:t>) Če imata dve ali več vlog na</w:t>
      </w:r>
      <w:r>
        <w:rPr>
          <w:rFonts w:ascii="Arial" w:hAnsi="Arial" w:cs="Arial"/>
          <w:lang w:val="sl-SI"/>
        </w:rPr>
        <w:t xml:space="preserve"> </w:t>
      </w:r>
      <w:r w:rsidRPr="00C578C5">
        <w:rPr>
          <w:rFonts w:ascii="Arial" w:hAnsi="Arial" w:cs="Arial"/>
          <w:lang w:val="sl-SI"/>
        </w:rPr>
        <w:t>javni razpis enako število točk</w:t>
      </w:r>
      <w:r w:rsidR="00C643EA">
        <w:rPr>
          <w:rFonts w:ascii="Arial" w:hAnsi="Arial" w:cs="Arial"/>
          <w:lang w:val="sl-SI"/>
        </w:rPr>
        <w:t xml:space="preserve"> </w:t>
      </w:r>
      <w:r w:rsidR="00C643EA" w:rsidRPr="00695B21">
        <w:rPr>
          <w:rFonts w:ascii="Arial" w:hAnsi="Arial" w:cs="Arial"/>
        </w:rPr>
        <w:t>in razpisana sredstva ne zadoščajo za odobritev vseh teh vlog v celoti</w:t>
      </w:r>
      <w:r w:rsidRPr="00C578C5">
        <w:rPr>
          <w:rFonts w:ascii="Arial" w:hAnsi="Arial" w:cs="Arial"/>
          <w:lang w:val="sl-SI"/>
        </w:rPr>
        <w:t>, se vloge na javni razpis odobrijo na podlagi</w:t>
      </w:r>
      <w:r>
        <w:rPr>
          <w:rFonts w:ascii="Arial" w:hAnsi="Arial" w:cs="Arial"/>
          <w:lang w:val="sl-SI"/>
        </w:rPr>
        <w:t xml:space="preserve"> </w:t>
      </w:r>
      <w:r w:rsidRPr="00C578C5">
        <w:rPr>
          <w:rFonts w:ascii="Arial" w:hAnsi="Arial" w:cs="Arial"/>
          <w:lang w:val="sl-SI"/>
        </w:rPr>
        <w:t>ponderiranja meril za izbor vlog in sicer:</w:t>
      </w:r>
    </w:p>
    <w:p w14:paraId="1904027A" w14:textId="7BB9DC5A" w:rsidR="00C578C5" w:rsidRPr="00C578C5" w:rsidRDefault="00C578C5" w:rsidP="00C578C5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C578C5">
        <w:rPr>
          <w:rFonts w:ascii="Arial" w:hAnsi="Arial" w:cs="Arial"/>
          <w:lang w:val="sl-SI"/>
        </w:rPr>
        <w:t xml:space="preserve">– </w:t>
      </w:r>
      <w:r w:rsidR="00E35A15">
        <w:rPr>
          <w:rFonts w:ascii="Arial" w:hAnsi="Arial" w:cs="Arial"/>
          <w:lang w:val="sl-SI"/>
        </w:rPr>
        <w:t>e</w:t>
      </w:r>
      <w:r w:rsidRPr="00C578C5">
        <w:rPr>
          <w:rFonts w:ascii="Arial" w:hAnsi="Arial" w:cs="Arial"/>
          <w:lang w:val="sl-SI"/>
        </w:rPr>
        <w:t>konomski vidik naložbe,</w:t>
      </w:r>
    </w:p>
    <w:p w14:paraId="49DFBF03" w14:textId="24477317" w:rsidR="00C578C5" w:rsidRPr="00C578C5" w:rsidRDefault="00C578C5" w:rsidP="00C578C5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C578C5">
        <w:rPr>
          <w:rFonts w:ascii="Arial" w:hAnsi="Arial" w:cs="Arial"/>
          <w:lang w:val="sl-SI"/>
        </w:rPr>
        <w:t xml:space="preserve">– </w:t>
      </w:r>
      <w:r w:rsidR="00E35A15">
        <w:rPr>
          <w:rFonts w:ascii="Arial" w:hAnsi="Arial" w:cs="Arial"/>
          <w:lang w:val="sl-SI"/>
        </w:rPr>
        <w:t>p</w:t>
      </w:r>
      <w:r w:rsidRPr="00C578C5">
        <w:rPr>
          <w:rFonts w:ascii="Arial" w:hAnsi="Arial" w:cs="Arial"/>
          <w:lang w:val="sl-SI"/>
        </w:rPr>
        <w:t>rispevek k horizontalnim ciljem</w:t>
      </w:r>
      <w:r>
        <w:rPr>
          <w:rFonts w:ascii="Arial" w:hAnsi="Arial" w:cs="Arial"/>
          <w:lang w:val="sl-SI"/>
        </w:rPr>
        <w:t xml:space="preserve"> pri podnebnih spremembah, in</w:t>
      </w:r>
    </w:p>
    <w:p w14:paraId="6948E2C3" w14:textId="77777777" w:rsidR="00446B0C" w:rsidRDefault="00C578C5" w:rsidP="0052418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C578C5">
        <w:rPr>
          <w:rFonts w:ascii="Arial" w:hAnsi="Arial" w:cs="Arial"/>
          <w:lang w:val="sl-SI"/>
        </w:rPr>
        <w:t xml:space="preserve">– </w:t>
      </w:r>
      <w:r w:rsidR="00E35A15">
        <w:rPr>
          <w:rFonts w:ascii="Arial" w:hAnsi="Arial" w:cs="Arial"/>
          <w:lang w:val="sl-SI"/>
        </w:rPr>
        <w:t>g</w:t>
      </w:r>
      <w:r w:rsidRPr="00C578C5">
        <w:rPr>
          <w:rFonts w:ascii="Arial" w:hAnsi="Arial" w:cs="Arial"/>
          <w:lang w:val="sl-SI"/>
        </w:rPr>
        <w:t>eografski vidik nalož</w:t>
      </w:r>
      <w:r>
        <w:rPr>
          <w:rFonts w:ascii="Arial" w:hAnsi="Arial" w:cs="Arial"/>
          <w:lang w:val="sl-SI"/>
        </w:rPr>
        <w:t>be.</w:t>
      </w:r>
    </w:p>
    <w:p w14:paraId="5AFF9198" w14:textId="1EE87CC1" w:rsidR="00FC0517" w:rsidRPr="00124FF3" w:rsidRDefault="00FC0517" w:rsidP="00FC0517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688D98E" w14:textId="5FE032F3" w:rsidR="009D74EA" w:rsidRPr="00FA47A0" w:rsidRDefault="00433D8A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FA47A0">
        <w:rPr>
          <w:rFonts w:ascii="Arial" w:hAnsi="Arial" w:cs="Arial"/>
          <w:b/>
          <w:sz w:val="22"/>
          <w:szCs w:val="22"/>
          <w:lang w:val="sl-SI"/>
        </w:rPr>
        <w:t>9</w:t>
      </w:r>
      <w:r w:rsidR="00592981" w:rsidRPr="00FA47A0">
        <w:rPr>
          <w:rFonts w:ascii="Arial" w:hAnsi="Arial" w:cs="Arial"/>
          <w:b/>
          <w:sz w:val="22"/>
          <w:szCs w:val="22"/>
        </w:rPr>
        <w:t>.</w:t>
      </w:r>
      <w:r w:rsidR="00592981" w:rsidRPr="00FA47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D74EA" w:rsidRPr="00FA47A0">
        <w:rPr>
          <w:rFonts w:ascii="Arial" w:hAnsi="Arial" w:cs="Arial"/>
          <w:b/>
          <w:sz w:val="22"/>
          <w:szCs w:val="22"/>
        </w:rPr>
        <w:t>VLAGANJE ZAHTEVKOV ZA IZPLAČILO SREDSTEV TER ZAHTEVKOV ZA PREDPLAČILO</w:t>
      </w:r>
    </w:p>
    <w:p w14:paraId="3B0EDC5A" w14:textId="77777777" w:rsidR="009D74EA" w:rsidRPr="00124FF3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4283246" w14:textId="3E6DA37E" w:rsidR="00B965B6" w:rsidRDefault="001250C0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Vlaganje zahtevkov za izplačilo sredstev ter zahtevkov za predplačilo </w:t>
      </w:r>
      <w:r w:rsidR="00D863A9">
        <w:rPr>
          <w:rFonts w:ascii="Arial" w:hAnsi="Arial" w:cs="Arial"/>
          <w:lang w:val="sl-SI"/>
        </w:rPr>
        <w:t>sta</w:t>
      </w:r>
      <w:r w:rsidR="00C50D7A">
        <w:rPr>
          <w:rFonts w:ascii="Arial" w:hAnsi="Arial" w:cs="Arial"/>
          <w:lang w:val="sl-SI"/>
        </w:rPr>
        <w:t xml:space="preserve"> določen</w:t>
      </w:r>
      <w:r w:rsidR="00D863A9">
        <w:rPr>
          <w:rFonts w:ascii="Arial" w:hAnsi="Arial" w:cs="Arial"/>
          <w:lang w:val="sl-SI"/>
        </w:rPr>
        <w:t>a</w:t>
      </w:r>
      <w:r w:rsidR="00C50D7A">
        <w:rPr>
          <w:rFonts w:ascii="Arial" w:hAnsi="Arial" w:cs="Arial"/>
          <w:lang w:val="sl-SI"/>
        </w:rPr>
        <w:t xml:space="preserve"> v </w:t>
      </w:r>
      <w:r w:rsidR="00045F64">
        <w:rPr>
          <w:rFonts w:ascii="Arial" w:hAnsi="Arial" w:cs="Arial"/>
          <w:lang w:val="sl-SI"/>
        </w:rPr>
        <w:t xml:space="preserve">48., </w:t>
      </w:r>
      <w:r w:rsidR="00B965B6" w:rsidRPr="00124FF3">
        <w:rPr>
          <w:rFonts w:ascii="Arial" w:hAnsi="Arial" w:cs="Arial"/>
          <w:lang w:val="sl-SI"/>
        </w:rPr>
        <w:t>102.</w:t>
      </w:r>
      <w:r w:rsidR="00314FE6" w:rsidRPr="00124FF3">
        <w:rPr>
          <w:rFonts w:ascii="Arial" w:hAnsi="Arial" w:cs="Arial"/>
          <w:lang w:val="sl-SI"/>
        </w:rPr>
        <w:t xml:space="preserve"> </w:t>
      </w:r>
      <w:r w:rsidR="007F5551" w:rsidRPr="00124FF3">
        <w:rPr>
          <w:rFonts w:ascii="Arial" w:hAnsi="Arial" w:cs="Arial"/>
          <w:lang w:val="sl-SI"/>
        </w:rPr>
        <w:t xml:space="preserve">in </w:t>
      </w:r>
      <w:r w:rsidR="00B51854" w:rsidRPr="00124FF3">
        <w:rPr>
          <w:rFonts w:ascii="Arial" w:hAnsi="Arial" w:cs="Arial"/>
          <w:lang w:val="sl-SI"/>
        </w:rPr>
        <w:t>10</w:t>
      </w:r>
      <w:r w:rsidR="00C578C5">
        <w:rPr>
          <w:rFonts w:ascii="Arial" w:hAnsi="Arial" w:cs="Arial"/>
          <w:lang w:val="sl-SI"/>
        </w:rPr>
        <w:t>5</w:t>
      </w:r>
      <w:r w:rsidR="00B51854" w:rsidRPr="00124FF3">
        <w:rPr>
          <w:rFonts w:ascii="Arial" w:hAnsi="Arial" w:cs="Arial"/>
          <w:lang w:val="sl-SI"/>
        </w:rPr>
        <w:t xml:space="preserve">. </w:t>
      </w:r>
      <w:r w:rsidR="00B965B6" w:rsidRPr="00124FF3">
        <w:rPr>
          <w:rFonts w:ascii="Arial" w:hAnsi="Arial" w:cs="Arial"/>
          <w:lang w:val="sl-SI"/>
        </w:rPr>
        <w:t>člen</w:t>
      </w:r>
      <w:r w:rsidR="00C50D7A">
        <w:rPr>
          <w:rFonts w:ascii="Arial" w:hAnsi="Arial" w:cs="Arial"/>
          <w:lang w:val="sl-SI"/>
        </w:rPr>
        <w:t>u</w:t>
      </w:r>
      <w:r w:rsidR="00B965B6" w:rsidRPr="00124FF3">
        <w:rPr>
          <w:rFonts w:ascii="Arial" w:hAnsi="Arial" w:cs="Arial"/>
          <w:lang w:val="sl-SI"/>
        </w:rPr>
        <w:t xml:space="preserve"> Uredbe</w:t>
      </w:r>
      <w:r w:rsidR="00C50D7A">
        <w:rPr>
          <w:rFonts w:ascii="Arial" w:hAnsi="Arial" w:cs="Arial"/>
          <w:lang w:val="sl-SI"/>
        </w:rPr>
        <w:t>.</w:t>
      </w:r>
    </w:p>
    <w:p w14:paraId="0F25F77C" w14:textId="77777777" w:rsidR="00433D8A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619D9572" w14:textId="555DF773" w:rsidR="00433D8A" w:rsidRPr="000F7CC6" w:rsidRDefault="00433D8A" w:rsidP="00433D8A">
      <w:pPr>
        <w:pStyle w:val="Brezrazmikov"/>
        <w:jc w:val="both"/>
        <w:rPr>
          <w:rFonts w:ascii="Arial" w:hAnsi="Arial" w:cs="Arial"/>
          <w:b/>
        </w:rPr>
      </w:pPr>
      <w:r w:rsidRPr="00FA47A0">
        <w:rPr>
          <w:rFonts w:ascii="Arial" w:hAnsi="Arial" w:cs="Arial"/>
          <w:b/>
        </w:rPr>
        <w:t>10</w:t>
      </w:r>
      <w:r w:rsidRPr="00433D8A">
        <w:rPr>
          <w:rFonts w:ascii="Arial" w:hAnsi="Arial" w:cs="Arial"/>
          <w:b/>
        </w:rPr>
        <w:t xml:space="preserve">. </w:t>
      </w:r>
      <w:r w:rsidRPr="00C643EA">
        <w:rPr>
          <w:rFonts w:ascii="Arial" w:hAnsi="Arial" w:cs="Arial"/>
          <w:b/>
        </w:rPr>
        <w:t>OBVEZNOSTI UPRAVIČENCA PO ZADNJEM IZPLAČILU SREDSTEV</w:t>
      </w:r>
    </w:p>
    <w:p w14:paraId="757B0E4D" w14:textId="77777777" w:rsidR="00433D8A" w:rsidRPr="00124FF3" w:rsidRDefault="00433D8A" w:rsidP="00433D8A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0CE0A2A7" w14:textId="77777777" w:rsidR="00433D8A" w:rsidRPr="00124FF3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Obveznosti upravičenca po zadnjem izplačilu sredstev so določene v </w:t>
      </w:r>
      <w:r w:rsidRPr="00124FF3">
        <w:rPr>
          <w:rFonts w:ascii="Arial" w:hAnsi="Arial" w:cs="Arial"/>
          <w:lang w:val="sl-SI"/>
        </w:rPr>
        <w:t>106. člen</w:t>
      </w:r>
      <w:r>
        <w:rPr>
          <w:rFonts w:ascii="Arial" w:hAnsi="Arial" w:cs="Arial"/>
          <w:lang w:val="sl-SI"/>
        </w:rPr>
        <w:t>u</w:t>
      </w:r>
      <w:r w:rsidRPr="00124FF3">
        <w:rPr>
          <w:rFonts w:ascii="Arial" w:hAnsi="Arial" w:cs="Arial"/>
          <w:lang w:val="sl-SI"/>
        </w:rPr>
        <w:t xml:space="preserve"> Uredbe</w:t>
      </w:r>
      <w:r>
        <w:rPr>
          <w:rFonts w:ascii="Arial" w:hAnsi="Arial" w:cs="Arial"/>
          <w:lang w:val="sl-SI"/>
        </w:rPr>
        <w:t>.</w:t>
      </w:r>
    </w:p>
    <w:p w14:paraId="7F4F6C13" w14:textId="18466350" w:rsidR="00433D8A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19674DF8" w14:textId="40C93269" w:rsidR="00433D8A" w:rsidRPr="00FA47A0" w:rsidRDefault="00433D8A" w:rsidP="00FA47A0">
      <w:pPr>
        <w:pStyle w:val="Golobesedilo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FA47A0">
        <w:rPr>
          <w:rFonts w:ascii="Arial" w:hAnsi="Arial" w:cs="Arial"/>
          <w:b/>
          <w:sz w:val="22"/>
          <w:szCs w:val="22"/>
        </w:rPr>
        <w:t>11. OBJAVA PODATKOV O UPRAVIČENCIH IN VARSTVO OSEBNIH PODATKOV</w:t>
      </w:r>
    </w:p>
    <w:p w14:paraId="2B26E662" w14:textId="77777777" w:rsidR="00433D8A" w:rsidRPr="00433D8A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38B41670" w14:textId="63E0426A" w:rsidR="00433D8A" w:rsidRPr="00433D8A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(1)</w:t>
      </w:r>
      <w:r w:rsidRPr="00433D8A">
        <w:rPr>
          <w:rFonts w:ascii="Arial" w:hAnsi="Arial" w:cs="Arial"/>
          <w:lang w:val="sl-SI"/>
        </w:rPr>
        <w:t xml:space="preserve"> Objava podatkov o upravičencih, ki so prejeli sredstva, j</w:t>
      </w:r>
      <w:r>
        <w:rPr>
          <w:rFonts w:ascii="Arial" w:hAnsi="Arial" w:cs="Arial"/>
          <w:lang w:val="sl-SI"/>
        </w:rPr>
        <w:t>e določena v 107. členu Uredbe.</w:t>
      </w:r>
    </w:p>
    <w:p w14:paraId="5F5CA6A3" w14:textId="088370BB" w:rsidR="00433D8A" w:rsidRPr="00124FF3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(2)</w:t>
      </w:r>
      <w:r w:rsidRPr="00433D8A">
        <w:rPr>
          <w:rFonts w:ascii="Arial" w:hAnsi="Arial" w:cs="Arial"/>
          <w:lang w:val="sl-SI"/>
        </w:rPr>
        <w:t xml:space="preserve">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 ARSKTRP, objavljene na spletišču ARSKTRP.</w:t>
      </w:r>
    </w:p>
    <w:p w14:paraId="24198E81" w14:textId="77777777" w:rsidR="00FD5741" w:rsidRPr="00124FF3" w:rsidRDefault="00FD5741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9E82796" w14:textId="7EF4E684" w:rsidR="009D74EA" w:rsidRPr="00FA47A0" w:rsidRDefault="003D19D9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FA47A0">
        <w:rPr>
          <w:rFonts w:ascii="Arial" w:hAnsi="Arial" w:cs="Arial"/>
          <w:b/>
          <w:sz w:val="22"/>
          <w:szCs w:val="22"/>
        </w:rPr>
        <w:t>1</w:t>
      </w:r>
      <w:r w:rsidR="0085390F" w:rsidRPr="00FA47A0">
        <w:rPr>
          <w:rFonts w:ascii="Arial" w:hAnsi="Arial" w:cs="Arial"/>
          <w:b/>
          <w:sz w:val="22"/>
          <w:szCs w:val="22"/>
          <w:lang w:val="sl-SI"/>
        </w:rPr>
        <w:t>2</w:t>
      </w:r>
      <w:r w:rsidR="00592981" w:rsidRPr="00FA47A0">
        <w:rPr>
          <w:rFonts w:ascii="Arial" w:hAnsi="Arial" w:cs="Arial"/>
          <w:b/>
          <w:sz w:val="22"/>
          <w:szCs w:val="22"/>
        </w:rPr>
        <w:t>.</w:t>
      </w:r>
      <w:r w:rsidR="00592981" w:rsidRPr="00FA47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D74EA" w:rsidRPr="00FA47A0">
        <w:rPr>
          <w:rFonts w:ascii="Arial" w:hAnsi="Arial" w:cs="Arial"/>
          <w:b/>
          <w:sz w:val="22"/>
          <w:szCs w:val="22"/>
        </w:rPr>
        <w:t>IZVEDBA KONTROL IN NEIZPOLNJEVANJE OBVEZNOSTI</w:t>
      </w:r>
      <w:r w:rsidR="0085390F" w:rsidRPr="00FA47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33D8A" w:rsidRPr="00FA47A0">
        <w:rPr>
          <w:rFonts w:ascii="Arial" w:hAnsi="Arial" w:cs="Arial"/>
          <w:b/>
          <w:sz w:val="22"/>
          <w:szCs w:val="22"/>
          <w:lang w:val="sl-SI"/>
        </w:rPr>
        <w:t>TER VIŠJA SILA IN IZJEMNE OKOLIŠČINE</w:t>
      </w:r>
    </w:p>
    <w:p w14:paraId="3A43937D" w14:textId="77777777" w:rsidR="009D74EA" w:rsidRPr="00124FF3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62EDBEA9" w14:textId="2573264E" w:rsidR="00C433EC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(1) </w:t>
      </w:r>
      <w:r w:rsidR="00C433EC">
        <w:rPr>
          <w:rFonts w:ascii="Arial" w:hAnsi="Arial" w:cs="Arial"/>
          <w:lang w:val="sl-SI"/>
        </w:rPr>
        <w:t xml:space="preserve">Izvedba kontrol in </w:t>
      </w:r>
      <w:r>
        <w:rPr>
          <w:rFonts w:ascii="Arial" w:hAnsi="Arial" w:cs="Arial"/>
          <w:lang w:val="sl-SI"/>
        </w:rPr>
        <w:t xml:space="preserve">sankcije za </w:t>
      </w:r>
      <w:r w:rsidR="00C433EC">
        <w:rPr>
          <w:rFonts w:ascii="Arial" w:hAnsi="Arial" w:cs="Arial"/>
          <w:lang w:val="sl-SI"/>
        </w:rPr>
        <w:t>neizpoln</w:t>
      </w:r>
      <w:r>
        <w:rPr>
          <w:rFonts w:ascii="Arial" w:hAnsi="Arial" w:cs="Arial"/>
          <w:lang w:val="sl-SI"/>
        </w:rPr>
        <w:t>itev oziroma kršitev</w:t>
      </w:r>
      <w:r w:rsidR="00C433EC">
        <w:rPr>
          <w:rFonts w:ascii="Arial" w:hAnsi="Arial" w:cs="Arial"/>
          <w:lang w:val="sl-SI"/>
        </w:rPr>
        <w:t xml:space="preserve"> obveznosti </w:t>
      </w:r>
      <w:r w:rsidR="001110E8">
        <w:rPr>
          <w:rFonts w:ascii="Arial" w:hAnsi="Arial" w:cs="Arial"/>
          <w:lang w:val="sl-SI"/>
        </w:rPr>
        <w:t>s</w:t>
      </w:r>
      <w:r>
        <w:rPr>
          <w:rFonts w:ascii="Arial" w:hAnsi="Arial" w:cs="Arial"/>
          <w:lang w:val="sl-SI"/>
        </w:rPr>
        <w:t>o</w:t>
      </w:r>
      <w:r w:rsidR="001110E8">
        <w:rPr>
          <w:rFonts w:ascii="Arial" w:hAnsi="Arial" w:cs="Arial"/>
          <w:lang w:val="sl-SI"/>
        </w:rPr>
        <w:t xml:space="preserve"> določeni</w:t>
      </w:r>
      <w:r w:rsidR="00C50D7A">
        <w:rPr>
          <w:rFonts w:ascii="Arial" w:hAnsi="Arial" w:cs="Arial"/>
          <w:lang w:val="sl-SI"/>
        </w:rPr>
        <w:t xml:space="preserve"> v</w:t>
      </w:r>
      <w:r w:rsidR="00C433EC">
        <w:rPr>
          <w:rFonts w:ascii="Arial" w:hAnsi="Arial" w:cs="Arial"/>
          <w:lang w:val="sl-SI"/>
        </w:rPr>
        <w:t xml:space="preserve"> 108. člen</w:t>
      </w:r>
      <w:r w:rsidR="00C50D7A">
        <w:rPr>
          <w:rFonts w:ascii="Arial" w:hAnsi="Arial" w:cs="Arial"/>
          <w:lang w:val="sl-SI"/>
        </w:rPr>
        <w:t>u</w:t>
      </w:r>
      <w:r w:rsidR="00C433EC">
        <w:rPr>
          <w:rFonts w:ascii="Arial" w:hAnsi="Arial" w:cs="Arial"/>
          <w:lang w:val="sl-SI"/>
        </w:rPr>
        <w:t xml:space="preserve"> Uredbe.</w:t>
      </w:r>
    </w:p>
    <w:p w14:paraId="2ACAAF53" w14:textId="52BBA817" w:rsidR="0044457D" w:rsidRDefault="00433D8A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(2) </w:t>
      </w:r>
      <w:r w:rsidRPr="00433D8A">
        <w:rPr>
          <w:rFonts w:ascii="Arial" w:hAnsi="Arial" w:cs="Arial"/>
          <w:lang w:val="sl-SI"/>
        </w:rPr>
        <w:t>Višja sila in izjemne okoliščine so določene v 109. člena Uredbe.</w:t>
      </w:r>
    </w:p>
    <w:p w14:paraId="042C6CC6" w14:textId="26A4125D" w:rsidR="00900EB1" w:rsidRDefault="00900EB1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F61356D" w14:textId="31522100" w:rsidR="00900EB1" w:rsidRDefault="00900EB1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dr. Jože Podgoršek</w:t>
      </w:r>
    </w:p>
    <w:p w14:paraId="409F6E25" w14:textId="0EBAC257" w:rsidR="00900EB1" w:rsidRPr="00900EB1" w:rsidRDefault="00900EB1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minister</w:t>
      </w:r>
    </w:p>
    <w:sectPr w:rsidR="00900EB1" w:rsidRPr="00900EB1" w:rsidSect="00D226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B37E3" w14:textId="77777777" w:rsidR="00D76597" w:rsidRDefault="00D76597" w:rsidP="005538AB">
      <w:pPr>
        <w:spacing w:after="0" w:line="240" w:lineRule="auto"/>
      </w:pPr>
      <w:r>
        <w:separator/>
      </w:r>
    </w:p>
  </w:endnote>
  <w:endnote w:type="continuationSeparator" w:id="0">
    <w:p w14:paraId="513ED9B5" w14:textId="77777777" w:rsidR="00D76597" w:rsidRDefault="00D76597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Republik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BB087" w14:textId="295761FD" w:rsidR="00C578C5" w:rsidRDefault="00C578C5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61C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29E4" w14:textId="77777777" w:rsidR="00C578C5" w:rsidRDefault="00C578C5">
    <w:pPr>
      <w:pStyle w:val="Noga"/>
    </w:pPr>
    <w:r>
      <w:rPr>
        <w:noProof/>
        <w:lang w:eastAsia="sl-SI"/>
      </w:rPr>
      <w:drawing>
        <wp:inline distT="0" distB="0" distL="0" distR="0" wp14:anchorId="3349670E" wp14:editId="220342F4">
          <wp:extent cx="1584960" cy="639034"/>
          <wp:effectExtent l="0" t="0" r="0" b="8890"/>
          <wp:docPr id="76" name="Slika 76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9731" w14:textId="77777777" w:rsidR="00D76597" w:rsidRDefault="00D76597" w:rsidP="005538AB">
      <w:pPr>
        <w:spacing w:after="0" w:line="240" w:lineRule="auto"/>
      </w:pPr>
      <w:r>
        <w:separator/>
      </w:r>
    </w:p>
  </w:footnote>
  <w:footnote w:type="continuationSeparator" w:id="0">
    <w:p w14:paraId="60D62BED" w14:textId="77777777" w:rsidR="00D76597" w:rsidRDefault="00D76597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1684" w14:textId="77777777" w:rsidR="00C578C5" w:rsidRPr="007E5143" w:rsidRDefault="00C578C5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C578C5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C578C5" w:rsidRDefault="00C578C5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C578C5" w:rsidRPr="006D42D9" w:rsidRDefault="00C578C5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C578C5" w:rsidRDefault="00C578C5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C578C5" w:rsidRPr="00B738F3" w:rsidRDefault="00C578C5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77777777" w:rsidR="00C578C5" w:rsidRDefault="00C578C5" w:rsidP="008055F9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248B00D" wp14:editId="0996A9E8">
                                <wp:extent cx="1271905" cy="824865"/>
                                <wp:effectExtent l="0" t="0" r="4445" b="0"/>
                                <wp:docPr id="77" name="Slika 77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1905" cy="824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" stroked="f">
              <v:textbox style="mso-fit-shape-to-text:t">
                <w:txbxContent>
                  <w:p w14:paraId="59D25B38" w14:textId="77777777" w:rsidR="00C578C5" w:rsidRDefault="00C578C5" w:rsidP="008055F9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1248B00D" wp14:editId="0996A9E8">
                          <wp:extent cx="1271905" cy="824865"/>
                          <wp:effectExtent l="0" t="0" r="4445" b="0"/>
                          <wp:docPr id="77" name="Slika 77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1905" cy="82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15D82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C578C5" w:rsidRPr="008F3500" w:rsidRDefault="00C578C5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C578C5" w:rsidRDefault="00C578C5">
    <w:pPr>
      <w:pStyle w:val="Glava"/>
    </w:pPr>
  </w:p>
  <w:p w14:paraId="39AAB7FD" w14:textId="77777777" w:rsidR="00C578C5" w:rsidRDefault="00C578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17559"/>
    <w:multiLevelType w:val="hybridMultilevel"/>
    <w:tmpl w:val="396A00F8"/>
    <w:lvl w:ilvl="0" w:tplc="D2B4D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46A"/>
    <w:multiLevelType w:val="hybridMultilevel"/>
    <w:tmpl w:val="BCA8189C"/>
    <w:lvl w:ilvl="0" w:tplc="EF5C5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09C1"/>
    <w:multiLevelType w:val="hybridMultilevel"/>
    <w:tmpl w:val="5652FF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C47"/>
    <w:multiLevelType w:val="hybridMultilevel"/>
    <w:tmpl w:val="CC043DE4"/>
    <w:lvl w:ilvl="0" w:tplc="4BB6DE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00BEB"/>
    <w:multiLevelType w:val="hybridMultilevel"/>
    <w:tmpl w:val="48DC733E"/>
    <w:lvl w:ilvl="0" w:tplc="6B062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424EF"/>
    <w:multiLevelType w:val="hybridMultilevel"/>
    <w:tmpl w:val="EBF481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62934"/>
    <w:multiLevelType w:val="hybridMultilevel"/>
    <w:tmpl w:val="CB96B2A0"/>
    <w:lvl w:ilvl="0" w:tplc="EF5C5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55680"/>
    <w:multiLevelType w:val="multilevel"/>
    <w:tmpl w:val="747E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C3EE2"/>
    <w:multiLevelType w:val="hybridMultilevel"/>
    <w:tmpl w:val="5652FF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B36DCB"/>
    <w:multiLevelType w:val="hybridMultilevel"/>
    <w:tmpl w:val="CE82DEB8"/>
    <w:lvl w:ilvl="0" w:tplc="17EAF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D1C39"/>
    <w:multiLevelType w:val="multilevel"/>
    <w:tmpl w:val="F4B455F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170166"/>
    <w:multiLevelType w:val="hybridMultilevel"/>
    <w:tmpl w:val="FEA6B47E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7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8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5E7E63FE"/>
    <w:multiLevelType w:val="hybridMultilevel"/>
    <w:tmpl w:val="86B07ADE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E0328"/>
    <w:multiLevelType w:val="multilevel"/>
    <w:tmpl w:val="CE1CAE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4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72E4"/>
    <w:multiLevelType w:val="hybridMultilevel"/>
    <w:tmpl w:val="02CCBB2A"/>
    <w:lvl w:ilvl="0" w:tplc="C36E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948F5"/>
    <w:multiLevelType w:val="hybridMultilevel"/>
    <w:tmpl w:val="CAE6947C"/>
    <w:lvl w:ilvl="0" w:tplc="FB64B2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E130E"/>
    <w:multiLevelType w:val="hybridMultilevel"/>
    <w:tmpl w:val="4D08B168"/>
    <w:lvl w:ilvl="0" w:tplc="01A68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8"/>
  </w:num>
  <w:num w:numId="2">
    <w:abstractNumId w:val="12"/>
  </w:num>
  <w:num w:numId="3">
    <w:abstractNumId w:val="6"/>
  </w:num>
  <w:num w:numId="4">
    <w:abstractNumId w:val="41"/>
  </w:num>
  <w:num w:numId="5">
    <w:abstractNumId w:val="19"/>
  </w:num>
  <w:num w:numId="6">
    <w:abstractNumId w:val="26"/>
  </w:num>
  <w:num w:numId="7">
    <w:abstractNumId w:val="20"/>
  </w:num>
  <w:num w:numId="8">
    <w:abstractNumId w:val="10"/>
  </w:num>
  <w:num w:numId="9">
    <w:abstractNumId w:val="16"/>
  </w:num>
  <w:num w:numId="10">
    <w:abstractNumId w:val="22"/>
  </w:num>
  <w:num w:numId="11">
    <w:abstractNumId w:val="0"/>
  </w:num>
  <w:num w:numId="12">
    <w:abstractNumId w:val="30"/>
  </w:num>
  <w:num w:numId="13">
    <w:abstractNumId w:val="11"/>
  </w:num>
  <w:num w:numId="14">
    <w:abstractNumId w:val="34"/>
  </w:num>
  <w:num w:numId="15">
    <w:abstractNumId w:val="33"/>
  </w:num>
  <w:num w:numId="16">
    <w:abstractNumId w:val="40"/>
  </w:num>
  <w:num w:numId="17">
    <w:abstractNumId w:val="24"/>
  </w:num>
  <w:num w:numId="18">
    <w:abstractNumId w:val="31"/>
  </w:num>
  <w:num w:numId="19">
    <w:abstractNumId w:val="36"/>
  </w:num>
  <w:num w:numId="20">
    <w:abstractNumId w:val="18"/>
  </w:num>
  <w:num w:numId="21">
    <w:abstractNumId w:val="4"/>
  </w:num>
  <w:num w:numId="22">
    <w:abstractNumId w:val="25"/>
  </w:num>
  <w:num w:numId="23">
    <w:abstractNumId w:val="39"/>
  </w:num>
  <w:num w:numId="24">
    <w:abstractNumId w:val="27"/>
  </w:num>
  <w:num w:numId="25">
    <w:abstractNumId w:val="37"/>
  </w:num>
  <w:num w:numId="26">
    <w:abstractNumId w:val="13"/>
  </w:num>
  <w:num w:numId="27">
    <w:abstractNumId w:val="32"/>
  </w:num>
  <w:num w:numId="28">
    <w:abstractNumId w:val="23"/>
  </w:num>
  <w:num w:numId="29">
    <w:abstractNumId w:val="29"/>
  </w:num>
  <w:num w:numId="30">
    <w:abstractNumId w:val="14"/>
  </w:num>
  <w:num w:numId="31">
    <w:abstractNumId w:val="9"/>
  </w:num>
  <w:num w:numId="32">
    <w:abstractNumId w:val="2"/>
  </w:num>
  <w:num w:numId="33">
    <w:abstractNumId w:val="17"/>
  </w:num>
  <w:num w:numId="34">
    <w:abstractNumId w:val="8"/>
  </w:num>
  <w:num w:numId="35">
    <w:abstractNumId w:val="5"/>
  </w:num>
  <w:num w:numId="36">
    <w:abstractNumId w:val="21"/>
  </w:num>
  <w:num w:numId="37">
    <w:abstractNumId w:val="15"/>
  </w:num>
  <w:num w:numId="38">
    <w:abstractNumId w:val="7"/>
  </w:num>
  <w:num w:numId="39">
    <w:abstractNumId w:val="3"/>
  </w:num>
  <w:num w:numId="40">
    <w:abstractNumId w:val="35"/>
  </w:num>
  <w:num w:numId="41">
    <w:abstractNumId w:val="38"/>
  </w:num>
  <w:num w:numId="42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3A77"/>
    <w:rsid w:val="000147EA"/>
    <w:rsid w:val="00015598"/>
    <w:rsid w:val="00016205"/>
    <w:rsid w:val="00024421"/>
    <w:rsid w:val="00026CA6"/>
    <w:rsid w:val="000311F5"/>
    <w:rsid w:val="0003473E"/>
    <w:rsid w:val="000361F1"/>
    <w:rsid w:val="0004204A"/>
    <w:rsid w:val="00045F64"/>
    <w:rsid w:val="0004692C"/>
    <w:rsid w:val="00047A38"/>
    <w:rsid w:val="00050109"/>
    <w:rsid w:val="0005580A"/>
    <w:rsid w:val="00056C8D"/>
    <w:rsid w:val="000570DA"/>
    <w:rsid w:val="000637E5"/>
    <w:rsid w:val="00064D53"/>
    <w:rsid w:val="00074473"/>
    <w:rsid w:val="00075079"/>
    <w:rsid w:val="000773EB"/>
    <w:rsid w:val="00081472"/>
    <w:rsid w:val="00083140"/>
    <w:rsid w:val="00084015"/>
    <w:rsid w:val="0008404E"/>
    <w:rsid w:val="00084D0F"/>
    <w:rsid w:val="000909FA"/>
    <w:rsid w:val="000927B6"/>
    <w:rsid w:val="00092BF8"/>
    <w:rsid w:val="00092E22"/>
    <w:rsid w:val="00092E89"/>
    <w:rsid w:val="000A1B39"/>
    <w:rsid w:val="000A3173"/>
    <w:rsid w:val="000A5C31"/>
    <w:rsid w:val="000B11FA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DE9"/>
    <w:rsid w:val="000E15FD"/>
    <w:rsid w:val="000E4459"/>
    <w:rsid w:val="000F0A39"/>
    <w:rsid w:val="000F4C19"/>
    <w:rsid w:val="000F52E6"/>
    <w:rsid w:val="000F7CC6"/>
    <w:rsid w:val="00104B76"/>
    <w:rsid w:val="00106D3F"/>
    <w:rsid w:val="00107B48"/>
    <w:rsid w:val="001110E8"/>
    <w:rsid w:val="00113E00"/>
    <w:rsid w:val="00114902"/>
    <w:rsid w:val="0011565F"/>
    <w:rsid w:val="0012008F"/>
    <w:rsid w:val="001210E1"/>
    <w:rsid w:val="00121FE7"/>
    <w:rsid w:val="001234FA"/>
    <w:rsid w:val="00124A5B"/>
    <w:rsid w:val="00124FF3"/>
    <w:rsid w:val="001250C0"/>
    <w:rsid w:val="00127BBC"/>
    <w:rsid w:val="00130089"/>
    <w:rsid w:val="001320B8"/>
    <w:rsid w:val="00136269"/>
    <w:rsid w:val="0013743B"/>
    <w:rsid w:val="00137829"/>
    <w:rsid w:val="001438E9"/>
    <w:rsid w:val="00143ED6"/>
    <w:rsid w:val="00144E20"/>
    <w:rsid w:val="00145AB3"/>
    <w:rsid w:val="00147C21"/>
    <w:rsid w:val="001511CA"/>
    <w:rsid w:val="00153365"/>
    <w:rsid w:val="00160AB7"/>
    <w:rsid w:val="00161C84"/>
    <w:rsid w:val="0016278B"/>
    <w:rsid w:val="00173706"/>
    <w:rsid w:val="00173789"/>
    <w:rsid w:val="001747C4"/>
    <w:rsid w:val="001809D0"/>
    <w:rsid w:val="00181DBA"/>
    <w:rsid w:val="00186583"/>
    <w:rsid w:val="00190C1F"/>
    <w:rsid w:val="001922CE"/>
    <w:rsid w:val="001926F5"/>
    <w:rsid w:val="001949F3"/>
    <w:rsid w:val="00195DA3"/>
    <w:rsid w:val="00196B1C"/>
    <w:rsid w:val="001A1AC9"/>
    <w:rsid w:val="001A2F89"/>
    <w:rsid w:val="001A74B2"/>
    <w:rsid w:val="001A7B72"/>
    <w:rsid w:val="001B05A8"/>
    <w:rsid w:val="001B1BFA"/>
    <w:rsid w:val="001B1D58"/>
    <w:rsid w:val="001B2F6D"/>
    <w:rsid w:val="001B3F5E"/>
    <w:rsid w:val="001B661E"/>
    <w:rsid w:val="001C3FEE"/>
    <w:rsid w:val="001C6280"/>
    <w:rsid w:val="001D1DFA"/>
    <w:rsid w:val="001D748E"/>
    <w:rsid w:val="001E0663"/>
    <w:rsid w:val="001E388D"/>
    <w:rsid w:val="001E3B4F"/>
    <w:rsid w:val="001E40B8"/>
    <w:rsid w:val="001E443B"/>
    <w:rsid w:val="001F259F"/>
    <w:rsid w:val="001F590E"/>
    <w:rsid w:val="001F5C00"/>
    <w:rsid w:val="001F6C81"/>
    <w:rsid w:val="001F76FC"/>
    <w:rsid w:val="001F7E15"/>
    <w:rsid w:val="00200602"/>
    <w:rsid w:val="0020089B"/>
    <w:rsid w:val="002013A2"/>
    <w:rsid w:val="00205A26"/>
    <w:rsid w:val="00206175"/>
    <w:rsid w:val="00211776"/>
    <w:rsid w:val="00213766"/>
    <w:rsid w:val="00215519"/>
    <w:rsid w:val="00225E59"/>
    <w:rsid w:val="002277AD"/>
    <w:rsid w:val="002328A2"/>
    <w:rsid w:val="00233C05"/>
    <w:rsid w:val="00237AAC"/>
    <w:rsid w:val="00237B77"/>
    <w:rsid w:val="00240E66"/>
    <w:rsid w:val="00241D9B"/>
    <w:rsid w:val="00243265"/>
    <w:rsid w:val="00246343"/>
    <w:rsid w:val="0024685A"/>
    <w:rsid w:val="00247523"/>
    <w:rsid w:val="00251E6D"/>
    <w:rsid w:val="00252800"/>
    <w:rsid w:val="0025413A"/>
    <w:rsid w:val="00256C49"/>
    <w:rsid w:val="002579B7"/>
    <w:rsid w:val="00264402"/>
    <w:rsid w:val="00264E71"/>
    <w:rsid w:val="00264EDD"/>
    <w:rsid w:val="00265D23"/>
    <w:rsid w:val="00266A7A"/>
    <w:rsid w:val="00267D6D"/>
    <w:rsid w:val="00270785"/>
    <w:rsid w:val="002721D4"/>
    <w:rsid w:val="00273478"/>
    <w:rsid w:val="00275245"/>
    <w:rsid w:val="00276606"/>
    <w:rsid w:val="002836C7"/>
    <w:rsid w:val="00284F07"/>
    <w:rsid w:val="00287897"/>
    <w:rsid w:val="00292693"/>
    <w:rsid w:val="002953D7"/>
    <w:rsid w:val="00296A9B"/>
    <w:rsid w:val="002A0908"/>
    <w:rsid w:val="002B1737"/>
    <w:rsid w:val="002B308A"/>
    <w:rsid w:val="002B4812"/>
    <w:rsid w:val="002B4C9B"/>
    <w:rsid w:val="002C662A"/>
    <w:rsid w:val="002D024D"/>
    <w:rsid w:val="002D0A66"/>
    <w:rsid w:val="002D499E"/>
    <w:rsid w:val="002E20F9"/>
    <w:rsid w:val="002E4A5A"/>
    <w:rsid w:val="002E5F31"/>
    <w:rsid w:val="002E6162"/>
    <w:rsid w:val="002E7EB9"/>
    <w:rsid w:val="002F10B8"/>
    <w:rsid w:val="002F11A3"/>
    <w:rsid w:val="002F5523"/>
    <w:rsid w:val="003009D0"/>
    <w:rsid w:val="00302B60"/>
    <w:rsid w:val="003042DD"/>
    <w:rsid w:val="0030553B"/>
    <w:rsid w:val="00306CE3"/>
    <w:rsid w:val="003126BE"/>
    <w:rsid w:val="00314FE6"/>
    <w:rsid w:val="003151FB"/>
    <w:rsid w:val="00317152"/>
    <w:rsid w:val="00317803"/>
    <w:rsid w:val="00320397"/>
    <w:rsid w:val="00322695"/>
    <w:rsid w:val="00322CF3"/>
    <w:rsid w:val="00323224"/>
    <w:rsid w:val="00325C87"/>
    <w:rsid w:val="00331D4B"/>
    <w:rsid w:val="00332494"/>
    <w:rsid w:val="003339A1"/>
    <w:rsid w:val="00333D1F"/>
    <w:rsid w:val="00335384"/>
    <w:rsid w:val="00340AA7"/>
    <w:rsid w:val="00342F1E"/>
    <w:rsid w:val="00353602"/>
    <w:rsid w:val="00354DEF"/>
    <w:rsid w:val="003609DB"/>
    <w:rsid w:val="00360BA7"/>
    <w:rsid w:val="00364DFE"/>
    <w:rsid w:val="003669B0"/>
    <w:rsid w:val="00366CA5"/>
    <w:rsid w:val="00367A66"/>
    <w:rsid w:val="00374E68"/>
    <w:rsid w:val="003755F2"/>
    <w:rsid w:val="003831F4"/>
    <w:rsid w:val="003839E6"/>
    <w:rsid w:val="003843B8"/>
    <w:rsid w:val="00385C9C"/>
    <w:rsid w:val="00385DFD"/>
    <w:rsid w:val="00387794"/>
    <w:rsid w:val="00391451"/>
    <w:rsid w:val="00396A32"/>
    <w:rsid w:val="003A2C4F"/>
    <w:rsid w:val="003A2CAD"/>
    <w:rsid w:val="003B0E4E"/>
    <w:rsid w:val="003B37ED"/>
    <w:rsid w:val="003B4488"/>
    <w:rsid w:val="003B5E6B"/>
    <w:rsid w:val="003C0FF5"/>
    <w:rsid w:val="003C27FA"/>
    <w:rsid w:val="003C3498"/>
    <w:rsid w:val="003C4D55"/>
    <w:rsid w:val="003C5C25"/>
    <w:rsid w:val="003D19D9"/>
    <w:rsid w:val="003D22D0"/>
    <w:rsid w:val="003D513E"/>
    <w:rsid w:val="003E0787"/>
    <w:rsid w:val="003E3E4D"/>
    <w:rsid w:val="003E564F"/>
    <w:rsid w:val="003F23AA"/>
    <w:rsid w:val="003F3B24"/>
    <w:rsid w:val="003F6805"/>
    <w:rsid w:val="004020D1"/>
    <w:rsid w:val="0040381F"/>
    <w:rsid w:val="00407A81"/>
    <w:rsid w:val="0041171A"/>
    <w:rsid w:val="00413793"/>
    <w:rsid w:val="00414A7E"/>
    <w:rsid w:val="004156AB"/>
    <w:rsid w:val="00415930"/>
    <w:rsid w:val="00415C19"/>
    <w:rsid w:val="004228F7"/>
    <w:rsid w:val="00433D8A"/>
    <w:rsid w:val="004341E3"/>
    <w:rsid w:val="0043786D"/>
    <w:rsid w:val="0044457D"/>
    <w:rsid w:val="00444C09"/>
    <w:rsid w:val="00445074"/>
    <w:rsid w:val="00446B0C"/>
    <w:rsid w:val="00447AD6"/>
    <w:rsid w:val="00451F4E"/>
    <w:rsid w:val="00452969"/>
    <w:rsid w:val="004602D8"/>
    <w:rsid w:val="004637AC"/>
    <w:rsid w:val="004638FC"/>
    <w:rsid w:val="004640CF"/>
    <w:rsid w:val="00464F24"/>
    <w:rsid w:val="00466DDC"/>
    <w:rsid w:val="004677B2"/>
    <w:rsid w:val="00470776"/>
    <w:rsid w:val="00470DA6"/>
    <w:rsid w:val="00470EA4"/>
    <w:rsid w:val="00476978"/>
    <w:rsid w:val="00477E6A"/>
    <w:rsid w:val="004850F6"/>
    <w:rsid w:val="004906C2"/>
    <w:rsid w:val="004929F7"/>
    <w:rsid w:val="00495C5C"/>
    <w:rsid w:val="00496605"/>
    <w:rsid w:val="00497EB0"/>
    <w:rsid w:val="00497ED7"/>
    <w:rsid w:val="004A0E93"/>
    <w:rsid w:val="004A1548"/>
    <w:rsid w:val="004A2468"/>
    <w:rsid w:val="004B2FC4"/>
    <w:rsid w:val="004B44D8"/>
    <w:rsid w:val="004B6B77"/>
    <w:rsid w:val="004B7C57"/>
    <w:rsid w:val="004C0D1C"/>
    <w:rsid w:val="004C243D"/>
    <w:rsid w:val="004C2D9B"/>
    <w:rsid w:val="004C379B"/>
    <w:rsid w:val="004C5C05"/>
    <w:rsid w:val="004D0055"/>
    <w:rsid w:val="004D1802"/>
    <w:rsid w:val="004D193C"/>
    <w:rsid w:val="004D2621"/>
    <w:rsid w:val="004D2A94"/>
    <w:rsid w:val="004D2E53"/>
    <w:rsid w:val="004D441F"/>
    <w:rsid w:val="004D7DCE"/>
    <w:rsid w:val="004E34FF"/>
    <w:rsid w:val="004E4967"/>
    <w:rsid w:val="004E6635"/>
    <w:rsid w:val="004E6B32"/>
    <w:rsid w:val="004F03DD"/>
    <w:rsid w:val="004F7A2B"/>
    <w:rsid w:val="0050191F"/>
    <w:rsid w:val="0050767F"/>
    <w:rsid w:val="005121E8"/>
    <w:rsid w:val="005154AD"/>
    <w:rsid w:val="00515902"/>
    <w:rsid w:val="00517B3B"/>
    <w:rsid w:val="00522C39"/>
    <w:rsid w:val="0052330E"/>
    <w:rsid w:val="00523491"/>
    <w:rsid w:val="00524181"/>
    <w:rsid w:val="00524771"/>
    <w:rsid w:val="00527AE7"/>
    <w:rsid w:val="00530B4B"/>
    <w:rsid w:val="00533ECC"/>
    <w:rsid w:val="00534694"/>
    <w:rsid w:val="00537D98"/>
    <w:rsid w:val="005405C9"/>
    <w:rsid w:val="005409BB"/>
    <w:rsid w:val="005413AE"/>
    <w:rsid w:val="00545E16"/>
    <w:rsid w:val="00546293"/>
    <w:rsid w:val="00547CA6"/>
    <w:rsid w:val="005538AB"/>
    <w:rsid w:val="005602BC"/>
    <w:rsid w:val="005647ED"/>
    <w:rsid w:val="005661B3"/>
    <w:rsid w:val="005670B3"/>
    <w:rsid w:val="00576788"/>
    <w:rsid w:val="00580723"/>
    <w:rsid w:val="00580A7D"/>
    <w:rsid w:val="005819F2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61F4"/>
    <w:rsid w:val="005A38F8"/>
    <w:rsid w:val="005B1E16"/>
    <w:rsid w:val="005B601E"/>
    <w:rsid w:val="005B632E"/>
    <w:rsid w:val="005B63AF"/>
    <w:rsid w:val="005C358A"/>
    <w:rsid w:val="005C5613"/>
    <w:rsid w:val="005C75A5"/>
    <w:rsid w:val="005D2481"/>
    <w:rsid w:val="005D404E"/>
    <w:rsid w:val="005D6B86"/>
    <w:rsid w:val="005E0CC7"/>
    <w:rsid w:val="005E0F6A"/>
    <w:rsid w:val="005E3106"/>
    <w:rsid w:val="005E5A5D"/>
    <w:rsid w:val="005E67FC"/>
    <w:rsid w:val="005F46C6"/>
    <w:rsid w:val="0060044E"/>
    <w:rsid w:val="00607450"/>
    <w:rsid w:val="00610BF4"/>
    <w:rsid w:val="006127A0"/>
    <w:rsid w:val="006133C8"/>
    <w:rsid w:val="00613590"/>
    <w:rsid w:val="00614C6C"/>
    <w:rsid w:val="006218D1"/>
    <w:rsid w:val="00623035"/>
    <w:rsid w:val="00630AA1"/>
    <w:rsid w:val="006323D7"/>
    <w:rsid w:val="00632AA4"/>
    <w:rsid w:val="00643AC8"/>
    <w:rsid w:val="00647560"/>
    <w:rsid w:val="00647662"/>
    <w:rsid w:val="00652211"/>
    <w:rsid w:val="006522E1"/>
    <w:rsid w:val="00653BDD"/>
    <w:rsid w:val="00653CE0"/>
    <w:rsid w:val="00655278"/>
    <w:rsid w:val="00661C9D"/>
    <w:rsid w:val="00665A06"/>
    <w:rsid w:val="0066754A"/>
    <w:rsid w:val="0068498A"/>
    <w:rsid w:val="00685080"/>
    <w:rsid w:val="006909AC"/>
    <w:rsid w:val="0069622F"/>
    <w:rsid w:val="006A054A"/>
    <w:rsid w:val="006A0AF5"/>
    <w:rsid w:val="006A5AEE"/>
    <w:rsid w:val="006A700A"/>
    <w:rsid w:val="006B21A3"/>
    <w:rsid w:val="006B68D5"/>
    <w:rsid w:val="006B6B69"/>
    <w:rsid w:val="006C1F01"/>
    <w:rsid w:val="006C323B"/>
    <w:rsid w:val="006C34D9"/>
    <w:rsid w:val="006D5D23"/>
    <w:rsid w:val="006D6BBF"/>
    <w:rsid w:val="006E2B73"/>
    <w:rsid w:val="006E7973"/>
    <w:rsid w:val="006F35C4"/>
    <w:rsid w:val="007006E2"/>
    <w:rsid w:val="007038D8"/>
    <w:rsid w:val="00704949"/>
    <w:rsid w:val="00706996"/>
    <w:rsid w:val="0070739C"/>
    <w:rsid w:val="00711950"/>
    <w:rsid w:val="0071348F"/>
    <w:rsid w:val="00714E99"/>
    <w:rsid w:val="0071601B"/>
    <w:rsid w:val="007170C6"/>
    <w:rsid w:val="00720F71"/>
    <w:rsid w:val="0072108C"/>
    <w:rsid w:val="00721800"/>
    <w:rsid w:val="00721A43"/>
    <w:rsid w:val="007239CC"/>
    <w:rsid w:val="00723C5E"/>
    <w:rsid w:val="0072530F"/>
    <w:rsid w:val="00725C95"/>
    <w:rsid w:val="00725DC3"/>
    <w:rsid w:val="00730384"/>
    <w:rsid w:val="007318E3"/>
    <w:rsid w:val="007351BD"/>
    <w:rsid w:val="0073684A"/>
    <w:rsid w:val="00736C18"/>
    <w:rsid w:val="00742736"/>
    <w:rsid w:val="00743558"/>
    <w:rsid w:val="00743E5B"/>
    <w:rsid w:val="007455C7"/>
    <w:rsid w:val="00745EB7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656F"/>
    <w:rsid w:val="007704F5"/>
    <w:rsid w:val="0077361C"/>
    <w:rsid w:val="007749AF"/>
    <w:rsid w:val="00775EEA"/>
    <w:rsid w:val="00777E4F"/>
    <w:rsid w:val="0078329B"/>
    <w:rsid w:val="0078389C"/>
    <w:rsid w:val="00784807"/>
    <w:rsid w:val="00784CB4"/>
    <w:rsid w:val="0078645E"/>
    <w:rsid w:val="00787E08"/>
    <w:rsid w:val="00792644"/>
    <w:rsid w:val="00794E15"/>
    <w:rsid w:val="00795229"/>
    <w:rsid w:val="007B1CBE"/>
    <w:rsid w:val="007B1D63"/>
    <w:rsid w:val="007B56B2"/>
    <w:rsid w:val="007B5DEF"/>
    <w:rsid w:val="007B68CB"/>
    <w:rsid w:val="007B6DC9"/>
    <w:rsid w:val="007C0E55"/>
    <w:rsid w:val="007C0F73"/>
    <w:rsid w:val="007C4282"/>
    <w:rsid w:val="007C701E"/>
    <w:rsid w:val="007C76D0"/>
    <w:rsid w:val="007D02AB"/>
    <w:rsid w:val="007D5314"/>
    <w:rsid w:val="007D5D95"/>
    <w:rsid w:val="007D6448"/>
    <w:rsid w:val="007D686F"/>
    <w:rsid w:val="007E4D1D"/>
    <w:rsid w:val="007E5143"/>
    <w:rsid w:val="007F5551"/>
    <w:rsid w:val="007F6008"/>
    <w:rsid w:val="007F6DB8"/>
    <w:rsid w:val="00802F12"/>
    <w:rsid w:val="008048F6"/>
    <w:rsid w:val="008055F9"/>
    <w:rsid w:val="008059F3"/>
    <w:rsid w:val="00805C19"/>
    <w:rsid w:val="008072D6"/>
    <w:rsid w:val="0081616F"/>
    <w:rsid w:val="008169F1"/>
    <w:rsid w:val="00816F19"/>
    <w:rsid w:val="0082079C"/>
    <w:rsid w:val="00820E83"/>
    <w:rsid w:val="00820F4F"/>
    <w:rsid w:val="00823026"/>
    <w:rsid w:val="0082465B"/>
    <w:rsid w:val="00825431"/>
    <w:rsid w:val="00825A2E"/>
    <w:rsid w:val="008271B5"/>
    <w:rsid w:val="008319EE"/>
    <w:rsid w:val="0083760F"/>
    <w:rsid w:val="008378DE"/>
    <w:rsid w:val="00843D99"/>
    <w:rsid w:val="00844D22"/>
    <w:rsid w:val="008516C0"/>
    <w:rsid w:val="00852696"/>
    <w:rsid w:val="0085278C"/>
    <w:rsid w:val="0085390F"/>
    <w:rsid w:val="00853F7A"/>
    <w:rsid w:val="00855D9C"/>
    <w:rsid w:val="00856EB0"/>
    <w:rsid w:val="008612E9"/>
    <w:rsid w:val="00861F16"/>
    <w:rsid w:val="00872583"/>
    <w:rsid w:val="00875B28"/>
    <w:rsid w:val="00875FBB"/>
    <w:rsid w:val="008769C4"/>
    <w:rsid w:val="00876CDF"/>
    <w:rsid w:val="00877107"/>
    <w:rsid w:val="0087785C"/>
    <w:rsid w:val="008908EC"/>
    <w:rsid w:val="008931D8"/>
    <w:rsid w:val="008939F2"/>
    <w:rsid w:val="008A56A9"/>
    <w:rsid w:val="008A636D"/>
    <w:rsid w:val="008A751A"/>
    <w:rsid w:val="008B25CC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732D"/>
    <w:rsid w:val="008E221B"/>
    <w:rsid w:val="008E525D"/>
    <w:rsid w:val="008E5F13"/>
    <w:rsid w:val="008F414F"/>
    <w:rsid w:val="008F74D3"/>
    <w:rsid w:val="00900EB1"/>
    <w:rsid w:val="00905806"/>
    <w:rsid w:val="00912866"/>
    <w:rsid w:val="00913B1B"/>
    <w:rsid w:val="00916834"/>
    <w:rsid w:val="00916A87"/>
    <w:rsid w:val="00916DEF"/>
    <w:rsid w:val="009173DE"/>
    <w:rsid w:val="0092273A"/>
    <w:rsid w:val="009244D4"/>
    <w:rsid w:val="00924B76"/>
    <w:rsid w:val="00924F5E"/>
    <w:rsid w:val="00934C4E"/>
    <w:rsid w:val="00934F96"/>
    <w:rsid w:val="009367BA"/>
    <w:rsid w:val="0094011B"/>
    <w:rsid w:val="00941D2B"/>
    <w:rsid w:val="009469D1"/>
    <w:rsid w:val="009511AB"/>
    <w:rsid w:val="009512A8"/>
    <w:rsid w:val="009536DE"/>
    <w:rsid w:val="0095722C"/>
    <w:rsid w:val="009575D4"/>
    <w:rsid w:val="00960BBD"/>
    <w:rsid w:val="00966BC8"/>
    <w:rsid w:val="00967953"/>
    <w:rsid w:val="00971BD8"/>
    <w:rsid w:val="00972BE4"/>
    <w:rsid w:val="00973AD5"/>
    <w:rsid w:val="00974817"/>
    <w:rsid w:val="00977191"/>
    <w:rsid w:val="00982CBA"/>
    <w:rsid w:val="0098787B"/>
    <w:rsid w:val="009903C3"/>
    <w:rsid w:val="009961D6"/>
    <w:rsid w:val="009A2773"/>
    <w:rsid w:val="009A55C5"/>
    <w:rsid w:val="009B0788"/>
    <w:rsid w:val="009B4947"/>
    <w:rsid w:val="009B7206"/>
    <w:rsid w:val="009C2336"/>
    <w:rsid w:val="009C5C41"/>
    <w:rsid w:val="009D0DB8"/>
    <w:rsid w:val="009D2725"/>
    <w:rsid w:val="009D6703"/>
    <w:rsid w:val="009D74EA"/>
    <w:rsid w:val="009E46FF"/>
    <w:rsid w:val="009E4993"/>
    <w:rsid w:val="009F2224"/>
    <w:rsid w:val="009F25DD"/>
    <w:rsid w:val="009F3870"/>
    <w:rsid w:val="009F3CA8"/>
    <w:rsid w:val="009F5BB4"/>
    <w:rsid w:val="009F6953"/>
    <w:rsid w:val="009F71AE"/>
    <w:rsid w:val="00A01E55"/>
    <w:rsid w:val="00A03099"/>
    <w:rsid w:val="00A04184"/>
    <w:rsid w:val="00A05127"/>
    <w:rsid w:val="00A060F9"/>
    <w:rsid w:val="00A07BD2"/>
    <w:rsid w:val="00A1139C"/>
    <w:rsid w:val="00A137AB"/>
    <w:rsid w:val="00A13896"/>
    <w:rsid w:val="00A13FEB"/>
    <w:rsid w:val="00A141AE"/>
    <w:rsid w:val="00A15045"/>
    <w:rsid w:val="00A1504E"/>
    <w:rsid w:val="00A16508"/>
    <w:rsid w:val="00A17F3A"/>
    <w:rsid w:val="00A204AD"/>
    <w:rsid w:val="00A22312"/>
    <w:rsid w:val="00A23675"/>
    <w:rsid w:val="00A25B6C"/>
    <w:rsid w:val="00A266E8"/>
    <w:rsid w:val="00A27E69"/>
    <w:rsid w:val="00A27F25"/>
    <w:rsid w:val="00A300E9"/>
    <w:rsid w:val="00A30CFF"/>
    <w:rsid w:val="00A32456"/>
    <w:rsid w:val="00A35318"/>
    <w:rsid w:val="00A37050"/>
    <w:rsid w:val="00A3766A"/>
    <w:rsid w:val="00A4610B"/>
    <w:rsid w:val="00A4707A"/>
    <w:rsid w:val="00A50A78"/>
    <w:rsid w:val="00A54AB0"/>
    <w:rsid w:val="00A63D16"/>
    <w:rsid w:val="00A660B4"/>
    <w:rsid w:val="00A719EF"/>
    <w:rsid w:val="00A7426D"/>
    <w:rsid w:val="00A76552"/>
    <w:rsid w:val="00A8382C"/>
    <w:rsid w:val="00A879E0"/>
    <w:rsid w:val="00A96568"/>
    <w:rsid w:val="00AA19AA"/>
    <w:rsid w:val="00AA202F"/>
    <w:rsid w:val="00AA25E1"/>
    <w:rsid w:val="00AA26F3"/>
    <w:rsid w:val="00AA593F"/>
    <w:rsid w:val="00AA5F1F"/>
    <w:rsid w:val="00AB1701"/>
    <w:rsid w:val="00AB491E"/>
    <w:rsid w:val="00AB78E3"/>
    <w:rsid w:val="00AC0780"/>
    <w:rsid w:val="00AD0471"/>
    <w:rsid w:val="00AD06E6"/>
    <w:rsid w:val="00AD241E"/>
    <w:rsid w:val="00AD40CE"/>
    <w:rsid w:val="00AD703A"/>
    <w:rsid w:val="00AE2A00"/>
    <w:rsid w:val="00AE3A13"/>
    <w:rsid w:val="00AE4F38"/>
    <w:rsid w:val="00AE741B"/>
    <w:rsid w:val="00AF02A5"/>
    <w:rsid w:val="00AF1BAD"/>
    <w:rsid w:val="00AF36FD"/>
    <w:rsid w:val="00AF3C5E"/>
    <w:rsid w:val="00AF4630"/>
    <w:rsid w:val="00AF55F9"/>
    <w:rsid w:val="00B01B37"/>
    <w:rsid w:val="00B04097"/>
    <w:rsid w:val="00B068B5"/>
    <w:rsid w:val="00B07DB2"/>
    <w:rsid w:val="00B10D01"/>
    <w:rsid w:val="00B10FD0"/>
    <w:rsid w:val="00B13949"/>
    <w:rsid w:val="00B13E31"/>
    <w:rsid w:val="00B1432F"/>
    <w:rsid w:val="00B210AF"/>
    <w:rsid w:val="00B2660D"/>
    <w:rsid w:val="00B303C9"/>
    <w:rsid w:val="00B316B3"/>
    <w:rsid w:val="00B31B15"/>
    <w:rsid w:val="00B320FD"/>
    <w:rsid w:val="00B341FC"/>
    <w:rsid w:val="00B35B67"/>
    <w:rsid w:val="00B40ECF"/>
    <w:rsid w:val="00B41155"/>
    <w:rsid w:val="00B42F0D"/>
    <w:rsid w:val="00B45F29"/>
    <w:rsid w:val="00B47A2E"/>
    <w:rsid w:val="00B50E65"/>
    <w:rsid w:val="00B51854"/>
    <w:rsid w:val="00B63A49"/>
    <w:rsid w:val="00B659E1"/>
    <w:rsid w:val="00B66A88"/>
    <w:rsid w:val="00B67682"/>
    <w:rsid w:val="00B737BB"/>
    <w:rsid w:val="00B738F3"/>
    <w:rsid w:val="00B76C01"/>
    <w:rsid w:val="00B76F76"/>
    <w:rsid w:val="00B83471"/>
    <w:rsid w:val="00B838B8"/>
    <w:rsid w:val="00B86C02"/>
    <w:rsid w:val="00B93585"/>
    <w:rsid w:val="00B965B6"/>
    <w:rsid w:val="00B979C8"/>
    <w:rsid w:val="00BA0497"/>
    <w:rsid w:val="00BA3B78"/>
    <w:rsid w:val="00BA4A62"/>
    <w:rsid w:val="00BA6B25"/>
    <w:rsid w:val="00BB07A0"/>
    <w:rsid w:val="00BB26D1"/>
    <w:rsid w:val="00BB4541"/>
    <w:rsid w:val="00BB676E"/>
    <w:rsid w:val="00BC4339"/>
    <w:rsid w:val="00BC5379"/>
    <w:rsid w:val="00BD01FB"/>
    <w:rsid w:val="00BD2B80"/>
    <w:rsid w:val="00BD3F50"/>
    <w:rsid w:val="00BD4B06"/>
    <w:rsid w:val="00BD53DC"/>
    <w:rsid w:val="00BD6952"/>
    <w:rsid w:val="00BE19F7"/>
    <w:rsid w:val="00BF4DFA"/>
    <w:rsid w:val="00BF4E1C"/>
    <w:rsid w:val="00BF50D6"/>
    <w:rsid w:val="00BF6E72"/>
    <w:rsid w:val="00C042DF"/>
    <w:rsid w:val="00C05B59"/>
    <w:rsid w:val="00C06958"/>
    <w:rsid w:val="00C146B3"/>
    <w:rsid w:val="00C17260"/>
    <w:rsid w:val="00C17353"/>
    <w:rsid w:val="00C26A6C"/>
    <w:rsid w:val="00C307FF"/>
    <w:rsid w:val="00C33F13"/>
    <w:rsid w:val="00C34C88"/>
    <w:rsid w:val="00C37455"/>
    <w:rsid w:val="00C433EC"/>
    <w:rsid w:val="00C436AC"/>
    <w:rsid w:val="00C443A8"/>
    <w:rsid w:val="00C446DC"/>
    <w:rsid w:val="00C45076"/>
    <w:rsid w:val="00C50D7A"/>
    <w:rsid w:val="00C53697"/>
    <w:rsid w:val="00C53719"/>
    <w:rsid w:val="00C54962"/>
    <w:rsid w:val="00C5540E"/>
    <w:rsid w:val="00C56CD3"/>
    <w:rsid w:val="00C578C5"/>
    <w:rsid w:val="00C61C57"/>
    <w:rsid w:val="00C643EA"/>
    <w:rsid w:val="00C64A7C"/>
    <w:rsid w:val="00C65111"/>
    <w:rsid w:val="00C73E4B"/>
    <w:rsid w:val="00C7644F"/>
    <w:rsid w:val="00C77626"/>
    <w:rsid w:val="00C8302E"/>
    <w:rsid w:val="00C84F50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30F"/>
    <w:rsid w:val="00CD070A"/>
    <w:rsid w:val="00CE1300"/>
    <w:rsid w:val="00CE276F"/>
    <w:rsid w:val="00CF4895"/>
    <w:rsid w:val="00CF6D89"/>
    <w:rsid w:val="00D047A9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6E48"/>
    <w:rsid w:val="00D3124E"/>
    <w:rsid w:val="00D31CB2"/>
    <w:rsid w:val="00D31ED0"/>
    <w:rsid w:val="00D360DF"/>
    <w:rsid w:val="00D5344D"/>
    <w:rsid w:val="00D536AA"/>
    <w:rsid w:val="00D62401"/>
    <w:rsid w:val="00D63105"/>
    <w:rsid w:val="00D67645"/>
    <w:rsid w:val="00D711EE"/>
    <w:rsid w:val="00D735DE"/>
    <w:rsid w:val="00D7634A"/>
    <w:rsid w:val="00D76597"/>
    <w:rsid w:val="00D807EE"/>
    <w:rsid w:val="00D8333E"/>
    <w:rsid w:val="00D862CC"/>
    <w:rsid w:val="00D863A9"/>
    <w:rsid w:val="00D868B7"/>
    <w:rsid w:val="00D92223"/>
    <w:rsid w:val="00D95019"/>
    <w:rsid w:val="00D95F6F"/>
    <w:rsid w:val="00DA0DCB"/>
    <w:rsid w:val="00DA1A8B"/>
    <w:rsid w:val="00DA2BA1"/>
    <w:rsid w:val="00DA3A75"/>
    <w:rsid w:val="00DA759A"/>
    <w:rsid w:val="00DB02D1"/>
    <w:rsid w:val="00DB1FE7"/>
    <w:rsid w:val="00DC4450"/>
    <w:rsid w:val="00DC55DF"/>
    <w:rsid w:val="00DC6DCE"/>
    <w:rsid w:val="00DC70CD"/>
    <w:rsid w:val="00DC74A7"/>
    <w:rsid w:val="00DC7FE7"/>
    <w:rsid w:val="00DD1176"/>
    <w:rsid w:val="00DD201F"/>
    <w:rsid w:val="00DD5410"/>
    <w:rsid w:val="00DD5419"/>
    <w:rsid w:val="00DD6DF9"/>
    <w:rsid w:val="00DE289B"/>
    <w:rsid w:val="00DE2C86"/>
    <w:rsid w:val="00DE2F72"/>
    <w:rsid w:val="00DE4506"/>
    <w:rsid w:val="00DE5D1D"/>
    <w:rsid w:val="00DF4444"/>
    <w:rsid w:val="00DF45F3"/>
    <w:rsid w:val="00E00F82"/>
    <w:rsid w:val="00E0174A"/>
    <w:rsid w:val="00E02756"/>
    <w:rsid w:val="00E02D08"/>
    <w:rsid w:val="00E06A68"/>
    <w:rsid w:val="00E1220A"/>
    <w:rsid w:val="00E126BA"/>
    <w:rsid w:val="00E126E0"/>
    <w:rsid w:val="00E15AA8"/>
    <w:rsid w:val="00E1790D"/>
    <w:rsid w:val="00E20F8A"/>
    <w:rsid w:val="00E2342F"/>
    <w:rsid w:val="00E271DE"/>
    <w:rsid w:val="00E30D36"/>
    <w:rsid w:val="00E32836"/>
    <w:rsid w:val="00E32AEC"/>
    <w:rsid w:val="00E334E1"/>
    <w:rsid w:val="00E34F9F"/>
    <w:rsid w:val="00E35A15"/>
    <w:rsid w:val="00E37D7D"/>
    <w:rsid w:val="00E37F73"/>
    <w:rsid w:val="00E4048E"/>
    <w:rsid w:val="00E43C9C"/>
    <w:rsid w:val="00E51EB2"/>
    <w:rsid w:val="00E53E89"/>
    <w:rsid w:val="00E553B4"/>
    <w:rsid w:val="00E55E69"/>
    <w:rsid w:val="00E562BE"/>
    <w:rsid w:val="00E56368"/>
    <w:rsid w:val="00E61EC3"/>
    <w:rsid w:val="00E62FDC"/>
    <w:rsid w:val="00E63F10"/>
    <w:rsid w:val="00E67BEC"/>
    <w:rsid w:val="00E7161E"/>
    <w:rsid w:val="00E738B7"/>
    <w:rsid w:val="00E7568D"/>
    <w:rsid w:val="00E76567"/>
    <w:rsid w:val="00E778B5"/>
    <w:rsid w:val="00E810BB"/>
    <w:rsid w:val="00E822D8"/>
    <w:rsid w:val="00E864EE"/>
    <w:rsid w:val="00E901DC"/>
    <w:rsid w:val="00E9395D"/>
    <w:rsid w:val="00E97243"/>
    <w:rsid w:val="00EA0056"/>
    <w:rsid w:val="00EA2992"/>
    <w:rsid w:val="00EA452E"/>
    <w:rsid w:val="00EA7ECC"/>
    <w:rsid w:val="00EA7F7F"/>
    <w:rsid w:val="00EB006E"/>
    <w:rsid w:val="00EB383A"/>
    <w:rsid w:val="00EB3E28"/>
    <w:rsid w:val="00EB41CB"/>
    <w:rsid w:val="00EB4BB4"/>
    <w:rsid w:val="00EB5A6B"/>
    <w:rsid w:val="00EB606A"/>
    <w:rsid w:val="00EB6F71"/>
    <w:rsid w:val="00EC0B37"/>
    <w:rsid w:val="00EC58C4"/>
    <w:rsid w:val="00ED0802"/>
    <w:rsid w:val="00ED161C"/>
    <w:rsid w:val="00ED3EA8"/>
    <w:rsid w:val="00ED4E0C"/>
    <w:rsid w:val="00ED6D4E"/>
    <w:rsid w:val="00EE3F8B"/>
    <w:rsid w:val="00EE45F3"/>
    <w:rsid w:val="00EE5134"/>
    <w:rsid w:val="00EE57D3"/>
    <w:rsid w:val="00EE5C73"/>
    <w:rsid w:val="00EF2E87"/>
    <w:rsid w:val="00EF4E60"/>
    <w:rsid w:val="00F05073"/>
    <w:rsid w:val="00F11899"/>
    <w:rsid w:val="00F146A3"/>
    <w:rsid w:val="00F15168"/>
    <w:rsid w:val="00F15696"/>
    <w:rsid w:val="00F15749"/>
    <w:rsid w:val="00F16720"/>
    <w:rsid w:val="00F16B13"/>
    <w:rsid w:val="00F2119C"/>
    <w:rsid w:val="00F316E5"/>
    <w:rsid w:val="00F344B0"/>
    <w:rsid w:val="00F35E69"/>
    <w:rsid w:val="00F40FD4"/>
    <w:rsid w:val="00F44695"/>
    <w:rsid w:val="00F471C0"/>
    <w:rsid w:val="00F52F3C"/>
    <w:rsid w:val="00F54A6D"/>
    <w:rsid w:val="00F5506A"/>
    <w:rsid w:val="00F5655B"/>
    <w:rsid w:val="00F57192"/>
    <w:rsid w:val="00F57DCD"/>
    <w:rsid w:val="00F66233"/>
    <w:rsid w:val="00F66655"/>
    <w:rsid w:val="00F70C90"/>
    <w:rsid w:val="00F71235"/>
    <w:rsid w:val="00F7408D"/>
    <w:rsid w:val="00F75D07"/>
    <w:rsid w:val="00F777DE"/>
    <w:rsid w:val="00F779C7"/>
    <w:rsid w:val="00F80221"/>
    <w:rsid w:val="00F831EF"/>
    <w:rsid w:val="00F835BB"/>
    <w:rsid w:val="00F8551F"/>
    <w:rsid w:val="00F86D14"/>
    <w:rsid w:val="00F90846"/>
    <w:rsid w:val="00F91D54"/>
    <w:rsid w:val="00F938D0"/>
    <w:rsid w:val="00FA47A0"/>
    <w:rsid w:val="00FB59B1"/>
    <w:rsid w:val="00FC0517"/>
    <w:rsid w:val="00FC1D6C"/>
    <w:rsid w:val="00FC29F4"/>
    <w:rsid w:val="00FC3099"/>
    <w:rsid w:val="00FC50B4"/>
    <w:rsid w:val="00FC72FB"/>
    <w:rsid w:val="00FC7AFD"/>
    <w:rsid w:val="00FD22C8"/>
    <w:rsid w:val="00FD2389"/>
    <w:rsid w:val="00FD35DD"/>
    <w:rsid w:val="00FD4FFC"/>
    <w:rsid w:val="00FD5741"/>
    <w:rsid w:val="00FD771D"/>
    <w:rsid w:val="00FE01F5"/>
    <w:rsid w:val="00FE0819"/>
    <w:rsid w:val="00FE0B98"/>
    <w:rsid w:val="00FE215A"/>
    <w:rsid w:val="00FE21E6"/>
    <w:rsid w:val="00FE2DC3"/>
    <w:rsid w:val="00FE31FD"/>
    <w:rsid w:val="00FE362E"/>
    <w:rsid w:val="00FE43E9"/>
    <w:rsid w:val="00FE7CAA"/>
    <w:rsid w:val="00FF07E0"/>
    <w:rsid w:val="00FF4A13"/>
    <w:rsid w:val="00FF5FF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7EB29"/>
  <w15:docId w15:val="{121A8B82-1C8D-4634-89F7-4E3423F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37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37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37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37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rp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982A-6E83-4B48-8148-DA15544C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Tomaž Primožič</cp:lastModifiedBy>
  <cp:revision>2</cp:revision>
  <cp:lastPrinted>2017-11-17T06:37:00Z</cp:lastPrinted>
  <dcterms:created xsi:type="dcterms:W3CDTF">2021-03-08T13:00:00Z</dcterms:created>
  <dcterms:modified xsi:type="dcterms:W3CDTF">2021-03-08T13:00:00Z</dcterms:modified>
</cp:coreProperties>
</file>