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E5" w:rsidRPr="00AE38E5" w:rsidRDefault="00AE38E5" w:rsidP="00AE38E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sl-SI"/>
        </w:rPr>
      </w:pPr>
      <w:r w:rsidRPr="00AE38E5">
        <w:rPr>
          <w:rFonts w:eastAsia="Times New Roman" w:cs="Times New Roman"/>
          <w:b/>
          <w:bCs/>
          <w:kern w:val="36"/>
          <w:lang w:eastAsia="sl-SI"/>
        </w:rPr>
        <w:t>MAKROREGIONALNE STRATEGIJE EU IN TERITORIALNO SODELOVANJE V PROGRAMSKEM OBDOBJU 2014-2020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Ministrstvo za kulturo sodeluje v </w:t>
      </w:r>
      <w:proofErr w:type="spellStart"/>
      <w:r w:rsidRPr="00AE38E5">
        <w:rPr>
          <w:rFonts w:eastAsia="Times New Roman" w:cs="Times New Roman"/>
          <w:lang w:eastAsia="sl-SI"/>
        </w:rPr>
        <w:t>Makroregionalni</w:t>
      </w:r>
      <w:proofErr w:type="spellEnd"/>
      <w:r w:rsidRPr="00AE38E5">
        <w:rPr>
          <w:rFonts w:eastAsia="Times New Roman" w:cs="Times New Roman"/>
          <w:lang w:eastAsia="sl-SI"/>
        </w:rPr>
        <w:t xml:space="preserve"> strategiji Evropske unije za </w:t>
      </w:r>
      <w:hyperlink r:id="rId5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Podonavje</w:t>
        </w:r>
      </w:hyperlink>
      <w:r w:rsidRPr="00AE38E5">
        <w:rPr>
          <w:rFonts w:eastAsia="Times New Roman" w:cs="Times New Roman"/>
          <w:lang w:eastAsia="sl-SI"/>
        </w:rPr>
        <w:t xml:space="preserve"> ter pri nastajanju </w:t>
      </w:r>
      <w:hyperlink r:id="rId6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Jadransko-jonske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makrostrategije</w:t>
        </w:r>
        <w:proofErr w:type="spellEnd"/>
      </w:hyperlink>
      <w:r w:rsidRPr="00AE38E5">
        <w:rPr>
          <w:rFonts w:eastAsia="Times New Roman" w:cs="Times New Roman"/>
          <w:lang w:eastAsia="sl-SI"/>
        </w:rPr>
        <w:t xml:space="preserve"> in </w:t>
      </w:r>
      <w:hyperlink r:id="rId7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Alpske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makrostrategije</w:t>
        </w:r>
        <w:proofErr w:type="spellEnd"/>
      </w:hyperlink>
      <w:r w:rsidRPr="00AE38E5">
        <w:rPr>
          <w:rFonts w:eastAsia="Times New Roman" w:cs="Times New Roman"/>
          <w:lang w:eastAsia="sl-SI"/>
        </w:rPr>
        <w:t xml:space="preserve">. Osnovna ideja </w:t>
      </w:r>
      <w:proofErr w:type="spellStart"/>
      <w:r w:rsidRPr="00AE38E5">
        <w:rPr>
          <w:rFonts w:eastAsia="Times New Roman" w:cs="Times New Roman"/>
          <w:lang w:eastAsia="sl-SI"/>
        </w:rPr>
        <w:t>makroregionalne</w:t>
      </w:r>
      <w:proofErr w:type="spellEnd"/>
      <w:r w:rsidRPr="00AE38E5">
        <w:rPr>
          <w:rFonts w:eastAsia="Times New Roman" w:cs="Times New Roman"/>
          <w:lang w:eastAsia="sl-SI"/>
        </w:rPr>
        <w:t xml:space="preserve"> strategije je, da sta za bolj učinkovito in uspešno soočanje s specifičnimi izzivi, ki so skupni določenim čezmejnim območjem, bolj koristna boljše sodelovanje in usklajevanje kot pa posamezne pobude. Reševanje zadev v sorazmerno majhni skupini držav ali regij lahko utre pot večji povezanosti na ravni EU.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Več informacij o </w:t>
      </w:r>
      <w:proofErr w:type="spellStart"/>
      <w:r w:rsidRPr="00AE38E5">
        <w:rPr>
          <w:rFonts w:eastAsia="Times New Roman" w:cs="Times New Roman"/>
          <w:lang w:eastAsia="sl-SI"/>
        </w:rPr>
        <w:t>makroregionalnih</w:t>
      </w:r>
      <w:proofErr w:type="spellEnd"/>
      <w:r w:rsidRPr="00AE38E5">
        <w:rPr>
          <w:rFonts w:eastAsia="Times New Roman" w:cs="Times New Roman"/>
          <w:lang w:eastAsia="sl-SI"/>
        </w:rPr>
        <w:t xml:space="preserve"> strategijah Evropske unije najdete na </w:t>
      </w:r>
      <w:hyperlink r:id="rId8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spletni strani Ministrstva za zunanje zadeve</w:t>
        </w:r>
      </w:hyperlink>
      <w:r w:rsidRPr="00AE38E5">
        <w:rPr>
          <w:rFonts w:eastAsia="Times New Roman" w:cs="Times New Roman"/>
          <w:lang w:eastAsia="sl-SI"/>
        </w:rPr>
        <w:t>.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SODELOVANJE MINISTRSTVA ZA KULTURO V PROGRAMIH EVROPSKEGA TERITORIALNEGA SODELOVANJA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Ministrstvo za kulturo se tudi v tem programskem obdobju vključuje v področje evropskega teritorialnega sodelovanja Evropske kohezijske politike. Svoj interes za sodelovanje izkazujemo v programih čezmejnega, transnacionalnega in </w:t>
      </w:r>
      <w:proofErr w:type="spellStart"/>
      <w:r w:rsidRPr="00AE38E5">
        <w:rPr>
          <w:rFonts w:eastAsia="Times New Roman" w:cs="Times New Roman"/>
          <w:lang w:eastAsia="sl-SI"/>
        </w:rPr>
        <w:t>medregionalnega</w:t>
      </w:r>
      <w:proofErr w:type="spellEnd"/>
      <w:r w:rsidRPr="00AE38E5">
        <w:rPr>
          <w:rFonts w:eastAsia="Times New Roman" w:cs="Times New Roman"/>
          <w:lang w:eastAsia="sl-SI"/>
        </w:rPr>
        <w:t xml:space="preserve"> sodelovanja,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Čezmejno sodelovanje:</w:t>
      </w:r>
      <w:r w:rsidRPr="00AE38E5">
        <w:rPr>
          <w:rFonts w:eastAsia="Times New Roman" w:cs="Times New Roman"/>
          <w:lang w:eastAsia="sl-SI"/>
        </w:rPr>
        <w:br/>
        <w:t>Evropsko čezmejno sodelovanje se sofinancira s sredstvi Evropskega sklada za regionalni razvoj (ESRR). Ta se dodeljujejo ali preko javnih razpisov, ki ga objavi organ upravljanja (Služba Vlade RS za razvoj in evropsko kohezijsko politiko – SVRK za program SLO – IT pa republika Italija), ali z neposredno potrditvijo. Organ upravljanja bo pogodbe za sredstva iz ESRR sklepal neposredno z vodilnim partnerjem izbranega projekta, le ta pa bo prevzel odgovornost za zagotovitev izvedbe celotnega projekta. Vodilni partner z drugimi projektnimi partnerji iz obeh držav v skupnem projektu sklene pogodbo, na podlagi katere se vodilni partner zavezuje, da jim bo nakazoval sredstva skladno s potrjenimi izdatki.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Ministrstvo za kulturo je prisotno v naslednjih tematskih ciljih: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• </w:t>
      </w:r>
      <w:hyperlink r:id="rId9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Program sodelovanja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Interreg</w:t>
        </w:r>
        <w:proofErr w:type="spellEnd"/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 V-A Italija-Slovenija (IT-SI)</w:t>
        </w:r>
      </w:hyperlink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- 1.1 (1b) Okrepiti sodelovanje med ključnimi akterji za spodbujanje prenosa znanja in inovativnih dejavnosti v ključnih sektorjih območja</w:t>
      </w:r>
      <w:r w:rsidRPr="00AE38E5">
        <w:rPr>
          <w:rFonts w:eastAsia="Times New Roman" w:cs="Times New Roman"/>
          <w:lang w:eastAsia="sl-SI"/>
        </w:rPr>
        <w:br/>
        <w:t>- 3.1 (6c) Ohranjanje, varovanje, obnavljanje in razvoj naravne in kulturne dediščine</w:t>
      </w:r>
      <w:r w:rsidRPr="00AE38E5">
        <w:rPr>
          <w:rFonts w:eastAsia="Times New Roman" w:cs="Times New Roman"/>
          <w:lang w:eastAsia="sl-SI"/>
        </w:rPr>
        <w:br/>
        <w:t>- 4.1 (11b) Okrepiti zmogljivosti institucionalnega sodelovanja s spodbujanjem javnih organov in ključnih akterjev programskega območja k oblikovanju skupnih rešitev za skupne izzive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hyperlink r:id="rId10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Program sodelovanja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Interreg</w:t>
        </w:r>
        <w:proofErr w:type="spellEnd"/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 V-A Slovenija-Avstrija (SI-AT)</w:t>
        </w:r>
      </w:hyperlink>
      <w:r w:rsidRPr="00AE38E5">
        <w:rPr>
          <w:rFonts w:eastAsia="Times New Roman" w:cs="Times New Roman"/>
          <w:lang w:eastAsia="sl-SI"/>
        </w:rPr>
        <w:br/>
        <w:t>- 1. (1b) Spodbujanje naložb podjetij v inovacije in raziskave ter vzpostavljanje povezav med sinergijami, med podjetji, R&amp;R centri in visokošolskim izobraževanjem</w:t>
      </w:r>
      <w:r w:rsidRPr="00AE38E5">
        <w:rPr>
          <w:rFonts w:eastAsia="Times New Roman" w:cs="Times New Roman"/>
          <w:lang w:eastAsia="sl-SI"/>
        </w:rPr>
        <w:br/>
        <w:t>- 2.1 (6c) Trajnostni razvoj naravne in kulturne dediščine</w:t>
      </w:r>
      <w:r w:rsidRPr="00AE38E5">
        <w:rPr>
          <w:rFonts w:eastAsia="Times New Roman" w:cs="Times New Roman"/>
          <w:lang w:eastAsia="sl-SI"/>
        </w:rPr>
        <w:br/>
        <w:t>- 3.1 (11b) Izboljšanje sodelovanja na področju obvladovanja tveganj, energije, zdravja in socialne kohezije </w:t>
      </w:r>
    </w:p>
    <w:p w:rsid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hyperlink r:id="rId11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Program sodelovanja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Interreg</w:t>
        </w:r>
        <w:proofErr w:type="spellEnd"/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 V-A Slovenija-Hrvaška (SI-HR)</w:t>
        </w:r>
      </w:hyperlink>
      <w:r w:rsidRPr="00AE38E5">
        <w:rPr>
          <w:rFonts w:eastAsia="Times New Roman" w:cs="Times New Roman"/>
          <w:lang w:eastAsia="sl-SI"/>
        </w:rPr>
        <w:br/>
        <w:t>- 2.1 (6c) Ohranjanje, varstvo, promocija in razvijanje naravne in kulturne dediščine</w:t>
      </w:r>
      <w:r w:rsidRPr="00AE38E5">
        <w:rPr>
          <w:rFonts w:eastAsia="Times New Roman" w:cs="Times New Roman"/>
          <w:lang w:eastAsia="sl-SI"/>
        </w:rPr>
        <w:br/>
        <w:t xml:space="preserve">- 3.1 (11b) Izboljšanje institucionalne zmogljivosti javnih organov in zainteresiranih strani ter prispevanje k učinkoviti javni upravi s spodbujanjem pravnega in upravnega sodelovanja med </w:t>
      </w:r>
      <w:r w:rsidRPr="00AE38E5">
        <w:rPr>
          <w:rFonts w:eastAsia="Times New Roman" w:cs="Times New Roman"/>
          <w:lang w:eastAsia="sl-SI"/>
        </w:rPr>
        <w:lastRenderedPageBreak/>
        <w:t>državljani in institucijami</w:t>
      </w:r>
      <w:r w:rsidRPr="00AE38E5">
        <w:rPr>
          <w:rFonts w:eastAsia="Times New Roman" w:cs="Times New Roman"/>
          <w:lang w:eastAsia="sl-SI"/>
        </w:rPr>
        <w:br/>
      </w:r>
      <w:r w:rsidRPr="00AE38E5">
        <w:rPr>
          <w:rFonts w:eastAsia="Times New Roman" w:cs="Times New Roman"/>
          <w:lang w:eastAsia="sl-SI"/>
        </w:rPr>
        <w:br/>
        <w:t>• </w:t>
      </w:r>
      <w:hyperlink r:id="rId12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Program sodelovanja </w:t>
        </w:r>
        <w:proofErr w:type="spellStart"/>
        <w:r w:rsidRPr="00AE38E5">
          <w:rPr>
            <w:rFonts w:eastAsia="Times New Roman" w:cs="Times New Roman"/>
            <w:color w:val="0000FF"/>
            <w:u w:val="single"/>
            <w:lang w:eastAsia="sl-SI"/>
          </w:rPr>
          <w:t>Interreg</w:t>
        </w:r>
        <w:proofErr w:type="spellEnd"/>
        <w:r w:rsidRPr="00AE38E5">
          <w:rPr>
            <w:rFonts w:eastAsia="Times New Roman" w:cs="Times New Roman"/>
            <w:color w:val="0000FF"/>
            <w:u w:val="single"/>
            <w:lang w:eastAsia="sl-SI"/>
          </w:rPr>
          <w:t xml:space="preserve"> V-A Slovenija-Madžarska (SI-HU)</w:t>
        </w:r>
      </w:hyperlink>
      <w:r w:rsidRPr="00AE38E5">
        <w:rPr>
          <w:rFonts w:eastAsia="Times New Roman" w:cs="Times New Roman"/>
          <w:lang w:eastAsia="sl-SI"/>
        </w:rPr>
        <w:br/>
        <w:t>- 1.1 (6c) Ohranjanje, varstvo, promocija ter razvoj naravne in kulturne dediščine</w:t>
      </w:r>
      <w:r w:rsidRPr="00AE38E5">
        <w:rPr>
          <w:rFonts w:eastAsia="Times New Roman" w:cs="Times New Roman"/>
          <w:lang w:eastAsia="sl-SI"/>
        </w:rPr>
        <w:br/>
        <w:t>- 2.1 (11b) Izboljšanje institucionalnih zmogljivosti javnih organov in zainteresiranih strani ter učinkovita javna uprava s spodbujanjem pravnega in upravnega sodelovanja pa tudi sodelovanja med prebivalci in ustanovami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br/>
        <w:t xml:space="preserve">Več o programih najdete na uradnih spletnih straneh Operativnih programov : </w:t>
      </w:r>
      <w:hyperlink r:id="rId13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www.si-at.eu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14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www.si-hr.eu/</w:t>
        </w:r>
      </w:hyperlink>
      <w:hyperlink r:id="rId15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www.ita-slo.eu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16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www.si-hu.eu</w:t>
        </w:r>
      </w:hyperlink>
      <w:r w:rsidRPr="00AE38E5">
        <w:rPr>
          <w:rFonts w:eastAsia="Times New Roman" w:cs="Times New Roman"/>
          <w:lang w:eastAsia="sl-SI"/>
        </w:rPr>
        <w:t>.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V okviru transnacionalnih in </w:t>
      </w:r>
      <w:proofErr w:type="spellStart"/>
      <w:r w:rsidRPr="00AE38E5">
        <w:rPr>
          <w:rFonts w:eastAsia="Times New Roman" w:cs="Times New Roman"/>
          <w:lang w:eastAsia="sl-SI"/>
        </w:rPr>
        <w:t>medregionalnih</w:t>
      </w:r>
      <w:proofErr w:type="spellEnd"/>
      <w:r w:rsidRPr="00AE38E5">
        <w:rPr>
          <w:rFonts w:eastAsia="Times New Roman" w:cs="Times New Roman"/>
          <w:lang w:eastAsia="sl-SI"/>
        </w:rPr>
        <w:t xml:space="preserve"> programov lahko upravičenci načeloma prejmejo povračilo iz sredstev ESRR do 85 % upravičenih izdatkov, razen če ne bo na posameznem programu določeno, da je povračilo iz zneska ESRR nižje. Preostalih 15 % nacionalnega sofinanciranja ali več krijejo bodisi upravičenci sami, bodisi države članice ali regije iz svojih proračunov glede na sistem, ki ga vzpostavijo v okviru svojih držav. Sredstva ESRR se v okviru transnacionalnih in </w:t>
      </w:r>
      <w:proofErr w:type="spellStart"/>
      <w:r w:rsidRPr="00AE38E5">
        <w:rPr>
          <w:rFonts w:eastAsia="Times New Roman" w:cs="Times New Roman"/>
          <w:lang w:eastAsia="sl-SI"/>
        </w:rPr>
        <w:t>medregionalnih</w:t>
      </w:r>
      <w:proofErr w:type="spellEnd"/>
      <w:r w:rsidRPr="00AE38E5">
        <w:rPr>
          <w:rFonts w:eastAsia="Times New Roman" w:cs="Times New Roman"/>
          <w:lang w:eastAsia="sl-SI"/>
        </w:rPr>
        <w:t xml:space="preserve"> programov dodelujejo prek javnih razpisov, ki jih objavljajo organi upravljanja, ki pa so v pr. tovrstnih programov v tujini. Organi upravljanja sklenejo pogodbo za sredstva ESRR neposredno z vodilnim partnerjem, ki prevzame odgovornost za zagotovitev izvedbe celotnega projekta in z drugimi upravičenci iz različnih držav sklene sporazum, na podlagi katerega jim nakazuje sredstva skladno s potrjenimi izdatki.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Ministrstvo za kulturo je prisotno v naslednjih tematskih ciljih: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hyperlink r:id="rId17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Območje Alp</w:t>
        </w:r>
      </w:hyperlink>
      <w:r w:rsidRPr="00AE38E5">
        <w:rPr>
          <w:rFonts w:eastAsia="Times New Roman" w:cs="Times New Roman"/>
          <w:lang w:eastAsia="sl-SI"/>
        </w:rPr>
        <w:br/>
        <w:t>- 1.1 Izboljšanje okvirnih pogojev za inovativnost</w:t>
      </w:r>
      <w:r w:rsidRPr="00AE38E5">
        <w:rPr>
          <w:rFonts w:eastAsia="Times New Roman" w:cs="Times New Roman"/>
          <w:lang w:eastAsia="sl-SI"/>
        </w:rPr>
        <w:br/>
        <w:t>- 3.1 Trajnostna raba naravne in kulturne dediščine</w:t>
      </w:r>
      <w:r w:rsidRPr="00AE38E5">
        <w:rPr>
          <w:rFonts w:eastAsia="Times New Roman" w:cs="Times New Roman"/>
          <w:lang w:eastAsia="sl-SI"/>
        </w:rPr>
        <w:br/>
      </w:r>
      <w:r w:rsidRPr="00AE38E5">
        <w:rPr>
          <w:rFonts w:eastAsia="Times New Roman" w:cs="Times New Roman"/>
          <w:lang w:eastAsia="sl-SI"/>
        </w:rPr>
        <w:br/>
        <w:t>• </w:t>
      </w:r>
      <w:hyperlink r:id="rId18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Srednja Evropa</w:t>
        </w:r>
      </w:hyperlink>
      <w:r w:rsidRPr="00AE38E5">
        <w:rPr>
          <w:rFonts w:eastAsia="Times New Roman" w:cs="Times New Roman"/>
          <w:lang w:eastAsia="sl-SI"/>
        </w:rPr>
        <w:br/>
        <w:t>- 1.2 Izboljšanje spretnosti in podjetniških veščin za večjo gospodarsko in družbeno inovativnost regij</w:t>
      </w:r>
      <w:r w:rsidRPr="00AE38E5">
        <w:rPr>
          <w:rFonts w:eastAsia="Times New Roman" w:cs="Times New Roman"/>
          <w:lang w:eastAsia="sl-SI"/>
        </w:rPr>
        <w:br/>
        <w:t>- 2.1 Razvijanje in izvajanje rešitev za povečanje energetske učinkovitosti in rabe obnovljivih virov energije v javni infrastrukturi</w:t>
      </w:r>
      <w:r w:rsidRPr="00AE38E5">
        <w:rPr>
          <w:rFonts w:eastAsia="Times New Roman" w:cs="Times New Roman"/>
          <w:lang w:eastAsia="sl-SI"/>
        </w:rPr>
        <w:br/>
        <w:t>- 3.1 Izboljšanje sposobnosti za integralno okoljsko upravljanje za varovanje in trajnostno rabo naravnih virov in dediščine</w:t>
      </w:r>
      <w:r w:rsidRPr="00AE38E5">
        <w:rPr>
          <w:rFonts w:eastAsia="Times New Roman" w:cs="Times New Roman"/>
          <w:lang w:eastAsia="sl-SI"/>
        </w:rPr>
        <w:br/>
        <w:t>- 3.2 Izboljšanje zmogljivosti za trajnostno rabo kulturne dediščine in virov</w:t>
      </w:r>
      <w:r w:rsidRPr="00AE38E5">
        <w:rPr>
          <w:rFonts w:eastAsia="Times New Roman" w:cs="Times New Roman"/>
          <w:lang w:eastAsia="sl-SI"/>
        </w:rPr>
        <w:br/>
      </w:r>
      <w:r w:rsidRPr="00AE38E5">
        <w:rPr>
          <w:rFonts w:eastAsia="Times New Roman" w:cs="Times New Roman"/>
          <w:lang w:eastAsia="sl-SI"/>
        </w:rPr>
        <w:br/>
        <w:t>• </w:t>
      </w:r>
      <w:hyperlink r:id="rId19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Mediteran</w:t>
        </w:r>
      </w:hyperlink>
      <w:r w:rsidRPr="00AE38E5">
        <w:rPr>
          <w:rFonts w:eastAsia="Times New Roman" w:cs="Times New Roman"/>
          <w:lang w:eastAsia="sl-SI"/>
        </w:rPr>
        <w:br/>
        <w:t>- 1.1 Pospeševanje transnacionalnih dejavnosti inovativnih grozdov in omrežij ključnih</w:t>
      </w:r>
      <w:r w:rsidRPr="00AE38E5">
        <w:rPr>
          <w:rFonts w:eastAsia="Times New Roman" w:cs="Times New Roman"/>
          <w:lang w:eastAsia="sl-SI"/>
        </w:rPr>
        <w:br/>
        <w:t>sektorjev na območju</w:t>
      </w:r>
      <w:r w:rsidRPr="00AE38E5">
        <w:rPr>
          <w:rFonts w:eastAsia="Times New Roman" w:cs="Times New Roman"/>
          <w:lang w:eastAsia="sl-SI"/>
        </w:rPr>
        <w:br/>
        <w:t>- 2.1 Dvig zmogljivosti za boljše energetsko upravljanje  javnih zgradb na transnacionalni ravni</w:t>
      </w:r>
      <w:r w:rsidRPr="00AE38E5">
        <w:rPr>
          <w:rFonts w:eastAsia="Times New Roman" w:cs="Times New Roman"/>
          <w:lang w:eastAsia="sl-SI"/>
        </w:rPr>
        <w:br/>
        <w:t>- 3.1 Razvijanje trajnostnih politik za odgovoren razvoj obalnega in morskega turizma</w:t>
      </w:r>
      <w:r w:rsidRPr="00AE38E5">
        <w:rPr>
          <w:rFonts w:eastAsia="Times New Roman" w:cs="Times New Roman"/>
          <w:lang w:eastAsia="sl-SI"/>
        </w:rPr>
        <w:br/>
        <w:t>- 4.1 Podpora procesu krepitve in razvijanja okvirov večstranske koordinacije za skupne</w:t>
      </w:r>
      <w:r w:rsidRPr="00AE38E5">
        <w:rPr>
          <w:rFonts w:eastAsia="Times New Roman" w:cs="Times New Roman"/>
          <w:lang w:eastAsia="sl-SI"/>
        </w:rPr>
        <w:br/>
        <w:t>odzive na skupne izzive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hyperlink r:id="rId20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Podonavje</w:t>
        </w:r>
      </w:hyperlink>
      <w:r w:rsidRPr="00AE38E5">
        <w:rPr>
          <w:rFonts w:eastAsia="Times New Roman" w:cs="Times New Roman"/>
          <w:lang w:eastAsia="sl-SI"/>
        </w:rPr>
        <w:br/>
        <w:t xml:space="preserve">- 1.1 Izboljšanje okvirnih pogojev za </w:t>
      </w:r>
      <w:proofErr w:type="spellStart"/>
      <w:r w:rsidRPr="00AE38E5">
        <w:rPr>
          <w:rFonts w:eastAsia="Times New Roman" w:cs="Times New Roman"/>
          <w:lang w:eastAsia="sl-SI"/>
        </w:rPr>
        <w:t>inoviranje</w:t>
      </w:r>
      <w:proofErr w:type="spellEnd"/>
      <w:r w:rsidRPr="00AE38E5">
        <w:rPr>
          <w:rFonts w:eastAsia="Times New Roman" w:cs="Times New Roman"/>
          <w:lang w:eastAsia="sl-SI"/>
        </w:rPr>
        <w:br/>
        <w:t>- 2.2 Trajnostna raba naravne in kulturne dediščine ter virov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hyperlink r:id="rId21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Jadransko-jonski program (ADRION)</w:t>
        </w:r>
      </w:hyperlink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lastRenderedPageBreak/>
        <w:t>- 1.1 Podpora razvoju regionalnega inovacijskega sistema</w:t>
      </w:r>
      <w:r w:rsidRPr="00AE38E5">
        <w:rPr>
          <w:rFonts w:eastAsia="Times New Roman" w:cs="Times New Roman"/>
          <w:lang w:eastAsia="sl-SI"/>
        </w:rPr>
        <w:br/>
        <w:t>- 2.1 Trajnostna raba in ohranjanje naravne in kulturne dediščine kot razvojnega dejavnika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Več o programih najdete na uradnih spletnih straneh: </w:t>
      </w:r>
      <w:hyperlink r:id="rId22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www.alpine-space.eu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23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www.interreg-central.eu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24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www.interreg-med.eu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25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www.interreg-danube.eu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26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www.adrioninterreg.eu</w:t>
        </w:r>
      </w:hyperlink>
      <w:r w:rsidRPr="00AE38E5">
        <w:rPr>
          <w:rFonts w:eastAsia="Times New Roman" w:cs="Times New Roman"/>
          <w:lang w:eastAsia="sl-SI"/>
        </w:rPr>
        <w:t>.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proofErr w:type="spellStart"/>
      <w:r w:rsidRPr="00AE38E5">
        <w:rPr>
          <w:rFonts w:eastAsia="Times New Roman" w:cs="Times New Roman"/>
          <w:lang w:eastAsia="sl-SI"/>
        </w:rPr>
        <w:t>Medregionalno</w:t>
      </w:r>
      <w:proofErr w:type="spellEnd"/>
      <w:r w:rsidRPr="00AE38E5">
        <w:rPr>
          <w:rFonts w:eastAsia="Times New Roman" w:cs="Times New Roman"/>
          <w:lang w:eastAsia="sl-SI"/>
        </w:rPr>
        <w:t xml:space="preserve"> sodelovanje: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>• </w:t>
      </w:r>
      <w:proofErr w:type="spellStart"/>
      <w:r w:rsidRPr="00AE38E5">
        <w:rPr>
          <w:rFonts w:eastAsia="Times New Roman" w:cs="Times New Roman"/>
          <w:lang w:eastAsia="sl-SI"/>
        </w:rPr>
        <w:t>Interreg</w:t>
      </w:r>
      <w:proofErr w:type="spellEnd"/>
      <w:r w:rsidRPr="00AE38E5">
        <w:rPr>
          <w:rFonts w:eastAsia="Times New Roman" w:cs="Times New Roman"/>
          <w:lang w:eastAsia="sl-SI"/>
        </w:rPr>
        <w:t xml:space="preserve"> </w:t>
      </w:r>
      <w:proofErr w:type="spellStart"/>
      <w:r w:rsidRPr="00AE38E5">
        <w:rPr>
          <w:rFonts w:eastAsia="Times New Roman" w:cs="Times New Roman"/>
          <w:lang w:eastAsia="sl-SI"/>
        </w:rPr>
        <w:t>Europe</w:t>
      </w:r>
      <w:proofErr w:type="spellEnd"/>
      <w:r w:rsidRPr="00AE38E5">
        <w:rPr>
          <w:rFonts w:eastAsia="Times New Roman" w:cs="Times New Roman"/>
          <w:lang w:eastAsia="sl-SI"/>
        </w:rPr>
        <w:br/>
        <w:t>Ministrstvo za kulturo je prisotno v tematskih ciljih:</w:t>
      </w:r>
      <w:r w:rsidRPr="00AE38E5">
        <w:rPr>
          <w:rFonts w:eastAsia="Times New Roman" w:cs="Times New Roman"/>
          <w:lang w:eastAsia="sl-SI"/>
        </w:rPr>
        <w:br/>
        <w:t xml:space="preserve">- 1.1. Raziskave ter zagotavljanje infrastrukture in zmogljivosti za </w:t>
      </w:r>
      <w:proofErr w:type="spellStart"/>
      <w:r w:rsidRPr="00AE38E5">
        <w:rPr>
          <w:rFonts w:eastAsia="Times New Roman" w:cs="Times New Roman"/>
          <w:lang w:eastAsia="sl-SI"/>
        </w:rPr>
        <w:t>inoviranje</w:t>
      </w:r>
      <w:proofErr w:type="spellEnd"/>
      <w:r w:rsidRPr="00AE38E5">
        <w:rPr>
          <w:rFonts w:eastAsia="Times New Roman" w:cs="Times New Roman"/>
          <w:lang w:eastAsia="sl-SI"/>
        </w:rPr>
        <w:t>.</w:t>
      </w:r>
      <w:r w:rsidRPr="00AE38E5">
        <w:rPr>
          <w:rFonts w:eastAsia="Times New Roman" w:cs="Times New Roman"/>
          <w:lang w:eastAsia="sl-SI"/>
        </w:rPr>
        <w:br/>
        <w:t>- 2.1. Podpiranje MSP v vseh fazah življenjskega cikla in spodbujanje razvoja, rasti in inovacij.</w:t>
      </w:r>
      <w:r w:rsidRPr="00AE38E5">
        <w:rPr>
          <w:rFonts w:eastAsia="Times New Roman" w:cs="Times New Roman"/>
          <w:lang w:eastAsia="sl-SI"/>
        </w:rPr>
        <w:br/>
        <w:t>- 4.1 Varstvo in razvoj naravne in kulturne dediščine.</w:t>
      </w:r>
      <w:bookmarkStart w:id="0" w:name="_GoBack"/>
      <w:bookmarkEnd w:id="0"/>
      <w:r w:rsidRPr="00AE38E5">
        <w:rPr>
          <w:rFonts w:eastAsia="Times New Roman" w:cs="Times New Roman"/>
          <w:lang w:eastAsia="sl-SI"/>
        </w:rPr>
        <w:t> </w:t>
      </w:r>
    </w:p>
    <w:p w:rsidR="00AE38E5" w:rsidRPr="00AE38E5" w:rsidRDefault="00AE38E5" w:rsidP="00AE38E5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</w:rPr>
      </w:pPr>
      <w:r w:rsidRPr="00AE38E5">
        <w:rPr>
          <w:rFonts w:eastAsia="Times New Roman" w:cs="Times New Roman"/>
          <w:lang w:eastAsia="sl-SI"/>
        </w:rPr>
        <w:t xml:space="preserve">Več o programih najdete na uradnih spletnih straneh: </w:t>
      </w:r>
      <w:hyperlink r:id="rId27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www.interact-eu.net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28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www.urbact.eu/</w:t>
        </w:r>
      </w:hyperlink>
      <w:hyperlink r:id="rId29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www.interreg-europe.eu</w:t>
        </w:r>
      </w:hyperlink>
      <w:r w:rsidRPr="00AE38E5">
        <w:rPr>
          <w:rFonts w:eastAsia="Times New Roman" w:cs="Times New Roman"/>
          <w:lang w:eastAsia="sl-SI"/>
        </w:rPr>
        <w:t xml:space="preserve">, </w:t>
      </w:r>
      <w:hyperlink r:id="rId30" w:tgtFrame="_blank" w:history="1">
        <w:r w:rsidRPr="00AE38E5">
          <w:rPr>
            <w:rFonts w:eastAsia="Times New Roman" w:cs="Times New Roman"/>
            <w:color w:val="0000FF"/>
            <w:u w:val="single"/>
            <w:lang w:eastAsia="sl-SI"/>
          </w:rPr>
          <w:t>www.espon.eu</w:t>
        </w:r>
      </w:hyperlink>
      <w:r w:rsidRPr="00AE38E5">
        <w:rPr>
          <w:rFonts w:eastAsia="Times New Roman" w:cs="Times New Roman"/>
          <w:lang w:eastAsia="sl-SI"/>
        </w:rPr>
        <w:t>.</w:t>
      </w:r>
    </w:p>
    <w:p w:rsidR="00DD62F3" w:rsidRPr="00AE38E5" w:rsidRDefault="00DD62F3"/>
    <w:sectPr w:rsidR="00DD62F3" w:rsidRPr="00AE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E5"/>
    <w:rsid w:val="00AE38E5"/>
    <w:rsid w:val="00D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E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E38E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E3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E3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E38E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E3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z.gov.si/si/evropske_politike/makroregionalne_strategije_evropske_unije/" TargetMode="External"/><Relationship Id="rId13" Type="http://schemas.openxmlformats.org/officeDocument/2006/relationships/hyperlink" Target="http://www.si-at.eu" TargetMode="External"/><Relationship Id="rId18" Type="http://schemas.openxmlformats.org/officeDocument/2006/relationships/hyperlink" Target="http://www.interreg-central.eu/" TargetMode="External"/><Relationship Id="rId26" Type="http://schemas.openxmlformats.org/officeDocument/2006/relationships/hyperlink" Target="http://www.adrioninterreg.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rioninterreg.eu" TargetMode="External"/><Relationship Id="rId7" Type="http://schemas.openxmlformats.org/officeDocument/2006/relationships/hyperlink" Target="http://www.mzz.gov.si/si/evropske_politike/makroregionalne_strategije_evropske_unije/strategija_eu_za_alpsko_makroregijo/" TargetMode="External"/><Relationship Id="rId12" Type="http://schemas.openxmlformats.org/officeDocument/2006/relationships/hyperlink" Target="http://www.si-hu.eu/program_sl/category/new_financial_perspective_2014_-_2020/" TargetMode="External"/><Relationship Id="rId17" Type="http://schemas.openxmlformats.org/officeDocument/2006/relationships/hyperlink" Target="http://www.alpine-space.eu/" TargetMode="External"/><Relationship Id="rId25" Type="http://schemas.openxmlformats.org/officeDocument/2006/relationships/hyperlink" Target="http://www.interreg-danube.e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i-hu.eu/" TargetMode="External"/><Relationship Id="rId20" Type="http://schemas.openxmlformats.org/officeDocument/2006/relationships/hyperlink" Target="http://www.interreg-danube.eu/" TargetMode="External"/><Relationship Id="rId29" Type="http://schemas.openxmlformats.org/officeDocument/2006/relationships/hyperlink" Target="http://www.interreg-europe.e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zz.gov.si/si/evropske_politike/makroregionalne_strategije_evropske_unije/strategija_eu_za_jadransko_jonsko_makroregijo/" TargetMode="External"/><Relationship Id="rId11" Type="http://schemas.openxmlformats.org/officeDocument/2006/relationships/hyperlink" Target="http://www.si-hr.eu/start_sl/" TargetMode="External"/><Relationship Id="rId24" Type="http://schemas.openxmlformats.org/officeDocument/2006/relationships/hyperlink" Target="http://www.interreg-med.e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zz.gov.si/si/evropske_politike/makroregionalne_strategije_evropske_unije/podonavska_strategija/" TargetMode="External"/><Relationship Id="rId15" Type="http://schemas.openxmlformats.org/officeDocument/2006/relationships/hyperlink" Target="http://www.ita-slo.eu/" TargetMode="External"/><Relationship Id="rId23" Type="http://schemas.openxmlformats.org/officeDocument/2006/relationships/hyperlink" Target="http://www.interreg-central.eu" TargetMode="External"/><Relationship Id="rId28" Type="http://schemas.openxmlformats.org/officeDocument/2006/relationships/hyperlink" Target="http://www.urbact.eu/" TargetMode="External"/><Relationship Id="rId10" Type="http://schemas.openxmlformats.org/officeDocument/2006/relationships/hyperlink" Target="http://www.si-at.eu/program_sl/category/new_financial_perspective_2014-2020/" TargetMode="External"/><Relationship Id="rId19" Type="http://schemas.openxmlformats.org/officeDocument/2006/relationships/hyperlink" Target="http://interreg-med.e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a-slo.eu/program/programsko_obdobje_14_20" TargetMode="External"/><Relationship Id="rId14" Type="http://schemas.openxmlformats.org/officeDocument/2006/relationships/hyperlink" Target="http://www.si-hr.eu/" TargetMode="External"/><Relationship Id="rId22" Type="http://schemas.openxmlformats.org/officeDocument/2006/relationships/hyperlink" Target="http://www.alpine-space.eu" TargetMode="External"/><Relationship Id="rId27" Type="http://schemas.openxmlformats.org/officeDocument/2006/relationships/hyperlink" Target="http://www.interact-eu.net" TargetMode="External"/><Relationship Id="rId30" Type="http://schemas.openxmlformats.org/officeDocument/2006/relationships/hyperlink" Target="http://www.espon.e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Mistral</dc:creator>
  <cp:lastModifiedBy>Mark Mistral</cp:lastModifiedBy>
  <cp:revision>1</cp:revision>
  <dcterms:created xsi:type="dcterms:W3CDTF">2019-08-23T08:15:00Z</dcterms:created>
  <dcterms:modified xsi:type="dcterms:W3CDTF">2019-08-23T08:16:00Z</dcterms:modified>
</cp:coreProperties>
</file>