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Na podlagi 58. člena Zakona o javnih uslužbencih  (Uradni list RS, št. 63/07 – uradno prečiščeno besedilo, 65/08, 69/08 – ZTFI-A, 69/08 – ZZavar-E, 40/12 – ZUJF, 158/20 – ZIntPK-C, 203/20 – ZIUPOPDVE, 202/21 – odl. US in 3/22 – ZDeb)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22E9D84A" w:rsidR="00F77959" w:rsidRPr="00F77959" w:rsidRDefault="00814155"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CE7C68">
        <w:rPr>
          <w:rFonts w:cs="Arial"/>
          <w:b/>
          <w:caps/>
          <w:szCs w:val="20"/>
        </w:rPr>
        <w:t>542</w:t>
      </w:r>
      <w:r w:rsidR="00F10B11" w:rsidRPr="00F77959">
        <w:rPr>
          <w:rFonts w:cs="Arial"/>
          <w:b/>
          <w:caps/>
          <w:szCs w:val="20"/>
        </w:rPr>
        <w:t xml:space="preserve">) </w:t>
      </w:r>
      <w:r w:rsidR="00F10B11" w:rsidRPr="00F77959">
        <w:rPr>
          <w:rFonts w:cs="Arial"/>
          <w:b/>
          <w:szCs w:val="20"/>
        </w:rPr>
        <w:t xml:space="preserve">v </w:t>
      </w:r>
      <w:bookmarkEnd w:id="0"/>
      <w:r w:rsidR="00F77959" w:rsidRPr="00F77959">
        <w:rPr>
          <w:rFonts w:cs="Arial"/>
          <w:b/>
          <w:szCs w:val="20"/>
        </w:rPr>
        <w:t xml:space="preserve">Službi za </w:t>
      </w:r>
      <w:r w:rsidR="00CE7C68">
        <w:rPr>
          <w:rFonts w:cs="Arial"/>
          <w:b/>
          <w:szCs w:val="20"/>
        </w:rPr>
        <w:t>proračun in finance</w:t>
      </w:r>
      <w:r w:rsidR="00F77959" w:rsidRPr="00F77959">
        <w:rPr>
          <w:rFonts w:cs="Arial"/>
          <w:b/>
          <w:szCs w:val="20"/>
        </w:rPr>
        <w:t xml:space="preserve">, v Sekretariatu </w:t>
      </w:r>
    </w:p>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E1636BF" w:rsidR="001C6154"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53F4BD4" w14:textId="56F5DFD2" w:rsidR="00C3355D" w:rsidRPr="00C3355D" w:rsidRDefault="00C3355D" w:rsidP="00C3355D">
      <w:pPr>
        <w:pStyle w:val="Odstavekseznama"/>
        <w:numPr>
          <w:ilvl w:val="0"/>
          <w:numId w:val="1"/>
        </w:numPr>
        <w:rPr>
          <w:rFonts w:ascii="Arial" w:hAnsi="Arial" w:cs="Arial"/>
          <w:iCs/>
          <w:sz w:val="20"/>
          <w:szCs w:val="20"/>
          <w:lang w:eastAsia="sl-SI"/>
        </w:rPr>
      </w:pPr>
      <w:r w:rsidRPr="00C3355D">
        <w:rPr>
          <w:rFonts w:ascii="Arial" w:hAnsi="Arial" w:cs="Arial"/>
          <w:iCs/>
          <w:sz w:val="20"/>
          <w:szCs w:val="20"/>
          <w:lang w:eastAsia="sl-SI"/>
        </w:rPr>
        <w:t>najmanj 4 leta delovnih izkušenj;</w:t>
      </w:r>
    </w:p>
    <w:p w14:paraId="09C317DE" w14:textId="77777777" w:rsidR="00F77959" w:rsidRPr="00666DB5"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814155" w:rsidRDefault="008A2565" w:rsidP="00F77959">
      <w:pPr>
        <w:suppressAutoHyphens/>
        <w:spacing w:line="240" w:lineRule="atLeast"/>
        <w:jc w:val="both"/>
        <w:rPr>
          <w:szCs w:val="20"/>
        </w:rPr>
      </w:pPr>
      <w:r w:rsidRPr="00814155">
        <w:rPr>
          <w:szCs w:val="20"/>
        </w:rPr>
        <w:t xml:space="preserve">Zahtevane delovne izkušnje se skrajšajo za tretjino v primeru, da ima kandidat </w:t>
      </w:r>
      <w:r w:rsidR="00603EC5" w:rsidRPr="00814155">
        <w:rPr>
          <w:szCs w:val="20"/>
        </w:rPr>
        <w:t>univerzitetno izobrazbo ali visoko strokovno izobrazbo s specializacijo oziroma magisterijem znanosti (prejšnjim) ali magistrsko izobrazbo (druga bolonjska stopnja).</w:t>
      </w:r>
    </w:p>
    <w:p w14:paraId="14B7E0C3" w14:textId="6D365501" w:rsidR="00F77959" w:rsidRPr="00814155" w:rsidRDefault="00F77959" w:rsidP="00492624">
      <w:pPr>
        <w:suppressAutoHyphens/>
        <w:spacing w:line="240" w:lineRule="atLeast"/>
        <w:jc w:val="both"/>
        <w:rPr>
          <w:rFonts w:cs="Arial"/>
          <w:color w:val="000000"/>
          <w:szCs w:val="20"/>
          <w:lang w:eastAsia="sl-SI"/>
        </w:rPr>
      </w:pPr>
    </w:p>
    <w:p w14:paraId="0EA90A63" w14:textId="77777777" w:rsidR="00B82985" w:rsidRPr="00F77959" w:rsidRDefault="00F10B11" w:rsidP="00F77959">
      <w:pPr>
        <w:suppressAutoHyphens/>
        <w:spacing w:line="240" w:lineRule="atLeast"/>
        <w:jc w:val="both"/>
        <w:rPr>
          <w:szCs w:val="20"/>
        </w:rPr>
      </w:pPr>
      <w:r w:rsidRPr="00814155">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22DF1D4B" w14:textId="44FFBC5F" w:rsidR="002263C2" w:rsidRPr="00F77959" w:rsidRDefault="002263C2" w:rsidP="00F77959">
      <w:pPr>
        <w:suppressAutoHyphens/>
        <w:spacing w:line="240" w:lineRule="atLeast"/>
        <w:jc w:val="both"/>
        <w:rPr>
          <w:szCs w:val="20"/>
        </w:rPr>
      </w:pPr>
    </w:p>
    <w:p w14:paraId="1304DD22" w14:textId="3A6963AD" w:rsidR="00F77959" w:rsidRPr="00A44233" w:rsidRDefault="0072746F" w:rsidP="00F10B11">
      <w:pPr>
        <w:spacing w:line="240" w:lineRule="atLeast"/>
        <w:jc w:val="both"/>
        <w:rPr>
          <w:rFonts w:cs="Arial"/>
          <w:iCs/>
          <w:szCs w:val="20"/>
          <w:highlight w:val="yellow"/>
          <w:lang w:eastAsia="sl-SI"/>
        </w:rPr>
      </w:pPr>
      <w:r w:rsidRPr="0072746F">
        <w:lastRenderedPageBreak/>
        <w:t>Prednost pri izbiri bodo imeli kandidati z izobrazbo ekonomske smeri, poznavanjem programa za izvrševanje državnega proračuna MFERAC in poznavanjem sistema SAPPRA ter znanjem upravljanja s programskim produktom MFERAC DPS.</w:t>
      </w:r>
    </w:p>
    <w:p w14:paraId="475A8125" w14:textId="77777777" w:rsidR="005A7564" w:rsidRDefault="005A7564" w:rsidP="00F77959">
      <w:pPr>
        <w:suppressAutoHyphens/>
        <w:spacing w:line="240" w:lineRule="atLeast"/>
        <w:jc w:val="both"/>
        <w:rPr>
          <w:rFonts w:cs="Arial"/>
          <w:szCs w:val="20"/>
        </w:rPr>
      </w:pPr>
    </w:p>
    <w:p w14:paraId="75E71B89" w14:textId="6AE752A5"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6D3783A6"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organiziranje medsebojnega sodelovanja in usklajevanja notranjih organizacijskih enot in sodelovanja z drugimi organi </w:t>
      </w:r>
    </w:p>
    <w:p w14:paraId="5A20090B"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sodelovanje pri oblikovanju sistemskih rešitev in drugih najzahtevnejših gradiv</w:t>
      </w:r>
    </w:p>
    <w:p w14:paraId="370D2B3C"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samostojna priprava zahtevnih analiz, razvojnih projektov, informacij, poročil in drugih zahtevnih gradiv </w:t>
      </w:r>
    </w:p>
    <w:p w14:paraId="3856ADA2"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finančno načrtovanje in izvajanje ter spremljanje in finančno poročanje </w:t>
      </w:r>
    </w:p>
    <w:p w14:paraId="45733FF2"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priprava in usklajevanje letnih finančnih načrtov </w:t>
      </w:r>
    </w:p>
    <w:p w14:paraId="2FE7793B"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operativno delo z IS MFERAC programom in aplikacijo SAPPrA ter aplikacijo APPrA </w:t>
      </w:r>
    </w:p>
    <w:p w14:paraId="7D98EB0C"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sodelovanje pri usklajevanju izvedbenih struktur oz. instrumentov na področju izvajanja evropske kohezijske politike</w:t>
      </w:r>
    </w:p>
    <w:p w14:paraId="075E1E0B"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preverjanje skladnosti dokumentov (računov, pogodb, naročilnic, potnih nalogov) z zakonskimi določili, ki urejajo to področje </w:t>
      </w:r>
    </w:p>
    <w:p w14:paraId="28A391A5" w14:textId="26173CA9"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izvajanje nalog v zvezi s pripravo proračuna in spremljanje porabe proračunskih sredstev (po potrebi usklajevanje z Ministrstvom za finance RS) in priprava poročil za vodstvo </w:t>
      </w:r>
    </w:p>
    <w:p w14:paraId="7EA46B51"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obdelovanje podatkov za izdelavo mesečnih likvidnostnih načrtov</w:t>
      </w:r>
    </w:p>
    <w:p w14:paraId="53ACC1F6"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priprava FEP obrazcev, pregled obračunske dokumentacije in priprava odredb za izplačila iz proračuna</w:t>
      </w:r>
    </w:p>
    <w:p w14:paraId="5C1E8C57"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vodenje evidence računov</w:t>
      </w:r>
    </w:p>
    <w:p w14:paraId="1DFCA4DB"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naloge, povezane z obračunom potnih nalogov </w:t>
      </w:r>
    </w:p>
    <w:p w14:paraId="12856565"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vodenje drugih evidenc s finančnega področja </w:t>
      </w:r>
    </w:p>
    <w:p w14:paraId="007EFC7B"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upravljanje s programskim produktom MFERAC </w:t>
      </w:r>
    </w:p>
    <w:p w14:paraId="3350FC3D"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sodelovanje z drugimi NOE ter organi pri pripravi predloga proračuna in pripravljanje pisnih pojasnil, povezanih z delovanjem proračunskega uporabnika, upoštevajoč vse potrebne predpise </w:t>
      </w:r>
    </w:p>
    <w:p w14:paraId="5A0CCE73"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izdelovanje vseh likvidnostnih načrtov in spremljanje realizacije/odstopanj realiziranega od načrtovanega in analiz ter predlogov in priprava vseh gradiv, pojasnil in utemeljitev za potrebe računskega sodišča in notranje revizije </w:t>
      </w:r>
    </w:p>
    <w:p w14:paraId="0479B8F7"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pripravljanje predlogov prerazporeditev med proračunskimi postavkami in znotraj njih ter pisno utemeljevanje </w:t>
      </w:r>
    </w:p>
    <w:p w14:paraId="07BACE27" w14:textId="77777777" w:rsidR="005A7564"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priprava evidenc in analiz s področja dela službe</w:t>
      </w:r>
    </w:p>
    <w:p w14:paraId="575E9F13" w14:textId="44CB3CD7" w:rsidR="00F77959" w:rsidRPr="005A7564" w:rsidRDefault="005A7564" w:rsidP="005A7564">
      <w:pPr>
        <w:numPr>
          <w:ilvl w:val="0"/>
          <w:numId w:val="1"/>
        </w:numPr>
        <w:spacing w:line="240" w:lineRule="atLeast"/>
        <w:jc w:val="both"/>
        <w:rPr>
          <w:rFonts w:cs="Arial"/>
          <w:iCs/>
          <w:szCs w:val="20"/>
          <w:lang w:eastAsia="sl-SI"/>
        </w:rPr>
      </w:pPr>
      <w:r w:rsidRPr="005A7564">
        <w:rPr>
          <w:rFonts w:cs="Arial"/>
          <w:iCs/>
          <w:szCs w:val="20"/>
          <w:lang w:eastAsia="sl-SI"/>
        </w:rPr>
        <w:t xml:space="preserve">samostojno opravljanje drugih zahtevnejših nalog </w:t>
      </w:r>
    </w:p>
    <w:p w14:paraId="5CF88320" w14:textId="77777777" w:rsidR="005A7564" w:rsidRDefault="005A7564" w:rsidP="00F77959">
      <w:pPr>
        <w:spacing w:line="240" w:lineRule="auto"/>
        <w:jc w:val="both"/>
        <w:rPr>
          <w:rFonts w:cs="Arial"/>
          <w:szCs w:val="20"/>
          <w:lang w:eastAsia="sl-SI"/>
        </w:rPr>
      </w:pPr>
    </w:p>
    <w:p w14:paraId="64098374" w14:textId="24835249"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2CD9ADD3" w14:textId="77777777" w:rsidR="00F77959" w:rsidRPr="000755B4" w:rsidRDefault="00F77959" w:rsidP="000755B4">
      <w:pPr>
        <w:jc w:val="both"/>
        <w:rPr>
          <w:rFonts w:cs="Arial"/>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lastRenderedPageBreak/>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121DD5A4" w:rsidR="00F77959" w:rsidRPr="00E70542" w:rsidRDefault="00F77959" w:rsidP="00F77959">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1" w:name="_Hlk115272192"/>
      <w:r w:rsidRPr="00474505">
        <w:rPr>
          <w:rFonts w:cs="Arial"/>
          <w:b/>
          <w:szCs w:val="20"/>
        </w:rPr>
        <w:t>JN-100-</w:t>
      </w:r>
      <w:r w:rsidR="000755B4">
        <w:rPr>
          <w:rFonts w:cs="Arial"/>
          <w:b/>
          <w:szCs w:val="20"/>
        </w:rPr>
        <w:t>7</w:t>
      </w:r>
      <w:r w:rsidRPr="00474505">
        <w:rPr>
          <w:rFonts w:cs="Arial"/>
          <w:b/>
          <w:szCs w:val="20"/>
        </w:rPr>
        <w:t>/202</w:t>
      </w:r>
      <w:r w:rsidR="000755B4">
        <w:rPr>
          <w:rFonts w:cs="Arial"/>
          <w:b/>
          <w:szCs w:val="20"/>
        </w:rPr>
        <w:t>4</w:t>
      </w:r>
      <w:r w:rsidRPr="00474505">
        <w:rPr>
          <w:rFonts w:cs="Arial"/>
          <w:b/>
          <w:szCs w:val="20"/>
        </w:rPr>
        <w:t>-3340</w:t>
      </w:r>
      <w:bookmarkEnd w:id="1"/>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Z izbranim kandidatom bo sklenjena pogodba o zaposlitvi za delovno razmerje za nedoločen čas, 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67264D87"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JN-100-</w:t>
      </w:r>
      <w:r w:rsidR="000755B4">
        <w:t>7</w:t>
      </w:r>
      <w:r w:rsidRPr="00474505">
        <w:t>/202</w:t>
      </w:r>
      <w:r w:rsidR="000755B4">
        <w:t>4</w:t>
      </w:r>
      <w:r w:rsidRPr="00474505">
        <w:t>-3340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0755B4">
        <w:rPr>
          <w:rFonts w:cs="Arial"/>
          <w:b/>
          <w:iCs/>
          <w:szCs w:val="20"/>
        </w:rPr>
        <w:t>542</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639410AE" w:rsidR="00F77959" w:rsidRPr="00F77959" w:rsidRDefault="00F77959" w:rsidP="00F77959">
      <w:pPr>
        <w:suppressAutoHyphens/>
        <w:spacing w:line="240" w:lineRule="atLeast"/>
        <w:jc w:val="both"/>
        <w:rPr>
          <w:szCs w:val="20"/>
        </w:rPr>
      </w:pPr>
      <w:r w:rsidRPr="00F77959">
        <w:rPr>
          <w:szCs w:val="20"/>
        </w:rPr>
        <w:t xml:space="preserve">Informacije o izvedbi javnega natečaja daje Tjaša Milač, tel. št. 01/369 5877, o delovnem področju pa </w:t>
      </w:r>
      <w:r w:rsidR="0023293D" w:rsidRPr="0023293D">
        <w:rPr>
          <w:szCs w:val="20"/>
        </w:rPr>
        <w:t>Mateja Vidmar</w:t>
      </w:r>
      <w:r w:rsidRPr="00F77959">
        <w:rPr>
          <w:szCs w:val="20"/>
        </w:rPr>
        <w:t>, tel. št.  01/</w:t>
      </w:r>
      <w:r w:rsidR="000755B4" w:rsidRPr="000755B4">
        <w:t xml:space="preserve"> </w:t>
      </w:r>
      <w:r w:rsidR="0023293D" w:rsidRPr="0023293D">
        <w:rPr>
          <w:szCs w:val="20"/>
        </w:rPr>
        <w:t>369</w:t>
      </w:r>
      <w:r w:rsidR="0023293D">
        <w:rPr>
          <w:szCs w:val="20"/>
        </w:rPr>
        <w:t xml:space="preserve"> </w:t>
      </w:r>
      <w:r w:rsidR="0023293D" w:rsidRPr="0023293D">
        <w:rPr>
          <w:szCs w:val="20"/>
        </w:rPr>
        <w:t>5994</w:t>
      </w:r>
      <w:r w:rsidRPr="00F77959">
        <w:rPr>
          <w:szCs w:val="20"/>
        </w:rPr>
        <w:t>.</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434538F8"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r w:rsidR="00365E39" w:rsidRPr="00365E39">
        <w:rPr>
          <w:rFonts w:cs="Arial"/>
          <w:szCs w:val="20"/>
          <w:lang w:eastAsia="sl-SI"/>
        </w:rPr>
        <w:t>100-</w:t>
      </w:r>
      <w:r w:rsidR="000755B4">
        <w:rPr>
          <w:rFonts w:cs="Arial"/>
          <w:szCs w:val="20"/>
          <w:lang w:eastAsia="sl-SI"/>
        </w:rPr>
        <w:t>7</w:t>
      </w:r>
      <w:r w:rsidR="00365E39" w:rsidRPr="00365E39">
        <w:rPr>
          <w:rFonts w:cs="Arial"/>
          <w:szCs w:val="20"/>
          <w:lang w:eastAsia="sl-SI"/>
        </w:rPr>
        <w:t>/202</w:t>
      </w:r>
      <w:r w:rsidR="000755B4">
        <w:rPr>
          <w:rFonts w:cs="Arial"/>
          <w:szCs w:val="20"/>
          <w:lang w:eastAsia="sl-SI"/>
        </w:rPr>
        <w:t>4</w:t>
      </w:r>
      <w:r w:rsidR="00365E39" w:rsidRPr="00365E39">
        <w:rPr>
          <w:rFonts w:cs="Arial"/>
          <w:szCs w:val="20"/>
          <w:lang w:eastAsia="sl-SI"/>
        </w:rPr>
        <w:t>-3340</w:t>
      </w:r>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1EC8FF18"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0755B4">
        <w:rPr>
          <w:rFonts w:cs="Arial"/>
          <w:szCs w:val="20"/>
          <w:lang w:eastAsia="sl-SI"/>
        </w:rPr>
        <w:t>25. 1. 2024</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427237440">
    <w:abstractNumId w:val="8"/>
  </w:num>
  <w:num w:numId="2" w16cid:durableId="1171456165">
    <w:abstractNumId w:val="0"/>
  </w:num>
  <w:num w:numId="3" w16cid:durableId="1683510028">
    <w:abstractNumId w:val="3"/>
  </w:num>
  <w:num w:numId="4" w16cid:durableId="15795118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62526">
    <w:abstractNumId w:val="4"/>
  </w:num>
  <w:num w:numId="6" w16cid:durableId="1872454745">
    <w:abstractNumId w:val="2"/>
  </w:num>
  <w:num w:numId="7" w16cid:durableId="2044866035">
    <w:abstractNumId w:val="1"/>
  </w:num>
  <w:num w:numId="8" w16cid:durableId="947616952">
    <w:abstractNumId w:val="9"/>
  </w:num>
  <w:num w:numId="9" w16cid:durableId="1606956668">
    <w:abstractNumId w:val="8"/>
  </w:num>
  <w:num w:numId="10" w16cid:durableId="1245803147">
    <w:abstractNumId w:val="5"/>
  </w:num>
  <w:num w:numId="11" w16cid:durableId="1020668573">
    <w:abstractNumId w:val="6"/>
  </w:num>
  <w:num w:numId="12" w16cid:durableId="1627008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375AE"/>
    <w:rsid w:val="00045017"/>
    <w:rsid w:val="00052FD5"/>
    <w:rsid w:val="000755B4"/>
    <w:rsid w:val="000B6DDB"/>
    <w:rsid w:val="000E4D10"/>
    <w:rsid w:val="000F7E77"/>
    <w:rsid w:val="0010177A"/>
    <w:rsid w:val="00102091"/>
    <w:rsid w:val="00112E5A"/>
    <w:rsid w:val="00127FAB"/>
    <w:rsid w:val="001343E4"/>
    <w:rsid w:val="00153E59"/>
    <w:rsid w:val="001931FB"/>
    <w:rsid w:val="001A3C02"/>
    <w:rsid w:val="001A48C9"/>
    <w:rsid w:val="001C6154"/>
    <w:rsid w:val="001D46C3"/>
    <w:rsid w:val="00204B74"/>
    <w:rsid w:val="00204E11"/>
    <w:rsid w:val="00213763"/>
    <w:rsid w:val="002263C2"/>
    <w:rsid w:val="0023293D"/>
    <w:rsid w:val="002358F8"/>
    <w:rsid w:val="002444F9"/>
    <w:rsid w:val="0024488F"/>
    <w:rsid w:val="0024560D"/>
    <w:rsid w:val="002520B5"/>
    <w:rsid w:val="00271403"/>
    <w:rsid w:val="0028273C"/>
    <w:rsid w:val="002A0432"/>
    <w:rsid w:val="002A1555"/>
    <w:rsid w:val="002A3C75"/>
    <w:rsid w:val="002B0334"/>
    <w:rsid w:val="002B3590"/>
    <w:rsid w:val="003105DD"/>
    <w:rsid w:val="00325CD2"/>
    <w:rsid w:val="00326571"/>
    <w:rsid w:val="00326883"/>
    <w:rsid w:val="00327F5E"/>
    <w:rsid w:val="00341EBE"/>
    <w:rsid w:val="00357EFA"/>
    <w:rsid w:val="00365E39"/>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A3011"/>
    <w:rsid w:val="005A7564"/>
    <w:rsid w:val="005B3103"/>
    <w:rsid w:val="005C0413"/>
    <w:rsid w:val="00603EC5"/>
    <w:rsid w:val="00613575"/>
    <w:rsid w:val="0062006A"/>
    <w:rsid w:val="00641FAB"/>
    <w:rsid w:val="006519CB"/>
    <w:rsid w:val="006609C7"/>
    <w:rsid w:val="006A0446"/>
    <w:rsid w:val="006E7D00"/>
    <w:rsid w:val="006F0393"/>
    <w:rsid w:val="00716457"/>
    <w:rsid w:val="0072746F"/>
    <w:rsid w:val="00747AEF"/>
    <w:rsid w:val="00762C85"/>
    <w:rsid w:val="0077439B"/>
    <w:rsid w:val="007D38DC"/>
    <w:rsid w:val="007E52F9"/>
    <w:rsid w:val="008047F7"/>
    <w:rsid w:val="00810AD9"/>
    <w:rsid w:val="00814155"/>
    <w:rsid w:val="00816F4D"/>
    <w:rsid w:val="0084044E"/>
    <w:rsid w:val="00841D72"/>
    <w:rsid w:val="00845803"/>
    <w:rsid w:val="0084659C"/>
    <w:rsid w:val="00853D5C"/>
    <w:rsid w:val="00863A99"/>
    <w:rsid w:val="00872255"/>
    <w:rsid w:val="008946E4"/>
    <w:rsid w:val="008A2565"/>
    <w:rsid w:val="008D2891"/>
    <w:rsid w:val="008E6109"/>
    <w:rsid w:val="008E7CB3"/>
    <w:rsid w:val="008F08EB"/>
    <w:rsid w:val="009109BA"/>
    <w:rsid w:val="00912372"/>
    <w:rsid w:val="00932019"/>
    <w:rsid w:val="00942465"/>
    <w:rsid w:val="00960E26"/>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3355D"/>
    <w:rsid w:val="00C40CA9"/>
    <w:rsid w:val="00C51B89"/>
    <w:rsid w:val="00C7346F"/>
    <w:rsid w:val="00C73F99"/>
    <w:rsid w:val="00CA1B5F"/>
    <w:rsid w:val="00CC3A53"/>
    <w:rsid w:val="00CC5DC1"/>
    <w:rsid w:val="00CD4339"/>
    <w:rsid w:val="00CE2BDB"/>
    <w:rsid w:val="00CE7C68"/>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59E"/>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468783258">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21</TotalTime>
  <Pages>3</Pages>
  <Words>1328</Words>
  <Characters>7571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9</cp:revision>
  <cp:lastPrinted>2018-03-13T12:23:00Z</cp:lastPrinted>
  <dcterms:created xsi:type="dcterms:W3CDTF">2024-01-25T09:53:00Z</dcterms:created>
  <dcterms:modified xsi:type="dcterms:W3CDTF">2024-01-29T09:26:00Z</dcterms:modified>
</cp:coreProperties>
</file>