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22F6" w14:textId="77777777" w:rsidR="00E15CE7" w:rsidRDefault="00E15CE7" w:rsidP="00E15CE7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</w:pPr>
    </w:p>
    <w:p w14:paraId="7FD7A1C3" w14:textId="77777777" w:rsidR="00A069D4" w:rsidRDefault="00A069D4" w:rsidP="00E15CE7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</w:pPr>
    </w:p>
    <w:p w14:paraId="246B6262" w14:textId="25EA9A10" w:rsidR="00A069D4" w:rsidRPr="00A069D4" w:rsidRDefault="00A069D4" w:rsidP="00A069D4">
      <w:pPr>
        <w:spacing w:after="0" w:line="240" w:lineRule="auto"/>
        <w:jc w:val="right"/>
        <w:rPr>
          <w:rFonts w:ascii="Arial" w:eastAsia="Times New Roman" w:hAnsi="Arial" w:cs="Arial"/>
          <w:bCs/>
          <w:i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Cs/>
          <w:iCs/>
          <w:kern w:val="0"/>
          <w:sz w:val="20"/>
          <w:szCs w:val="20"/>
          <w:lang w:eastAsia="sl-SI"/>
          <w14:ligatures w14:val="none"/>
        </w:rPr>
        <w:t>Priloga št. 3</w:t>
      </w:r>
    </w:p>
    <w:p w14:paraId="6DD20381" w14:textId="77777777" w:rsidR="00A069D4" w:rsidRPr="007C4E29" w:rsidRDefault="00A069D4" w:rsidP="008446FA">
      <w:pPr>
        <w:spacing w:after="0" w:line="48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</w:pPr>
    </w:p>
    <w:p w14:paraId="0944F236" w14:textId="4038A030" w:rsidR="00E15CE7" w:rsidRPr="007C4E29" w:rsidRDefault="00E15CE7" w:rsidP="0084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 w:line="48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sl-SI"/>
          <w14:ligatures w14:val="none"/>
        </w:rPr>
      </w:pPr>
      <w:r w:rsidRPr="007C4E29">
        <w:rPr>
          <w:rFonts w:ascii="Arial" w:eastAsia="Times New Roman" w:hAnsi="Arial" w:cs="Arial"/>
          <w:b/>
          <w:iCs/>
          <w:kern w:val="0"/>
          <w:sz w:val="20"/>
          <w:szCs w:val="20"/>
          <w:lang w:eastAsia="sl-SI"/>
          <w14:ligatures w14:val="none"/>
        </w:rPr>
        <w:t>POMEN IZRAZOV</w:t>
      </w:r>
      <w:r w:rsidR="00E83BC4">
        <w:rPr>
          <w:rFonts w:ascii="Arial" w:eastAsia="Times New Roman" w:hAnsi="Arial" w:cs="Arial"/>
          <w:b/>
          <w:iCs/>
          <w:kern w:val="0"/>
          <w:sz w:val="20"/>
          <w:szCs w:val="20"/>
          <w:lang w:eastAsia="sl-SI"/>
          <w14:ligatures w14:val="none"/>
        </w:rPr>
        <w:t xml:space="preserve"> V RAZPISU JR ESS REG_KUV 2025</w:t>
      </w:r>
      <w:r w:rsidR="00E83BC4" w:rsidRPr="00DE796C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–</w:t>
      </w:r>
      <w:r w:rsidR="00E83BC4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2029</w:t>
      </w:r>
    </w:p>
    <w:p w14:paraId="71265E32" w14:textId="57662941" w:rsidR="00410ED3" w:rsidRDefault="00410ED3" w:rsidP="00A96B25">
      <w:pPr>
        <w:spacing w:after="120" w:line="240" w:lineRule="auto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sl-SI"/>
          <w14:ligatures w14:val="none"/>
        </w:rPr>
      </w:pPr>
    </w:p>
    <w:p w14:paraId="44BD5280" w14:textId="05A8AB14" w:rsidR="00D134E0" w:rsidRPr="00B53432" w:rsidRDefault="00E15CE7" w:rsidP="00B53432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B53432">
        <w:rPr>
          <w:rFonts w:ascii="Arial" w:eastAsia="Times New Roman" w:hAnsi="Arial" w:cs="Arial"/>
          <w:b/>
          <w:iCs/>
          <w:kern w:val="0"/>
          <w:sz w:val="20"/>
          <w:szCs w:val="20"/>
          <w:lang w:eastAsia="sl-SI"/>
          <w14:ligatures w14:val="none"/>
        </w:rPr>
        <w:t>Kulturno-umetnostna vzgoja (</w:t>
      </w:r>
      <w:r w:rsidR="00D134E0" w:rsidRPr="00B53432">
        <w:rPr>
          <w:rFonts w:ascii="Arial" w:eastAsia="Times New Roman" w:hAnsi="Arial" w:cs="Arial"/>
          <w:b/>
          <w:iCs/>
          <w:kern w:val="0"/>
          <w:sz w:val="20"/>
          <w:szCs w:val="20"/>
          <w:lang w:eastAsia="sl-SI"/>
          <w14:ligatures w14:val="none"/>
        </w:rPr>
        <w:t xml:space="preserve">v nadaljnjem besedilu: </w:t>
      </w:r>
      <w:r w:rsidRPr="00B53432">
        <w:rPr>
          <w:rFonts w:ascii="Arial" w:eastAsia="Times New Roman" w:hAnsi="Arial" w:cs="Arial"/>
          <w:b/>
          <w:iCs/>
          <w:kern w:val="0"/>
          <w:sz w:val="20"/>
          <w:szCs w:val="20"/>
          <w:lang w:eastAsia="sl-SI"/>
          <w14:ligatures w14:val="none"/>
        </w:rPr>
        <w:t>KUV)</w:t>
      </w:r>
      <w:r w:rsidRPr="00B53432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 xml:space="preserve"> 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zajema poučevanje in učenje </w:t>
      </w:r>
      <w:r w:rsidRPr="00B53432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>o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umetnosti in kulturi, </w:t>
      </w:r>
      <w:r w:rsidRPr="00B53432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>z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njima in </w:t>
      </w:r>
      <w:r w:rsidRPr="00B53432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>skozi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njiju, ter vse oblike kulturnega in umetniškega izražanja. </w:t>
      </w:r>
    </w:p>
    <w:p w14:paraId="4FBE522A" w14:textId="77777777" w:rsidR="00D134E0" w:rsidRPr="00D134E0" w:rsidRDefault="00D134E0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1E154430" w14:textId="77777777" w:rsidR="00D134E0" w:rsidRDefault="00E15CE7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KUV omogoča razvoj ustvarjalnega in kritičnega mišljenja, razvoj ključne kompetence kulturna zavest ter izražanje, socialno-čustvenih in drugih kompetenc za 21. stoletje. KUV skozi spoznavanje, raziskovanje, doživljanje, osmišljanje ter sprejemanje kulture in umetnosti omogoča sporazumevanje, ustvarjanje in izražanje z različnimi umetniškimi jeziki, prispeva k razvoju posameznikovega dejavnega odnosa do umetnosti oz. kulture, spodbuja njegovo domišljijo, čuječnost, ustvarjalnost, iniciativnost, inovativnost, tolerantnost, motivacijo za učenje in raziskovanje. </w:t>
      </w:r>
    </w:p>
    <w:p w14:paraId="5CEB432A" w14:textId="77777777" w:rsidR="00D134E0" w:rsidRDefault="00D134E0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F716CA6" w14:textId="47E87C8F" w:rsidR="00D134E0" w:rsidRDefault="00E15CE7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KUV temelji na zavedanju in izražanju lastne kulture, spoznavanju, sprejemanju in spoštovanju kulturne raznolikosti, uči in krepi strpnost in medkulturno razumevanje, prispeva k socialni koheziji in k posameznikovi vključenosti v družbo. </w:t>
      </w:r>
      <w:bookmarkStart w:id="1" w:name="_Hlk167782982"/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KUV spodbuja medkulturni in medgeneracijski dialog ter prispeva k odgovornemu upravljanju kulturne in naravne raznolikosti sveta za trajnostni razvoj</w:t>
      </w:r>
      <w:bookmarkEnd w:id="1"/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0B16AB28" w14:textId="77777777" w:rsidR="00D134E0" w:rsidRDefault="00D134E0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9319577" w14:textId="77777777" w:rsidR="00D134E0" w:rsidRDefault="00E15CE7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Razvijanje teh spretnosti in zmožnosti omogoča posameznikovo osebnostno rast, spodbuja različne načine mišljenja in ravnanja ter predstavlja osnovo za družbo, ki temelji na znanju, ustvarjalnosti, strpnosti in je usmerjena v odporno, pravično in trajnostno prihodnost. </w:t>
      </w:r>
    </w:p>
    <w:p w14:paraId="31643641" w14:textId="77777777" w:rsidR="00D134E0" w:rsidRDefault="00D134E0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EBFF210" w14:textId="077EAE9B" w:rsidR="00D134E0" w:rsidRDefault="00E15CE7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 načrtnim vključevanjem različnih področij KUV v vzgojno-izobraževalni proces otrokom in mladim zagotavljamo enake možnosti za dostopnost do kulture in umetnosti – sprejemanja, spoznavanja ter raziskovanja kulture in umetnosti</w:t>
      </w:r>
      <w:r w:rsidR="00D134E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pa tudi sporazumevanja, ustvarjanja in izražanja z različnimi umetniškimi jeziki (z besedo, s podobo, z zvokom, </w:t>
      </w:r>
      <w:r w:rsidR="00D134E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 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gib</w:t>
      </w:r>
      <w:r w:rsidR="00D134E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om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). </w:t>
      </w:r>
    </w:p>
    <w:p w14:paraId="5DC58746" w14:textId="77777777" w:rsidR="00D134E0" w:rsidRDefault="00D134E0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3C745D8" w14:textId="21FD1BEB" w:rsidR="00E15CE7" w:rsidRPr="00DE796C" w:rsidRDefault="00E15CE7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 vrtčevskem</w:t>
      </w:r>
      <w:r w:rsidR="00D134E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šolskem okolju se KUV najceloviteje udejanja s sodelovanjem vzgojno-izobraževalnih zavodov (</w:t>
      </w:r>
      <w:r w:rsidR="00FE62D1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 nadaljnjem besedilu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: VIZ) in strokovnih delavcev VIZ s kulturnimi ustanovami, z umetniki in drugimi delavci v kulturi v okviru </w:t>
      </w:r>
      <w:proofErr w:type="spellStart"/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Kurikula</w:t>
      </w:r>
      <w:proofErr w:type="spellEnd"/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za vrtce ali v okviru šolskega predmetnika/predmetov oziroma vsebin s področij umetnosti, </w:t>
      </w:r>
      <w:proofErr w:type="spellStart"/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večpredmetnega</w:t>
      </w:r>
      <w:proofErr w:type="spellEnd"/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pristopa k naravoslovnim in družboslovnim vsebinam, razširjenega programa, organizacije kulturno-umetniških dogodkov v VIZ in obiska kulturno-umetniških dogodkov v kulturnih ustanovah (predstav, razstav, koncertov itn.).</w:t>
      </w:r>
    </w:p>
    <w:p w14:paraId="12E39083" w14:textId="77777777" w:rsidR="00DE796C" w:rsidRPr="00E83BC4" w:rsidRDefault="00DE796C" w:rsidP="00DE796C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b/>
          <w:bCs/>
          <w:strike/>
          <w:kern w:val="0"/>
          <w:sz w:val="20"/>
          <w:szCs w:val="20"/>
          <w:lang w:eastAsia="sl-SI"/>
          <w14:ligatures w14:val="none"/>
        </w:rPr>
      </w:pPr>
    </w:p>
    <w:p w14:paraId="44F7D5F6" w14:textId="4A040E5A" w:rsidR="00D134E0" w:rsidRPr="00B53432" w:rsidRDefault="00E15CE7" w:rsidP="00B53432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B53432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Kulturne ustanove</w:t>
      </w:r>
      <w:r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so organizacije</w:t>
      </w:r>
      <w:r w:rsidR="00D611A1"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>, ki delujejo na področju kulture</w:t>
      </w:r>
      <w:r w:rsidR="00D134E0"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>. To so</w:t>
      </w:r>
      <w:r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javni zavodi, vpisani v evidenco javnih zavodov na področju kulture</w:t>
      </w:r>
      <w:r w:rsidR="00D134E0"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611A1"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ki jo vodi ministrstvo, pristojno za kulturo, </w:t>
      </w:r>
      <w:r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nevladne organizacije (kot jih opredeljuje Zakon o nevladnih organizacijah), ki so registrirane za opravljanje kulturno-umetniških dejavnosti ter za posredovanje kulturnih dobrin v </w:t>
      </w:r>
      <w:r w:rsidR="00D134E0"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Republiki </w:t>
      </w:r>
      <w:r w:rsidRPr="00B53432">
        <w:rPr>
          <w:rFonts w:ascii="Arial" w:eastAsia="Times New Roman" w:hAnsi="Arial" w:cs="Arial"/>
          <w:kern w:val="0"/>
          <w:sz w:val="20"/>
          <w:szCs w:val="20"/>
          <w14:ligatures w14:val="none"/>
        </w:rPr>
        <w:t>Sloveniji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4BF93BFB" w14:textId="3010ADBC" w:rsidR="00DE796C" w:rsidRPr="00DE796C" w:rsidRDefault="00DE796C" w:rsidP="00D134E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6D8EF7C" w14:textId="7B0301BB" w:rsidR="00DE796C" w:rsidRDefault="00E15CE7" w:rsidP="00B53432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E79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sl-SI"/>
          <w14:ligatures w14:val="none"/>
        </w:rPr>
        <w:t>Ustvarjalci</w:t>
      </w:r>
      <w:r w:rsidRPr="00DE796C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</w:t>
      </w:r>
      <w:r w:rsidRPr="00DE796C"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>so</w:t>
      </w:r>
      <w:r w:rsidRPr="00DE796C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umetniki in drugi delavci v kulturi, zaposleni v kulturnih ustanovah, zunanji sodelavci kulturnih ustanov</w:t>
      </w:r>
      <w:r w:rsidR="00997D6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(npr. samozaposleni v kulturi)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ki ustvarjajo oziroma delujejo na enem ali več področij kulture. </w:t>
      </w:r>
    </w:p>
    <w:p w14:paraId="301BE41A" w14:textId="77777777" w:rsidR="00DE796C" w:rsidRPr="00AC59D0" w:rsidRDefault="00DE796C" w:rsidP="00AC59D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916F8FA" w14:textId="6BC58483" w:rsidR="00DE796C" w:rsidRDefault="00E15CE7" w:rsidP="00B53432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C59D0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Večje kulturno središče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46594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je občina, ki ima skupaj s sosednjimi občinami v izbrani regiji 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vsaj tri (3) javne zavode </w:t>
      </w:r>
      <w:r w:rsidR="0046594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iz različnih področij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kulture, ki so vpisani </w:t>
      </w:r>
      <w:r w:rsidR="00A069D4"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 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evidenco javnih zavodov na področju kulture, ki </w:t>
      </w:r>
      <w:r w:rsidR="00A069D4"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jo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vodi ministrstvo</w:t>
      </w:r>
      <w:r w:rsidR="00A84DD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pristojno za kulturo,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ter vsaj eno (1) </w:t>
      </w:r>
      <w:r w:rsidRPr="00AC59D0">
        <w:rPr>
          <w:rFonts w:ascii="Arial" w:eastAsia="MS Mincho" w:hAnsi="Arial" w:cs="Arial"/>
          <w:bCs/>
          <w:kern w:val="0"/>
          <w:sz w:val="20"/>
          <w:szCs w:val="20"/>
          <w:lang w:eastAsia="sl-SI"/>
          <w14:ligatures w14:val="none"/>
        </w:rPr>
        <w:t>nevladno organizacijo, ki ima podeljen status v javnem interesu na področju kulture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59458874" w14:textId="33608300" w:rsidR="00E15CE7" w:rsidRDefault="00E15CE7" w:rsidP="00AC59D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90AB69E" w14:textId="77777777" w:rsidR="00FE35C6" w:rsidRDefault="00FE35C6" w:rsidP="00AC59D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6766C5A" w14:textId="77777777" w:rsidR="00FE35C6" w:rsidRDefault="00FE35C6" w:rsidP="00AC59D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65B4A93" w14:textId="77777777" w:rsidR="00FE35C6" w:rsidRDefault="00FE35C6" w:rsidP="00AC59D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7C69B51" w14:textId="77777777" w:rsidR="00FE35C6" w:rsidRPr="00FE35C6" w:rsidRDefault="00FE35C6" w:rsidP="00FE35C6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bookmarkStart w:id="2" w:name="_Hlk180753455"/>
    </w:p>
    <w:p w14:paraId="68A3D5DD" w14:textId="53BF9511" w:rsidR="002409E2" w:rsidRPr="00AC59D0" w:rsidRDefault="00E15CE7" w:rsidP="00B53432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C59D0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Nacionalna mreža KUV </w:t>
      </w:r>
    </w:p>
    <w:p w14:paraId="77AD08FD" w14:textId="19417315" w:rsidR="002409E2" w:rsidRDefault="002409E2" w:rsidP="00AC59D0">
      <w:pPr>
        <w:pStyle w:val="Odstavekseznama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 vzoru dobrih praks 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iz tujine 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in skladno z UNESCO smernicami za razvoj KUV Ministrstvo za kulturo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Republike Slovenije 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 nadaljnjem besedilu: ministrstvo</w:t>
      </w:r>
      <w:r w:rsidR="00FE35C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Ministrstvo za vzgojo in izobraževanje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Republike Slovenije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(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 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nadaljnjem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besedilu: 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MVI) od leta 2014 spodbujata gradnjo nacionalne mreže KUV. Strateško gradnjo nacionalne mreže usmerja 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Nacionalni odbor za KUV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ki vključuje predstavnike obeh ministrstev, Zavoda R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epublike 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lovenije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za šolstvo (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 nadaljnjem besedilu: 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ZRSŠ), Centra za poklicno izobraževanje R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epublike 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lovenije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Andragoškega centra Slovenije ter Urada R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epublike 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lovenije</w:t>
      </w:r>
      <w:r w:rsidRPr="00B51F5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za mladino.</w:t>
      </w:r>
    </w:p>
    <w:p w14:paraId="380C756D" w14:textId="77777777" w:rsidR="002409E2" w:rsidRDefault="002409E2" w:rsidP="00AC59D0">
      <w:pPr>
        <w:pStyle w:val="Odstavekseznama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051A569" w14:textId="3FA367B1" w:rsidR="002409E2" w:rsidRDefault="002409E2" w:rsidP="002409E2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 </w:t>
      </w:r>
      <w:r w:rsidRPr="00AC59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nacionalni 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mreži KUV, ki deluje pod okriljem nacionalnega medresorskega projekta </w:t>
      </w:r>
      <w:r w:rsidR="00AC59D0"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UV Kulturnega bazarja</w:t>
      </w:r>
      <w:r w:rsidR="00AC59D0"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t. i. </w:t>
      </w:r>
      <w:r w:rsidR="00660DF9"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</w:t>
      </w:r>
      <w:r w:rsidR="00AC59D0"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acionalnega stičišča KUV Kulturni bazar</w:t>
      </w:r>
      <w:r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so povezani VIZ, kulturne ustanove, ustvarjalci, lokalne skupnosti in drugi deležniki, ki delujejo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na področju KUV. Pomembno vlogo v mreži imajo registrirani </w:t>
      </w:r>
      <w:r w:rsidRPr="00DE796C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koordinatorji KUV</w:t>
      </w:r>
      <w:r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ki v VIZ, kulturnih ustanovah in lokalnih skupnostih skrbijo za razvoj KUV. Cilji gradnje nacionalne mreže KUV so zagotoviti načrtnejšo in dostopnejšo KUV z različnih vidikov: vsebinskega, geografskega in finančnega. </w:t>
      </w:r>
    </w:p>
    <w:p w14:paraId="76A378A7" w14:textId="77777777" w:rsidR="002409E2" w:rsidRPr="00AC59D0" w:rsidRDefault="002409E2" w:rsidP="00AC59D0">
      <w:pPr>
        <w:pStyle w:val="Odstavekseznama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11E6FA0" w14:textId="77777777" w:rsidR="002409E2" w:rsidRPr="00AC59D0" w:rsidRDefault="002409E2" w:rsidP="00AC59D0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402F154" w14:textId="3E5C239C" w:rsidR="00DE796C" w:rsidRDefault="002409E2" w:rsidP="00B53432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N</w:t>
      </w:r>
      <w:r w:rsidR="00E15CE7" w:rsidRPr="00AC59D0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acionalno stičišče KUV Kulturni bazar</w:t>
      </w:r>
      <w:r w:rsidR="00AC59D0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</w:t>
      </w:r>
      <w:r w:rsidR="00FE62D1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 nadaljnjem besedilu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: Kulturni bazar; več na: </w:t>
      </w:r>
      <w:hyperlink r:id="rId7" w:history="1">
        <w:r w:rsidR="00E15CE7" w:rsidRPr="00DE796C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sl-SI"/>
            <w14:ligatures w14:val="none"/>
          </w:rPr>
          <w:t>https://kulturnibazar.si/</w:t>
        </w:r>
      </w:hyperlink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skrbi za </w:t>
      </w:r>
      <w:r w:rsidR="00423160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koordinacijo delovanja in podporno okolje nacionalne mreže KUV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Njegovi 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soorganizatorji so 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ministrstvo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MVI in ZRSŠ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zvršni producent Kulturnega bazarja je Cankarjev dom. Delovanje Kulturnega bazarja strateško usmerja Nacionalni odbor za KUV, izvedbeno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programsko 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in</w:t>
      </w:r>
      <w:r w:rsidR="00E15CE7" w:rsidRPr="00DE796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organizacijsko pa programski in koordinacijski odbor Kulturnega bazarja. </w:t>
      </w:r>
    </w:p>
    <w:p w14:paraId="5FF117F4" w14:textId="77777777" w:rsidR="00DE796C" w:rsidRPr="00DE796C" w:rsidRDefault="00DE796C" w:rsidP="00DE796C">
      <w:pPr>
        <w:pStyle w:val="Odstavekseznama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FD4EEE0" w14:textId="454FE63B" w:rsidR="00DE796C" w:rsidRDefault="00E15CE7" w:rsidP="00DE796C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D7AD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Nacionalno stičišče</w:t>
      </w:r>
      <w:r w:rsidRPr="007C4E29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Pr="00ED7AD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Kulturni bazar</w:t>
      </w: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omogoča vključenim v nacionalno mrežo KUV programsko, organizacijsko in informacijsko podporno okolje: dodatna strokovna usposabljanja na področju </w:t>
      </w:r>
      <w:r w:rsidR="00660D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</w:t>
      </w: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UV, zagotavlja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nje</w:t>
      </w: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informacij o kakovostni ponudbi KUV ter podporno okolje za razvoj KUV (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strokovna </w:t>
      </w: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gradiva, mesečna obvestila o aktualnem dogajanju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na področju KUV</w:t>
      </w: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42316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ipd.</w:t>
      </w: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). </w:t>
      </w:r>
    </w:p>
    <w:p w14:paraId="5DC53086" w14:textId="77777777" w:rsidR="00DE796C" w:rsidRDefault="00DE796C" w:rsidP="00DE796C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725F361" w14:textId="5BF0D153" w:rsidR="00423160" w:rsidRDefault="00E15CE7" w:rsidP="00DE796C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Kulturni bazar v okviru nacionalne mreže spodbuja razvoj kakovostne ponudbe KUV kulturnih ustanov in ustvarjalcev na nacionalni, regijski in lokalni ravni ter omogoča podporo za izvajanje KUV v VIZ, kulturnih in drugih ustanovah (formalno in neformalno izobraževanje na področju KUV). </w:t>
      </w:r>
    </w:p>
    <w:p w14:paraId="74EDF3BF" w14:textId="77777777" w:rsidR="00423160" w:rsidRDefault="00423160" w:rsidP="00DE796C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FA0EFC8" w14:textId="08C47CA1" w:rsidR="00E15CE7" w:rsidRDefault="00E15CE7" w:rsidP="00DE796C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7C4E2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Registriranim koordinatorjem KUV v VIZ in kulturnih ustanovah ter ustvarjalcem vključenost v mrežo omogoča lažje povezovanje in sodelovanje. Kulturni bazar v nacionalni mreži spodbuja nova ustvarjalna partnerstva, skupno projektno delo VIZ in kulturnih ustanov oziroma ustvarjalcev, izmenjavo dobrih praks ipd.</w:t>
      </w:r>
    </w:p>
    <w:p w14:paraId="65F4AA85" w14:textId="77777777" w:rsidR="00DE796C" w:rsidRPr="007C4E29" w:rsidRDefault="00DE796C" w:rsidP="00DE796C">
      <w:pPr>
        <w:pStyle w:val="Odstavekseznama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76C4B23" w14:textId="77777777" w:rsidR="00423160" w:rsidRDefault="00E15CE7" w:rsidP="00B53432">
      <w:pPr>
        <w:pStyle w:val="Odstavekseznam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E796C">
        <w:rPr>
          <w:rFonts w:ascii="Arial" w:hAnsi="Arial" w:cs="Arial"/>
          <w:b/>
          <w:bCs/>
          <w:sz w:val="20"/>
          <w:szCs w:val="20"/>
        </w:rPr>
        <w:t xml:space="preserve">Koordinator KUV </w:t>
      </w:r>
      <w:r w:rsidRPr="00DE796C">
        <w:rPr>
          <w:rFonts w:ascii="Arial" w:hAnsi="Arial" w:cs="Arial"/>
          <w:sz w:val="20"/>
          <w:szCs w:val="20"/>
        </w:rPr>
        <w:t xml:space="preserve">je strokovni delavec, ki v svoji organizaciji skrbi za razvoj KUV. Registrirani koordinatorji KUV so predstavniki svoje organizacije v nacionalni mreži KUV – registrirajo se v soglasju oziroma na predlog vodstva svoje organizacije. </w:t>
      </w:r>
    </w:p>
    <w:p w14:paraId="1D15DA89" w14:textId="2C58D83C" w:rsidR="00E15CE7" w:rsidRPr="00ED7ADB" w:rsidRDefault="00E15CE7" w:rsidP="00B53432">
      <w:pPr>
        <w:spacing w:after="120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ED7ADB">
        <w:rPr>
          <w:rFonts w:ascii="Arial" w:hAnsi="Arial" w:cs="Arial"/>
          <w:sz w:val="20"/>
          <w:szCs w:val="20"/>
        </w:rPr>
        <w:t>V nacionalni mreži KUV se registrirajo:</w:t>
      </w:r>
    </w:p>
    <w:p w14:paraId="6A6D8871" w14:textId="308AB390" w:rsidR="00E15CE7" w:rsidRPr="00A96B25" w:rsidRDefault="00E15CE7" w:rsidP="00A96B25">
      <w:pPr>
        <w:pStyle w:val="Odstavekseznama"/>
        <w:numPr>
          <w:ilvl w:val="0"/>
          <w:numId w:val="3"/>
        </w:numPr>
        <w:spacing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96B2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koordinatorji KUV v kulturni ustanovi</w:t>
      </w:r>
      <w:r w:rsidRPr="00A96B2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</w:t>
      </w:r>
      <w:r w:rsidR="004231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to </w:t>
      </w:r>
      <w:r w:rsidRPr="00A96B25">
        <w:rPr>
          <w:rFonts w:ascii="Arial" w:eastAsia="Calibri" w:hAnsi="Arial" w:cs="Arial"/>
          <w:kern w:val="0"/>
          <w:sz w:val="20"/>
          <w:szCs w:val="20"/>
          <w14:ligatures w14:val="none"/>
        </w:rPr>
        <w:t>so strokovni delavci v kulturni ustanovi, ki skrbijo za pripravo, izvajanje, organizacijo ali promocijo KUV ponudbe svoje kulturne ustanove.</w:t>
      </w:r>
    </w:p>
    <w:p w14:paraId="3CA0C580" w14:textId="77777777" w:rsidR="00FE35C6" w:rsidRPr="00FE35C6" w:rsidRDefault="00E15CE7" w:rsidP="00A96B25">
      <w:pPr>
        <w:pStyle w:val="Odstavekseznama"/>
        <w:numPr>
          <w:ilvl w:val="0"/>
          <w:numId w:val="3"/>
        </w:numPr>
        <w:spacing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96B2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koordinatorji KUV v VIZ</w:t>
      </w:r>
      <w:r w:rsidRPr="00A96B2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</w:t>
      </w:r>
      <w:r w:rsidR="0079043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to </w:t>
      </w:r>
      <w:r w:rsidRPr="00A96B2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so strokovni delavci </w:t>
      </w:r>
      <w:r w:rsidR="0079043A">
        <w:rPr>
          <w:rFonts w:ascii="Arial" w:eastAsia="Calibri" w:hAnsi="Arial" w:cs="Arial"/>
          <w:kern w:val="0"/>
          <w:sz w:val="20"/>
          <w:szCs w:val="20"/>
          <w14:ligatures w14:val="none"/>
        </w:rPr>
        <w:t>v</w:t>
      </w:r>
      <w:r w:rsidRPr="00A96B2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VIZ, ki skrbijo za načrtovanje, pripravo, izvajanje in koordinacijo KUV v VIZ. Vloga koordinatorjev KUV v VIZ, vključenih v nacionalno mrežo KUV, je opredeljena </w:t>
      </w:r>
      <w:r w:rsidRPr="00A96B25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 </w:t>
      </w:r>
      <w:r w:rsidRPr="00A96B25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Priporočili za načrtno izvajanje kulturno-umetnostne vzgoje v vzgojno-izobraževalnih zavodih, vključenih v nacionalno mrežo </w:t>
      </w:r>
    </w:p>
    <w:p w14:paraId="3400CDAF" w14:textId="77777777" w:rsidR="00FE35C6" w:rsidRPr="00FE35C6" w:rsidRDefault="00FE35C6" w:rsidP="00FE35C6">
      <w:pPr>
        <w:pStyle w:val="Odstavekseznama"/>
        <w:spacing w:after="120" w:line="276" w:lineRule="auto"/>
        <w:ind w:left="1068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93078D" w14:textId="77777777" w:rsidR="00FE35C6" w:rsidRPr="00FE35C6" w:rsidRDefault="00FE35C6" w:rsidP="00FE35C6">
      <w:pPr>
        <w:pStyle w:val="Odstavekseznama"/>
        <w:spacing w:after="120" w:line="276" w:lineRule="auto"/>
        <w:ind w:left="1068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E78D9E" w14:textId="77777777" w:rsidR="00FE35C6" w:rsidRPr="00FE35C6" w:rsidRDefault="00FE35C6" w:rsidP="00FE35C6">
      <w:pPr>
        <w:pStyle w:val="Odstavekseznama"/>
        <w:spacing w:after="120" w:line="276" w:lineRule="auto"/>
        <w:ind w:left="1068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AF3EE4" w14:textId="77777777" w:rsidR="00FE35C6" w:rsidRDefault="00FE35C6" w:rsidP="00FE35C6">
      <w:pPr>
        <w:spacing w:after="120" w:line="276" w:lineRule="auto"/>
        <w:ind w:left="708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</w:pPr>
    </w:p>
    <w:p w14:paraId="5D58A679" w14:textId="77777777" w:rsidR="00FE35C6" w:rsidRDefault="00FE35C6" w:rsidP="00FE35C6">
      <w:pPr>
        <w:spacing w:after="120" w:line="276" w:lineRule="auto"/>
        <w:ind w:left="708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</w:pPr>
    </w:p>
    <w:p w14:paraId="07184C9E" w14:textId="4DA55866" w:rsidR="00E15CE7" w:rsidRPr="00FE35C6" w:rsidRDefault="00E15CE7" w:rsidP="00FE35C6">
      <w:pPr>
        <w:spacing w:after="120" w:line="276" w:lineRule="auto"/>
        <w:ind w:left="708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E35C6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>kulturno-umetnostne vzgoje</w:t>
      </w:r>
      <w:r w:rsidRPr="00FE35C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ter</w:t>
      </w:r>
      <w:r w:rsidRPr="00FE35C6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 </w:t>
      </w:r>
      <w:r w:rsidRPr="00FE35C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dokumentom </w:t>
      </w:r>
      <w:r w:rsidRPr="00FE35C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Koordinator kulturno-umetnostne vzgoje v vzgojno-izobraževalnem zavodu</w:t>
      </w:r>
      <w:r w:rsidRPr="007C4E29">
        <w:rPr>
          <w:vertAlign w:val="superscript"/>
        </w:rPr>
        <w:footnoteReference w:id="1"/>
      </w:r>
      <w:r w:rsidRPr="00FE35C6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, </w:t>
      </w:r>
      <w:r w:rsidRPr="00FE35C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ki ju je potrdil Nacionalni odbor za KUV</w:t>
      </w:r>
      <w:r w:rsidRPr="00FE35C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</w:t>
      </w:r>
    </w:p>
    <w:p w14:paraId="576EA82E" w14:textId="0A7EEACB" w:rsidR="00DE796C" w:rsidRDefault="00E15CE7" w:rsidP="00A96B25">
      <w:pPr>
        <w:pStyle w:val="Odstavekseznama"/>
        <w:numPr>
          <w:ilvl w:val="0"/>
          <w:numId w:val="3"/>
        </w:numPr>
        <w:spacing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96B2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koordinatorji KUV v lokalni skupnosti</w:t>
      </w:r>
      <w:r w:rsidRPr="00A96B2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so strokovni delavci lokalne skupnosti, ki delujejo na področju kulture in/ali vzgoje in izobraževanja, mladine oziroma družbenih dejavnosti</w:t>
      </w:r>
      <w:r w:rsidR="0079043A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Pr="00A96B2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 skrbijo za razvoj kakovostne KUV ponudbe v svoji lokalni skupnosti, tako v okviru formalnega kot neformalnega izobraževanja.</w:t>
      </w:r>
    </w:p>
    <w:p w14:paraId="2DB3E8A3" w14:textId="77777777" w:rsidR="00DE796C" w:rsidRDefault="00DE796C" w:rsidP="00DE796C">
      <w:pPr>
        <w:pStyle w:val="Odstavekseznama"/>
        <w:spacing w:after="12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BE8073F" w14:textId="50082D24" w:rsidR="000B6BC5" w:rsidRPr="00A83C96" w:rsidRDefault="00E15CE7" w:rsidP="000B6BC5">
      <w:pPr>
        <w:pStyle w:val="Odstavekseznama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E796C">
        <w:rPr>
          <w:rFonts w:ascii="Arial" w:hAnsi="Arial" w:cs="Arial"/>
          <w:sz w:val="20"/>
          <w:szCs w:val="20"/>
        </w:rPr>
        <w:t xml:space="preserve">Več informacij o vlogi koordinatorjev KUV v kulturnih ustanovah, VIZ in lokalnih skupnostih je dostopno na spletni strani </w:t>
      </w:r>
      <w:hyperlink r:id="rId8" w:history="1">
        <w:r w:rsidRPr="00DE796C">
          <w:rPr>
            <w:rFonts w:ascii="Arial" w:hAnsi="Arial" w:cs="Arial"/>
            <w:sz w:val="20"/>
            <w:szCs w:val="20"/>
            <w:u w:val="single"/>
          </w:rPr>
          <w:t>https://kulturnibazar.si/o-mrezi/</w:t>
        </w:r>
      </w:hyperlink>
      <w:r w:rsidRPr="00DE796C">
        <w:rPr>
          <w:rFonts w:ascii="Arial" w:hAnsi="Arial" w:cs="Arial"/>
          <w:sz w:val="20"/>
          <w:szCs w:val="20"/>
        </w:rPr>
        <w:t xml:space="preserve">, kjer so dostopne informacije o registraciji koordinatorjev iz posamezne organizacije. </w:t>
      </w:r>
    </w:p>
    <w:p w14:paraId="54EB3BA7" w14:textId="77777777" w:rsidR="00DE796C" w:rsidRPr="00DE796C" w:rsidRDefault="00DE796C" w:rsidP="00DE796C">
      <w:pPr>
        <w:pStyle w:val="Odstavekseznama"/>
        <w:spacing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0B0565" w14:textId="0C22D0EE" w:rsidR="000B6BC5" w:rsidRDefault="000B6BC5" w:rsidP="00B53432">
      <w:pPr>
        <w:pStyle w:val="Odstavekseznam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83C96">
        <w:rPr>
          <w:rFonts w:ascii="Arial" w:hAnsi="Arial" w:cs="Arial"/>
          <w:b/>
          <w:bCs/>
          <w:sz w:val="20"/>
          <w:szCs w:val="20"/>
        </w:rPr>
        <w:t xml:space="preserve">Razvojna pisarna KUV </w:t>
      </w:r>
      <w:r w:rsidRPr="00A31D2F">
        <w:rPr>
          <w:rFonts w:ascii="Arial" w:hAnsi="Arial" w:cs="Arial"/>
          <w:sz w:val="20"/>
          <w:szCs w:val="20"/>
        </w:rPr>
        <w:t>na Ministrstvu za kulturo</w:t>
      </w:r>
      <w:r w:rsidR="00A31D2F" w:rsidRPr="00A83C96">
        <w:rPr>
          <w:rFonts w:ascii="Arial" w:hAnsi="Arial" w:cs="Arial"/>
          <w:sz w:val="20"/>
          <w:szCs w:val="20"/>
        </w:rPr>
        <w:t xml:space="preserve"> bo zagotavljala </w:t>
      </w:r>
      <w:r w:rsidR="00CB2EFD">
        <w:rPr>
          <w:rFonts w:ascii="Arial" w:hAnsi="Arial" w:cs="Arial"/>
          <w:sz w:val="20"/>
          <w:szCs w:val="20"/>
        </w:rPr>
        <w:t xml:space="preserve">izgradnjo sistemskega okolja za razvoj KUV na nacionalni ravni in delovala kot </w:t>
      </w:r>
      <w:r w:rsidR="00CB2EFD" w:rsidRPr="00CB2EFD">
        <w:rPr>
          <w:rFonts w:ascii="Arial" w:hAnsi="Arial" w:cs="Arial"/>
          <w:sz w:val="20"/>
          <w:szCs w:val="20"/>
        </w:rPr>
        <w:t>strokovno, povezovalno in razvojno podporno telo</w:t>
      </w:r>
      <w:r w:rsidR="00CB2EFD">
        <w:rPr>
          <w:rFonts w:ascii="Arial" w:hAnsi="Arial" w:cs="Arial"/>
          <w:sz w:val="20"/>
          <w:szCs w:val="20"/>
        </w:rPr>
        <w:t xml:space="preserve">. Skrbela bo za </w:t>
      </w:r>
      <w:r w:rsidR="00A31D2F" w:rsidRPr="00A83C96">
        <w:rPr>
          <w:rFonts w:ascii="Arial" w:hAnsi="Arial" w:cs="Arial"/>
          <w:sz w:val="20"/>
          <w:szCs w:val="20"/>
        </w:rPr>
        <w:t xml:space="preserve">tesnejše sodelovanje deležnikov kulturnega in vzgojno-izobraževalnega resorja ter sodelovala z različnimi resorji, lokalnimi skupnostmi, univerzami oz. visokošolskimi zavodi in drugimi deležniki, ki so pomembni za celovit razvoj </w:t>
      </w:r>
      <w:r w:rsidR="00997E5E">
        <w:rPr>
          <w:rFonts w:ascii="Arial" w:hAnsi="Arial" w:cs="Arial"/>
          <w:sz w:val="20"/>
          <w:szCs w:val="20"/>
        </w:rPr>
        <w:t>KUV</w:t>
      </w:r>
      <w:r w:rsidR="00A31D2F" w:rsidRPr="00A83C96">
        <w:rPr>
          <w:rFonts w:ascii="Arial" w:hAnsi="Arial" w:cs="Arial"/>
          <w:sz w:val="20"/>
          <w:szCs w:val="20"/>
        </w:rPr>
        <w:t xml:space="preserve"> na nacionalni ravni.</w:t>
      </w:r>
      <w:r w:rsidR="00A31D2F">
        <w:rPr>
          <w:rFonts w:ascii="Arial" w:hAnsi="Arial" w:cs="Arial"/>
          <w:sz w:val="20"/>
          <w:szCs w:val="20"/>
        </w:rPr>
        <w:t xml:space="preserve"> </w:t>
      </w:r>
    </w:p>
    <w:p w14:paraId="6F2DACFC" w14:textId="77777777" w:rsidR="000B6BC5" w:rsidRPr="00A83C96" w:rsidRDefault="000B6BC5" w:rsidP="00A83C96">
      <w:pPr>
        <w:pStyle w:val="Odstavekseznama"/>
        <w:spacing w:after="120"/>
        <w:jc w:val="both"/>
        <w:rPr>
          <w:rFonts w:ascii="Arial" w:hAnsi="Arial" w:cs="Arial"/>
          <w:sz w:val="20"/>
          <w:szCs w:val="20"/>
        </w:rPr>
      </w:pPr>
    </w:p>
    <w:p w14:paraId="7AED6258" w14:textId="01A90E4B" w:rsidR="007A238B" w:rsidRPr="00ED7ADB" w:rsidRDefault="00E15CE7" w:rsidP="00B53432">
      <w:pPr>
        <w:pStyle w:val="Odstavekseznam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E796C">
        <w:rPr>
          <w:rFonts w:ascii="Arial" w:hAnsi="Arial" w:cs="Arial"/>
          <w:b/>
          <w:bCs/>
          <w:sz w:val="20"/>
          <w:szCs w:val="20"/>
        </w:rPr>
        <w:t>Regijs</w:t>
      </w:r>
      <w:r w:rsidR="00ED7ADB">
        <w:rPr>
          <w:rFonts w:ascii="Arial" w:hAnsi="Arial" w:cs="Arial"/>
          <w:b/>
          <w:bCs/>
          <w:sz w:val="20"/>
          <w:szCs w:val="20"/>
        </w:rPr>
        <w:t>k</w:t>
      </w:r>
      <w:r w:rsidRPr="00DE796C">
        <w:rPr>
          <w:rFonts w:ascii="Arial" w:hAnsi="Arial" w:cs="Arial"/>
          <w:b/>
          <w:bCs/>
          <w:sz w:val="20"/>
          <w:szCs w:val="20"/>
        </w:rPr>
        <w:t xml:space="preserve">a mreža KUV </w:t>
      </w:r>
      <w:r w:rsidR="007A238B" w:rsidRPr="00ED7ADB">
        <w:rPr>
          <w:rFonts w:ascii="Arial" w:hAnsi="Arial" w:cs="Arial"/>
          <w:sz w:val="20"/>
          <w:szCs w:val="20"/>
        </w:rPr>
        <w:t>je del nacionalne mreže KUV, povezuje kulturne ustanove, VIZ in lokalne skupnosti v posamezni izbrani regiji. Koordinatorji KUV iz naštetih organizacij se registrirajo v nacionalno mrežo KUV (na spletni strani Kulturnega bazarja), za njihovo povezovanje skrbi in koordinira regijski koordinator KUV v okviru regijske točke KUV.</w:t>
      </w:r>
    </w:p>
    <w:p w14:paraId="6F14D5B3" w14:textId="77777777" w:rsidR="007A238B" w:rsidRPr="00DE796C" w:rsidRDefault="007A238B" w:rsidP="00ED7ADB">
      <w:pPr>
        <w:pStyle w:val="Odstavekseznama"/>
        <w:spacing w:after="120"/>
        <w:rPr>
          <w:rFonts w:ascii="Arial" w:hAnsi="Arial" w:cs="Arial"/>
          <w:sz w:val="20"/>
          <w:szCs w:val="20"/>
        </w:rPr>
      </w:pPr>
    </w:p>
    <w:p w14:paraId="433F1435" w14:textId="1192F89B" w:rsidR="007A238B" w:rsidRPr="00B53432" w:rsidRDefault="00DE796C" w:rsidP="00B53432">
      <w:pPr>
        <w:pStyle w:val="Odstavekseznama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3432">
        <w:rPr>
          <w:rFonts w:ascii="Arial" w:hAnsi="Arial" w:cs="Arial"/>
          <w:b/>
          <w:bCs/>
          <w:sz w:val="20"/>
          <w:szCs w:val="20"/>
        </w:rPr>
        <w:t>R</w:t>
      </w:r>
      <w:r w:rsidR="00E15CE7" w:rsidRPr="00B53432">
        <w:rPr>
          <w:rFonts w:ascii="Arial" w:hAnsi="Arial" w:cs="Arial"/>
          <w:b/>
          <w:bCs/>
          <w:sz w:val="20"/>
          <w:szCs w:val="20"/>
        </w:rPr>
        <w:t>egijska točka KUV</w:t>
      </w:r>
      <w:r w:rsidR="00660DF9" w:rsidRPr="00B53432">
        <w:rPr>
          <w:rFonts w:ascii="Arial" w:hAnsi="Arial" w:cs="Arial"/>
          <w:b/>
          <w:bCs/>
          <w:sz w:val="20"/>
          <w:szCs w:val="20"/>
        </w:rPr>
        <w:t xml:space="preserve">: </w:t>
      </w:r>
      <w:r w:rsidR="00660DF9" w:rsidRPr="00B53432">
        <w:rPr>
          <w:rFonts w:ascii="Arial" w:hAnsi="Arial" w:cs="Arial"/>
          <w:sz w:val="20"/>
          <w:szCs w:val="20"/>
        </w:rPr>
        <w:t>v</w:t>
      </w:r>
      <w:r w:rsidR="007A238B" w:rsidRPr="00B53432">
        <w:rPr>
          <w:rFonts w:ascii="Arial" w:hAnsi="Arial" w:cs="Arial"/>
          <w:sz w:val="20"/>
          <w:szCs w:val="20"/>
        </w:rPr>
        <w:t xml:space="preserve"> okviru izbranega nacionalnega projekta KUV je v vsaki od izbranih regij v kulturni ustanovi, ki je prijavitelj oziroma </w:t>
      </w:r>
      <w:proofErr w:type="spellStart"/>
      <w:r w:rsidR="007A238B" w:rsidRPr="00B53432">
        <w:rPr>
          <w:rFonts w:ascii="Arial" w:hAnsi="Arial" w:cs="Arial"/>
          <w:sz w:val="20"/>
          <w:szCs w:val="20"/>
        </w:rPr>
        <w:t>konzorcijski</w:t>
      </w:r>
      <w:proofErr w:type="spellEnd"/>
      <w:r w:rsidR="007A238B" w:rsidRPr="00B53432">
        <w:rPr>
          <w:rFonts w:ascii="Arial" w:hAnsi="Arial" w:cs="Arial"/>
          <w:sz w:val="20"/>
          <w:szCs w:val="20"/>
        </w:rPr>
        <w:t xml:space="preserve"> partner izbranega projekta v tej regiji, vzpostavljena svetovalno-informacijska točka za KUV – tj. regijska točka KUV.</w:t>
      </w:r>
      <w:r w:rsidR="00660DF9" w:rsidRPr="00B53432">
        <w:rPr>
          <w:rFonts w:ascii="Arial" w:hAnsi="Arial" w:cs="Arial"/>
          <w:sz w:val="20"/>
          <w:szCs w:val="20"/>
        </w:rPr>
        <w:t xml:space="preserve"> Aktivnosti regijske točke KUV so navedene v točki 2.4. javnega razpisa.</w:t>
      </w:r>
    </w:p>
    <w:p w14:paraId="5BFD719B" w14:textId="77777777" w:rsidR="00ED7ADB" w:rsidRPr="00B53432" w:rsidRDefault="00ED7ADB" w:rsidP="00ED7ADB">
      <w:pPr>
        <w:pStyle w:val="Odstavekseznama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8F5D2A" w14:textId="664E2946" w:rsidR="00DE796C" w:rsidRPr="00A83C96" w:rsidRDefault="00DE796C" w:rsidP="00B53432">
      <w:pPr>
        <w:pStyle w:val="Odstavekseznama"/>
        <w:numPr>
          <w:ilvl w:val="0"/>
          <w:numId w:val="5"/>
        </w:numPr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53432">
        <w:rPr>
          <w:rFonts w:ascii="Arial" w:hAnsi="Arial" w:cs="Arial"/>
          <w:b/>
          <w:bCs/>
          <w:sz w:val="20"/>
          <w:szCs w:val="20"/>
        </w:rPr>
        <w:t>R</w:t>
      </w:r>
      <w:r w:rsidR="00E15CE7" w:rsidRPr="00B53432">
        <w:rPr>
          <w:rFonts w:ascii="Arial" w:hAnsi="Arial" w:cs="Arial"/>
          <w:b/>
          <w:bCs/>
          <w:sz w:val="20"/>
          <w:szCs w:val="20"/>
        </w:rPr>
        <w:t>egijski koordinator KUV</w:t>
      </w:r>
      <w:r w:rsidR="00660DF9" w:rsidRPr="00B53432">
        <w:rPr>
          <w:rFonts w:ascii="Arial" w:hAnsi="Arial" w:cs="Arial"/>
          <w:b/>
          <w:bCs/>
          <w:sz w:val="20"/>
          <w:szCs w:val="20"/>
        </w:rPr>
        <w:t xml:space="preserve"> </w:t>
      </w:r>
      <w:r w:rsidR="007A238B" w:rsidRPr="00B53432">
        <w:rPr>
          <w:rFonts w:ascii="Arial" w:hAnsi="Arial" w:cs="Arial"/>
          <w:sz w:val="20"/>
          <w:szCs w:val="20"/>
        </w:rPr>
        <w:t xml:space="preserve">je zaposlen </w:t>
      </w:r>
      <w:r w:rsidR="00660DF9" w:rsidRPr="00B53432">
        <w:rPr>
          <w:rFonts w:ascii="Arial" w:hAnsi="Arial" w:cs="Arial"/>
          <w:sz w:val="20"/>
          <w:szCs w:val="20"/>
        </w:rPr>
        <w:t xml:space="preserve">v okviru izbranega nacionalnega projekta KUV </w:t>
      </w:r>
      <w:r w:rsidR="007A238B" w:rsidRPr="00B53432">
        <w:rPr>
          <w:rFonts w:ascii="Arial" w:hAnsi="Arial" w:cs="Arial"/>
          <w:sz w:val="20"/>
          <w:szCs w:val="20"/>
        </w:rPr>
        <w:t xml:space="preserve">in </w:t>
      </w:r>
      <w:r w:rsidR="00E15CE7" w:rsidRPr="00B53432">
        <w:rPr>
          <w:rFonts w:ascii="Arial" w:hAnsi="Arial" w:cs="Arial"/>
          <w:sz w:val="20"/>
          <w:szCs w:val="20"/>
        </w:rPr>
        <w:t xml:space="preserve">vodi regijsko točko KUV ter skrbi za gradnjo </w:t>
      </w:r>
      <w:r w:rsidR="00E15CE7" w:rsidRPr="00B53432">
        <w:rPr>
          <w:rFonts w:ascii="Arial" w:hAnsi="Arial" w:cs="Arial"/>
          <w:b/>
          <w:bCs/>
          <w:sz w:val="20"/>
          <w:szCs w:val="20"/>
        </w:rPr>
        <w:t>regijske mreže KUV</w:t>
      </w:r>
      <w:r w:rsidR="00E15CE7" w:rsidRPr="00B53432">
        <w:rPr>
          <w:rFonts w:ascii="Arial" w:hAnsi="Arial" w:cs="Arial"/>
          <w:sz w:val="20"/>
          <w:szCs w:val="20"/>
        </w:rPr>
        <w:t>.</w:t>
      </w:r>
      <w:r w:rsidR="00E15CE7"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660DF9" w:rsidRPr="00B5343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Naloge regijskega koordinatorja KUV so opredeljene v točki 2.4. javnega razpisa.</w:t>
      </w:r>
    </w:p>
    <w:p w14:paraId="11F2D41C" w14:textId="77777777" w:rsidR="000B6BC5" w:rsidRPr="00A83C96" w:rsidRDefault="000B6BC5" w:rsidP="00A83C96">
      <w:pPr>
        <w:pStyle w:val="Odstavekseznama"/>
        <w:rPr>
          <w:rFonts w:ascii="Arial" w:hAnsi="Arial" w:cs="Arial"/>
          <w:sz w:val="20"/>
          <w:szCs w:val="20"/>
        </w:rPr>
      </w:pPr>
    </w:p>
    <w:p w14:paraId="5B6FF948" w14:textId="5B3D253C" w:rsidR="00997E5E" w:rsidRDefault="000B6BC5" w:rsidP="00997E5E">
      <w:pPr>
        <w:pStyle w:val="Odstavekseznama"/>
        <w:numPr>
          <w:ilvl w:val="0"/>
          <w:numId w:val="5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83C9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Program KUV+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je v okviru tega javnega razpisa </w:t>
      </w:r>
      <w:r w:rsidRPr="00156B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razvit celovit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večdnevni </w:t>
      </w:r>
      <w:r w:rsidRPr="00156B24">
        <w:rPr>
          <w:rFonts w:ascii="Arial" w:eastAsia="Calibri" w:hAnsi="Arial" w:cs="Arial"/>
          <w:kern w:val="0"/>
          <w:sz w:val="20"/>
          <w:szCs w:val="20"/>
          <w14:ligatures w14:val="none"/>
        </w:rPr>
        <w:t>kulturno-vzgojn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i program</w:t>
      </w:r>
      <w:r w:rsidRPr="00156B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aktivnosti</w:t>
      </w:r>
      <w:r w:rsidRPr="00156B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ki kot del vzgojno-izobraževalnega procesa </w:t>
      </w:r>
      <w:r w:rsidRPr="00156B2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zagotavlja kakovostno in poglobljeno kulturno-vzgojno izkušnjo</w:t>
      </w:r>
      <w:r w:rsidRPr="0045201D">
        <w:rPr>
          <w:rFonts w:ascii="Arial" w:eastAsia="Calibri" w:hAnsi="Arial" w:cs="Arial"/>
          <w:sz w:val="20"/>
          <w:szCs w:val="20"/>
        </w:rPr>
        <w:t>.</w:t>
      </w:r>
      <w:r w:rsidR="00997E5E">
        <w:rPr>
          <w:rFonts w:ascii="Arial" w:eastAsia="Calibri" w:hAnsi="Arial" w:cs="Arial"/>
          <w:sz w:val="20"/>
          <w:szCs w:val="20"/>
        </w:rPr>
        <w:t xml:space="preserve"> </w:t>
      </w:r>
    </w:p>
    <w:p w14:paraId="396AD034" w14:textId="77777777" w:rsidR="00997E5E" w:rsidRPr="00A83C96" w:rsidRDefault="00997E5E" w:rsidP="00A83C96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bookmarkEnd w:id="2"/>
    <w:p w14:paraId="3E86DA0D" w14:textId="694702BF" w:rsidR="002D4169" w:rsidRPr="00997E5E" w:rsidRDefault="00013B90" w:rsidP="00997E5E">
      <w:pPr>
        <w:pStyle w:val="Odstavekseznama"/>
        <w:numPr>
          <w:ilvl w:val="0"/>
          <w:numId w:val="5"/>
        </w:numPr>
        <w:spacing w:after="120" w:line="240" w:lineRule="auto"/>
        <w:jc w:val="both"/>
      </w:pPr>
      <w:r w:rsidRPr="00B53432">
        <w:rPr>
          <w:rFonts w:ascii="Arial" w:hAnsi="Arial" w:cs="Arial"/>
          <w:b/>
          <w:bCs/>
          <w:sz w:val="20"/>
          <w:szCs w:val="20"/>
        </w:rPr>
        <w:t xml:space="preserve">Strokovni spremljevalec </w:t>
      </w:r>
      <w:r w:rsidR="000B6BC5">
        <w:rPr>
          <w:rFonts w:ascii="Arial" w:hAnsi="Arial" w:cs="Arial"/>
          <w:b/>
          <w:bCs/>
          <w:sz w:val="20"/>
          <w:szCs w:val="20"/>
        </w:rPr>
        <w:t xml:space="preserve">programa </w:t>
      </w:r>
      <w:r w:rsidRPr="00B53432">
        <w:rPr>
          <w:rFonts w:ascii="Arial" w:hAnsi="Arial" w:cs="Arial"/>
          <w:b/>
          <w:bCs/>
          <w:sz w:val="20"/>
          <w:szCs w:val="20"/>
        </w:rPr>
        <w:t>KUV+</w:t>
      </w:r>
      <w:r w:rsidRPr="00B53432">
        <w:rPr>
          <w:rFonts w:ascii="Arial" w:hAnsi="Arial" w:cs="Arial"/>
          <w:sz w:val="20"/>
          <w:szCs w:val="20"/>
        </w:rPr>
        <w:t xml:space="preserve"> je kulturni delavec, ki sodeluje z regijskim koordinatorjem </w:t>
      </w:r>
      <w:r w:rsidR="00A069D4" w:rsidRPr="00B53432">
        <w:rPr>
          <w:rFonts w:ascii="Arial" w:hAnsi="Arial" w:cs="Arial"/>
          <w:sz w:val="20"/>
          <w:szCs w:val="20"/>
        </w:rPr>
        <w:t xml:space="preserve">KUV </w:t>
      </w:r>
      <w:r w:rsidRPr="00B53432">
        <w:rPr>
          <w:rFonts w:ascii="Arial" w:hAnsi="Arial" w:cs="Arial"/>
          <w:sz w:val="20"/>
          <w:szCs w:val="20"/>
          <w:lang w:eastAsia="sl-SI"/>
        </w:rPr>
        <w:t xml:space="preserve">pri izvedbi posamezne </w:t>
      </w:r>
      <w:r w:rsidR="000B6BC5">
        <w:rPr>
          <w:rFonts w:ascii="Arial" w:hAnsi="Arial" w:cs="Arial"/>
          <w:sz w:val="20"/>
          <w:szCs w:val="20"/>
          <w:lang w:eastAsia="sl-SI"/>
        </w:rPr>
        <w:t xml:space="preserve">izvedbe programa </w:t>
      </w:r>
      <w:r w:rsidRPr="00B53432">
        <w:rPr>
          <w:rFonts w:ascii="Arial" w:hAnsi="Arial" w:cs="Arial"/>
          <w:sz w:val="20"/>
          <w:szCs w:val="20"/>
          <w:lang w:eastAsia="sl-SI"/>
        </w:rPr>
        <w:t xml:space="preserve">KUV+. Učence in dijake spremlja celoten čas izvajanja </w:t>
      </w:r>
      <w:r w:rsidR="000B6BC5">
        <w:rPr>
          <w:rFonts w:ascii="Arial" w:hAnsi="Arial" w:cs="Arial"/>
          <w:sz w:val="20"/>
          <w:szCs w:val="20"/>
          <w:lang w:eastAsia="sl-SI"/>
        </w:rPr>
        <w:t xml:space="preserve">programa </w:t>
      </w:r>
      <w:r w:rsidRPr="00B53432">
        <w:rPr>
          <w:rFonts w:ascii="Arial" w:hAnsi="Arial" w:cs="Arial"/>
          <w:sz w:val="20"/>
          <w:szCs w:val="20"/>
          <w:lang w:eastAsia="sl-SI"/>
        </w:rPr>
        <w:t xml:space="preserve">KUV+ </w:t>
      </w:r>
      <w:r w:rsidRPr="00B53432">
        <w:rPr>
          <w:rFonts w:ascii="Arial" w:hAnsi="Arial" w:cs="Arial"/>
          <w:sz w:val="20"/>
          <w:szCs w:val="20"/>
        </w:rPr>
        <w:t>in tako</w:t>
      </w:r>
      <w:r w:rsidRPr="00B53432">
        <w:rPr>
          <w:rFonts w:ascii="Arial" w:hAnsi="Arial" w:cs="Arial"/>
          <w:sz w:val="20"/>
          <w:szCs w:val="20"/>
          <w:lang w:eastAsia="sl-SI"/>
        </w:rPr>
        <w:t xml:space="preserve"> zagotovi celovito in kakovostno izvedbo programa KUV+. Ob zaključku posamezne </w:t>
      </w:r>
      <w:r w:rsidR="000B6BC5">
        <w:rPr>
          <w:rFonts w:ascii="Arial" w:hAnsi="Arial" w:cs="Arial"/>
          <w:sz w:val="20"/>
          <w:szCs w:val="20"/>
          <w:lang w:eastAsia="sl-SI"/>
        </w:rPr>
        <w:t xml:space="preserve">izvedbe programa </w:t>
      </w:r>
      <w:r w:rsidRPr="00B53432">
        <w:rPr>
          <w:rFonts w:ascii="Arial" w:hAnsi="Arial" w:cs="Arial"/>
          <w:sz w:val="20"/>
          <w:szCs w:val="20"/>
          <w:lang w:eastAsia="sl-SI"/>
        </w:rPr>
        <w:t xml:space="preserve">KUV+ pripravi poročilo o njeni izvedbi ter v sodelovanju z VIZ </w:t>
      </w:r>
      <w:r w:rsidR="00361A0C">
        <w:rPr>
          <w:rFonts w:ascii="Arial" w:hAnsi="Arial" w:cs="Arial"/>
          <w:sz w:val="20"/>
          <w:szCs w:val="20"/>
          <w:lang w:eastAsia="sl-SI"/>
        </w:rPr>
        <w:t>izvede</w:t>
      </w:r>
      <w:r w:rsidR="0049513A">
        <w:rPr>
          <w:rFonts w:ascii="Arial" w:hAnsi="Arial" w:cs="Arial"/>
          <w:sz w:val="20"/>
          <w:szCs w:val="20"/>
          <w:lang w:eastAsia="sl-SI"/>
        </w:rPr>
        <w:t xml:space="preserve"> z udeleženci</w:t>
      </w:r>
      <w:r w:rsidR="00361A0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B53432">
        <w:rPr>
          <w:rFonts w:ascii="Arial" w:hAnsi="Arial" w:cs="Arial"/>
          <w:sz w:val="20"/>
          <w:szCs w:val="20"/>
          <w:lang w:eastAsia="sl-SI"/>
        </w:rPr>
        <w:t xml:space="preserve">tudi </w:t>
      </w:r>
      <w:r w:rsidR="00832448" w:rsidRPr="00B53432">
        <w:rPr>
          <w:rFonts w:ascii="Arial" w:hAnsi="Arial" w:cs="Arial"/>
          <w:sz w:val="20"/>
          <w:szCs w:val="20"/>
          <w:lang w:eastAsia="sl-SI"/>
        </w:rPr>
        <w:t>vprašalnik o</w:t>
      </w:r>
      <w:r w:rsidRPr="00B53432">
        <w:rPr>
          <w:rFonts w:ascii="Arial" w:hAnsi="Arial" w:cs="Arial"/>
          <w:sz w:val="20"/>
          <w:szCs w:val="20"/>
          <w:lang w:eastAsia="sl-SI"/>
        </w:rPr>
        <w:t xml:space="preserve"> </w:t>
      </w:r>
      <w:r w:rsidR="000B6BC5">
        <w:rPr>
          <w:rFonts w:ascii="Arial" w:hAnsi="Arial" w:cs="Arial"/>
          <w:sz w:val="20"/>
          <w:szCs w:val="20"/>
          <w:lang w:eastAsia="sl-SI"/>
        </w:rPr>
        <w:t xml:space="preserve">programu </w:t>
      </w:r>
      <w:r w:rsidR="00ED7ADB" w:rsidRPr="00B53432">
        <w:rPr>
          <w:rFonts w:ascii="Arial" w:hAnsi="Arial" w:cs="Arial"/>
          <w:sz w:val="20"/>
          <w:szCs w:val="20"/>
          <w:lang w:eastAsia="sl-SI"/>
        </w:rPr>
        <w:t>KUV+</w:t>
      </w:r>
      <w:r w:rsidR="0049513A">
        <w:rPr>
          <w:rFonts w:ascii="Arial" w:hAnsi="Arial" w:cs="Arial"/>
          <w:sz w:val="20"/>
          <w:szCs w:val="20"/>
          <w:lang w:eastAsia="sl-SI"/>
        </w:rPr>
        <w:t>.</w:t>
      </w:r>
    </w:p>
    <w:sectPr w:rsidR="002D4169" w:rsidRPr="00997E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5315" w14:textId="77777777" w:rsidR="00E15CE7" w:rsidRDefault="00E15CE7" w:rsidP="00E15CE7">
      <w:pPr>
        <w:spacing w:after="0" w:line="240" w:lineRule="auto"/>
      </w:pPr>
      <w:r>
        <w:separator/>
      </w:r>
    </w:p>
  </w:endnote>
  <w:endnote w:type="continuationSeparator" w:id="0">
    <w:p w14:paraId="1EF71DF5" w14:textId="77777777" w:rsidR="00E15CE7" w:rsidRDefault="00E15CE7" w:rsidP="00E1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367041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0232B158" w14:textId="77777777" w:rsidR="0053567B" w:rsidRDefault="0053567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5FDC251" w14:textId="343CBA46" w:rsidR="0053567B" w:rsidRPr="0053567B" w:rsidRDefault="0053567B" w:rsidP="0053567B">
        <w:pPr>
          <w:pStyle w:val="Noga"/>
          <w:rPr>
            <w:color w:val="A6A6A6" w:themeColor="background1" w:themeShade="A6"/>
          </w:rPr>
        </w:pPr>
        <w:r w:rsidRPr="0053567B">
          <w:rPr>
            <w:color w:val="A6A6A6" w:themeColor="background1" w:themeShade="A6"/>
          </w:rPr>
          <w:t>JR ESS REG_KUV 2025</w:t>
        </w:r>
        <w:r w:rsidRPr="0053567B">
          <w:rPr>
            <w:bCs/>
            <w:color w:val="A6A6A6" w:themeColor="background1" w:themeShade="A6"/>
          </w:rPr>
          <w:t>–</w:t>
        </w:r>
        <w:r w:rsidRPr="0053567B">
          <w:rPr>
            <w:color w:val="A6A6A6" w:themeColor="background1" w:themeShade="A6"/>
          </w:rPr>
          <w:t>2029</w:t>
        </w:r>
        <w:r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ab/>
        </w:r>
        <w:r>
          <w:rPr>
            <w:color w:val="A6A6A6" w:themeColor="background1" w:themeShade="A6"/>
          </w:rPr>
          <w:tab/>
          <w:t>Priloga št. 3</w:t>
        </w:r>
      </w:p>
    </w:sdtContent>
  </w:sdt>
  <w:p w14:paraId="04755DDE" w14:textId="77777777" w:rsidR="00EA5290" w:rsidRDefault="00EA52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1C57" w14:textId="77777777" w:rsidR="00E15CE7" w:rsidRDefault="00E15CE7" w:rsidP="00E15CE7">
      <w:pPr>
        <w:spacing w:after="0" w:line="240" w:lineRule="auto"/>
      </w:pPr>
      <w:bookmarkStart w:id="0" w:name="_Hlk190950059"/>
      <w:bookmarkEnd w:id="0"/>
      <w:r>
        <w:separator/>
      </w:r>
    </w:p>
  </w:footnote>
  <w:footnote w:type="continuationSeparator" w:id="0">
    <w:p w14:paraId="744BA837" w14:textId="77777777" w:rsidR="00E15CE7" w:rsidRDefault="00E15CE7" w:rsidP="00E15CE7">
      <w:pPr>
        <w:spacing w:after="0" w:line="240" w:lineRule="auto"/>
      </w:pPr>
      <w:r>
        <w:continuationSeparator/>
      </w:r>
    </w:p>
  </w:footnote>
  <w:footnote w:id="1">
    <w:p w14:paraId="592122B7" w14:textId="6336C305" w:rsidR="00E15CE7" w:rsidRDefault="00E15CE7" w:rsidP="00E15CE7">
      <w:pPr>
        <w:pStyle w:val="Sprotnaopomba-besedilo"/>
      </w:pPr>
      <w:r w:rsidRPr="000604DC">
        <w:rPr>
          <w:rStyle w:val="Sprotnaopomba-sklic"/>
          <w:rFonts w:ascii="Arial" w:hAnsi="Arial" w:cs="Arial"/>
          <w:sz w:val="16"/>
          <w:szCs w:val="16"/>
        </w:rPr>
        <w:footnoteRef/>
      </w:r>
      <w:r w:rsidRPr="000604DC">
        <w:rPr>
          <w:rFonts w:ascii="Arial" w:hAnsi="Arial" w:cs="Arial"/>
          <w:sz w:val="16"/>
          <w:szCs w:val="16"/>
        </w:rPr>
        <w:t xml:space="preserve"> Glej: </w:t>
      </w:r>
      <w:hyperlink r:id="rId1" w:history="1">
        <w:r w:rsidR="000844C6" w:rsidRPr="000844C6">
          <w:rPr>
            <w:rStyle w:val="Hiperpovezava"/>
            <w:rFonts w:ascii="Arial" w:hAnsi="Arial" w:cs="Arial"/>
            <w:sz w:val="16"/>
            <w:szCs w:val="16"/>
          </w:rPr>
          <w:t>Priporočila za načrtno izvajanje kulturno-umetnostne vzgoje v VIZ - Kulturni bazar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DFD8" w14:textId="09CCF123" w:rsidR="00A069D4" w:rsidRDefault="00A069D4" w:rsidP="00A069D4">
    <w:pPr>
      <w:pStyle w:val="Glava"/>
    </w:pPr>
    <w:r w:rsidRPr="006E3560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164B706F" wp14:editId="672505F3">
          <wp:extent cx="2305050" cy="355600"/>
          <wp:effectExtent l="0" t="0" r="0" b="6350"/>
          <wp:docPr id="1078345378" name="Slika 2" descr="INTRANET">
            <a:hlinkClick xmlns:a="http://schemas.openxmlformats.org/drawingml/2006/main" r:id="rId1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668D3E" wp14:editId="44DA4F1C">
          <wp:simplePos x="0" y="0"/>
          <wp:positionH relativeFrom="column">
            <wp:posOffset>2679065</wp:posOffset>
          </wp:positionH>
          <wp:positionV relativeFrom="paragraph">
            <wp:posOffset>-5715</wp:posOffset>
          </wp:positionV>
          <wp:extent cx="2503170" cy="525145"/>
          <wp:effectExtent l="0" t="0" r="0" b="8255"/>
          <wp:wrapSquare wrapText="bothSides"/>
          <wp:docPr id="174853495" name="Slika 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45568B" wp14:editId="022D67E1">
          <wp:simplePos x="0" y="0"/>
          <wp:positionH relativeFrom="column">
            <wp:posOffset>5454015</wp:posOffset>
          </wp:positionH>
          <wp:positionV relativeFrom="paragraph">
            <wp:posOffset>-158750</wp:posOffset>
          </wp:positionV>
          <wp:extent cx="913130" cy="825500"/>
          <wp:effectExtent l="0" t="0" r="1270" b="0"/>
          <wp:wrapNone/>
          <wp:docPr id="596353079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75F1F" w14:textId="31737FD2" w:rsidR="00A069D4" w:rsidRDefault="00A069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BBD"/>
    <w:multiLevelType w:val="hybridMultilevel"/>
    <w:tmpl w:val="43C42240"/>
    <w:lvl w:ilvl="0" w:tplc="75524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982"/>
    <w:multiLevelType w:val="hybridMultilevel"/>
    <w:tmpl w:val="F5D6C30E"/>
    <w:lvl w:ilvl="0" w:tplc="042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DA4C72"/>
    <w:multiLevelType w:val="hybridMultilevel"/>
    <w:tmpl w:val="059C8A9A"/>
    <w:lvl w:ilvl="0" w:tplc="BE625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85D97"/>
    <w:multiLevelType w:val="hybridMultilevel"/>
    <w:tmpl w:val="51047622"/>
    <w:lvl w:ilvl="0" w:tplc="BE625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817FD1"/>
    <w:multiLevelType w:val="hybridMultilevel"/>
    <w:tmpl w:val="A700208A"/>
    <w:lvl w:ilvl="0" w:tplc="BE62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526B"/>
    <w:multiLevelType w:val="hybridMultilevel"/>
    <w:tmpl w:val="FE1891B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2B29"/>
    <w:multiLevelType w:val="hybridMultilevel"/>
    <w:tmpl w:val="DF681F7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793D"/>
    <w:multiLevelType w:val="hybridMultilevel"/>
    <w:tmpl w:val="2B50F73A"/>
    <w:lvl w:ilvl="0" w:tplc="91F60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212C6"/>
    <w:multiLevelType w:val="hybridMultilevel"/>
    <w:tmpl w:val="24A09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71244">
    <w:abstractNumId w:val="0"/>
  </w:num>
  <w:num w:numId="2" w16cid:durableId="1097141349">
    <w:abstractNumId w:val="2"/>
  </w:num>
  <w:num w:numId="3" w16cid:durableId="1426684877">
    <w:abstractNumId w:val="3"/>
  </w:num>
  <w:num w:numId="4" w16cid:durableId="356660939">
    <w:abstractNumId w:val="7"/>
  </w:num>
  <w:num w:numId="5" w16cid:durableId="87847189">
    <w:abstractNumId w:val="6"/>
  </w:num>
  <w:num w:numId="6" w16cid:durableId="1929579980">
    <w:abstractNumId w:val="1"/>
  </w:num>
  <w:num w:numId="7" w16cid:durableId="1604803498">
    <w:abstractNumId w:val="5"/>
  </w:num>
  <w:num w:numId="8" w16cid:durableId="371269964">
    <w:abstractNumId w:val="8"/>
  </w:num>
  <w:num w:numId="9" w16cid:durableId="843133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7"/>
    <w:rsid w:val="00013B90"/>
    <w:rsid w:val="000844C6"/>
    <w:rsid w:val="000B5E21"/>
    <w:rsid w:val="000B6BC5"/>
    <w:rsid w:val="001269B2"/>
    <w:rsid w:val="00164ECD"/>
    <w:rsid w:val="00172A5A"/>
    <w:rsid w:val="00192597"/>
    <w:rsid w:val="001A5841"/>
    <w:rsid w:val="001C7BD6"/>
    <w:rsid w:val="001D7127"/>
    <w:rsid w:val="002205DB"/>
    <w:rsid w:val="002409E2"/>
    <w:rsid w:val="002D4169"/>
    <w:rsid w:val="00361A0C"/>
    <w:rsid w:val="003C7FAA"/>
    <w:rsid w:val="00410ED3"/>
    <w:rsid w:val="00423160"/>
    <w:rsid w:val="0043199C"/>
    <w:rsid w:val="00443FFB"/>
    <w:rsid w:val="0046594A"/>
    <w:rsid w:val="0049513A"/>
    <w:rsid w:val="004D2BD5"/>
    <w:rsid w:val="004D6C50"/>
    <w:rsid w:val="005013F9"/>
    <w:rsid w:val="0053567B"/>
    <w:rsid w:val="00541CFE"/>
    <w:rsid w:val="0059274D"/>
    <w:rsid w:val="00660DF9"/>
    <w:rsid w:val="006730A6"/>
    <w:rsid w:val="006967BC"/>
    <w:rsid w:val="00704ACE"/>
    <w:rsid w:val="00716160"/>
    <w:rsid w:val="0079043A"/>
    <w:rsid w:val="00794461"/>
    <w:rsid w:val="007968FB"/>
    <w:rsid w:val="007A238B"/>
    <w:rsid w:val="007C4E29"/>
    <w:rsid w:val="00832448"/>
    <w:rsid w:val="008446FA"/>
    <w:rsid w:val="008711B5"/>
    <w:rsid w:val="008B4A09"/>
    <w:rsid w:val="00904AF7"/>
    <w:rsid w:val="0098076C"/>
    <w:rsid w:val="00994C55"/>
    <w:rsid w:val="00997D6F"/>
    <w:rsid w:val="00997E5E"/>
    <w:rsid w:val="009A682F"/>
    <w:rsid w:val="009F08B0"/>
    <w:rsid w:val="00A069D4"/>
    <w:rsid w:val="00A25E49"/>
    <w:rsid w:val="00A31D2F"/>
    <w:rsid w:val="00A83C96"/>
    <w:rsid w:val="00A84DD4"/>
    <w:rsid w:val="00A96B25"/>
    <w:rsid w:val="00AC59D0"/>
    <w:rsid w:val="00B1639A"/>
    <w:rsid w:val="00B53432"/>
    <w:rsid w:val="00B73C7D"/>
    <w:rsid w:val="00B85E77"/>
    <w:rsid w:val="00B9011A"/>
    <w:rsid w:val="00C31E52"/>
    <w:rsid w:val="00C45E80"/>
    <w:rsid w:val="00CB2EFD"/>
    <w:rsid w:val="00CE5756"/>
    <w:rsid w:val="00D134E0"/>
    <w:rsid w:val="00D611A1"/>
    <w:rsid w:val="00D927CB"/>
    <w:rsid w:val="00DC2180"/>
    <w:rsid w:val="00DE796C"/>
    <w:rsid w:val="00E15CE7"/>
    <w:rsid w:val="00E67244"/>
    <w:rsid w:val="00E83BC4"/>
    <w:rsid w:val="00EA5290"/>
    <w:rsid w:val="00ED7ADB"/>
    <w:rsid w:val="00EF599A"/>
    <w:rsid w:val="00F15C8F"/>
    <w:rsid w:val="00F23213"/>
    <w:rsid w:val="00F45EAE"/>
    <w:rsid w:val="00FE35C6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1450A9"/>
  <w15:chartTrackingRefBased/>
  <w15:docId w15:val="{00187B19-8538-46B5-9C42-9C2F43A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unhideWhenUsed/>
    <w:rsid w:val="00E15CE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15CE7"/>
    <w:rPr>
      <w:sz w:val="20"/>
      <w:szCs w:val="20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,DNV-FT"/>
    <w:basedOn w:val="Navaden"/>
    <w:link w:val="Sprotnaopomba-besediloZnak"/>
    <w:unhideWhenUsed/>
    <w:qFormat/>
    <w:rsid w:val="00E15CE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DNV-FT Znak"/>
    <w:basedOn w:val="Privzetapisavaodstavka"/>
    <w:link w:val="Sprotnaopomba-besedilo"/>
    <w:rsid w:val="00E15CE7"/>
    <w:rPr>
      <w:sz w:val="20"/>
      <w:szCs w:val="20"/>
    </w:rPr>
  </w:style>
  <w:style w:type="character" w:styleId="Pripombasklic">
    <w:name w:val="annotation reference"/>
    <w:unhideWhenUsed/>
    <w:rsid w:val="00E15CE7"/>
    <w:rPr>
      <w:sz w:val="16"/>
      <w:szCs w:val="16"/>
    </w:rPr>
  </w:style>
  <w:style w:type="character" w:styleId="Sprotnaopomba-sklic">
    <w:name w:val="footnote reference"/>
    <w:aliases w:val="Footnote symbol,Footnote,Fussnota, Znak,Footnote reference number,note TESI,SUPERS,EN Footnote Reference,Znak,-E Fußnotenzeichen,number,Times 10 Point,Exposant 3 Point,Footnote Reference_LVL6,Footnote Reference_LVL61"/>
    <w:unhideWhenUsed/>
    <w:qFormat/>
    <w:rsid w:val="00E15CE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A0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9D4"/>
  </w:style>
  <w:style w:type="paragraph" w:styleId="Noga">
    <w:name w:val="footer"/>
    <w:basedOn w:val="Navaden"/>
    <w:link w:val="NogaZnak"/>
    <w:uiPriority w:val="99"/>
    <w:unhideWhenUsed/>
    <w:rsid w:val="00A0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9D4"/>
  </w:style>
  <w:style w:type="paragraph" w:styleId="Odstavekseznama">
    <w:name w:val="List Paragraph"/>
    <w:aliases w:val="Odstavek delo"/>
    <w:basedOn w:val="Navaden"/>
    <w:link w:val="OdstavekseznamaZnak"/>
    <w:uiPriority w:val="34"/>
    <w:qFormat/>
    <w:rsid w:val="00A96B25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79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796C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E796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10ED3"/>
    <w:rPr>
      <w:color w:val="0000FF"/>
      <w:u w:val="single"/>
    </w:rPr>
  </w:style>
  <w:style w:type="character" w:customStyle="1" w:styleId="jss315">
    <w:name w:val="jss315"/>
    <w:basedOn w:val="Privzetapisavaodstavka"/>
    <w:rsid w:val="00410ED3"/>
  </w:style>
  <w:style w:type="character" w:styleId="Nerazreenaomemba">
    <w:name w:val="Unresolved Mention"/>
    <w:basedOn w:val="Privzetapisavaodstavka"/>
    <w:uiPriority w:val="99"/>
    <w:semiHidden/>
    <w:unhideWhenUsed/>
    <w:rsid w:val="002D4169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Odstavek delo Znak"/>
    <w:link w:val="Odstavekseznama"/>
    <w:uiPriority w:val="34"/>
    <w:locked/>
    <w:rsid w:val="002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nibazar.si/o-mre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turnibazar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ulturnibazar.si/objave/priporocila-za-nacrtno-izvajanje-kulturno-umetnostne-vzgoje-v-vzgojno-izobrazevalnih-zavodih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mkportal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Bucik</dc:creator>
  <cp:keywords/>
  <dc:description/>
  <cp:lastModifiedBy>Nataša Bucik</cp:lastModifiedBy>
  <cp:revision>33</cp:revision>
  <dcterms:created xsi:type="dcterms:W3CDTF">2025-03-01T13:24:00Z</dcterms:created>
  <dcterms:modified xsi:type="dcterms:W3CDTF">2025-04-25T08:27:00Z</dcterms:modified>
</cp:coreProperties>
</file>