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E609" w14:textId="77777777" w:rsidR="004F50E6" w:rsidRDefault="004F50E6" w:rsidP="008E0D92">
      <w:pPr>
        <w:pStyle w:val="datumtevilka"/>
      </w:pPr>
    </w:p>
    <w:p w14:paraId="7CF6AE86" w14:textId="77777777" w:rsidR="004F50E6" w:rsidRDefault="004F50E6" w:rsidP="008E0D92">
      <w:pPr>
        <w:pStyle w:val="datumtevilka"/>
      </w:pPr>
    </w:p>
    <w:p w14:paraId="1E9240EB"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E965ED" w14:paraId="2FB66AFB" w14:textId="77777777" w:rsidTr="00A16AD6">
        <w:tc>
          <w:tcPr>
            <w:tcW w:w="1843" w:type="dxa"/>
          </w:tcPr>
          <w:p w14:paraId="6BD1431F" w14:textId="77777777" w:rsidR="00463235" w:rsidRDefault="00000000" w:rsidP="008E0D92">
            <w:pPr>
              <w:pStyle w:val="datumtevilka"/>
            </w:pPr>
            <w:r>
              <w:t xml:space="preserve">Številka: </w:t>
            </w:r>
          </w:p>
        </w:tc>
        <w:tc>
          <w:tcPr>
            <w:tcW w:w="6645" w:type="dxa"/>
          </w:tcPr>
          <w:p w14:paraId="5608EE9A" w14:textId="77777777" w:rsidR="00463235" w:rsidRDefault="00000000" w:rsidP="008E0D92">
            <w:pPr>
              <w:pStyle w:val="datumtevilka"/>
            </w:pPr>
            <w:bookmarkStart w:id="0" w:name="KlasSt"/>
            <w:r>
              <w:t>024-5/2022-3340-52</w:t>
            </w:r>
            <w:bookmarkEnd w:id="0"/>
          </w:p>
        </w:tc>
      </w:tr>
      <w:tr w:rsidR="00E965ED" w14:paraId="29FB49FE" w14:textId="77777777" w:rsidTr="00A16AD6">
        <w:tc>
          <w:tcPr>
            <w:tcW w:w="1843" w:type="dxa"/>
          </w:tcPr>
          <w:p w14:paraId="0432DB48" w14:textId="77777777" w:rsidR="00463235" w:rsidRDefault="00000000" w:rsidP="008E0D92">
            <w:pPr>
              <w:pStyle w:val="datumtevilka"/>
            </w:pPr>
            <w:r>
              <w:t>Datum:</w:t>
            </w:r>
          </w:p>
        </w:tc>
        <w:tc>
          <w:tcPr>
            <w:tcW w:w="6645" w:type="dxa"/>
          </w:tcPr>
          <w:p w14:paraId="2E130032" w14:textId="77777777" w:rsidR="00463235" w:rsidRDefault="00000000" w:rsidP="008E0D92">
            <w:pPr>
              <w:pStyle w:val="datumtevilka"/>
            </w:pPr>
            <w:bookmarkStart w:id="1" w:name="DatumDokumenta"/>
            <w:r>
              <w:t>11. 02. 2026</w:t>
            </w:r>
            <w:bookmarkEnd w:id="1"/>
          </w:p>
        </w:tc>
      </w:tr>
    </w:tbl>
    <w:p w14:paraId="28526839" w14:textId="77777777" w:rsidR="00463235" w:rsidRDefault="00463235" w:rsidP="008E0D92">
      <w:pPr>
        <w:pStyle w:val="datumtevilka"/>
      </w:pPr>
    </w:p>
    <w:p w14:paraId="7C75091A" w14:textId="77777777" w:rsidR="00093F1D" w:rsidRDefault="00093F1D" w:rsidP="008E0D92">
      <w:pPr>
        <w:pStyle w:val="datumtevilka"/>
        <w:rPr>
          <w:b/>
          <w:bCs/>
        </w:rPr>
      </w:pPr>
    </w:p>
    <w:p w14:paraId="01CCF8C1" w14:textId="77777777" w:rsidR="00442590" w:rsidRPr="004F2C3E" w:rsidRDefault="00442590" w:rsidP="00442590">
      <w:pPr>
        <w:tabs>
          <w:tab w:val="left" w:pos="1418"/>
        </w:tabs>
        <w:spacing w:line="276" w:lineRule="auto"/>
        <w:ind w:left="1416" w:hanging="1416"/>
        <w:jc w:val="both"/>
        <w:rPr>
          <w:rFonts w:cs="Arial"/>
          <w:b/>
          <w:szCs w:val="20"/>
          <w:lang w:val="sl-SI" w:eastAsia="sl-SI"/>
        </w:rPr>
      </w:pPr>
      <w:r w:rsidRPr="004F2C3E">
        <w:rPr>
          <w:rFonts w:cs="Arial"/>
          <w:b/>
          <w:szCs w:val="20"/>
          <w:lang w:val="sl-SI" w:eastAsia="sl-SI"/>
        </w:rPr>
        <w:t>Zadeva: Zapisnik 18. seje Delovne skupine za trajni dialog z nevladnimi organizacijami v</w:t>
      </w:r>
      <w:r>
        <w:rPr>
          <w:rFonts w:cs="Arial"/>
          <w:b/>
          <w:szCs w:val="20"/>
          <w:lang w:val="sl-SI" w:eastAsia="sl-SI"/>
        </w:rPr>
        <w:t xml:space="preserve"> </w:t>
      </w:r>
      <w:r w:rsidRPr="004F2C3E">
        <w:rPr>
          <w:rFonts w:cs="Arial"/>
          <w:b/>
          <w:szCs w:val="20"/>
          <w:lang w:val="sl-SI" w:eastAsia="sl-SI"/>
        </w:rPr>
        <w:t>kulturi</w:t>
      </w:r>
    </w:p>
    <w:p w14:paraId="2F6FC29B" w14:textId="77777777" w:rsidR="00442590" w:rsidRPr="004F2C3E" w:rsidRDefault="00442590" w:rsidP="00442590">
      <w:pPr>
        <w:spacing w:line="276" w:lineRule="auto"/>
        <w:jc w:val="both"/>
        <w:rPr>
          <w:rFonts w:cs="Arial"/>
          <w:b/>
          <w:bCs/>
          <w:szCs w:val="20"/>
          <w:u w:val="single"/>
          <w:lang w:val="sl-SI"/>
        </w:rPr>
      </w:pPr>
    </w:p>
    <w:p w14:paraId="6D897A84" w14:textId="77777777" w:rsidR="00442590" w:rsidRPr="004F2C3E" w:rsidRDefault="00442590" w:rsidP="00442590">
      <w:pPr>
        <w:spacing w:line="276" w:lineRule="auto"/>
        <w:jc w:val="both"/>
        <w:rPr>
          <w:rFonts w:cs="Arial"/>
          <w:szCs w:val="20"/>
          <w:lang w:val="sl-SI"/>
        </w:rPr>
      </w:pPr>
      <w:r w:rsidRPr="004F2C3E">
        <w:rPr>
          <w:rFonts w:cs="Arial"/>
          <w:b/>
          <w:bCs/>
          <w:szCs w:val="20"/>
          <w:lang w:val="sl-SI"/>
        </w:rPr>
        <w:t>Pričetek seje:</w:t>
      </w:r>
      <w:r w:rsidRPr="004F2C3E">
        <w:rPr>
          <w:rFonts w:cs="Arial"/>
          <w:szCs w:val="20"/>
          <w:lang w:val="sl-SI"/>
        </w:rPr>
        <w:t xml:space="preserve"> 11.2. 2026, 10.00, Ministrstvo za kulturo (MK), Maistrova 10, 1000 Ljubljana</w:t>
      </w:r>
    </w:p>
    <w:p w14:paraId="4E2E125D" w14:textId="77777777" w:rsidR="00442590" w:rsidRPr="004F2C3E" w:rsidRDefault="00442590" w:rsidP="00442590">
      <w:pPr>
        <w:spacing w:line="276" w:lineRule="auto"/>
        <w:jc w:val="both"/>
        <w:rPr>
          <w:rFonts w:cs="Arial"/>
          <w:b/>
          <w:bCs/>
          <w:szCs w:val="20"/>
          <w:lang w:val="sl-SI"/>
        </w:rPr>
      </w:pPr>
    </w:p>
    <w:p w14:paraId="58834FBA" w14:textId="77777777" w:rsidR="00442590" w:rsidRPr="004F2C3E" w:rsidRDefault="00442590" w:rsidP="00442590">
      <w:pPr>
        <w:spacing w:line="276" w:lineRule="auto"/>
        <w:jc w:val="both"/>
        <w:rPr>
          <w:rFonts w:cs="Arial"/>
          <w:b/>
          <w:bCs/>
          <w:szCs w:val="20"/>
          <w:lang w:val="sl-SI"/>
        </w:rPr>
      </w:pPr>
      <w:r w:rsidRPr="004F2C3E">
        <w:rPr>
          <w:rFonts w:cs="Arial"/>
          <w:b/>
          <w:bCs/>
          <w:szCs w:val="20"/>
          <w:lang w:val="sl-SI"/>
        </w:rPr>
        <w:t>Prisotni člani delovne skupine:</w:t>
      </w:r>
    </w:p>
    <w:p w14:paraId="40967986" w14:textId="77777777" w:rsidR="00442590" w:rsidRPr="004F2C3E" w:rsidRDefault="00442590" w:rsidP="00442590">
      <w:pPr>
        <w:pStyle w:val="Odstavekseznama"/>
        <w:numPr>
          <w:ilvl w:val="0"/>
          <w:numId w:val="9"/>
        </w:numPr>
        <w:spacing w:after="0"/>
        <w:jc w:val="both"/>
        <w:rPr>
          <w:rFonts w:ascii="Arial" w:hAnsi="Arial" w:cs="Arial"/>
          <w:sz w:val="20"/>
          <w:szCs w:val="20"/>
        </w:rPr>
      </w:pPr>
      <w:r w:rsidRPr="004F2C3E">
        <w:rPr>
          <w:rFonts w:ascii="Arial" w:hAnsi="Arial" w:cs="Arial"/>
          <w:sz w:val="20"/>
          <w:szCs w:val="20"/>
        </w:rPr>
        <w:t>Petra Hazabent;</w:t>
      </w:r>
    </w:p>
    <w:p w14:paraId="67C0D32F" w14:textId="77777777" w:rsidR="00442590" w:rsidRPr="004F2C3E" w:rsidRDefault="00442590" w:rsidP="00442590">
      <w:pPr>
        <w:pStyle w:val="Odstavekseznama"/>
        <w:numPr>
          <w:ilvl w:val="0"/>
          <w:numId w:val="9"/>
        </w:numPr>
        <w:spacing w:after="0"/>
        <w:jc w:val="both"/>
        <w:rPr>
          <w:rFonts w:ascii="Arial" w:hAnsi="Arial" w:cs="Arial"/>
          <w:sz w:val="20"/>
          <w:szCs w:val="20"/>
        </w:rPr>
      </w:pPr>
      <w:r w:rsidRPr="004F2C3E">
        <w:rPr>
          <w:rFonts w:ascii="Arial" w:hAnsi="Arial" w:cs="Arial"/>
          <w:sz w:val="20"/>
          <w:szCs w:val="20"/>
        </w:rPr>
        <w:t>Mija Aleš;</w:t>
      </w:r>
    </w:p>
    <w:p w14:paraId="6B72932E" w14:textId="77777777" w:rsidR="00442590" w:rsidRPr="004F2C3E" w:rsidRDefault="00442590" w:rsidP="00442590">
      <w:pPr>
        <w:pStyle w:val="Odstavekseznama"/>
        <w:numPr>
          <w:ilvl w:val="0"/>
          <w:numId w:val="9"/>
        </w:numPr>
        <w:spacing w:after="0"/>
        <w:jc w:val="both"/>
        <w:rPr>
          <w:rFonts w:ascii="Arial" w:hAnsi="Arial" w:cs="Arial"/>
          <w:sz w:val="20"/>
          <w:szCs w:val="20"/>
        </w:rPr>
      </w:pPr>
      <w:r w:rsidRPr="004F2C3E">
        <w:rPr>
          <w:rFonts w:ascii="Arial" w:hAnsi="Arial" w:cs="Arial"/>
          <w:sz w:val="20"/>
          <w:szCs w:val="20"/>
        </w:rPr>
        <w:t>Uroš Veber;</w:t>
      </w:r>
    </w:p>
    <w:p w14:paraId="25853523" w14:textId="77777777" w:rsidR="00442590" w:rsidRPr="004F2C3E" w:rsidRDefault="00442590" w:rsidP="00442590">
      <w:pPr>
        <w:pStyle w:val="Odstavekseznama"/>
        <w:numPr>
          <w:ilvl w:val="0"/>
          <w:numId w:val="9"/>
        </w:numPr>
        <w:spacing w:after="0"/>
        <w:jc w:val="both"/>
        <w:rPr>
          <w:rFonts w:ascii="Arial" w:hAnsi="Arial" w:cs="Arial"/>
          <w:sz w:val="20"/>
          <w:szCs w:val="20"/>
        </w:rPr>
      </w:pPr>
      <w:r w:rsidRPr="004F2C3E">
        <w:rPr>
          <w:rFonts w:ascii="Arial" w:hAnsi="Arial" w:cs="Arial"/>
          <w:sz w:val="20"/>
          <w:szCs w:val="20"/>
        </w:rPr>
        <w:t>Dr. Tomaž Simetinger;</w:t>
      </w:r>
    </w:p>
    <w:p w14:paraId="02544913" w14:textId="77777777" w:rsidR="00442590" w:rsidRPr="004F2C3E" w:rsidRDefault="00442590" w:rsidP="00442590">
      <w:pPr>
        <w:pStyle w:val="Odstavekseznama"/>
        <w:numPr>
          <w:ilvl w:val="0"/>
          <w:numId w:val="9"/>
        </w:numPr>
        <w:spacing w:after="0"/>
        <w:jc w:val="both"/>
        <w:rPr>
          <w:rFonts w:ascii="Arial" w:hAnsi="Arial" w:cs="Arial"/>
          <w:sz w:val="20"/>
          <w:szCs w:val="20"/>
        </w:rPr>
      </w:pPr>
      <w:r w:rsidRPr="004F2C3E">
        <w:rPr>
          <w:rFonts w:ascii="Arial" w:hAnsi="Arial" w:cs="Arial"/>
          <w:sz w:val="20"/>
          <w:szCs w:val="20"/>
        </w:rPr>
        <w:t xml:space="preserve">Tjaša Pureber, MK; </w:t>
      </w:r>
    </w:p>
    <w:p w14:paraId="76840AB5" w14:textId="77777777" w:rsidR="00442590" w:rsidRPr="004F2C3E" w:rsidRDefault="00442590" w:rsidP="00442590">
      <w:pPr>
        <w:pStyle w:val="Odstavekseznama"/>
        <w:numPr>
          <w:ilvl w:val="0"/>
          <w:numId w:val="9"/>
        </w:numPr>
        <w:spacing w:after="0"/>
        <w:jc w:val="both"/>
        <w:rPr>
          <w:rFonts w:ascii="Arial" w:hAnsi="Arial" w:cs="Arial"/>
          <w:sz w:val="20"/>
          <w:szCs w:val="20"/>
        </w:rPr>
      </w:pPr>
      <w:r w:rsidRPr="004F2C3E">
        <w:rPr>
          <w:rFonts w:ascii="Arial" w:hAnsi="Arial" w:cs="Arial"/>
          <w:sz w:val="20"/>
          <w:szCs w:val="20"/>
        </w:rPr>
        <w:t>Mihael Kelemina.</w:t>
      </w:r>
    </w:p>
    <w:p w14:paraId="429BB36C" w14:textId="77777777" w:rsidR="00442590" w:rsidRPr="004F2C3E" w:rsidRDefault="00442590" w:rsidP="00442590">
      <w:pPr>
        <w:spacing w:line="276" w:lineRule="auto"/>
        <w:jc w:val="both"/>
        <w:rPr>
          <w:rFonts w:cs="Arial"/>
          <w:szCs w:val="20"/>
          <w:lang w:val="sl-SI"/>
        </w:rPr>
      </w:pPr>
    </w:p>
    <w:p w14:paraId="6A3F15C4" w14:textId="77777777" w:rsidR="00442590" w:rsidRPr="004F2C3E" w:rsidRDefault="00442590" w:rsidP="00442590">
      <w:pPr>
        <w:spacing w:line="276" w:lineRule="auto"/>
        <w:jc w:val="both"/>
        <w:rPr>
          <w:rFonts w:cs="Arial"/>
          <w:b/>
          <w:bCs/>
          <w:szCs w:val="20"/>
          <w:lang w:val="sl-SI"/>
        </w:rPr>
      </w:pPr>
      <w:r w:rsidRPr="004F2C3E">
        <w:rPr>
          <w:rFonts w:cs="Arial"/>
          <w:b/>
          <w:bCs/>
          <w:szCs w:val="20"/>
          <w:lang w:val="sl-SI"/>
        </w:rPr>
        <w:t>Ostali prisotni:</w:t>
      </w:r>
    </w:p>
    <w:p w14:paraId="1132F0C0" w14:textId="77777777" w:rsidR="00442590" w:rsidRPr="004F2C3E" w:rsidRDefault="00442590" w:rsidP="00442590">
      <w:pPr>
        <w:pStyle w:val="Odstavekseznama"/>
        <w:numPr>
          <w:ilvl w:val="0"/>
          <w:numId w:val="11"/>
        </w:numPr>
        <w:spacing w:after="0"/>
        <w:rPr>
          <w:rFonts w:ascii="Arial" w:hAnsi="Arial" w:cs="Arial"/>
          <w:sz w:val="20"/>
          <w:szCs w:val="20"/>
        </w:rPr>
      </w:pPr>
      <w:r w:rsidRPr="004F2C3E">
        <w:rPr>
          <w:rFonts w:ascii="Arial" w:hAnsi="Arial" w:cs="Arial"/>
          <w:sz w:val="20"/>
          <w:szCs w:val="20"/>
        </w:rPr>
        <w:t>Alekzander Ismaj Blatnik, MK;</w:t>
      </w:r>
    </w:p>
    <w:p w14:paraId="6A4AA27B" w14:textId="77777777" w:rsidR="00442590" w:rsidRPr="004F2C3E" w:rsidRDefault="00442590" w:rsidP="00442590">
      <w:pPr>
        <w:pStyle w:val="Odstavekseznama"/>
        <w:numPr>
          <w:ilvl w:val="0"/>
          <w:numId w:val="11"/>
        </w:numPr>
        <w:spacing w:after="0"/>
        <w:rPr>
          <w:rFonts w:ascii="Arial" w:hAnsi="Arial" w:cs="Arial"/>
          <w:sz w:val="20"/>
          <w:szCs w:val="20"/>
        </w:rPr>
      </w:pPr>
      <w:r w:rsidRPr="004F2C3E">
        <w:rPr>
          <w:rFonts w:ascii="Arial" w:hAnsi="Arial" w:cs="Arial"/>
          <w:sz w:val="20"/>
          <w:szCs w:val="20"/>
        </w:rPr>
        <w:t>Marko Rusjan, MK;</w:t>
      </w:r>
    </w:p>
    <w:p w14:paraId="4C483362" w14:textId="77777777" w:rsidR="00442590" w:rsidRPr="004F2C3E" w:rsidRDefault="00442590" w:rsidP="00442590">
      <w:pPr>
        <w:pStyle w:val="Odstavekseznama"/>
        <w:numPr>
          <w:ilvl w:val="0"/>
          <w:numId w:val="11"/>
        </w:numPr>
        <w:spacing w:after="0"/>
        <w:rPr>
          <w:rFonts w:ascii="Arial" w:hAnsi="Arial" w:cs="Arial"/>
          <w:sz w:val="20"/>
          <w:szCs w:val="20"/>
        </w:rPr>
      </w:pPr>
      <w:r w:rsidRPr="004F2C3E">
        <w:rPr>
          <w:rFonts w:ascii="Arial" w:hAnsi="Arial" w:cs="Arial"/>
          <w:sz w:val="20"/>
          <w:szCs w:val="20"/>
        </w:rPr>
        <w:t>Mihael Štrukelj, MK.</w:t>
      </w:r>
    </w:p>
    <w:p w14:paraId="08E80342" w14:textId="77777777" w:rsidR="00442590" w:rsidRPr="004F2C3E" w:rsidRDefault="00442590" w:rsidP="00442590">
      <w:pPr>
        <w:pStyle w:val="Odstavekseznama"/>
        <w:spacing w:after="0"/>
        <w:ind w:left="720"/>
        <w:rPr>
          <w:rFonts w:ascii="Arial" w:hAnsi="Arial" w:cs="Arial"/>
          <w:sz w:val="20"/>
          <w:szCs w:val="20"/>
        </w:rPr>
      </w:pPr>
    </w:p>
    <w:p w14:paraId="47D1A77C" w14:textId="77777777" w:rsidR="00442590" w:rsidRPr="004F2C3E" w:rsidRDefault="00442590" w:rsidP="00442590">
      <w:pPr>
        <w:spacing w:line="276" w:lineRule="auto"/>
        <w:jc w:val="both"/>
        <w:rPr>
          <w:rFonts w:cs="Arial"/>
          <w:b/>
          <w:bCs/>
          <w:szCs w:val="20"/>
          <w:lang w:val="sl-SI"/>
        </w:rPr>
      </w:pPr>
      <w:r w:rsidRPr="004F2C3E">
        <w:rPr>
          <w:rFonts w:cs="Arial"/>
          <w:b/>
          <w:bCs/>
          <w:szCs w:val="20"/>
          <w:lang w:val="sl-SI"/>
        </w:rPr>
        <w:t>Opravičeno odsotni:</w:t>
      </w:r>
    </w:p>
    <w:p w14:paraId="511315D7" w14:textId="77777777" w:rsidR="00442590" w:rsidRPr="004F2C3E" w:rsidRDefault="00442590" w:rsidP="00442590">
      <w:pPr>
        <w:pStyle w:val="Odstavekseznama"/>
        <w:numPr>
          <w:ilvl w:val="0"/>
          <w:numId w:val="10"/>
        </w:numPr>
        <w:spacing w:after="0"/>
        <w:jc w:val="both"/>
        <w:rPr>
          <w:rFonts w:ascii="Arial" w:hAnsi="Arial" w:cs="Arial"/>
          <w:sz w:val="20"/>
          <w:szCs w:val="20"/>
        </w:rPr>
      </w:pPr>
      <w:r w:rsidRPr="004F2C3E">
        <w:rPr>
          <w:rFonts w:ascii="Arial" w:hAnsi="Arial" w:cs="Arial"/>
          <w:sz w:val="20"/>
          <w:szCs w:val="20"/>
        </w:rPr>
        <w:t xml:space="preserve">Violeta </w:t>
      </w:r>
      <w:proofErr w:type="spellStart"/>
      <w:r w:rsidRPr="004F2C3E">
        <w:rPr>
          <w:rFonts w:ascii="Arial" w:hAnsi="Arial" w:cs="Arial"/>
          <w:sz w:val="20"/>
          <w:szCs w:val="20"/>
        </w:rPr>
        <w:t>Videnović</w:t>
      </w:r>
      <w:proofErr w:type="spellEnd"/>
      <w:r w:rsidRPr="004F2C3E">
        <w:rPr>
          <w:rFonts w:ascii="Arial" w:hAnsi="Arial" w:cs="Arial"/>
          <w:sz w:val="20"/>
          <w:szCs w:val="20"/>
        </w:rPr>
        <w:t>;</w:t>
      </w:r>
    </w:p>
    <w:p w14:paraId="6439B21E" w14:textId="77777777" w:rsidR="00442590" w:rsidRPr="004F2C3E" w:rsidRDefault="00442590" w:rsidP="00442590">
      <w:pPr>
        <w:pStyle w:val="Odstavekseznama"/>
        <w:numPr>
          <w:ilvl w:val="0"/>
          <w:numId w:val="10"/>
        </w:numPr>
        <w:spacing w:after="0"/>
        <w:jc w:val="both"/>
        <w:rPr>
          <w:rFonts w:ascii="Arial" w:hAnsi="Arial" w:cs="Arial"/>
          <w:sz w:val="20"/>
          <w:szCs w:val="20"/>
        </w:rPr>
      </w:pPr>
      <w:r w:rsidRPr="004F2C3E">
        <w:rPr>
          <w:rFonts w:ascii="Arial" w:hAnsi="Arial" w:cs="Arial"/>
          <w:sz w:val="20"/>
          <w:szCs w:val="20"/>
        </w:rPr>
        <w:t>Inga Remeta;</w:t>
      </w:r>
    </w:p>
    <w:p w14:paraId="14732103" w14:textId="77777777" w:rsidR="00442590" w:rsidRPr="004F2C3E" w:rsidRDefault="00442590" w:rsidP="00442590">
      <w:pPr>
        <w:pStyle w:val="Odstavekseznama"/>
        <w:numPr>
          <w:ilvl w:val="0"/>
          <w:numId w:val="10"/>
        </w:numPr>
        <w:spacing w:after="0"/>
        <w:jc w:val="both"/>
        <w:rPr>
          <w:rFonts w:ascii="Arial" w:hAnsi="Arial" w:cs="Arial"/>
          <w:sz w:val="20"/>
          <w:szCs w:val="20"/>
        </w:rPr>
      </w:pPr>
      <w:r w:rsidRPr="004F2C3E">
        <w:rPr>
          <w:rFonts w:ascii="Arial" w:hAnsi="Arial" w:cs="Arial"/>
          <w:sz w:val="20"/>
          <w:szCs w:val="20"/>
        </w:rPr>
        <w:t>Borut Pelko;</w:t>
      </w:r>
    </w:p>
    <w:p w14:paraId="1FC62A16" w14:textId="77777777" w:rsidR="00442590" w:rsidRPr="004F2C3E" w:rsidRDefault="00442590" w:rsidP="00442590">
      <w:pPr>
        <w:pStyle w:val="Odstavekseznama"/>
        <w:numPr>
          <w:ilvl w:val="0"/>
          <w:numId w:val="10"/>
        </w:numPr>
        <w:spacing w:after="0"/>
        <w:jc w:val="both"/>
        <w:rPr>
          <w:rFonts w:ascii="Arial" w:hAnsi="Arial" w:cs="Arial"/>
          <w:sz w:val="20"/>
          <w:szCs w:val="20"/>
        </w:rPr>
      </w:pPr>
      <w:r w:rsidRPr="004F2C3E">
        <w:rPr>
          <w:rFonts w:ascii="Arial" w:hAnsi="Arial" w:cs="Arial"/>
          <w:sz w:val="20"/>
          <w:szCs w:val="20"/>
        </w:rPr>
        <w:t>Barbara Koželj Podlogar, MK.</w:t>
      </w:r>
    </w:p>
    <w:p w14:paraId="10495819" w14:textId="77777777" w:rsidR="00442590" w:rsidRPr="004F2C3E" w:rsidRDefault="00442590" w:rsidP="00442590">
      <w:pPr>
        <w:pStyle w:val="Odstavekseznama"/>
        <w:spacing w:after="0"/>
        <w:ind w:left="720"/>
        <w:jc w:val="both"/>
        <w:rPr>
          <w:rFonts w:ascii="Arial" w:hAnsi="Arial" w:cs="Arial"/>
          <w:sz w:val="20"/>
          <w:szCs w:val="20"/>
        </w:rPr>
      </w:pPr>
    </w:p>
    <w:p w14:paraId="68C58335" w14:textId="77777777" w:rsidR="00442590" w:rsidRPr="004F2C3E" w:rsidRDefault="00442590" w:rsidP="00442590">
      <w:pPr>
        <w:spacing w:line="276" w:lineRule="auto"/>
        <w:ind w:right="720"/>
        <w:jc w:val="both"/>
        <w:rPr>
          <w:rFonts w:cs="Arial"/>
          <w:b/>
          <w:bCs/>
          <w:szCs w:val="20"/>
          <w:lang w:val="sl-SI"/>
        </w:rPr>
      </w:pPr>
      <w:r w:rsidRPr="004F2C3E">
        <w:rPr>
          <w:rFonts w:cs="Arial"/>
          <w:b/>
          <w:bCs/>
          <w:szCs w:val="20"/>
          <w:lang w:val="sl-SI"/>
        </w:rPr>
        <w:t>Dnevni red:</w:t>
      </w:r>
    </w:p>
    <w:p w14:paraId="7C477712" w14:textId="77777777" w:rsidR="00442590" w:rsidRPr="004F2C3E" w:rsidRDefault="00442590" w:rsidP="00442590">
      <w:pPr>
        <w:pStyle w:val="Odstavekseznama"/>
        <w:numPr>
          <w:ilvl w:val="0"/>
          <w:numId w:val="8"/>
        </w:numPr>
        <w:spacing w:after="0"/>
        <w:jc w:val="both"/>
        <w:rPr>
          <w:rFonts w:ascii="Arial" w:hAnsi="Arial" w:cs="Arial"/>
          <w:sz w:val="20"/>
          <w:szCs w:val="20"/>
        </w:rPr>
      </w:pPr>
      <w:r w:rsidRPr="004F2C3E">
        <w:rPr>
          <w:rFonts w:ascii="Arial" w:hAnsi="Arial" w:cs="Arial"/>
          <w:sz w:val="20"/>
          <w:szCs w:val="20"/>
        </w:rPr>
        <w:t>Potrditev zapisnika 17. seje Delovne skupine za trajni dialog z nevladnimi organizacijami v kulturi;</w:t>
      </w:r>
    </w:p>
    <w:p w14:paraId="5CAFE02E" w14:textId="77777777" w:rsidR="00442590" w:rsidRPr="004F2C3E" w:rsidRDefault="00442590" w:rsidP="00442590">
      <w:pPr>
        <w:pStyle w:val="Odstavekseznama"/>
        <w:numPr>
          <w:ilvl w:val="0"/>
          <w:numId w:val="8"/>
        </w:numPr>
        <w:spacing w:after="0"/>
        <w:jc w:val="both"/>
        <w:rPr>
          <w:rFonts w:ascii="Arial" w:hAnsi="Arial" w:cs="Arial"/>
          <w:sz w:val="20"/>
          <w:szCs w:val="20"/>
        </w:rPr>
      </w:pPr>
      <w:r w:rsidRPr="004F2C3E">
        <w:rPr>
          <w:rFonts w:ascii="Arial" w:hAnsi="Arial" w:cs="Arial"/>
          <w:sz w:val="20"/>
          <w:szCs w:val="20"/>
        </w:rPr>
        <w:t>Uredba o samostojnih delavcih v kulturi;</w:t>
      </w:r>
    </w:p>
    <w:p w14:paraId="62381B40" w14:textId="77777777" w:rsidR="00442590" w:rsidRPr="004F2C3E" w:rsidRDefault="00442590" w:rsidP="00442590">
      <w:pPr>
        <w:pStyle w:val="Odstavekseznama"/>
        <w:numPr>
          <w:ilvl w:val="0"/>
          <w:numId w:val="8"/>
        </w:numPr>
        <w:spacing w:after="0"/>
        <w:jc w:val="both"/>
        <w:rPr>
          <w:rFonts w:ascii="Arial" w:hAnsi="Arial" w:cs="Arial"/>
          <w:sz w:val="20"/>
          <w:szCs w:val="20"/>
        </w:rPr>
      </w:pPr>
      <w:r w:rsidRPr="004F2C3E">
        <w:rPr>
          <w:rFonts w:ascii="Arial" w:hAnsi="Arial" w:cs="Arial"/>
          <w:sz w:val="20"/>
          <w:szCs w:val="20"/>
        </w:rPr>
        <w:t>Razno.</w:t>
      </w:r>
    </w:p>
    <w:p w14:paraId="1D7A5E96" w14:textId="77777777" w:rsidR="00442590" w:rsidRPr="004F2C3E" w:rsidRDefault="00442590" w:rsidP="00442590">
      <w:pPr>
        <w:spacing w:line="276" w:lineRule="auto"/>
        <w:jc w:val="both"/>
        <w:rPr>
          <w:rFonts w:cs="Arial"/>
          <w:szCs w:val="20"/>
          <w:lang w:val="sl-SI"/>
        </w:rPr>
      </w:pPr>
    </w:p>
    <w:p w14:paraId="7A8B6F63" w14:textId="77777777" w:rsidR="00442590" w:rsidRPr="004F2C3E" w:rsidRDefault="00442590" w:rsidP="00442590">
      <w:pPr>
        <w:spacing w:line="276" w:lineRule="auto"/>
        <w:jc w:val="both"/>
        <w:rPr>
          <w:rFonts w:eastAsia="Calibri" w:cs="Arial"/>
          <w:b/>
          <w:bCs/>
          <w:szCs w:val="20"/>
          <w:lang w:val="sl-SI"/>
        </w:rPr>
      </w:pPr>
      <w:r w:rsidRPr="004F2C3E">
        <w:rPr>
          <w:rFonts w:eastAsia="Calibri" w:cs="Arial"/>
          <w:b/>
          <w:bCs/>
          <w:szCs w:val="20"/>
          <w:lang w:val="sl-SI"/>
        </w:rPr>
        <w:t>Sklep 1: Člani delovne skupine potrjujejo dnevni red 18. seje Delovne skupine za trajni dialog z nevladnimi organizacijami v kulturi.</w:t>
      </w:r>
    </w:p>
    <w:p w14:paraId="523D336E" w14:textId="77777777" w:rsidR="00442590" w:rsidRPr="004F2C3E" w:rsidRDefault="00442590" w:rsidP="00442590">
      <w:pPr>
        <w:spacing w:line="276" w:lineRule="auto"/>
        <w:jc w:val="both"/>
        <w:rPr>
          <w:rFonts w:eastAsia="Calibri" w:cs="Arial"/>
          <w:szCs w:val="20"/>
          <w:lang w:val="sl-SI"/>
        </w:rPr>
      </w:pPr>
    </w:p>
    <w:p w14:paraId="10EAF694" w14:textId="77777777" w:rsidR="00442590" w:rsidRPr="004F2C3E" w:rsidRDefault="00442590" w:rsidP="00442590">
      <w:pPr>
        <w:spacing w:line="276" w:lineRule="auto"/>
        <w:jc w:val="both"/>
        <w:rPr>
          <w:rFonts w:eastAsia="Calibri" w:cs="Arial"/>
          <w:szCs w:val="20"/>
          <w:lang w:val="sl-SI"/>
        </w:rPr>
      </w:pPr>
      <w:r w:rsidRPr="004F2C3E">
        <w:rPr>
          <w:rFonts w:eastAsia="Calibri" w:cs="Arial"/>
          <w:szCs w:val="20"/>
          <w:lang w:val="sl-SI"/>
        </w:rPr>
        <w:t>Sklep je bil soglasno potrjen s 6 glasovi ZA, 0 glasovi PROTI in 0 glasovi VZDRŽAN_A.</w:t>
      </w:r>
    </w:p>
    <w:p w14:paraId="210249A9" w14:textId="77777777" w:rsidR="00442590" w:rsidRPr="004F2C3E" w:rsidRDefault="00442590" w:rsidP="00442590">
      <w:pPr>
        <w:spacing w:line="276" w:lineRule="auto"/>
        <w:jc w:val="both"/>
        <w:rPr>
          <w:rFonts w:eastAsia="Calibri" w:cs="Arial"/>
          <w:szCs w:val="20"/>
          <w:lang w:val="sl-SI"/>
        </w:rPr>
      </w:pPr>
    </w:p>
    <w:p w14:paraId="6FD08D37" w14:textId="77777777" w:rsidR="00442590" w:rsidRPr="004F2C3E" w:rsidRDefault="00442590" w:rsidP="00442590">
      <w:pPr>
        <w:spacing w:line="276" w:lineRule="auto"/>
        <w:jc w:val="both"/>
        <w:rPr>
          <w:rFonts w:eastAsia="Calibri" w:cs="Arial"/>
          <w:szCs w:val="20"/>
          <w:lang w:val="sl-SI"/>
        </w:rPr>
      </w:pPr>
    </w:p>
    <w:p w14:paraId="2EC6795B" w14:textId="77777777" w:rsidR="00442590" w:rsidRDefault="00442590" w:rsidP="00442590">
      <w:pPr>
        <w:spacing w:line="276" w:lineRule="auto"/>
        <w:jc w:val="both"/>
        <w:rPr>
          <w:rFonts w:eastAsia="Calibri" w:cs="Arial"/>
          <w:szCs w:val="20"/>
          <w:lang w:val="sl-SI"/>
        </w:rPr>
      </w:pPr>
    </w:p>
    <w:p w14:paraId="39475B8F" w14:textId="77777777" w:rsidR="00442590" w:rsidRPr="004F2C3E" w:rsidRDefault="00442590" w:rsidP="00442590">
      <w:pPr>
        <w:spacing w:line="276" w:lineRule="auto"/>
        <w:jc w:val="both"/>
        <w:rPr>
          <w:rFonts w:eastAsia="Calibri" w:cs="Arial"/>
          <w:szCs w:val="20"/>
          <w:lang w:val="sl-SI"/>
        </w:rPr>
      </w:pPr>
    </w:p>
    <w:p w14:paraId="0F2A7400" w14:textId="77777777" w:rsidR="00442590" w:rsidRPr="004F2C3E" w:rsidRDefault="00442590" w:rsidP="00442590">
      <w:pPr>
        <w:spacing w:line="276" w:lineRule="auto"/>
        <w:jc w:val="both"/>
        <w:rPr>
          <w:rFonts w:eastAsia="Calibri" w:cs="Arial"/>
          <w:szCs w:val="20"/>
          <w:lang w:val="sl-SI"/>
        </w:rPr>
      </w:pPr>
    </w:p>
    <w:p w14:paraId="6AB0D29A" w14:textId="77777777" w:rsidR="00442590" w:rsidRPr="004F2C3E" w:rsidRDefault="00442590" w:rsidP="00442590">
      <w:pPr>
        <w:pStyle w:val="Odstavekseznama"/>
        <w:numPr>
          <w:ilvl w:val="0"/>
          <w:numId w:val="7"/>
        </w:numPr>
        <w:rPr>
          <w:rFonts w:ascii="Arial" w:hAnsi="Arial" w:cs="Arial"/>
          <w:b/>
          <w:bCs/>
          <w:sz w:val="20"/>
          <w:szCs w:val="20"/>
        </w:rPr>
      </w:pPr>
      <w:r w:rsidRPr="004F2C3E">
        <w:rPr>
          <w:rFonts w:ascii="Arial" w:hAnsi="Arial" w:cs="Arial"/>
          <w:b/>
          <w:bCs/>
          <w:sz w:val="20"/>
          <w:szCs w:val="20"/>
        </w:rPr>
        <w:lastRenderedPageBreak/>
        <w:t>Potrditev zapisnika 17. seje Delovne skupine za trajni dialog z nevladnimi organizacijami v kulturi</w:t>
      </w:r>
    </w:p>
    <w:p w14:paraId="1C8C5D67" w14:textId="77777777" w:rsidR="00442590" w:rsidRPr="004F2C3E" w:rsidRDefault="00442590" w:rsidP="00442590">
      <w:pPr>
        <w:spacing w:line="276" w:lineRule="auto"/>
        <w:jc w:val="both"/>
        <w:rPr>
          <w:rFonts w:cs="Arial"/>
          <w:szCs w:val="20"/>
          <w:lang w:val="sl-SI"/>
        </w:rPr>
      </w:pPr>
    </w:p>
    <w:p w14:paraId="4FE7EAC5" w14:textId="77777777" w:rsidR="00442590" w:rsidRPr="004F2C3E" w:rsidRDefault="00442590" w:rsidP="00442590">
      <w:pPr>
        <w:spacing w:line="276" w:lineRule="auto"/>
        <w:rPr>
          <w:rFonts w:cs="Arial"/>
          <w:b/>
          <w:szCs w:val="20"/>
          <w:lang w:val="sl-SI"/>
        </w:rPr>
      </w:pPr>
      <w:r w:rsidRPr="004F2C3E">
        <w:rPr>
          <w:rFonts w:cs="Arial"/>
          <w:b/>
          <w:szCs w:val="20"/>
          <w:lang w:val="sl-SI"/>
        </w:rPr>
        <w:t>Sklep 2: Člani delovne skupine potrjujejo zapisnik 17. seje Delovne skupine za trajni dialog z nevladnimi organizacijami v kulturi potrdili pisno.</w:t>
      </w:r>
    </w:p>
    <w:p w14:paraId="0F2663CE" w14:textId="77777777" w:rsidR="00442590" w:rsidRPr="004F2C3E" w:rsidRDefault="00442590" w:rsidP="00442590">
      <w:pPr>
        <w:spacing w:line="276" w:lineRule="auto"/>
        <w:rPr>
          <w:rFonts w:cs="Arial"/>
          <w:bCs/>
          <w:szCs w:val="20"/>
          <w:lang w:val="sl-SI"/>
        </w:rPr>
      </w:pPr>
    </w:p>
    <w:p w14:paraId="4ECFA050" w14:textId="77777777" w:rsidR="00442590" w:rsidRPr="004F2C3E" w:rsidRDefault="00442590" w:rsidP="00442590">
      <w:pPr>
        <w:spacing w:line="276" w:lineRule="auto"/>
        <w:rPr>
          <w:rFonts w:cs="Arial"/>
          <w:bCs/>
          <w:szCs w:val="20"/>
          <w:lang w:val="sl-SI"/>
        </w:rPr>
      </w:pPr>
      <w:r w:rsidRPr="004F2C3E">
        <w:rPr>
          <w:rFonts w:cs="Arial"/>
          <w:bCs/>
          <w:szCs w:val="20"/>
          <w:lang w:val="sl-SI"/>
        </w:rPr>
        <w:t xml:space="preserve">Sklep je bil soglasno potrjen s 6 glasovi ZA, 0 glasovi PROTI in 0 glasovi VZDRŽAN_A. </w:t>
      </w:r>
    </w:p>
    <w:p w14:paraId="0E460C09" w14:textId="77777777" w:rsidR="00442590" w:rsidRPr="004F2C3E" w:rsidRDefault="00442590" w:rsidP="00442590">
      <w:pPr>
        <w:spacing w:line="276" w:lineRule="auto"/>
        <w:rPr>
          <w:rFonts w:cs="Arial"/>
          <w:bCs/>
          <w:szCs w:val="20"/>
          <w:lang w:val="sl-SI"/>
        </w:rPr>
      </w:pPr>
    </w:p>
    <w:p w14:paraId="3048691F" w14:textId="77777777" w:rsidR="00442590" w:rsidRPr="004F2C3E" w:rsidRDefault="00442590" w:rsidP="00442590">
      <w:pPr>
        <w:spacing w:line="276" w:lineRule="auto"/>
        <w:rPr>
          <w:rFonts w:cs="Arial"/>
          <w:bCs/>
          <w:szCs w:val="20"/>
          <w:lang w:val="sl-SI"/>
        </w:rPr>
      </w:pPr>
    </w:p>
    <w:p w14:paraId="64F59869" w14:textId="77777777" w:rsidR="00442590" w:rsidRPr="004F2C3E" w:rsidRDefault="00442590" w:rsidP="00442590">
      <w:pPr>
        <w:pStyle w:val="Odstavekseznama"/>
        <w:numPr>
          <w:ilvl w:val="0"/>
          <w:numId w:val="7"/>
        </w:numPr>
        <w:rPr>
          <w:rFonts w:ascii="Arial" w:hAnsi="Arial" w:cs="Arial"/>
          <w:b/>
          <w:sz w:val="20"/>
          <w:szCs w:val="20"/>
        </w:rPr>
      </w:pPr>
      <w:r w:rsidRPr="004F2C3E">
        <w:rPr>
          <w:rFonts w:ascii="Arial" w:hAnsi="Arial" w:cs="Arial"/>
          <w:b/>
          <w:sz w:val="20"/>
          <w:szCs w:val="20"/>
        </w:rPr>
        <w:t>Razno</w:t>
      </w:r>
    </w:p>
    <w:p w14:paraId="3CE4DF4B" w14:textId="77777777" w:rsidR="00442590" w:rsidRPr="004F2C3E" w:rsidRDefault="00442590" w:rsidP="00442590">
      <w:pPr>
        <w:spacing w:line="276" w:lineRule="auto"/>
        <w:jc w:val="both"/>
        <w:rPr>
          <w:rFonts w:cs="Arial"/>
          <w:bCs/>
          <w:szCs w:val="20"/>
          <w:lang w:val="sl-SI"/>
        </w:rPr>
      </w:pPr>
      <w:r w:rsidRPr="004F2C3E">
        <w:rPr>
          <w:rFonts w:cs="Arial"/>
          <w:bCs/>
          <w:szCs w:val="20"/>
          <w:lang w:val="sl-SI"/>
        </w:rPr>
        <w:t>Sklenjeno je bilo, da se najprej obravnava točko Razno zaradi prisotnosti državnega sekretarja Marka Rusjana.</w:t>
      </w:r>
    </w:p>
    <w:p w14:paraId="33571058" w14:textId="77777777" w:rsidR="00442590" w:rsidRPr="004F2C3E" w:rsidRDefault="00442590" w:rsidP="00442590">
      <w:pPr>
        <w:spacing w:line="276" w:lineRule="auto"/>
        <w:jc w:val="both"/>
        <w:rPr>
          <w:rFonts w:cs="Arial"/>
          <w:bCs/>
          <w:szCs w:val="20"/>
          <w:lang w:val="sl-SI"/>
        </w:rPr>
      </w:pPr>
    </w:p>
    <w:p w14:paraId="2E1AE07A" w14:textId="77777777" w:rsidR="00442590" w:rsidRPr="004F2C3E" w:rsidRDefault="00442590" w:rsidP="00442590">
      <w:pPr>
        <w:spacing w:line="276" w:lineRule="auto"/>
        <w:jc w:val="both"/>
        <w:rPr>
          <w:rFonts w:cs="Arial"/>
          <w:bCs/>
          <w:szCs w:val="20"/>
          <w:lang w:val="sl-SI"/>
        </w:rPr>
      </w:pPr>
      <w:r w:rsidRPr="004F2C3E">
        <w:rPr>
          <w:rFonts w:cs="Arial"/>
          <w:bCs/>
          <w:szCs w:val="20"/>
          <w:lang w:val="sl-SI"/>
        </w:rPr>
        <w:t>Marko Rusjan je uvodoma pojasnil, da se je seje udeležil z namenom izmenjave mnenj. Ocenil je, da so bili v mandatu na ministrstvu uspešno izvedeni ključni zakonodajni ukrepi. Izpostavil je, da nekatera vprašanja ostajajo odprta. Posebej je poudaril problematiko prostorov za nevladne organizacije in njihove produkcijske dejavnosti, ki po njegovem mnenju ostaja eden ključnih izzivov po celotni Sloveniji, zlasti v Ljubljani. V preteklem obdobju je bilo delo ministrstva na področju investicij v veliki meri usmerjeno v projekte, povezane z evropskimi kohezijskimi sredstvi in Načrtom za okrevanje in odpornost, kar je vplivalo na razpoložljive kapacitete za reševanje drugih vprašanj. Glede financiranja je navedel, da so si prizadevali za postopno povečevanje sredstev za programe in projekte nevladnih organizacij in samostojnih delavcev v kulturi, čeprav ta še vedno kljub visokim dvigom (tudi za več kot dve tretjini) ne zadostujejo vsem potrebam. Poudaril je, da je pomembno vztrajati pri prizadevanjih za stabilno financiranje in iskanju dodatnih virov. Zaključil je z vabilom prisotnim, da podajo svoja vprašanja ali izpostavijo teme, ki jih ocenjujejo kot ključne za nadaljnjo obravnavo.</w:t>
      </w:r>
    </w:p>
    <w:p w14:paraId="5822805C" w14:textId="77777777" w:rsidR="00442590" w:rsidRPr="004F2C3E" w:rsidRDefault="00442590" w:rsidP="00442590">
      <w:pPr>
        <w:spacing w:line="276" w:lineRule="auto"/>
        <w:jc w:val="both"/>
        <w:rPr>
          <w:rFonts w:cs="Arial"/>
          <w:bCs/>
          <w:szCs w:val="20"/>
          <w:lang w:val="sl-SI"/>
        </w:rPr>
      </w:pPr>
    </w:p>
    <w:p w14:paraId="3EA333AC" w14:textId="77777777" w:rsidR="00442590" w:rsidRPr="004F2C3E" w:rsidRDefault="00442590" w:rsidP="00442590">
      <w:pPr>
        <w:spacing w:line="276" w:lineRule="auto"/>
        <w:jc w:val="both"/>
        <w:rPr>
          <w:rFonts w:cs="Arial"/>
          <w:bCs/>
          <w:szCs w:val="20"/>
          <w:lang w:val="sl-SI"/>
        </w:rPr>
      </w:pPr>
      <w:r w:rsidRPr="004F2C3E">
        <w:rPr>
          <w:rFonts w:cs="Arial"/>
          <w:bCs/>
          <w:szCs w:val="20"/>
          <w:lang w:val="sl-SI"/>
        </w:rPr>
        <w:t>Uroš Veber je odprl razpravo o problematiki prostorov za nevladne organizacije ter poudaril, da tej temi doslej ni bilo namenjene dovolj poglobljene obravnave. Izpostavil je, da gre v Ljubljani za dolgotrajen problem, ki traja že vrsto let in se postopoma zaostruje. Opozoril je, da je stavbni fond v Ljubljani dejansko izčrpan, kar omejuje možnosti za reševanje prostorske problematike. Ob tem je izpostavil nesorazmerje med vlaganji v večje, reprezentativne projekte ter pomanjkanjem ustrezne infrastrukture za nevladni sektor. Dodal je, da številni večji projekti še vedno niso realizirani, denimo Drama. Poudaril je tudi, da kljub prizadevanjem za decentralizacijo kulturnih dejavnosti selitev nevladnih organizacij iz Ljubljane v druga okolja ni enostavna. Takšne odločitve so povezane z osebnimi, družinskimi in profesionalnimi okoliščinami posameznikov ter z obstoječimi produkcijskimi in sodelovalnimi mrežami. Izpostavil je, da se s to problematiko ukvarjajo že dlje časa ter da ostaja odprto vprašanje, ali obstajajo konkretnejše rešitve ali nadaljnji koraki na tem področju.</w:t>
      </w:r>
    </w:p>
    <w:p w14:paraId="160216B1" w14:textId="77777777" w:rsidR="00442590" w:rsidRPr="004F2C3E" w:rsidRDefault="00442590" w:rsidP="00442590">
      <w:pPr>
        <w:spacing w:line="276" w:lineRule="auto"/>
        <w:jc w:val="both"/>
        <w:rPr>
          <w:rFonts w:cs="Arial"/>
          <w:bCs/>
          <w:szCs w:val="20"/>
          <w:lang w:val="sl-SI"/>
        </w:rPr>
      </w:pPr>
    </w:p>
    <w:p w14:paraId="692D4988" w14:textId="77777777" w:rsidR="00442590" w:rsidRPr="004F2C3E" w:rsidRDefault="00442590" w:rsidP="00442590">
      <w:pPr>
        <w:spacing w:line="276" w:lineRule="auto"/>
        <w:jc w:val="both"/>
        <w:rPr>
          <w:rFonts w:cs="Arial"/>
          <w:bCs/>
          <w:szCs w:val="20"/>
          <w:lang w:val="sl-SI"/>
        </w:rPr>
      </w:pPr>
      <w:r w:rsidRPr="004F2C3E">
        <w:rPr>
          <w:rFonts w:cs="Arial"/>
          <w:bCs/>
          <w:szCs w:val="20"/>
          <w:lang w:val="sl-SI"/>
        </w:rPr>
        <w:t xml:space="preserve">Tomaž Simetinger je opozoril na kompleksnost problematike znotraj nevladnega sektorja, zlasti na področju ljubiteljske kulture, ki jo je izpostavil kot posebej ranljivo. Poudaril je, da je sektor zelo heterogen, pri čemer se težave razlikujejo med podeželjem in večjimi urbanimi središči. Medtem ko na podeželju prostorska problematika ni tako izrazita, se v mestih kažejo resne omejitve tako pri dostopu do prostorov kot pri financiranju. Izpostavil je, da ljubiteljski nevladni sektor sistemsko zaostaja ter da se razmere postopoma slabšajo tudi na drugih področjih, kar odpira vprašanje ustreznosti obstoječega modela delovanja. Po njegovem mnenju bo potrebna širša razprava o prihodnosti ljubiteljske kulture, pri čemer bi moral pomembno vlogo odigrati tudi Javni sklad RS za kulturne dejavnosti. Opozoril je, da ljubiteljske skupine zaradi svojih potreb po večjih prostorih in infrastrukturnih kapacitetah težko konkurirajo poklicnim organizacijam. Na podlagi izkušenj s terena je izpostavil tudi naraščajoče napetosti med različnimi akterji, zlasti v povezavi z dostopom </w:t>
      </w:r>
      <w:r w:rsidRPr="004F2C3E">
        <w:rPr>
          <w:rFonts w:cs="Arial"/>
          <w:bCs/>
          <w:szCs w:val="20"/>
          <w:lang w:val="sl-SI"/>
        </w:rPr>
        <w:lastRenderedPageBreak/>
        <w:t>do prostorov, kar lahko vodi v medsebojno izključevanje. Ocenil je, da obstaja tveganje ponovnega zaostrovanja razmer znotraj sektorja, podobno kot v preteklosti na področju financiranja. Poudaril je pomen ohranjanja enotnosti znotraj sektorja ter opozoril, da bi medsebojni konflikti lahko dodatno oslabili že tako ranljiv sistem.</w:t>
      </w:r>
    </w:p>
    <w:p w14:paraId="096AE051" w14:textId="77777777" w:rsidR="00442590" w:rsidRPr="004F2C3E" w:rsidRDefault="00442590" w:rsidP="00442590">
      <w:pPr>
        <w:spacing w:line="276" w:lineRule="auto"/>
        <w:jc w:val="both"/>
        <w:rPr>
          <w:rFonts w:cs="Arial"/>
          <w:bCs/>
          <w:szCs w:val="20"/>
          <w:lang w:val="sl-SI"/>
        </w:rPr>
      </w:pPr>
    </w:p>
    <w:p w14:paraId="642C4B35" w14:textId="77777777" w:rsidR="00442590" w:rsidRPr="004F2C3E" w:rsidRDefault="00442590" w:rsidP="00442590">
      <w:pPr>
        <w:spacing w:line="276" w:lineRule="auto"/>
        <w:jc w:val="both"/>
        <w:rPr>
          <w:rFonts w:cs="Arial"/>
          <w:bCs/>
          <w:szCs w:val="20"/>
          <w:lang w:val="sl-SI"/>
        </w:rPr>
      </w:pPr>
      <w:r w:rsidRPr="004F2C3E">
        <w:rPr>
          <w:rFonts w:cs="Arial"/>
          <w:bCs/>
          <w:szCs w:val="20"/>
          <w:lang w:val="sl-SI"/>
        </w:rPr>
        <w:t>Tjaša Pureber je pojasnila, da je z vidika zakonodaje pogosto enostavneje, da občine upravljanje prostorov prenesejo na javne zavode, vendar obstajajo tudi primeri dobrih praks, kjer so prostori namenjeni pretežno nevladnim organizacijam. Kot primer je navedla model upravljanja prostorov, kjer lahko celotna stavba deluje kot skupni prostor za nevladni sektor, kar kaže, da takšni pristopi niso neizvedljivi. Poudarila je, da prizadevanja za razvoj tovrstnih modelov niso usmerjena v preseljevanje ustvarjalcev v druga mesta, temveč obratno, v krepitev pogojev za delo v lokalnih okoljih, da bi se preprečilo odhajanje akterjev v večja središča. Ob tem je poudarila, da je pritisk na prostore v Ljubljani največji zaradi koncentracije tako profesionalnih kot ljubiteljskih ustvarjalcev, kar pomeni večje potrebe po produkcijskih, rezidenčnih in pisarniških prostorih. V nadaljevanju je predstavila razvoj pristopov ministrstva v aktualnem mandatu. Izpostavila je tudi, da so se v zadnjih letih sredstva za nevladni sektor znatno povečala, vendar kljub temu ostajajo ključni izzivi, zlasti na področju zagotavljanja stabilnega financiranja osnovnega delovanja ter dostopa do ustreznih prostorov. Po njenem mnenju to predstavlja naslednjo fazo sistemskega urejanja področja, ki bo zahtevala nadaljnje skupno razmišljanje in usklajevanje.</w:t>
      </w:r>
    </w:p>
    <w:p w14:paraId="124E0A8C" w14:textId="77777777" w:rsidR="00442590" w:rsidRPr="004F2C3E" w:rsidRDefault="00442590" w:rsidP="00442590">
      <w:pPr>
        <w:spacing w:line="276" w:lineRule="auto"/>
        <w:jc w:val="both"/>
        <w:rPr>
          <w:rFonts w:cs="Arial"/>
          <w:bCs/>
          <w:szCs w:val="20"/>
          <w:lang w:val="sl-SI"/>
        </w:rPr>
      </w:pPr>
    </w:p>
    <w:p w14:paraId="56F74B9D" w14:textId="77777777" w:rsidR="00442590" w:rsidRPr="004F2C3E" w:rsidRDefault="00442590" w:rsidP="00442590">
      <w:pPr>
        <w:spacing w:line="276" w:lineRule="auto"/>
        <w:jc w:val="both"/>
        <w:rPr>
          <w:rFonts w:cs="Arial"/>
          <w:bCs/>
          <w:szCs w:val="20"/>
          <w:lang w:val="sl-SI"/>
        </w:rPr>
      </w:pPr>
      <w:r w:rsidRPr="004F2C3E">
        <w:rPr>
          <w:rFonts w:cs="Arial"/>
          <w:bCs/>
          <w:szCs w:val="20"/>
          <w:lang w:val="sl-SI"/>
        </w:rPr>
        <w:t>Uroš Veber je opozoril, da ima država na voljo precejšen obseg nepremičnin, bodisi v neposredni bodisi v posredni lasti, vendar ti prostori praviloma niso v upravljanju posameznih ministrstev. Izpostavil je, da gre za razpršen fond, ki bi lahko predstavljal pomemben potencial za reševanje prostorske problematike. Omenil je, da so nekateri prostori, ki so bili v preteklosti na voljo (npr. zaklonišča v upravljanju Ministrstva za obrambo), zaradi spremenjenih varnostnih razmer ponovno pridobili prvotne namembnosti, kar dodatno omejuje dostopnost. Poudaril je, da obstaja več primerov nepremičnin v upravljanju države ali njenih institucij, kjer bi bilo mogoče razmisliti o drugačnih modelih upravljanja. Po njegovem mnenju bi lahko, podobno kot v nekaterih praksah na ravni občin, omogočili oddajo prostorov manjšim skupinam ali organizacijam, zlasti tam, kjer gre za razdrobljene ali manj izkoriščene objekte. Ob tem je izpostavil, da trenutna nedostopnost teh prostorov predstavlja neizkoriščen potencial ter da bi lahko bolj fleksibilno upravljanje prineslo tudi boljši finančni in družbeni učinek za državo.</w:t>
      </w:r>
    </w:p>
    <w:p w14:paraId="681CAD0F" w14:textId="77777777" w:rsidR="00442590" w:rsidRPr="004F2C3E" w:rsidRDefault="00442590" w:rsidP="00442590">
      <w:pPr>
        <w:spacing w:line="276" w:lineRule="auto"/>
        <w:jc w:val="both"/>
        <w:rPr>
          <w:rFonts w:cs="Arial"/>
          <w:bCs/>
          <w:szCs w:val="20"/>
          <w:lang w:val="sl-SI"/>
        </w:rPr>
      </w:pPr>
    </w:p>
    <w:p w14:paraId="2F280F49" w14:textId="77777777" w:rsidR="00442590" w:rsidRPr="004F2C3E" w:rsidRDefault="00442590" w:rsidP="00442590">
      <w:pPr>
        <w:spacing w:line="276" w:lineRule="auto"/>
        <w:jc w:val="both"/>
        <w:rPr>
          <w:rFonts w:cs="Arial"/>
          <w:bCs/>
          <w:szCs w:val="20"/>
          <w:lang w:val="sl-SI"/>
        </w:rPr>
      </w:pPr>
      <w:r w:rsidRPr="004F2C3E">
        <w:rPr>
          <w:rFonts w:cs="Arial"/>
          <w:bCs/>
          <w:szCs w:val="20"/>
          <w:lang w:val="sl-SI"/>
        </w:rPr>
        <w:t>Tomaž Simetinger je opozoril na težave pri dostopu do informacij o razpoložljivih državnih nepremičninah. Po njegovih izkušnjah so ti fondi pogosto zaprti in zaščiteni, zaradi česar je kljub poznavanju potencialnih lokacij v praksi skoraj nemogoče priti do konkretnih prostorov. Ocenil je, da se pri poskusih dostopa pojavlja vrsta administrativnih in drugih ovir, ki onemogočajo njihovo uporabo.</w:t>
      </w:r>
    </w:p>
    <w:p w14:paraId="2EDF4082" w14:textId="77777777" w:rsidR="00442590" w:rsidRPr="004F2C3E" w:rsidRDefault="00442590" w:rsidP="00442590">
      <w:pPr>
        <w:spacing w:line="276" w:lineRule="auto"/>
        <w:jc w:val="both"/>
        <w:rPr>
          <w:rFonts w:cs="Arial"/>
          <w:bCs/>
          <w:szCs w:val="20"/>
          <w:lang w:val="sl-SI"/>
        </w:rPr>
      </w:pPr>
    </w:p>
    <w:p w14:paraId="45BA7EA9" w14:textId="77777777" w:rsidR="00442590" w:rsidRPr="004F2C3E" w:rsidRDefault="00442590" w:rsidP="00442590">
      <w:pPr>
        <w:spacing w:line="276" w:lineRule="auto"/>
        <w:jc w:val="both"/>
        <w:rPr>
          <w:rFonts w:cs="Arial"/>
          <w:bCs/>
          <w:szCs w:val="20"/>
          <w:lang w:val="sl-SI"/>
        </w:rPr>
      </w:pPr>
      <w:r w:rsidRPr="004F2C3E">
        <w:rPr>
          <w:rFonts w:cs="Arial"/>
          <w:bCs/>
          <w:szCs w:val="20"/>
          <w:lang w:val="sl-SI"/>
        </w:rPr>
        <w:t>Uroš Veber je dodal, da je tovrstna problematika prisotna širše in ni omejena le na posamezna okolja. Poudaril je, da ne gre zgolj za finančno vprašanje, temveč tudi za upravljanje obstoječega stavbnega fonda. Izpostavil je pomen razmisleka o učinkovitejši rabi že obstoječih objektov, namesto gradnje novih, ter opozoril, da kljub razpoložljivosti določenih prostorov ti pogosto ostajajo neizkoriščeni.</w:t>
      </w:r>
    </w:p>
    <w:p w14:paraId="1E9A0585" w14:textId="77777777" w:rsidR="00442590" w:rsidRPr="004F2C3E" w:rsidRDefault="00442590" w:rsidP="00442590">
      <w:pPr>
        <w:spacing w:line="276" w:lineRule="auto"/>
        <w:jc w:val="both"/>
        <w:rPr>
          <w:rFonts w:cs="Arial"/>
          <w:bCs/>
          <w:szCs w:val="20"/>
          <w:lang w:val="sl-SI"/>
        </w:rPr>
      </w:pPr>
    </w:p>
    <w:p w14:paraId="15D276EB" w14:textId="77777777" w:rsidR="00442590" w:rsidRPr="004F2C3E" w:rsidRDefault="00442590" w:rsidP="00442590">
      <w:pPr>
        <w:spacing w:line="276" w:lineRule="auto"/>
        <w:jc w:val="both"/>
        <w:rPr>
          <w:rFonts w:cs="Arial"/>
          <w:szCs w:val="20"/>
          <w:lang w:val="sl-SI"/>
        </w:rPr>
      </w:pPr>
    </w:p>
    <w:p w14:paraId="4628C04E" w14:textId="77777777" w:rsidR="00442590" w:rsidRPr="004F2C3E" w:rsidRDefault="00442590" w:rsidP="00442590">
      <w:pPr>
        <w:pStyle w:val="Odstavekseznama"/>
        <w:numPr>
          <w:ilvl w:val="0"/>
          <w:numId w:val="7"/>
        </w:numPr>
        <w:jc w:val="both"/>
        <w:rPr>
          <w:rFonts w:ascii="Arial" w:hAnsi="Arial" w:cs="Arial"/>
          <w:b/>
          <w:bCs/>
          <w:sz w:val="20"/>
          <w:szCs w:val="20"/>
        </w:rPr>
      </w:pPr>
      <w:r w:rsidRPr="004F2C3E">
        <w:rPr>
          <w:rFonts w:ascii="Arial" w:hAnsi="Arial" w:cs="Arial"/>
          <w:b/>
          <w:bCs/>
          <w:sz w:val="20"/>
          <w:szCs w:val="20"/>
        </w:rPr>
        <w:t>Uredba o samostojnih delavcih v kulturi</w:t>
      </w:r>
    </w:p>
    <w:p w14:paraId="24664D40" w14:textId="77777777" w:rsidR="00442590" w:rsidRPr="004F2C3E" w:rsidRDefault="00442590" w:rsidP="00442590">
      <w:pPr>
        <w:jc w:val="both"/>
        <w:rPr>
          <w:rFonts w:cs="Arial"/>
          <w:szCs w:val="20"/>
          <w:lang w:val="sl-SI"/>
        </w:rPr>
      </w:pPr>
      <w:r w:rsidRPr="004F2C3E">
        <w:rPr>
          <w:rFonts w:cs="Arial"/>
          <w:szCs w:val="20"/>
          <w:lang w:val="sl-SI"/>
        </w:rPr>
        <w:t xml:space="preserve">Mihael Štrukelj je pojasnil, da je bila Uredba o samostojnih delavcih v kulturi do nedavnega v javni obravnavi. Prejete pripombe so se v veliki meri nanašale na priloge, zlasti na sezname poklicev ter kriterije za presojo izjemnega prispevka, pa tudi na prilogo, ki ureja nagrade. Poudaril je, da v tej fazi v priloge ne bodo bistveno posegali, saj so bile te vsebine pred približno enim letom že temeljito posodobljene v okviru prejšnjih sprememb, ob široki javni razpravi in sodelovanju </w:t>
      </w:r>
      <w:r w:rsidRPr="004F2C3E">
        <w:rPr>
          <w:rFonts w:cs="Arial"/>
          <w:szCs w:val="20"/>
          <w:lang w:val="sl-SI"/>
        </w:rPr>
        <w:lastRenderedPageBreak/>
        <w:t>strokovne javnosti. Dodatno je izpostavil, da je predvideno redno periodično odpiranje teh prilog (najkasneje na tri leta). Eden izmed razlogov za takšno odločitev je tudi časovna komponenta, saj bi obširnejše spremembe lahko ogrozile pravočasno sprejetje uredbe. Glede vsebine uredbe je pojasnil, da ta v primerjavi s prejšnjo različico bistveno manj posega v samostojno urejanje področja, saj spremenjeni ZUJIK že sam po sebi natančno določa večino vsebinskih okvirov. Uredba tako predvsem konkretizira posamezne določbe zakona in podrobneje ureja postopke, z namenom preprečevanja nejasnosti pri izvajanju. Izpostavil je, da je bil ZUJIK ob zadnjih spremembah dodatno razširjen in natančneje oblikovan, tudi v okviru medresorskega usklajevanja, kar pomeni, da je manevrski prostor za samostojne rešitve na ravni uredbe bistveno bolj omejen. Posledično uredba v veliki meri sledi zakonskim določbam in jih zgolj operativno dopolnjuje.</w:t>
      </w:r>
    </w:p>
    <w:p w14:paraId="03AE4CB9" w14:textId="77777777" w:rsidR="00442590" w:rsidRPr="004F2C3E" w:rsidRDefault="00442590" w:rsidP="00442590">
      <w:pPr>
        <w:jc w:val="both"/>
        <w:rPr>
          <w:rFonts w:cs="Arial"/>
          <w:szCs w:val="20"/>
          <w:lang w:val="sl-SI"/>
        </w:rPr>
      </w:pPr>
    </w:p>
    <w:p w14:paraId="50C1F8B9" w14:textId="77777777" w:rsidR="00442590" w:rsidRPr="004F2C3E" w:rsidRDefault="00442590" w:rsidP="00442590">
      <w:pPr>
        <w:jc w:val="both"/>
        <w:rPr>
          <w:rFonts w:cs="Arial"/>
          <w:szCs w:val="20"/>
          <w:lang w:val="sl-SI"/>
        </w:rPr>
      </w:pPr>
      <w:r w:rsidRPr="004F2C3E">
        <w:rPr>
          <w:rFonts w:cs="Arial"/>
          <w:szCs w:val="20"/>
          <w:lang w:val="sl-SI"/>
        </w:rPr>
        <w:t>Uroš Veber je opozoril na vprašanje obravnave prejetih pripomb na priloge uredbe ter izrazil interes, kam bodo te pripombe usmerjene, če se priloge v tej fazi ne odpirajo.</w:t>
      </w:r>
    </w:p>
    <w:p w14:paraId="3C6FAECB" w14:textId="77777777" w:rsidR="00442590" w:rsidRPr="004F2C3E" w:rsidRDefault="00442590" w:rsidP="00442590">
      <w:pPr>
        <w:jc w:val="both"/>
        <w:rPr>
          <w:rFonts w:cs="Arial"/>
          <w:szCs w:val="20"/>
          <w:lang w:val="sl-SI"/>
        </w:rPr>
      </w:pPr>
    </w:p>
    <w:p w14:paraId="23917691" w14:textId="77777777" w:rsidR="00442590" w:rsidRPr="004F2C3E" w:rsidRDefault="00442590" w:rsidP="00442590">
      <w:pPr>
        <w:jc w:val="both"/>
        <w:rPr>
          <w:rFonts w:cs="Arial"/>
          <w:szCs w:val="20"/>
          <w:lang w:val="sl-SI"/>
        </w:rPr>
      </w:pPr>
      <w:r w:rsidRPr="004F2C3E">
        <w:rPr>
          <w:rFonts w:cs="Arial"/>
          <w:szCs w:val="20"/>
          <w:lang w:val="sl-SI"/>
        </w:rPr>
        <w:t xml:space="preserve">Mihael Štrukelj je pojasnil, da se pripombe nanašajo predvsem na kriterije točkovanja, sezname poklicev ter posamezne vsebinske vidike prilog. Poudaril je, da so bila ta vprašanja nedavno že temeljito obravnavana v širšem krogu deležnikov in da so bile rešitve takrat usklajene. Izpostavil je, da odločitev o </w:t>
      </w:r>
      <w:proofErr w:type="spellStart"/>
      <w:r w:rsidRPr="004F2C3E">
        <w:rPr>
          <w:rFonts w:cs="Arial"/>
          <w:szCs w:val="20"/>
          <w:lang w:val="sl-SI"/>
        </w:rPr>
        <w:t>neodpiranju</w:t>
      </w:r>
      <w:proofErr w:type="spellEnd"/>
      <w:r w:rsidRPr="004F2C3E">
        <w:rPr>
          <w:rFonts w:cs="Arial"/>
          <w:szCs w:val="20"/>
          <w:lang w:val="sl-SI"/>
        </w:rPr>
        <w:t xml:space="preserve"> prilog v tej fazi ne pomeni, da pripombe niso vsebinsko relevantne, temveč je povezana predvsem s časovnimi omejitvami in dejstvom, da zakon predvideva redno periodično presojo teh vsebin. Ob naslednjem odpiranju prilog, predvidoma v nekaj letih, bo ponovno vzpostavljen proces vključevanja zainteresirane javnosti in morebitnega dopolnjevanja.</w:t>
      </w:r>
    </w:p>
    <w:p w14:paraId="1E7E63D5" w14:textId="77777777" w:rsidR="00442590" w:rsidRPr="004F2C3E" w:rsidRDefault="00442590" w:rsidP="00442590">
      <w:pPr>
        <w:jc w:val="both"/>
        <w:rPr>
          <w:rFonts w:cs="Arial"/>
          <w:szCs w:val="20"/>
          <w:lang w:val="sl-SI"/>
        </w:rPr>
      </w:pPr>
      <w:r w:rsidRPr="004F2C3E">
        <w:rPr>
          <w:rFonts w:cs="Arial"/>
          <w:szCs w:val="20"/>
          <w:lang w:val="sl-SI"/>
        </w:rPr>
        <w:t>Dodal je, da so nekatere vsebine, zlasti na področju poklicev in nagrad, po naravi dinamične in bodo zato nujno predmet prihodnjih razprav. Pri tem je opozoril, da vseh vprašanj, zlasti glede obstoja ali odsotnosti nagrad na posameznih področjih, ni mogoče reševati zgolj na ravni uredbe, saj gre za širši sistemski problem.</w:t>
      </w:r>
    </w:p>
    <w:p w14:paraId="71C89CF8" w14:textId="77777777" w:rsidR="00442590" w:rsidRPr="004F2C3E" w:rsidRDefault="00442590" w:rsidP="00442590">
      <w:pPr>
        <w:jc w:val="both"/>
        <w:rPr>
          <w:rFonts w:cs="Arial"/>
          <w:szCs w:val="20"/>
          <w:lang w:val="sl-SI"/>
        </w:rPr>
      </w:pPr>
    </w:p>
    <w:p w14:paraId="383AD7F2" w14:textId="77777777" w:rsidR="00442590" w:rsidRPr="004F2C3E" w:rsidRDefault="00442590" w:rsidP="00442590">
      <w:pPr>
        <w:jc w:val="both"/>
        <w:rPr>
          <w:rFonts w:cs="Arial"/>
          <w:szCs w:val="20"/>
          <w:lang w:val="sl-SI"/>
        </w:rPr>
      </w:pPr>
      <w:r w:rsidRPr="004F2C3E">
        <w:rPr>
          <w:rFonts w:cs="Arial"/>
          <w:szCs w:val="20"/>
          <w:lang w:val="sl-SI"/>
        </w:rPr>
        <w:t>Uroš Veber je izpostavil, da je normativni pristop pri pripravi uredbe bistveno zmanjšal prostor za strokovno presojo, saj skuša vnaprej opredeliti vse možne situacije. Po njegovem mnenju to vodi v pretirano razdrobljene sezname poklicev, tudi takih z zelo majhnim številom izvajalcev, ter v sistem točkovanja, ki dodatno formalizira presojo. Opozoril je tudi na omejitve sistema nagrad, ki so vezane na določene profile ustvarjalcev, medtem ko številni poklici znotraj kulturnega sektorja ostajajo brez ustreznega priznanja. Poudaril je, da teh nesorazmerij ni mogoče enostavno reševati znotraj obstoječih institucij nagrajevanja.</w:t>
      </w:r>
    </w:p>
    <w:p w14:paraId="447B3083" w14:textId="77777777" w:rsidR="00442590" w:rsidRPr="004F2C3E" w:rsidRDefault="00442590" w:rsidP="00442590">
      <w:pPr>
        <w:jc w:val="both"/>
        <w:rPr>
          <w:rFonts w:cs="Arial"/>
          <w:szCs w:val="20"/>
          <w:lang w:val="sl-SI"/>
        </w:rPr>
      </w:pPr>
    </w:p>
    <w:p w14:paraId="4500E403" w14:textId="77777777" w:rsidR="00442590" w:rsidRPr="004F2C3E" w:rsidRDefault="00442590" w:rsidP="00442590">
      <w:pPr>
        <w:jc w:val="both"/>
        <w:rPr>
          <w:rFonts w:cs="Arial"/>
          <w:szCs w:val="20"/>
          <w:lang w:val="sl-SI"/>
        </w:rPr>
      </w:pPr>
      <w:r w:rsidRPr="004F2C3E">
        <w:rPr>
          <w:rFonts w:cs="Arial"/>
          <w:szCs w:val="20"/>
          <w:lang w:val="sl-SI"/>
        </w:rPr>
        <w:t xml:space="preserve">Tjaša Pureber je pojasnila, da so se teh izzivov zavedali že v prejšnjih spremembah zakonodaje in uredbe ter da so bile uvedene določene prilagoditve. Izpostavila je, da se v primerih kolektivnih nagrad (npr. za film ali gledališko predstavo) te lahko upoštevajo tudi na ravni posameznikov, ki so sodelovali pri projektu. Prav tako je navedla, da so za področja, kjer formalne nagrade ne obstajajo, kot alternativo uvedli možnost upoštevanja strokovnih priporočil. Po njenem mnenju gre za poskus omilitve sistemskih vrzeli, čeprav vseh razlik med področji ni mogoče v celoti odpraviti. Prav tako so uvedli razpis za stanovska društva, kjer se financirajo tudi številne nagrade. </w:t>
      </w:r>
    </w:p>
    <w:p w14:paraId="4E38196F" w14:textId="77777777" w:rsidR="00442590" w:rsidRPr="004F2C3E" w:rsidRDefault="00442590" w:rsidP="00442590">
      <w:pPr>
        <w:jc w:val="both"/>
        <w:rPr>
          <w:rFonts w:cs="Arial"/>
          <w:szCs w:val="20"/>
          <w:lang w:val="sl-SI"/>
        </w:rPr>
      </w:pPr>
    </w:p>
    <w:p w14:paraId="5934A910" w14:textId="77777777" w:rsidR="00442590" w:rsidRPr="004F2C3E" w:rsidRDefault="00442590" w:rsidP="00442590">
      <w:pPr>
        <w:jc w:val="both"/>
        <w:rPr>
          <w:rFonts w:cs="Arial"/>
          <w:szCs w:val="20"/>
          <w:lang w:val="sl-SI"/>
        </w:rPr>
      </w:pPr>
      <w:r w:rsidRPr="004F2C3E">
        <w:rPr>
          <w:rFonts w:cs="Arial"/>
          <w:szCs w:val="20"/>
          <w:lang w:val="sl-SI"/>
        </w:rPr>
        <w:t xml:space="preserve">Uroš Veber je opozoril na mnenje dela glasbenega sektorja, zlasti sodobnih glasbenikov, kjer obstoječi kriteriji ne sledijo več dejanskemu načinu produkcije in distribucije. Izpostavil je, da sistem še vedno temelji na zastarelih formatih, kot so fizični nosilci, medtem ko se je praksa premaknila v digitalno okolje. Poudaril je tudi raznolikost znotraj glasbenega področja, kjer obstajajo zelo različni načini ustvarjanja in vrednotenja dela, kar otežuje enotno normiranje. </w:t>
      </w:r>
    </w:p>
    <w:p w14:paraId="5446C0AC" w14:textId="77777777" w:rsidR="00442590" w:rsidRPr="004F2C3E" w:rsidRDefault="00442590" w:rsidP="00442590">
      <w:pPr>
        <w:jc w:val="both"/>
        <w:rPr>
          <w:rFonts w:cs="Arial"/>
          <w:szCs w:val="20"/>
          <w:lang w:val="sl-SI"/>
        </w:rPr>
      </w:pPr>
    </w:p>
    <w:p w14:paraId="395A7BF9" w14:textId="77777777" w:rsidR="00442590" w:rsidRPr="004F2C3E" w:rsidRDefault="00442590" w:rsidP="00442590">
      <w:pPr>
        <w:jc w:val="both"/>
        <w:rPr>
          <w:rFonts w:cs="Arial"/>
          <w:szCs w:val="20"/>
          <w:lang w:val="sl-SI"/>
        </w:rPr>
      </w:pPr>
      <w:r w:rsidRPr="004F2C3E">
        <w:rPr>
          <w:rFonts w:cs="Arial"/>
          <w:szCs w:val="20"/>
          <w:lang w:val="sl-SI"/>
        </w:rPr>
        <w:t xml:space="preserve">Tjaša Pureber je pojasnila, da je bilo pri prejšnjih spremembah uredbe zaznati različno stopnjo odzivnosti med posameznimi področji. Bolje organizirana področja z močnejšimi stanovskimi združenji so aktivneje sodelovala in prispevala k oblikovanju rešitev, medtem ko je bilo na </w:t>
      </w:r>
      <w:r w:rsidRPr="004F2C3E">
        <w:rPr>
          <w:rFonts w:cs="Arial"/>
          <w:szCs w:val="20"/>
          <w:lang w:val="sl-SI"/>
        </w:rPr>
        <w:lastRenderedPageBreak/>
        <w:t xml:space="preserve">področju glasbe odziva manj, še posebej na področju glasbe. Dodala je, da so se pri pripravi sprememb zavedali nevarnosti pretirane </w:t>
      </w:r>
      <w:proofErr w:type="spellStart"/>
      <w:r w:rsidRPr="004F2C3E">
        <w:rPr>
          <w:rFonts w:cs="Arial"/>
          <w:szCs w:val="20"/>
          <w:lang w:val="sl-SI"/>
        </w:rPr>
        <w:t>normiranosti</w:t>
      </w:r>
      <w:proofErr w:type="spellEnd"/>
      <w:r w:rsidRPr="004F2C3E">
        <w:rPr>
          <w:rFonts w:cs="Arial"/>
          <w:szCs w:val="20"/>
          <w:lang w:val="sl-SI"/>
        </w:rPr>
        <w:t>, zato so v določenih primerih poklice združevali in oblikovali širše kriterije, s čimer so želeli omogočiti večjo dostopnost in fleksibilnost.</w:t>
      </w:r>
    </w:p>
    <w:p w14:paraId="5F52D21A" w14:textId="77777777" w:rsidR="00442590" w:rsidRPr="004F2C3E" w:rsidRDefault="00442590" w:rsidP="00442590">
      <w:pPr>
        <w:jc w:val="both"/>
        <w:rPr>
          <w:rFonts w:cs="Arial"/>
          <w:szCs w:val="20"/>
          <w:lang w:val="sl-SI"/>
        </w:rPr>
      </w:pPr>
      <w:r w:rsidRPr="004F2C3E">
        <w:rPr>
          <w:rFonts w:cs="Arial"/>
          <w:szCs w:val="20"/>
          <w:lang w:val="sl-SI"/>
        </w:rPr>
        <w:t>Uroš Veber je dodatno izpostavil težave pri definiranju posameznih poklicev, kjer enaki izrazi (npr. producent) pomenijo različne vloge v različnih področjih (glasba, film, vizualne umetnosti), kar povzroča dodatne nejasnosti in napetosti. Opozoril je tudi na kritike s strani filmskih producentov glede razmejitve poklicev znotraj njihovega področja.</w:t>
      </w:r>
    </w:p>
    <w:p w14:paraId="075316B3" w14:textId="77777777" w:rsidR="00442590" w:rsidRPr="004F2C3E" w:rsidRDefault="00442590" w:rsidP="00442590">
      <w:pPr>
        <w:jc w:val="both"/>
        <w:rPr>
          <w:rFonts w:cs="Arial"/>
          <w:szCs w:val="20"/>
          <w:lang w:val="sl-SI"/>
        </w:rPr>
      </w:pPr>
    </w:p>
    <w:p w14:paraId="199A900B" w14:textId="77777777" w:rsidR="00442590" w:rsidRPr="004F2C3E" w:rsidRDefault="00442590" w:rsidP="00442590">
      <w:pPr>
        <w:jc w:val="both"/>
        <w:rPr>
          <w:rFonts w:cs="Arial"/>
          <w:szCs w:val="20"/>
          <w:lang w:val="sl-SI"/>
        </w:rPr>
      </w:pPr>
      <w:r w:rsidRPr="004F2C3E">
        <w:rPr>
          <w:rFonts w:cs="Arial"/>
          <w:szCs w:val="20"/>
          <w:lang w:val="sl-SI"/>
        </w:rPr>
        <w:t>Mihael Štrukelj je poudaril, da so pripombe in pobude deležnikov pomembne, tudi če jih v danem trenutku ni mogoče vključiti v uredbo, saj prispevajo k boljšemu razumevanju potreb sektorja za prihodnje spremembe.</w:t>
      </w:r>
    </w:p>
    <w:p w14:paraId="5994C69E" w14:textId="77777777" w:rsidR="00442590" w:rsidRPr="004F2C3E" w:rsidRDefault="00442590" w:rsidP="00442590">
      <w:pPr>
        <w:jc w:val="both"/>
        <w:rPr>
          <w:rFonts w:cs="Arial"/>
          <w:szCs w:val="20"/>
          <w:lang w:val="sl-SI"/>
        </w:rPr>
      </w:pPr>
    </w:p>
    <w:p w14:paraId="3B948652" w14:textId="77777777" w:rsidR="00442590" w:rsidRPr="004F2C3E" w:rsidRDefault="00442590" w:rsidP="00442590">
      <w:pPr>
        <w:jc w:val="both"/>
        <w:rPr>
          <w:rFonts w:cs="Arial"/>
          <w:szCs w:val="20"/>
          <w:lang w:val="sl-SI"/>
        </w:rPr>
      </w:pPr>
      <w:r w:rsidRPr="004F2C3E">
        <w:rPr>
          <w:rFonts w:cs="Arial"/>
          <w:szCs w:val="20"/>
          <w:lang w:val="sl-SI"/>
        </w:rPr>
        <w:t>Uroš Veber je izpostavil tudi vprašanje študentskega dela, ki po njegovem mnenju ni ustrezno vključeno v uredbo.</w:t>
      </w:r>
    </w:p>
    <w:p w14:paraId="4BF1D958" w14:textId="77777777" w:rsidR="00442590" w:rsidRPr="004F2C3E" w:rsidRDefault="00442590" w:rsidP="00442590">
      <w:pPr>
        <w:jc w:val="both"/>
        <w:rPr>
          <w:rFonts w:cs="Arial"/>
          <w:szCs w:val="20"/>
          <w:lang w:val="sl-SI"/>
        </w:rPr>
      </w:pPr>
    </w:p>
    <w:p w14:paraId="182BF1D8" w14:textId="77777777" w:rsidR="00442590" w:rsidRPr="004F2C3E" w:rsidRDefault="00442590" w:rsidP="00442590">
      <w:pPr>
        <w:jc w:val="both"/>
        <w:rPr>
          <w:rFonts w:cs="Arial"/>
          <w:szCs w:val="20"/>
          <w:lang w:val="sl-SI"/>
        </w:rPr>
      </w:pPr>
      <w:r w:rsidRPr="004F2C3E">
        <w:rPr>
          <w:rFonts w:cs="Arial"/>
          <w:szCs w:val="20"/>
          <w:lang w:val="sl-SI"/>
        </w:rPr>
        <w:t>Mihael Štrukelj je pojasnil, da študentsko delo ni izrecno izključeno, saj uredba uporablja širši pojem pogodb civilnega prava. Napovedal je, da bodo preverili, ali je študentsko delo mogoče pravno uvrstiti v ta okvir. Ob tem je poudaril, da osebno nima zadržkov do njegovega upoštevanja, vendar je končna odločitev odvisna od pravne presoje.</w:t>
      </w:r>
    </w:p>
    <w:p w14:paraId="68E99C05" w14:textId="77777777" w:rsidR="00442590" w:rsidRPr="004F2C3E" w:rsidRDefault="00442590" w:rsidP="00442590">
      <w:pPr>
        <w:jc w:val="both"/>
        <w:rPr>
          <w:rFonts w:cs="Arial"/>
          <w:szCs w:val="20"/>
          <w:lang w:val="sl-SI"/>
        </w:rPr>
      </w:pPr>
    </w:p>
    <w:p w14:paraId="651360A1" w14:textId="77777777" w:rsidR="00442590" w:rsidRPr="004F2C3E" w:rsidRDefault="00442590" w:rsidP="00442590">
      <w:pPr>
        <w:jc w:val="both"/>
        <w:rPr>
          <w:rFonts w:cs="Arial"/>
          <w:szCs w:val="20"/>
          <w:lang w:val="sl-SI"/>
        </w:rPr>
      </w:pPr>
      <w:r w:rsidRPr="004F2C3E">
        <w:rPr>
          <w:rFonts w:cs="Arial"/>
          <w:szCs w:val="20"/>
          <w:lang w:val="sl-SI"/>
        </w:rPr>
        <w:t>Uroš Veber je izpostavil, da je bil eden ključnih razlogov za reformo študentskega dela prav v tem, da se tudi to delo začne upoštevati pri pokojninski dobi. Zato ga preseneča, da uredba ne določa jasno, na kakšen način se študentsko delo upošteva. Opozoril je tudi na praktični problem dokazovanja vrste dela, opravljenega prek študentskih napotnic.</w:t>
      </w:r>
    </w:p>
    <w:p w14:paraId="336EE126" w14:textId="77777777" w:rsidR="00442590" w:rsidRPr="004F2C3E" w:rsidRDefault="00442590" w:rsidP="00442590">
      <w:pPr>
        <w:jc w:val="both"/>
        <w:rPr>
          <w:rFonts w:cs="Arial"/>
          <w:szCs w:val="20"/>
          <w:lang w:val="sl-SI"/>
        </w:rPr>
      </w:pPr>
    </w:p>
    <w:p w14:paraId="3FC02E6B" w14:textId="77777777" w:rsidR="00442590" w:rsidRPr="004F2C3E" w:rsidRDefault="00442590" w:rsidP="00442590">
      <w:pPr>
        <w:jc w:val="both"/>
        <w:rPr>
          <w:rFonts w:cs="Arial"/>
          <w:szCs w:val="20"/>
          <w:lang w:val="sl-SI"/>
        </w:rPr>
      </w:pPr>
      <w:r w:rsidRPr="004F2C3E">
        <w:rPr>
          <w:rFonts w:cs="Arial"/>
          <w:szCs w:val="20"/>
          <w:lang w:val="sl-SI"/>
        </w:rPr>
        <w:t xml:space="preserve">Mihael Štrukelj je pojasnil, da mora biti delo možno vsebinsko uvrstiti med poklice iz prilog uredbe, kar predstavlja minimalni pogoj za njegovo upoštevanje. Podobno logiko je ponazoril s primerom iz uredbe o minimalnem plačilu, kjer se denimo po avtorskih pogodbah upošteva le delo, ki po vsebini ustreza določenemu poklicu. Dodal je, da je vključitev pogodb civilnega prava pomembna pridobitev, saj bi bili brez tega nekateri posamezniki v slabšem položaju. Po njegovi oceni spremembe pomenijo izboljšanje, saj po novem sistemu karierne dinamike nihče ne bo na slabšem, številni pa bodo svoj položaj lahko izboljšali. </w:t>
      </w:r>
    </w:p>
    <w:p w14:paraId="4AC1A0E1" w14:textId="77777777" w:rsidR="00442590" w:rsidRPr="004F2C3E" w:rsidRDefault="00442590" w:rsidP="00442590">
      <w:pPr>
        <w:jc w:val="both"/>
        <w:rPr>
          <w:rFonts w:cs="Arial"/>
          <w:szCs w:val="20"/>
          <w:lang w:val="sl-SI"/>
        </w:rPr>
      </w:pPr>
    </w:p>
    <w:p w14:paraId="0145A1B2" w14:textId="77777777" w:rsidR="00442590" w:rsidRPr="004F2C3E" w:rsidRDefault="00442590" w:rsidP="00442590">
      <w:pPr>
        <w:jc w:val="both"/>
        <w:rPr>
          <w:rFonts w:cs="Arial"/>
          <w:szCs w:val="20"/>
          <w:lang w:val="sl-SI"/>
        </w:rPr>
      </w:pPr>
      <w:r w:rsidRPr="004F2C3E">
        <w:rPr>
          <w:rFonts w:cs="Arial"/>
          <w:szCs w:val="20"/>
          <w:lang w:val="sl-SI"/>
        </w:rPr>
        <w:t xml:space="preserve">Uroš Veber se s tem ni strinjal in je opozoril, da je treba ureditev presojati skupaj s pokojninsko reformo. Po njegovem mnenju so posamezniki, ki so večji del kariere delali v </w:t>
      </w:r>
      <w:proofErr w:type="spellStart"/>
      <w:r w:rsidRPr="004F2C3E">
        <w:rPr>
          <w:rFonts w:cs="Arial"/>
          <w:szCs w:val="20"/>
          <w:lang w:val="sl-SI"/>
        </w:rPr>
        <w:t>prekarnih</w:t>
      </w:r>
      <w:proofErr w:type="spellEnd"/>
      <w:r w:rsidRPr="004F2C3E">
        <w:rPr>
          <w:rFonts w:cs="Arial"/>
          <w:szCs w:val="20"/>
          <w:lang w:val="sl-SI"/>
        </w:rPr>
        <w:t xml:space="preserve"> oblikah dela, v slabšem položaju, zato ni mogoče trditi, da spremembe nikogar ne postavljajo na slabše. Ob tem je poudaril, da je treba zagotoviti vsaj določene koristi za mlajše generacije, ki še lahko izboljšajo svoj položaj.</w:t>
      </w:r>
    </w:p>
    <w:p w14:paraId="6758E7DA" w14:textId="77777777" w:rsidR="00442590" w:rsidRPr="004F2C3E" w:rsidRDefault="00442590" w:rsidP="00442590">
      <w:pPr>
        <w:jc w:val="both"/>
        <w:rPr>
          <w:rFonts w:cs="Arial"/>
          <w:szCs w:val="20"/>
          <w:lang w:val="sl-SI"/>
        </w:rPr>
      </w:pPr>
    </w:p>
    <w:p w14:paraId="58C38D42" w14:textId="77777777" w:rsidR="00442590" w:rsidRPr="004F2C3E" w:rsidRDefault="00442590" w:rsidP="00442590">
      <w:pPr>
        <w:jc w:val="both"/>
        <w:rPr>
          <w:rFonts w:cs="Arial"/>
          <w:szCs w:val="20"/>
          <w:lang w:val="sl-SI"/>
        </w:rPr>
      </w:pPr>
      <w:r w:rsidRPr="004F2C3E">
        <w:rPr>
          <w:rFonts w:cs="Arial"/>
          <w:szCs w:val="20"/>
          <w:lang w:val="sl-SI"/>
        </w:rPr>
        <w:t xml:space="preserve">Tjaša Pureber se je strinjala, da so razlike med generacijami ključne za razumevanje novega sistema. Mlajšim generacijam se študentsko delo že upošteva, zato so v boljšem izhodiščnem položaju, medtem ko so starejše generacije zaradi preteklih ureditev v slabšem položaju. Prav zato so po njenem pojasnilu razširili možnost upoštevanja tudi na pogodbe civilnega prava, da bi omilili posledice za starejše </w:t>
      </w:r>
      <w:proofErr w:type="spellStart"/>
      <w:r w:rsidRPr="004F2C3E">
        <w:rPr>
          <w:rFonts w:cs="Arial"/>
          <w:szCs w:val="20"/>
          <w:lang w:val="sl-SI"/>
        </w:rPr>
        <w:t>prekarne</w:t>
      </w:r>
      <w:proofErr w:type="spellEnd"/>
      <w:r w:rsidRPr="004F2C3E">
        <w:rPr>
          <w:rFonts w:cs="Arial"/>
          <w:szCs w:val="20"/>
          <w:lang w:val="sl-SI"/>
        </w:rPr>
        <w:t xml:space="preserve"> delavce.</w:t>
      </w:r>
    </w:p>
    <w:p w14:paraId="610EF3F7" w14:textId="77777777" w:rsidR="00442590" w:rsidRPr="004F2C3E" w:rsidRDefault="00442590" w:rsidP="00442590">
      <w:pPr>
        <w:jc w:val="both"/>
        <w:rPr>
          <w:rFonts w:cs="Arial"/>
          <w:szCs w:val="20"/>
          <w:lang w:val="sl-SI"/>
        </w:rPr>
      </w:pPr>
    </w:p>
    <w:p w14:paraId="15B24684" w14:textId="77777777" w:rsidR="00442590" w:rsidRPr="004F2C3E" w:rsidRDefault="00442590" w:rsidP="00442590">
      <w:pPr>
        <w:jc w:val="both"/>
        <w:rPr>
          <w:rFonts w:cs="Arial"/>
          <w:szCs w:val="20"/>
          <w:lang w:val="sl-SI"/>
        </w:rPr>
      </w:pPr>
      <w:r w:rsidRPr="004F2C3E">
        <w:rPr>
          <w:rFonts w:cs="Arial"/>
          <w:szCs w:val="20"/>
          <w:lang w:val="sl-SI"/>
        </w:rPr>
        <w:t xml:space="preserve">Mihael Štrukelj je dodatno poudaril, da je govoril o izhodiščih sistema karierne dinamike in na del, na katerega ima vpliv ministrstvo za kulturo, kjer drži, da nihče ne bo imel plačanih nižjih prispevkov kot sedaj, številni pa višje. Glede ostalih elementov, denimo pokojninske reforme, pa se ne more opredeljevati. Tudi pri pripravi lastnih predpisov je ministrstvo vezano na medresorsko usklajevanje. Ob tem je opozoril, da je bila </w:t>
      </w:r>
      <w:proofErr w:type="spellStart"/>
      <w:r w:rsidRPr="004F2C3E">
        <w:rPr>
          <w:rFonts w:cs="Arial"/>
          <w:szCs w:val="20"/>
          <w:lang w:val="sl-SI"/>
        </w:rPr>
        <w:t>prekarna</w:t>
      </w:r>
      <w:proofErr w:type="spellEnd"/>
      <w:r w:rsidRPr="004F2C3E">
        <w:rPr>
          <w:rFonts w:cs="Arial"/>
          <w:szCs w:val="20"/>
          <w:lang w:val="sl-SI"/>
        </w:rPr>
        <w:t xml:space="preserve"> oblika dela v preteklosti pogosto posledica razmer na trgu dela, ko redne zaposlitve niso bile dostopne, zaradi česar so posamezniki delali prek različnih civilnopravnih oblik, ki danes predstavljajo izziv pri priznavanju delovne dobe.</w:t>
      </w:r>
    </w:p>
    <w:p w14:paraId="7347EC20" w14:textId="77777777" w:rsidR="00442590" w:rsidRPr="004F2C3E" w:rsidRDefault="00442590" w:rsidP="00442590">
      <w:pPr>
        <w:jc w:val="both"/>
        <w:rPr>
          <w:rFonts w:cs="Arial"/>
          <w:szCs w:val="20"/>
          <w:lang w:val="sl-SI"/>
        </w:rPr>
      </w:pPr>
    </w:p>
    <w:p w14:paraId="293A6DFB" w14:textId="77777777" w:rsidR="00442590" w:rsidRPr="004F2C3E" w:rsidRDefault="00442590" w:rsidP="00442590">
      <w:pPr>
        <w:jc w:val="both"/>
        <w:rPr>
          <w:rFonts w:cs="Arial"/>
          <w:szCs w:val="20"/>
          <w:lang w:val="sl-SI"/>
        </w:rPr>
      </w:pPr>
      <w:r w:rsidRPr="004F2C3E">
        <w:rPr>
          <w:rFonts w:cs="Arial"/>
          <w:szCs w:val="20"/>
          <w:lang w:val="sl-SI"/>
        </w:rPr>
        <w:lastRenderedPageBreak/>
        <w:t xml:space="preserve">Tjaša Pureber se je ob zaključku razprave zahvalila vsem članicam in članom za sodelovanje v mandatu delovne skupine. Poudarila je, da je bilo sodelovanje s skupino zelo dragoceno, saj je prav odprta in neposredna izmenjava mnenj s terenom prispevala k boljšim zakonom in ukrepom. Napovedala je še, da bo za formalni zaključek dela skupine sklicana dopisna seja, na kateri bodo lahko potrdili zapisnik aktualne seje in omogočili njegovo objavo. </w:t>
      </w:r>
    </w:p>
    <w:p w14:paraId="4199EE74" w14:textId="77777777" w:rsidR="00442590" w:rsidRPr="004F2C3E" w:rsidRDefault="00442590" w:rsidP="00442590">
      <w:pPr>
        <w:jc w:val="both"/>
        <w:rPr>
          <w:rFonts w:cs="Arial"/>
          <w:szCs w:val="20"/>
          <w:lang w:val="sl-SI"/>
        </w:rPr>
      </w:pPr>
    </w:p>
    <w:p w14:paraId="495DC1CA" w14:textId="77777777" w:rsidR="00442590" w:rsidRPr="004F2C3E" w:rsidRDefault="00442590" w:rsidP="00442590">
      <w:pPr>
        <w:jc w:val="both"/>
        <w:rPr>
          <w:rFonts w:cs="Arial"/>
          <w:szCs w:val="20"/>
          <w:lang w:val="sl-SI"/>
        </w:rPr>
      </w:pPr>
      <w:r w:rsidRPr="004F2C3E">
        <w:rPr>
          <w:rFonts w:cs="Arial"/>
          <w:szCs w:val="20"/>
          <w:lang w:val="sl-SI"/>
        </w:rPr>
        <w:t>Uroš Veber je ob zaključku poudaril pomen formalnega zaključka dela skupine, tudi z vidika obračuna sejnin, ter izpostavil možnost sklica izredne seje, če bi se za to pojavila potreba. V nadaljevanju se je zahvalil za sodelovanje v vseh treh delovnih skupinah in poudaril, da so bila občasna razhajanja del procesa, ki je prispeval k boljšim rešitvam. Izpostavil je, da bodo predstavniki sektorja tudi v prihodnje vztrajali pri zagovarjanju svojih interesov, pri čemer je pozitivno ocenil, da so na drugi strani sogovorniki, ki to razumejo. Ocenil je, da je bilo na Ministrstvu za kulturo v primerjavi s preteklimi obdobji narejenega bistveno več ter da so bili doseženi pomembni sistemski premiki, večinoma v pozitivno smer, ne le za nevladni sektor, temveč za področje ustvarjalnosti nasploh. Ob tem je opozoril, da vsi segmenti niso bili enako obravnavani, pri čemer je posebej izpostavil področje ljubiteljske kulture, kjer po njegovem mnenju ostaja več odprtih vprašanj. Poudaril je potrebo po identifikaciji ustreznih sogovornikov ter po nadaljnjem usklajevanju znotraj sektorja, ki je po njegovih besedah zelo raznolik in vsebuje različne poglede ter interese. Ocenil je, da bo treba te razlike povezovati na vključujoč način.</w:t>
      </w:r>
    </w:p>
    <w:p w14:paraId="2CE04092" w14:textId="77777777" w:rsidR="00442590" w:rsidRPr="004F2C3E" w:rsidRDefault="00442590" w:rsidP="00442590">
      <w:pPr>
        <w:spacing w:line="276" w:lineRule="auto"/>
        <w:jc w:val="both"/>
        <w:rPr>
          <w:rFonts w:cs="Arial"/>
          <w:szCs w:val="20"/>
          <w:lang w:val="sl-SI"/>
        </w:rPr>
      </w:pPr>
    </w:p>
    <w:p w14:paraId="3219E0E1" w14:textId="77777777" w:rsidR="00442590" w:rsidRPr="004F2C3E" w:rsidRDefault="00442590" w:rsidP="00442590">
      <w:pPr>
        <w:spacing w:line="276" w:lineRule="auto"/>
        <w:jc w:val="both"/>
        <w:rPr>
          <w:rFonts w:cs="Arial"/>
          <w:szCs w:val="20"/>
          <w:lang w:val="sl-SI"/>
        </w:rPr>
      </w:pPr>
    </w:p>
    <w:p w14:paraId="25D4E84A" w14:textId="77777777" w:rsidR="00442590" w:rsidRPr="004F2C3E" w:rsidRDefault="00442590" w:rsidP="00442590">
      <w:pPr>
        <w:spacing w:line="276" w:lineRule="auto"/>
        <w:jc w:val="both"/>
        <w:rPr>
          <w:rFonts w:cs="Arial"/>
          <w:szCs w:val="20"/>
          <w:lang w:val="sl-SI"/>
        </w:rPr>
      </w:pPr>
    </w:p>
    <w:p w14:paraId="73E01C79" w14:textId="77777777" w:rsidR="00442590" w:rsidRPr="004F2C3E" w:rsidRDefault="00442590" w:rsidP="00442590">
      <w:pPr>
        <w:spacing w:line="276" w:lineRule="auto"/>
        <w:jc w:val="both"/>
        <w:rPr>
          <w:rFonts w:cs="Arial"/>
          <w:szCs w:val="20"/>
          <w:lang w:val="sl-SI"/>
        </w:rPr>
      </w:pPr>
    </w:p>
    <w:p w14:paraId="77B133A2" w14:textId="77777777" w:rsidR="00442590" w:rsidRPr="004F2C3E" w:rsidRDefault="00442590" w:rsidP="00442590">
      <w:pPr>
        <w:spacing w:line="276" w:lineRule="auto"/>
        <w:jc w:val="both"/>
        <w:rPr>
          <w:rFonts w:cs="Arial"/>
          <w:szCs w:val="20"/>
          <w:lang w:val="sl-SI"/>
        </w:rPr>
      </w:pPr>
    </w:p>
    <w:p w14:paraId="6416BA6C" w14:textId="77777777" w:rsidR="00442590" w:rsidRPr="004F2C3E" w:rsidRDefault="00442590" w:rsidP="00442590">
      <w:pPr>
        <w:spacing w:line="276" w:lineRule="auto"/>
        <w:jc w:val="both"/>
        <w:rPr>
          <w:rFonts w:cs="Arial"/>
          <w:szCs w:val="20"/>
          <w:lang w:val="sl-SI"/>
        </w:rPr>
      </w:pPr>
    </w:p>
    <w:p w14:paraId="56FAA2B7" w14:textId="77777777" w:rsidR="00442590" w:rsidRPr="004F2C3E" w:rsidRDefault="00442590" w:rsidP="00442590">
      <w:pPr>
        <w:spacing w:line="276" w:lineRule="auto"/>
        <w:jc w:val="both"/>
        <w:rPr>
          <w:rFonts w:cs="Arial"/>
          <w:szCs w:val="20"/>
          <w:lang w:val="sl-SI"/>
        </w:rPr>
      </w:pPr>
    </w:p>
    <w:p w14:paraId="68412C61" w14:textId="77777777" w:rsidR="00442590" w:rsidRPr="004F2C3E" w:rsidRDefault="00442590" w:rsidP="00442590">
      <w:pPr>
        <w:spacing w:line="276" w:lineRule="auto"/>
        <w:jc w:val="both"/>
        <w:rPr>
          <w:rFonts w:cs="Arial"/>
          <w:szCs w:val="20"/>
          <w:lang w:val="sl-SI"/>
        </w:rPr>
      </w:pPr>
    </w:p>
    <w:p w14:paraId="275086A4" w14:textId="77777777" w:rsidR="00442590" w:rsidRPr="004F2C3E" w:rsidRDefault="00442590" w:rsidP="00442590">
      <w:pPr>
        <w:spacing w:line="276" w:lineRule="auto"/>
        <w:jc w:val="both"/>
        <w:rPr>
          <w:rFonts w:cs="Arial"/>
          <w:szCs w:val="20"/>
          <w:lang w:val="sl-SI"/>
        </w:rPr>
      </w:pPr>
    </w:p>
    <w:p w14:paraId="574A0FA7" w14:textId="77777777" w:rsidR="00442590" w:rsidRPr="004F2C3E" w:rsidRDefault="00442590" w:rsidP="00442590">
      <w:pPr>
        <w:spacing w:line="276" w:lineRule="auto"/>
        <w:jc w:val="both"/>
        <w:rPr>
          <w:rFonts w:cs="Arial"/>
          <w:szCs w:val="20"/>
          <w:lang w:val="sl-SI"/>
        </w:rPr>
      </w:pPr>
    </w:p>
    <w:p w14:paraId="4F475DD9" w14:textId="77777777" w:rsidR="00442590" w:rsidRPr="004F2C3E" w:rsidRDefault="00442590" w:rsidP="00442590">
      <w:pPr>
        <w:spacing w:line="276" w:lineRule="auto"/>
        <w:jc w:val="both"/>
        <w:rPr>
          <w:rFonts w:cs="Arial"/>
          <w:szCs w:val="20"/>
          <w:lang w:val="sl-SI"/>
        </w:rPr>
      </w:pPr>
    </w:p>
    <w:p w14:paraId="7FE8220C" w14:textId="77777777" w:rsidR="00442590" w:rsidRPr="004F2C3E" w:rsidRDefault="00442590" w:rsidP="00442590">
      <w:pPr>
        <w:spacing w:line="276" w:lineRule="auto"/>
        <w:jc w:val="both"/>
        <w:rPr>
          <w:rFonts w:cs="Arial"/>
          <w:szCs w:val="20"/>
          <w:lang w:val="sl-SI"/>
        </w:rPr>
      </w:pPr>
    </w:p>
    <w:p w14:paraId="076F2CDC" w14:textId="77777777" w:rsidR="00442590" w:rsidRPr="004F2C3E" w:rsidRDefault="00442590" w:rsidP="00442590">
      <w:pPr>
        <w:spacing w:line="276" w:lineRule="auto"/>
        <w:jc w:val="both"/>
        <w:rPr>
          <w:rFonts w:cs="Arial"/>
          <w:szCs w:val="20"/>
          <w:lang w:val="sl-SI"/>
        </w:rPr>
      </w:pPr>
    </w:p>
    <w:p w14:paraId="4F18A932" w14:textId="77777777" w:rsidR="00442590" w:rsidRPr="004F2C3E" w:rsidRDefault="00442590" w:rsidP="00442590">
      <w:pPr>
        <w:spacing w:line="276" w:lineRule="auto"/>
        <w:jc w:val="both"/>
        <w:rPr>
          <w:rFonts w:cs="Arial"/>
          <w:szCs w:val="20"/>
          <w:lang w:val="sl-SI"/>
        </w:rPr>
      </w:pPr>
    </w:p>
    <w:p w14:paraId="001FC2A0" w14:textId="77777777" w:rsidR="00442590" w:rsidRPr="004F2C3E" w:rsidRDefault="00442590" w:rsidP="00442590">
      <w:pPr>
        <w:spacing w:line="276" w:lineRule="auto"/>
        <w:jc w:val="both"/>
        <w:rPr>
          <w:rFonts w:cs="Arial"/>
          <w:szCs w:val="20"/>
          <w:lang w:val="sl-SI"/>
        </w:rPr>
      </w:pPr>
    </w:p>
    <w:p w14:paraId="5D7A3756" w14:textId="77777777" w:rsidR="00442590" w:rsidRPr="004F2C3E" w:rsidRDefault="00442590" w:rsidP="00442590">
      <w:pPr>
        <w:spacing w:line="276" w:lineRule="auto"/>
        <w:jc w:val="both"/>
        <w:rPr>
          <w:rFonts w:cs="Arial"/>
          <w:szCs w:val="20"/>
          <w:lang w:val="sl-SI"/>
        </w:rPr>
      </w:pPr>
    </w:p>
    <w:p w14:paraId="34A9B576" w14:textId="77777777" w:rsidR="00442590" w:rsidRPr="004F2C3E" w:rsidRDefault="00442590" w:rsidP="00442590">
      <w:pPr>
        <w:spacing w:line="276" w:lineRule="auto"/>
        <w:jc w:val="both"/>
        <w:rPr>
          <w:rFonts w:cs="Arial"/>
          <w:szCs w:val="20"/>
          <w:lang w:val="sl-SI"/>
        </w:rPr>
      </w:pPr>
    </w:p>
    <w:p w14:paraId="6DA34236" w14:textId="77777777" w:rsidR="00442590" w:rsidRPr="004F2C3E" w:rsidRDefault="00442590" w:rsidP="00442590">
      <w:pPr>
        <w:spacing w:line="276" w:lineRule="auto"/>
        <w:jc w:val="both"/>
        <w:rPr>
          <w:rFonts w:cs="Arial"/>
          <w:szCs w:val="20"/>
          <w:lang w:val="sl-SI"/>
        </w:rPr>
      </w:pPr>
    </w:p>
    <w:p w14:paraId="2B30035C" w14:textId="77777777" w:rsidR="00442590" w:rsidRPr="004F2C3E" w:rsidRDefault="00442590" w:rsidP="00442590">
      <w:pPr>
        <w:spacing w:line="276" w:lineRule="auto"/>
        <w:jc w:val="both"/>
        <w:rPr>
          <w:rFonts w:cs="Arial"/>
          <w:szCs w:val="20"/>
          <w:lang w:val="sl-SI"/>
        </w:rPr>
      </w:pPr>
    </w:p>
    <w:p w14:paraId="6BFDB011" w14:textId="77777777" w:rsidR="00442590" w:rsidRPr="004F2C3E" w:rsidRDefault="00442590" w:rsidP="00442590">
      <w:pPr>
        <w:spacing w:line="276" w:lineRule="auto"/>
        <w:jc w:val="both"/>
        <w:rPr>
          <w:rFonts w:cs="Arial"/>
          <w:szCs w:val="20"/>
          <w:lang w:val="sl-SI"/>
        </w:rPr>
      </w:pPr>
    </w:p>
    <w:p w14:paraId="7E587F99" w14:textId="77777777" w:rsidR="00442590" w:rsidRPr="004F2C3E" w:rsidRDefault="00442590" w:rsidP="00442590">
      <w:pPr>
        <w:spacing w:line="276" w:lineRule="auto"/>
        <w:jc w:val="both"/>
        <w:rPr>
          <w:rFonts w:cs="Arial"/>
          <w:szCs w:val="20"/>
          <w:lang w:val="sl-SI"/>
        </w:rPr>
      </w:pPr>
    </w:p>
    <w:p w14:paraId="24240180" w14:textId="77777777" w:rsidR="00442590" w:rsidRPr="004F2C3E" w:rsidRDefault="00442590" w:rsidP="00442590">
      <w:pPr>
        <w:spacing w:line="276" w:lineRule="auto"/>
        <w:jc w:val="both"/>
        <w:rPr>
          <w:rFonts w:cs="Arial"/>
          <w:szCs w:val="20"/>
          <w:lang w:val="sl-SI"/>
        </w:rPr>
      </w:pPr>
    </w:p>
    <w:p w14:paraId="145A5B27" w14:textId="77777777" w:rsidR="00442590" w:rsidRPr="004F2C3E" w:rsidRDefault="00442590" w:rsidP="00442590">
      <w:pPr>
        <w:spacing w:line="276" w:lineRule="auto"/>
        <w:jc w:val="both"/>
        <w:rPr>
          <w:rFonts w:cs="Arial"/>
          <w:szCs w:val="20"/>
          <w:lang w:val="sl-SI"/>
        </w:rPr>
      </w:pPr>
    </w:p>
    <w:p w14:paraId="69679DDD" w14:textId="77777777" w:rsidR="00442590" w:rsidRPr="004F2C3E" w:rsidRDefault="00442590" w:rsidP="00442590">
      <w:pPr>
        <w:spacing w:line="276" w:lineRule="auto"/>
        <w:jc w:val="both"/>
        <w:rPr>
          <w:rFonts w:cs="Arial"/>
          <w:szCs w:val="20"/>
          <w:lang w:val="sl-SI"/>
        </w:rPr>
      </w:pPr>
    </w:p>
    <w:p w14:paraId="4720180D" w14:textId="77777777" w:rsidR="00442590" w:rsidRPr="004F2C3E" w:rsidRDefault="00442590" w:rsidP="00442590">
      <w:pPr>
        <w:spacing w:line="276" w:lineRule="auto"/>
        <w:jc w:val="both"/>
        <w:rPr>
          <w:rFonts w:cs="Arial"/>
          <w:szCs w:val="20"/>
          <w:lang w:val="sl-SI"/>
        </w:rPr>
      </w:pPr>
    </w:p>
    <w:p w14:paraId="354792B9" w14:textId="77777777" w:rsidR="00442590" w:rsidRPr="004F2C3E" w:rsidRDefault="00442590" w:rsidP="00442590">
      <w:pPr>
        <w:spacing w:line="276" w:lineRule="auto"/>
        <w:jc w:val="both"/>
        <w:rPr>
          <w:rFonts w:cs="Arial"/>
          <w:szCs w:val="20"/>
          <w:lang w:val="sl-SI"/>
        </w:rPr>
      </w:pPr>
    </w:p>
    <w:p w14:paraId="15D4A18B" w14:textId="77777777" w:rsidR="00442590" w:rsidRPr="004F2C3E" w:rsidRDefault="00442590" w:rsidP="00442590">
      <w:pPr>
        <w:spacing w:line="276" w:lineRule="auto"/>
        <w:jc w:val="both"/>
        <w:rPr>
          <w:rFonts w:cs="Arial"/>
          <w:szCs w:val="20"/>
          <w:lang w:val="sl-SI"/>
        </w:rPr>
      </w:pPr>
    </w:p>
    <w:p w14:paraId="19461F46" w14:textId="77777777" w:rsidR="00442590" w:rsidRPr="004F2C3E" w:rsidRDefault="00442590" w:rsidP="00442590">
      <w:pPr>
        <w:spacing w:line="276" w:lineRule="auto"/>
        <w:jc w:val="both"/>
        <w:rPr>
          <w:rFonts w:cs="Arial"/>
          <w:szCs w:val="20"/>
          <w:lang w:val="sl-SI"/>
        </w:rPr>
      </w:pPr>
    </w:p>
    <w:p w14:paraId="322A88BD" w14:textId="77777777" w:rsidR="00442590" w:rsidRPr="004F2C3E" w:rsidRDefault="00442590" w:rsidP="00442590">
      <w:pPr>
        <w:spacing w:line="276" w:lineRule="auto"/>
        <w:jc w:val="both"/>
        <w:rPr>
          <w:rFonts w:cs="Arial"/>
          <w:szCs w:val="20"/>
          <w:lang w:val="sl-SI"/>
        </w:rPr>
      </w:pPr>
    </w:p>
    <w:p w14:paraId="24CC7901" w14:textId="77777777" w:rsidR="00442590" w:rsidRPr="004F2C3E" w:rsidRDefault="00442590" w:rsidP="00442590">
      <w:pPr>
        <w:spacing w:line="276" w:lineRule="auto"/>
        <w:jc w:val="both"/>
        <w:rPr>
          <w:rFonts w:cs="Arial"/>
          <w:szCs w:val="20"/>
          <w:lang w:val="sl-SI"/>
        </w:rPr>
      </w:pPr>
    </w:p>
    <w:p w14:paraId="534AD3A2" w14:textId="77777777" w:rsidR="00442590" w:rsidRPr="004F2C3E" w:rsidRDefault="00442590" w:rsidP="00442590">
      <w:pPr>
        <w:spacing w:line="276" w:lineRule="auto"/>
        <w:jc w:val="both"/>
        <w:rPr>
          <w:rFonts w:cs="Arial"/>
          <w:szCs w:val="20"/>
          <w:lang w:val="sl-SI"/>
        </w:rPr>
      </w:pPr>
    </w:p>
    <w:p w14:paraId="78A5D77F" w14:textId="77777777" w:rsidR="00442590" w:rsidRPr="004F2C3E" w:rsidRDefault="00442590" w:rsidP="00442590">
      <w:pPr>
        <w:spacing w:line="276" w:lineRule="auto"/>
        <w:rPr>
          <w:rFonts w:cs="Arial"/>
          <w:szCs w:val="20"/>
          <w:lang w:val="sl-SI"/>
        </w:rPr>
      </w:pPr>
    </w:p>
    <w:p w14:paraId="4B68AE72" w14:textId="77777777" w:rsidR="00442590" w:rsidRDefault="00442590" w:rsidP="00442590">
      <w:pPr>
        <w:spacing w:line="276" w:lineRule="auto"/>
        <w:rPr>
          <w:rFonts w:cs="Arial"/>
          <w:szCs w:val="20"/>
          <w:lang w:val="sl-SI"/>
        </w:rPr>
      </w:pPr>
    </w:p>
    <w:p w14:paraId="57FF6417" w14:textId="77777777" w:rsidR="001C1C58" w:rsidRPr="004F2C3E" w:rsidRDefault="001C1C58" w:rsidP="00442590">
      <w:pPr>
        <w:spacing w:line="276" w:lineRule="auto"/>
        <w:rPr>
          <w:rFonts w:eastAsia="Calibri" w:cs="Arial"/>
          <w:szCs w:val="20"/>
          <w:lang w:val="sl-SI"/>
        </w:rPr>
      </w:pPr>
    </w:p>
    <w:p w14:paraId="503864B6" w14:textId="77777777" w:rsidR="00442590" w:rsidRPr="004F2C3E" w:rsidRDefault="00442590" w:rsidP="00442590">
      <w:pPr>
        <w:spacing w:line="276" w:lineRule="auto"/>
        <w:rPr>
          <w:rFonts w:eastAsia="Calibri" w:cs="Arial"/>
          <w:szCs w:val="20"/>
          <w:lang w:val="sl-SI"/>
        </w:rPr>
      </w:pPr>
      <w:r w:rsidRPr="004F2C3E">
        <w:rPr>
          <w:rFonts w:eastAsia="Calibri" w:cs="Arial"/>
          <w:szCs w:val="20"/>
          <w:lang w:val="sl-SI"/>
        </w:rPr>
        <w:lastRenderedPageBreak/>
        <w:t>Seja se je zaključila ob 11:30</w:t>
      </w:r>
    </w:p>
    <w:p w14:paraId="1E7C79F4" w14:textId="77777777" w:rsidR="00442590" w:rsidRPr="004F2C3E" w:rsidRDefault="00442590" w:rsidP="00442590">
      <w:pPr>
        <w:spacing w:line="276" w:lineRule="auto"/>
        <w:rPr>
          <w:rFonts w:eastAsia="Calibri" w:cs="Arial"/>
          <w:szCs w:val="20"/>
          <w:lang w:val="sl-SI"/>
        </w:rPr>
      </w:pPr>
    </w:p>
    <w:p w14:paraId="285F4555" w14:textId="77777777" w:rsidR="00442590" w:rsidRPr="004F2C3E" w:rsidRDefault="00442590" w:rsidP="00442590">
      <w:pPr>
        <w:spacing w:line="276" w:lineRule="auto"/>
        <w:rPr>
          <w:rFonts w:eastAsia="Calibri" w:cs="Arial"/>
          <w:b/>
          <w:bCs/>
          <w:szCs w:val="20"/>
          <w:lang w:val="sl-SI"/>
        </w:rPr>
      </w:pPr>
      <w:r w:rsidRPr="004F2C3E">
        <w:rPr>
          <w:rFonts w:eastAsia="Calibri" w:cs="Arial"/>
          <w:b/>
          <w:bCs/>
          <w:szCs w:val="20"/>
          <w:lang w:val="sl-SI"/>
        </w:rPr>
        <w:t>Zapisal:</w:t>
      </w:r>
    </w:p>
    <w:p w14:paraId="69F3907D" w14:textId="77777777" w:rsidR="00442590" w:rsidRPr="004F2C3E" w:rsidRDefault="00442590" w:rsidP="00442590">
      <w:pPr>
        <w:spacing w:line="276" w:lineRule="auto"/>
        <w:rPr>
          <w:rFonts w:eastAsia="Calibri" w:cs="Arial"/>
          <w:szCs w:val="20"/>
          <w:lang w:val="sl-SI"/>
        </w:rPr>
      </w:pPr>
      <w:r w:rsidRPr="004F2C3E">
        <w:rPr>
          <w:rFonts w:eastAsia="Calibri" w:cs="Arial"/>
          <w:szCs w:val="20"/>
          <w:lang w:val="sl-SI"/>
        </w:rPr>
        <w:t>Alekzander I. Blatnik, študent</w:t>
      </w:r>
    </w:p>
    <w:p w14:paraId="3FFAF79B" w14:textId="77777777" w:rsidR="00442590" w:rsidRPr="004F2C3E" w:rsidRDefault="00442590" w:rsidP="00442590">
      <w:pPr>
        <w:spacing w:line="276" w:lineRule="auto"/>
        <w:rPr>
          <w:rFonts w:eastAsia="Calibri" w:cs="Arial"/>
          <w:szCs w:val="20"/>
          <w:lang w:val="sl-SI"/>
        </w:rPr>
      </w:pPr>
    </w:p>
    <w:p w14:paraId="19F9DA3D" w14:textId="77777777" w:rsidR="00442590" w:rsidRPr="004F2C3E" w:rsidRDefault="00442590" w:rsidP="00442590">
      <w:pPr>
        <w:spacing w:line="276" w:lineRule="auto"/>
        <w:rPr>
          <w:rFonts w:eastAsia="Calibri" w:cs="Arial"/>
          <w:szCs w:val="20"/>
          <w:lang w:val="sl-SI"/>
        </w:rPr>
      </w:pPr>
    </w:p>
    <w:p w14:paraId="21362357" w14:textId="77777777" w:rsidR="00442590" w:rsidRPr="004F2C3E" w:rsidRDefault="00442590" w:rsidP="00442590">
      <w:pPr>
        <w:tabs>
          <w:tab w:val="left" w:pos="3402"/>
        </w:tabs>
        <w:spacing w:line="276" w:lineRule="auto"/>
        <w:rPr>
          <w:rFonts w:eastAsia="Calibri" w:cs="Arial"/>
          <w:b/>
          <w:bCs/>
          <w:szCs w:val="20"/>
          <w:lang w:val="sl-SI"/>
        </w:rPr>
      </w:pPr>
      <w:r w:rsidRPr="004F2C3E">
        <w:rPr>
          <w:rFonts w:eastAsia="Calibri" w:cs="Arial"/>
          <w:b/>
          <w:bCs/>
          <w:szCs w:val="20"/>
          <w:lang w:val="sl-SI"/>
        </w:rPr>
        <w:t>Podpis:</w:t>
      </w:r>
    </w:p>
    <w:p w14:paraId="34F67787" w14:textId="77777777" w:rsidR="00442590" w:rsidRPr="004F2C3E" w:rsidRDefault="00442590" w:rsidP="00442590">
      <w:pPr>
        <w:tabs>
          <w:tab w:val="left" w:pos="3402"/>
        </w:tabs>
        <w:spacing w:line="276" w:lineRule="auto"/>
        <w:rPr>
          <w:rFonts w:eastAsia="Calibri" w:cs="Arial"/>
          <w:szCs w:val="20"/>
          <w:lang w:val="sl-SI"/>
        </w:rPr>
      </w:pPr>
      <w:r w:rsidRPr="004F2C3E">
        <w:rPr>
          <w:rFonts w:eastAsia="Calibri" w:cs="Arial"/>
          <w:szCs w:val="20"/>
          <w:lang w:val="sl-SI"/>
        </w:rPr>
        <w:t xml:space="preserve">Uroš Veber, </w:t>
      </w:r>
    </w:p>
    <w:p w14:paraId="6E545559" w14:textId="77777777" w:rsidR="00442590" w:rsidRPr="004F2C3E" w:rsidRDefault="00442590" w:rsidP="00442590">
      <w:pPr>
        <w:tabs>
          <w:tab w:val="left" w:pos="3402"/>
        </w:tabs>
        <w:spacing w:line="276" w:lineRule="auto"/>
        <w:rPr>
          <w:rFonts w:eastAsia="Calibri" w:cs="Arial"/>
          <w:szCs w:val="20"/>
          <w:lang w:val="sl-SI"/>
        </w:rPr>
      </w:pPr>
      <w:r w:rsidRPr="004F2C3E">
        <w:rPr>
          <w:rFonts w:eastAsia="Calibri" w:cs="Arial"/>
          <w:szCs w:val="20"/>
          <w:lang w:val="sl-SI"/>
        </w:rPr>
        <w:t>predsednik Delovne skupine za trajni dialog z nevladnimi organizacijami v kulturi</w:t>
      </w:r>
    </w:p>
    <w:p w14:paraId="345B3955" w14:textId="77777777" w:rsidR="00442590" w:rsidRPr="004F2C3E" w:rsidRDefault="00442590" w:rsidP="00442590">
      <w:pPr>
        <w:tabs>
          <w:tab w:val="left" w:pos="3402"/>
        </w:tabs>
        <w:spacing w:line="276" w:lineRule="auto"/>
        <w:rPr>
          <w:rFonts w:eastAsia="Calibri" w:cs="Arial"/>
          <w:szCs w:val="20"/>
          <w:lang w:val="sl-SI"/>
        </w:rPr>
      </w:pPr>
    </w:p>
    <w:p w14:paraId="2AB3516A" w14:textId="77777777" w:rsidR="00442590" w:rsidRPr="004F2C3E" w:rsidRDefault="00442590" w:rsidP="00442590">
      <w:pPr>
        <w:tabs>
          <w:tab w:val="left" w:pos="3402"/>
        </w:tabs>
        <w:spacing w:line="276" w:lineRule="auto"/>
        <w:rPr>
          <w:rFonts w:eastAsia="Calibri" w:cs="Arial"/>
          <w:szCs w:val="20"/>
          <w:lang w:val="sl-SI"/>
        </w:rPr>
      </w:pPr>
    </w:p>
    <w:p w14:paraId="3C4719B0" w14:textId="77777777" w:rsidR="00442590" w:rsidRPr="004F2C3E" w:rsidRDefault="00442590" w:rsidP="00442590">
      <w:pPr>
        <w:tabs>
          <w:tab w:val="left" w:pos="3402"/>
        </w:tabs>
        <w:spacing w:line="276" w:lineRule="auto"/>
        <w:rPr>
          <w:rFonts w:eastAsia="Calibri" w:cs="Arial"/>
          <w:b/>
          <w:bCs/>
          <w:szCs w:val="20"/>
          <w:lang w:val="sl-SI"/>
        </w:rPr>
      </w:pPr>
      <w:r w:rsidRPr="004F2C3E">
        <w:rPr>
          <w:rFonts w:eastAsia="Calibri" w:cs="Arial"/>
          <w:b/>
          <w:bCs/>
          <w:szCs w:val="20"/>
          <w:lang w:val="sl-SI"/>
        </w:rPr>
        <w:t>Podpis:</w:t>
      </w:r>
    </w:p>
    <w:p w14:paraId="0EB14809" w14:textId="77777777" w:rsidR="00442590" w:rsidRPr="004F2C3E" w:rsidRDefault="00442590" w:rsidP="00442590">
      <w:pPr>
        <w:tabs>
          <w:tab w:val="left" w:pos="3402"/>
        </w:tabs>
        <w:spacing w:line="276" w:lineRule="auto"/>
        <w:rPr>
          <w:rFonts w:eastAsia="Calibri" w:cs="Arial"/>
          <w:szCs w:val="20"/>
          <w:lang w:val="sl-SI"/>
        </w:rPr>
      </w:pPr>
      <w:r w:rsidRPr="004F2C3E">
        <w:rPr>
          <w:rFonts w:eastAsia="Calibri" w:cs="Arial"/>
          <w:szCs w:val="20"/>
          <w:lang w:val="sl-SI"/>
        </w:rPr>
        <w:t xml:space="preserve">Tjaša Pureber, </w:t>
      </w:r>
    </w:p>
    <w:p w14:paraId="4225459B" w14:textId="77777777" w:rsidR="00442590" w:rsidRPr="004F2C3E" w:rsidRDefault="00442590" w:rsidP="00442590">
      <w:pPr>
        <w:tabs>
          <w:tab w:val="left" w:pos="3402"/>
        </w:tabs>
        <w:spacing w:line="276" w:lineRule="auto"/>
        <w:rPr>
          <w:rFonts w:eastAsia="Calibri" w:cs="Arial"/>
          <w:szCs w:val="20"/>
          <w:lang w:val="sl-SI"/>
        </w:rPr>
      </w:pPr>
      <w:r w:rsidRPr="004F2C3E">
        <w:rPr>
          <w:rFonts w:eastAsia="Calibri" w:cs="Arial"/>
          <w:szCs w:val="20"/>
          <w:lang w:val="sl-SI"/>
        </w:rPr>
        <w:t>generalna direktorica Direktorata za razvoj kulturnih politik</w:t>
      </w:r>
    </w:p>
    <w:p w14:paraId="2AEC17F6" w14:textId="77777777" w:rsidR="00442590" w:rsidRPr="004F2C3E" w:rsidRDefault="00442590" w:rsidP="00442590">
      <w:pPr>
        <w:tabs>
          <w:tab w:val="left" w:pos="3402"/>
        </w:tabs>
        <w:spacing w:line="276" w:lineRule="auto"/>
        <w:rPr>
          <w:rFonts w:cs="Arial"/>
          <w:szCs w:val="20"/>
          <w:lang w:val="sl-SI"/>
        </w:rPr>
      </w:pPr>
    </w:p>
    <w:p w14:paraId="3E600B3D" w14:textId="77777777" w:rsidR="00442590" w:rsidRPr="004F2C3E" w:rsidRDefault="00442590" w:rsidP="00442590">
      <w:pPr>
        <w:spacing w:line="276" w:lineRule="auto"/>
        <w:rPr>
          <w:rFonts w:eastAsia="Calibri" w:cs="Arial"/>
          <w:b/>
          <w:bCs/>
          <w:szCs w:val="20"/>
          <w:lang w:val="sl-SI"/>
        </w:rPr>
      </w:pPr>
    </w:p>
    <w:p w14:paraId="059BF8F5" w14:textId="77777777" w:rsidR="00442590" w:rsidRPr="004F2C3E" w:rsidRDefault="00442590" w:rsidP="00442590">
      <w:pPr>
        <w:spacing w:line="276" w:lineRule="auto"/>
        <w:rPr>
          <w:rFonts w:eastAsia="Calibri" w:cs="Arial"/>
          <w:b/>
          <w:bCs/>
          <w:szCs w:val="20"/>
          <w:lang w:val="sl-SI"/>
        </w:rPr>
      </w:pPr>
    </w:p>
    <w:p w14:paraId="4BAA81A8" w14:textId="77777777" w:rsidR="00442590" w:rsidRPr="004F2C3E" w:rsidRDefault="00442590" w:rsidP="00442590">
      <w:pPr>
        <w:spacing w:line="276" w:lineRule="auto"/>
        <w:rPr>
          <w:rFonts w:eastAsia="Calibri" w:cs="Arial"/>
          <w:b/>
          <w:bCs/>
          <w:szCs w:val="20"/>
          <w:lang w:val="sl-SI"/>
        </w:rPr>
      </w:pPr>
      <w:r w:rsidRPr="004F2C3E">
        <w:rPr>
          <w:rFonts w:eastAsia="Calibri" w:cs="Arial"/>
          <w:b/>
          <w:bCs/>
          <w:szCs w:val="20"/>
          <w:lang w:val="sl-SI"/>
        </w:rPr>
        <w:t>Priloga:</w:t>
      </w:r>
    </w:p>
    <w:p w14:paraId="673CDBC7" w14:textId="77777777" w:rsidR="00442590" w:rsidRPr="004F2C3E" w:rsidRDefault="00442590" w:rsidP="00442590">
      <w:pPr>
        <w:spacing w:line="276" w:lineRule="auto"/>
        <w:rPr>
          <w:rFonts w:eastAsia="Calibri" w:cs="Arial"/>
          <w:b/>
          <w:bCs/>
          <w:szCs w:val="20"/>
          <w:lang w:val="sl-SI"/>
        </w:rPr>
      </w:pPr>
    </w:p>
    <w:p w14:paraId="24C841A7" w14:textId="77777777" w:rsidR="00442590" w:rsidRPr="004F2C3E" w:rsidRDefault="00442590" w:rsidP="00442590">
      <w:pPr>
        <w:numPr>
          <w:ilvl w:val="0"/>
          <w:numId w:val="6"/>
        </w:numPr>
        <w:spacing w:after="200" w:line="276" w:lineRule="auto"/>
        <w:rPr>
          <w:rFonts w:eastAsia="Calibri" w:cs="Arial"/>
          <w:szCs w:val="20"/>
          <w:lang w:val="sl-SI"/>
        </w:rPr>
      </w:pPr>
      <w:r w:rsidRPr="004F2C3E">
        <w:rPr>
          <w:rFonts w:eastAsia="Calibri" w:cs="Arial"/>
          <w:szCs w:val="20"/>
          <w:lang w:val="sl-SI"/>
        </w:rPr>
        <w:t>Lista prisotnosti</w:t>
      </w:r>
    </w:p>
    <w:p w14:paraId="318B6DC6" w14:textId="77777777" w:rsidR="00442590" w:rsidRPr="004F2C3E" w:rsidRDefault="00442590" w:rsidP="00442590">
      <w:pPr>
        <w:spacing w:line="276" w:lineRule="auto"/>
        <w:rPr>
          <w:rFonts w:eastAsia="Calibri" w:cs="Arial"/>
          <w:szCs w:val="20"/>
          <w:lang w:val="sl-SI"/>
        </w:rPr>
      </w:pPr>
    </w:p>
    <w:p w14:paraId="4CFF110E" w14:textId="77777777" w:rsidR="00442590" w:rsidRPr="004F2C3E" w:rsidRDefault="00442590" w:rsidP="00442590">
      <w:pPr>
        <w:spacing w:line="276" w:lineRule="auto"/>
        <w:rPr>
          <w:rFonts w:eastAsia="Calibri" w:cs="Arial"/>
          <w:b/>
          <w:bCs/>
          <w:szCs w:val="20"/>
          <w:lang w:val="sl-SI"/>
        </w:rPr>
      </w:pPr>
      <w:r w:rsidRPr="004F2C3E">
        <w:rPr>
          <w:rFonts w:eastAsia="Calibri" w:cs="Arial"/>
          <w:b/>
          <w:bCs/>
          <w:szCs w:val="20"/>
          <w:lang w:val="sl-SI"/>
        </w:rPr>
        <w:t>Poslano (po e-pošti):</w:t>
      </w:r>
    </w:p>
    <w:p w14:paraId="703E34E7" w14:textId="77777777" w:rsidR="00442590" w:rsidRPr="004F2C3E" w:rsidRDefault="00442590" w:rsidP="00442590">
      <w:pPr>
        <w:spacing w:line="276" w:lineRule="auto"/>
        <w:rPr>
          <w:rFonts w:eastAsia="Calibri" w:cs="Arial"/>
          <w:b/>
          <w:bCs/>
          <w:szCs w:val="20"/>
          <w:lang w:val="sl-SI"/>
        </w:rPr>
      </w:pPr>
    </w:p>
    <w:p w14:paraId="1D807490" w14:textId="77777777" w:rsidR="00442590" w:rsidRDefault="00442590" w:rsidP="00442590">
      <w:pPr>
        <w:numPr>
          <w:ilvl w:val="0"/>
          <w:numId w:val="6"/>
        </w:numPr>
        <w:spacing w:after="200" w:line="276" w:lineRule="auto"/>
        <w:rPr>
          <w:rFonts w:eastAsia="Calibri" w:cs="Arial"/>
          <w:szCs w:val="20"/>
          <w:lang w:val="sl-SI"/>
        </w:rPr>
      </w:pPr>
      <w:r w:rsidRPr="004F2C3E">
        <w:rPr>
          <w:rFonts w:eastAsia="Calibri" w:cs="Arial"/>
          <w:szCs w:val="20"/>
          <w:lang w:val="sl-SI"/>
        </w:rPr>
        <w:t>članom in članicam delovne skupine</w:t>
      </w:r>
    </w:p>
    <w:p w14:paraId="6404687D" w14:textId="77777777" w:rsidR="00442590" w:rsidRPr="004F2C3E" w:rsidRDefault="00442590" w:rsidP="00442590">
      <w:pPr>
        <w:numPr>
          <w:ilvl w:val="0"/>
          <w:numId w:val="6"/>
        </w:numPr>
        <w:spacing w:after="200" w:line="276" w:lineRule="auto"/>
        <w:rPr>
          <w:rFonts w:eastAsia="Calibri" w:cs="Arial"/>
          <w:szCs w:val="20"/>
          <w:lang w:val="sl-SI"/>
        </w:rPr>
      </w:pPr>
      <w:r w:rsidRPr="004F2C3E">
        <w:rPr>
          <w:rFonts w:eastAsia="Calibri" w:cs="Arial"/>
          <w:szCs w:val="20"/>
          <w:lang w:val="sl-SI"/>
        </w:rPr>
        <w:t>ostalim udeležencem seje delovne skupine</w:t>
      </w:r>
    </w:p>
    <w:p w14:paraId="18297BBF" w14:textId="77777777" w:rsidR="00442590" w:rsidRPr="004F2C3E" w:rsidRDefault="00442590" w:rsidP="00442590">
      <w:pPr>
        <w:spacing w:line="240" w:lineRule="auto"/>
        <w:rPr>
          <w:rFonts w:cs="Arial"/>
          <w:szCs w:val="20"/>
          <w:lang w:val="sl-SI"/>
        </w:rPr>
      </w:pPr>
    </w:p>
    <w:p w14:paraId="0A7D1D4A" w14:textId="77777777" w:rsidR="00442590" w:rsidRPr="004F2C3E" w:rsidRDefault="00442590" w:rsidP="00442590">
      <w:pPr>
        <w:spacing w:line="240" w:lineRule="auto"/>
        <w:rPr>
          <w:rFonts w:cs="Arial"/>
          <w:szCs w:val="20"/>
          <w:lang w:val="sl-SI"/>
        </w:rPr>
      </w:pPr>
    </w:p>
    <w:p w14:paraId="7CD95D9F" w14:textId="77777777" w:rsidR="00442590" w:rsidRPr="004F2C3E" w:rsidRDefault="00442590" w:rsidP="00442590">
      <w:pPr>
        <w:spacing w:line="240" w:lineRule="auto"/>
        <w:rPr>
          <w:rFonts w:cs="Arial"/>
          <w:szCs w:val="20"/>
          <w:lang w:val="sl-SI"/>
        </w:rPr>
      </w:pPr>
    </w:p>
    <w:p w14:paraId="30EB25B4" w14:textId="77777777" w:rsidR="00093F1D" w:rsidRDefault="00093F1D" w:rsidP="008E0D92">
      <w:pPr>
        <w:pStyle w:val="datumtevilka"/>
        <w:rPr>
          <w:b/>
          <w:bCs/>
        </w:rPr>
      </w:pPr>
    </w:p>
    <w:sectPr w:rsidR="00093F1D"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6E49" w14:textId="77777777" w:rsidR="00FA00F4" w:rsidRDefault="00FA00F4">
      <w:pPr>
        <w:spacing w:line="240" w:lineRule="auto"/>
      </w:pPr>
      <w:r>
        <w:separator/>
      </w:r>
    </w:p>
  </w:endnote>
  <w:endnote w:type="continuationSeparator" w:id="0">
    <w:p w14:paraId="09432970" w14:textId="77777777" w:rsidR="00FA00F4" w:rsidRDefault="00FA00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33D5"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3643DF50"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64DAC1EC"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AF4C" w14:textId="77777777" w:rsidR="00FA00F4" w:rsidRDefault="00FA00F4">
      <w:pPr>
        <w:spacing w:line="240" w:lineRule="auto"/>
      </w:pPr>
      <w:r>
        <w:separator/>
      </w:r>
    </w:p>
  </w:footnote>
  <w:footnote w:type="continuationSeparator" w:id="0">
    <w:p w14:paraId="61F413A5" w14:textId="77777777" w:rsidR="00FA00F4" w:rsidRDefault="00FA00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BE83"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7C44"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16B0B43B" wp14:editId="13FEEF36">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B4D"/>
    <w:multiLevelType w:val="hybridMultilevel"/>
    <w:tmpl w:val="7D967D96"/>
    <w:lvl w:ilvl="0" w:tplc="A0C65E08">
      <w:start w:val="1"/>
      <w:numFmt w:val="decimal"/>
      <w:lvlText w:val="%1."/>
      <w:lvlJc w:val="left"/>
      <w:pPr>
        <w:ind w:left="720" w:hanging="360"/>
      </w:pPr>
    </w:lvl>
    <w:lvl w:ilvl="1" w:tplc="D7D45B74" w:tentative="1">
      <w:start w:val="1"/>
      <w:numFmt w:val="lowerLetter"/>
      <w:lvlText w:val="%2."/>
      <w:lvlJc w:val="left"/>
      <w:pPr>
        <w:ind w:left="1440" w:hanging="360"/>
      </w:pPr>
    </w:lvl>
    <w:lvl w:ilvl="2" w:tplc="EE40CDFE" w:tentative="1">
      <w:start w:val="1"/>
      <w:numFmt w:val="lowerRoman"/>
      <w:lvlText w:val="%3."/>
      <w:lvlJc w:val="right"/>
      <w:pPr>
        <w:ind w:left="2160" w:hanging="180"/>
      </w:pPr>
    </w:lvl>
    <w:lvl w:ilvl="3" w:tplc="2C82E86E" w:tentative="1">
      <w:start w:val="1"/>
      <w:numFmt w:val="decimal"/>
      <w:lvlText w:val="%4."/>
      <w:lvlJc w:val="left"/>
      <w:pPr>
        <w:ind w:left="2880" w:hanging="360"/>
      </w:pPr>
    </w:lvl>
    <w:lvl w:ilvl="4" w:tplc="885811C6" w:tentative="1">
      <w:start w:val="1"/>
      <w:numFmt w:val="lowerLetter"/>
      <w:lvlText w:val="%5."/>
      <w:lvlJc w:val="left"/>
      <w:pPr>
        <w:ind w:left="3600" w:hanging="360"/>
      </w:pPr>
    </w:lvl>
    <w:lvl w:ilvl="5" w:tplc="5CC67F04" w:tentative="1">
      <w:start w:val="1"/>
      <w:numFmt w:val="lowerRoman"/>
      <w:lvlText w:val="%6."/>
      <w:lvlJc w:val="right"/>
      <w:pPr>
        <w:ind w:left="4320" w:hanging="180"/>
      </w:pPr>
    </w:lvl>
    <w:lvl w:ilvl="6" w:tplc="3FC4BC36" w:tentative="1">
      <w:start w:val="1"/>
      <w:numFmt w:val="decimal"/>
      <w:lvlText w:val="%7."/>
      <w:lvlJc w:val="left"/>
      <w:pPr>
        <w:ind w:left="5040" w:hanging="360"/>
      </w:pPr>
    </w:lvl>
    <w:lvl w:ilvl="7" w:tplc="1C044E70" w:tentative="1">
      <w:start w:val="1"/>
      <w:numFmt w:val="lowerLetter"/>
      <w:lvlText w:val="%8."/>
      <w:lvlJc w:val="left"/>
      <w:pPr>
        <w:ind w:left="5760" w:hanging="360"/>
      </w:pPr>
    </w:lvl>
    <w:lvl w:ilvl="8" w:tplc="9F760F70"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F6443D6C">
      <w:start w:val="1"/>
      <w:numFmt w:val="decimal"/>
      <w:lvlText w:val="%1."/>
      <w:lvlJc w:val="left"/>
      <w:pPr>
        <w:tabs>
          <w:tab w:val="num" w:pos="1080"/>
        </w:tabs>
        <w:ind w:left="1080" w:hanging="360"/>
      </w:pPr>
      <w:rPr>
        <w:rFonts w:hint="default"/>
      </w:rPr>
    </w:lvl>
    <w:lvl w:ilvl="1" w:tplc="CF56B682" w:tentative="1">
      <w:start w:val="1"/>
      <w:numFmt w:val="lowerLetter"/>
      <w:lvlText w:val="%2."/>
      <w:lvlJc w:val="left"/>
      <w:pPr>
        <w:ind w:left="1800" w:hanging="360"/>
      </w:pPr>
    </w:lvl>
    <w:lvl w:ilvl="2" w:tplc="17B6287A" w:tentative="1">
      <w:start w:val="1"/>
      <w:numFmt w:val="lowerRoman"/>
      <w:lvlText w:val="%3."/>
      <w:lvlJc w:val="right"/>
      <w:pPr>
        <w:ind w:left="2520" w:hanging="180"/>
      </w:pPr>
    </w:lvl>
    <w:lvl w:ilvl="3" w:tplc="14DEEBAA" w:tentative="1">
      <w:start w:val="1"/>
      <w:numFmt w:val="decimal"/>
      <w:lvlText w:val="%4."/>
      <w:lvlJc w:val="left"/>
      <w:pPr>
        <w:ind w:left="3240" w:hanging="360"/>
      </w:pPr>
    </w:lvl>
    <w:lvl w:ilvl="4" w:tplc="941EC52E" w:tentative="1">
      <w:start w:val="1"/>
      <w:numFmt w:val="lowerLetter"/>
      <w:lvlText w:val="%5."/>
      <w:lvlJc w:val="left"/>
      <w:pPr>
        <w:ind w:left="3960" w:hanging="360"/>
      </w:pPr>
    </w:lvl>
    <w:lvl w:ilvl="5" w:tplc="ECCE54EC" w:tentative="1">
      <w:start w:val="1"/>
      <w:numFmt w:val="lowerRoman"/>
      <w:lvlText w:val="%6."/>
      <w:lvlJc w:val="right"/>
      <w:pPr>
        <w:ind w:left="4680" w:hanging="180"/>
      </w:pPr>
    </w:lvl>
    <w:lvl w:ilvl="6" w:tplc="3B6AA24C" w:tentative="1">
      <w:start w:val="1"/>
      <w:numFmt w:val="decimal"/>
      <w:lvlText w:val="%7."/>
      <w:lvlJc w:val="left"/>
      <w:pPr>
        <w:ind w:left="5400" w:hanging="360"/>
      </w:pPr>
    </w:lvl>
    <w:lvl w:ilvl="7" w:tplc="B35E9110" w:tentative="1">
      <w:start w:val="1"/>
      <w:numFmt w:val="lowerLetter"/>
      <w:lvlText w:val="%8."/>
      <w:lvlJc w:val="left"/>
      <w:pPr>
        <w:ind w:left="6120" w:hanging="360"/>
      </w:pPr>
    </w:lvl>
    <w:lvl w:ilvl="8" w:tplc="C0C6FF5A"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D5BE84AC">
      <w:start w:val="1"/>
      <w:numFmt w:val="decimal"/>
      <w:lvlText w:val="%1."/>
      <w:lvlJc w:val="left"/>
      <w:pPr>
        <w:tabs>
          <w:tab w:val="num" w:pos="360"/>
        </w:tabs>
        <w:ind w:left="360" w:hanging="360"/>
      </w:pPr>
      <w:rPr>
        <w:rFonts w:hint="default"/>
      </w:rPr>
    </w:lvl>
    <w:lvl w:ilvl="1" w:tplc="3266BB24" w:tentative="1">
      <w:start w:val="1"/>
      <w:numFmt w:val="lowerLetter"/>
      <w:lvlText w:val="%2."/>
      <w:lvlJc w:val="left"/>
      <w:pPr>
        <w:ind w:left="1080" w:hanging="360"/>
      </w:pPr>
    </w:lvl>
    <w:lvl w:ilvl="2" w:tplc="F764638E" w:tentative="1">
      <w:start w:val="1"/>
      <w:numFmt w:val="lowerRoman"/>
      <w:lvlText w:val="%3."/>
      <w:lvlJc w:val="right"/>
      <w:pPr>
        <w:ind w:left="1800" w:hanging="180"/>
      </w:pPr>
    </w:lvl>
    <w:lvl w:ilvl="3" w:tplc="C2B4044C" w:tentative="1">
      <w:start w:val="1"/>
      <w:numFmt w:val="decimal"/>
      <w:lvlText w:val="%4."/>
      <w:lvlJc w:val="left"/>
      <w:pPr>
        <w:ind w:left="2520" w:hanging="360"/>
      </w:pPr>
    </w:lvl>
    <w:lvl w:ilvl="4" w:tplc="23421E86" w:tentative="1">
      <w:start w:val="1"/>
      <w:numFmt w:val="lowerLetter"/>
      <w:lvlText w:val="%5."/>
      <w:lvlJc w:val="left"/>
      <w:pPr>
        <w:ind w:left="3240" w:hanging="360"/>
      </w:pPr>
    </w:lvl>
    <w:lvl w:ilvl="5" w:tplc="701C80B8" w:tentative="1">
      <w:start w:val="1"/>
      <w:numFmt w:val="lowerRoman"/>
      <w:lvlText w:val="%6."/>
      <w:lvlJc w:val="right"/>
      <w:pPr>
        <w:ind w:left="3960" w:hanging="180"/>
      </w:pPr>
    </w:lvl>
    <w:lvl w:ilvl="6" w:tplc="936041BA" w:tentative="1">
      <w:start w:val="1"/>
      <w:numFmt w:val="decimal"/>
      <w:lvlText w:val="%7."/>
      <w:lvlJc w:val="left"/>
      <w:pPr>
        <w:ind w:left="4680" w:hanging="360"/>
      </w:pPr>
    </w:lvl>
    <w:lvl w:ilvl="7" w:tplc="FBA6B80E" w:tentative="1">
      <w:start w:val="1"/>
      <w:numFmt w:val="lowerLetter"/>
      <w:lvlText w:val="%8."/>
      <w:lvlJc w:val="left"/>
      <w:pPr>
        <w:ind w:left="5400" w:hanging="360"/>
      </w:pPr>
    </w:lvl>
    <w:lvl w:ilvl="8" w:tplc="A4BAFAD0"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382A1F9A">
      <w:start w:val="1"/>
      <w:numFmt w:val="decimal"/>
      <w:lvlText w:val="%1."/>
      <w:lvlJc w:val="left"/>
      <w:pPr>
        <w:tabs>
          <w:tab w:val="num" w:pos="720"/>
        </w:tabs>
        <w:ind w:left="720" w:hanging="360"/>
      </w:pPr>
      <w:rPr>
        <w:rFonts w:hint="default"/>
      </w:rPr>
    </w:lvl>
    <w:lvl w:ilvl="1" w:tplc="BA1664B4" w:tentative="1">
      <w:start w:val="1"/>
      <w:numFmt w:val="lowerLetter"/>
      <w:lvlText w:val="%2."/>
      <w:lvlJc w:val="left"/>
      <w:pPr>
        <w:tabs>
          <w:tab w:val="num" w:pos="1440"/>
        </w:tabs>
        <w:ind w:left="1440" w:hanging="360"/>
      </w:pPr>
    </w:lvl>
    <w:lvl w:ilvl="2" w:tplc="A4FA73EE" w:tentative="1">
      <w:start w:val="1"/>
      <w:numFmt w:val="lowerRoman"/>
      <w:lvlText w:val="%3."/>
      <w:lvlJc w:val="right"/>
      <w:pPr>
        <w:tabs>
          <w:tab w:val="num" w:pos="2160"/>
        </w:tabs>
        <w:ind w:left="2160" w:hanging="180"/>
      </w:pPr>
    </w:lvl>
    <w:lvl w:ilvl="3" w:tplc="D58CD94C" w:tentative="1">
      <w:start w:val="1"/>
      <w:numFmt w:val="decimal"/>
      <w:lvlText w:val="%4."/>
      <w:lvlJc w:val="left"/>
      <w:pPr>
        <w:tabs>
          <w:tab w:val="num" w:pos="2880"/>
        </w:tabs>
        <w:ind w:left="2880" w:hanging="360"/>
      </w:pPr>
    </w:lvl>
    <w:lvl w:ilvl="4" w:tplc="D26883C6" w:tentative="1">
      <w:start w:val="1"/>
      <w:numFmt w:val="lowerLetter"/>
      <w:lvlText w:val="%5."/>
      <w:lvlJc w:val="left"/>
      <w:pPr>
        <w:tabs>
          <w:tab w:val="num" w:pos="3600"/>
        </w:tabs>
        <w:ind w:left="3600" w:hanging="360"/>
      </w:pPr>
    </w:lvl>
    <w:lvl w:ilvl="5" w:tplc="AFDE5CB2" w:tentative="1">
      <w:start w:val="1"/>
      <w:numFmt w:val="lowerRoman"/>
      <w:lvlText w:val="%6."/>
      <w:lvlJc w:val="right"/>
      <w:pPr>
        <w:tabs>
          <w:tab w:val="num" w:pos="4320"/>
        </w:tabs>
        <w:ind w:left="4320" w:hanging="180"/>
      </w:pPr>
    </w:lvl>
    <w:lvl w:ilvl="6" w:tplc="AAE004D8" w:tentative="1">
      <w:start w:val="1"/>
      <w:numFmt w:val="decimal"/>
      <w:lvlText w:val="%7."/>
      <w:lvlJc w:val="left"/>
      <w:pPr>
        <w:tabs>
          <w:tab w:val="num" w:pos="5040"/>
        </w:tabs>
        <w:ind w:left="5040" w:hanging="360"/>
      </w:pPr>
    </w:lvl>
    <w:lvl w:ilvl="7" w:tplc="1A0CC34A" w:tentative="1">
      <w:start w:val="1"/>
      <w:numFmt w:val="lowerLetter"/>
      <w:lvlText w:val="%8."/>
      <w:lvlJc w:val="left"/>
      <w:pPr>
        <w:tabs>
          <w:tab w:val="num" w:pos="5760"/>
        </w:tabs>
        <w:ind w:left="5760" w:hanging="360"/>
      </w:pPr>
    </w:lvl>
    <w:lvl w:ilvl="8" w:tplc="90626D0C" w:tentative="1">
      <w:start w:val="1"/>
      <w:numFmt w:val="lowerRoman"/>
      <w:lvlText w:val="%9."/>
      <w:lvlJc w:val="right"/>
      <w:pPr>
        <w:tabs>
          <w:tab w:val="num" w:pos="6480"/>
        </w:tabs>
        <w:ind w:left="6480" w:hanging="180"/>
      </w:pPr>
    </w:lvl>
  </w:abstractNum>
  <w:abstractNum w:abstractNumId="4" w15:restartNumberingAfterBreak="0">
    <w:nsid w:val="3E726C47"/>
    <w:multiLevelType w:val="hybridMultilevel"/>
    <w:tmpl w:val="339AEEA4"/>
    <w:lvl w:ilvl="0" w:tplc="D52A6682">
      <w:start w:val="1"/>
      <w:numFmt w:val="decimal"/>
      <w:lvlText w:val="%1."/>
      <w:lvlJc w:val="left"/>
      <w:pPr>
        <w:ind w:left="720" w:hanging="360"/>
      </w:pPr>
      <w:rPr>
        <w:rFonts w:hint="default"/>
      </w:rPr>
    </w:lvl>
    <w:lvl w:ilvl="1" w:tplc="09E0441A" w:tentative="1">
      <w:start w:val="1"/>
      <w:numFmt w:val="lowerLetter"/>
      <w:lvlText w:val="%2."/>
      <w:lvlJc w:val="left"/>
      <w:pPr>
        <w:ind w:left="1440" w:hanging="360"/>
      </w:pPr>
    </w:lvl>
    <w:lvl w:ilvl="2" w:tplc="F8E8799E" w:tentative="1">
      <w:start w:val="1"/>
      <w:numFmt w:val="lowerRoman"/>
      <w:lvlText w:val="%3."/>
      <w:lvlJc w:val="right"/>
      <w:pPr>
        <w:ind w:left="2160" w:hanging="180"/>
      </w:pPr>
    </w:lvl>
    <w:lvl w:ilvl="3" w:tplc="381CF2EA" w:tentative="1">
      <w:start w:val="1"/>
      <w:numFmt w:val="decimal"/>
      <w:lvlText w:val="%4."/>
      <w:lvlJc w:val="left"/>
      <w:pPr>
        <w:ind w:left="2880" w:hanging="360"/>
      </w:pPr>
    </w:lvl>
    <w:lvl w:ilvl="4" w:tplc="B6D0E592" w:tentative="1">
      <w:start w:val="1"/>
      <w:numFmt w:val="lowerLetter"/>
      <w:lvlText w:val="%5."/>
      <w:lvlJc w:val="left"/>
      <w:pPr>
        <w:ind w:left="3600" w:hanging="360"/>
      </w:pPr>
    </w:lvl>
    <w:lvl w:ilvl="5" w:tplc="B2866E82" w:tentative="1">
      <w:start w:val="1"/>
      <w:numFmt w:val="lowerRoman"/>
      <w:lvlText w:val="%6."/>
      <w:lvlJc w:val="right"/>
      <w:pPr>
        <w:ind w:left="4320" w:hanging="180"/>
      </w:pPr>
    </w:lvl>
    <w:lvl w:ilvl="6" w:tplc="EA2AECF0" w:tentative="1">
      <w:start w:val="1"/>
      <w:numFmt w:val="decimal"/>
      <w:lvlText w:val="%7."/>
      <w:lvlJc w:val="left"/>
      <w:pPr>
        <w:ind w:left="5040" w:hanging="360"/>
      </w:pPr>
    </w:lvl>
    <w:lvl w:ilvl="7" w:tplc="33EC479A" w:tentative="1">
      <w:start w:val="1"/>
      <w:numFmt w:val="lowerLetter"/>
      <w:lvlText w:val="%8."/>
      <w:lvlJc w:val="left"/>
      <w:pPr>
        <w:ind w:left="5760" w:hanging="360"/>
      </w:pPr>
    </w:lvl>
    <w:lvl w:ilvl="8" w:tplc="357C4050" w:tentative="1">
      <w:start w:val="1"/>
      <w:numFmt w:val="lowerRoman"/>
      <w:lvlText w:val="%9."/>
      <w:lvlJc w:val="right"/>
      <w:pPr>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BCC12C9"/>
    <w:multiLevelType w:val="hybridMultilevel"/>
    <w:tmpl w:val="9FAE415E"/>
    <w:lvl w:ilvl="0" w:tplc="0ED0A89C">
      <w:start w:val="1"/>
      <w:numFmt w:val="decimal"/>
      <w:lvlText w:val="%1."/>
      <w:lvlJc w:val="left"/>
      <w:pPr>
        <w:ind w:left="720" w:hanging="360"/>
      </w:pPr>
    </w:lvl>
    <w:lvl w:ilvl="1" w:tplc="11322878" w:tentative="1">
      <w:start w:val="1"/>
      <w:numFmt w:val="lowerLetter"/>
      <w:lvlText w:val="%2."/>
      <w:lvlJc w:val="left"/>
      <w:pPr>
        <w:ind w:left="1440" w:hanging="360"/>
      </w:pPr>
    </w:lvl>
    <w:lvl w:ilvl="2" w:tplc="033EA9CE" w:tentative="1">
      <w:start w:val="1"/>
      <w:numFmt w:val="lowerRoman"/>
      <w:lvlText w:val="%3."/>
      <w:lvlJc w:val="right"/>
      <w:pPr>
        <w:ind w:left="2160" w:hanging="180"/>
      </w:pPr>
    </w:lvl>
    <w:lvl w:ilvl="3" w:tplc="DE588F7C" w:tentative="1">
      <w:start w:val="1"/>
      <w:numFmt w:val="decimal"/>
      <w:lvlText w:val="%4."/>
      <w:lvlJc w:val="left"/>
      <w:pPr>
        <w:ind w:left="2880" w:hanging="360"/>
      </w:pPr>
    </w:lvl>
    <w:lvl w:ilvl="4" w:tplc="EAFE95FE" w:tentative="1">
      <w:start w:val="1"/>
      <w:numFmt w:val="lowerLetter"/>
      <w:lvlText w:val="%5."/>
      <w:lvlJc w:val="left"/>
      <w:pPr>
        <w:ind w:left="3600" w:hanging="360"/>
      </w:pPr>
    </w:lvl>
    <w:lvl w:ilvl="5" w:tplc="BFE075F8" w:tentative="1">
      <w:start w:val="1"/>
      <w:numFmt w:val="lowerRoman"/>
      <w:lvlText w:val="%6."/>
      <w:lvlJc w:val="right"/>
      <w:pPr>
        <w:ind w:left="4320" w:hanging="180"/>
      </w:pPr>
    </w:lvl>
    <w:lvl w:ilvl="6" w:tplc="219CB9D2" w:tentative="1">
      <w:start w:val="1"/>
      <w:numFmt w:val="decimal"/>
      <w:lvlText w:val="%7."/>
      <w:lvlJc w:val="left"/>
      <w:pPr>
        <w:ind w:left="5040" w:hanging="360"/>
      </w:pPr>
    </w:lvl>
    <w:lvl w:ilvl="7" w:tplc="63EEFDD8" w:tentative="1">
      <w:start w:val="1"/>
      <w:numFmt w:val="lowerLetter"/>
      <w:lvlText w:val="%8."/>
      <w:lvlJc w:val="left"/>
      <w:pPr>
        <w:ind w:left="5760" w:hanging="360"/>
      </w:pPr>
    </w:lvl>
    <w:lvl w:ilvl="8" w:tplc="ECDA2BCA"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3D4CFC02">
      <w:start w:val="1"/>
      <w:numFmt w:val="decimal"/>
      <w:lvlText w:val="%1."/>
      <w:lvlJc w:val="left"/>
      <w:pPr>
        <w:tabs>
          <w:tab w:val="num" w:pos="720"/>
        </w:tabs>
        <w:ind w:left="720" w:hanging="360"/>
      </w:pPr>
    </w:lvl>
    <w:lvl w:ilvl="1" w:tplc="A22C22B8" w:tentative="1">
      <w:start w:val="1"/>
      <w:numFmt w:val="lowerLetter"/>
      <w:lvlText w:val="%2."/>
      <w:lvlJc w:val="left"/>
      <w:pPr>
        <w:tabs>
          <w:tab w:val="num" w:pos="1440"/>
        </w:tabs>
        <w:ind w:left="1440" w:hanging="360"/>
      </w:pPr>
    </w:lvl>
    <w:lvl w:ilvl="2" w:tplc="6C66E26E" w:tentative="1">
      <w:start w:val="1"/>
      <w:numFmt w:val="lowerRoman"/>
      <w:lvlText w:val="%3."/>
      <w:lvlJc w:val="right"/>
      <w:pPr>
        <w:tabs>
          <w:tab w:val="num" w:pos="2160"/>
        </w:tabs>
        <w:ind w:left="2160" w:hanging="180"/>
      </w:pPr>
    </w:lvl>
    <w:lvl w:ilvl="3" w:tplc="1C566A0E" w:tentative="1">
      <w:start w:val="1"/>
      <w:numFmt w:val="decimal"/>
      <w:lvlText w:val="%4."/>
      <w:lvlJc w:val="left"/>
      <w:pPr>
        <w:tabs>
          <w:tab w:val="num" w:pos="2880"/>
        </w:tabs>
        <w:ind w:left="2880" w:hanging="360"/>
      </w:pPr>
    </w:lvl>
    <w:lvl w:ilvl="4" w:tplc="22847178" w:tentative="1">
      <w:start w:val="1"/>
      <w:numFmt w:val="lowerLetter"/>
      <w:lvlText w:val="%5."/>
      <w:lvlJc w:val="left"/>
      <w:pPr>
        <w:tabs>
          <w:tab w:val="num" w:pos="3600"/>
        </w:tabs>
        <w:ind w:left="3600" w:hanging="360"/>
      </w:pPr>
    </w:lvl>
    <w:lvl w:ilvl="5" w:tplc="8F9E19FC" w:tentative="1">
      <w:start w:val="1"/>
      <w:numFmt w:val="lowerRoman"/>
      <w:lvlText w:val="%6."/>
      <w:lvlJc w:val="right"/>
      <w:pPr>
        <w:tabs>
          <w:tab w:val="num" w:pos="4320"/>
        </w:tabs>
        <w:ind w:left="4320" w:hanging="180"/>
      </w:pPr>
    </w:lvl>
    <w:lvl w:ilvl="6" w:tplc="3D7653F2" w:tentative="1">
      <w:start w:val="1"/>
      <w:numFmt w:val="decimal"/>
      <w:lvlText w:val="%7."/>
      <w:lvlJc w:val="left"/>
      <w:pPr>
        <w:tabs>
          <w:tab w:val="num" w:pos="5040"/>
        </w:tabs>
        <w:ind w:left="5040" w:hanging="360"/>
      </w:pPr>
    </w:lvl>
    <w:lvl w:ilvl="7" w:tplc="EDB4B3B6" w:tentative="1">
      <w:start w:val="1"/>
      <w:numFmt w:val="lowerLetter"/>
      <w:lvlText w:val="%8."/>
      <w:lvlJc w:val="left"/>
      <w:pPr>
        <w:tabs>
          <w:tab w:val="num" w:pos="5760"/>
        </w:tabs>
        <w:ind w:left="5760" w:hanging="360"/>
      </w:pPr>
    </w:lvl>
    <w:lvl w:ilvl="8" w:tplc="B95EC154" w:tentative="1">
      <w:start w:val="1"/>
      <w:numFmt w:val="lowerRoman"/>
      <w:lvlText w:val="%9."/>
      <w:lvlJc w:val="right"/>
      <w:pPr>
        <w:tabs>
          <w:tab w:val="num" w:pos="6480"/>
        </w:tabs>
        <w:ind w:left="6480" w:hanging="180"/>
      </w:pPr>
    </w:lvl>
  </w:abstractNum>
  <w:abstractNum w:abstractNumId="8" w15:restartNumberingAfterBreak="0">
    <w:nsid w:val="68C636DD"/>
    <w:multiLevelType w:val="hybridMultilevel"/>
    <w:tmpl w:val="7DDCD22C"/>
    <w:lvl w:ilvl="0" w:tplc="FB7C4ADA">
      <w:start w:val="4"/>
      <w:numFmt w:val="bullet"/>
      <w:lvlText w:val="-"/>
      <w:lvlJc w:val="left"/>
      <w:pPr>
        <w:ind w:left="720" w:hanging="360"/>
      </w:pPr>
      <w:rPr>
        <w:rFonts w:ascii="Arial" w:eastAsia="Times New Roman" w:hAnsi="Arial" w:cs="Arial" w:hint="default"/>
      </w:rPr>
    </w:lvl>
    <w:lvl w:ilvl="1" w:tplc="F530CEDC" w:tentative="1">
      <w:start w:val="1"/>
      <w:numFmt w:val="bullet"/>
      <w:lvlText w:val="o"/>
      <w:lvlJc w:val="left"/>
      <w:pPr>
        <w:ind w:left="1440" w:hanging="360"/>
      </w:pPr>
      <w:rPr>
        <w:rFonts w:ascii="Courier New" w:hAnsi="Courier New" w:cs="Courier New" w:hint="default"/>
      </w:rPr>
    </w:lvl>
    <w:lvl w:ilvl="2" w:tplc="7F26398C" w:tentative="1">
      <w:start w:val="1"/>
      <w:numFmt w:val="bullet"/>
      <w:lvlText w:val=""/>
      <w:lvlJc w:val="left"/>
      <w:pPr>
        <w:ind w:left="2160" w:hanging="360"/>
      </w:pPr>
      <w:rPr>
        <w:rFonts w:ascii="Wingdings" w:hAnsi="Wingdings" w:hint="default"/>
      </w:rPr>
    </w:lvl>
    <w:lvl w:ilvl="3" w:tplc="2946C14E" w:tentative="1">
      <w:start w:val="1"/>
      <w:numFmt w:val="bullet"/>
      <w:lvlText w:val=""/>
      <w:lvlJc w:val="left"/>
      <w:pPr>
        <w:ind w:left="2880" w:hanging="360"/>
      </w:pPr>
      <w:rPr>
        <w:rFonts w:ascii="Symbol" w:hAnsi="Symbol" w:hint="default"/>
      </w:rPr>
    </w:lvl>
    <w:lvl w:ilvl="4" w:tplc="64DCC170" w:tentative="1">
      <w:start w:val="1"/>
      <w:numFmt w:val="bullet"/>
      <w:lvlText w:val="o"/>
      <w:lvlJc w:val="left"/>
      <w:pPr>
        <w:ind w:left="3600" w:hanging="360"/>
      </w:pPr>
      <w:rPr>
        <w:rFonts w:ascii="Courier New" w:hAnsi="Courier New" w:cs="Courier New" w:hint="default"/>
      </w:rPr>
    </w:lvl>
    <w:lvl w:ilvl="5" w:tplc="90C0A81E" w:tentative="1">
      <w:start w:val="1"/>
      <w:numFmt w:val="bullet"/>
      <w:lvlText w:val=""/>
      <w:lvlJc w:val="left"/>
      <w:pPr>
        <w:ind w:left="4320" w:hanging="360"/>
      </w:pPr>
      <w:rPr>
        <w:rFonts w:ascii="Wingdings" w:hAnsi="Wingdings" w:hint="default"/>
      </w:rPr>
    </w:lvl>
    <w:lvl w:ilvl="6" w:tplc="02EA46F2" w:tentative="1">
      <w:start w:val="1"/>
      <w:numFmt w:val="bullet"/>
      <w:lvlText w:val=""/>
      <w:lvlJc w:val="left"/>
      <w:pPr>
        <w:ind w:left="5040" w:hanging="360"/>
      </w:pPr>
      <w:rPr>
        <w:rFonts w:ascii="Symbol" w:hAnsi="Symbol" w:hint="default"/>
      </w:rPr>
    </w:lvl>
    <w:lvl w:ilvl="7" w:tplc="3D2642D0" w:tentative="1">
      <w:start w:val="1"/>
      <w:numFmt w:val="bullet"/>
      <w:lvlText w:val="o"/>
      <w:lvlJc w:val="left"/>
      <w:pPr>
        <w:ind w:left="5760" w:hanging="360"/>
      </w:pPr>
      <w:rPr>
        <w:rFonts w:ascii="Courier New" w:hAnsi="Courier New" w:cs="Courier New" w:hint="default"/>
      </w:rPr>
    </w:lvl>
    <w:lvl w:ilvl="8" w:tplc="B122D2A6" w:tentative="1">
      <w:start w:val="1"/>
      <w:numFmt w:val="bullet"/>
      <w:lvlText w:val=""/>
      <w:lvlJc w:val="left"/>
      <w:pPr>
        <w:ind w:left="6480" w:hanging="360"/>
      </w:pPr>
      <w:rPr>
        <w:rFonts w:ascii="Wingdings" w:hAnsi="Wingdings" w:hint="default"/>
      </w:rPr>
    </w:lvl>
  </w:abstractNum>
  <w:abstractNum w:abstractNumId="9" w15:restartNumberingAfterBreak="0">
    <w:nsid w:val="69E12517"/>
    <w:multiLevelType w:val="hybridMultilevel"/>
    <w:tmpl w:val="5950EB10"/>
    <w:lvl w:ilvl="0" w:tplc="57748830">
      <w:start w:val="1"/>
      <w:numFmt w:val="decimal"/>
      <w:lvlText w:val="%1."/>
      <w:lvlJc w:val="left"/>
      <w:pPr>
        <w:ind w:left="720" w:hanging="360"/>
      </w:pPr>
    </w:lvl>
    <w:lvl w:ilvl="1" w:tplc="0EFAF7C0" w:tentative="1">
      <w:start w:val="1"/>
      <w:numFmt w:val="lowerLetter"/>
      <w:lvlText w:val="%2."/>
      <w:lvlJc w:val="left"/>
      <w:pPr>
        <w:ind w:left="1440" w:hanging="360"/>
      </w:pPr>
    </w:lvl>
    <w:lvl w:ilvl="2" w:tplc="14402AC8" w:tentative="1">
      <w:start w:val="1"/>
      <w:numFmt w:val="lowerRoman"/>
      <w:lvlText w:val="%3."/>
      <w:lvlJc w:val="right"/>
      <w:pPr>
        <w:ind w:left="2160" w:hanging="180"/>
      </w:pPr>
    </w:lvl>
    <w:lvl w:ilvl="3" w:tplc="8EDADCA4" w:tentative="1">
      <w:start w:val="1"/>
      <w:numFmt w:val="decimal"/>
      <w:lvlText w:val="%4."/>
      <w:lvlJc w:val="left"/>
      <w:pPr>
        <w:ind w:left="2880" w:hanging="360"/>
      </w:pPr>
    </w:lvl>
    <w:lvl w:ilvl="4" w:tplc="FC90D586" w:tentative="1">
      <w:start w:val="1"/>
      <w:numFmt w:val="lowerLetter"/>
      <w:lvlText w:val="%5."/>
      <w:lvlJc w:val="left"/>
      <w:pPr>
        <w:ind w:left="3600" w:hanging="360"/>
      </w:pPr>
    </w:lvl>
    <w:lvl w:ilvl="5" w:tplc="2C1EED02" w:tentative="1">
      <w:start w:val="1"/>
      <w:numFmt w:val="lowerRoman"/>
      <w:lvlText w:val="%6."/>
      <w:lvlJc w:val="right"/>
      <w:pPr>
        <w:ind w:left="4320" w:hanging="180"/>
      </w:pPr>
    </w:lvl>
    <w:lvl w:ilvl="6" w:tplc="28D621FC" w:tentative="1">
      <w:start w:val="1"/>
      <w:numFmt w:val="decimal"/>
      <w:lvlText w:val="%7."/>
      <w:lvlJc w:val="left"/>
      <w:pPr>
        <w:ind w:left="5040" w:hanging="360"/>
      </w:pPr>
    </w:lvl>
    <w:lvl w:ilvl="7" w:tplc="3BC8BFBA" w:tentative="1">
      <w:start w:val="1"/>
      <w:numFmt w:val="lowerLetter"/>
      <w:lvlText w:val="%8."/>
      <w:lvlJc w:val="left"/>
      <w:pPr>
        <w:ind w:left="5760" w:hanging="360"/>
      </w:pPr>
    </w:lvl>
    <w:lvl w:ilvl="8" w:tplc="F690940E" w:tentative="1">
      <w:start w:val="1"/>
      <w:numFmt w:val="lowerRoman"/>
      <w:lvlText w:val="%9."/>
      <w:lvlJc w:val="right"/>
      <w:pPr>
        <w:ind w:left="6480" w:hanging="180"/>
      </w:pPr>
    </w:lvl>
  </w:abstractNum>
  <w:abstractNum w:abstractNumId="10" w15:restartNumberingAfterBreak="0">
    <w:nsid w:val="7EAA0EC8"/>
    <w:multiLevelType w:val="hybridMultilevel"/>
    <w:tmpl w:val="9C54BF10"/>
    <w:lvl w:ilvl="0" w:tplc="39C83D62">
      <w:start w:val="1"/>
      <w:numFmt w:val="decimal"/>
      <w:lvlText w:val="%1."/>
      <w:lvlJc w:val="left"/>
      <w:pPr>
        <w:ind w:left="720" w:hanging="360"/>
      </w:pPr>
      <w:rPr>
        <w:rFonts w:hint="default"/>
      </w:rPr>
    </w:lvl>
    <w:lvl w:ilvl="1" w:tplc="2A2676C8" w:tentative="1">
      <w:start w:val="1"/>
      <w:numFmt w:val="lowerLetter"/>
      <w:lvlText w:val="%2."/>
      <w:lvlJc w:val="left"/>
      <w:pPr>
        <w:ind w:left="1440" w:hanging="360"/>
      </w:pPr>
    </w:lvl>
    <w:lvl w:ilvl="2" w:tplc="69BA8F40" w:tentative="1">
      <w:start w:val="1"/>
      <w:numFmt w:val="lowerRoman"/>
      <w:lvlText w:val="%3."/>
      <w:lvlJc w:val="right"/>
      <w:pPr>
        <w:ind w:left="2160" w:hanging="180"/>
      </w:pPr>
    </w:lvl>
    <w:lvl w:ilvl="3" w:tplc="02C8182E" w:tentative="1">
      <w:start w:val="1"/>
      <w:numFmt w:val="decimal"/>
      <w:lvlText w:val="%4."/>
      <w:lvlJc w:val="left"/>
      <w:pPr>
        <w:ind w:left="2880" w:hanging="360"/>
      </w:pPr>
    </w:lvl>
    <w:lvl w:ilvl="4" w:tplc="0548FC48" w:tentative="1">
      <w:start w:val="1"/>
      <w:numFmt w:val="lowerLetter"/>
      <w:lvlText w:val="%5."/>
      <w:lvlJc w:val="left"/>
      <w:pPr>
        <w:ind w:left="3600" w:hanging="360"/>
      </w:pPr>
    </w:lvl>
    <w:lvl w:ilvl="5" w:tplc="134A5702" w:tentative="1">
      <w:start w:val="1"/>
      <w:numFmt w:val="lowerRoman"/>
      <w:lvlText w:val="%6."/>
      <w:lvlJc w:val="right"/>
      <w:pPr>
        <w:ind w:left="4320" w:hanging="180"/>
      </w:pPr>
    </w:lvl>
    <w:lvl w:ilvl="6" w:tplc="4DBA66C4" w:tentative="1">
      <w:start w:val="1"/>
      <w:numFmt w:val="decimal"/>
      <w:lvlText w:val="%7."/>
      <w:lvlJc w:val="left"/>
      <w:pPr>
        <w:ind w:left="5040" w:hanging="360"/>
      </w:pPr>
    </w:lvl>
    <w:lvl w:ilvl="7" w:tplc="C4325F26" w:tentative="1">
      <w:start w:val="1"/>
      <w:numFmt w:val="lowerLetter"/>
      <w:lvlText w:val="%8."/>
      <w:lvlJc w:val="left"/>
      <w:pPr>
        <w:ind w:left="5760" w:hanging="360"/>
      </w:pPr>
    </w:lvl>
    <w:lvl w:ilvl="8" w:tplc="C1124ED0" w:tentative="1">
      <w:start w:val="1"/>
      <w:numFmt w:val="lowerRoman"/>
      <w:lvlText w:val="%9."/>
      <w:lvlJc w:val="right"/>
      <w:pPr>
        <w:ind w:left="6480" w:hanging="180"/>
      </w:pPr>
    </w:lvl>
  </w:abstractNum>
  <w:num w:numId="1" w16cid:durableId="377778907">
    <w:abstractNumId w:val="7"/>
  </w:num>
  <w:num w:numId="2" w16cid:durableId="138302936">
    <w:abstractNumId w:val="3"/>
  </w:num>
  <w:num w:numId="3" w16cid:durableId="2038967282">
    <w:abstractNumId w:val="5"/>
  </w:num>
  <w:num w:numId="4" w16cid:durableId="1567758991">
    <w:abstractNumId w:val="1"/>
  </w:num>
  <w:num w:numId="5" w16cid:durableId="1574198545">
    <w:abstractNumId w:val="2"/>
  </w:num>
  <w:num w:numId="6" w16cid:durableId="284317948">
    <w:abstractNumId w:val="8"/>
  </w:num>
  <w:num w:numId="7" w16cid:durableId="613832291">
    <w:abstractNumId w:val="4"/>
  </w:num>
  <w:num w:numId="8" w16cid:durableId="1252157241">
    <w:abstractNumId w:val="6"/>
  </w:num>
  <w:num w:numId="9" w16cid:durableId="1886525980">
    <w:abstractNumId w:val="9"/>
  </w:num>
  <w:num w:numId="10" w16cid:durableId="45614123">
    <w:abstractNumId w:val="0"/>
  </w:num>
  <w:num w:numId="11" w16cid:durableId="688946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C1C58"/>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42590"/>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9F50C3"/>
    <w:rsid w:val="00A03142"/>
    <w:rsid w:val="00A125C5"/>
    <w:rsid w:val="00A16AD6"/>
    <w:rsid w:val="00A2451C"/>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18FB"/>
    <w:rsid w:val="00E654E4"/>
    <w:rsid w:val="00E85CB5"/>
    <w:rsid w:val="00E965ED"/>
    <w:rsid w:val="00ED1C3E"/>
    <w:rsid w:val="00ED7350"/>
    <w:rsid w:val="00EE5430"/>
    <w:rsid w:val="00EE7CAD"/>
    <w:rsid w:val="00F0698C"/>
    <w:rsid w:val="00F240BB"/>
    <w:rsid w:val="00F57FED"/>
    <w:rsid w:val="00FA00F4"/>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50CE61"/>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442590"/>
    <w:pPr>
      <w:spacing w:after="200" w:line="276" w:lineRule="auto"/>
      <w:ind w:left="708"/>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2832</Words>
  <Characters>16148</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4</cp:revision>
  <cp:lastPrinted>2019-04-10T12:46:00Z</cp:lastPrinted>
  <dcterms:created xsi:type="dcterms:W3CDTF">2022-01-27T07:33:00Z</dcterms:created>
  <dcterms:modified xsi:type="dcterms:W3CDTF">2026-04-15T14:05:00Z</dcterms:modified>
</cp:coreProperties>
</file>