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4F50E6" w:rsidP="008E0D92" w14:paraId="656DAF81" w14:textId="77777777">
      <w:pPr>
        <w:pStyle w:val="datumtevilka"/>
        <w:rPr>
          <w:rFonts w:ascii="Arial" w:eastAsia="Arial" w:hAnsi="Arial" w:cs="Arial"/>
          <w:b w:val="0"/>
          <w:i w:val="0"/>
          <w:color w:val="auto"/>
          <w:sz w:val="20"/>
          <w:u w:val="none"/>
        </w:rPr>
      </w:pPr>
    </w:p>
    <w:p w:rsidR="004F50E6" w:rsidP="008E0D92" w14:paraId="3BF2E5F8" w14:textId="77777777">
      <w:pPr>
        <w:pStyle w:val="datumtevilka"/>
      </w:pPr>
    </w:p>
    <w:p w:rsidR="00631A40" w:rsidP="008E0D92" w14:paraId="706D2977" w14:textId="77777777">
      <w:pPr>
        <w:pStyle w:val="datumtevilka"/>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6645"/>
      </w:tblGrid>
      <w:tr w14:paraId="360DED1E" w14:textId="77777777" w:rsidTr="00A16AD6">
        <w:tblPrEx>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43" w:type="dxa"/>
          </w:tcPr>
          <w:p w:rsidR="00463235" w:rsidP="008E0D92" w14:paraId="26DCBA49" w14:textId="77777777">
            <w:pPr>
              <w:pStyle w:val="datumtevilka"/>
            </w:pPr>
            <w:r>
              <w:t xml:space="preserve">Številka: </w:t>
            </w:r>
          </w:p>
        </w:tc>
        <w:tc>
          <w:tcPr>
            <w:tcW w:w="6645" w:type="dxa"/>
          </w:tcPr>
          <w:p w:rsidR="00463235" w:rsidP="008E0D92" w14:paraId="7CE34654" w14:textId="77777777">
            <w:pPr>
              <w:pStyle w:val="datumtevilka"/>
            </w:pPr>
            <w:bookmarkStart w:id="0" w:name="KlasSt"/>
            <w:r>
              <w:t>024-5/2022-3340-51</w:t>
            </w:r>
            <w:bookmarkEnd w:id="0"/>
          </w:p>
        </w:tc>
      </w:tr>
      <w:tr w14:paraId="4CE46352" w14:textId="77777777" w:rsidTr="00A16AD6">
        <w:tblPrEx>
          <w:tblW w:w="0" w:type="auto"/>
          <w:tblInd w:w="-147" w:type="dxa"/>
          <w:tblLook w:val="04A0"/>
        </w:tblPrEx>
        <w:tc>
          <w:tcPr>
            <w:tcW w:w="1843" w:type="dxa"/>
          </w:tcPr>
          <w:p w:rsidR="00463235" w:rsidP="008E0D92" w14:paraId="4F4E6141" w14:textId="77777777">
            <w:pPr>
              <w:pStyle w:val="datumtevilka"/>
            </w:pPr>
            <w:r>
              <w:t>Datum:</w:t>
            </w:r>
          </w:p>
        </w:tc>
        <w:tc>
          <w:tcPr>
            <w:tcW w:w="6645" w:type="dxa"/>
          </w:tcPr>
          <w:p w:rsidR="00463235" w:rsidP="008E0D92" w14:paraId="0CF5CDCA" w14:textId="77777777">
            <w:pPr>
              <w:pStyle w:val="datumtevilka"/>
            </w:pPr>
            <w:bookmarkStart w:id="1" w:name="DatumDokumenta"/>
            <w:r>
              <w:t>18. 11. 2025</w:t>
            </w:r>
            <w:bookmarkEnd w:id="1"/>
          </w:p>
        </w:tc>
      </w:tr>
    </w:tbl>
    <w:p w:rsidR="00463235" w:rsidP="008E0D92" w14:paraId="70C32FAE" w14:textId="77777777">
      <w:pPr>
        <w:pStyle w:val="datumtevilka"/>
      </w:pPr>
    </w:p>
    <w:p w:rsidR="00093F1D" w:rsidP="008E0D92" w14:paraId="0B091FD3" w14:textId="77777777">
      <w:pPr>
        <w:pStyle w:val="datumtevilka"/>
        <w:rPr>
          <w:b/>
          <w:bCs/>
        </w:rPr>
      </w:pPr>
    </w:p>
    <w:p w:rsidR="00093F1D" w:rsidP="008E0D92" w14:paraId="78168DA2" w14:textId="77777777">
      <w:pPr>
        <w:pStyle w:val="datumtevilka"/>
        <w:rPr>
          <w:b/>
          <w:bCs/>
        </w:rPr>
      </w:pPr>
    </w:p>
    <w:p w:rsidR="00FA65DE" w:rsidRPr="00E91809" w:rsidP="00FA65DE" w14:paraId="14447199" w14:textId="77777777">
      <w:pPr>
        <w:tabs>
          <w:tab w:val="left" w:pos="1418"/>
        </w:tabs>
        <w:spacing w:line="276" w:lineRule="auto"/>
        <w:ind w:left="1416" w:hanging="1416"/>
        <w:jc w:val="both"/>
        <w:rPr>
          <w:rFonts w:cs="Arial"/>
          <w:b/>
          <w:szCs w:val="20"/>
          <w:lang w:val="sl-SI" w:eastAsia="sl-SI"/>
        </w:rPr>
      </w:pPr>
      <w:r w:rsidRPr="00E91809">
        <w:rPr>
          <w:rFonts w:cs="Arial"/>
          <w:b/>
          <w:szCs w:val="20"/>
          <w:lang w:val="sl-SI" w:eastAsia="sl-SI"/>
        </w:rPr>
        <w:t>Zadeva: Zapisnik 1</w:t>
      </w:r>
      <w:r>
        <w:rPr>
          <w:rFonts w:cs="Arial"/>
          <w:b/>
          <w:szCs w:val="20"/>
          <w:lang w:val="sl-SI" w:eastAsia="sl-SI"/>
        </w:rPr>
        <w:t>7</w:t>
      </w:r>
      <w:r w:rsidRPr="00E91809">
        <w:rPr>
          <w:rFonts w:cs="Arial"/>
          <w:b/>
          <w:szCs w:val="20"/>
          <w:lang w:val="sl-SI" w:eastAsia="sl-SI"/>
        </w:rPr>
        <w:t>. seje Delovne skupine za trajni dialog z nevladnimi organizacijami v kulturi</w:t>
      </w:r>
    </w:p>
    <w:p w:rsidR="00FA65DE" w:rsidRPr="00E91809" w:rsidP="00FA65DE" w14:paraId="20C6A3DF" w14:textId="77777777">
      <w:pPr>
        <w:spacing w:line="276" w:lineRule="auto"/>
        <w:jc w:val="both"/>
        <w:rPr>
          <w:rFonts w:cs="Arial"/>
          <w:b/>
          <w:bCs/>
          <w:szCs w:val="20"/>
          <w:u w:val="single"/>
          <w:lang w:val="sl-SI"/>
        </w:rPr>
      </w:pPr>
    </w:p>
    <w:p w:rsidR="00FA65DE" w:rsidRPr="00E91809" w:rsidP="00FA65DE" w14:paraId="7F8958B5" w14:textId="77777777">
      <w:pPr>
        <w:spacing w:line="276" w:lineRule="auto"/>
        <w:jc w:val="both"/>
        <w:rPr>
          <w:rFonts w:cs="Arial"/>
          <w:szCs w:val="20"/>
          <w:lang w:val="sl-SI"/>
        </w:rPr>
      </w:pPr>
      <w:r w:rsidRPr="00E91809">
        <w:rPr>
          <w:rFonts w:cs="Arial"/>
          <w:b/>
          <w:bCs/>
          <w:szCs w:val="20"/>
          <w:lang w:val="sl-SI"/>
        </w:rPr>
        <w:t>Pričetek seje:</w:t>
      </w:r>
      <w:r w:rsidRPr="00E91809">
        <w:rPr>
          <w:rFonts w:cs="Arial"/>
          <w:szCs w:val="20"/>
          <w:lang w:val="sl-SI"/>
        </w:rPr>
        <w:t xml:space="preserve"> </w:t>
      </w:r>
      <w:r>
        <w:rPr>
          <w:rFonts w:cs="Arial"/>
          <w:szCs w:val="20"/>
          <w:lang w:val="sl-SI"/>
        </w:rPr>
        <w:t>18</w:t>
      </w:r>
      <w:r w:rsidRPr="00E91809">
        <w:rPr>
          <w:rFonts w:cs="Arial"/>
          <w:szCs w:val="20"/>
          <w:lang w:val="sl-SI"/>
        </w:rPr>
        <w:t xml:space="preserve">. </w:t>
      </w:r>
      <w:r>
        <w:rPr>
          <w:rFonts w:cs="Arial"/>
          <w:szCs w:val="20"/>
          <w:lang w:val="sl-SI"/>
        </w:rPr>
        <w:t>11</w:t>
      </w:r>
      <w:r w:rsidRPr="00E91809">
        <w:rPr>
          <w:rFonts w:cs="Arial"/>
          <w:szCs w:val="20"/>
          <w:lang w:val="sl-SI"/>
        </w:rPr>
        <w:t>. 2025, 10.00, Ministrstvo za kulturo (MK), Maistrova 10, 1000 Ljubljana</w:t>
      </w:r>
    </w:p>
    <w:p w:rsidR="00FA65DE" w:rsidRPr="00E91809" w:rsidP="00FA65DE" w14:paraId="531D0885" w14:textId="77777777">
      <w:pPr>
        <w:spacing w:line="276" w:lineRule="auto"/>
        <w:jc w:val="both"/>
        <w:rPr>
          <w:rFonts w:cs="Arial"/>
          <w:b/>
          <w:bCs/>
          <w:szCs w:val="20"/>
          <w:lang w:val="sl-SI"/>
        </w:rPr>
      </w:pPr>
    </w:p>
    <w:p w:rsidR="00FA65DE" w:rsidRPr="00E91809" w:rsidP="00FA65DE" w14:paraId="1BDCBE65" w14:textId="77777777">
      <w:pPr>
        <w:spacing w:line="276" w:lineRule="auto"/>
        <w:jc w:val="both"/>
        <w:rPr>
          <w:rFonts w:cs="Arial"/>
          <w:b/>
          <w:bCs/>
          <w:szCs w:val="20"/>
          <w:lang w:val="sl-SI"/>
        </w:rPr>
      </w:pPr>
      <w:r w:rsidRPr="00E91809">
        <w:rPr>
          <w:rFonts w:cs="Arial"/>
          <w:b/>
          <w:bCs/>
          <w:szCs w:val="20"/>
          <w:lang w:val="sl-SI"/>
        </w:rPr>
        <w:t>Prisotni člani delovne skupine:</w:t>
      </w:r>
    </w:p>
    <w:p w:rsidR="00FA65DE" w:rsidRPr="00207238" w:rsidP="00FA65DE" w14:paraId="7E80E7A1" w14:textId="77777777">
      <w:pPr>
        <w:pStyle w:val="ListParagraph"/>
        <w:numPr>
          <w:ilvl w:val="0"/>
          <w:numId w:val="9"/>
        </w:numPr>
        <w:spacing w:after="0"/>
        <w:jc w:val="both"/>
        <w:rPr>
          <w:rFonts w:ascii="Arial" w:hAnsi="Arial" w:cs="Arial"/>
          <w:sz w:val="20"/>
          <w:szCs w:val="20"/>
        </w:rPr>
      </w:pPr>
      <w:r w:rsidRPr="00E91809">
        <w:rPr>
          <w:rFonts w:ascii="Arial" w:hAnsi="Arial" w:cs="Arial"/>
          <w:sz w:val="20"/>
          <w:szCs w:val="20"/>
        </w:rPr>
        <w:t xml:space="preserve">Tjaša Pureber, MK; </w:t>
      </w:r>
    </w:p>
    <w:p w:rsidR="00FA65DE" w:rsidP="00FA65DE" w14:paraId="3242FB82" w14:textId="77777777">
      <w:pPr>
        <w:pStyle w:val="ListParagraph"/>
        <w:numPr>
          <w:ilvl w:val="0"/>
          <w:numId w:val="9"/>
        </w:numPr>
        <w:spacing w:after="0"/>
        <w:jc w:val="both"/>
        <w:rPr>
          <w:rFonts w:ascii="Arial" w:hAnsi="Arial" w:cs="Arial"/>
          <w:sz w:val="20"/>
          <w:szCs w:val="20"/>
        </w:rPr>
      </w:pPr>
      <w:r>
        <w:rPr>
          <w:rFonts w:ascii="Arial" w:hAnsi="Arial" w:cs="Arial"/>
          <w:sz w:val="20"/>
          <w:szCs w:val="20"/>
        </w:rPr>
        <w:t>Barbara Koželj Podlogar, MK;</w:t>
      </w:r>
    </w:p>
    <w:p w:rsidR="00FA65DE" w:rsidRPr="00493E5D" w:rsidP="00FA65DE" w14:paraId="4EB772FB" w14:textId="77777777">
      <w:pPr>
        <w:pStyle w:val="ListParagraph"/>
        <w:numPr>
          <w:ilvl w:val="0"/>
          <w:numId w:val="9"/>
        </w:numPr>
        <w:spacing w:after="0"/>
        <w:jc w:val="both"/>
        <w:rPr>
          <w:rFonts w:ascii="Arial" w:hAnsi="Arial" w:cs="Arial"/>
          <w:sz w:val="20"/>
          <w:szCs w:val="20"/>
        </w:rPr>
      </w:pPr>
      <w:r w:rsidRPr="00E91809">
        <w:rPr>
          <w:rFonts w:ascii="Arial" w:hAnsi="Arial" w:cs="Arial"/>
          <w:sz w:val="20"/>
          <w:szCs w:val="20"/>
        </w:rPr>
        <w:t>Dr. Tomaž Simetinger;</w:t>
      </w:r>
    </w:p>
    <w:p w:rsidR="00FA65DE" w:rsidRPr="00E91809" w:rsidP="00FA65DE" w14:paraId="6EC2EF55" w14:textId="77777777">
      <w:pPr>
        <w:pStyle w:val="ListParagraph"/>
        <w:numPr>
          <w:ilvl w:val="0"/>
          <w:numId w:val="9"/>
        </w:numPr>
        <w:spacing w:after="0"/>
        <w:jc w:val="both"/>
        <w:rPr>
          <w:rFonts w:ascii="Arial" w:hAnsi="Arial" w:cs="Arial"/>
          <w:sz w:val="20"/>
          <w:szCs w:val="20"/>
        </w:rPr>
      </w:pPr>
      <w:r w:rsidRPr="00E91809">
        <w:rPr>
          <w:rFonts w:ascii="Arial" w:hAnsi="Arial" w:cs="Arial"/>
          <w:sz w:val="20"/>
          <w:szCs w:val="20"/>
        </w:rPr>
        <w:t>Uroš Veber;</w:t>
      </w:r>
    </w:p>
    <w:p w:rsidR="00FA65DE" w:rsidP="00FA65DE" w14:paraId="47647C26" w14:textId="77777777">
      <w:pPr>
        <w:pStyle w:val="ListParagraph"/>
        <w:numPr>
          <w:ilvl w:val="0"/>
          <w:numId w:val="9"/>
        </w:numPr>
        <w:spacing w:after="0"/>
        <w:jc w:val="both"/>
        <w:rPr>
          <w:rFonts w:ascii="Arial" w:hAnsi="Arial" w:cs="Arial"/>
          <w:sz w:val="20"/>
          <w:szCs w:val="20"/>
        </w:rPr>
      </w:pPr>
      <w:r w:rsidRPr="00207238">
        <w:rPr>
          <w:rFonts w:ascii="Arial" w:hAnsi="Arial" w:cs="Arial"/>
          <w:sz w:val="20"/>
          <w:szCs w:val="20"/>
        </w:rPr>
        <w:t>Petra Hazabent</w:t>
      </w:r>
      <w:r w:rsidRPr="00E91809">
        <w:rPr>
          <w:rFonts w:ascii="Arial" w:hAnsi="Arial" w:cs="Arial"/>
          <w:sz w:val="20"/>
          <w:szCs w:val="20"/>
        </w:rPr>
        <w:t>;</w:t>
      </w:r>
    </w:p>
    <w:p w:rsidR="00FA65DE" w:rsidRPr="00B70919" w:rsidP="00FA65DE" w14:paraId="74FBA9C6" w14:textId="77777777">
      <w:pPr>
        <w:pStyle w:val="ListParagraph"/>
        <w:numPr>
          <w:ilvl w:val="0"/>
          <w:numId w:val="9"/>
        </w:numPr>
        <w:spacing w:after="0"/>
        <w:jc w:val="both"/>
        <w:rPr>
          <w:rFonts w:ascii="Arial" w:hAnsi="Arial" w:cs="Arial"/>
          <w:sz w:val="20"/>
          <w:szCs w:val="20"/>
        </w:rPr>
      </w:pPr>
      <w:r>
        <w:rPr>
          <w:rFonts w:ascii="Arial" w:hAnsi="Arial" w:cs="Arial"/>
          <w:sz w:val="20"/>
          <w:szCs w:val="20"/>
        </w:rPr>
        <w:t>Borut Pelko;</w:t>
      </w:r>
    </w:p>
    <w:p w:rsidR="00FA65DE" w:rsidRPr="00E91809" w:rsidP="00FA65DE" w14:paraId="75AD0750" w14:textId="77777777">
      <w:pPr>
        <w:pStyle w:val="ListParagraph"/>
        <w:numPr>
          <w:ilvl w:val="0"/>
          <w:numId w:val="9"/>
        </w:numPr>
        <w:spacing w:after="0"/>
        <w:jc w:val="both"/>
        <w:rPr>
          <w:rFonts w:ascii="Arial" w:hAnsi="Arial" w:cs="Arial"/>
          <w:sz w:val="20"/>
          <w:szCs w:val="20"/>
        </w:rPr>
      </w:pPr>
      <w:r w:rsidRPr="00E91809">
        <w:rPr>
          <w:rFonts w:ascii="Arial" w:hAnsi="Arial" w:cs="Arial"/>
          <w:sz w:val="20"/>
          <w:szCs w:val="20"/>
        </w:rPr>
        <w:t>Violeta Videnović.</w:t>
      </w:r>
    </w:p>
    <w:p w:rsidR="00FA65DE" w:rsidRPr="00E91809" w:rsidP="00FA65DE" w14:paraId="09FE87F8" w14:textId="77777777">
      <w:pPr>
        <w:spacing w:line="276" w:lineRule="auto"/>
        <w:jc w:val="both"/>
        <w:rPr>
          <w:rFonts w:cs="Arial"/>
          <w:szCs w:val="20"/>
          <w:lang w:val="sl-SI"/>
        </w:rPr>
      </w:pPr>
    </w:p>
    <w:p w:rsidR="00FA65DE" w:rsidRPr="00E91809" w:rsidP="00FA65DE" w14:paraId="04B2EAF9" w14:textId="77777777">
      <w:pPr>
        <w:spacing w:line="276" w:lineRule="auto"/>
        <w:jc w:val="both"/>
        <w:rPr>
          <w:rFonts w:cs="Arial"/>
          <w:b/>
          <w:bCs/>
          <w:szCs w:val="20"/>
          <w:lang w:val="sl-SI"/>
        </w:rPr>
      </w:pPr>
      <w:r w:rsidRPr="00E91809">
        <w:rPr>
          <w:rFonts w:cs="Arial"/>
          <w:b/>
          <w:bCs/>
          <w:szCs w:val="20"/>
          <w:lang w:val="sl-SI"/>
        </w:rPr>
        <w:t>Ostali prisotni:</w:t>
      </w:r>
    </w:p>
    <w:p w:rsidR="00FA65DE" w:rsidP="00FA65DE" w14:paraId="5EECF692" w14:textId="77777777">
      <w:pPr>
        <w:pStyle w:val="ListParagraph"/>
        <w:numPr>
          <w:ilvl w:val="0"/>
          <w:numId w:val="11"/>
        </w:numPr>
        <w:spacing w:after="0"/>
        <w:rPr>
          <w:rFonts w:ascii="Arial" w:hAnsi="Arial" w:cs="Arial"/>
          <w:sz w:val="20"/>
          <w:szCs w:val="20"/>
        </w:rPr>
      </w:pPr>
      <w:r>
        <w:rPr>
          <w:rFonts w:ascii="Arial" w:hAnsi="Arial" w:cs="Arial"/>
          <w:sz w:val="20"/>
          <w:szCs w:val="20"/>
        </w:rPr>
        <w:t>Alekzander Ismaj Blatnik, MK</w:t>
      </w:r>
    </w:p>
    <w:p w:rsidR="00FA65DE" w:rsidRPr="00E91809" w:rsidP="00FA65DE" w14:paraId="43BC2E02" w14:textId="77777777">
      <w:pPr>
        <w:pStyle w:val="ListParagraph"/>
        <w:spacing w:after="0"/>
        <w:ind w:left="720"/>
        <w:rPr>
          <w:rFonts w:ascii="Arial" w:hAnsi="Arial" w:cs="Arial"/>
          <w:sz w:val="20"/>
          <w:szCs w:val="20"/>
        </w:rPr>
      </w:pPr>
    </w:p>
    <w:p w:rsidR="00FA65DE" w:rsidRPr="00E91809" w:rsidP="00FA65DE" w14:paraId="253DDCF1" w14:textId="77777777">
      <w:pPr>
        <w:spacing w:line="276" w:lineRule="auto"/>
        <w:jc w:val="both"/>
        <w:rPr>
          <w:rFonts w:cs="Arial"/>
          <w:b/>
          <w:bCs/>
          <w:szCs w:val="20"/>
          <w:lang w:val="sl-SI"/>
        </w:rPr>
      </w:pPr>
      <w:r w:rsidRPr="00E91809">
        <w:rPr>
          <w:rFonts w:cs="Arial"/>
          <w:b/>
          <w:bCs/>
          <w:szCs w:val="20"/>
          <w:lang w:val="sl-SI"/>
        </w:rPr>
        <w:t>Opravičeno odsotni:</w:t>
      </w:r>
    </w:p>
    <w:p w:rsidR="00FA65DE" w:rsidP="00FA65DE" w14:paraId="5151D7B3" w14:textId="77777777">
      <w:pPr>
        <w:pStyle w:val="ListParagraph"/>
        <w:numPr>
          <w:ilvl w:val="0"/>
          <w:numId w:val="10"/>
        </w:numPr>
        <w:spacing w:after="0"/>
        <w:jc w:val="both"/>
        <w:rPr>
          <w:rFonts w:ascii="Arial" w:hAnsi="Arial" w:cs="Arial"/>
          <w:sz w:val="20"/>
          <w:szCs w:val="20"/>
        </w:rPr>
      </w:pPr>
      <w:r>
        <w:rPr>
          <w:rFonts w:ascii="Arial" w:hAnsi="Arial" w:cs="Arial"/>
          <w:sz w:val="20"/>
          <w:szCs w:val="20"/>
        </w:rPr>
        <w:t>Mija Aleš</w:t>
      </w:r>
      <w:r w:rsidRPr="00E91809">
        <w:rPr>
          <w:rFonts w:ascii="Arial" w:hAnsi="Arial" w:cs="Arial"/>
          <w:sz w:val="20"/>
          <w:szCs w:val="20"/>
        </w:rPr>
        <w:t>;</w:t>
      </w:r>
    </w:p>
    <w:p w:rsidR="00FA65DE" w:rsidP="00FA65DE" w14:paraId="4BCCD92D" w14:textId="77777777">
      <w:pPr>
        <w:pStyle w:val="ListParagraph"/>
        <w:numPr>
          <w:ilvl w:val="0"/>
          <w:numId w:val="10"/>
        </w:numPr>
        <w:spacing w:after="0"/>
        <w:jc w:val="both"/>
        <w:rPr>
          <w:rFonts w:ascii="Arial" w:hAnsi="Arial" w:cs="Arial"/>
          <w:sz w:val="20"/>
          <w:szCs w:val="20"/>
        </w:rPr>
      </w:pPr>
      <w:r w:rsidRPr="00E91809">
        <w:rPr>
          <w:rFonts w:ascii="Arial" w:hAnsi="Arial" w:cs="Arial"/>
          <w:sz w:val="20"/>
          <w:szCs w:val="20"/>
        </w:rPr>
        <w:t>Mihael Kelemin, MK</w:t>
      </w:r>
      <w:r>
        <w:rPr>
          <w:rFonts w:ascii="Arial" w:hAnsi="Arial" w:cs="Arial"/>
          <w:sz w:val="20"/>
          <w:szCs w:val="20"/>
        </w:rPr>
        <w:t>;</w:t>
      </w:r>
    </w:p>
    <w:p w:rsidR="00FA65DE" w:rsidRPr="00E91809" w:rsidP="00FA65DE" w14:paraId="0CB46373" w14:textId="77777777">
      <w:pPr>
        <w:pStyle w:val="ListParagraph"/>
        <w:numPr>
          <w:ilvl w:val="0"/>
          <w:numId w:val="10"/>
        </w:numPr>
        <w:spacing w:after="0"/>
        <w:jc w:val="both"/>
        <w:rPr>
          <w:rFonts w:ascii="Arial" w:hAnsi="Arial" w:cs="Arial"/>
          <w:sz w:val="20"/>
          <w:szCs w:val="20"/>
        </w:rPr>
      </w:pPr>
      <w:r w:rsidRPr="00E91809">
        <w:rPr>
          <w:rFonts w:ascii="Arial" w:hAnsi="Arial" w:cs="Arial"/>
          <w:sz w:val="20"/>
          <w:szCs w:val="20"/>
        </w:rPr>
        <w:t>Inga Remeta</w:t>
      </w:r>
      <w:r>
        <w:rPr>
          <w:rFonts w:ascii="Arial" w:hAnsi="Arial" w:cs="Arial"/>
          <w:sz w:val="20"/>
          <w:szCs w:val="20"/>
        </w:rPr>
        <w:t>;</w:t>
      </w:r>
    </w:p>
    <w:p w:rsidR="00FA65DE" w:rsidRPr="00E91809" w:rsidP="00FA65DE" w14:paraId="7F57ECEB" w14:textId="77777777">
      <w:pPr>
        <w:pStyle w:val="ListParagraph"/>
        <w:spacing w:after="0"/>
        <w:ind w:left="720"/>
        <w:jc w:val="both"/>
        <w:rPr>
          <w:rFonts w:ascii="Arial" w:hAnsi="Arial" w:cs="Arial"/>
          <w:sz w:val="20"/>
          <w:szCs w:val="20"/>
        </w:rPr>
      </w:pPr>
    </w:p>
    <w:p w:rsidR="00FA65DE" w:rsidRPr="00E91809" w:rsidP="00FA65DE" w14:paraId="6B28F1C6" w14:textId="77777777">
      <w:pPr>
        <w:spacing w:line="276" w:lineRule="auto"/>
        <w:ind w:right="720"/>
        <w:jc w:val="both"/>
        <w:rPr>
          <w:rFonts w:cs="Arial"/>
          <w:b/>
          <w:bCs/>
          <w:szCs w:val="20"/>
          <w:lang w:val="sl-SI"/>
        </w:rPr>
      </w:pPr>
      <w:r w:rsidRPr="00E91809">
        <w:rPr>
          <w:rFonts w:cs="Arial"/>
          <w:b/>
          <w:bCs/>
          <w:szCs w:val="20"/>
          <w:lang w:val="sl-SI"/>
        </w:rPr>
        <w:t>Dnevni red:</w:t>
      </w:r>
    </w:p>
    <w:p w:rsidR="00FA65DE" w:rsidP="00FA65DE" w14:paraId="1CD02341" w14:textId="77777777">
      <w:pPr>
        <w:pStyle w:val="ListParagraph"/>
        <w:numPr>
          <w:ilvl w:val="0"/>
          <w:numId w:val="8"/>
        </w:numPr>
        <w:spacing w:after="0"/>
        <w:jc w:val="both"/>
        <w:rPr>
          <w:rFonts w:ascii="Arial" w:hAnsi="Arial" w:cs="Arial"/>
          <w:sz w:val="20"/>
          <w:szCs w:val="20"/>
        </w:rPr>
      </w:pPr>
      <w:r w:rsidRPr="00E91809">
        <w:rPr>
          <w:rFonts w:ascii="Arial" w:hAnsi="Arial" w:cs="Arial"/>
          <w:sz w:val="20"/>
          <w:szCs w:val="20"/>
        </w:rPr>
        <w:t>Potrditev zapisnik</w:t>
      </w:r>
      <w:r>
        <w:rPr>
          <w:rFonts w:ascii="Arial" w:hAnsi="Arial" w:cs="Arial"/>
          <w:sz w:val="20"/>
          <w:szCs w:val="20"/>
        </w:rPr>
        <w:t>a</w:t>
      </w:r>
      <w:r w:rsidRPr="00E91809">
        <w:rPr>
          <w:rFonts w:ascii="Arial" w:hAnsi="Arial" w:cs="Arial"/>
          <w:sz w:val="20"/>
          <w:szCs w:val="20"/>
        </w:rPr>
        <w:t xml:space="preserve"> 1</w:t>
      </w:r>
      <w:r>
        <w:rPr>
          <w:rFonts w:ascii="Arial" w:hAnsi="Arial" w:cs="Arial"/>
          <w:sz w:val="20"/>
          <w:szCs w:val="20"/>
        </w:rPr>
        <w:t>6</w:t>
      </w:r>
      <w:r w:rsidRPr="00E91809">
        <w:rPr>
          <w:rFonts w:ascii="Arial" w:hAnsi="Arial" w:cs="Arial"/>
          <w:sz w:val="20"/>
          <w:szCs w:val="20"/>
        </w:rPr>
        <w:t>.</w:t>
      </w:r>
      <w:r>
        <w:rPr>
          <w:rFonts w:ascii="Arial" w:hAnsi="Arial" w:cs="Arial"/>
          <w:sz w:val="20"/>
          <w:szCs w:val="20"/>
        </w:rPr>
        <w:t xml:space="preserve"> </w:t>
      </w:r>
      <w:r w:rsidRPr="00E91809">
        <w:rPr>
          <w:rFonts w:ascii="Arial" w:hAnsi="Arial" w:cs="Arial"/>
          <w:sz w:val="20"/>
          <w:szCs w:val="20"/>
        </w:rPr>
        <w:t>seje Delovne skupine za trajni dialog z nevladnimi organizacijami v kulturi</w:t>
      </w:r>
      <w:r>
        <w:rPr>
          <w:rFonts w:ascii="Arial" w:hAnsi="Arial" w:cs="Arial"/>
          <w:sz w:val="20"/>
          <w:szCs w:val="20"/>
        </w:rPr>
        <w:t>;</w:t>
      </w:r>
    </w:p>
    <w:p w:rsidR="00FA65DE" w:rsidP="00FA65DE" w14:paraId="77E544DC" w14:textId="77777777">
      <w:pPr>
        <w:pStyle w:val="ListParagraph"/>
        <w:numPr>
          <w:ilvl w:val="0"/>
          <w:numId w:val="8"/>
        </w:numPr>
        <w:spacing w:after="0"/>
        <w:jc w:val="both"/>
        <w:rPr>
          <w:rFonts w:ascii="Arial" w:hAnsi="Arial" w:cs="Arial"/>
          <w:sz w:val="20"/>
          <w:szCs w:val="20"/>
        </w:rPr>
      </w:pPr>
      <w:r>
        <w:rPr>
          <w:rFonts w:ascii="Arial" w:hAnsi="Arial" w:cs="Arial"/>
          <w:sz w:val="20"/>
          <w:szCs w:val="20"/>
        </w:rPr>
        <w:t>Pregled kohezijskih operacij v aktualni perspektivi (k točki vabljen Matej Čebohin Krt, vodja Službe za izvajanje kohezijske politike);</w:t>
      </w:r>
    </w:p>
    <w:p w:rsidR="00FA65DE" w:rsidP="00FA65DE" w14:paraId="318F9A5E" w14:textId="77777777">
      <w:pPr>
        <w:pStyle w:val="ListParagraph"/>
        <w:numPr>
          <w:ilvl w:val="0"/>
          <w:numId w:val="8"/>
        </w:numPr>
        <w:spacing w:after="0"/>
        <w:jc w:val="both"/>
        <w:rPr>
          <w:rFonts w:ascii="Arial" w:hAnsi="Arial" w:cs="Arial"/>
          <w:sz w:val="20"/>
          <w:szCs w:val="20"/>
        </w:rPr>
      </w:pPr>
      <w:r>
        <w:rPr>
          <w:rFonts w:ascii="Arial" w:hAnsi="Arial" w:cs="Arial"/>
          <w:sz w:val="20"/>
          <w:szCs w:val="20"/>
        </w:rPr>
        <w:t>Pogovor o Zakonu o Slovenskem avdiovizualnem centru, javni agenciji Republike Slovenije (k točki vabljen Blaž Mazi, generalni direktor Direktorata za medije);</w:t>
      </w:r>
    </w:p>
    <w:p w:rsidR="00FA65DE" w:rsidP="00FA65DE" w14:paraId="6D21D818" w14:textId="77777777">
      <w:pPr>
        <w:pStyle w:val="ListParagraph"/>
        <w:numPr>
          <w:ilvl w:val="0"/>
          <w:numId w:val="8"/>
        </w:numPr>
        <w:spacing w:after="0"/>
        <w:jc w:val="both"/>
        <w:rPr>
          <w:rFonts w:ascii="Arial" w:hAnsi="Arial" w:cs="Arial"/>
          <w:sz w:val="20"/>
          <w:szCs w:val="20"/>
        </w:rPr>
      </w:pPr>
      <w:r>
        <w:rPr>
          <w:rFonts w:ascii="Arial" w:hAnsi="Arial" w:cs="Arial"/>
          <w:sz w:val="20"/>
          <w:szCs w:val="20"/>
        </w:rPr>
        <w:t>Načrt dela skupine za leto 2026 in predlog tem za skupno sejo dialoških skupin;</w:t>
      </w:r>
    </w:p>
    <w:p w:rsidR="00FA65DE" w:rsidP="00FA65DE" w14:paraId="466C09A7" w14:textId="77777777">
      <w:pPr>
        <w:pStyle w:val="ListParagraph"/>
        <w:numPr>
          <w:ilvl w:val="0"/>
          <w:numId w:val="8"/>
        </w:numPr>
        <w:spacing w:after="0"/>
        <w:jc w:val="both"/>
        <w:rPr>
          <w:rFonts w:ascii="Arial" w:hAnsi="Arial" w:cs="Arial"/>
          <w:sz w:val="20"/>
          <w:szCs w:val="20"/>
        </w:rPr>
      </w:pPr>
      <w:r>
        <w:rPr>
          <w:rFonts w:ascii="Arial" w:hAnsi="Arial" w:cs="Arial"/>
          <w:sz w:val="20"/>
          <w:szCs w:val="20"/>
        </w:rPr>
        <w:t>Razno</w:t>
      </w:r>
    </w:p>
    <w:p w:rsidR="00FA65DE" w:rsidRPr="00B70919" w:rsidP="00FA65DE" w14:paraId="39BB2C1A" w14:textId="77777777">
      <w:pPr>
        <w:pStyle w:val="ListParagraph"/>
        <w:spacing w:after="0"/>
        <w:ind w:left="720"/>
        <w:jc w:val="both"/>
        <w:rPr>
          <w:rFonts w:ascii="Arial" w:hAnsi="Arial" w:cs="Arial"/>
          <w:sz w:val="20"/>
          <w:szCs w:val="20"/>
        </w:rPr>
      </w:pPr>
    </w:p>
    <w:p w:rsidR="00FA65DE" w:rsidRPr="00E91809" w:rsidP="00FA65DE" w14:paraId="5C97B284" w14:textId="77777777">
      <w:pPr>
        <w:spacing w:line="276" w:lineRule="auto"/>
        <w:jc w:val="both"/>
        <w:rPr>
          <w:rFonts w:cs="Arial"/>
          <w:szCs w:val="20"/>
          <w:lang w:val="sl-SI"/>
        </w:rPr>
      </w:pPr>
    </w:p>
    <w:p w:rsidR="00FA65DE" w:rsidRPr="00E91809" w:rsidP="00FA65DE" w14:paraId="42A86053" w14:textId="77777777">
      <w:pPr>
        <w:spacing w:line="276" w:lineRule="auto"/>
        <w:jc w:val="both"/>
        <w:rPr>
          <w:rFonts w:eastAsia="Calibri" w:cs="Arial"/>
          <w:b/>
          <w:bCs/>
          <w:szCs w:val="20"/>
          <w:lang w:val="sl-SI"/>
        </w:rPr>
      </w:pPr>
      <w:r w:rsidRPr="00E91809">
        <w:rPr>
          <w:rFonts w:eastAsia="Calibri" w:cs="Arial"/>
          <w:b/>
          <w:bCs/>
          <w:szCs w:val="20"/>
          <w:lang w:val="sl-SI"/>
        </w:rPr>
        <w:t>Sklep 1: Člani delovne skupine potrjujejo dnevni red 1</w:t>
      </w:r>
      <w:r>
        <w:rPr>
          <w:rFonts w:eastAsia="Calibri" w:cs="Arial"/>
          <w:b/>
          <w:bCs/>
          <w:szCs w:val="20"/>
          <w:lang w:val="sl-SI"/>
        </w:rPr>
        <w:t>7</w:t>
      </w:r>
      <w:r w:rsidRPr="00E91809">
        <w:rPr>
          <w:rFonts w:eastAsia="Calibri" w:cs="Arial"/>
          <w:b/>
          <w:bCs/>
          <w:szCs w:val="20"/>
          <w:lang w:val="sl-SI"/>
        </w:rPr>
        <w:t>. seje Delovne skupine za trajni dialog z nevladnimi organizacijami v kulturi.</w:t>
      </w:r>
    </w:p>
    <w:p w:rsidR="00FA65DE" w:rsidRPr="00E91809" w:rsidP="00FA65DE" w14:paraId="508418FB" w14:textId="77777777">
      <w:pPr>
        <w:spacing w:line="276" w:lineRule="auto"/>
        <w:jc w:val="both"/>
        <w:rPr>
          <w:rFonts w:eastAsia="Calibri" w:cs="Arial"/>
          <w:szCs w:val="20"/>
          <w:lang w:val="sl-SI"/>
        </w:rPr>
      </w:pPr>
    </w:p>
    <w:p w:rsidR="00FA65DE" w:rsidRPr="00E91809" w:rsidP="00FA65DE" w14:paraId="76BF444D" w14:textId="77777777">
      <w:pPr>
        <w:spacing w:line="276" w:lineRule="auto"/>
        <w:jc w:val="both"/>
        <w:rPr>
          <w:rFonts w:eastAsia="Calibri" w:cs="Arial"/>
          <w:szCs w:val="20"/>
          <w:lang w:val="sl-SI"/>
        </w:rPr>
      </w:pPr>
      <w:r w:rsidRPr="00E91809">
        <w:rPr>
          <w:rFonts w:eastAsia="Calibri" w:cs="Arial"/>
          <w:szCs w:val="20"/>
          <w:lang w:val="sl-SI"/>
        </w:rPr>
        <w:t>Sklep je bil soglasno potrjen s 7 glasovi ZA, 0 glasovi PROTI in 0 glasovi VZDRŽAN_A.</w:t>
      </w:r>
    </w:p>
    <w:p w:rsidR="00FA65DE" w:rsidRPr="00E91809" w:rsidP="00FA65DE" w14:paraId="22AC2620" w14:textId="77777777">
      <w:pPr>
        <w:spacing w:line="276" w:lineRule="auto"/>
        <w:jc w:val="both"/>
        <w:rPr>
          <w:rFonts w:eastAsia="Calibri" w:cs="Arial"/>
          <w:szCs w:val="20"/>
          <w:lang w:val="sl-SI"/>
        </w:rPr>
      </w:pPr>
    </w:p>
    <w:p w:rsidR="00FA65DE" w:rsidP="00FA65DE" w14:paraId="413F5FAF" w14:textId="77777777">
      <w:pPr>
        <w:spacing w:line="276" w:lineRule="auto"/>
        <w:jc w:val="both"/>
        <w:rPr>
          <w:rFonts w:eastAsia="Calibri" w:cs="Arial"/>
          <w:szCs w:val="20"/>
          <w:lang w:val="sl-SI"/>
        </w:rPr>
      </w:pPr>
    </w:p>
    <w:p w:rsidR="00FA65DE" w:rsidP="00FA65DE" w14:paraId="3746900C" w14:textId="77777777">
      <w:pPr>
        <w:spacing w:line="276" w:lineRule="auto"/>
        <w:jc w:val="both"/>
        <w:rPr>
          <w:rFonts w:eastAsia="Calibri" w:cs="Arial"/>
          <w:szCs w:val="20"/>
          <w:lang w:val="sl-SI"/>
        </w:rPr>
      </w:pPr>
    </w:p>
    <w:p w:rsidR="00FA65DE" w:rsidRPr="0068544B" w:rsidP="00FA65DE" w14:paraId="2910DD2D" w14:textId="77777777">
      <w:pPr>
        <w:spacing w:line="276" w:lineRule="auto"/>
        <w:jc w:val="both"/>
        <w:rPr>
          <w:rFonts w:eastAsia="Calibri" w:cs="Arial"/>
          <w:szCs w:val="20"/>
          <w:lang w:val="sl-SI"/>
        </w:rPr>
      </w:pPr>
    </w:p>
    <w:p w:rsidR="00FA65DE" w:rsidRPr="006F489C" w:rsidP="00FA65DE" w14:paraId="0701BF66" w14:textId="77777777">
      <w:pPr>
        <w:pStyle w:val="ListParagraph"/>
        <w:numPr>
          <w:ilvl w:val="0"/>
          <w:numId w:val="7"/>
        </w:numPr>
        <w:rPr>
          <w:rFonts w:ascii="Arial" w:hAnsi="Arial" w:cs="Arial"/>
          <w:b/>
          <w:bCs/>
          <w:sz w:val="20"/>
          <w:szCs w:val="20"/>
        </w:rPr>
      </w:pPr>
      <w:r w:rsidRPr="006F489C">
        <w:rPr>
          <w:rFonts w:ascii="Arial" w:hAnsi="Arial" w:cs="Arial"/>
          <w:b/>
          <w:bCs/>
          <w:sz w:val="20"/>
          <w:szCs w:val="20"/>
        </w:rPr>
        <w:t>Potrditev zapisnik</w:t>
      </w:r>
      <w:r>
        <w:rPr>
          <w:rFonts w:ascii="Arial" w:hAnsi="Arial" w:cs="Arial"/>
          <w:b/>
          <w:bCs/>
          <w:sz w:val="20"/>
          <w:szCs w:val="20"/>
        </w:rPr>
        <w:t>a</w:t>
      </w:r>
      <w:r w:rsidRPr="006F489C">
        <w:rPr>
          <w:rFonts w:ascii="Arial" w:hAnsi="Arial" w:cs="Arial"/>
          <w:b/>
          <w:bCs/>
          <w:sz w:val="20"/>
          <w:szCs w:val="20"/>
        </w:rPr>
        <w:t xml:space="preserve"> 1</w:t>
      </w:r>
      <w:r>
        <w:rPr>
          <w:rFonts w:ascii="Arial" w:hAnsi="Arial" w:cs="Arial"/>
          <w:b/>
          <w:bCs/>
          <w:sz w:val="20"/>
          <w:szCs w:val="20"/>
        </w:rPr>
        <w:t>6</w:t>
      </w:r>
      <w:r w:rsidRPr="006F489C">
        <w:rPr>
          <w:rFonts w:ascii="Arial" w:hAnsi="Arial" w:cs="Arial"/>
          <w:b/>
          <w:bCs/>
          <w:sz w:val="20"/>
          <w:szCs w:val="20"/>
        </w:rPr>
        <w:t>.</w:t>
      </w:r>
      <w:r>
        <w:rPr>
          <w:rFonts w:ascii="Arial" w:hAnsi="Arial" w:cs="Arial"/>
          <w:b/>
          <w:bCs/>
          <w:sz w:val="20"/>
          <w:szCs w:val="20"/>
        </w:rPr>
        <w:t xml:space="preserve"> seje</w:t>
      </w:r>
      <w:r w:rsidRPr="006F489C">
        <w:rPr>
          <w:rFonts w:ascii="Arial" w:hAnsi="Arial" w:cs="Arial"/>
          <w:b/>
          <w:bCs/>
          <w:sz w:val="20"/>
          <w:szCs w:val="20"/>
        </w:rPr>
        <w:t xml:space="preserve"> Delovne skupine za trajni dialog z nevladnimi organizacijami v kulturi</w:t>
      </w:r>
    </w:p>
    <w:p w:rsidR="00FA65DE" w:rsidRPr="006F489C" w:rsidP="00FA65DE" w14:paraId="69185A6F" w14:textId="77777777">
      <w:pPr>
        <w:spacing w:line="276" w:lineRule="auto"/>
        <w:jc w:val="both"/>
        <w:rPr>
          <w:rFonts w:cs="Arial"/>
          <w:szCs w:val="20"/>
          <w:lang w:val="sl-SI"/>
        </w:rPr>
      </w:pPr>
    </w:p>
    <w:p w:rsidR="00FA65DE" w:rsidRPr="006F489C" w:rsidP="00FA65DE" w14:paraId="66523EDF" w14:textId="77777777">
      <w:pPr>
        <w:spacing w:line="276" w:lineRule="auto"/>
        <w:rPr>
          <w:rFonts w:cs="Arial"/>
          <w:b/>
          <w:szCs w:val="20"/>
          <w:lang w:val="sl-SI"/>
        </w:rPr>
      </w:pPr>
      <w:r w:rsidRPr="006F489C">
        <w:rPr>
          <w:rFonts w:cs="Arial"/>
          <w:b/>
          <w:szCs w:val="20"/>
          <w:lang w:val="sl-SI"/>
        </w:rPr>
        <w:t>Sklep 2: Člani delovne skupine</w:t>
      </w:r>
      <w:r>
        <w:rPr>
          <w:rFonts w:cs="Arial"/>
          <w:b/>
          <w:szCs w:val="20"/>
          <w:lang w:val="sl-SI"/>
        </w:rPr>
        <w:t xml:space="preserve"> potrjujejo zapisnik 16. seje </w:t>
      </w:r>
      <w:r w:rsidRPr="006F489C">
        <w:rPr>
          <w:rFonts w:cs="Arial"/>
          <w:b/>
          <w:szCs w:val="20"/>
          <w:lang w:val="sl-SI"/>
        </w:rPr>
        <w:t>Delovne skupine za trajni dialog z nevladnimi organizacijami v kulturi potrdili pisno.</w:t>
      </w:r>
    </w:p>
    <w:p w:rsidR="00FA65DE" w:rsidRPr="006F489C" w:rsidP="00FA65DE" w14:paraId="7C42D616" w14:textId="77777777">
      <w:pPr>
        <w:spacing w:line="276" w:lineRule="auto"/>
        <w:rPr>
          <w:rFonts w:cs="Arial"/>
          <w:bCs/>
          <w:szCs w:val="20"/>
          <w:lang w:val="sl-SI"/>
        </w:rPr>
      </w:pPr>
    </w:p>
    <w:p w:rsidR="00FA65DE" w:rsidRPr="006F489C" w:rsidP="00FA65DE" w14:paraId="2B1C0B78" w14:textId="77777777">
      <w:pPr>
        <w:spacing w:line="276" w:lineRule="auto"/>
        <w:rPr>
          <w:rFonts w:cs="Arial"/>
          <w:bCs/>
          <w:szCs w:val="20"/>
          <w:lang w:val="sl-SI"/>
        </w:rPr>
      </w:pPr>
      <w:r w:rsidRPr="006F489C">
        <w:rPr>
          <w:rFonts w:cs="Arial"/>
          <w:bCs/>
          <w:szCs w:val="20"/>
          <w:lang w:val="sl-SI"/>
        </w:rPr>
        <w:t xml:space="preserve">Sklep je bil soglasno potrjen s </w:t>
      </w:r>
      <w:r>
        <w:rPr>
          <w:rFonts w:cs="Arial"/>
          <w:bCs/>
          <w:szCs w:val="20"/>
          <w:lang w:val="sl-SI"/>
        </w:rPr>
        <w:t>7</w:t>
      </w:r>
      <w:r w:rsidRPr="006F489C">
        <w:rPr>
          <w:rFonts w:cs="Arial"/>
          <w:bCs/>
          <w:szCs w:val="20"/>
          <w:lang w:val="sl-SI"/>
        </w:rPr>
        <w:t xml:space="preserve"> glasovi ZA, 0 glasovi PROTI in 0 glasovi VZDRŽAN_A. </w:t>
      </w:r>
    </w:p>
    <w:p w:rsidR="00FA65DE" w:rsidRPr="006F489C" w:rsidP="00FA65DE" w14:paraId="6DF0CFA3" w14:textId="77777777">
      <w:pPr>
        <w:spacing w:line="276" w:lineRule="auto"/>
        <w:rPr>
          <w:rFonts w:cs="Arial"/>
          <w:bCs/>
          <w:szCs w:val="20"/>
          <w:lang w:val="sl-SI"/>
        </w:rPr>
      </w:pPr>
    </w:p>
    <w:p w:rsidR="00FA65DE" w:rsidRPr="006F489C" w:rsidP="00FA65DE" w14:paraId="4A5A8046" w14:textId="77777777">
      <w:pPr>
        <w:spacing w:line="276" w:lineRule="auto"/>
        <w:rPr>
          <w:rFonts w:cs="Arial"/>
          <w:bCs/>
          <w:szCs w:val="20"/>
          <w:lang w:val="sl-SI"/>
        </w:rPr>
      </w:pPr>
    </w:p>
    <w:p w:rsidR="00FA65DE" w:rsidRPr="006F489C" w:rsidP="00FA65DE" w14:paraId="0CF7D22D" w14:textId="77777777">
      <w:pPr>
        <w:pStyle w:val="ListParagraph"/>
        <w:numPr>
          <w:ilvl w:val="0"/>
          <w:numId w:val="7"/>
        </w:numPr>
        <w:rPr>
          <w:rFonts w:ascii="Arial" w:hAnsi="Arial" w:cs="Arial"/>
          <w:b/>
          <w:sz w:val="20"/>
          <w:szCs w:val="20"/>
        </w:rPr>
      </w:pPr>
      <w:r w:rsidRPr="006F489C">
        <w:rPr>
          <w:rFonts w:ascii="Arial" w:hAnsi="Arial" w:cs="Arial"/>
          <w:b/>
          <w:sz w:val="20"/>
          <w:szCs w:val="20"/>
        </w:rPr>
        <w:t>Pr</w:t>
      </w:r>
      <w:r>
        <w:rPr>
          <w:rFonts w:ascii="Arial" w:hAnsi="Arial" w:cs="Arial"/>
          <w:b/>
          <w:sz w:val="20"/>
          <w:szCs w:val="20"/>
        </w:rPr>
        <w:t>egled kohezijskih operacij v aktualni perspektivi</w:t>
      </w:r>
    </w:p>
    <w:p w:rsidR="00FA65DE" w:rsidRPr="006F489C" w:rsidP="00FA65DE" w14:paraId="1A46CC89" w14:textId="77777777">
      <w:pPr>
        <w:spacing w:line="276" w:lineRule="auto"/>
        <w:rPr>
          <w:rFonts w:cs="Arial"/>
          <w:bCs/>
          <w:szCs w:val="20"/>
          <w:lang w:val="sl-SI"/>
        </w:rPr>
      </w:pPr>
    </w:p>
    <w:p w:rsidR="00FA65DE" w:rsidRPr="00207238" w:rsidP="00FA65DE" w14:paraId="2921627C" w14:textId="77777777">
      <w:pPr>
        <w:spacing w:line="276" w:lineRule="auto"/>
        <w:jc w:val="both"/>
        <w:rPr>
          <w:rFonts w:cs="Arial"/>
          <w:szCs w:val="20"/>
          <w:lang w:val="sl-SI"/>
        </w:rPr>
      </w:pPr>
      <w:r w:rsidRPr="00207238">
        <w:rPr>
          <w:rFonts w:cs="Arial"/>
          <w:szCs w:val="20"/>
          <w:lang w:val="sl-SI"/>
        </w:rPr>
        <w:t xml:space="preserve">Matej Čebohin Krt je pojasnil, da je v okviru evropske kohezijske politike na Ministrstvu za kulturo trenutno v izvajanju 29 operacij, in sicer od neposrednih potrditev do 17 različnih javnih razpisov, ki jih izvajajo ministrstvo ali javni zavodi. V letu 2025 pričakujejo, da bo do konca leta potrjenih 19 operacij, kar predstavlja obsežen obseg dela. Trenutno so pri organu upravljanja v obravnavi tri operacije, med njimi tudi operacija Javni razpis za izbor operacij Spodbujanje raziskovalnih umetnosti in kulture, o kateri je že tekla beseda na prejšnji seji. Operacija je trenutno v četrti dopolnitvi, kar pomeni četrti krog usklajevanj z organom upravljanja. Pojasnil je, da se zahteve intenzivno obravnavajo, ter da upajo, da bo postopek v kratkem zaključen. </w:t>
      </w:r>
    </w:p>
    <w:p w:rsidR="00FA65DE" w:rsidRPr="00207238" w:rsidP="00FA65DE" w14:paraId="00CC0A2A" w14:textId="77777777">
      <w:pPr>
        <w:spacing w:line="276" w:lineRule="auto"/>
        <w:jc w:val="both"/>
        <w:rPr>
          <w:rFonts w:cs="Arial"/>
          <w:szCs w:val="20"/>
          <w:lang w:val="sl-SI"/>
        </w:rPr>
      </w:pPr>
    </w:p>
    <w:p w:rsidR="00FA65DE" w:rsidRPr="00207238" w:rsidP="00FA65DE" w14:paraId="2EAE9BF1" w14:textId="77777777">
      <w:pPr>
        <w:spacing w:line="276" w:lineRule="auto"/>
        <w:jc w:val="both"/>
        <w:rPr>
          <w:rFonts w:cs="Arial"/>
          <w:szCs w:val="20"/>
          <w:lang w:val="sl-SI"/>
        </w:rPr>
      </w:pPr>
      <w:r w:rsidRPr="00207238">
        <w:rPr>
          <w:rFonts w:cs="Arial"/>
          <w:szCs w:val="20"/>
          <w:lang w:val="sl-SI"/>
        </w:rPr>
        <w:t>Uroš Veber je v razpravi poudaril, da gre pri obravnavani operaciji za nadaljevanje projekta iz prejšnje perspektive. Ta (iz prejšnje perspektive) je bil prvotno ocenjen na 9,5 milijona evrov. Po njegovih navedbah je bil projekt v preteklih mandatih zaradi političnih odločitev razdeljen na dva dela, kar je skupaj z menjavami oblasti in večletnim zamikom povzročilo bistveno zmanjšanje obsega projekta. Ob tem je opozoril tudi na kumulativno inflacijo v višini približno 15–25 % v obdobju desetih let, kar je po njegovem mnenju dodatno vplivalo na realno vrednost projekta. Izpostavil je, da bi moral biti projekt zaradi svoje narave eden prvih potrjenih, vendar se postopek kljub temu še vedno ni zaključil. Opozoril je na negativne posledice dolgotrajne negotovosti glede projekta med intermedijskimi producenti. Meni, da so se posamezne organizacije zaradi pomanjkanja stabilnega financiranja preusmerile v tržno usmerjene dejavnosti ali druge sektorje, pri čemer je del strokovnega kadra zapustil področje. Zaključil je s pozivom k jasni in neposredni komunikaciji med pristojnimi ministrstvi, saj bi bilo po njegovih besedah marsikatero vprašanje mogoče razrešiti z neposrednim usklajevanjem, namesto dolgotrajnega uradnega dopisovanja.</w:t>
      </w:r>
    </w:p>
    <w:p w:rsidR="00FA65DE" w:rsidRPr="00207238" w:rsidP="00FA65DE" w14:paraId="7BA1263E" w14:textId="77777777">
      <w:pPr>
        <w:spacing w:line="276" w:lineRule="auto"/>
        <w:jc w:val="both"/>
        <w:rPr>
          <w:rFonts w:cs="Arial"/>
          <w:szCs w:val="20"/>
          <w:lang w:val="sl-SI"/>
        </w:rPr>
      </w:pPr>
    </w:p>
    <w:p w:rsidR="00FA65DE" w:rsidRPr="00207238" w:rsidP="00FA65DE" w14:paraId="70451EFB" w14:textId="77777777">
      <w:pPr>
        <w:spacing w:line="276" w:lineRule="auto"/>
        <w:jc w:val="both"/>
        <w:rPr>
          <w:rFonts w:cs="Arial"/>
          <w:szCs w:val="20"/>
          <w:lang w:val="sl-SI"/>
        </w:rPr>
      </w:pPr>
      <w:r w:rsidRPr="00207238">
        <w:rPr>
          <w:rFonts w:cs="Arial"/>
          <w:szCs w:val="20"/>
          <w:lang w:val="sl-SI"/>
        </w:rPr>
        <w:t>Borut Pelko je poudaril, da se s podobnimi vprašanji sooča že več kot 15 let. Opozoril je, da zaposleni v javnem sektorju pogosto niso seznanjeni z realnimi razmerami v nevladnem sektorju, kjer pomanjkanje kontinuitete financiranja resno ogroža delovanje organizacij in povzroča odhode kadrov. Izpostavil je, da je edina stabilna oblika financiranja na Ministrstvu za kulturo programski razpis, medtem ko ostali viri ne zagotavljajo osnovne kontinuitete, niti za t. i. »hladni pogon«. Nevladne organizacije so zato prisiljene zagotavljati osnovne stroške delovanja (plače, energente, obratovalne stroške) iz projektnih sredstev, ki bi morala biti namenjena nadgradnji dejavnosti. Takšen sistem po njegovih besedah ni primerljiv s prakso v drugih evropskih državah, kjer je nevladni sektor sistemsko umeščen in stabilneje financiran. Nadalje je izrazil kritiko dolgotrajnih postopkov, medresorske neusklajenosti in pomanjkanja neposrednega dialoga, kar po njegovem mnenju vodi v ponavljanje istih težav že več desetletij. Poudaril je, da problem ni v pomanjkanju strokovnosti ali angažiranosti na terenu, temveč v neučinkovitih sistemskih mehanizmih. Ob zaključku je izpostavil, da si deležniki na področju kulture prizadevajo za rešitve po institucionalni poti ter si želijo jasnih, delujočih in dolgoročnih sistemskih ureditev, ki bi omogočale stabilno delovanje sektorja v javno korist.</w:t>
      </w:r>
    </w:p>
    <w:p w:rsidR="00FA65DE" w:rsidRPr="00207238" w:rsidP="00FA65DE" w14:paraId="26C26E8F" w14:textId="77777777">
      <w:pPr>
        <w:spacing w:line="276" w:lineRule="auto"/>
        <w:jc w:val="both"/>
        <w:rPr>
          <w:rFonts w:cs="Arial"/>
          <w:szCs w:val="20"/>
          <w:lang w:val="sl-SI"/>
        </w:rPr>
      </w:pPr>
    </w:p>
    <w:p w:rsidR="00FA65DE" w:rsidP="00FA65DE" w14:paraId="0C1822AB" w14:textId="77777777">
      <w:pPr>
        <w:spacing w:line="276" w:lineRule="auto"/>
        <w:jc w:val="both"/>
        <w:rPr>
          <w:rFonts w:cs="Arial"/>
          <w:szCs w:val="20"/>
          <w:lang w:val="sl-SI"/>
        </w:rPr>
      </w:pPr>
      <w:r w:rsidRPr="00207238">
        <w:rPr>
          <w:rFonts w:cs="Arial"/>
          <w:szCs w:val="20"/>
          <w:lang w:val="sl-SI"/>
        </w:rPr>
        <w:t>Barbara Koželj Podlogar je poudarila, da razmere niso problematične zaradi pomanjkanja angažiranosti zaposlenih v javni upravi. Poudarila je, da razpisi za nevladni sektor potekajo kontinuirano, vključno z novimi razpisi. Poudarila je, da so vsi na ministrstvu zavezani področju kulture in delujejo v javnem interesu ter se zavedajo težav, s katerimi se sooča nevladni sektor. Opozorila je, da primerjave s tujimi praksami niso vedno neposredno prenosljive ter da nevladne organizacije tudi v drugih državah niso povsem izenačene z javnimi zavodi. Izpostavila je, da so razmere v zvezi s kohezijskimi sredstvi resne in zahtevne, vendar gre za sistemski problem. Pojasnila je, da se z obravnavano problematiko vsakodnevno intenzivno ukvarjajo in si prizadevajo za čimprejšnjo rešitev.</w:t>
      </w:r>
    </w:p>
    <w:p w:rsidR="00FA65DE" w:rsidP="00FA65DE" w14:paraId="14F6AEE0" w14:textId="77777777">
      <w:pPr>
        <w:spacing w:line="276" w:lineRule="auto"/>
        <w:jc w:val="both"/>
        <w:rPr>
          <w:rFonts w:cs="Arial"/>
          <w:szCs w:val="20"/>
          <w:lang w:val="sl-SI"/>
        </w:rPr>
      </w:pPr>
    </w:p>
    <w:p w:rsidR="00FA65DE" w:rsidP="00FA65DE" w14:paraId="569F760E" w14:textId="77777777">
      <w:pPr>
        <w:spacing w:line="276" w:lineRule="auto"/>
        <w:jc w:val="both"/>
        <w:rPr>
          <w:rFonts w:cs="Arial"/>
          <w:szCs w:val="20"/>
          <w:lang w:val="sl-SI"/>
        </w:rPr>
      </w:pPr>
    </w:p>
    <w:p w:rsidR="00FA65DE" w:rsidP="00FA65DE" w14:paraId="3E80D725" w14:textId="77777777">
      <w:pPr>
        <w:pStyle w:val="ListParagraph"/>
        <w:numPr>
          <w:ilvl w:val="0"/>
          <w:numId w:val="7"/>
        </w:numPr>
        <w:jc w:val="both"/>
        <w:rPr>
          <w:rFonts w:cs="Arial"/>
          <w:b/>
          <w:bCs/>
          <w:szCs w:val="20"/>
        </w:rPr>
      </w:pPr>
      <w:r>
        <w:rPr>
          <w:rFonts w:cs="Arial"/>
          <w:b/>
          <w:bCs/>
          <w:szCs w:val="20"/>
        </w:rPr>
        <w:t>Pogovor o Zakonu o Slovenskem avdiovizualnem centru, javni agenciji Republike Slovenije</w:t>
      </w:r>
    </w:p>
    <w:p w:rsidR="00FA65DE" w:rsidP="00FA65DE" w14:paraId="6FCA7B08" w14:textId="77777777">
      <w:pPr>
        <w:jc w:val="both"/>
        <w:rPr>
          <w:rFonts w:cs="Arial"/>
          <w:szCs w:val="20"/>
        </w:rPr>
      </w:pPr>
    </w:p>
    <w:p w:rsidR="00FA65DE" w:rsidRPr="00493E5D" w:rsidP="00FA65DE" w14:paraId="45DEE4E2" w14:textId="77777777">
      <w:pPr>
        <w:jc w:val="both"/>
        <w:rPr>
          <w:rFonts w:cs="Arial"/>
          <w:szCs w:val="20"/>
        </w:rPr>
      </w:pPr>
      <w:r w:rsidRPr="00493E5D">
        <w:rPr>
          <w:rFonts w:cs="Arial"/>
          <w:szCs w:val="20"/>
        </w:rPr>
        <w:t xml:space="preserve">Blaž Mazi, generalni direktor Direktorata za medije, je uvodoma pojasnil, da je predlog zakona v medresorskem usklajevanju in da so organi k procesu pristopili resno. Najbolj pomembne pripombe iz javne razprave so bile podane glede postopkov, organov, pogojev in meril, kar je pričakovano, saj predlagani filmski zakon združuje Slovenski filmski center in javni zavod Viba film ter uvaja določene nove postopke. Poudaril je, da so pripombe drugih resorjev večinoma sistemske narave in se nanašajo na usklajevanje nove ureditve z ostalo državno upravo. Glede združitve Vibe in Slovenskega filmskega centra je pojasnil, da je proces tehnično in organizacijsko zahteven, predvsem zaradi opreme in vzdrževanja tehničnih virov. Kadri bi ostali, glavni izziv pa je zagotovitev funkcionalnosti nove institucije. Ime nove združene institucije bo Slovenski avdiovizualni center Viba, da se ohrani tradicija in prepoznavnost obstoječih ustanov. Pojasnil je, da bi morale vse odprte zadeve v medresorskem usklajevanju biti rešene do konca leta, čeprav zaradi kompleksnosti postopkov in večjega števila zadev ministrstva postopek traja nekoliko dlje. Dodal je, da je zakon zelo zahteven. Predvideva, da bo zakon do novega leta usklajen. </w:t>
      </w:r>
    </w:p>
    <w:p w:rsidR="00FA65DE" w:rsidRPr="00493E5D" w:rsidP="00FA65DE" w14:paraId="12FF7910" w14:textId="77777777">
      <w:pPr>
        <w:jc w:val="both"/>
        <w:rPr>
          <w:rFonts w:cs="Arial"/>
          <w:szCs w:val="20"/>
        </w:rPr>
      </w:pPr>
    </w:p>
    <w:p w:rsidR="00FA65DE" w:rsidRPr="00493E5D" w:rsidP="00FA65DE" w14:paraId="6DD40ECF" w14:textId="573138C4">
      <w:pPr>
        <w:jc w:val="both"/>
        <w:rPr>
          <w:rFonts w:cs="Arial"/>
          <w:szCs w:val="20"/>
        </w:rPr>
      </w:pPr>
      <w:r w:rsidRPr="00493E5D">
        <w:rPr>
          <w:rFonts w:cs="Arial"/>
          <w:szCs w:val="20"/>
        </w:rPr>
        <w:t xml:space="preserve">Violeta Videnović je opozorila na sestavo sveta, predvideno v predlogu zakona. Izrazila je pomisleke, da so v svetu vključeni vsi člani, ki niso neposredno povezani s filmskim sektorjem, kar po njenem mnenju lahko vpliva na kakovost odločanja. Poudarila je, da praksa delovanja svetov pogosto kaže na pomanjkanje vsebinskega razumevanja obravnavanih tem. Opozorila je tudi na programski svet, v katerem je predvidenih devet članov z obsežnimi pristojnostmi odločanja, pri </w:t>
      </w:r>
      <w:r w:rsidRPr="00146A2A">
        <w:rPr>
          <w:rFonts w:cs="Arial"/>
          <w:szCs w:val="20"/>
          <w:lang w:val="sl-SI"/>
        </w:rPr>
        <w:t>čemer zakon ne predvideva</w:t>
      </w:r>
      <w:r w:rsidRPr="00146A2A" w:rsidR="00146A2A">
        <w:rPr>
          <w:rFonts w:cs="Arial"/>
          <w:szCs w:val="20"/>
          <w:lang w:val="sl-SI"/>
        </w:rPr>
        <w:t xml:space="preserve"> zaposlitev </w:t>
      </w:r>
      <w:r w:rsidRPr="00146A2A">
        <w:rPr>
          <w:rFonts w:cs="Arial"/>
          <w:szCs w:val="20"/>
          <w:lang w:val="sl-SI"/>
        </w:rPr>
        <w:t>za njihovo delo.</w:t>
      </w:r>
      <w:r w:rsidRPr="00493E5D">
        <w:rPr>
          <w:rFonts w:cs="Arial"/>
          <w:szCs w:val="20"/>
        </w:rPr>
        <w:t xml:space="preserve"> Po njenem mnenju bi obseg dela onemogočal, da bi ti posamezniki hkrati opravljali aktivno delo na filmskem področju, zato bi bilo potrebno ustrezno sistemsko urediti njihovo plačilo.</w:t>
      </w:r>
    </w:p>
    <w:p w:rsidR="00FA65DE" w:rsidRPr="00493E5D" w:rsidP="00FA65DE" w14:paraId="7B491DA5" w14:textId="77777777">
      <w:pPr>
        <w:jc w:val="both"/>
        <w:rPr>
          <w:rFonts w:cs="Arial"/>
          <w:szCs w:val="20"/>
        </w:rPr>
      </w:pPr>
    </w:p>
    <w:p w:rsidR="00FA65DE" w:rsidRPr="00493E5D" w:rsidP="00FA65DE" w14:paraId="3F034C49" w14:textId="77777777">
      <w:pPr>
        <w:jc w:val="both"/>
        <w:rPr>
          <w:rFonts w:cs="Arial"/>
          <w:szCs w:val="20"/>
        </w:rPr>
      </w:pPr>
      <w:r w:rsidRPr="00493E5D">
        <w:rPr>
          <w:rFonts w:cs="Arial"/>
          <w:szCs w:val="20"/>
        </w:rPr>
        <w:t xml:space="preserve">Blaž Mazi je v odgovoru pojasnil, da so bila glede sestave sveta in vprašanja honorarjev že opravljena usklajevanja ter da so bila ta vprašanja posredovana v nadaljnjo obravnavo. </w:t>
      </w:r>
    </w:p>
    <w:p w:rsidR="00FA65DE" w:rsidRPr="00493E5D" w:rsidP="00FA65DE" w14:paraId="7C926468" w14:textId="77777777">
      <w:pPr>
        <w:jc w:val="both"/>
        <w:rPr>
          <w:rFonts w:cs="Arial"/>
          <w:szCs w:val="20"/>
        </w:rPr>
      </w:pPr>
    </w:p>
    <w:p w:rsidR="00FA65DE" w:rsidRPr="00493E5D" w:rsidP="00FA65DE" w14:paraId="1722EC76" w14:textId="77777777">
      <w:pPr>
        <w:jc w:val="both"/>
        <w:rPr>
          <w:rFonts w:cs="Arial"/>
          <w:szCs w:val="20"/>
        </w:rPr>
      </w:pPr>
      <w:r w:rsidRPr="00493E5D">
        <w:rPr>
          <w:rFonts w:cs="Arial"/>
          <w:szCs w:val="20"/>
        </w:rPr>
        <w:t>Violeta Videnović je nadalje opozorila na tveganje osebnih interesov v zakonskih in podzakonskih ureditvah ter izpostavila, da so se takšne prakse v preteklosti že večkrat pokazale. Posebej je izpostavila letošnje delovanje filmskega sektorja v povezavi z NRP-ji. Poudarila je, da so bile težave znane že maja, rešitve pa so bile sprejete šele tik pred Festivalom slovenskega filma, in to s posredovanjem ministrstva za kulturo.</w:t>
      </w:r>
    </w:p>
    <w:p w:rsidR="00FA65DE" w:rsidRPr="00493E5D" w:rsidP="00FA65DE" w14:paraId="31D615F4" w14:textId="77777777">
      <w:pPr>
        <w:jc w:val="both"/>
        <w:rPr>
          <w:rFonts w:cs="Arial"/>
          <w:szCs w:val="20"/>
        </w:rPr>
      </w:pPr>
    </w:p>
    <w:p w:rsidR="00FA65DE" w:rsidRPr="00493E5D" w:rsidP="00FA65DE" w14:paraId="7D14F61F" w14:textId="77777777">
      <w:pPr>
        <w:jc w:val="both"/>
        <w:rPr>
          <w:rFonts w:cs="Arial"/>
          <w:szCs w:val="20"/>
        </w:rPr>
      </w:pPr>
      <w:r w:rsidRPr="00493E5D">
        <w:rPr>
          <w:rFonts w:cs="Arial"/>
          <w:szCs w:val="20"/>
        </w:rPr>
        <w:t>Blaž Mazi je pojasnil, da so se vse poletje aktivno zavzemali za reševanje nastale situacije.</w:t>
      </w:r>
    </w:p>
    <w:p w:rsidR="00FA65DE" w:rsidRPr="00493E5D" w:rsidP="00FA65DE" w14:paraId="28330437" w14:textId="77777777">
      <w:pPr>
        <w:jc w:val="both"/>
        <w:rPr>
          <w:rFonts w:cs="Arial"/>
          <w:szCs w:val="20"/>
        </w:rPr>
      </w:pPr>
    </w:p>
    <w:p w:rsidR="00FA65DE" w:rsidRPr="00493E5D" w:rsidP="00FA65DE" w14:paraId="48357CAF" w14:textId="77777777">
      <w:pPr>
        <w:jc w:val="both"/>
        <w:rPr>
          <w:rFonts w:cs="Arial"/>
          <w:szCs w:val="20"/>
        </w:rPr>
      </w:pPr>
      <w:r w:rsidRPr="00493E5D">
        <w:rPr>
          <w:rFonts w:cs="Arial"/>
          <w:szCs w:val="20"/>
        </w:rPr>
        <w:t xml:space="preserve">Violeta Videnović je ob zaključku poudarila potrebo po sistemski rešitvi do izteka mandata, da se tovrstne razmere v prihodnje ne bi ponavljale. Spomnila je na leto 2020, ko so se ob sprejemanju NRP-jev v času epidemije pojavile resne finančne stiske, vključno s primeri, ko so posamezniki </w:t>
      </w:r>
      <w:r w:rsidRPr="00493E5D">
        <w:rPr>
          <w:rFonts w:cs="Arial"/>
          <w:szCs w:val="20"/>
        </w:rPr>
        <w:t>prodajali osebno premoženje za poplačilo obveznosti v filmski produkciji. Opozorila je, da so se tudi letos zaradi neurejenega sistema izplačila za zahtevke zamikala vse od marca.</w:t>
      </w:r>
    </w:p>
    <w:p w:rsidR="00FA65DE" w:rsidRPr="00493E5D" w:rsidP="00FA65DE" w14:paraId="46FD2316" w14:textId="77777777">
      <w:pPr>
        <w:jc w:val="both"/>
        <w:rPr>
          <w:rFonts w:cs="Arial"/>
          <w:szCs w:val="20"/>
        </w:rPr>
      </w:pPr>
    </w:p>
    <w:p w:rsidR="00FA65DE" w:rsidRPr="00493E5D" w:rsidP="00FA65DE" w14:paraId="7837D0D7" w14:textId="77777777">
      <w:pPr>
        <w:jc w:val="both"/>
        <w:rPr>
          <w:rFonts w:cs="Arial"/>
          <w:szCs w:val="20"/>
        </w:rPr>
      </w:pPr>
      <w:r w:rsidRPr="00493E5D">
        <w:rPr>
          <w:rFonts w:cs="Arial"/>
          <w:szCs w:val="20"/>
        </w:rPr>
        <w:t>Uroš Veber je opozoril, da se pri javnem denarju ne sme uporabljati logike gospodarstva. Izpostavil je, da lahko pri resnih investicijah zaradi zastojev sistem hitro postane neobvladljiv, pri čemer je dodal, da je takih primerov sicer malo.</w:t>
      </w:r>
    </w:p>
    <w:p w:rsidR="00FA65DE" w:rsidRPr="00493E5D" w:rsidP="00FA65DE" w14:paraId="1053BDBF" w14:textId="77777777">
      <w:pPr>
        <w:jc w:val="both"/>
        <w:rPr>
          <w:rFonts w:cs="Arial"/>
          <w:szCs w:val="20"/>
        </w:rPr>
      </w:pPr>
    </w:p>
    <w:p w:rsidR="00FA65DE" w:rsidRPr="00493E5D" w:rsidP="00FA65DE" w14:paraId="77A302C1" w14:textId="77777777">
      <w:pPr>
        <w:jc w:val="both"/>
        <w:rPr>
          <w:rFonts w:cs="Arial"/>
          <w:szCs w:val="20"/>
        </w:rPr>
      </w:pPr>
      <w:r w:rsidRPr="00493E5D">
        <w:rPr>
          <w:rFonts w:cs="Arial"/>
          <w:szCs w:val="20"/>
        </w:rPr>
        <w:t>Blaž Mazi je pojasnil, da je eden ključnih razlogov za združevanje institucij kadrovska podhranjenost na strani Slovenskega filmskega centra.</w:t>
      </w:r>
    </w:p>
    <w:p w:rsidR="00FA65DE" w:rsidRPr="00493E5D" w:rsidP="00FA65DE" w14:paraId="43AD930F" w14:textId="77777777">
      <w:pPr>
        <w:jc w:val="both"/>
        <w:rPr>
          <w:rFonts w:cs="Arial"/>
          <w:szCs w:val="20"/>
        </w:rPr>
      </w:pPr>
    </w:p>
    <w:p w:rsidR="00FA65DE" w:rsidRPr="00493E5D" w:rsidP="00FA65DE" w14:paraId="74EF847B" w14:textId="77777777">
      <w:pPr>
        <w:jc w:val="both"/>
        <w:rPr>
          <w:rFonts w:cs="Arial"/>
          <w:szCs w:val="20"/>
        </w:rPr>
      </w:pPr>
      <w:r w:rsidRPr="00493E5D">
        <w:rPr>
          <w:rFonts w:cs="Arial"/>
          <w:szCs w:val="20"/>
        </w:rPr>
        <w:t>Violeta Videnović je izpostavila, da dodatno zaposlovanje ne bi bilo potrebno, če bi se film izvzel iz sistema NRP oziroma bi se NRP-ji za film ukinili. Opozorila je, da je prehod s skupinskih na individualne postopke povzročil skok administrativnih obremenitev, posebej pri projektih nad 100.000 EUR, ter ocenila, da bi ob obstoječi ureditvi potrebovali več dodatnih zaposlenih.</w:t>
      </w:r>
    </w:p>
    <w:p w:rsidR="00FA65DE" w:rsidRPr="00493E5D" w:rsidP="00FA65DE" w14:paraId="23BA6151" w14:textId="77777777">
      <w:pPr>
        <w:jc w:val="both"/>
        <w:rPr>
          <w:rFonts w:cs="Arial"/>
          <w:szCs w:val="20"/>
        </w:rPr>
      </w:pPr>
    </w:p>
    <w:p w:rsidR="00FA65DE" w:rsidRPr="00493E5D" w:rsidP="00FA65DE" w14:paraId="40341301" w14:textId="77777777">
      <w:pPr>
        <w:jc w:val="both"/>
        <w:rPr>
          <w:rFonts w:cs="Arial"/>
          <w:szCs w:val="20"/>
        </w:rPr>
      </w:pPr>
      <w:r w:rsidRPr="00493E5D">
        <w:rPr>
          <w:rFonts w:cs="Arial"/>
          <w:szCs w:val="20"/>
        </w:rPr>
        <w:t>Blaž Mazi je pojasnil, da je bil v tem tednu pripravljen amandma k zakonu o izvrševanju proračuna, pri čemer se trenutno odloča o možnosti izjeme za filmske projekte.</w:t>
      </w:r>
    </w:p>
    <w:p w:rsidR="00FA65DE" w:rsidRPr="00493E5D" w:rsidP="00FA65DE" w14:paraId="28C9D825" w14:textId="77777777">
      <w:pPr>
        <w:jc w:val="both"/>
        <w:rPr>
          <w:rFonts w:cs="Arial"/>
          <w:szCs w:val="20"/>
        </w:rPr>
      </w:pPr>
    </w:p>
    <w:p w:rsidR="00FA65DE" w:rsidRPr="00493E5D" w:rsidP="00FA65DE" w14:paraId="6275C18E" w14:textId="77777777">
      <w:pPr>
        <w:jc w:val="both"/>
        <w:rPr>
          <w:rFonts w:cs="Arial"/>
          <w:szCs w:val="20"/>
        </w:rPr>
      </w:pPr>
      <w:r w:rsidRPr="00493E5D">
        <w:rPr>
          <w:rFonts w:cs="Arial"/>
          <w:szCs w:val="20"/>
        </w:rPr>
        <w:t>Violeta Videnović je predlagal, da bi film lahko izključili iz obstoječe investicijske sheme, ker po njenem mnenju vsebinsko ne sodi vanjo. Poudarila je, da so filmski projekti po naravi subvencije, čeprav se v postopkih obravnavajo kot investicije.</w:t>
      </w:r>
    </w:p>
    <w:p w:rsidR="00FA65DE" w:rsidRPr="00493E5D" w:rsidP="00FA65DE" w14:paraId="5A8F54AD" w14:textId="77777777">
      <w:pPr>
        <w:jc w:val="both"/>
        <w:rPr>
          <w:rFonts w:cs="Arial"/>
          <w:szCs w:val="20"/>
        </w:rPr>
      </w:pPr>
    </w:p>
    <w:p w:rsidR="00FA65DE" w:rsidRPr="00493E5D" w:rsidP="00FA65DE" w14:paraId="47B066DC" w14:textId="77777777">
      <w:pPr>
        <w:jc w:val="both"/>
        <w:rPr>
          <w:rFonts w:cs="Arial"/>
          <w:szCs w:val="20"/>
        </w:rPr>
      </w:pPr>
      <w:r w:rsidRPr="00493E5D">
        <w:rPr>
          <w:rFonts w:cs="Arial"/>
          <w:szCs w:val="20"/>
        </w:rPr>
        <w:t>Blaž Mazi se je strinjal, da gre v filmskem primeru za subvencijsko logiko. Dodal je, da bi bilo smiselno ločiti razdeljevanje sredstev od drugih nalog (promocija, strategije, ocenjevanja), kar bi skrajšalo in poenostavilo postopke.</w:t>
      </w:r>
    </w:p>
    <w:p w:rsidR="00FA65DE" w:rsidRPr="00493E5D" w:rsidP="00FA65DE" w14:paraId="5566E2FB" w14:textId="77777777">
      <w:pPr>
        <w:jc w:val="both"/>
        <w:rPr>
          <w:rFonts w:cs="Arial"/>
          <w:szCs w:val="20"/>
        </w:rPr>
      </w:pPr>
    </w:p>
    <w:p w:rsidR="00FA65DE" w:rsidRPr="00493E5D" w:rsidP="00FA65DE" w14:paraId="671EA7F3" w14:textId="77777777">
      <w:pPr>
        <w:jc w:val="both"/>
        <w:rPr>
          <w:rFonts w:cs="Arial"/>
          <w:szCs w:val="20"/>
        </w:rPr>
      </w:pPr>
      <w:r w:rsidRPr="00493E5D">
        <w:rPr>
          <w:rFonts w:cs="Arial"/>
          <w:szCs w:val="20"/>
        </w:rPr>
        <w:t>Violeta Videnović je ocenila, da bi uvedba izvenproračunskih virov lahko razbremenila sistem.</w:t>
      </w:r>
    </w:p>
    <w:p w:rsidR="00FA65DE" w:rsidRPr="00493E5D" w:rsidP="00FA65DE" w14:paraId="1E1DFD48" w14:textId="77777777">
      <w:pPr>
        <w:jc w:val="both"/>
        <w:rPr>
          <w:rFonts w:cs="Arial"/>
          <w:szCs w:val="20"/>
        </w:rPr>
      </w:pPr>
    </w:p>
    <w:p w:rsidR="00FA65DE" w:rsidRPr="00493E5D" w:rsidP="00FA65DE" w14:paraId="7F8A6B20" w14:textId="77777777">
      <w:pPr>
        <w:jc w:val="both"/>
        <w:rPr>
          <w:rFonts w:cs="Arial"/>
          <w:szCs w:val="20"/>
        </w:rPr>
      </w:pPr>
      <w:r w:rsidRPr="00493E5D">
        <w:rPr>
          <w:rFonts w:cs="Arial"/>
          <w:szCs w:val="20"/>
        </w:rPr>
        <w:t>Uroš Veber je vprašal, zakaj se instituciji sploh združujeta, in ali so razlogi povezani predvsem z administrativnimi težavami, o katerih je tekla razprava.</w:t>
      </w:r>
    </w:p>
    <w:p w:rsidR="00FA65DE" w:rsidRPr="00493E5D" w:rsidP="00FA65DE" w14:paraId="7C3C9EC3" w14:textId="77777777">
      <w:pPr>
        <w:jc w:val="both"/>
        <w:rPr>
          <w:rFonts w:cs="Arial"/>
          <w:szCs w:val="20"/>
        </w:rPr>
      </w:pPr>
    </w:p>
    <w:p w:rsidR="00FA65DE" w:rsidRPr="00493E5D" w:rsidP="00FA65DE" w14:paraId="3CA38DA9" w14:textId="77777777">
      <w:pPr>
        <w:jc w:val="both"/>
        <w:rPr>
          <w:rFonts w:cs="Arial"/>
          <w:szCs w:val="20"/>
        </w:rPr>
      </w:pPr>
      <w:r w:rsidRPr="00493E5D">
        <w:rPr>
          <w:rFonts w:cs="Arial"/>
          <w:szCs w:val="20"/>
        </w:rPr>
        <w:t>Blaž Mazi je pojasnil, da je namen predvsem zmanjšanje podvajanj postopkov in boljša učinkovitost črpanja sredstev. Poudaril je, da zamiki otežujejo izvedbo ter da obstoječa ureditev ustvarja nesorazmerno zahtevne postopke za producentke in producente.</w:t>
      </w:r>
    </w:p>
    <w:p w:rsidR="00FA65DE" w:rsidRPr="00493E5D" w:rsidP="00FA65DE" w14:paraId="697E58BF" w14:textId="77777777">
      <w:pPr>
        <w:jc w:val="both"/>
        <w:rPr>
          <w:rFonts w:cs="Arial"/>
          <w:szCs w:val="20"/>
        </w:rPr>
      </w:pPr>
    </w:p>
    <w:p w:rsidR="00FA65DE" w:rsidRPr="00493E5D" w:rsidP="00FA65DE" w14:paraId="2F1F74C0" w14:textId="77777777">
      <w:pPr>
        <w:jc w:val="both"/>
        <w:rPr>
          <w:rFonts w:cs="Arial"/>
          <w:szCs w:val="20"/>
        </w:rPr>
      </w:pPr>
      <w:r w:rsidRPr="00493E5D">
        <w:rPr>
          <w:rFonts w:cs="Arial"/>
          <w:szCs w:val="20"/>
        </w:rPr>
        <w:t>Violeta Videnović je izpostavila 17. člen obstoječega filmskega zakona in problem izvajanja obveznosti RTV glede financiranja neodvisne produkcije. Navedla je primer izpada 350.000 EUR iz razpisa ter izpostavila, da kljub dopisom ni jasnega odgovora in priložnosti za neposreden dialog. Opozorila je tudi na izbiro projektov, ki se nato ne realizirajo, ter na nove administrativne zahteve do producentov, ki jih ocenjuje kot neskladne z zakonom.</w:t>
      </w:r>
    </w:p>
    <w:p w:rsidR="00FA65DE" w:rsidRPr="00493E5D" w:rsidP="00FA65DE" w14:paraId="64CEA9A9" w14:textId="77777777">
      <w:pPr>
        <w:jc w:val="both"/>
        <w:rPr>
          <w:rFonts w:cs="Arial"/>
          <w:szCs w:val="20"/>
        </w:rPr>
      </w:pPr>
    </w:p>
    <w:p w:rsidR="00FA65DE" w:rsidRPr="00493E5D" w:rsidP="00FA65DE" w14:paraId="674FB646" w14:textId="77777777">
      <w:pPr>
        <w:jc w:val="both"/>
        <w:rPr>
          <w:rFonts w:cs="Arial"/>
          <w:szCs w:val="20"/>
        </w:rPr>
      </w:pPr>
      <w:r w:rsidRPr="00493E5D">
        <w:rPr>
          <w:rFonts w:cs="Arial"/>
          <w:szCs w:val="20"/>
        </w:rPr>
        <w:t xml:space="preserve">Blaž Mazi je pojasnil, da je položaj ministrstva pri RTV specifičen zaradi avtonomije RTV, vendar da je zakon jasen glede njihovih obveznosti do filmske produkcije. </w:t>
      </w:r>
    </w:p>
    <w:p w:rsidR="00FA65DE" w:rsidRPr="00493E5D" w:rsidP="00FA65DE" w14:paraId="78107B43" w14:textId="77777777">
      <w:pPr>
        <w:jc w:val="both"/>
        <w:rPr>
          <w:rFonts w:cs="Arial"/>
          <w:szCs w:val="20"/>
        </w:rPr>
      </w:pPr>
    </w:p>
    <w:p w:rsidR="00FA65DE" w:rsidP="00FA65DE" w14:paraId="2B559F65" w14:textId="77777777">
      <w:pPr>
        <w:jc w:val="both"/>
        <w:rPr>
          <w:rFonts w:cs="Arial"/>
          <w:szCs w:val="20"/>
        </w:rPr>
      </w:pPr>
    </w:p>
    <w:p w:rsidR="00FA65DE" w:rsidRPr="00493E5D" w:rsidP="00FA65DE" w14:paraId="0ED0A875" w14:textId="77777777">
      <w:pPr>
        <w:pStyle w:val="ListParagraph"/>
        <w:numPr>
          <w:ilvl w:val="0"/>
          <w:numId w:val="7"/>
        </w:numPr>
        <w:jc w:val="both"/>
        <w:rPr>
          <w:rFonts w:cs="Arial"/>
          <w:b/>
          <w:bCs/>
          <w:szCs w:val="20"/>
        </w:rPr>
      </w:pPr>
      <w:r w:rsidRPr="00493E5D">
        <w:rPr>
          <w:rFonts w:cs="Arial"/>
          <w:b/>
          <w:bCs/>
          <w:szCs w:val="20"/>
        </w:rPr>
        <w:t>Načrt dela skupine za leto 2026 in predlog tem za skupno sejo dialiških skupin</w:t>
      </w:r>
    </w:p>
    <w:p w:rsidR="00FA65DE" w:rsidP="00FA65DE" w14:paraId="75DB3DE8" w14:textId="77777777">
      <w:pPr>
        <w:jc w:val="both"/>
        <w:rPr>
          <w:rFonts w:cs="Arial"/>
          <w:szCs w:val="20"/>
        </w:rPr>
      </w:pPr>
    </w:p>
    <w:p w:rsidR="00FA65DE" w:rsidRPr="00493E5D" w:rsidP="00FA65DE" w14:paraId="76E2F054" w14:textId="77777777">
      <w:pPr>
        <w:jc w:val="both"/>
        <w:rPr>
          <w:rFonts w:cs="Arial"/>
          <w:szCs w:val="20"/>
        </w:rPr>
      </w:pPr>
      <w:r w:rsidRPr="00493E5D">
        <w:rPr>
          <w:rFonts w:cs="Arial"/>
          <w:szCs w:val="20"/>
        </w:rPr>
        <w:t>Tjaša Pureber je odprla vprašanje naslednje skupne seje (prestavitev termina, iskanje nadomestnega datuma) in povprašala, ali obstaja tema, ki bi jo bilo smiselno obravnavati skupaj z vsemi skupinami in vodstvom ministrstva.</w:t>
      </w:r>
    </w:p>
    <w:p w:rsidR="00FA65DE" w:rsidRPr="00493E5D" w:rsidP="00FA65DE" w14:paraId="7B2ABAE0" w14:textId="77777777">
      <w:pPr>
        <w:jc w:val="both"/>
        <w:rPr>
          <w:rFonts w:cs="Arial"/>
          <w:szCs w:val="20"/>
        </w:rPr>
      </w:pPr>
    </w:p>
    <w:p w:rsidR="00FA65DE" w:rsidP="00FA65DE" w14:paraId="31502706" w14:textId="77777777">
      <w:pPr>
        <w:jc w:val="both"/>
        <w:rPr>
          <w:rFonts w:cs="Arial"/>
          <w:szCs w:val="20"/>
        </w:rPr>
      </w:pPr>
      <w:r w:rsidRPr="00493E5D">
        <w:rPr>
          <w:rFonts w:cs="Arial"/>
          <w:szCs w:val="20"/>
        </w:rPr>
        <w:t>Uroš Veber je opozoril, da bo zakonodajnih tem tudi v prihodnje več (navedel je, da je odprtih več zakonov in podzakonskih aktov), zato bodo skupine verjetno ostale reaktivne glede na razvoj dogodkov. Predlagal je, da bi bila lahko tema skupne seje tudi izvajanje določb o minimalnih honorarjih in da za zbiranje podatkov pripravljajo anonimno anketo.</w:t>
      </w:r>
    </w:p>
    <w:p w:rsidR="00FA65DE" w:rsidRPr="003A60CA" w:rsidP="00FA65DE" w14:paraId="6AF5F090" w14:textId="77777777">
      <w:pPr>
        <w:jc w:val="both"/>
        <w:rPr>
          <w:rFonts w:cs="Arial"/>
          <w:szCs w:val="20"/>
        </w:rPr>
      </w:pPr>
    </w:p>
    <w:p w:rsidR="00FA65DE" w:rsidP="00FA65DE" w14:paraId="781AA6EA" w14:textId="77777777">
      <w:pPr>
        <w:spacing w:line="276" w:lineRule="auto"/>
        <w:jc w:val="both"/>
        <w:rPr>
          <w:rFonts w:cs="Arial"/>
          <w:szCs w:val="20"/>
          <w:lang w:val="sl-SI"/>
        </w:rPr>
      </w:pPr>
    </w:p>
    <w:p w:rsidR="00FA65DE" w:rsidP="00FA65DE" w14:paraId="318260B6" w14:textId="77777777">
      <w:pPr>
        <w:spacing w:line="276" w:lineRule="auto"/>
        <w:jc w:val="both"/>
        <w:rPr>
          <w:rFonts w:cs="Arial"/>
          <w:szCs w:val="20"/>
          <w:lang w:val="sl-SI"/>
        </w:rPr>
      </w:pPr>
    </w:p>
    <w:p w:rsidR="00FA65DE" w:rsidP="00FA65DE" w14:paraId="71C4E9C6" w14:textId="77777777">
      <w:pPr>
        <w:spacing w:line="276" w:lineRule="auto"/>
        <w:jc w:val="both"/>
        <w:rPr>
          <w:rFonts w:cs="Arial"/>
          <w:szCs w:val="20"/>
          <w:lang w:val="sl-SI"/>
        </w:rPr>
      </w:pPr>
    </w:p>
    <w:p w:rsidR="00FA65DE" w:rsidP="00FA65DE" w14:paraId="2A4951F5" w14:textId="77777777">
      <w:pPr>
        <w:spacing w:line="276" w:lineRule="auto"/>
        <w:rPr>
          <w:rFonts w:cs="Arial"/>
          <w:szCs w:val="20"/>
          <w:lang w:val="sl-SI"/>
        </w:rPr>
      </w:pPr>
    </w:p>
    <w:p w:rsidR="00FA65DE" w:rsidP="00FA65DE" w14:paraId="59D9F5C0" w14:textId="77777777">
      <w:pPr>
        <w:spacing w:line="276" w:lineRule="auto"/>
        <w:rPr>
          <w:rFonts w:cs="Arial"/>
          <w:szCs w:val="20"/>
          <w:lang w:val="sl-SI"/>
        </w:rPr>
      </w:pPr>
    </w:p>
    <w:p w:rsidR="00FA65DE" w:rsidP="00FA65DE" w14:paraId="19B5A71C" w14:textId="77777777">
      <w:pPr>
        <w:spacing w:line="276" w:lineRule="auto"/>
        <w:rPr>
          <w:rFonts w:cs="Arial"/>
          <w:szCs w:val="20"/>
          <w:lang w:val="sl-SI"/>
        </w:rPr>
      </w:pPr>
    </w:p>
    <w:p w:rsidR="00FA65DE" w:rsidP="00FA65DE" w14:paraId="68D8A746" w14:textId="77777777">
      <w:pPr>
        <w:spacing w:line="276" w:lineRule="auto"/>
        <w:rPr>
          <w:rFonts w:cs="Arial"/>
          <w:szCs w:val="20"/>
          <w:lang w:val="sl-SI"/>
        </w:rPr>
      </w:pPr>
    </w:p>
    <w:p w:rsidR="00FA65DE" w:rsidP="00FA65DE" w14:paraId="5A961AEB" w14:textId="77777777">
      <w:pPr>
        <w:spacing w:line="276" w:lineRule="auto"/>
        <w:rPr>
          <w:rFonts w:cs="Arial"/>
          <w:szCs w:val="20"/>
          <w:lang w:val="sl-SI"/>
        </w:rPr>
      </w:pPr>
    </w:p>
    <w:p w:rsidR="00FA65DE" w:rsidP="00FA65DE" w14:paraId="4B939831" w14:textId="77777777">
      <w:pPr>
        <w:spacing w:line="276" w:lineRule="auto"/>
        <w:rPr>
          <w:rFonts w:cs="Arial"/>
          <w:szCs w:val="20"/>
          <w:lang w:val="sl-SI"/>
        </w:rPr>
      </w:pPr>
    </w:p>
    <w:p w:rsidR="00FA65DE" w:rsidP="00FA65DE" w14:paraId="78425C13" w14:textId="77777777">
      <w:pPr>
        <w:spacing w:line="276" w:lineRule="auto"/>
        <w:rPr>
          <w:rFonts w:cs="Arial"/>
          <w:szCs w:val="20"/>
          <w:lang w:val="sl-SI"/>
        </w:rPr>
      </w:pPr>
    </w:p>
    <w:p w:rsidR="00FA65DE" w:rsidP="00FA65DE" w14:paraId="24D341A9" w14:textId="77777777">
      <w:pPr>
        <w:spacing w:line="276" w:lineRule="auto"/>
        <w:rPr>
          <w:rFonts w:cs="Arial"/>
          <w:szCs w:val="20"/>
          <w:lang w:val="sl-SI"/>
        </w:rPr>
      </w:pPr>
    </w:p>
    <w:p w:rsidR="00FA65DE" w:rsidP="00FA65DE" w14:paraId="578AB481" w14:textId="77777777">
      <w:pPr>
        <w:spacing w:line="276" w:lineRule="auto"/>
        <w:rPr>
          <w:rFonts w:cs="Arial"/>
          <w:szCs w:val="20"/>
          <w:lang w:val="sl-SI"/>
        </w:rPr>
      </w:pPr>
    </w:p>
    <w:p w:rsidR="00FA65DE" w:rsidP="00FA65DE" w14:paraId="7F3B96F8" w14:textId="77777777">
      <w:pPr>
        <w:spacing w:line="276" w:lineRule="auto"/>
        <w:rPr>
          <w:rFonts w:cs="Arial"/>
          <w:szCs w:val="20"/>
          <w:lang w:val="sl-SI"/>
        </w:rPr>
      </w:pPr>
    </w:p>
    <w:p w:rsidR="00FA65DE" w:rsidP="00FA65DE" w14:paraId="2C1BADB1" w14:textId="77777777">
      <w:pPr>
        <w:spacing w:line="276" w:lineRule="auto"/>
        <w:rPr>
          <w:rFonts w:cs="Arial"/>
          <w:szCs w:val="20"/>
          <w:lang w:val="sl-SI"/>
        </w:rPr>
      </w:pPr>
    </w:p>
    <w:p w:rsidR="00FA65DE" w:rsidP="00FA65DE" w14:paraId="3CE3340C" w14:textId="77777777">
      <w:pPr>
        <w:spacing w:line="276" w:lineRule="auto"/>
        <w:rPr>
          <w:rFonts w:cs="Arial"/>
          <w:szCs w:val="20"/>
          <w:lang w:val="sl-SI"/>
        </w:rPr>
      </w:pPr>
    </w:p>
    <w:p w:rsidR="00FA65DE" w:rsidP="00FA65DE" w14:paraId="7350748B" w14:textId="77777777">
      <w:pPr>
        <w:spacing w:line="276" w:lineRule="auto"/>
        <w:rPr>
          <w:rFonts w:cs="Arial"/>
          <w:szCs w:val="20"/>
          <w:lang w:val="sl-SI"/>
        </w:rPr>
      </w:pPr>
    </w:p>
    <w:p w:rsidR="00FA65DE" w:rsidP="00FA65DE" w14:paraId="7093DD92" w14:textId="77777777">
      <w:pPr>
        <w:spacing w:line="276" w:lineRule="auto"/>
        <w:rPr>
          <w:rFonts w:cs="Arial"/>
          <w:szCs w:val="20"/>
          <w:lang w:val="sl-SI"/>
        </w:rPr>
      </w:pPr>
    </w:p>
    <w:p w:rsidR="00FA65DE" w:rsidP="00FA65DE" w14:paraId="73A82B96" w14:textId="77777777">
      <w:pPr>
        <w:spacing w:line="276" w:lineRule="auto"/>
        <w:rPr>
          <w:rFonts w:cs="Arial"/>
          <w:szCs w:val="20"/>
          <w:lang w:val="sl-SI"/>
        </w:rPr>
      </w:pPr>
    </w:p>
    <w:p w:rsidR="00FA65DE" w:rsidP="00FA65DE" w14:paraId="159D1BF2" w14:textId="77777777">
      <w:pPr>
        <w:spacing w:line="276" w:lineRule="auto"/>
        <w:rPr>
          <w:rFonts w:cs="Arial"/>
          <w:szCs w:val="20"/>
          <w:lang w:val="sl-SI"/>
        </w:rPr>
      </w:pPr>
    </w:p>
    <w:p w:rsidR="00FA65DE" w:rsidP="00FA65DE" w14:paraId="4745CF88" w14:textId="77777777">
      <w:pPr>
        <w:spacing w:line="276" w:lineRule="auto"/>
        <w:rPr>
          <w:rFonts w:cs="Arial"/>
          <w:szCs w:val="20"/>
          <w:lang w:val="sl-SI"/>
        </w:rPr>
      </w:pPr>
    </w:p>
    <w:p w:rsidR="00FA65DE" w:rsidP="00FA65DE" w14:paraId="5C376C39" w14:textId="77777777">
      <w:pPr>
        <w:spacing w:line="276" w:lineRule="auto"/>
        <w:rPr>
          <w:rFonts w:cs="Arial"/>
          <w:szCs w:val="20"/>
          <w:lang w:val="sl-SI"/>
        </w:rPr>
      </w:pPr>
    </w:p>
    <w:p w:rsidR="00FA65DE" w:rsidP="00FA65DE" w14:paraId="553F9C0D" w14:textId="77777777">
      <w:pPr>
        <w:spacing w:line="276" w:lineRule="auto"/>
        <w:rPr>
          <w:rFonts w:cs="Arial"/>
          <w:szCs w:val="20"/>
          <w:lang w:val="sl-SI"/>
        </w:rPr>
      </w:pPr>
    </w:p>
    <w:p w:rsidR="00FA65DE" w:rsidP="00FA65DE" w14:paraId="0452744B" w14:textId="77777777">
      <w:pPr>
        <w:spacing w:line="276" w:lineRule="auto"/>
        <w:rPr>
          <w:rFonts w:cs="Arial"/>
          <w:szCs w:val="20"/>
          <w:lang w:val="sl-SI"/>
        </w:rPr>
      </w:pPr>
    </w:p>
    <w:p w:rsidR="00FA65DE" w:rsidP="00FA65DE" w14:paraId="6A44255B" w14:textId="77777777">
      <w:pPr>
        <w:spacing w:line="276" w:lineRule="auto"/>
        <w:rPr>
          <w:rFonts w:cs="Arial"/>
          <w:szCs w:val="20"/>
          <w:lang w:val="sl-SI"/>
        </w:rPr>
      </w:pPr>
    </w:p>
    <w:p w:rsidR="00FA65DE" w:rsidP="00FA65DE" w14:paraId="5359F22B" w14:textId="77777777">
      <w:pPr>
        <w:spacing w:line="276" w:lineRule="auto"/>
        <w:rPr>
          <w:rFonts w:cs="Arial"/>
          <w:szCs w:val="20"/>
          <w:lang w:val="sl-SI"/>
        </w:rPr>
      </w:pPr>
    </w:p>
    <w:p w:rsidR="00FA65DE" w:rsidP="00FA65DE" w14:paraId="3CAC3ADB" w14:textId="77777777">
      <w:pPr>
        <w:spacing w:line="276" w:lineRule="auto"/>
        <w:rPr>
          <w:rFonts w:cs="Arial"/>
          <w:szCs w:val="20"/>
          <w:lang w:val="sl-SI"/>
        </w:rPr>
      </w:pPr>
    </w:p>
    <w:p w:rsidR="00FA65DE" w:rsidP="00FA65DE" w14:paraId="365AB83A" w14:textId="77777777">
      <w:pPr>
        <w:spacing w:line="276" w:lineRule="auto"/>
        <w:rPr>
          <w:rFonts w:cs="Arial"/>
          <w:szCs w:val="20"/>
          <w:lang w:val="sl-SI"/>
        </w:rPr>
      </w:pPr>
    </w:p>
    <w:p w:rsidR="00FA65DE" w:rsidP="00FA65DE" w14:paraId="515A6CA6" w14:textId="77777777">
      <w:pPr>
        <w:spacing w:line="276" w:lineRule="auto"/>
        <w:rPr>
          <w:rFonts w:cs="Arial"/>
          <w:szCs w:val="20"/>
          <w:lang w:val="sl-SI"/>
        </w:rPr>
      </w:pPr>
    </w:p>
    <w:p w:rsidR="00FA65DE" w:rsidP="00FA65DE" w14:paraId="15070582" w14:textId="77777777">
      <w:pPr>
        <w:spacing w:line="276" w:lineRule="auto"/>
        <w:rPr>
          <w:rFonts w:cs="Arial"/>
          <w:szCs w:val="20"/>
          <w:lang w:val="sl-SI"/>
        </w:rPr>
      </w:pPr>
    </w:p>
    <w:p w:rsidR="00FA65DE" w:rsidP="00FA65DE" w14:paraId="496B009A" w14:textId="77777777">
      <w:pPr>
        <w:spacing w:line="276" w:lineRule="auto"/>
        <w:rPr>
          <w:rFonts w:cs="Arial"/>
          <w:szCs w:val="20"/>
          <w:lang w:val="sl-SI"/>
        </w:rPr>
      </w:pPr>
    </w:p>
    <w:p w:rsidR="00FA65DE" w:rsidP="00FA65DE" w14:paraId="2902EC83" w14:textId="77777777">
      <w:pPr>
        <w:spacing w:line="276" w:lineRule="auto"/>
        <w:rPr>
          <w:rFonts w:cs="Arial"/>
          <w:szCs w:val="20"/>
          <w:lang w:val="sl-SI"/>
        </w:rPr>
      </w:pPr>
    </w:p>
    <w:p w:rsidR="00FA65DE" w:rsidP="00FA65DE" w14:paraId="70382BE3" w14:textId="77777777">
      <w:pPr>
        <w:spacing w:line="276" w:lineRule="auto"/>
        <w:rPr>
          <w:rFonts w:cs="Arial"/>
          <w:szCs w:val="20"/>
          <w:lang w:val="sl-SI"/>
        </w:rPr>
      </w:pPr>
    </w:p>
    <w:p w:rsidR="00FA65DE" w:rsidP="00FA65DE" w14:paraId="35F89C8D" w14:textId="77777777">
      <w:pPr>
        <w:spacing w:line="276" w:lineRule="auto"/>
        <w:rPr>
          <w:rFonts w:eastAsia="Calibri" w:cs="Arial"/>
          <w:szCs w:val="20"/>
          <w:lang w:val="sl-SI"/>
        </w:rPr>
      </w:pPr>
    </w:p>
    <w:p w:rsidR="00FA65DE" w:rsidP="00FA65DE" w14:paraId="1D9A9515" w14:textId="77777777">
      <w:pPr>
        <w:spacing w:line="276" w:lineRule="auto"/>
        <w:rPr>
          <w:rFonts w:eastAsia="Calibri" w:cs="Arial"/>
          <w:szCs w:val="20"/>
          <w:lang w:val="sl-SI"/>
        </w:rPr>
      </w:pPr>
    </w:p>
    <w:p w:rsidR="00FA65DE" w:rsidP="00FA65DE" w14:paraId="4E560186" w14:textId="77777777">
      <w:pPr>
        <w:spacing w:line="276" w:lineRule="auto"/>
        <w:rPr>
          <w:rFonts w:eastAsia="Calibri" w:cs="Arial"/>
          <w:szCs w:val="20"/>
          <w:lang w:val="sl-SI"/>
        </w:rPr>
      </w:pPr>
    </w:p>
    <w:p w:rsidR="00FA65DE" w:rsidP="00FA65DE" w14:paraId="548542AD" w14:textId="77777777">
      <w:pPr>
        <w:spacing w:line="276" w:lineRule="auto"/>
        <w:rPr>
          <w:rFonts w:eastAsia="Calibri" w:cs="Arial"/>
          <w:szCs w:val="20"/>
          <w:lang w:val="sl-SI"/>
        </w:rPr>
      </w:pPr>
    </w:p>
    <w:p w:rsidR="00FA65DE" w:rsidP="00FA65DE" w14:paraId="175BCE40" w14:textId="77777777">
      <w:pPr>
        <w:spacing w:line="276" w:lineRule="auto"/>
        <w:rPr>
          <w:rFonts w:eastAsia="Calibri" w:cs="Arial"/>
          <w:szCs w:val="20"/>
          <w:lang w:val="sl-SI"/>
        </w:rPr>
      </w:pPr>
    </w:p>
    <w:p w:rsidR="00FA65DE" w:rsidP="00FA65DE" w14:paraId="38043A34" w14:textId="77777777">
      <w:pPr>
        <w:spacing w:line="276" w:lineRule="auto"/>
        <w:rPr>
          <w:rFonts w:eastAsia="Calibri" w:cs="Arial"/>
          <w:szCs w:val="20"/>
          <w:lang w:val="sl-SI"/>
        </w:rPr>
      </w:pPr>
    </w:p>
    <w:p w:rsidR="00FA65DE" w:rsidP="00FA65DE" w14:paraId="1539A546" w14:textId="77777777">
      <w:pPr>
        <w:spacing w:line="276" w:lineRule="auto"/>
        <w:rPr>
          <w:rFonts w:eastAsia="Calibri" w:cs="Arial"/>
          <w:szCs w:val="20"/>
          <w:lang w:val="sl-SI"/>
        </w:rPr>
      </w:pPr>
    </w:p>
    <w:p w:rsidR="00FA65DE" w:rsidP="00FA65DE" w14:paraId="5F8633BD" w14:textId="77777777">
      <w:pPr>
        <w:spacing w:line="276" w:lineRule="auto"/>
        <w:rPr>
          <w:rFonts w:eastAsia="Calibri" w:cs="Arial"/>
          <w:szCs w:val="20"/>
          <w:lang w:val="sl-SI"/>
        </w:rPr>
      </w:pPr>
    </w:p>
    <w:p w:rsidR="00FA65DE" w:rsidP="00FA65DE" w14:paraId="3A7BB42D" w14:textId="77777777">
      <w:pPr>
        <w:spacing w:line="276" w:lineRule="auto"/>
        <w:rPr>
          <w:rFonts w:eastAsia="Calibri" w:cs="Arial"/>
          <w:szCs w:val="20"/>
          <w:lang w:val="sl-SI"/>
        </w:rPr>
      </w:pPr>
    </w:p>
    <w:p w:rsidR="00FA65DE" w:rsidP="00FA65DE" w14:paraId="36BBE602" w14:textId="77777777">
      <w:pPr>
        <w:spacing w:line="276" w:lineRule="auto"/>
        <w:rPr>
          <w:rFonts w:eastAsia="Calibri" w:cs="Arial"/>
          <w:szCs w:val="20"/>
          <w:lang w:val="sl-SI"/>
        </w:rPr>
      </w:pPr>
    </w:p>
    <w:p w:rsidR="00FA65DE" w:rsidP="00FA65DE" w14:paraId="6173B563" w14:textId="77777777">
      <w:pPr>
        <w:spacing w:line="276" w:lineRule="auto"/>
        <w:rPr>
          <w:rFonts w:eastAsia="Calibri" w:cs="Arial"/>
          <w:szCs w:val="20"/>
          <w:lang w:val="sl-SI"/>
        </w:rPr>
      </w:pPr>
    </w:p>
    <w:p w:rsidR="00FA65DE" w:rsidP="00FA65DE" w14:paraId="2F028EED" w14:textId="77777777">
      <w:pPr>
        <w:spacing w:line="276" w:lineRule="auto"/>
        <w:rPr>
          <w:rFonts w:eastAsia="Calibri" w:cs="Arial"/>
          <w:szCs w:val="20"/>
          <w:lang w:val="sl-SI"/>
        </w:rPr>
      </w:pPr>
    </w:p>
    <w:p w:rsidR="00FA65DE" w:rsidP="00FA65DE" w14:paraId="1031EC86" w14:textId="77777777">
      <w:pPr>
        <w:spacing w:line="276" w:lineRule="auto"/>
        <w:rPr>
          <w:rFonts w:eastAsia="Calibri" w:cs="Arial"/>
          <w:szCs w:val="20"/>
          <w:lang w:val="sl-SI"/>
        </w:rPr>
      </w:pPr>
    </w:p>
    <w:p w:rsidR="00FA65DE" w:rsidP="00FA65DE" w14:paraId="664B7CA9" w14:textId="77777777">
      <w:pPr>
        <w:spacing w:line="276" w:lineRule="auto"/>
        <w:rPr>
          <w:rFonts w:eastAsia="Calibri" w:cs="Arial"/>
          <w:szCs w:val="20"/>
          <w:lang w:val="sl-SI"/>
        </w:rPr>
      </w:pPr>
    </w:p>
    <w:p w:rsidR="00FA65DE" w:rsidP="00FA65DE" w14:paraId="78FA5122" w14:textId="77777777">
      <w:pPr>
        <w:spacing w:line="276" w:lineRule="auto"/>
        <w:rPr>
          <w:rFonts w:eastAsia="Calibri" w:cs="Arial"/>
          <w:szCs w:val="20"/>
          <w:lang w:val="sl-SI"/>
        </w:rPr>
      </w:pPr>
    </w:p>
    <w:p w:rsidR="00FA65DE" w:rsidRPr="006F489C" w:rsidP="00FA65DE" w14:paraId="36077B37" w14:textId="77777777">
      <w:pPr>
        <w:spacing w:line="276" w:lineRule="auto"/>
        <w:rPr>
          <w:rFonts w:eastAsia="Calibri" w:cs="Arial"/>
          <w:szCs w:val="20"/>
          <w:lang w:val="sl-SI"/>
        </w:rPr>
      </w:pPr>
    </w:p>
    <w:p w:rsidR="00FA65DE" w:rsidRPr="006F489C" w:rsidP="00FA65DE" w14:paraId="580EBC2E" w14:textId="77777777">
      <w:pPr>
        <w:spacing w:line="276" w:lineRule="auto"/>
        <w:rPr>
          <w:rFonts w:eastAsia="Calibri" w:cs="Arial"/>
          <w:szCs w:val="20"/>
          <w:lang w:val="sl-SI"/>
        </w:rPr>
      </w:pPr>
      <w:r w:rsidRPr="006F489C">
        <w:rPr>
          <w:rFonts w:eastAsia="Calibri" w:cs="Arial"/>
          <w:szCs w:val="20"/>
          <w:lang w:val="sl-SI"/>
        </w:rPr>
        <w:t>Seja se je zaključila ob 1</w:t>
      </w:r>
      <w:r>
        <w:rPr>
          <w:rFonts w:eastAsia="Calibri" w:cs="Arial"/>
          <w:szCs w:val="20"/>
          <w:lang w:val="sl-SI"/>
        </w:rPr>
        <w:t>1</w:t>
      </w:r>
      <w:r w:rsidRPr="006F489C">
        <w:rPr>
          <w:rFonts w:eastAsia="Calibri" w:cs="Arial"/>
          <w:szCs w:val="20"/>
          <w:lang w:val="sl-SI"/>
        </w:rPr>
        <w:t>:</w:t>
      </w:r>
      <w:r>
        <w:rPr>
          <w:rFonts w:eastAsia="Calibri" w:cs="Arial"/>
          <w:szCs w:val="20"/>
          <w:lang w:val="sl-SI"/>
        </w:rPr>
        <w:t>20</w:t>
      </w:r>
    </w:p>
    <w:p w:rsidR="00FA65DE" w:rsidRPr="006F489C" w:rsidP="00FA65DE" w14:paraId="48560A53" w14:textId="77777777">
      <w:pPr>
        <w:spacing w:line="276" w:lineRule="auto"/>
        <w:rPr>
          <w:rFonts w:eastAsia="Calibri" w:cs="Arial"/>
          <w:szCs w:val="20"/>
          <w:lang w:val="sl-SI"/>
        </w:rPr>
      </w:pPr>
    </w:p>
    <w:p w:rsidR="00FA65DE" w:rsidRPr="006F489C" w:rsidP="00FA65DE" w14:paraId="27D6F549" w14:textId="77777777">
      <w:pPr>
        <w:spacing w:line="276" w:lineRule="auto"/>
        <w:rPr>
          <w:rFonts w:eastAsia="Calibri" w:cs="Arial"/>
          <w:b/>
          <w:bCs/>
          <w:szCs w:val="20"/>
          <w:lang w:val="sl-SI"/>
        </w:rPr>
      </w:pPr>
      <w:r w:rsidRPr="006F489C">
        <w:rPr>
          <w:rFonts w:eastAsia="Calibri" w:cs="Arial"/>
          <w:b/>
          <w:bCs/>
          <w:szCs w:val="20"/>
          <w:lang w:val="sl-SI"/>
        </w:rPr>
        <w:t>Zapisala:</w:t>
      </w:r>
    </w:p>
    <w:p w:rsidR="00FA65DE" w:rsidRPr="006F489C" w:rsidP="00FA65DE" w14:paraId="7C8CB0E8" w14:textId="77777777">
      <w:pPr>
        <w:spacing w:line="276" w:lineRule="auto"/>
        <w:rPr>
          <w:rFonts w:eastAsia="Calibri" w:cs="Arial"/>
          <w:szCs w:val="20"/>
          <w:lang w:val="sl-SI"/>
        </w:rPr>
      </w:pPr>
      <w:r>
        <w:rPr>
          <w:rFonts w:eastAsia="Calibri" w:cs="Arial"/>
          <w:szCs w:val="20"/>
          <w:lang w:val="sl-SI"/>
        </w:rPr>
        <w:t>Alekzander I. Blatnik</w:t>
      </w:r>
      <w:r w:rsidRPr="006F489C">
        <w:rPr>
          <w:rFonts w:eastAsia="Calibri" w:cs="Arial"/>
          <w:szCs w:val="20"/>
          <w:lang w:val="sl-SI"/>
        </w:rPr>
        <w:t>, študent</w:t>
      </w:r>
    </w:p>
    <w:p w:rsidR="00FA65DE" w:rsidRPr="006F489C" w:rsidP="00FA65DE" w14:paraId="3C6BA7BF" w14:textId="77777777">
      <w:pPr>
        <w:spacing w:line="276" w:lineRule="auto"/>
        <w:rPr>
          <w:rFonts w:eastAsia="Calibri" w:cs="Arial"/>
          <w:szCs w:val="20"/>
          <w:lang w:val="sl-SI"/>
        </w:rPr>
      </w:pPr>
    </w:p>
    <w:p w:rsidR="00FA65DE" w:rsidRPr="006F489C" w:rsidP="00FA65DE" w14:paraId="090F20C8" w14:textId="77777777">
      <w:pPr>
        <w:spacing w:line="276" w:lineRule="auto"/>
        <w:rPr>
          <w:rFonts w:eastAsia="Calibri" w:cs="Arial"/>
          <w:szCs w:val="20"/>
          <w:lang w:val="sl-SI"/>
        </w:rPr>
      </w:pPr>
    </w:p>
    <w:p w:rsidR="00FA65DE" w:rsidRPr="006F489C" w:rsidP="00FA65DE" w14:paraId="24695CB1" w14:textId="77777777">
      <w:pPr>
        <w:tabs>
          <w:tab w:val="left" w:pos="3402"/>
        </w:tabs>
        <w:spacing w:line="276" w:lineRule="auto"/>
        <w:rPr>
          <w:rFonts w:eastAsia="Calibri" w:cs="Arial"/>
          <w:b/>
          <w:bCs/>
          <w:szCs w:val="20"/>
          <w:lang w:val="sl-SI"/>
        </w:rPr>
      </w:pPr>
      <w:r w:rsidRPr="006F489C">
        <w:rPr>
          <w:rFonts w:eastAsia="Calibri" w:cs="Arial"/>
          <w:b/>
          <w:bCs/>
          <w:szCs w:val="20"/>
          <w:lang w:val="sl-SI"/>
        </w:rPr>
        <w:t>Podpis:</w:t>
      </w:r>
    </w:p>
    <w:p w:rsidR="00FA65DE" w:rsidRPr="006F489C" w:rsidP="00FA65DE" w14:paraId="7915C970" w14:textId="77777777">
      <w:pPr>
        <w:tabs>
          <w:tab w:val="left" w:pos="3402"/>
        </w:tabs>
        <w:spacing w:line="276" w:lineRule="auto"/>
        <w:rPr>
          <w:rFonts w:eastAsia="Calibri" w:cs="Arial"/>
          <w:szCs w:val="20"/>
          <w:lang w:val="sl-SI"/>
        </w:rPr>
      </w:pPr>
      <w:r w:rsidRPr="006F489C">
        <w:rPr>
          <w:rFonts w:eastAsia="Calibri" w:cs="Arial"/>
          <w:szCs w:val="20"/>
          <w:lang w:val="sl-SI"/>
        </w:rPr>
        <w:t xml:space="preserve">Uroš Veber, </w:t>
      </w:r>
    </w:p>
    <w:p w:rsidR="00FA65DE" w:rsidRPr="006F489C" w:rsidP="00FA65DE" w14:paraId="53DDD768" w14:textId="77777777">
      <w:pPr>
        <w:tabs>
          <w:tab w:val="left" w:pos="3402"/>
        </w:tabs>
        <w:spacing w:line="276" w:lineRule="auto"/>
        <w:rPr>
          <w:rFonts w:eastAsia="Calibri" w:cs="Arial"/>
          <w:szCs w:val="20"/>
          <w:lang w:val="sl-SI"/>
        </w:rPr>
      </w:pPr>
      <w:r w:rsidRPr="006F489C">
        <w:rPr>
          <w:rFonts w:eastAsia="Calibri" w:cs="Arial"/>
          <w:szCs w:val="20"/>
          <w:lang w:val="sl-SI"/>
        </w:rPr>
        <w:t>predsednik Delovne skupine za trajni dialog z nevladnimi organizacijami v kulturi</w:t>
      </w:r>
    </w:p>
    <w:p w:rsidR="00FA65DE" w:rsidRPr="006F489C" w:rsidP="00FA65DE" w14:paraId="009D853B" w14:textId="77777777">
      <w:pPr>
        <w:tabs>
          <w:tab w:val="left" w:pos="3402"/>
        </w:tabs>
        <w:spacing w:line="276" w:lineRule="auto"/>
        <w:rPr>
          <w:rFonts w:eastAsia="Calibri" w:cs="Arial"/>
          <w:szCs w:val="20"/>
          <w:lang w:val="sl-SI"/>
        </w:rPr>
      </w:pPr>
    </w:p>
    <w:p w:rsidR="00FA65DE" w:rsidRPr="006F489C" w:rsidP="00FA65DE" w14:paraId="360CD0BF" w14:textId="77777777">
      <w:pPr>
        <w:tabs>
          <w:tab w:val="left" w:pos="3402"/>
        </w:tabs>
        <w:spacing w:line="276" w:lineRule="auto"/>
        <w:rPr>
          <w:rFonts w:eastAsia="Calibri" w:cs="Arial"/>
          <w:szCs w:val="20"/>
          <w:lang w:val="sl-SI"/>
        </w:rPr>
      </w:pPr>
    </w:p>
    <w:p w:rsidR="00FA65DE" w:rsidRPr="006F489C" w:rsidP="00FA65DE" w14:paraId="24B0FE97" w14:textId="77777777">
      <w:pPr>
        <w:tabs>
          <w:tab w:val="left" w:pos="3402"/>
        </w:tabs>
        <w:spacing w:line="276" w:lineRule="auto"/>
        <w:rPr>
          <w:rFonts w:eastAsia="Calibri" w:cs="Arial"/>
          <w:b/>
          <w:bCs/>
          <w:szCs w:val="20"/>
          <w:lang w:val="sl-SI"/>
        </w:rPr>
      </w:pPr>
      <w:r w:rsidRPr="006F489C">
        <w:rPr>
          <w:rFonts w:eastAsia="Calibri" w:cs="Arial"/>
          <w:b/>
          <w:bCs/>
          <w:szCs w:val="20"/>
          <w:lang w:val="sl-SI"/>
        </w:rPr>
        <w:t>Podpis:</w:t>
      </w:r>
    </w:p>
    <w:p w:rsidR="00FA65DE" w:rsidRPr="006F489C" w:rsidP="00FA65DE" w14:paraId="3523A592" w14:textId="77777777">
      <w:pPr>
        <w:tabs>
          <w:tab w:val="left" w:pos="3402"/>
        </w:tabs>
        <w:spacing w:line="276" w:lineRule="auto"/>
        <w:rPr>
          <w:rFonts w:eastAsia="Calibri" w:cs="Arial"/>
          <w:szCs w:val="20"/>
          <w:lang w:val="sl-SI"/>
        </w:rPr>
      </w:pPr>
      <w:r w:rsidRPr="006F489C">
        <w:rPr>
          <w:rFonts w:eastAsia="Calibri" w:cs="Arial"/>
          <w:szCs w:val="20"/>
          <w:lang w:val="sl-SI"/>
        </w:rPr>
        <w:t xml:space="preserve">Tjaša Pureber, </w:t>
      </w:r>
    </w:p>
    <w:p w:rsidR="00FA65DE" w:rsidRPr="006F489C" w:rsidP="00FA65DE" w14:paraId="3393AD27" w14:textId="77777777">
      <w:pPr>
        <w:tabs>
          <w:tab w:val="left" w:pos="3402"/>
        </w:tabs>
        <w:spacing w:line="276" w:lineRule="auto"/>
        <w:rPr>
          <w:rFonts w:eastAsia="Calibri" w:cs="Arial"/>
          <w:szCs w:val="20"/>
          <w:lang w:val="sl-SI"/>
        </w:rPr>
      </w:pPr>
      <w:r w:rsidRPr="006F489C">
        <w:rPr>
          <w:rFonts w:eastAsia="Calibri" w:cs="Arial"/>
          <w:szCs w:val="20"/>
          <w:lang w:val="sl-SI"/>
        </w:rPr>
        <w:t>generalna direktorica Direktorata za razvoj kulturnih politik</w:t>
      </w:r>
    </w:p>
    <w:p w:rsidR="00FA65DE" w:rsidRPr="006F489C" w:rsidP="00FA65DE" w14:paraId="43668636" w14:textId="77777777">
      <w:pPr>
        <w:tabs>
          <w:tab w:val="left" w:pos="3402"/>
        </w:tabs>
        <w:spacing w:line="276" w:lineRule="auto"/>
        <w:rPr>
          <w:rFonts w:cs="Arial"/>
          <w:szCs w:val="20"/>
          <w:lang w:val="sl-SI"/>
        </w:rPr>
      </w:pPr>
    </w:p>
    <w:p w:rsidR="00FA65DE" w:rsidRPr="006F489C" w:rsidP="00FA65DE" w14:paraId="4F37A5AD" w14:textId="77777777">
      <w:pPr>
        <w:spacing w:line="276" w:lineRule="auto"/>
        <w:rPr>
          <w:rFonts w:eastAsia="Calibri" w:cs="Arial"/>
          <w:b/>
          <w:bCs/>
          <w:szCs w:val="20"/>
          <w:lang w:val="sl-SI"/>
        </w:rPr>
      </w:pPr>
    </w:p>
    <w:p w:rsidR="00FA65DE" w:rsidRPr="006F489C" w:rsidP="00FA65DE" w14:paraId="24DBB272" w14:textId="77777777">
      <w:pPr>
        <w:spacing w:line="276" w:lineRule="auto"/>
        <w:rPr>
          <w:rFonts w:eastAsia="Calibri" w:cs="Arial"/>
          <w:b/>
          <w:bCs/>
          <w:szCs w:val="20"/>
          <w:lang w:val="sl-SI"/>
        </w:rPr>
      </w:pPr>
    </w:p>
    <w:p w:rsidR="00FA65DE" w:rsidRPr="006F489C" w:rsidP="00FA65DE" w14:paraId="1B5975AA" w14:textId="77777777">
      <w:pPr>
        <w:spacing w:line="276" w:lineRule="auto"/>
        <w:rPr>
          <w:rFonts w:eastAsia="Calibri" w:cs="Arial"/>
          <w:b/>
          <w:bCs/>
          <w:szCs w:val="20"/>
          <w:lang w:val="sl-SI"/>
        </w:rPr>
      </w:pPr>
      <w:r w:rsidRPr="006F489C">
        <w:rPr>
          <w:rFonts w:eastAsia="Calibri" w:cs="Arial"/>
          <w:b/>
          <w:bCs/>
          <w:szCs w:val="20"/>
          <w:lang w:val="sl-SI"/>
        </w:rPr>
        <w:t>Priloga:</w:t>
      </w:r>
    </w:p>
    <w:p w:rsidR="00FA65DE" w:rsidRPr="006F489C" w:rsidP="00FA65DE" w14:paraId="5203C1B7" w14:textId="77777777">
      <w:pPr>
        <w:spacing w:line="276" w:lineRule="auto"/>
        <w:rPr>
          <w:rFonts w:eastAsia="Calibri" w:cs="Arial"/>
          <w:b/>
          <w:bCs/>
          <w:szCs w:val="20"/>
          <w:lang w:val="sl-SI"/>
        </w:rPr>
      </w:pPr>
    </w:p>
    <w:p w:rsidR="00FA65DE" w:rsidRPr="006F489C" w:rsidP="00FA65DE" w14:paraId="752B63D7" w14:textId="77777777">
      <w:pPr>
        <w:numPr>
          <w:ilvl w:val="0"/>
          <w:numId w:val="6"/>
        </w:numPr>
        <w:spacing w:after="200" w:line="276" w:lineRule="auto"/>
        <w:rPr>
          <w:rFonts w:eastAsia="Calibri" w:cs="Arial"/>
          <w:szCs w:val="20"/>
          <w:lang w:val="sl-SI"/>
        </w:rPr>
      </w:pPr>
      <w:r w:rsidRPr="006F489C">
        <w:rPr>
          <w:rFonts w:eastAsia="Calibri" w:cs="Arial"/>
          <w:szCs w:val="20"/>
          <w:lang w:val="sl-SI"/>
        </w:rPr>
        <w:t>Lista prisotnosti</w:t>
      </w:r>
    </w:p>
    <w:p w:rsidR="00FA65DE" w:rsidRPr="006F489C" w:rsidP="00FA65DE" w14:paraId="1CA2318F" w14:textId="77777777">
      <w:pPr>
        <w:spacing w:line="276" w:lineRule="auto"/>
        <w:rPr>
          <w:rFonts w:eastAsia="Calibri" w:cs="Arial"/>
          <w:szCs w:val="20"/>
          <w:lang w:val="sl-SI"/>
        </w:rPr>
      </w:pPr>
    </w:p>
    <w:p w:rsidR="00FA65DE" w:rsidRPr="006F489C" w:rsidP="00FA65DE" w14:paraId="1553F792" w14:textId="77777777">
      <w:pPr>
        <w:spacing w:line="276" w:lineRule="auto"/>
        <w:rPr>
          <w:rFonts w:eastAsia="Calibri" w:cs="Arial"/>
          <w:b/>
          <w:bCs/>
          <w:szCs w:val="20"/>
          <w:lang w:val="sl-SI"/>
        </w:rPr>
      </w:pPr>
      <w:r w:rsidRPr="006F489C">
        <w:rPr>
          <w:rFonts w:eastAsia="Calibri" w:cs="Arial"/>
          <w:b/>
          <w:bCs/>
          <w:szCs w:val="20"/>
          <w:lang w:val="sl-SI"/>
        </w:rPr>
        <w:t>Poslano (po e-pošti):</w:t>
      </w:r>
    </w:p>
    <w:p w:rsidR="00FA65DE" w:rsidRPr="006F489C" w:rsidP="00FA65DE" w14:paraId="514D4D7E" w14:textId="77777777">
      <w:pPr>
        <w:spacing w:line="276" w:lineRule="auto"/>
        <w:rPr>
          <w:rFonts w:eastAsia="Calibri" w:cs="Arial"/>
          <w:b/>
          <w:bCs/>
          <w:szCs w:val="20"/>
          <w:lang w:val="sl-SI"/>
        </w:rPr>
      </w:pPr>
    </w:p>
    <w:p w:rsidR="00FA65DE" w:rsidRPr="006F489C" w:rsidP="00FA65DE" w14:paraId="1DA2B01F" w14:textId="77777777">
      <w:pPr>
        <w:numPr>
          <w:ilvl w:val="0"/>
          <w:numId w:val="6"/>
        </w:numPr>
        <w:spacing w:after="200" w:line="276" w:lineRule="auto"/>
        <w:rPr>
          <w:rFonts w:eastAsia="Calibri" w:cs="Arial"/>
          <w:szCs w:val="20"/>
          <w:lang w:val="sl-SI"/>
        </w:rPr>
      </w:pPr>
      <w:r w:rsidRPr="006F489C">
        <w:rPr>
          <w:rFonts w:eastAsia="Calibri" w:cs="Arial"/>
          <w:szCs w:val="20"/>
          <w:lang w:val="sl-SI"/>
        </w:rPr>
        <w:t>članom in članicam delovne skupine</w:t>
      </w:r>
    </w:p>
    <w:p w:rsidR="00FA65DE" w:rsidP="00FA65DE" w14:paraId="054B4478" w14:textId="77777777">
      <w:pPr>
        <w:spacing w:line="240" w:lineRule="auto"/>
        <w:rPr>
          <w:lang w:val="sl-SI"/>
        </w:rPr>
      </w:pPr>
      <w:r w:rsidRPr="006F489C">
        <w:rPr>
          <w:rFonts w:eastAsia="Calibri" w:cs="Arial"/>
          <w:szCs w:val="20"/>
          <w:lang w:val="sl-SI"/>
        </w:rPr>
        <w:t>ostalim udeležencem seje delovne skupine</w:t>
      </w:r>
    </w:p>
    <w:p w:rsidR="00FA65DE" w:rsidRPr="00E654E4" w:rsidP="00FA65DE" w14:paraId="338E73B4" w14:textId="77777777">
      <w:pPr>
        <w:spacing w:line="240" w:lineRule="auto"/>
        <w:rPr>
          <w:lang w:val="sl-SI"/>
        </w:rPr>
      </w:pPr>
    </w:p>
    <w:p w:rsidR="00473B5D" w14:paraId="7AF99E7F" w14:textId="77777777">
      <w:pPr>
        <w:spacing w:line="240" w:lineRule="auto"/>
        <w:rPr>
          <w:lang w:val="sl-SI"/>
        </w:rPr>
      </w:pPr>
    </w:p>
    <w:p w:rsidR="00737D65" w:rsidRPr="00E654E4" w:rsidP="00473B5D" w14:paraId="554273BC" w14:textId="77777777">
      <w:pPr>
        <w:spacing w:line="240" w:lineRule="auto"/>
        <w:rPr>
          <w:lang w:val="sl-SI"/>
        </w:rPr>
      </w:pPr>
    </w:p>
    <w:sectPr w:rsidSect="00737D65">
      <w:headerReference w:type="default" r:id="rId5"/>
      <w:footerReference w:type="default" r:id="rId6"/>
      <w:headerReference w:type="first" r:id="rId7"/>
      <w:footerReference w:type="first" r:id="rId8"/>
      <w:type w:val="continuous"/>
      <w:pgSz w:w="11900" w:h="16840" w:code="9"/>
      <w:pgMar w:top="1701" w:right="1701" w:bottom="1134" w:left="1701" w:header="1417" w:footer="79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90F" w:rsidP="0072290F" w14:paraId="7343E4D8" w14:textId="77777777">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5890492"/>
      <w:docPartObj>
        <w:docPartGallery w:val="Page Numbers (Bottom of Page)"/>
        <w:docPartUnique/>
      </w:docPartObj>
    </w:sdtPr>
    <w:sdtContent>
      <w:sdt>
        <w:sdtPr>
          <w:id w:val="-1769616900"/>
          <w:docPartObj>
            <w:docPartGallery w:val="Page Numbers (Top of Page)"/>
            <w:docPartUnique/>
          </w:docPartObj>
        </w:sdtPr>
        <w:sdtContent>
          <w:p w:rsidR="00A30CAE" w14:paraId="35746AAB" w14:textId="77777777">
            <w:pPr>
              <w:pStyle w:val="Footer"/>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rsidR="00400382" w14:paraId="4E2CFCC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B69" w:rsidRPr="00110CBD" w:rsidP="007D75CF" w14:paraId="62A077DB" w14:textId="77777777">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8CC" w14:paraId="70DED1BF" w14:textId="77777777">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-753745</wp:posOffset>
          </wp:positionV>
          <wp:extent cx="5961380" cy="1638300"/>
          <wp:effectExtent l="0" t="0" r="127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961380" cy="163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B6B4D"/>
    <w:multiLevelType w:val="hybridMultilevel"/>
    <w:tmpl w:val="7D967D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E25CD1"/>
    <w:multiLevelType w:val="hybridMultilevel"/>
    <w:tmpl w:val="2D24329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5185C12"/>
    <w:multiLevelType w:val="hybridMultilevel"/>
    <w:tmpl w:val="BF06C4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D072372"/>
    <w:multiLevelType w:val="hybridMultilevel"/>
    <w:tmpl w:val="94FE81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E726C47"/>
    <w:multiLevelType w:val="hybridMultilevel"/>
    <w:tmpl w:val="339AEE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BCC12C9"/>
    <w:multiLevelType w:val="hybridMultilevel"/>
    <w:tmpl w:val="9FAE41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3AA4C44"/>
    <w:multiLevelType w:val="hybridMultilevel"/>
    <w:tmpl w:val="092E9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8C636DD"/>
    <w:multiLevelType w:val="hybridMultilevel"/>
    <w:tmpl w:val="7DDCD22C"/>
    <w:lvl w:ilvl="0">
      <w:start w:val="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9E12517"/>
    <w:multiLevelType w:val="hybridMultilevel"/>
    <w:tmpl w:val="5950EB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EAA0EC8"/>
    <w:multiLevelType w:val="hybridMultilevel"/>
    <w:tmpl w:val="9C54BF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8889139">
    <w:abstractNumId w:val="7"/>
  </w:num>
  <w:num w:numId="2" w16cid:durableId="315963283">
    <w:abstractNumId w:val="3"/>
  </w:num>
  <w:num w:numId="3" w16cid:durableId="2032947885">
    <w:abstractNumId w:val="5"/>
  </w:num>
  <w:num w:numId="4" w16cid:durableId="1177382101">
    <w:abstractNumId w:val="1"/>
  </w:num>
  <w:num w:numId="5" w16cid:durableId="144054697">
    <w:abstractNumId w:val="2"/>
  </w:num>
  <w:num w:numId="6" w16cid:durableId="284317948">
    <w:abstractNumId w:val="8"/>
  </w:num>
  <w:num w:numId="7" w16cid:durableId="613832291">
    <w:abstractNumId w:val="4"/>
  </w:num>
  <w:num w:numId="8" w16cid:durableId="1252157241">
    <w:abstractNumId w:val="6"/>
  </w:num>
  <w:num w:numId="9" w16cid:durableId="1886525980">
    <w:abstractNumId w:val="9"/>
  </w:num>
  <w:num w:numId="10" w16cid:durableId="45614123">
    <w:abstractNumId w:val="0"/>
  </w:num>
  <w:num w:numId="11" w16cid:durableId="6889468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100"/>
  <w:drawingGridVerticalSpacing w:val="284"/>
  <w:displayHorizontalDrawingGridEvery w:val="2"/>
  <w:displayVerticalDrawingGridEvery w:val="2"/>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93F1D"/>
    <w:rsid w:val="000A7238"/>
    <w:rsid w:val="000B21D3"/>
    <w:rsid w:val="000D379C"/>
    <w:rsid w:val="000F3733"/>
    <w:rsid w:val="00110CBD"/>
    <w:rsid w:val="00114C35"/>
    <w:rsid w:val="00124833"/>
    <w:rsid w:val="00134DD5"/>
    <w:rsid w:val="001357B2"/>
    <w:rsid w:val="00146A2A"/>
    <w:rsid w:val="00157FE9"/>
    <w:rsid w:val="00164D9D"/>
    <w:rsid w:val="0017478F"/>
    <w:rsid w:val="00177E7D"/>
    <w:rsid w:val="00184B84"/>
    <w:rsid w:val="00197203"/>
    <w:rsid w:val="001B210F"/>
    <w:rsid w:val="001D2408"/>
    <w:rsid w:val="00202A77"/>
    <w:rsid w:val="00202BD7"/>
    <w:rsid w:val="00207238"/>
    <w:rsid w:val="00217F78"/>
    <w:rsid w:val="002333F9"/>
    <w:rsid w:val="00234D6B"/>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A60CA"/>
    <w:rsid w:val="003C5EE5"/>
    <w:rsid w:val="003E0734"/>
    <w:rsid w:val="003E1C74"/>
    <w:rsid w:val="003F1A1C"/>
    <w:rsid w:val="00400382"/>
    <w:rsid w:val="004109A1"/>
    <w:rsid w:val="00463235"/>
    <w:rsid w:val="004657EE"/>
    <w:rsid w:val="00466670"/>
    <w:rsid w:val="00471909"/>
    <w:rsid w:val="00473B5D"/>
    <w:rsid w:val="00493E5D"/>
    <w:rsid w:val="004B3077"/>
    <w:rsid w:val="004F50E6"/>
    <w:rsid w:val="00525F1A"/>
    <w:rsid w:val="00526246"/>
    <w:rsid w:val="00567106"/>
    <w:rsid w:val="00577B8C"/>
    <w:rsid w:val="005D3E7D"/>
    <w:rsid w:val="005E1D3C"/>
    <w:rsid w:val="005E25C7"/>
    <w:rsid w:val="005F07A4"/>
    <w:rsid w:val="005F61DB"/>
    <w:rsid w:val="006129FD"/>
    <w:rsid w:val="00625A47"/>
    <w:rsid w:val="00625AE6"/>
    <w:rsid w:val="00631A40"/>
    <w:rsid w:val="00632253"/>
    <w:rsid w:val="00642714"/>
    <w:rsid w:val="006455CE"/>
    <w:rsid w:val="00655841"/>
    <w:rsid w:val="00660142"/>
    <w:rsid w:val="0068544B"/>
    <w:rsid w:val="006879EE"/>
    <w:rsid w:val="006B0AD3"/>
    <w:rsid w:val="006B222C"/>
    <w:rsid w:val="006C5110"/>
    <w:rsid w:val="006E208E"/>
    <w:rsid w:val="006F489C"/>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3500"/>
    <w:rsid w:val="008F585D"/>
    <w:rsid w:val="00924E3C"/>
    <w:rsid w:val="00926E2E"/>
    <w:rsid w:val="009612BB"/>
    <w:rsid w:val="00961363"/>
    <w:rsid w:val="009658CC"/>
    <w:rsid w:val="009950D5"/>
    <w:rsid w:val="009A2D89"/>
    <w:rsid w:val="009A38BB"/>
    <w:rsid w:val="009C740A"/>
    <w:rsid w:val="00A03142"/>
    <w:rsid w:val="00A125C5"/>
    <w:rsid w:val="00A16AD6"/>
    <w:rsid w:val="00A2451C"/>
    <w:rsid w:val="00A30CAE"/>
    <w:rsid w:val="00A528E3"/>
    <w:rsid w:val="00A545F1"/>
    <w:rsid w:val="00A65EE7"/>
    <w:rsid w:val="00A70133"/>
    <w:rsid w:val="00A770A6"/>
    <w:rsid w:val="00A813B1"/>
    <w:rsid w:val="00AB36C4"/>
    <w:rsid w:val="00AC32B2"/>
    <w:rsid w:val="00AD4215"/>
    <w:rsid w:val="00B153DF"/>
    <w:rsid w:val="00B17141"/>
    <w:rsid w:val="00B31575"/>
    <w:rsid w:val="00B61176"/>
    <w:rsid w:val="00B64F6C"/>
    <w:rsid w:val="00B70919"/>
    <w:rsid w:val="00B738F8"/>
    <w:rsid w:val="00B8547D"/>
    <w:rsid w:val="00BA09E4"/>
    <w:rsid w:val="00BD7970"/>
    <w:rsid w:val="00BE72E4"/>
    <w:rsid w:val="00C248E9"/>
    <w:rsid w:val="00C250D5"/>
    <w:rsid w:val="00C35666"/>
    <w:rsid w:val="00C47BAC"/>
    <w:rsid w:val="00C84276"/>
    <w:rsid w:val="00C92898"/>
    <w:rsid w:val="00CA4340"/>
    <w:rsid w:val="00CE5238"/>
    <w:rsid w:val="00CE7514"/>
    <w:rsid w:val="00D06988"/>
    <w:rsid w:val="00D248DE"/>
    <w:rsid w:val="00D264BA"/>
    <w:rsid w:val="00D8542D"/>
    <w:rsid w:val="00DC6A71"/>
    <w:rsid w:val="00E0357D"/>
    <w:rsid w:val="00E12E4A"/>
    <w:rsid w:val="00E21C86"/>
    <w:rsid w:val="00E24259"/>
    <w:rsid w:val="00E55943"/>
    <w:rsid w:val="00E618FB"/>
    <w:rsid w:val="00E654E4"/>
    <w:rsid w:val="00E73FFB"/>
    <w:rsid w:val="00E85CB5"/>
    <w:rsid w:val="00E91809"/>
    <w:rsid w:val="00ED1C3E"/>
    <w:rsid w:val="00ED7350"/>
    <w:rsid w:val="00EE5430"/>
    <w:rsid w:val="00EE7CAD"/>
    <w:rsid w:val="00F0698C"/>
    <w:rsid w:val="00F240BB"/>
    <w:rsid w:val="00F57FED"/>
    <w:rsid w:val="00FA24B6"/>
    <w:rsid w:val="00FA65DE"/>
    <w:rsid w:val="00FC465C"/>
    <w:rsid w:val="00FF68BC"/>
    <w:rsid w:val="00FF782C"/>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doNotEmbedSmartTags/>
  <w14:docId w14:val="01E82EDD"/>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6A71"/>
    <w:pPr>
      <w:spacing w:line="260" w:lineRule="atLeas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link w:val="NogaZnak"/>
    <w:uiPriority w:val="99"/>
    <w:rsid w:val="00AD2B87"/>
    <w:pPr>
      <w:tabs>
        <w:tab w:val="center" w:pos="4320"/>
        <w:tab w:val="right" w:pos="8640"/>
      </w:tabs>
    </w:pPr>
  </w:style>
  <w:style w:type="paragraph" w:styleId="DocumentMap">
    <w:name w:val="Document Map"/>
    <w:basedOn w:val="Normal"/>
    <w:link w:val="ZgradbadokumentaZnak"/>
    <w:rsid w:val="00B31575"/>
    <w:rPr>
      <w:rFonts w:ascii="Tahoma" w:hAnsi="Tahoma" w:cs="Tahoma"/>
      <w:sz w:val="16"/>
      <w:szCs w:val="16"/>
    </w:rPr>
  </w:style>
  <w:style w:type="character" w:customStyle="1" w:styleId="ZgradbadokumentaZnak">
    <w:name w:val="Zgradba dokumenta Znak"/>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styleId="BalloonText">
    <w:name w:val="Balloon Text"/>
    <w:basedOn w:val="Normal"/>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DefaultParagraphFont"/>
    <w:link w:val="BalloonText"/>
    <w:rsid w:val="00272629"/>
    <w:rPr>
      <w:rFonts w:ascii="Segoe UI" w:hAnsi="Segoe UI" w:cs="Segoe UI"/>
      <w:sz w:val="18"/>
      <w:szCs w:val="18"/>
      <w:lang w:val="en-US" w:eastAsia="en-US"/>
    </w:rPr>
  </w:style>
  <w:style w:type="character" w:customStyle="1" w:styleId="NogaZnak">
    <w:name w:val="Noga Znak"/>
    <w:basedOn w:val="DefaultParagraphFont"/>
    <w:link w:val="Footer"/>
    <w:uiPriority w:val="99"/>
    <w:rsid w:val="00D06988"/>
    <w:rPr>
      <w:rFonts w:ascii="Arial" w:hAnsi="Arial"/>
      <w:szCs w:val="24"/>
      <w:lang w:val="en-US" w:eastAsia="en-US"/>
    </w:rPr>
  </w:style>
  <w:style w:type="paragraph" w:styleId="ListParagraph">
    <w:name w:val="List Paragraph"/>
    <w:basedOn w:val="Normal"/>
    <w:uiPriority w:val="34"/>
    <w:qFormat/>
    <w:rsid w:val="00FA65DE"/>
    <w:pPr>
      <w:spacing w:after="200" w:line="276" w:lineRule="auto"/>
      <w:ind w:left="708"/>
    </w:pPr>
    <w:rPr>
      <w:rFonts w:ascii="Calibri" w:eastAsia="Calibri" w:hAnsi="Calibr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1892</Words>
  <Characters>10786</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Lara Štrokaj (student)</cp:lastModifiedBy>
  <cp:revision>4</cp:revision>
  <cp:lastPrinted>2019-04-10T12:46:00Z</cp:lastPrinted>
  <dcterms:created xsi:type="dcterms:W3CDTF">2022-01-27T07:33:00Z</dcterms:created>
  <dcterms:modified xsi:type="dcterms:W3CDTF">2026-03-04T11:56:00Z</dcterms:modified>
</cp:coreProperties>
</file>