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9BA" w:rsidRPr="00DA381C" w:rsidRDefault="00B97D3F" w:rsidP="00F82C5F">
      <w:pPr>
        <w:jc w:val="both"/>
        <w:rPr>
          <w:rFonts w:ascii="Arial" w:hAnsi="Arial" w:cs="Arial"/>
          <w:b/>
        </w:rPr>
      </w:pPr>
      <w:r w:rsidRPr="00DA381C">
        <w:rPr>
          <w:rFonts w:ascii="Arial" w:hAnsi="Arial" w:cs="Arial"/>
          <w:b/>
        </w:rPr>
        <w:t xml:space="preserve">Poročilo o izvajanju državne javne službe v </w:t>
      </w:r>
      <w:r w:rsidR="00715494" w:rsidRPr="00DA381C">
        <w:rPr>
          <w:rFonts w:ascii="Arial" w:hAnsi="Arial" w:cs="Arial"/>
          <w:b/>
        </w:rPr>
        <w:t>pooblaščenih muzejih v letu 201</w:t>
      </w:r>
      <w:r w:rsidR="004245A0" w:rsidRPr="00DA381C">
        <w:rPr>
          <w:rFonts w:ascii="Arial" w:hAnsi="Arial" w:cs="Arial"/>
          <w:b/>
        </w:rPr>
        <w:t>9</w:t>
      </w:r>
    </w:p>
    <w:p w:rsidR="00B97D3F" w:rsidRPr="00F82C5F" w:rsidRDefault="00B97D3F" w:rsidP="00F82C5F">
      <w:pPr>
        <w:jc w:val="both"/>
        <w:rPr>
          <w:rFonts w:ascii="Arial" w:hAnsi="Arial" w:cs="Arial"/>
          <w:sz w:val="20"/>
          <w:szCs w:val="20"/>
        </w:rPr>
      </w:pPr>
    </w:p>
    <w:p w:rsidR="00637628" w:rsidRPr="00F82C5F" w:rsidRDefault="00637628" w:rsidP="00F82C5F">
      <w:pPr>
        <w:jc w:val="both"/>
        <w:rPr>
          <w:rFonts w:ascii="Arial" w:hAnsi="Arial" w:cs="Arial"/>
          <w:sz w:val="20"/>
          <w:szCs w:val="20"/>
        </w:rPr>
      </w:pPr>
    </w:p>
    <w:p w:rsidR="002B37B3" w:rsidRPr="00F82C5F" w:rsidRDefault="002B37B3" w:rsidP="00F82C5F">
      <w:pPr>
        <w:jc w:val="both"/>
        <w:rPr>
          <w:rFonts w:ascii="Arial" w:hAnsi="Arial" w:cs="Arial"/>
          <w:sz w:val="20"/>
          <w:szCs w:val="20"/>
        </w:rPr>
      </w:pPr>
      <w:r w:rsidRPr="00F82C5F">
        <w:rPr>
          <w:rFonts w:ascii="Arial" w:hAnsi="Arial" w:cs="Arial"/>
          <w:sz w:val="20"/>
          <w:szCs w:val="20"/>
        </w:rPr>
        <w:t xml:space="preserve">Poleg muzejev, </w:t>
      </w:r>
      <w:r w:rsidR="00571544" w:rsidRPr="00F82C5F">
        <w:rPr>
          <w:rFonts w:ascii="Arial" w:hAnsi="Arial" w:cs="Arial"/>
          <w:sz w:val="20"/>
          <w:szCs w:val="20"/>
        </w:rPr>
        <w:t>k</w:t>
      </w:r>
      <w:r w:rsidR="00D824CB" w:rsidRPr="00F82C5F">
        <w:rPr>
          <w:rFonts w:ascii="Arial" w:hAnsi="Arial" w:cs="Arial"/>
          <w:sz w:val="20"/>
          <w:szCs w:val="20"/>
        </w:rPr>
        <w:t>aterih ustanoviteljica je Republika Slovenija,</w:t>
      </w:r>
      <w:r w:rsidR="00571544" w:rsidRPr="00F82C5F">
        <w:rPr>
          <w:rFonts w:ascii="Arial" w:hAnsi="Arial" w:cs="Arial"/>
          <w:sz w:val="20"/>
          <w:szCs w:val="20"/>
        </w:rPr>
        <w:t xml:space="preserve"> </w:t>
      </w:r>
      <w:r w:rsidRPr="00F82C5F">
        <w:rPr>
          <w:rFonts w:ascii="Arial" w:hAnsi="Arial" w:cs="Arial"/>
          <w:sz w:val="20"/>
          <w:szCs w:val="20"/>
        </w:rPr>
        <w:t>državno javno službo izvaja</w:t>
      </w:r>
      <w:r w:rsidR="00571544" w:rsidRPr="00F82C5F">
        <w:rPr>
          <w:rFonts w:ascii="Arial" w:hAnsi="Arial" w:cs="Arial"/>
          <w:sz w:val="20"/>
          <w:szCs w:val="20"/>
        </w:rPr>
        <w:t xml:space="preserve">jo tudi muzeji, ki so za to nalogo pridobili pooblastilo. Pooblaščenih muzejev je </w:t>
      </w:r>
      <w:r w:rsidRPr="00F82C5F">
        <w:rPr>
          <w:rFonts w:ascii="Arial" w:hAnsi="Arial" w:cs="Arial"/>
          <w:sz w:val="20"/>
          <w:szCs w:val="20"/>
        </w:rPr>
        <w:t>3</w:t>
      </w:r>
      <w:r w:rsidR="00571544" w:rsidRPr="00F82C5F">
        <w:rPr>
          <w:rFonts w:ascii="Arial" w:hAnsi="Arial" w:cs="Arial"/>
          <w:sz w:val="20"/>
          <w:szCs w:val="20"/>
        </w:rPr>
        <w:t>6, med njimi so jih 35 ustanovile lokalne skupnosti,</w:t>
      </w:r>
      <w:r w:rsidR="00637628" w:rsidRPr="00F82C5F">
        <w:rPr>
          <w:rStyle w:val="Sprotnaopomba-sklic"/>
          <w:rFonts w:ascii="Arial" w:hAnsi="Arial" w:cs="Arial"/>
          <w:sz w:val="20"/>
          <w:szCs w:val="20"/>
        </w:rPr>
        <w:footnoteReference w:id="1"/>
      </w:r>
      <w:r w:rsidR="00571544" w:rsidRPr="00F82C5F">
        <w:rPr>
          <w:rFonts w:ascii="Arial" w:hAnsi="Arial" w:cs="Arial"/>
          <w:sz w:val="20"/>
          <w:szCs w:val="20"/>
        </w:rPr>
        <w:t xml:space="preserve"> en muzej pa je zasebn</w:t>
      </w:r>
      <w:r w:rsidR="00DE71D0" w:rsidRPr="00F82C5F">
        <w:rPr>
          <w:rFonts w:ascii="Arial" w:hAnsi="Arial" w:cs="Arial"/>
          <w:sz w:val="20"/>
          <w:szCs w:val="20"/>
        </w:rPr>
        <w:t>i</w:t>
      </w:r>
      <w:r w:rsidR="00571544" w:rsidRPr="00F82C5F">
        <w:rPr>
          <w:rFonts w:ascii="Arial" w:hAnsi="Arial" w:cs="Arial"/>
          <w:sz w:val="20"/>
          <w:szCs w:val="20"/>
        </w:rPr>
        <w:t>.</w:t>
      </w:r>
      <w:r w:rsidR="00C56F5F" w:rsidRPr="00F82C5F">
        <w:rPr>
          <w:rFonts w:ascii="Arial" w:hAnsi="Arial" w:cs="Arial"/>
          <w:sz w:val="20"/>
          <w:szCs w:val="20"/>
        </w:rPr>
        <w:t xml:space="preserve"> Pooblastilo </w:t>
      </w:r>
      <w:r w:rsidR="00637628" w:rsidRPr="00F82C5F">
        <w:rPr>
          <w:rFonts w:ascii="Arial" w:hAnsi="Arial" w:cs="Arial"/>
          <w:sz w:val="20"/>
          <w:szCs w:val="20"/>
        </w:rPr>
        <w:t xml:space="preserve">Vlade Republike Slovenije </w:t>
      </w:r>
      <w:r w:rsidR="00C56F5F" w:rsidRPr="00F82C5F">
        <w:rPr>
          <w:rFonts w:ascii="Arial" w:hAnsi="Arial" w:cs="Arial"/>
          <w:sz w:val="20"/>
          <w:szCs w:val="20"/>
        </w:rPr>
        <w:t xml:space="preserve">so pridobili </w:t>
      </w:r>
      <w:r w:rsidR="005B3F7C" w:rsidRPr="00F82C5F">
        <w:rPr>
          <w:rFonts w:ascii="Arial" w:hAnsi="Arial" w:cs="Arial"/>
          <w:sz w:val="20"/>
          <w:szCs w:val="20"/>
        </w:rPr>
        <w:t>19. marca</w:t>
      </w:r>
      <w:r w:rsidR="00C56F5F" w:rsidRPr="00F82C5F">
        <w:rPr>
          <w:rFonts w:ascii="Arial" w:hAnsi="Arial" w:cs="Arial"/>
          <w:sz w:val="20"/>
          <w:szCs w:val="20"/>
        </w:rPr>
        <w:t xml:space="preserve"> 2013</w:t>
      </w:r>
      <w:r w:rsidR="005B3F7C" w:rsidRPr="00F82C5F">
        <w:rPr>
          <w:rFonts w:ascii="Arial" w:hAnsi="Arial" w:cs="Arial"/>
          <w:sz w:val="20"/>
          <w:szCs w:val="20"/>
        </w:rPr>
        <w:t>.</w:t>
      </w:r>
      <w:r w:rsidR="00C56F5F" w:rsidRPr="00F82C5F">
        <w:rPr>
          <w:rFonts w:ascii="Arial" w:hAnsi="Arial" w:cs="Arial"/>
          <w:sz w:val="20"/>
          <w:szCs w:val="20"/>
        </w:rPr>
        <w:t xml:space="preserve"> </w:t>
      </w:r>
    </w:p>
    <w:p w:rsidR="00571544" w:rsidRPr="00F82C5F" w:rsidRDefault="00571544" w:rsidP="00F82C5F">
      <w:pPr>
        <w:jc w:val="both"/>
        <w:rPr>
          <w:rFonts w:ascii="Arial" w:hAnsi="Arial" w:cs="Arial"/>
          <w:sz w:val="20"/>
          <w:szCs w:val="20"/>
        </w:rPr>
      </w:pPr>
    </w:p>
    <w:p w:rsidR="00B51543" w:rsidRPr="00F82C5F" w:rsidRDefault="00F12A25" w:rsidP="00F82C5F">
      <w:pPr>
        <w:jc w:val="both"/>
        <w:rPr>
          <w:rFonts w:ascii="Arial" w:hAnsi="Arial" w:cs="Arial"/>
          <w:sz w:val="20"/>
          <w:szCs w:val="20"/>
        </w:rPr>
      </w:pPr>
      <w:r w:rsidRPr="00F82C5F">
        <w:rPr>
          <w:rFonts w:ascii="Arial" w:hAnsi="Arial" w:cs="Arial"/>
          <w:sz w:val="20"/>
          <w:szCs w:val="20"/>
        </w:rPr>
        <w:t>Pooblaščeni muzeji so: Posavski muzej Brežice</w:t>
      </w:r>
      <w:r w:rsidR="0048135C" w:rsidRPr="00F82C5F">
        <w:rPr>
          <w:rFonts w:ascii="Arial" w:hAnsi="Arial" w:cs="Arial"/>
          <w:sz w:val="20"/>
          <w:szCs w:val="20"/>
        </w:rPr>
        <w:t>,</w:t>
      </w:r>
      <w:r w:rsidR="00637628" w:rsidRPr="00F82C5F">
        <w:rPr>
          <w:rFonts w:ascii="Arial" w:hAnsi="Arial" w:cs="Arial"/>
          <w:sz w:val="20"/>
          <w:szCs w:val="20"/>
        </w:rPr>
        <w:t xml:space="preserve"> </w:t>
      </w:r>
      <w:r w:rsidRPr="00F82C5F">
        <w:rPr>
          <w:rFonts w:ascii="Arial" w:hAnsi="Arial" w:cs="Arial"/>
          <w:sz w:val="20"/>
          <w:szCs w:val="20"/>
        </w:rPr>
        <w:t>Pokrajinski muzej Celje, Muzej novejše zgodovine Celje, Mestni muzej Idrija, Gornjesavski muzej Jesenice, Medobčinski muzej Kamnik, Pokrajinski muzej Kočevje, Pokrajinski muzej Koper, Gorenjski muzej Kranj, M</w:t>
      </w:r>
      <w:r w:rsidR="00663DC8" w:rsidRPr="00F82C5F">
        <w:rPr>
          <w:rFonts w:ascii="Arial" w:hAnsi="Arial" w:cs="Arial"/>
          <w:sz w:val="20"/>
          <w:szCs w:val="20"/>
        </w:rPr>
        <w:t>GML</w:t>
      </w:r>
      <w:r w:rsidR="00AF26D1" w:rsidRPr="00F82C5F">
        <w:rPr>
          <w:rStyle w:val="Sprotnaopomba-sklic"/>
          <w:rFonts w:ascii="Arial" w:hAnsi="Arial" w:cs="Arial"/>
          <w:sz w:val="20"/>
          <w:szCs w:val="20"/>
        </w:rPr>
        <w:footnoteReference w:id="2"/>
      </w:r>
      <w:r w:rsidRPr="00F82C5F">
        <w:rPr>
          <w:rFonts w:ascii="Arial" w:hAnsi="Arial" w:cs="Arial"/>
          <w:sz w:val="20"/>
          <w:szCs w:val="20"/>
        </w:rPr>
        <w:t xml:space="preserve"> Muzej narodne osvoboditve Maribor, Pokrajinski muzej Maribor, Belokranjski muzej Metlika, Pomurski muzej Murska Sobota, Goriški muzej Kromberk - Nova Gorica, Dolenjski muzej, Pomorski muzej "Sergej Mašera" Piran, Zavod Znanje Postojna,</w:t>
      </w:r>
      <w:r w:rsidR="00637628" w:rsidRPr="00F82C5F">
        <w:rPr>
          <w:rStyle w:val="Sprotnaopomba-sklic"/>
          <w:rFonts w:ascii="Arial" w:hAnsi="Arial" w:cs="Arial"/>
          <w:sz w:val="20"/>
          <w:szCs w:val="20"/>
        </w:rPr>
        <w:footnoteReference w:id="3"/>
      </w:r>
      <w:r w:rsidRPr="00F82C5F">
        <w:rPr>
          <w:rFonts w:ascii="Arial" w:hAnsi="Arial" w:cs="Arial"/>
          <w:sz w:val="20"/>
          <w:szCs w:val="20"/>
        </w:rPr>
        <w:t xml:space="preserve"> Pokrajinski muzej Ptuj-Ormož, Muzeji radovljiške občine, Rokodelski center Ribnica, Koroški pokrajinski muzej, Loški muzej Škofja Loka, Tolminski muzej, Zasavski muzej Trbovlje, Tržiški muzej, Muzej Velenje, Pilonova galerija, Ajdovščina, Galerija Božidar Jakac, Galerija-muzej Lendava, M</w:t>
      </w:r>
      <w:r w:rsidR="00663DC8" w:rsidRPr="00F82C5F">
        <w:rPr>
          <w:rFonts w:ascii="Arial" w:hAnsi="Arial" w:cs="Arial"/>
          <w:sz w:val="20"/>
          <w:szCs w:val="20"/>
        </w:rPr>
        <w:t>GLC</w:t>
      </w:r>
      <w:r w:rsidR="00663DC8" w:rsidRPr="00F82C5F">
        <w:rPr>
          <w:rStyle w:val="Sprotnaopomba-sklic"/>
          <w:rFonts w:ascii="Arial" w:hAnsi="Arial" w:cs="Arial"/>
          <w:sz w:val="20"/>
          <w:szCs w:val="20"/>
        </w:rPr>
        <w:footnoteReference w:id="4"/>
      </w:r>
      <w:r w:rsidRPr="00F82C5F">
        <w:rPr>
          <w:rFonts w:ascii="Arial" w:hAnsi="Arial" w:cs="Arial"/>
          <w:sz w:val="20"/>
          <w:szCs w:val="20"/>
        </w:rPr>
        <w:t xml:space="preserve">, Umetnostna galerija Maribor, Galerija Murska Sobota, Obalne galerije Piran, Koroška galerija likovnih umetnosti in Kobariški muzej </w:t>
      </w:r>
      <w:proofErr w:type="spellStart"/>
      <w:r w:rsidRPr="00F82C5F">
        <w:rPr>
          <w:rFonts w:ascii="Arial" w:hAnsi="Arial" w:cs="Arial"/>
          <w:sz w:val="20"/>
          <w:szCs w:val="20"/>
        </w:rPr>
        <w:t>d.o.o</w:t>
      </w:r>
      <w:proofErr w:type="spellEnd"/>
      <w:r w:rsidRPr="00F82C5F">
        <w:rPr>
          <w:rFonts w:ascii="Arial" w:hAnsi="Arial" w:cs="Arial"/>
          <w:sz w:val="20"/>
          <w:szCs w:val="20"/>
        </w:rPr>
        <w:t>.</w:t>
      </w:r>
      <w:r w:rsidR="00524BF3" w:rsidRPr="00F82C5F">
        <w:rPr>
          <w:rStyle w:val="Sprotnaopomba-sklic"/>
          <w:rFonts w:ascii="Arial" w:hAnsi="Arial" w:cs="Arial"/>
          <w:sz w:val="20"/>
          <w:szCs w:val="20"/>
        </w:rPr>
        <w:footnoteReference w:id="5"/>
      </w:r>
      <w:r w:rsidR="00CF33DF" w:rsidRPr="00F82C5F">
        <w:rPr>
          <w:rFonts w:ascii="Arial" w:hAnsi="Arial" w:cs="Arial"/>
          <w:sz w:val="20"/>
          <w:szCs w:val="20"/>
        </w:rPr>
        <w:t xml:space="preserve"> </w:t>
      </w:r>
      <w:r w:rsidR="008A33C2" w:rsidRPr="00F82C5F">
        <w:rPr>
          <w:rFonts w:ascii="Arial" w:hAnsi="Arial" w:cs="Arial"/>
          <w:sz w:val="20"/>
          <w:szCs w:val="20"/>
        </w:rPr>
        <w:t xml:space="preserve">Velika večina muzejev (razen treh) </w:t>
      </w:r>
      <w:r w:rsidR="00D824CB" w:rsidRPr="00F82C5F">
        <w:rPr>
          <w:rFonts w:ascii="Arial" w:hAnsi="Arial" w:cs="Arial"/>
          <w:sz w:val="20"/>
          <w:szCs w:val="20"/>
        </w:rPr>
        <w:t>skrbi tudi za dislocirane enote</w:t>
      </w:r>
      <w:r w:rsidR="008A33C2" w:rsidRPr="00F82C5F">
        <w:rPr>
          <w:rFonts w:ascii="Arial" w:hAnsi="Arial" w:cs="Arial"/>
          <w:sz w:val="20"/>
          <w:szCs w:val="20"/>
        </w:rPr>
        <w:t xml:space="preserve"> in zbirke na dislociranih krajih, ki jih je skupaj 123.</w:t>
      </w:r>
    </w:p>
    <w:p w:rsidR="00C40E9A" w:rsidRDefault="00C40E9A" w:rsidP="00F82C5F">
      <w:pPr>
        <w:jc w:val="both"/>
        <w:rPr>
          <w:rFonts w:ascii="Arial" w:hAnsi="Arial" w:cs="Arial"/>
          <w:sz w:val="20"/>
          <w:szCs w:val="20"/>
        </w:rPr>
      </w:pPr>
    </w:p>
    <w:p w:rsidR="00DA381C" w:rsidRPr="00F82C5F" w:rsidRDefault="00DA381C" w:rsidP="00F82C5F">
      <w:pPr>
        <w:jc w:val="both"/>
        <w:rPr>
          <w:rFonts w:ascii="Arial" w:hAnsi="Arial" w:cs="Arial"/>
          <w:sz w:val="20"/>
          <w:szCs w:val="20"/>
        </w:rPr>
      </w:pPr>
    </w:p>
    <w:p w:rsidR="006668D1" w:rsidRPr="00F82C5F" w:rsidRDefault="006668D1" w:rsidP="00F82C5F">
      <w:pPr>
        <w:jc w:val="both"/>
        <w:rPr>
          <w:rFonts w:ascii="Arial" w:hAnsi="Arial" w:cs="Arial"/>
          <w:b/>
          <w:sz w:val="20"/>
          <w:szCs w:val="20"/>
          <w:u w:val="single"/>
        </w:rPr>
      </w:pPr>
      <w:r w:rsidRPr="00F82C5F">
        <w:rPr>
          <w:rFonts w:ascii="Arial" w:hAnsi="Arial" w:cs="Arial"/>
          <w:b/>
          <w:sz w:val="20"/>
          <w:szCs w:val="20"/>
          <w:u w:val="single"/>
        </w:rPr>
        <w:t>Delo z gradivom</w:t>
      </w:r>
    </w:p>
    <w:p w:rsidR="00DC6979" w:rsidRPr="00F82C5F" w:rsidRDefault="00DC6979" w:rsidP="00F82C5F">
      <w:pPr>
        <w:jc w:val="both"/>
        <w:rPr>
          <w:rFonts w:ascii="Arial" w:hAnsi="Arial" w:cs="Arial"/>
          <w:b/>
          <w:sz w:val="20"/>
          <w:szCs w:val="20"/>
        </w:rPr>
      </w:pPr>
    </w:p>
    <w:p w:rsidR="005B3F7C" w:rsidRPr="00F82C5F" w:rsidRDefault="005B3F7C" w:rsidP="00F82C5F">
      <w:pPr>
        <w:jc w:val="both"/>
        <w:rPr>
          <w:rFonts w:ascii="Arial" w:hAnsi="Arial" w:cs="Arial"/>
          <w:sz w:val="20"/>
          <w:szCs w:val="20"/>
        </w:rPr>
      </w:pPr>
      <w:r w:rsidRPr="00F82C5F">
        <w:rPr>
          <w:rFonts w:ascii="Arial" w:hAnsi="Arial" w:cs="Arial"/>
          <w:sz w:val="20"/>
          <w:szCs w:val="20"/>
        </w:rPr>
        <w:t>Dokumenti</w:t>
      </w:r>
      <w:r w:rsidR="00F24D20" w:rsidRPr="00F82C5F">
        <w:rPr>
          <w:rFonts w:ascii="Arial" w:hAnsi="Arial" w:cs="Arial"/>
          <w:sz w:val="20"/>
          <w:szCs w:val="20"/>
        </w:rPr>
        <w:t>r</w:t>
      </w:r>
      <w:r w:rsidRPr="00F82C5F">
        <w:rPr>
          <w:rFonts w:ascii="Arial" w:hAnsi="Arial" w:cs="Arial"/>
          <w:sz w:val="20"/>
          <w:szCs w:val="20"/>
        </w:rPr>
        <w:t xml:space="preserve">anje, akcesija, inventariziranje, digitalizacija, vrednotenje, </w:t>
      </w:r>
      <w:r w:rsidR="00F24D20" w:rsidRPr="00F82C5F">
        <w:rPr>
          <w:rFonts w:ascii="Arial" w:hAnsi="Arial" w:cs="Arial"/>
          <w:sz w:val="20"/>
          <w:szCs w:val="20"/>
        </w:rPr>
        <w:t xml:space="preserve">hramba, konserviranje in restavriranje ter proučevanje </w:t>
      </w:r>
      <w:r w:rsidRPr="00F82C5F">
        <w:rPr>
          <w:rFonts w:ascii="Arial" w:hAnsi="Arial" w:cs="Arial"/>
          <w:sz w:val="20"/>
          <w:szCs w:val="20"/>
        </w:rPr>
        <w:t xml:space="preserve">predstavljajo velik obseg muzejskega dela, </w:t>
      </w:r>
      <w:r w:rsidR="00F24D20" w:rsidRPr="00F82C5F">
        <w:rPr>
          <w:rFonts w:ascii="Arial" w:hAnsi="Arial" w:cs="Arial"/>
          <w:sz w:val="20"/>
          <w:szCs w:val="20"/>
        </w:rPr>
        <w:t xml:space="preserve">primarno </w:t>
      </w:r>
      <w:r w:rsidRPr="00F82C5F">
        <w:rPr>
          <w:rFonts w:ascii="Arial" w:hAnsi="Arial" w:cs="Arial"/>
          <w:sz w:val="20"/>
          <w:szCs w:val="20"/>
        </w:rPr>
        <w:t>javno službo</w:t>
      </w:r>
      <w:r w:rsidR="00F24D20" w:rsidRPr="00F82C5F">
        <w:rPr>
          <w:rFonts w:ascii="Arial" w:hAnsi="Arial" w:cs="Arial"/>
          <w:sz w:val="20"/>
          <w:szCs w:val="20"/>
        </w:rPr>
        <w:t>, brez katere predstavljanje dediščine javnosti ne</w:t>
      </w:r>
      <w:r w:rsidR="006F4E38">
        <w:rPr>
          <w:rFonts w:ascii="Arial" w:hAnsi="Arial" w:cs="Arial"/>
          <w:sz w:val="20"/>
          <w:szCs w:val="20"/>
        </w:rPr>
        <w:t xml:space="preserve"> </w:t>
      </w:r>
      <w:r w:rsidR="00F24D20" w:rsidRPr="00F82C5F">
        <w:rPr>
          <w:rFonts w:ascii="Arial" w:hAnsi="Arial" w:cs="Arial"/>
          <w:sz w:val="20"/>
          <w:szCs w:val="20"/>
        </w:rPr>
        <w:t xml:space="preserve">bi bilo izvedljivo. </w:t>
      </w:r>
    </w:p>
    <w:p w:rsidR="000B2128" w:rsidRPr="00F82C5F" w:rsidRDefault="000B2128" w:rsidP="00F82C5F">
      <w:pPr>
        <w:jc w:val="both"/>
        <w:rPr>
          <w:rFonts w:ascii="Arial" w:hAnsi="Arial" w:cs="Arial"/>
          <w:sz w:val="20"/>
          <w:szCs w:val="20"/>
        </w:rPr>
      </w:pPr>
    </w:p>
    <w:p w:rsidR="00184005" w:rsidRPr="00F82C5F" w:rsidRDefault="00E53AB4" w:rsidP="00F82C5F">
      <w:pPr>
        <w:jc w:val="both"/>
        <w:rPr>
          <w:rFonts w:ascii="Arial" w:hAnsi="Arial" w:cs="Arial"/>
          <w:sz w:val="20"/>
          <w:szCs w:val="20"/>
        </w:rPr>
      </w:pPr>
      <w:r w:rsidRPr="00F82C5F">
        <w:rPr>
          <w:rFonts w:ascii="Arial" w:hAnsi="Arial" w:cs="Arial"/>
          <w:b/>
          <w:sz w:val="20"/>
          <w:szCs w:val="20"/>
        </w:rPr>
        <w:t>Urejena dokumentacija</w:t>
      </w:r>
      <w:r w:rsidRPr="00F82C5F">
        <w:rPr>
          <w:rFonts w:ascii="Arial" w:hAnsi="Arial" w:cs="Arial"/>
          <w:bCs/>
          <w:sz w:val="20"/>
          <w:szCs w:val="20"/>
        </w:rPr>
        <w:t xml:space="preserve"> in depoji so ogledalo vestne skrbi muzeja za predmete kulturne dediščine. </w:t>
      </w:r>
      <w:r w:rsidR="0073139C" w:rsidRPr="00F82C5F">
        <w:rPr>
          <w:rFonts w:ascii="Arial" w:hAnsi="Arial" w:cs="Arial"/>
          <w:bCs/>
          <w:sz w:val="20"/>
          <w:szCs w:val="20"/>
        </w:rPr>
        <w:t xml:space="preserve">Dokumentacija je v preteklosti predstavljala večji problem. Z uveljavitvijo Pravilnika o vodenju inventarne knjige v letu 2004 se je postopoma poenotila osnovna dokumentacija o inventariziranih predmetih, torej tistih, ki v državnih in pooblaščenih muzejih predstavljajo kulturni spomenik. Lahko rečemo, da bistvenih zaostankov v inventarizaciji ni več. Izjema </w:t>
      </w:r>
      <w:r w:rsidR="00550841" w:rsidRPr="00F82C5F">
        <w:rPr>
          <w:rFonts w:ascii="Arial" w:hAnsi="Arial" w:cs="Arial"/>
          <w:bCs/>
          <w:sz w:val="20"/>
          <w:szCs w:val="20"/>
        </w:rPr>
        <w:t xml:space="preserve">so arhivi arheoloških najdišč, </w:t>
      </w:r>
      <w:r w:rsidR="00184005" w:rsidRPr="00F82C5F">
        <w:rPr>
          <w:rFonts w:ascii="Arial" w:hAnsi="Arial" w:cs="Arial"/>
          <w:bCs/>
          <w:sz w:val="20"/>
          <w:szCs w:val="20"/>
        </w:rPr>
        <w:t xml:space="preserve">ki predstavljajo veliko količino gradiva, za katero ni zagotovljenih ustreznih depojev in kadrovskih zmogljivosti. </w:t>
      </w:r>
      <w:r w:rsidR="00550841" w:rsidRPr="00F82C5F">
        <w:rPr>
          <w:rFonts w:ascii="Arial" w:hAnsi="Arial" w:cs="Arial"/>
          <w:bCs/>
          <w:sz w:val="20"/>
          <w:szCs w:val="20"/>
        </w:rPr>
        <w:t xml:space="preserve">Po </w:t>
      </w:r>
      <w:r w:rsidR="00860E12" w:rsidRPr="00F82C5F">
        <w:rPr>
          <w:rFonts w:ascii="Arial" w:hAnsi="Arial" w:cs="Arial"/>
          <w:sz w:val="20"/>
          <w:szCs w:val="20"/>
        </w:rPr>
        <w:t xml:space="preserve">analizi </w:t>
      </w:r>
      <w:r w:rsidR="00210ED2" w:rsidRPr="00F82C5F">
        <w:rPr>
          <w:rFonts w:ascii="Arial" w:hAnsi="Arial" w:cs="Arial"/>
          <w:sz w:val="20"/>
          <w:szCs w:val="20"/>
        </w:rPr>
        <w:t xml:space="preserve">stanja, ki jo je opravila </w:t>
      </w:r>
      <w:r w:rsidR="00860E12" w:rsidRPr="00F82C5F">
        <w:rPr>
          <w:rFonts w:ascii="Arial" w:hAnsi="Arial" w:cs="Arial"/>
          <w:sz w:val="20"/>
          <w:szCs w:val="20"/>
        </w:rPr>
        <w:t>SPDM</w:t>
      </w:r>
      <w:r w:rsidR="00300C00" w:rsidRPr="00F82C5F">
        <w:rPr>
          <w:rStyle w:val="Sprotnaopomba-sklic"/>
          <w:rFonts w:ascii="Arial" w:hAnsi="Arial" w:cs="Arial"/>
          <w:sz w:val="20"/>
          <w:szCs w:val="20"/>
        </w:rPr>
        <w:footnoteReference w:id="6"/>
      </w:r>
      <w:r w:rsidR="00210ED2" w:rsidRPr="00F82C5F">
        <w:rPr>
          <w:rFonts w:ascii="Arial" w:hAnsi="Arial" w:cs="Arial"/>
          <w:sz w:val="20"/>
          <w:szCs w:val="20"/>
        </w:rPr>
        <w:t>,</w:t>
      </w:r>
      <w:r w:rsidR="00860E12" w:rsidRPr="00F82C5F">
        <w:rPr>
          <w:rFonts w:ascii="Arial" w:hAnsi="Arial" w:cs="Arial"/>
          <w:sz w:val="20"/>
          <w:szCs w:val="20"/>
        </w:rPr>
        <w:t xml:space="preserve"> </w:t>
      </w:r>
      <w:r w:rsidR="00550841" w:rsidRPr="00F82C5F">
        <w:rPr>
          <w:rFonts w:ascii="Arial" w:hAnsi="Arial" w:cs="Arial"/>
          <w:sz w:val="20"/>
          <w:szCs w:val="20"/>
        </w:rPr>
        <w:t>so bila ugotovljena neskladja, različni pristopi k inventariziranju, izkazala se je potreba po poenotenem pristopu</w:t>
      </w:r>
      <w:r w:rsidR="00184005" w:rsidRPr="00F82C5F">
        <w:rPr>
          <w:rFonts w:ascii="Arial" w:hAnsi="Arial" w:cs="Arial"/>
          <w:sz w:val="20"/>
          <w:szCs w:val="20"/>
        </w:rPr>
        <w:t xml:space="preserve"> in v določenih muzejih celo </w:t>
      </w:r>
      <w:proofErr w:type="spellStart"/>
      <w:r w:rsidR="00184005" w:rsidRPr="00F82C5F">
        <w:rPr>
          <w:rFonts w:ascii="Arial" w:hAnsi="Arial" w:cs="Arial"/>
          <w:sz w:val="20"/>
          <w:szCs w:val="20"/>
        </w:rPr>
        <w:t>reinventarizaciji</w:t>
      </w:r>
      <w:proofErr w:type="spellEnd"/>
      <w:r w:rsidR="00550841" w:rsidRPr="00F82C5F">
        <w:rPr>
          <w:rFonts w:ascii="Arial" w:hAnsi="Arial" w:cs="Arial"/>
          <w:sz w:val="20"/>
          <w:szCs w:val="20"/>
        </w:rPr>
        <w:t xml:space="preserve">. Tudi v letu 2019 je bil </w:t>
      </w:r>
      <w:r w:rsidR="00860E12" w:rsidRPr="00F82C5F">
        <w:rPr>
          <w:rFonts w:ascii="Arial" w:hAnsi="Arial" w:cs="Arial"/>
          <w:sz w:val="20"/>
          <w:szCs w:val="20"/>
        </w:rPr>
        <w:t>organiziran posvet</w:t>
      </w:r>
      <w:r w:rsidR="00210ED2" w:rsidRPr="00F82C5F">
        <w:rPr>
          <w:rFonts w:ascii="Arial" w:hAnsi="Arial" w:cs="Arial"/>
          <w:sz w:val="20"/>
          <w:szCs w:val="20"/>
        </w:rPr>
        <w:t xml:space="preserve"> v Narodnem muzeju Slovenije</w:t>
      </w:r>
      <w:r w:rsidR="00550841" w:rsidRPr="00F82C5F">
        <w:rPr>
          <w:rFonts w:ascii="Arial" w:hAnsi="Arial" w:cs="Arial"/>
          <w:sz w:val="20"/>
          <w:szCs w:val="20"/>
        </w:rPr>
        <w:t>. Kot pripomoček in priporočilo muzejem SPDM pripravlja poslovnik za delo z muzejskim gradivom</w:t>
      </w:r>
      <w:r w:rsidR="00184005" w:rsidRPr="00F82C5F">
        <w:rPr>
          <w:rFonts w:ascii="Arial" w:hAnsi="Arial" w:cs="Arial"/>
          <w:sz w:val="20"/>
          <w:szCs w:val="20"/>
        </w:rPr>
        <w:t xml:space="preserve">, ki bo podlaga za pripravo </w:t>
      </w:r>
      <w:r w:rsidR="00550841" w:rsidRPr="00F82C5F">
        <w:rPr>
          <w:rFonts w:ascii="Arial" w:hAnsi="Arial" w:cs="Arial"/>
          <w:sz w:val="20"/>
          <w:szCs w:val="20"/>
        </w:rPr>
        <w:t>notranji</w:t>
      </w:r>
      <w:r w:rsidR="00184005" w:rsidRPr="00F82C5F">
        <w:rPr>
          <w:rFonts w:ascii="Arial" w:hAnsi="Arial" w:cs="Arial"/>
          <w:sz w:val="20"/>
          <w:szCs w:val="20"/>
        </w:rPr>
        <w:t>h</w:t>
      </w:r>
      <w:r w:rsidR="00550841" w:rsidRPr="00F82C5F">
        <w:rPr>
          <w:rFonts w:ascii="Arial" w:hAnsi="Arial" w:cs="Arial"/>
          <w:sz w:val="20"/>
          <w:szCs w:val="20"/>
        </w:rPr>
        <w:t xml:space="preserve"> pravilnik</w:t>
      </w:r>
      <w:r w:rsidR="00184005" w:rsidRPr="00F82C5F">
        <w:rPr>
          <w:rFonts w:ascii="Arial" w:hAnsi="Arial" w:cs="Arial"/>
          <w:sz w:val="20"/>
          <w:szCs w:val="20"/>
        </w:rPr>
        <w:t xml:space="preserve">ov. </w:t>
      </w:r>
      <w:r w:rsidR="00660BC3" w:rsidRPr="00F82C5F">
        <w:rPr>
          <w:rFonts w:ascii="Arial" w:hAnsi="Arial" w:cs="Arial"/>
          <w:sz w:val="20"/>
          <w:szCs w:val="20"/>
        </w:rPr>
        <w:t>D</w:t>
      </w:r>
      <w:r w:rsidR="00184005" w:rsidRPr="00F82C5F">
        <w:rPr>
          <w:rFonts w:ascii="Arial" w:hAnsi="Arial" w:cs="Arial"/>
          <w:sz w:val="20"/>
          <w:szCs w:val="20"/>
        </w:rPr>
        <w:t xml:space="preserve">elo z gradivom obravnava širše, od </w:t>
      </w:r>
      <w:r w:rsidR="00660BC3" w:rsidRPr="00F82C5F">
        <w:rPr>
          <w:rFonts w:ascii="Arial" w:hAnsi="Arial" w:cs="Arial"/>
          <w:sz w:val="20"/>
          <w:szCs w:val="20"/>
        </w:rPr>
        <w:t xml:space="preserve">dokumentiranja na terenu, prevzema predmeta in nadaljnjih ravnanj do odložitve v depo. </w:t>
      </w:r>
    </w:p>
    <w:p w:rsidR="00660BC3" w:rsidRPr="00F82C5F" w:rsidRDefault="00660BC3" w:rsidP="00F82C5F">
      <w:pPr>
        <w:jc w:val="both"/>
        <w:rPr>
          <w:rFonts w:ascii="Arial" w:hAnsi="Arial" w:cs="Arial"/>
          <w:sz w:val="20"/>
          <w:szCs w:val="20"/>
        </w:rPr>
      </w:pPr>
    </w:p>
    <w:p w:rsidR="0052019A" w:rsidRPr="00F82C5F" w:rsidRDefault="006668D1" w:rsidP="00F82C5F">
      <w:pPr>
        <w:jc w:val="both"/>
        <w:rPr>
          <w:rFonts w:ascii="Arial" w:hAnsi="Arial" w:cs="Arial"/>
          <w:sz w:val="20"/>
          <w:szCs w:val="20"/>
        </w:rPr>
      </w:pPr>
      <w:r w:rsidRPr="00F82C5F">
        <w:rPr>
          <w:rFonts w:ascii="Arial" w:hAnsi="Arial" w:cs="Arial"/>
          <w:sz w:val="20"/>
          <w:szCs w:val="20"/>
        </w:rPr>
        <w:t>V letu 201</w:t>
      </w:r>
      <w:r w:rsidR="00660BC3" w:rsidRPr="00F82C5F">
        <w:rPr>
          <w:rFonts w:ascii="Arial" w:hAnsi="Arial" w:cs="Arial"/>
          <w:sz w:val="20"/>
          <w:szCs w:val="20"/>
        </w:rPr>
        <w:t>9 so muzeji na območju pristojnosti</w:t>
      </w:r>
      <w:r w:rsidR="00660BC3" w:rsidRPr="00F82C5F">
        <w:rPr>
          <w:rStyle w:val="Sprotnaopomba-sklic"/>
          <w:rFonts w:ascii="Arial" w:hAnsi="Arial" w:cs="Arial"/>
          <w:sz w:val="20"/>
          <w:szCs w:val="20"/>
        </w:rPr>
        <w:footnoteReference w:id="7"/>
      </w:r>
      <w:r w:rsidR="00660BC3" w:rsidRPr="00F82C5F">
        <w:rPr>
          <w:rFonts w:ascii="Arial" w:hAnsi="Arial" w:cs="Arial"/>
          <w:sz w:val="20"/>
          <w:szCs w:val="20"/>
        </w:rPr>
        <w:t xml:space="preserve"> pri zbiralcih, zasebnikih, podjetjih</w:t>
      </w:r>
      <w:r w:rsidRPr="00F82C5F">
        <w:rPr>
          <w:rFonts w:ascii="Arial" w:hAnsi="Arial" w:cs="Arial"/>
          <w:sz w:val="20"/>
          <w:szCs w:val="20"/>
        </w:rPr>
        <w:t xml:space="preserve"> </w:t>
      </w:r>
      <w:r w:rsidR="00660BC3" w:rsidRPr="00F82C5F">
        <w:rPr>
          <w:rFonts w:ascii="Arial" w:hAnsi="Arial" w:cs="Arial"/>
          <w:sz w:val="20"/>
          <w:szCs w:val="20"/>
        </w:rPr>
        <w:t>in drugih pravnih subjektih evidentirali 165.412 predmetov in 134 zbirk. V akcesij</w:t>
      </w:r>
      <w:r w:rsidR="008D61B3" w:rsidRPr="00F82C5F">
        <w:rPr>
          <w:rFonts w:ascii="Arial" w:hAnsi="Arial" w:cs="Arial"/>
          <w:sz w:val="20"/>
          <w:szCs w:val="20"/>
        </w:rPr>
        <w:t>o</w:t>
      </w:r>
      <w:r w:rsidR="00660BC3" w:rsidRPr="00F82C5F">
        <w:rPr>
          <w:rFonts w:ascii="Arial" w:hAnsi="Arial" w:cs="Arial"/>
          <w:sz w:val="20"/>
          <w:szCs w:val="20"/>
        </w:rPr>
        <w:t xml:space="preserve"> so pridobili 43.012 predmetov in inventarizirali 106.</w:t>
      </w:r>
      <w:r w:rsidR="008D61B3" w:rsidRPr="00F82C5F">
        <w:rPr>
          <w:rFonts w:ascii="Arial" w:hAnsi="Arial" w:cs="Arial"/>
          <w:sz w:val="20"/>
          <w:szCs w:val="20"/>
        </w:rPr>
        <w:t xml:space="preserve">139 enot gradiva, kar je skoraj še enkrat več kot lani. Takšen preskok ne kaže stabilnega trenda naraščanja inventarizacije, ampak je posledica prevzemanja obsežnih zbirk. Izjemno obsežno Pelikanovo zbirko je lani prevzel Muzej novejše zgodovine Celje. Skupno število inventariziranih </w:t>
      </w:r>
      <w:r w:rsidR="00565152" w:rsidRPr="00F82C5F">
        <w:rPr>
          <w:rFonts w:ascii="Arial" w:hAnsi="Arial" w:cs="Arial"/>
          <w:sz w:val="20"/>
          <w:szCs w:val="20"/>
        </w:rPr>
        <w:t>enot</w:t>
      </w:r>
      <w:r w:rsidR="008D61B3" w:rsidRPr="00F82C5F">
        <w:rPr>
          <w:rFonts w:ascii="Arial" w:hAnsi="Arial" w:cs="Arial"/>
          <w:sz w:val="20"/>
          <w:szCs w:val="20"/>
        </w:rPr>
        <w:t xml:space="preserve"> v pooblaščenih muzejih </w:t>
      </w:r>
      <w:r w:rsidR="00565152" w:rsidRPr="00F82C5F">
        <w:rPr>
          <w:rFonts w:ascii="Arial" w:hAnsi="Arial" w:cs="Arial"/>
          <w:sz w:val="20"/>
          <w:szCs w:val="20"/>
        </w:rPr>
        <w:t xml:space="preserve">je 1.293.265. Z načrtovanim poenotenim pristopom in načinom inventariziranja lahko pričakujemo, da bo ustrezno spremljanje trendov možno šele v prihodnjih letih. Odstotek digitaliziranih enot ostaja na enaki ravni rahlo nad 60 %. Čeprav se digitalizacija spodbuja, zaradi pomanjkanja namenskih sredstev višjega deleža v tem trenutku ni mogoče pričakovati. </w:t>
      </w:r>
    </w:p>
    <w:p w:rsidR="006668D1" w:rsidRPr="00F82C5F" w:rsidRDefault="00AC0C1A" w:rsidP="00F82C5F">
      <w:pPr>
        <w:jc w:val="both"/>
        <w:rPr>
          <w:rFonts w:ascii="Arial" w:hAnsi="Arial" w:cs="Arial"/>
          <w:sz w:val="20"/>
          <w:szCs w:val="20"/>
        </w:rPr>
      </w:pPr>
      <w:r w:rsidRPr="00F82C5F">
        <w:rPr>
          <w:rFonts w:ascii="Arial" w:hAnsi="Arial" w:cs="Arial"/>
          <w:sz w:val="20"/>
          <w:szCs w:val="20"/>
        </w:rPr>
        <w:lastRenderedPageBreak/>
        <w:t>Z</w:t>
      </w:r>
      <w:r w:rsidR="00DC6979" w:rsidRPr="00F82C5F">
        <w:rPr>
          <w:rFonts w:ascii="Arial" w:hAnsi="Arial" w:cs="Arial"/>
          <w:sz w:val="20"/>
          <w:szCs w:val="20"/>
        </w:rPr>
        <w:t xml:space="preserve"> donacijami in </w:t>
      </w:r>
      <w:r w:rsidR="00DC6979" w:rsidRPr="00F82C5F">
        <w:rPr>
          <w:rFonts w:ascii="Arial" w:hAnsi="Arial" w:cs="Arial"/>
          <w:b/>
          <w:sz w:val="20"/>
          <w:szCs w:val="20"/>
        </w:rPr>
        <w:t xml:space="preserve">odkupi </w:t>
      </w:r>
      <w:r w:rsidR="00DC6979" w:rsidRPr="00F82C5F">
        <w:rPr>
          <w:rFonts w:ascii="Arial" w:hAnsi="Arial" w:cs="Arial"/>
          <w:sz w:val="20"/>
          <w:szCs w:val="20"/>
        </w:rPr>
        <w:t xml:space="preserve">predmetov kulturne dediščine </w:t>
      </w:r>
      <w:r w:rsidRPr="00F82C5F">
        <w:rPr>
          <w:rFonts w:ascii="Arial" w:hAnsi="Arial" w:cs="Arial"/>
          <w:sz w:val="20"/>
          <w:szCs w:val="20"/>
        </w:rPr>
        <w:t>so</w:t>
      </w:r>
      <w:r w:rsidR="00DC6979" w:rsidRPr="00F82C5F">
        <w:rPr>
          <w:rFonts w:ascii="Arial" w:hAnsi="Arial" w:cs="Arial"/>
          <w:sz w:val="20"/>
          <w:szCs w:val="20"/>
        </w:rPr>
        <w:t xml:space="preserve"> zbirke</w:t>
      </w:r>
      <w:r w:rsidRPr="00F82C5F">
        <w:rPr>
          <w:rFonts w:ascii="Arial" w:hAnsi="Arial" w:cs="Arial"/>
          <w:sz w:val="20"/>
          <w:szCs w:val="20"/>
        </w:rPr>
        <w:t xml:space="preserve"> bogatejše za </w:t>
      </w:r>
      <w:r w:rsidR="00565152" w:rsidRPr="00F82C5F">
        <w:rPr>
          <w:rFonts w:ascii="Arial" w:hAnsi="Arial" w:cs="Arial"/>
          <w:sz w:val="20"/>
          <w:szCs w:val="20"/>
        </w:rPr>
        <w:t>3.417</w:t>
      </w:r>
      <w:r w:rsidR="006668D1" w:rsidRPr="00F82C5F">
        <w:rPr>
          <w:rFonts w:ascii="Arial" w:hAnsi="Arial" w:cs="Arial"/>
          <w:sz w:val="20"/>
          <w:szCs w:val="20"/>
        </w:rPr>
        <w:t xml:space="preserve"> enot</w:t>
      </w:r>
      <w:r w:rsidR="00DC6979" w:rsidRPr="00F82C5F">
        <w:rPr>
          <w:rStyle w:val="Sprotnaopomba-sklic"/>
          <w:rFonts w:ascii="Arial" w:hAnsi="Arial" w:cs="Arial"/>
          <w:sz w:val="20"/>
          <w:szCs w:val="20"/>
        </w:rPr>
        <w:footnoteReference w:id="8"/>
      </w:r>
      <w:r w:rsidR="00300C00" w:rsidRPr="00F82C5F">
        <w:rPr>
          <w:rFonts w:ascii="Arial" w:hAnsi="Arial" w:cs="Arial"/>
          <w:sz w:val="20"/>
          <w:szCs w:val="20"/>
        </w:rPr>
        <w:t xml:space="preserve">, med katerimi več kot polovico predstavljajo dela sodobnih likovnih umetnikov. </w:t>
      </w:r>
      <w:r w:rsidR="00C40E9A" w:rsidRPr="00F82C5F">
        <w:rPr>
          <w:rFonts w:ascii="Arial" w:hAnsi="Arial" w:cs="Arial"/>
          <w:sz w:val="20"/>
          <w:szCs w:val="20"/>
        </w:rPr>
        <w:t>I</w:t>
      </w:r>
      <w:r w:rsidR="006668D1" w:rsidRPr="00F82C5F">
        <w:rPr>
          <w:rFonts w:ascii="Arial" w:hAnsi="Arial" w:cs="Arial"/>
          <w:sz w:val="20"/>
          <w:szCs w:val="20"/>
        </w:rPr>
        <w:t xml:space="preserve">z sredstev ministrstva </w:t>
      </w:r>
      <w:r w:rsidR="00A54EAC" w:rsidRPr="00F82C5F">
        <w:rPr>
          <w:rFonts w:ascii="Arial" w:hAnsi="Arial" w:cs="Arial"/>
          <w:sz w:val="20"/>
          <w:szCs w:val="20"/>
        </w:rPr>
        <w:t xml:space="preserve">je </w:t>
      </w:r>
      <w:r w:rsidR="006668D1" w:rsidRPr="00F82C5F">
        <w:rPr>
          <w:rFonts w:ascii="Arial" w:hAnsi="Arial" w:cs="Arial"/>
          <w:sz w:val="20"/>
          <w:szCs w:val="20"/>
        </w:rPr>
        <w:t>realiziran</w:t>
      </w:r>
      <w:r w:rsidR="00DC6979" w:rsidRPr="00F82C5F">
        <w:rPr>
          <w:rFonts w:ascii="Arial" w:hAnsi="Arial" w:cs="Arial"/>
          <w:sz w:val="20"/>
          <w:szCs w:val="20"/>
        </w:rPr>
        <w:t xml:space="preserve"> odkup</w:t>
      </w:r>
      <w:r w:rsidR="006668D1" w:rsidRPr="00F82C5F">
        <w:rPr>
          <w:rFonts w:ascii="Arial" w:hAnsi="Arial" w:cs="Arial"/>
          <w:sz w:val="20"/>
          <w:szCs w:val="20"/>
        </w:rPr>
        <w:t xml:space="preserve"> </w:t>
      </w:r>
      <w:r w:rsidR="00300C00" w:rsidRPr="00F82C5F">
        <w:rPr>
          <w:rFonts w:ascii="Arial" w:hAnsi="Arial" w:cs="Arial"/>
          <w:sz w:val="20"/>
          <w:szCs w:val="20"/>
        </w:rPr>
        <w:t>32</w:t>
      </w:r>
      <w:r w:rsidR="006668D1" w:rsidRPr="00F82C5F">
        <w:rPr>
          <w:rFonts w:ascii="Arial" w:hAnsi="Arial" w:cs="Arial"/>
          <w:sz w:val="20"/>
          <w:szCs w:val="20"/>
        </w:rPr>
        <w:t xml:space="preserve"> enot v skupni višini </w:t>
      </w:r>
      <w:r w:rsidR="00300C00" w:rsidRPr="00F82C5F">
        <w:rPr>
          <w:rFonts w:ascii="Arial" w:hAnsi="Arial" w:cs="Arial"/>
          <w:sz w:val="20"/>
          <w:szCs w:val="20"/>
        </w:rPr>
        <w:t xml:space="preserve">176.694 </w:t>
      </w:r>
      <w:r w:rsidR="006668D1" w:rsidRPr="00F82C5F">
        <w:rPr>
          <w:rFonts w:ascii="Arial" w:hAnsi="Arial" w:cs="Arial"/>
          <w:sz w:val="20"/>
          <w:szCs w:val="20"/>
        </w:rPr>
        <w:t>EUR</w:t>
      </w:r>
      <w:r w:rsidR="00C40E9A" w:rsidRPr="00F82C5F">
        <w:rPr>
          <w:rFonts w:ascii="Arial" w:hAnsi="Arial" w:cs="Arial"/>
          <w:sz w:val="20"/>
          <w:szCs w:val="20"/>
        </w:rPr>
        <w:t xml:space="preserve">, </w:t>
      </w:r>
      <w:r w:rsidRPr="00F82C5F">
        <w:rPr>
          <w:rFonts w:ascii="Arial" w:hAnsi="Arial" w:cs="Arial"/>
          <w:sz w:val="20"/>
          <w:szCs w:val="20"/>
        </w:rPr>
        <w:t xml:space="preserve">kar je </w:t>
      </w:r>
      <w:r w:rsidR="00300C00" w:rsidRPr="00F82C5F">
        <w:rPr>
          <w:rFonts w:ascii="Arial" w:hAnsi="Arial" w:cs="Arial"/>
          <w:sz w:val="20"/>
          <w:szCs w:val="20"/>
        </w:rPr>
        <w:t>7</w:t>
      </w:r>
      <w:r w:rsidRPr="00F82C5F">
        <w:rPr>
          <w:rFonts w:ascii="Arial" w:hAnsi="Arial" w:cs="Arial"/>
          <w:sz w:val="20"/>
          <w:szCs w:val="20"/>
        </w:rPr>
        <w:t>0.</w:t>
      </w:r>
      <w:r w:rsidR="00300C00" w:rsidRPr="00F82C5F">
        <w:rPr>
          <w:rFonts w:ascii="Arial" w:hAnsi="Arial" w:cs="Arial"/>
          <w:sz w:val="20"/>
          <w:szCs w:val="20"/>
        </w:rPr>
        <w:t>839</w:t>
      </w:r>
      <w:r w:rsidRPr="00F82C5F">
        <w:rPr>
          <w:rFonts w:ascii="Arial" w:hAnsi="Arial" w:cs="Arial"/>
          <w:sz w:val="20"/>
          <w:szCs w:val="20"/>
        </w:rPr>
        <w:t xml:space="preserve"> EUR več kot v letu 201</w:t>
      </w:r>
      <w:r w:rsidR="00300C00" w:rsidRPr="00F82C5F">
        <w:rPr>
          <w:rFonts w:ascii="Arial" w:hAnsi="Arial" w:cs="Arial"/>
          <w:sz w:val="20"/>
          <w:szCs w:val="20"/>
        </w:rPr>
        <w:t>8</w:t>
      </w:r>
      <w:r w:rsidRPr="00F82C5F">
        <w:rPr>
          <w:rFonts w:ascii="Arial" w:hAnsi="Arial" w:cs="Arial"/>
          <w:sz w:val="20"/>
          <w:szCs w:val="20"/>
        </w:rPr>
        <w:t xml:space="preserve">. </w:t>
      </w:r>
      <w:r w:rsidR="006625AC" w:rsidRPr="00F82C5F">
        <w:rPr>
          <w:rFonts w:ascii="Arial" w:hAnsi="Arial" w:cs="Arial"/>
          <w:sz w:val="20"/>
          <w:szCs w:val="20"/>
        </w:rPr>
        <w:t>Večinoma so bila odkupljena likovna dela</w:t>
      </w:r>
      <w:r w:rsidR="00300C00" w:rsidRPr="00F82C5F">
        <w:rPr>
          <w:rFonts w:ascii="Arial" w:hAnsi="Arial" w:cs="Arial"/>
          <w:sz w:val="20"/>
          <w:szCs w:val="20"/>
        </w:rPr>
        <w:t>.</w:t>
      </w:r>
      <w:r w:rsidR="006625AC" w:rsidRPr="00F82C5F">
        <w:rPr>
          <w:rFonts w:ascii="Arial" w:hAnsi="Arial" w:cs="Arial"/>
          <w:sz w:val="20"/>
          <w:szCs w:val="20"/>
        </w:rPr>
        <w:t xml:space="preserve"> </w:t>
      </w:r>
    </w:p>
    <w:p w:rsidR="002B631A" w:rsidRPr="00F82C5F" w:rsidRDefault="002B631A" w:rsidP="00F82C5F">
      <w:pPr>
        <w:jc w:val="both"/>
        <w:rPr>
          <w:rFonts w:ascii="Arial" w:hAnsi="Arial" w:cs="Arial"/>
          <w:sz w:val="20"/>
          <w:szCs w:val="20"/>
        </w:rPr>
      </w:pPr>
    </w:p>
    <w:p w:rsidR="00F24D20" w:rsidRPr="00F82C5F" w:rsidRDefault="00300C00" w:rsidP="00F82C5F">
      <w:pPr>
        <w:jc w:val="both"/>
        <w:rPr>
          <w:rFonts w:ascii="Arial" w:hAnsi="Arial" w:cs="Arial"/>
          <w:sz w:val="20"/>
          <w:szCs w:val="20"/>
        </w:rPr>
      </w:pPr>
      <w:r w:rsidRPr="00F82C5F">
        <w:rPr>
          <w:rFonts w:ascii="Arial" w:hAnsi="Arial" w:cs="Arial"/>
          <w:sz w:val="20"/>
          <w:szCs w:val="20"/>
        </w:rPr>
        <w:t xml:space="preserve">V letu 2019 je SPDM dokončala poročilo o stanju </w:t>
      </w:r>
      <w:r w:rsidRPr="00F82C5F">
        <w:rPr>
          <w:rFonts w:ascii="Arial" w:hAnsi="Arial" w:cs="Arial"/>
          <w:b/>
          <w:bCs/>
          <w:sz w:val="20"/>
          <w:szCs w:val="20"/>
        </w:rPr>
        <w:t>depojev</w:t>
      </w:r>
      <w:r w:rsidRPr="00F82C5F">
        <w:rPr>
          <w:rFonts w:ascii="Arial" w:hAnsi="Arial" w:cs="Arial"/>
          <w:sz w:val="20"/>
          <w:szCs w:val="20"/>
        </w:rPr>
        <w:t xml:space="preserve">. Bistvena ugotovitev je pomanjkanje in razpršenost depojskih prostorov. </w:t>
      </w:r>
      <w:r w:rsidR="0075203A" w:rsidRPr="00F82C5F">
        <w:rPr>
          <w:rFonts w:ascii="Arial" w:hAnsi="Arial" w:cs="Arial"/>
          <w:sz w:val="20"/>
          <w:szCs w:val="20"/>
        </w:rPr>
        <w:t>Stiska se pogosto rešuje z začasnimi, neustreznimi ali pa slabo opremljenimi prostori, kjer predmeti postajajo ogroženi zaradi neprimernih klimatskih pogojev, statike, pomanjkljive zaščite pred škodljivci,…. Iz poročila SPDM in evidenc ministrstva je razvidno, da so de</w:t>
      </w:r>
      <w:r w:rsidR="00F24D20" w:rsidRPr="00F82C5F">
        <w:rPr>
          <w:rFonts w:ascii="Arial" w:hAnsi="Arial" w:cs="Arial"/>
          <w:sz w:val="20"/>
          <w:szCs w:val="20"/>
        </w:rPr>
        <w:t>poji razpršeni po upravnih in razstavnih stavbah</w:t>
      </w:r>
      <w:r w:rsidR="0075203A" w:rsidRPr="00F82C5F">
        <w:rPr>
          <w:rFonts w:ascii="Arial" w:hAnsi="Arial" w:cs="Arial"/>
          <w:sz w:val="20"/>
          <w:szCs w:val="20"/>
        </w:rPr>
        <w:t xml:space="preserve"> in na</w:t>
      </w:r>
      <w:r w:rsidR="00F24D20" w:rsidRPr="00F82C5F">
        <w:rPr>
          <w:rFonts w:ascii="Arial" w:hAnsi="Arial" w:cs="Arial"/>
          <w:sz w:val="20"/>
          <w:szCs w:val="20"/>
        </w:rPr>
        <w:t xml:space="preserve"> 42 lokacijah izven muzejskih objektov, med katerimi je </w:t>
      </w:r>
      <w:r w:rsidR="005C070A" w:rsidRPr="00F82C5F">
        <w:rPr>
          <w:rFonts w:ascii="Arial" w:hAnsi="Arial" w:cs="Arial"/>
          <w:sz w:val="20"/>
          <w:szCs w:val="20"/>
        </w:rPr>
        <w:t xml:space="preserve">10 </w:t>
      </w:r>
      <w:r w:rsidR="00F24D20" w:rsidRPr="00F82C5F">
        <w:rPr>
          <w:rFonts w:ascii="Arial" w:hAnsi="Arial" w:cs="Arial"/>
          <w:sz w:val="20"/>
          <w:szCs w:val="20"/>
        </w:rPr>
        <w:t xml:space="preserve">najemnih. </w:t>
      </w:r>
      <w:r w:rsidR="0075203A" w:rsidRPr="00F82C5F">
        <w:rPr>
          <w:rFonts w:ascii="Arial" w:hAnsi="Arial" w:cs="Arial"/>
          <w:sz w:val="20"/>
          <w:szCs w:val="20"/>
        </w:rPr>
        <w:t>P</w:t>
      </w:r>
      <w:r w:rsidR="00F24D20" w:rsidRPr="00F82C5F">
        <w:rPr>
          <w:rFonts w:ascii="Arial" w:hAnsi="Arial" w:cs="Arial"/>
          <w:sz w:val="20"/>
          <w:szCs w:val="20"/>
        </w:rPr>
        <w:t xml:space="preserve">oleg prostorske problematike </w:t>
      </w:r>
      <w:r w:rsidR="0075203A" w:rsidRPr="00F82C5F">
        <w:rPr>
          <w:rFonts w:ascii="Arial" w:hAnsi="Arial" w:cs="Arial"/>
          <w:sz w:val="20"/>
          <w:szCs w:val="20"/>
        </w:rPr>
        <w:t xml:space="preserve">se </w:t>
      </w:r>
      <w:r w:rsidR="00F24D20" w:rsidRPr="00F82C5F">
        <w:rPr>
          <w:rFonts w:ascii="Arial" w:hAnsi="Arial" w:cs="Arial"/>
          <w:sz w:val="20"/>
          <w:szCs w:val="20"/>
        </w:rPr>
        <w:t>razkriva tudi potreb</w:t>
      </w:r>
      <w:r w:rsidR="0075203A" w:rsidRPr="00F82C5F">
        <w:rPr>
          <w:rFonts w:ascii="Arial" w:hAnsi="Arial" w:cs="Arial"/>
          <w:sz w:val="20"/>
          <w:szCs w:val="20"/>
        </w:rPr>
        <w:t>a</w:t>
      </w:r>
      <w:r w:rsidR="00F24D20" w:rsidRPr="00F82C5F">
        <w:rPr>
          <w:rFonts w:ascii="Arial" w:hAnsi="Arial" w:cs="Arial"/>
          <w:sz w:val="20"/>
          <w:szCs w:val="20"/>
        </w:rPr>
        <w:t xml:space="preserve"> po </w:t>
      </w:r>
      <w:r w:rsidR="005C070A" w:rsidRPr="00F82C5F">
        <w:rPr>
          <w:rFonts w:ascii="Arial" w:hAnsi="Arial" w:cs="Arial"/>
          <w:sz w:val="20"/>
          <w:szCs w:val="20"/>
        </w:rPr>
        <w:t xml:space="preserve">jasno začrtani zbiralni politiki, </w:t>
      </w:r>
      <w:r w:rsidR="00F24D20" w:rsidRPr="00F82C5F">
        <w:rPr>
          <w:rFonts w:ascii="Arial" w:hAnsi="Arial" w:cs="Arial"/>
          <w:sz w:val="20"/>
          <w:szCs w:val="20"/>
        </w:rPr>
        <w:t>večjem obsegu inventure gradiva s sočasno reorganizacijo depojev</w:t>
      </w:r>
      <w:r w:rsidR="005C070A" w:rsidRPr="00F82C5F">
        <w:rPr>
          <w:rFonts w:ascii="Arial" w:hAnsi="Arial" w:cs="Arial"/>
          <w:sz w:val="20"/>
          <w:szCs w:val="20"/>
        </w:rPr>
        <w:t xml:space="preserve"> in</w:t>
      </w:r>
      <w:r w:rsidR="00F24D20" w:rsidRPr="00F82C5F">
        <w:rPr>
          <w:rFonts w:ascii="Arial" w:hAnsi="Arial" w:cs="Arial"/>
          <w:sz w:val="20"/>
          <w:szCs w:val="20"/>
        </w:rPr>
        <w:t xml:space="preserve"> </w:t>
      </w:r>
      <w:proofErr w:type="spellStart"/>
      <w:r w:rsidR="00F24D20" w:rsidRPr="00F82C5F">
        <w:rPr>
          <w:rFonts w:ascii="Arial" w:hAnsi="Arial" w:cs="Arial"/>
          <w:sz w:val="20"/>
          <w:szCs w:val="20"/>
        </w:rPr>
        <w:t>reinventarizacijo</w:t>
      </w:r>
      <w:proofErr w:type="spellEnd"/>
      <w:r w:rsidR="00F24D20" w:rsidRPr="00F82C5F">
        <w:rPr>
          <w:rFonts w:ascii="Arial" w:hAnsi="Arial" w:cs="Arial"/>
          <w:sz w:val="20"/>
          <w:szCs w:val="20"/>
        </w:rPr>
        <w:t xml:space="preserve">. Muzeji, ki so se </w:t>
      </w:r>
      <w:r w:rsidR="005C070A" w:rsidRPr="00F82C5F">
        <w:rPr>
          <w:rFonts w:ascii="Arial" w:hAnsi="Arial" w:cs="Arial"/>
          <w:sz w:val="20"/>
          <w:szCs w:val="20"/>
        </w:rPr>
        <w:t xml:space="preserve">odločili aktivno pristopiti k urejanju depojev v obstoječih pogojih, so se </w:t>
      </w:r>
      <w:r w:rsidR="00F24D20" w:rsidRPr="00F82C5F">
        <w:rPr>
          <w:rFonts w:ascii="Arial" w:hAnsi="Arial" w:cs="Arial"/>
          <w:sz w:val="20"/>
          <w:szCs w:val="20"/>
        </w:rPr>
        <w:t xml:space="preserve">vključili </w:t>
      </w:r>
      <w:r w:rsidR="005C070A" w:rsidRPr="00F82C5F">
        <w:rPr>
          <w:rFonts w:ascii="Arial" w:hAnsi="Arial" w:cs="Arial"/>
          <w:sz w:val="20"/>
          <w:szCs w:val="20"/>
        </w:rPr>
        <w:t xml:space="preserve">v izobraževanja projekta </w:t>
      </w:r>
      <w:r w:rsidR="00F24D20" w:rsidRPr="00F82C5F">
        <w:rPr>
          <w:rFonts w:ascii="Arial" w:hAnsi="Arial" w:cs="Arial"/>
          <w:sz w:val="20"/>
          <w:szCs w:val="20"/>
        </w:rPr>
        <w:t>Re-</w:t>
      </w:r>
      <w:proofErr w:type="spellStart"/>
      <w:r w:rsidR="00F24D20" w:rsidRPr="00F82C5F">
        <w:rPr>
          <w:rFonts w:ascii="Arial" w:hAnsi="Arial" w:cs="Arial"/>
          <w:sz w:val="20"/>
          <w:szCs w:val="20"/>
        </w:rPr>
        <w:t>Org</w:t>
      </w:r>
      <w:proofErr w:type="spellEnd"/>
      <w:r w:rsidR="005C070A" w:rsidRPr="00F82C5F">
        <w:rPr>
          <w:rFonts w:ascii="Arial" w:hAnsi="Arial" w:cs="Arial"/>
          <w:sz w:val="20"/>
          <w:szCs w:val="20"/>
        </w:rPr>
        <w:t>,</w:t>
      </w:r>
      <w:r w:rsidR="00F24D20" w:rsidRPr="00F82C5F">
        <w:rPr>
          <w:rFonts w:ascii="Arial" w:hAnsi="Arial" w:cs="Arial"/>
          <w:sz w:val="20"/>
          <w:szCs w:val="20"/>
        </w:rPr>
        <w:t xml:space="preserve"> </w:t>
      </w:r>
      <w:r w:rsidR="005C070A" w:rsidRPr="00F82C5F">
        <w:rPr>
          <w:rFonts w:ascii="Arial" w:hAnsi="Arial" w:cs="Arial"/>
          <w:sz w:val="20"/>
          <w:szCs w:val="20"/>
        </w:rPr>
        <w:t>in</w:t>
      </w:r>
      <w:r w:rsidR="00F24D20" w:rsidRPr="00F82C5F">
        <w:rPr>
          <w:rFonts w:ascii="Arial" w:hAnsi="Arial" w:cs="Arial"/>
          <w:sz w:val="20"/>
          <w:szCs w:val="20"/>
        </w:rPr>
        <w:t xml:space="preserve"> na relativno preprost način in z nizkimi stroški uspeli reorganizirati vsaj del depojev in sprostiti nekaj površin</w:t>
      </w:r>
      <w:r w:rsidR="00E20FF2" w:rsidRPr="00F82C5F">
        <w:rPr>
          <w:rFonts w:ascii="Arial" w:hAnsi="Arial" w:cs="Arial"/>
          <w:sz w:val="20"/>
          <w:szCs w:val="20"/>
        </w:rPr>
        <w:t>.</w:t>
      </w:r>
      <w:r w:rsidR="00F24D20" w:rsidRPr="00F82C5F">
        <w:rPr>
          <w:rFonts w:ascii="Arial" w:hAnsi="Arial" w:cs="Arial"/>
          <w:sz w:val="20"/>
          <w:szCs w:val="20"/>
        </w:rPr>
        <w:t xml:space="preserve"> </w:t>
      </w:r>
      <w:r w:rsidR="00E20FF2" w:rsidRPr="00F82C5F">
        <w:rPr>
          <w:rFonts w:ascii="Arial" w:hAnsi="Arial" w:cs="Arial"/>
          <w:sz w:val="20"/>
          <w:szCs w:val="20"/>
        </w:rPr>
        <w:t>P</w:t>
      </w:r>
      <w:r w:rsidR="00F24D20" w:rsidRPr="00F82C5F">
        <w:rPr>
          <w:rFonts w:ascii="Arial" w:hAnsi="Arial" w:cs="Arial"/>
          <w:sz w:val="20"/>
          <w:szCs w:val="20"/>
        </w:rPr>
        <w:t>roblematike pomanjkanja prostor</w:t>
      </w:r>
      <w:r w:rsidR="00E20FF2" w:rsidRPr="00F82C5F">
        <w:rPr>
          <w:rFonts w:ascii="Arial" w:hAnsi="Arial" w:cs="Arial"/>
          <w:sz w:val="20"/>
          <w:szCs w:val="20"/>
        </w:rPr>
        <w:t xml:space="preserve">ov to sicer ne reši, omogoča pa izboljšanje stanja. Med pooblaščenimi ni muzeja, ki bi imel </w:t>
      </w:r>
      <w:r w:rsidR="00B17660" w:rsidRPr="00F82C5F">
        <w:rPr>
          <w:rFonts w:ascii="Arial" w:hAnsi="Arial" w:cs="Arial"/>
          <w:sz w:val="20"/>
          <w:szCs w:val="20"/>
        </w:rPr>
        <w:t xml:space="preserve">optimalne </w:t>
      </w:r>
      <w:r w:rsidR="00E20FF2" w:rsidRPr="00F82C5F">
        <w:rPr>
          <w:rFonts w:ascii="Arial" w:hAnsi="Arial" w:cs="Arial"/>
          <w:sz w:val="20"/>
          <w:szCs w:val="20"/>
        </w:rPr>
        <w:t>depoje</w:t>
      </w:r>
      <w:r w:rsidR="00B17660" w:rsidRPr="00F82C5F">
        <w:rPr>
          <w:rFonts w:ascii="Arial" w:hAnsi="Arial" w:cs="Arial"/>
          <w:sz w:val="20"/>
          <w:szCs w:val="20"/>
        </w:rPr>
        <w:t>.</w:t>
      </w:r>
      <w:r w:rsidR="00E20FF2" w:rsidRPr="00F82C5F">
        <w:rPr>
          <w:rFonts w:ascii="Arial" w:hAnsi="Arial" w:cs="Arial"/>
          <w:sz w:val="20"/>
          <w:szCs w:val="20"/>
        </w:rPr>
        <w:t xml:space="preserve"> Tudi tam, kjer je stanje dobro, se izkaže pomanjkljivost zaradi premalo opreme, neustrezne izolacije, ki povzroča nihanje relativne vlažnosti,… </w:t>
      </w:r>
      <w:r w:rsidR="009E6E82" w:rsidRPr="00F82C5F">
        <w:rPr>
          <w:rFonts w:ascii="Arial" w:hAnsi="Arial" w:cs="Arial"/>
          <w:sz w:val="20"/>
          <w:szCs w:val="20"/>
        </w:rPr>
        <w:t xml:space="preserve">ali pa enega prostora, ki ga je potrebno preseliti na ustreznejšo lokacijo. </w:t>
      </w:r>
      <w:r w:rsidR="00B17660" w:rsidRPr="00F82C5F">
        <w:rPr>
          <w:rFonts w:ascii="Arial" w:hAnsi="Arial" w:cs="Arial"/>
          <w:sz w:val="20"/>
          <w:szCs w:val="20"/>
        </w:rPr>
        <w:t xml:space="preserve">Tretjina muzejev ima zagotovljene večje depojske površine, ki jih je potrebno dodatno opremiti in optimizirati, pet muzejev je v fazi postopnega urejanja ali čakanja na sprostitev prostorov, </w:t>
      </w:r>
      <w:r w:rsidR="009A23FF" w:rsidRPr="00F82C5F">
        <w:rPr>
          <w:rFonts w:ascii="Arial" w:hAnsi="Arial" w:cs="Arial"/>
          <w:sz w:val="20"/>
          <w:szCs w:val="20"/>
        </w:rPr>
        <w:t>osem</w:t>
      </w:r>
      <w:r w:rsidR="00B17660" w:rsidRPr="00F82C5F">
        <w:rPr>
          <w:rFonts w:ascii="Arial" w:hAnsi="Arial" w:cs="Arial"/>
          <w:sz w:val="20"/>
          <w:szCs w:val="20"/>
        </w:rPr>
        <w:t xml:space="preserve"> muzejev ima depoje na primernih lokacijah urejene, za preostale pa čaka na novo prostorsko rešitev</w:t>
      </w:r>
      <w:r w:rsidR="009A23FF" w:rsidRPr="00F82C5F">
        <w:rPr>
          <w:rFonts w:ascii="Arial" w:hAnsi="Arial" w:cs="Arial"/>
          <w:sz w:val="20"/>
          <w:szCs w:val="20"/>
        </w:rPr>
        <w:t>, preostala tretjina muzejev pa bi morala razpoložljive prostore nemudoma pričeti urejati po sistemu re-</w:t>
      </w:r>
      <w:proofErr w:type="spellStart"/>
      <w:r w:rsidR="009A23FF" w:rsidRPr="00F82C5F">
        <w:rPr>
          <w:rFonts w:ascii="Arial" w:hAnsi="Arial" w:cs="Arial"/>
          <w:sz w:val="20"/>
          <w:szCs w:val="20"/>
        </w:rPr>
        <w:t>org</w:t>
      </w:r>
      <w:proofErr w:type="spellEnd"/>
      <w:r w:rsidR="009A23FF" w:rsidRPr="00F82C5F">
        <w:rPr>
          <w:rFonts w:ascii="Arial" w:hAnsi="Arial" w:cs="Arial"/>
          <w:sz w:val="20"/>
          <w:szCs w:val="20"/>
        </w:rPr>
        <w:t xml:space="preserve"> in hkrati v sodelovanju z ustanoviteljem za preostali del gradiva poiskati trajno prostorsko rešitev. Pogosto se kot primerne izkazujejo opuščene industrijske hale ali pa drugi večji objekti v relativno dobrem stanju. Posebno </w:t>
      </w:r>
      <w:r w:rsidR="00F24D20" w:rsidRPr="00F82C5F">
        <w:rPr>
          <w:rFonts w:ascii="Arial" w:hAnsi="Arial" w:cs="Arial"/>
          <w:sz w:val="20"/>
          <w:szCs w:val="20"/>
        </w:rPr>
        <w:t xml:space="preserve">breme predstavljajo najdbe iz prevzemanja arhivov arheoloških najdišč. </w:t>
      </w:r>
      <w:r w:rsidR="009A23FF" w:rsidRPr="00F82C5F">
        <w:rPr>
          <w:rFonts w:ascii="Arial" w:hAnsi="Arial" w:cs="Arial"/>
          <w:sz w:val="20"/>
          <w:szCs w:val="20"/>
        </w:rPr>
        <w:t xml:space="preserve">Arheološke najdbe so državna last, muzeji s pooblastilom za področje arheologije pa prevzemajo večje količine gradiva, za katerega depojski prostori niso bili načrtovani. Kot možna rešitev se predlaga iskanje lokacij za pokrajinske arheološke depoje. </w:t>
      </w:r>
    </w:p>
    <w:p w:rsidR="00F24D20" w:rsidRPr="00F82C5F" w:rsidRDefault="00F24D20" w:rsidP="00F82C5F">
      <w:pPr>
        <w:jc w:val="both"/>
        <w:rPr>
          <w:rFonts w:ascii="Arial" w:hAnsi="Arial" w:cs="Arial"/>
          <w:sz w:val="20"/>
          <w:szCs w:val="20"/>
        </w:rPr>
      </w:pPr>
    </w:p>
    <w:p w:rsidR="00DC6979" w:rsidRPr="00F82C5F" w:rsidRDefault="00524BF3" w:rsidP="00F82C5F">
      <w:pPr>
        <w:jc w:val="both"/>
        <w:rPr>
          <w:rFonts w:ascii="Arial" w:hAnsi="Arial" w:cs="Arial"/>
          <w:sz w:val="20"/>
          <w:szCs w:val="20"/>
        </w:rPr>
      </w:pPr>
      <w:r w:rsidRPr="00F82C5F">
        <w:rPr>
          <w:rFonts w:ascii="Arial" w:hAnsi="Arial" w:cs="Arial"/>
          <w:sz w:val="20"/>
          <w:szCs w:val="20"/>
        </w:rPr>
        <w:t xml:space="preserve">Skrb za gradivo vključuje tudi </w:t>
      </w:r>
      <w:r w:rsidRPr="00F82C5F">
        <w:rPr>
          <w:rFonts w:ascii="Arial" w:hAnsi="Arial" w:cs="Arial"/>
          <w:b/>
          <w:sz w:val="20"/>
          <w:szCs w:val="20"/>
        </w:rPr>
        <w:t>konserviranje in restavriranje</w:t>
      </w:r>
      <w:r w:rsidRPr="00F82C5F">
        <w:rPr>
          <w:rFonts w:ascii="Arial" w:hAnsi="Arial" w:cs="Arial"/>
          <w:sz w:val="20"/>
          <w:szCs w:val="20"/>
        </w:rPr>
        <w:t xml:space="preserve"> predmetov. </w:t>
      </w:r>
      <w:r w:rsidR="00163F77" w:rsidRPr="00F82C5F">
        <w:rPr>
          <w:rFonts w:ascii="Arial" w:hAnsi="Arial" w:cs="Arial"/>
          <w:sz w:val="20"/>
          <w:szCs w:val="20"/>
        </w:rPr>
        <w:t xml:space="preserve">Vsi večji pokrajinski muzeji imajo urejene delavnice </w:t>
      </w:r>
      <w:r w:rsidR="000B01B2" w:rsidRPr="00F82C5F">
        <w:rPr>
          <w:rFonts w:ascii="Arial" w:hAnsi="Arial" w:cs="Arial"/>
          <w:sz w:val="20"/>
          <w:szCs w:val="20"/>
        </w:rPr>
        <w:t xml:space="preserve">in </w:t>
      </w:r>
      <w:r w:rsidR="00163F77" w:rsidRPr="00F82C5F">
        <w:rPr>
          <w:rFonts w:ascii="Arial" w:hAnsi="Arial" w:cs="Arial"/>
          <w:sz w:val="20"/>
          <w:szCs w:val="20"/>
        </w:rPr>
        <w:t>zaposlen</w:t>
      </w:r>
      <w:r w:rsidR="000B01B2" w:rsidRPr="00F82C5F">
        <w:rPr>
          <w:rFonts w:ascii="Arial" w:hAnsi="Arial" w:cs="Arial"/>
          <w:sz w:val="20"/>
          <w:szCs w:val="20"/>
        </w:rPr>
        <w:t xml:space="preserve">e strokovnjake za restavratorske </w:t>
      </w:r>
      <w:r w:rsidR="001A4FA1" w:rsidRPr="00F82C5F">
        <w:rPr>
          <w:rFonts w:ascii="Arial" w:hAnsi="Arial" w:cs="Arial"/>
          <w:sz w:val="20"/>
          <w:szCs w:val="20"/>
        </w:rPr>
        <w:t>posege</w:t>
      </w:r>
      <w:r w:rsidR="000B01B2" w:rsidRPr="00F82C5F">
        <w:rPr>
          <w:rFonts w:ascii="Arial" w:hAnsi="Arial" w:cs="Arial"/>
          <w:sz w:val="20"/>
          <w:szCs w:val="20"/>
        </w:rPr>
        <w:t xml:space="preserve">. </w:t>
      </w:r>
      <w:r w:rsidR="00163F77" w:rsidRPr="00F82C5F">
        <w:rPr>
          <w:rFonts w:ascii="Arial" w:hAnsi="Arial" w:cs="Arial"/>
          <w:sz w:val="20"/>
          <w:szCs w:val="20"/>
        </w:rPr>
        <w:t xml:space="preserve">Del muzejev ima prirejene delavnice, ki omogočajo le omejen obseg posegov, 14 muzejev pa delavnice nima in mora za </w:t>
      </w:r>
      <w:r w:rsidR="00E94DBB" w:rsidRPr="00F82C5F">
        <w:rPr>
          <w:rFonts w:ascii="Arial" w:hAnsi="Arial" w:cs="Arial"/>
          <w:sz w:val="20"/>
          <w:szCs w:val="20"/>
        </w:rPr>
        <w:t xml:space="preserve">vsak </w:t>
      </w:r>
      <w:r w:rsidR="00163F77" w:rsidRPr="00F82C5F">
        <w:rPr>
          <w:rFonts w:ascii="Arial" w:hAnsi="Arial" w:cs="Arial"/>
          <w:sz w:val="20"/>
          <w:szCs w:val="20"/>
        </w:rPr>
        <w:t xml:space="preserve">poseg na predmetih poiskati rešitev v katerem od drugih muzejev ali pri </w:t>
      </w:r>
      <w:r w:rsidR="006F4E38">
        <w:rPr>
          <w:rFonts w:ascii="Arial" w:hAnsi="Arial" w:cs="Arial"/>
          <w:sz w:val="20"/>
          <w:szCs w:val="20"/>
        </w:rPr>
        <w:t>usposobljenih</w:t>
      </w:r>
      <w:r w:rsidR="006F4E38" w:rsidRPr="00F82C5F">
        <w:rPr>
          <w:rFonts w:ascii="Arial" w:hAnsi="Arial" w:cs="Arial"/>
          <w:sz w:val="20"/>
          <w:szCs w:val="20"/>
        </w:rPr>
        <w:t xml:space="preserve"> </w:t>
      </w:r>
      <w:r w:rsidR="00163F77" w:rsidRPr="00F82C5F">
        <w:rPr>
          <w:rFonts w:ascii="Arial" w:hAnsi="Arial" w:cs="Arial"/>
          <w:sz w:val="20"/>
          <w:szCs w:val="20"/>
        </w:rPr>
        <w:t>zasebnih restavrator</w:t>
      </w:r>
      <w:r w:rsidR="00E94DBB" w:rsidRPr="00F82C5F">
        <w:rPr>
          <w:rFonts w:ascii="Arial" w:hAnsi="Arial" w:cs="Arial"/>
          <w:sz w:val="20"/>
          <w:szCs w:val="20"/>
        </w:rPr>
        <w:t>jih.</w:t>
      </w:r>
      <w:r w:rsidR="00163F77" w:rsidRPr="00F82C5F">
        <w:rPr>
          <w:rFonts w:ascii="Arial" w:hAnsi="Arial" w:cs="Arial"/>
          <w:sz w:val="20"/>
          <w:szCs w:val="20"/>
        </w:rPr>
        <w:t xml:space="preserve"> </w:t>
      </w:r>
      <w:r w:rsidR="000B01B2" w:rsidRPr="00F82C5F">
        <w:rPr>
          <w:rFonts w:ascii="Arial" w:hAnsi="Arial" w:cs="Arial"/>
          <w:sz w:val="20"/>
          <w:szCs w:val="20"/>
        </w:rPr>
        <w:t>V letu 201</w:t>
      </w:r>
      <w:r w:rsidR="00EC43E2" w:rsidRPr="00F82C5F">
        <w:rPr>
          <w:rFonts w:ascii="Arial" w:hAnsi="Arial" w:cs="Arial"/>
          <w:sz w:val="20"/>
          <w:szCs w:val="20"/>
        </w:rPr>
        <w:t>9</w:t>
      </w:r>
      <w:r w:rsidR="000B01B2" w:rsidRPr="00F82C5F">
        <w:rPr>
          <w:rFonts w:ascii="Arial" w:hAnsi="Arial" w:cs="Arial"/>
          <w:sz w:val="20"/>
          <w:szCs w:val="20"/>
        </w:rPr>
        <w:t xml:space="preserve"> so zunanjo pomoč poiskali za </w:t>
      </w:r>
      <w:r w:rsidR="00EC43E2" w:rsidRPr="00F82C5F">
        <w:rPr>
          <w:rFonts w:ascii="Arial" w:hAnsi="Arial" w:cs="Arial"/>
          <w:sz w:val="20"/>
          <w:szCs w:val="20"/>
        </w:rPr>
        <w:t>409</w:t>
      </w:r>
      <w:r w:rsidR="000B01B2" w:rsidRPr="00F82C5F">
        <w:rPr>
          <w:rFonts w:ascii="Arial" w:hAnsi="Arial" w:cs="Arial"/>
          <w:sz w:val="20"/>
          <w:szCs w:val="20"/>
        </w:rPr>
        <w:t xml:space="preserve"> predmetov. V </w:t>
      </w:r>
      <w:r w:rsidR="00F944F5" w:rsidRPr="00F82C5F">
        <w:rPr>
          <w:rFonts w:ascii="Arial" w:hAnsi="Arial" w:cs="Arial"/>
          <w:sz w:val="20"/>
          <w:szCs w:val="20"/>
        </w:rPr>
        <w:t xml:space="preserve">delavnicah pooblaščenih muzejev </w:t>
      </w:r>
      <w:r w:rsidR="000B01B2" w:rsidRPr="00F82C5F">
        <w:rPr>
          <w:rFonts w:ascii="Arial" w:hAnsi="Arial" w:cs="Arial"/>
          <w:sz w:val="20"/>
          <w:szCs w:val="20"/>
        </w:rPr>
        <w:t>je bil</w:t>
      </w:r>
      <w:r w:rsidR="00EC43E2" w:rsidRPr="00F82C5F">
        <w:rPr>
          <w:rFonts w:ascii="Arial" w:hAnsi="Arial" w:cs="Arial"/>
          <w:sz w:val="20"/>
          <w:szCs w:val="20"/>
        </w:rPr>
        <w:t>a</w:t>
      </w:r>
      <w:r w:rsidR="000B01B2" w:rsidRPr="00F82C5F">
        <w:rPr>
          <w:rFonts w:ascii="Arial" w:hAnsi="Arial" w:cs="Arial"/>
          <w:sz w:val="20"/>
          <w:szCs w:val="20"/>
        </w:rPr>
        <w:t xml:space="preserve"> </w:t>
      </w:r>
      <w:r w:rsidR="00EC43E2" w:rsidRPr="00F82C5F">
        <w:rPr>
          <w:rFonts w:ascii="Arial" w:hAnsi="Arial" w:cs="Arial"/>
          <w:sz w:val="20"/>
          <w:szCs w:val="20"/>
        </w:rPr>
        <w:t xml:space="preserve">zaradi prevzemanja Pelikanove zapuščine </w:t>
      </w:r>
      <w:r w:rsidR="00DC6979" w:rsidRPr="00F82C5F">
        <w:rPr>
          <w:rFonts w:ascii="Arial" w:hAnsi="Arial" w:cs="Arial"/>
          <w:sz w:val="20"/>
          <w:szCs w:val="20"/>
        </w:rPr>
        <w:t>konserviran</w:t>
      </w:r>
      <w:r w:rsidR="00EC43E2" w:rsidRPr="00F82C5F">
        <w:rPr>
          <w:rFonts w:ascii="Arial" w:hAnsi="Arial" w:cs="Arial"/>
          <w:sz w:val="20"/>
          <w:szCs w:val="20"/>
        </w:rPr>
        <w:t xml:space="preserve">a izstopajoča količina predmetov, ki ni primerljiva </w:t>
      </w:r>
      <w:r w:rsidR="0006243B" w:rsidRPr="00F82C5F">
        <w:rPr>
          <w:rFonts w:ascii="Arial" w:hAnsi="Arial" w:cs="Arial"/>
          <w:sz w:val="20"/>
          <w:szCs w:val="20"/>
        </w:rPr>
        <w:t>s preteklimi leti in presega 100.000</w:t>
      </w:r>
      <w:r w:rsidR="006F4E38">
        <w:rPr>
          <w:rFonts w:ascii="Arial" w:hAnsi="Arial" w:cs="Arial"/>
          <w:sz w:val="20"/>
          <w:szCs w:val="20"/>
        </w:rPr>
        <w:t xml:space="preserve"> enot</w:t>
      </w:r>
      <w:r w:rsidR="0006243B" w:rsidRPr="00F82C5F">
        <w:rPr>
          <w:rFonts w:ascii="Arial" w:hAnsi="Arial" w:cs="Arial"/>
          <w:sz w:val="20"/>
          <w:szCs w:val="20"/>
        </w:rPr>
        <w:t>. R</w:t>
      </w:r>
      <w:r w:rsidR="001A4FA1" w:rsidRPr="00F82C5F">
        <w:rPr>
          <w:rFonts w:ascii="Arial" w:hAnsi="Arial" w:cs="Arial"/>
          <w:sz w:val="20"/>
          <w:szCs w:val="20"/>
        </w:rPr>
        <w:t xml:space="preserve">estavriranih </w:t>
      </w:r>
      <w:r w:rsidR="0006243B" w:rsidRPr="00F82C5F">
        <w:rPr>
          <w:rFonts w:ascii="Arial" w:hAnsi="Arial" w:cs="Arial"/>
          <w:sz w:val="20"/>
          <w:szCs w:val="20"/>
        </w:rPr>
        <w:t xml:space="preserve">je bilo </w:t>
      </w:r>
      <w:r w:rsidR="00EC43E2" w:rsidRPr="00F82C5F">
        <w:rPr>
          <w:rFonts w:ascii="Arial" w:hAnsi="Arial" w:cs="Arial"/>
          <w:sz w:val="20"/>
          <w:szCs w:val="20"/>
        </w:rPr>
        <w:t>2</w:t>
      </w:r>
      <w:r w:rsidR="001A4FA1" w:rsidRPr="00F82C5F">
        <w:rPr>
          <w:rFonts w:ascii="Arial" w:hAnsi="Arial" w:cs="Arial"/>
          <w:sz w:val="20"/>
          <w:szCs w:val="20"/>
        </w:rPr>
        <w:t>.</w:t>
      </w:r>
      <w:r w:rsidR="00EC43E2" w:rsidRPr="00F82C5F">
        <w:rPr>
          <w:rFonts w:ascii="Arial" w:hAnsi="Arial" w:cs="Arial"/>
          <w:sz w:val="20"/>
          <w:szCs w:val="20"/>
        </w:rPr>
        <w:t>512</w:t>
      </w:r>
      <w:r w:rsidR="001A4FA1" w:rsidRPr="00F82C5F">
        <w:rPr>
          <w:rFonts w:ascii="Arial" w:hAnsi="Arial" w:cs="Arial"/>
          <w:sz w:val="20"/>
          <w:szCs w:val="20"/>
        </w:rPr>
        <w:t xml:space="preserve"> predmetov</w:t>
      </w:r>
      <w:r w:rsidR="0006243B" w:rsidRPr="00F82C5F">
        <w:rPr>
          <w:rFonts w:ascii="Arial" w:hAnsi="Arial" w:cs="Arial"/>
          <w:sz w:val="20"/>
          <w:szCs w:val="20"/>
        </w:rPr>
        <w:t xml:space="preserve">, od tega je približno polovica arheoloških najdb. </w:t>
      </w:r>
      <w:r w:rsidR="000B01B2" w:rsidRPr="00F82C5F">
        <w:rPr>
          <w:rFonts w:ascii="Arial" w:hAnsi="Arial" w:cs="Arial"/>
          <w:sz w:val="20"/>
          <w:szCs w:val="20"/>
        </w:rPr>
        <w:t xml:space="preserve">Dolenjski muzej del gradiva zaradi izjemnosti </w:t>
      </w:r>
      <w:r w:rsidR="006F4E38">
        <w:rPr>
          <w:rFonts w:ascii="Arial" w:hAnsi="Arial" w:cs="Arial"/>
          <w:sz w:val="20"/>
          <w:szCs w:val="20"/>
        </w:rPr>
        <w:t xml:space="preserve">že dalj časa </w:t>
      </w:r>
      <w:r w:rsidR="00E63793" w:rsidRPr="00F82C5F">
        <w:rPr>
          <w:rFonts w:ascii="Arial" w:hAnsi="Arial" w:cs="Arial"/>
          <w:sz w:val="20"/>
          <w:szCs w:val="20"/>
        </w:rPr>
        <w:t xml:space="preserve">lahko </w:t>
      </w:r>
      <w:r w:rsidR="000B01B2" w:rsidRPr="00F82C5F">
        <w:rPr>
          <w:rFonts w:ascii="Arial" w:hAnsi="Arial" w:cs="Arial"/>
          <w:sz w:val="20"/>
          <w:szCs w:val="20"/>
        </w:rPr>
        <w:t xml:space="preserve">restavrira </w:t>
      </w:r>
      <w:r w:rsidR="00765139" w:rsidRPr="00F82C5F">
        <w:rPr>
          <w:rFonts w:ascii="Arial" w:hAnsi="Arial" w:cs="Arial"/>
          <w:sz w:val="20"/>
          <w:szCs w:val="20"/>
        </w:rPr>
        <w:t xml:space="preserve">v nemškem muzeju v Mainzu saj z obstoječim številom konservatorsko-restavratorskih strokovnjakov ne more zagotoviti restavriranja v potrebnem obsegu. </w:t>
      </w:r>
      <w:r w:rsidR="00832D62" w:rsidRPr="00F82C5F">
        <w:rPr>
          <w:rFonts w:ascii="Arial" w:hAnsi="Arial" w:cs="Arial"/>
          <w:sz w:val="20"/>
          <w:szCs w:val="20"/>
        </w:rPr>
        <w:t xml:space="preserve"> </w:t>
      </w:r>
    </w:p>
    <w:p w:rsidR="001B6513" w:rsidRPr="00F82C5F" w:rsidRDefault="001B6513" w:rsidP="00F82C5F">
      <w:pPr>
        <w:jc w:val="both"/>
        <w:rPr>
          <w:rFonts w:ascii="Arial" w:hAnsi="Arial" w:cs="Arial"/>
          <w:sz w:val="20"/>
          <w:szCs w:val="20"/>
        </w:rPr>
      </w:pPr>
    </w:p>
    <w:p w:rsidR="00DC6979" w:rsidRDefault="00F944F5" w:rsidP="00F82C5F">
      <w:pPr>
        <w:jc w:val="both"/>
        <w:rPr>
          <w:rFonts w:ascii="Arial" w:hAnsi="Arial" w:cs="Arial"/>
          <w:sz w:val="20"/>
          <w:szCs w:val="20"/>
        </w:rPr>
      </w:pPr>
      <w:r w:rsidRPr="00F82C5F">
        <w:rPr>
          <w:rFonts w:ascii="Arial" w:hAnsi="Arial" w:cs="Arial"/>
          <w:b/>
          <w:sz w:val="20"/>
          <w:szCs w:val="20"/>
        </w:rPr>
        <w:t>Proučevanj</w:t>
      </w:r>
      <w:r w:rsidR="00765139" w:rsidRPr="00F82C5F">
        <w:rPr>
          <w:rFonts w:ascii="Arial" w:hAnsi="Arial" w:cs="Arial"/>
          <w:b/>
          <w:sz w:val="20"/>
          <w:szCs w:val="20"/>
        </w:rPr>
        <w:t>e</w:t>
      </w:r>
      <w:r w:rsidRPr="00F82C5F">
        <w:rPr>
          <w:rFonts w:ascii="Arial" w:hAnsi="Arial" w:cs="Arial"/>
          <w:b/>
          <w:sz w:val="20"/>
          <w:szCs w:val="20"/>
        </w:rPr>
        <w:t xml:space="preserve"> gradiva</w:t>
      </w:r>
      <w:r w:rsidRPr="00F82C5F">
        <w:rPr>
          <w:rFonts w:ascii="Arial" w:hAnsi="Arial" w:cs="Arial"/>
          <w:sz w:val="20"/>
          <w:szCs w:val="20"/>
        </w:rPr>
        <w:t xml:space="preserve"> </w:t>
      </w:r>
      <w:r w:rsidR="00765139" w:rsidRPr="00F82C5F">
        <w:rPr>
          <w:rFonts w:ascii="Arial" w:hAnsi="Arial" w:cs="Arial"/>
          <w:sz w:val="20"/>
          <w:szCs w:val="20"/>
        </w:rPr>
        <w:t xml:space="preserve">se po priporočilih </w:t>
      </w:r>
      <w:r w:rsidR="006F4E38">
        <w:rPr>
          <w:rFonts w:ascii="Arial" w:hAnsi="Arial" w:cs="Arial"/>
          <w:sz w:val="20"/>
          <w:szCs w:val="20"/>
        </w:rPr>
        <w:t xml:space="preserve">vsakoletnega </w:t>
      </w:r>
      <w:r w:rsidR="00765139" w:rsidRPr="00F82C5F">
        <w:rPr>
          <w:rFonts w:ascii="Arial" w:hAnsi="Arial" w:cs="Arial"/>
          <w:sz w:val="20"/>
          <w:szCs w:val="20"/>
        </w:rPr>
        <w:t xml:space="preserve">neposrednega poziva vse bolj usmerja v interdisciplinaren pristop. </w:t>
      </w:r>
      <w:r w:rsidRPr="00F82C5F">
        <w:rPr>
          <w:rFonts w:ascii="Arial" w:hAnsi="Arial" w:cs="Arial"/>
          <w:sz w:val="20"/>
          <w:szCs w:val="20"/>
        </w:rPr>
        <w:t>Obsega strokovn</w:t>
      </w:r>
      <w:r w:rsidR="00765139" w:rsidRPr="00F82C5F">
        <w:rPr>
          <w:rFonts w:ascii="Arial" w:hAnsi="Arial" w:cs="Arial"/>
          <w:sz w:val="20"/>
          <w:szCs w:val="20"/>
        </w:rPr>
        <w:t>e</w:t>
      </w:r>
      <w:r w:rsidRPr="00F82C5F">
        <w:rPr>
          <w:rFonts w:ascii="Arial" w:hAnsi="Arial" w:cs="Arial"/>
          <w:sz w:val="20"/>
          <w:szCs w:val="20"/>
        </w:rPr>
        <w:t xml:space="preserve"> aktivnosti </w:t>
      </w:r>
      <w:r w:rsidR="001B6513" w:rsidRPr="00F82C5F">
        <w:rPr>
          <w:rFonts w:ascii="Arial" w:hAnsi="Arial" w:cs="Arial"/>
          <w:sz w:val="20"/>
          <w:szCs w:val="20"/>
        </w:rPr>
        <w:t xml:space="preserve">v lastnem muzeju, arhivih, knjižnicah, raziskovalnih institucijah,… </w:t>
      </w:r>
      <w:r w:rsidRPr="00F82C5F">
        <w:rPr>
          <w:rFonts w:ascii="Arial" w:hAnsi="Arial" w:cs="Arial"/>
          <w:sz w:val="20"/>
          <w:szCs w:val="20"/>
        </w:rPr>
        <w:t>za potrebe razstav, simpozijev, konferenc, izpopolnjevanj, pomoči dijakom in študentom</w:t>
      </w:r>
      <w:r w:rsidR="001B6513" w:rsidRPr="00F82C5F">
        <w:rPr>
          <w:rFonts w:ascii="Arial" w:hAnsi="Arial" w:cs="Arial"/>
          <w:sz w:val="20"/>
          <w:szCs w:val="20"/>
        </w:rPr>
        <w:t>, drugih projektov itd. Rezultati so javnosti predstavljeni na razstavah, predavanjih, vodstvih</w:t>
      </w:r>
      <w:r w:rsidR="00071C1E" w:rsidRPr="00F82C5F">
        <w:rPr>
          <w:rFonts w:ascii="Arial" w:hAnsi="Arial" w:cs="Arial"/>
          <w:sz w:val="20"/>
          <w:szCs w:val="20"/>
        </w:rPr>
        <w:t>, delavnicah</w:t>
      </w:r>
      <w:r w:rsidR="001B6513" w:rsidRPr="00F82C5F">
        <w:rPr>
          <w:rFonts w:ascii="Arial" w:hAnsi="Arial" w:cs="Arial"/>
          <w:sz w:val="20"/>
          <w:szCs w:val="20"/>
        </w:rPr>
        <w:t xml:space="preserve"> in </w:t>
      </w:r>
      <w:r w:rsidR="00071C1E" w:rsidRPr="00F82C5F">
        <w:rPr>
          <w:rFonts w:ascii="Arial" w:hAnsi="Arial" w:cs="Arial"/>
          <w:sz w:val="20"/>
          <w:szCs w:val="20"/>
        </w:rPr>
        <w:t xml:space="preserve">v </w:t>
      </w:r>
      <w:r w:rsidR="00832D62" w:rsidRPr="00F82C5F">
        <w:rPr>
          <w:rFonts w:ascii="Arial" w:hAnsi="Arial" w:cs="Arial"/>
          <w:sz w:val="20"/>
          <w:szCs w:val="20"/>
        </w:rPr>
        <w:t>publikacijah. V letu 201</w:t>
      </w:r>
      <w:r w:rsidR="0006243B" w:rsidRPr="00F82C5F">
        <w:rPr>
          <w:rFonts w:ascii="Arial" w:hAnsi="Arial" w:cs="Arial"/>
          <w:sz w:val="20"/>
          <w:szCs w:val="20"/>
        </w:rPr>
        <w:t>9</w:t>
      </w:r>
      <w:r w:rsidR="001B6513" w:rsidRPr="00F82C5F">
        <w:rPr>
          <w:rFonts w:ascii="Arial" w:hAnsi="Arial" w:cs="Arial"/>
          <w:sz w:val="20"/>
          <w:szCs w:val="20"/>
        </w:rPr>
        <w:t xml:space="preserve"> so muzeji izdali </w:t>
      </w:r>
      <w:r w:rsidR="00832D62" w:rsidRPr="00F82C5F">
        <w:rPr>
          <w:rFonts w:ascii="Arial" w:hAnsi="Arial" w:cs="Arial"/>
          <w:sz w:val="20"/>
          <w:szCs w:val="20"/>
        </w:rPr>
        <w:t>17</w:t>
      </w:r>
      <w:r w:rsidR="0006243B" w:rsidRPr="00F82C5F">
        <w:rPr>
          <w:rFonts w:ascii="Arial" w:hAnsi="Arial" w:cs="Arial"/>
          <w:sz w:val="20"/>
          <w:szCs w:val="20"/>
        </w:rPr>
        <w:t>1</w:t>
      </w:r>
      <w:r w:rsidR="001B6513" w:rsidRPr="00F82C5F">
        <w:rPr>
          <w:rFonts w:ascii="Arial" w:hAnsi="Arial" w:cs="Arial"/>
          <w:sz w:val="20"/>
          <w:szCs w:val="20"/>
        </w:rPr>
        <w:t xml:space="preserve"> </w:t>
      </w:r>
      <w:r w:rsidR="00832D62" w:rsidRPr="00F82C5F">
        <w:rPr>
          <w:rFonts w:ascii="Arial" w:hAnsi="Arial" w:cs="Arial"/>
          <w:sz w:val="20"/>
          <w:szCs w:val="20"/>
        </w:rPr>
        <w:t>katalogov</w:t>
      </w:r>
      <w:r w:rsidR="00765139" w:rsidRPr="00F82C5F">
        <w:rPr>
          <w:rFonts w:ascii="Arial" w:hAnsi="Arial" w:cs="Arial"/>
          <w:sz w:val="20"/>
          <w:szCs w:val="20"/>
        </w:rPr>
        <w:t xml:space="preserve">. </w:t>
      </w:r>
    </w:p>
    <w:p w:rsidR="00F82C5F" w:rsidRDefault="00F82C5F" w:rsidP="00F82C5F">
      <w:pPr>
        <w:jc w:val="both"/>
        <w:rPr>
          <w:rFonts w:ascii="Arial" w:hAnsi="Arial" w:cs="Arial"/>
          <w:sz w:val="20"/>
          <w:szCs w:val="20"/>
          <w:lang w:eastAsia="sl-SI"/>
        </w:rPr>
      </w:pPr>
    </w:p>
    <w:p w:rsidR="00F82C5F" w:rsidRPr="00F82C5F" w:rsidRDefault="00F82C5F" w:rsidP="00F82C5F">
      <w:pPr>
        <w:jc w:val="both"/>
        <w:rPr>
          <w:rFonts w:ascii="Arial" w:hAnsi="Arial" w:cs="Arial"/>
          <w:sz w:val="20"/>
          <w:szCs w:val="20"/>
        </w:rPr>
      </w:pPr>
      <w:r w:rsidRPr="00F82C5F">
        <w:rPr>
          <w:rFonts w:ascii="Arial" w:hAnsi="Arial" w:cs="Arial"/>
          <w:sz w:val="20"/>
          <w:szCs w:val="20"/>
        </w:rPr>
        <w:t xml:space="preserve">Muzeji s pooblastilom za izvajanje državne javne službe na področju arheologije so pristojni za prevzemanje </w:t>
      </w:r>
      <w:r w:rsidRPr="00F82C5F">
        <w:rPr>
          <w:rFonts w:ascii="Arial" w:hAnsi="Arial" w:cs="Arial"/>
          <w:b/>
          <w:sz w:val="20"/>
          <w:szCs w:val="20"/>
        </w:rPr>
        <w:t>arhivov arheoloških najdišč</w:t>
      </w:r>
      <w:r w:rsidRPr="00F82C5F">
        <w:rPr>
          <w:rFonts w:ascii="Arial" w:hAnsi="Arial" w:cs="Arial"/>
          <w:sz w:val="20"/>
          <w:szCs w:val="20"/>
        </w:rPr>
        <w:t>. Ker je zaradi velike količine gradiva, predanega ob izgradnji avtocest, prišlo do zaostankov pri urejanju, ministrstvo del sredstev namenja pripravi gradiva in inventariziranju arhivov najdišč, prednostno iz obdobja pred letom 2013. V letu 201</w:t>
      </w:r>
      <w:r>
        <w:rPr>
          <w:rFonts w:ascii="Arial" w:hAnsi="Arial" w:cs="Arial"/>
          <w:sz w:val="20"/>
          <w:szCs w:val="20"/>
        </w:rPr>
        <w:t>9</w:t>
      </w:r>
      <w:r w:rsidRPr="00F82C5F">
        <w:rPr>
          <w:rFonts w:ascii="Arial" w:hAnsi="Arial" w:cs="Arial"/>
          <w:sz w:val="20"/>
          <w:szCs w:val="20"/>
        </w:rPr>
        <w:t xml:space="preserve"> je iz sredstev ministrstva 1</w:t>
      </w:r>
      <w:r>
        <w:rPr>
          <w:rFonts w:ascii="Arial" w:hAnsi="Arial" w:cs="Arial"/>
          <w:sz w:val="20"/>
          <w:szCs w:val="20"/>
        </w:rPr>
        <w:t>1</w:t>
      </w:r>
      <w:r w:rsidRPr="00F82C5F">
        <w:rPr>
          <w:rFonts w:ascii="Arial" w:hAnsi="Arial" w:cs="Arial"/>
          <w:sz w:val="20"/>
          <w:szCs w:val="20"/>
        </w:rPr>
        <w:t xml:space="preserve"> muzejev obdelalo arhive 11 najdišč. </w:t>
      </w:r>
    </w:p>
    <w:p w:rsidR="00F82C5F" w:rsidRDefault="00F82C5F" w:rsidP="00F82C5F">
      <w:pPr>
        <w:jc w:val="both"/>
        <w:rPr>
          <w:rFonts w:ascii="Arial" w:hAnsi="Arial" w:cs="Arial"/>
          <w:sz w:val="20"/>
          <w:szCs w:val="20"/>
        </w:rPr>
      </w:pPr>
    </w:p>
    <w:p w:rsidR="00F82C5F" w:rsidRPr="00F82C5F" w:rsidRDefault="00F82C5F" w:rsidP="00F82C5F">
      <w:pPr>
        <w:jc w:val="both"/>
        <w:rPr>
          <w:rFonts w:ascii="Arial" w:hAnsi="Arial" w:cs="Arial"/>
          <w:sz w:val="20"/>
          <w:szCs w:val="20"/>
        </w:rPr>
      </w:pPr>
    </w:p>
    <w:p w:rsidR="000A5F80" w:rsidRPr="00F82C5F" w:rsidRDefault="000A5F80" w:rsidP="00F82C5F">
      <w:pPr>
        <w:jc w:val="both"/>
        <w:rPr>
          <w:rFonts w:ascii="Arial" w:hAnsi="Arial" w:cs="Arial"/>
          <w:sz w:val="20"/>
          <w:szCs w:val="20"/>
        </w:rPr>
      </w:pPr>
    </w:p>
    <w:p w:rsidR="00655E7F" w:rsidRPr="00F82C5F" w:rsidRDefault="00655E7F" w:rsidP="00F82C5F">
      <w:pPr>
        <w:jc w:val="both"/>
        <w:rPr>
          <w:rFonts w:ascii="Arial" w:hAnsi="Arial" w:cs="Arial"/>
          <w:sz w:val="20"/>
          <w:szCs w:val="20"/>
        </w:rPr>
      </w:pPr>
    </w:p>
    <w:p w:rsidR="00EF29CE" w:rsidRPr="00F82C5F" w:rsidRDefault="00BA33F6" w:rsidP="00F82C5F">
      <w:pPr>
        <w:jc w:val="both"/>
        <w:rPr>
          <w:rFonts w:ascii="Arial" w:hAnsi="Arial" w:cs="Arial"/>
          <w:sz w:val="20"/>
          <w:szCs w:val="20"/>
          <w:u w:val="single"/>
        </w:rPr>
      </w:pPr>
      <w:r w:rsidRPr="00F82C5F">
        <w:rPr>
          <w:rFonts w:ascii="Arial" w:hAnsi="Arial" w:cs="Arial"/>
          <w:b/>
          <w:sz w:val="20"/>
          <w:szCs w:val="20"/>
          <w:u w:val="single"/>
        </w:rPr>
        <w:lastRenderedPageBreak/>
        <w:t>Predstavljanje dediščine javnosti</w:t>
      </w:r>
    </w:p>
    <w:p w:rsidR="00BA33F6" w:rsidRDefault="00BA33F6" w:rsidP="00F82C5F">
      <w:pPr>
        <w:jc w:val="both"/>
        <w:rPr>
          <w:rFonts w:ascii="Arial" w:hAnsi="Arial" w:cs="Arial"/>
          <w:sz w:val="20"/>
          <w:szCs w:val="20"/>
        </w:rPr>
      </w:pPr>
    </w:p>
    <w:p w:rsidR="00832D62" w:rsidRDefault="00BA33F6" w:rsidP="00F82C5F">
      <w:pPr>
        <w:jc w:val="both"/>
        <w:rPr>
          <w:rFonts w:ascii="Arial" w:hAnsi="Arial" w:cs="Arial"/>
          <w:sz w:val="20"/>
          <w:szCs w:val="20"/>
        </w:rPr>
      </w:pPr>
      <w:r w:rsidRPr="00F82C5F">
        <w:rPr>
          <w:rFonts w:ascii="Arial" w:hAnsi="Arial" w:cs="Arial"/>
          <w:sz w:val="20"/>
          <w:szCs w:val="20"/>
        </w:rPr>
        <w:t xml:space="preserve">Muzeji predstavljajo dediščino javnosti zlasti na razstavah, ki vključujejo pedagoški, andragoški in drug </w:t>
      </w:r>
      <w:r w:rsidR="00DC6DD6" w:rsidRPr="00F82C5F">
        <w:rPr>
          <w:rFonts w:ascii="Arial" w:hAnsi="Arial" w:cs="Arial"/>
          <w:sz w:val="20"/>
          <w:szCs w:val="20"/>
        </w:rPr>
        <w:t xml:space="preserve">spremljevalni </w:t>
      </w:r>
      <w:r w:rsidRPr="00F82C5F">
        <w:rPr>
          <w:rFonts w:ascii="Arial" w:hAnsi="Arial" w:cs="Arial"/>
          <w:sz w:val="20"/>
          <w:szCs w:val="20"/>
        </w:rPr>
        <w:t>program</w:t>
      </w:r>
      <w:r w:rsidR="00DC6DD6" w:rsidRPr="00F82C5F">
        <w:rPr>
          <w:rFonts w:ascii="Arial" w:hAnsi="Arial" w:cs="Arial"/>
          <w:sz w:val="20"/>
          <w:szCs w:val="20"/>
        </w:rPr>
        <w:t xml:space="preserve"> dogodkov</w:t>
      </w:r>
      <w:r w:rsidRPr="00F82C5F">
        <w:rPr>
          <w:rFonts w:ascii="Arial" w:hAnsi="Arial" w:cs="Arial"/>
          <w:sz w:val="20"/>
          <w:szCs w:val="20"/>
        </w:rPr>
        <w:t xml:space="preserve">. </w:t>
      </w:r>
      <w:r w:rsidR="00EF29CE" w:rsidRPr="00F82C5F">
        <w:rPr>
          <w:rFonts w:ascii="Arial" w:hAnsi="Arial" w:cs="Arial"/>
          <w:sz w:val="20"/>
          <w:szCs w:val="20"/>
        </w:rPr>
        <w:t xml:space="preserve">Ministrstvo </w:t>
      </w:r>
      <w:r w:rsidR="00832D62" w:rsidRPr="00F82C5F">
        <w:rPr>
          <w:rFonts w:ascii="Arial" w:hAnsi="Arial" w:cs="Arial"/>
          <w:sz w:val="20"/>
          <w:szCs w:val="20"/>
        </w:rPr>
        <w:t xml:space="preserve">nadaljuje s trendom </w:t>
      </w:r>
      <w:r w:rsidR="00EF29CE" w:rsidRPr="00F82C5F">
        <w:rPr>
          <w:rFonts w:ascii="Arial" w:hAnsi="Arial" w:cs="Arial"/>
          <w:sz w:val="20"/>
          <w:szCs w:val="20"/>
        </w:rPr>
        <w:t>prednostn</w:t>
      </w:r>
      <w:r w:rsidR="00832D62" w:rsidRPr="00F82C5F">
        <w:rPr>
          <w:rFonts w:ascii="Arial" w:hAnsi="Arial" w:cs="Arial"/>
          <w:sz w:val="20"/>
          <w:szCs w:val="20"/>
        </w:rPr>
        <w:t>e</w:t>
      </w:r>
      <w:r w:rsidR="00EF29CE" w:rsidRPr="00F82C5F">
        <w:rPr>
          <w:rFonts w:ascii="Arial" w:hAnsi="Arial" w:cs="Arial"/>
          <w:sz w:val="20"/>
          <w:szCs w:val="20"/>
        </w:rPr>
        <w:t xml:space="preserve"> podpor</w:t>
      </w:r>
      <w:r w:rsidR="00832D62" w:rsidRPr="00F82C5F">
        <w:rPr>
          <w:rFonts w:ascii="Arial" w:hAnsi="Arial" w:cs="Arial"/>
          <w:sz w:val="20"/>
          <w:szCs w:val="20"/>
        </w:rPr>
        <w:t>e</w:t>
      </w:r>
      <w:r w:rsidR="00EF29CE" w:rsidRPr="00F82C5F">
        <w:rPr>
          <w:rFonts w:ascii="Arial" w:hAnsi="Arial" w:cs="Arial"/>
          <w:sz w:val="20"/>
          <w:szCs w:val="20"/>
        </w:rPr>
        <w:t xml:space="preserve"> večjim</w:t>
      </w:r>
      <w:r w:rsidRPr="00F82C5F">
        <w:rPr>
          <w:rFonts w:ascii="Arial" w:hAnsi="Arial" w:cs="Arial"/>
          <w:sz w:val="20"/>
          <w:szCs w:val="20"/>
        </w:rPr>
        <w:t xml:space="preserve"> </w:t>
      </w:r>
      <w:r w:rsidR="00EF29CE" w:rsidRPr="00F82C5F">
        <w:rPr>
          <w:rFonts w:ascii="Arial" w:hAnsi="Arial" w:cs="Arial"/>
          <w:sz w:val="20"/>
          <w:szCs w:val="20"/>
        </w:rPr>
        <w:t>razstavam</w:t>
      </w:r>
      <w:r w:rsidR="00765139" w:rsidRPr="00F82C5F">
        <w:rPr>
          <w:rFonts w:ascii="Arial" w:hAnsi="Arial" w:cs="Arial"/>
          <w:sz w:val="20"/>
          <w:szCs w:val="20"/>
        </w:rPr>
        <w:t xml:space="preserve"> in </w:t>
      </w:r>
      <w:r w:rsidR="000A5F80" w:rsidRPr="00F82C5F">
        <w:rPr>
          <w:rFonts w:ascii="Arial" w:hAnsi="Arial" w:cs="Arial"/>
          <w:sz w:val="20"/>
          <w:szCs w:val="20"/>
        </w:rPr>
        <w:t>projektom</w:t>
      </w:r>
      <w:r w:rsidR="00EF29CE" w:rsidRPr="00F82C5F">
        <w:rPr>
          <w:rFonts w:ascii="Arial" w:hAnsi="Arial" w:cs="Arial"/>
          <w:sz w:val="20"/>
          <w:szCs w:val="20"/>
        </w:rPr>
        <w:t xml:space="preserve"> s </w:t>
      </w:r>
      <w:r w:rsidRPr="00F82C5F">
        <w:rPr>
          <w:rFonts w:ascii="Arial" w:hAnsi="Arial" w:cs="Arial"/>
          <w:sz w:val="20"/>
          <w:szCs w:val="20"/>
        </w:rPr>
        <w:t xml:space="preserve">celovitim, izdelanim </w:t>
      </w:r>
      <w:r w:rsidR="00EF29CE" w:rsidRPr="00F82C5F">
        <w:rPr>
          <w:rFonts w:ascii="Arial" w:hAnsi="Arial" w:cs="Arial"/>
          <w:sz w:val="20"/>
          <w:szCs w:val="20"/>
        </w:rPr>
        <w:t>spremljevalnim programom</w:t>
      </w:r>
      <w:r w:rsidR="00832D62" w:rsidRPr="00F82C5F">
        <w:rPr>
          <w:rFonts w:ascii="Arial" w:hAnsi="Arial" w:cs="Arial"/>
          <w:sz w:val="20"/>
          <w:szCs w:val="20"/>
        </w:rPr>
        <w:t>.</w:t>
      </w:r>
    </w:p>
    <w:p w:rsidR="00F82C5F" w:rsidRPr="00F82C5F" w:rsidRDefault="00F82C5F" w:rsidP="00F82C5F">
      <w:pPr>
        <w:jc w:val="both"/>
        <w:rPr>
          <w:rFonts w:ascii="Arial" w:hAnsi="Arial" w:cs="Arial"/>
          <w:sz w:val="20"/>
          <w:szCs w:val="20"/>
        </w:rPr>
      </w:pPr>
    </w:p>
    <w:p w:rsidR="00980061" w:rsidRPr="00F82C5F" w:rsidRDefault="00832D62" w:rsidP="00F82C5F">
      <w:pPr>
        <w:jc w:val="both"/>
        <w:rPr>
          <w:rFonts w:ascii="Arial" w:hAnsi="Arial" w:cs="Arial"/>
          <w:sz w:val="20"/>
          <w:szCs w:val="20"/>
        </w:rPr>
      </w:pPr>
      <w:r w:rsidRPr="00F82C5F">
        <w:rPr>
          <w:rFonts w:ascii="Arial" w:hAnsi="Arial" w:cs="Arial"/>
          <w:sz w:val="20"/>
          <w:szCs w:val="20"/>
        </w:rPr>
        <w:t xml:space="preserve"> </w:t>
      </w:r>
    </w:p>
    <w:p w:rsidR="00132C10" w:rsidRPr="00F82C5F" w:rsidRDefault="00132C10" w:rsidP="00F82C5F">
      <w:pPr>
        <w:tabs>
          <w:tab w:val="left" w:pos="5529"/>
        </w:tabs>
        <w:jc w:val="both"/>
        <w:rPr>
          <w:rFonts w:ascii="Arial" w:hAnsi="Arial" w:cs="Arial"/>
          <w:sz w:val="20"/>
          <w:szCs w:val="20"/>
        </w:rPr>
      </w:pPr>
      <w:r w:rsidRPr="00F82C5F">
        <w:rPr>
          <w:rFonts w:ascii="Arial" w:hAnsi="Arial" w:cs="Arial"/>
          <w:noProof/>
          <w:sz w:val="20"/>
          <w:szCs w:val="20"/>
        </w:rPr>
        <w:drawing>
          <wp:inline distT="0" distB="0" distL="0" distR="0">
            <wp:extent cx="5918200" cy="3860800"/>
            <wp:effectExtent l="0" t="0" r="6350" b="635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32C10" w:rsidRDefault="00132C10" w:rsidP="00F82C5F">
      <w:pPr>
        <w:tabs>
          <w:tab w:val="left" w:pos="5529"/>
        </w:tabs>
        <w:jc w:val="both"/>
        <w:rPr>
          <w:rFonts w:ascii="Arial" w:hAnsi="Arial" w:cs="Arial"/>
          <w:sz w:val="20"/>
          <w:szCs w:val="20"/>
        </w:rPr>
      </w:pPr>
    </w:p>
    <w:p w:rsidR="008B4BB4" w:rsidRPr="00F82C5F" w:rsidRDefault="008B4BB4" w:rsidP="00F82C5F">
      <w:pPr>
        <w:tabs>
          <w:tab w:val="left" w:pos="5529"/>
        </w:tabs>
        <w:jc w:val="both"/>
        <w:rPr>
          <w:rFonts w:ascii="Arial" w:hAnsi="Arial" w:cs="Arial"/>
          <w:sz w:val="20"/>
          <w:szCs w:val="20"/>
        </w:rPr>
      </w:pPr>
    </w:p>
    <w:p w:rsidR="006560E3" w:rsidRDefault="00501741" w:rsidP="00F82C5F">
      <w:pPr>
        <w:tabs>
          <w:tab w:val="left" w:pos="5529"/>
        </w:tabs>
        <w:jc w:val="both"/>
        <w:rPr>
          <w:rFonts w:ascii="Arial" w:hAnsi="Arial" w:cs="Arial"/>
          <w:sz w:val="20"/>
          <w:szCs w:val="20"/>
        </w:rPr>
      </w:pPr>
      <w:r w:rsidRPr="00F82C5F">
        <w:rPr>
          <w:rFonts w:ascii="Arial" w:hAnsi="Arial" w:cs="Arial"/>
          <w:sz w:val="20"/>
          <w:szCs w:val="20"/>
        </w:rPr>
        <w:t xml:space="preserve">Postavitev nove stalne razstave </w:t>
      </w:r>
      <w:r w:rsidR="00F201F8" w:rsidRPr="00F82C5F">
        <w:rPr>
          <w:rFonts w:ascii="Arial" w:hAnsi="Arial" w:cs="Arial"/>
          <w:sz w:val="20"/>
          <w:szCs w:val="20"/>
        </w:rPr>
        <w:t xml:space="preserve">je strokovno in finančno najbolj zahteven projekt. </w:t>
      </w:r>
      <w:r w:rsidR="00D46CE6" w:rsidRPr="00F82C5F">
        <w:rPr>
          <w:rFonts w:ascii="Arial" w:hAnsi="Arial" w:cs="Arial"/>
          <w:sz w:val="20"/>
          <w:szCs w:val="20"/>
        </w:rPr>
        <w:t>Muzeji se večinoma odločajo za postopno prenovo. V letu 2019 so popolnoma prenovili ali pa novo postavili 4,7% vseh stalnih postavitev, delno prenovili ali pomembneje dopolnili pa 12,4%. Lastne občasne razstave predstavljajo</w:t>
      </w:r>
      <w:r w:rsidR="009A103F" w:rsidRPr="00F82C5F">
        <w:rPr>
          <w:rFonts w:ascii="Arial" w:hAnsi="Arial" w:cs="Arial"/>
          <w:sz w:val="20"/>
          <w:szCs w:val="20"/>
        </w:rPr>
        <w:t xml:space="preserve"> večji delež razstavnih aktivnosti. </w:t>
      </w:r>
      <w:r w:rsidR="00581D55" w:rsidRPr="00F82C5F">
        <w:rPr>
          <w:rFonts w:ascii="Arial" w:hAnsi="Arial" w:cs="Arial"/>
          <w:sz w:val="20"/>
          <w:szCs w:val="20"/>
        </w:rPr>
        <w:t xml:space="preserve">Iz sredstev ministrstva je bilo lani realiziranih </w:t>
      </w:r>
      <w:r w:rsidR="004D15D0" w:rsidRPr="00F82C5F">
        <w:rPr>
          <w:rFonts w:ascii="Arial" w:hAnsi="Arial" w:cs="Arial"/>
          <w:sz w:val="20"/>
          <w:szCs w:val="20"/>
        </w:rPr>
        <w:t>15,5% lastnih občasnih in medinstitucionalnih razstav</w:t>
      </w:r>
      <w:r w:rsidR="00581D55" w:rsidRPr="00F82C5F">
        <w:rPr>
          <w:rFonts w:ascii="Arial" w:hAnsi="Arial" w:cs="Arial"/>
          <w:sz w:val="20"/>
          <w:szCs w:val="20"/>
        </w:rPr>
        <w:t xml:space="preserve">. </w:t>
      </w:r>
      <w:r w:rsidR="001863E0" w:rsidRPr="00F82C5F">
        <w:rPr>
          <w:rFonts w:ascii="Arial" w:hAnsi="Arial" w:cs="Arial"/>
          <w:sz w:val="20"/>
          <w:szCs w:val="20"/>
        </w:rPr>
        <w:t xml:space="preserve">Ministrstvo prednostno podpira sofinanciranje večjih projektov in sodelovanje med muzeji in drugimi institucijami. </w:t>
      </w:r>
      <w:r w:rsidR="00581D55" w:rsidRPr="00F82C5F">
        <w:rPr>
          <w:rFonts w:ascii="Arial" w:hAnsi="Arial" w:cs="Arial"/>
          <w:sz w:val="20"/>
          <w:szCs w:val="20"/>
        </w:rPr>
        <w:t xml:space="preserve">Velik del razstav je podprt iz občinskih proračunov in del tudi iz lastnih sredstev. </w:t>
      </w:r>
      <w:r w:rsidR="001863E0" w:rsidRPr="00F82C5F">
        <w:rPr>
          <w:rFonts w:ascii="Arial" w:hAnsi="Arial" w:cs="Arial"/>
          <w:sz w:val="20"/>
          <w:szCs w:val="20"/>
        </w:rPr>
        <w:t>Gostovanja običajno predstavljajo popestritev programa, odpirajo in spremljajo sodelovanje med muzeji in lokalnimi skupnostmi. Ministrstvo podpira gostovanja v okviru standardnega</w:t>
      </w:r>
      <w:r w:rsidR="00965DFD">
        <w:rPr>
          <w:rStyle w:val="Sprotnaopomba-sklic"/>
          <w:rFonts w:ascii="Arial" w:hAnsi="Arial" w:cs="Arial"/>
          <w:sz w:val="20"/>
          <w:szCs w:val="20"/>
        </w:rPr>
        <w:footnoteReference w:id="9"/>
      </w:r>
      <w:r w:rsidR="001863E0" w:rsidRPr="00F82C5F">
        <w:rPr>
          <w:rFonts w:ascii="Arial" w:hAnsi="Arial" w:cs="Arial"/>
          <w:sz w:val="20"/>
          <w:szCs w:val="20"/>
        </w:rPr>
        <w:t xml:space="preserve"> </w:t>
      </w:r>
      <w:r w:rsidR="00A755CB">
        <w:rPr>
          <w:rFonts w:ascii="Arial" w:hAnsi="Arial" w:cs="Arial"/>
          <w:sz w:val="20"/>
          <w:szCs w:val="20"/>
        </w:rPr>
        <w:t xml:space="preserve">(ker to prvič omenjate, morate pojasniti, kaj to pomeni) </w:t>
      </w:r>
      <w:r w:rsidR="001863E0" w:rsidRPr="00F82C5F">
        <w:rPr>
          <w:rFonts w:ascii="Arial" w:hAnsi="Arial" w:cs="Arial"/>
          <w:sz w:val="20"/>
          <w:szCs w:val="20"/>
        </w:rPr>
        <w:t xml:space="preserve">programa ali pa večja gostovanja v tujini. </w:t>
      </w:r>
      <w:r w:rsidR="000F4F62" w:rsidRPr="00F82C5F">
        <w:rPr>
          <w:rFonts w:ascii="Arial" w:hAnsi="Arial" w:cs="Arial"/>
          <w:sz w:val="20"/>
          <w:szCs w:val="20"/>
        </w:rPr>
        <w:t>M</w:t>
      </w:r>
      <w:r w:rsidR="00BE0872" w:rsidRPr="00F82C5F">
        <w:rPr>
          <w:rFonts w:ascii="Arial" w:hAnsi="Arial" w:cs="Arial"/>
          <w:sz w:val="20"/>
          <w:szCs w:val="20"/>
        </w:rPr>
        <w:t xml:space="preserve">inistrstvo </w:t>
      </w:r>
      <w:r w:rsidR="000F4F62" w:rsidRPr="00F82C5F">
        <w:rPr>
          <w:rFonts w:ascii="Arial" w:hAnsi="Arial" w:cs="Arial"/>
          <w:sz w:val="20"/>
          <w:szCs w:val="20"/>
        </w:rPr>
        <w:t xml:space="preserve">je </w:t>
      </w:r>
      <w:r w:rsidR="00BE0872" w:rsidRPr="00F82C5F">
        <w:rPr>
          <w:rFonts w:ascii="Arial" w:hAnsi="Arial" w:cs="Arial"/>
          <w:sz w:val="20"/>
          <w:szCs w:val="20"/>
        </w:rPr>
        <w:t>podprlo 13</w:t>
      </w:r>
      <w:r w:rsidR="000F4F62" w:rsidRPr="00F82C5F">
        <w:rPr>
          <w:rFonts w:ascii="Arial" w:hAnsi="Arial" w:cs="Arial"/>
          <w:sz w:val="20"/>
          <w:szCs w:val="20"/>
        </w:rPr>
        <w:t xml:space="preserve"> projektov:</w:t>
      </w:r>
      <w:r w:rsidR="00BE0872" w:rsidRPr="00F82C5F">
        <w:rPr>
          <w:rFonts w:ascii="Arial" w:hAnsi="Arial" w:cs="Arial"/>
          <w:sz w:val="20"/>
          <w:szCs w:val="20"/>
        </w:rPr>
        <w:t xml:space="preserve"> simpozije, </w:t>
      </w:r>
      <w:r w:rsidR="004D15D0" w:rsidRPr="00F82C5F">
        <w:rPr>
          <w:rFonts w:ascii="Arial" w:hAnsi="Arial" w:cs="Arial"/>
          <w:sz w:val="20"/>
          <w:szCs w:val="20"/>
        </w:rPr>
        <w:t xml:space="preserve">serije dogodkov, filme ipd. </w:t>
      </w:r>
    </w:p>
    <w:p w:rsidR="00F82C5F" w:rsidRPr="00F82C5F" w:rsidRDefault="00F82C5F" w:rsidP="00F82C5F">
      <w:pPr>
        <w:tabs>
          <w:tab w:val="left" w:pos="5529"/>
        </w:tabs>
        <w:jc w:val="both"/>
        <w:rPr>
          <w:rFonts w:ascii="Arial" w:hAnsi="Arial" w:cs="Arial"/>
          <w:sz w:val="20"/>
          <w:szCs w:val="20"/>
        </w:rPr>
      </w:pPr>
    </w:p>
    <w:p w:rsidR="006560E3" w:rsidRPr="00F82C5F" w:rsidRDefault="006560E3" w:rsidP="00F82C5F">
      <w:pPr>
        <w:tabs>
          <w:tab w:val="left" w:pos="5529"/>
        </w:tabs>
        <w:jc w:val="both"/>
        <w:rPr>
          <w:rFonts w:ascii="Arial" w:hAnsi="Arial" w:cs="Arial"/>
          <w:sz w:val="20"/>
          <w:szCs w:val="20"/>
        </w:rPr>
      </w:pPr>
      <w:r w:rsidRPr="00F82C5F">
        <w:rPr>
          <w:rFonts w:ascii="Arial" w:hAnsi="Arial" w:cs="Arial"/>
          <w:noProof/>
          <w:sz w:val="20"/>
          <w:szCs w:val="20"/>
        </w:rPr>
        <w:lastRenderedPageBreak/>
        <w:drawing>
          <wp:inline distT="0" distB="0" distL="0" distR="0">
            <wp:extent cx="5956300" cy="2863850"/>
            <wp:effectExtent l="0" t="0" r="6350" b="12700"/>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560E3" w:rsidRPr="00F82C5F" w:rsidRDefault="006560E3" w:rsidP="00F82C5F">
      <w:pPr>
        <w:tabs>
          <w:tab w:val="left" w:pos="5529"/>
        </w:tabs>
        <w:jc w:val="both"/>
        <w:rPr>
          <w:rFonts w:ascii="Arial" w:hAnsi="Arial" w:cs="Arial"/>
          <w:sz w:val="20"/>
          <w:szCs w:val="20"/>
        </w:rPr>
      </w:pPr>
    </w:p>
    <w:p w:rsidR="003E2061" w:rsidRPr="00F82C5F" w:rsidRDefault="003E2061" w:rsidP="00F82C5F">
      <w:pPr>
        <w:tabs>
          <w:tab w:val="left" w:pos="5529"/>
        </w:tabs>
        <w:jc w:val="both"/>
        <w:rPr>
          <w:rFonts w:ascii="Arial" w:hAnsi="Arial" w:cs="Arial"/>
          <w:sz w:val="20"/>
          <w:szCs w:val="20"/>
        </w:rPr>
      </w:pPr>
    </w:p>
    <w:p w:rsidR="006560E3" w:rsidRDefault="00E9357D" w:rsidP="00F82C5F">
      <w:pPr>
        <w:tabs>
          <w:tab w:val="left" w:pos="5529"/>
        </w:tabs>
        <w:jc w:val="both"/>
        <w:rPr>
          <w:rFonts w:ascii="Arial" w:hAnsi="Arial" w:cs="Arial"/>
          <w:sz w:val="20"/>
          <w:szCs w:val="20"/>
        </w:rPr>
      </w:pPr>
      <w:r w:rsidRPr="00F82C5F">
        <w:rPr>
          <w:rFonts w:ascii="Arial" w:hAnsi="Arial" w:cs="Arial"/>
          <w:sz w:val="20"/>
          <w:szCs w:val="20"/>
        </w:rPr>
        <w:t xml:space="preserve">Do leta 2019 je sodelovanje s tujimi partnerji predstavljajo med 12 in 13 % muzejskih razstavnih in projektnih aktivnosti. V </w:t>
      </w:r>
      <w:r w:rsidR="00DC6C2F" w:rsidRPr="00F82C5F">
        <w:rPr>
          <w:rFonts w:ascii="Arial" w:hAnsi="Arial" w:cs="Arial"/>
          <w:sz w:val="20"/>
          <w:szCs w:val="20"/>
        </w:rPr>
        <w:t xml:space="preserve">letu 2019 </w:t>
      </w:r>
      <w:r w:rsidRPr="00F82C5F">
        <w:rPr>
          <w:rFonts w:ascii="Arial" w:hAnsi="Arial" w:cs="Arial"/>
          <w:sz w:val="20"/>
          <w:szCs w:val="20"/>
        </w:rPr>
        <w:t xml:space="preserve">se je odstotek podvojil. Pooblaščeni muzeji so četrtino razstav in projektov pripravili v sodelovanju s partnerji iz EU in tretjih držav. </w:t>
      </w:r>
      <w:r w:rsidR="00DC6C2F" w:rsidRPr="00F82C5F">
        <w:rPr>
          <w:rFonts w:ascii="Arial" w:hAnsi="Arial" w:cs="Arial"/>
          <w:sz w:val="20"/>
          <w:szCs w:val="20"/>
        </w:rPr>
        <w:t>Slovenski muzeji so večkrat gostje kot gostitelji</w:t>
      </w:r>
      <w:r w:rsidR="00945684" w:rsidRPr="00F82C5F">
        <w:rPr>
          <w:rFonts w:ascii="Arial" w:hAnsi="Arial" w:cs="Arial"/>
          <w:sz w:val="20"/>
          <w:szCs w:val="20"/>
        </w:rPr>
        <w:t>. Z nekaterimi institucijami se trajno povezujejo, redno izmenjujejo razstave in dobre prakse. Največkrat sodelujejo s sosednjima Hrvaško in Avstrijo,</w:t>
      </w:r>
      <w:r w:rsidRPr="00F82C5F">
        <w:rPr>
          <w:rFonts w:ascii="Arial" w:hAnsi="Arial" w:cs="Arial"/>
          <w:sz w:val="20"/>
          <w:szCs w:val="20"/>
        </w:rPr>
        <w:t xml:space="preserve"> malo</w:t>
      </w:r>
      <w:r w:rsidR="00945684" w:rsidRPr="00F82C5F">
        <w:rPr>
          <w:rFonts w:ascii="Arial" w:hAnsi="Arial" w:cs="Arial"/>
          <w:sz w:val="20"/>
          <w:szCs w:val="20"/>
        </w:rPr>
        <w:t xml:space="preserve"> manj z Italijo</w:t>
      </w:r>
      <w:r w:rsidR="003E2061" w:rsidRPr="00F82C5F">
        <w:rPr>
          <w:rFonts w:ascii="Arial" w:hAnsi="Arial" w:cs="Arial"/>
          <w:sz w:val="20"/>
          <w:szCs w:val="20"/>
        </w:rPr>
        <w:t xml:space="preserve">, povezujejo se tudi z državami </w:t>
      </w:r>
      <w:r w:rsidRPr="00F82C5F">
        <w:rPr>
          <w:rFonts w:ascii="Arial" w:hAnsi="Arial" w:cs="Arial"/>
          <w:sz w:val="20"/>
          <w:szCs w:val="20"/>
        </w:rPr>
        <w:t xml:space="preserve">na območju </w:t>
      </w:r>
      <w:r w:rsidR="003E2061" w:rsidRPr="00F82C5F">
        <w:rPr>
          <w:rFonts w:ascii="Arial" w:hAnsi="Arial" w:cs="Arial"/>
          <w:sz w:val="20"/>
          <w:szCs w:val="20"/>
        </w:rPr>
        <w:t xml:space="preserve">nekdanje Jugoslavije, Nemčijo in Češko ter </w:t>
      </w:r>
      <w:r w:rsidR="000F4F62" w:rsidRPr="00F82C5F">
        <w:rPr>
          <w:rFonts w:ascii="Arial" w:hAnsi="Arial" w:cs="Arial"/>
          <w:sz w:val="20"/>
          <w:szCs w:val="20"/>
        </w:rPr>
        <w:t xml:space="preserve">v manjšem obsegu z </w:t>
      </w:r>
      <w:r w:rsidR="003E2061" w:rsidRPr="00F82C5F">
        <w:rPr>
          <w:rFonts w:ascii="Arial" w:hAnsi="Arial" w:cs="Arial"/>
          <w:sz w:val="20"/>
          <w:szCs w:val="20"/>
        </w:rPr>
        <w:t xml:space="preserve">drugimi državami evropskega prostora. Sodelovanje z državami na drugih kontinentih predstavlja izjemo. </w:t>
      </w:r>
    </w:p>
    <w:p w:rsidR="00F82C5F" w:rsidRPr="00F82C5F" w:rsidRDefault="00F82C5F" w:rsidP="00F82C5F">
      <w:pPr>
        <w:tabs>
          <w:tab w:val="left" w:pos="5529"/>
        </w:tabs>
        <w:jc w:val="both"/>
        <w:rPr>
          <w:rFonts w:ascii="Arial" w:hAnsi="Arial" w:cs="Arial"/>
          <w:sz w:val="20"/>
          <w:szCs w:val="20"/>
        </w:rPr>
      </w:pPr>
    </w:p>
    <w:p w:rsidR="005B27C3" w:rsidRPr="00F82C5F" w:rsidRDefault="005B27C3" w:rsidP="00F82C5F">
      <w:pPr>
        <w:tabs>
          <w:tab w:val="left" w:pos="5529"/>
        </w:tabs>
        <w:jc w:val="both"/>
        <w:rPr>
          <w:rFonts w:ascii="Arial" w:hAnsi="Arial" w:cs="Arial"/>
          <w:sz w:val="20"/>
          <w:szCs w:val="20"/>
        </w:rPr>
      </w:pPr>
    </w:p>
    <w:p w:rsidR="006560E3" w:rsidRPr="00F82C5F" w:rsidRDefault="005B27C3" w:rsidP="00F82C5F">
      <w:pPr>
        <w:tabs>
          <w:tab w:val="left" w:pos="5529"/>
        </w:tabs>
        <w:jc w:val="both"/>
        <w:rPr>
          <w:rFonts w:ascii="Arial" w:hAnsi="Arial" w:cs="Arial"/>
          <w:sz w:val="20"/>
          <w:szCs w:val="20"/>
        </w:rPr>
      </w:pPr>
      <w:r w:rsidRPr="00F82C5F">
        <w:rPr>
          <w:rFonts w:ascii="Arial" w:hAnsi="Arial" w:cs="Arial"/>
          <w:noProof/>
          <w:sz w:val="20"/>
          <w:szCs w:val="20"/>
        </w:rPr>
        <w:drawing>
          <wp:inline distT="0" distB="0" distL="0" distR="0">
            <wp:extent cx="5486400" cy="2565400"/>
            <wp:effectExtent l="0" t="0" r="0" b="635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560E3" w:rsidRPr="00F82C5F" w:rsidRDefault="006560E3" w:rsidP="00F82C5F">
      <w:pPr>
        <w:tabs>
          <w:tab w:val="left" w:pos="5529"/>
        </w:tabs>
        <w:jc w:val="both"/>
        <w:rPr>
          <w:rFonts w:ascii="Arial" w:hAnsi="Arial" w:cs="Arial"/>
          <w:sz w:val="20"/>
          <w:szCs w:val="20"/>
        </w:rPr>
      </w:pPr>
    </w:p>
    <w:p w:rsidR="003728B4" w:rsidRPr="00F82C5F" w:rsidRDefault="000F4F62" w:rsidP="00F82C5F">
      <w:pPr>
        <w:tabs>
          <w:tab w:val="left" w:pos="5529"/>
        </w:tabs>
        <w:jc w:val="both"/>
        <w:rPr>
          <w:rFonts w:ascii="Arial" w:hAnsi="Arial" w:cs="Arial"/>
          <w:sz w:val="20"/>
          <w:szCs w:val="20"/>
        </w:rPr>
      </w:pPr>
      <w:r w:rsidRPr="00F82C5F">
        <w:rPr>
          <w:rFonts w:ascii="Arial" w:hAnsi="Arial" w:cs="Arial"/>
          <w:sz w:val="20"/>
          <w:szCs w:val="20"/>
        </w:rPr>
        <w:t xml:space="preserve">Razstave so celoviti projekti, ki vključujejo pedagoški, andragoški in drug spremljevalni program. Velik del pedagoškega programa je osredotočen na stalne postavitve. Medinstitucionalne razstave, gostovanja in v večjem deležu tudi projekti predstavljajo aktivno povezovanje drugimi partnerji. Projekti vključujejo tudi obdelavo arhivov arheoloških najdišč in arheološka raziskovanja ter sodelovanje v EU projektih. </w:t>
      </w:r>
      <w:r w:rsidR="00E9357D" w:rsidRPr="00F82C5F">
        <w:rPr>
          <w:rFonts w:ascii="Arial" w:hAnsi="Arial" w:cs="Arial"/>
          <w:sz w:val="20"/>
          <w:szCs w:val="20"/>
        </w:rPr>
        <w:t xml:space="preserve">Tendenca k sodelovanju in povezovanju omogoča realizacijo večjih in odmevnejših projektov, odpira prostore znotraj Slovenije in v tujino, ugodno vpliva na obisk ter prepoznavnost muzejev. </w:t>
      </w:r>
    </w:p>
    <w:p w:rsidR="003728B4" w:rsidRPr="00F82C5F" w:rsidRDefault="003728B4" w:rsidP="00F82C5F">
      <w:pPr>
        <w:tabs>
          <w:tab w:val="left" w:pos="5529"/>
        </w:tabs>
        <w:jc w:val="both"/>
        <w:rPr>
          <w:rFonts w:ascii="Arial" w:hAnsi="Arial" w:cs="Arial"/>
          <w:sz w:val="20"/>
          <w:szCs w:val="20"/>
        </w:rPr>
      </w:pPr>
    </w:p>
    <w:p w:rsidR="00C05E19" w:rsidRPr="00F82C5F" w:rsidRDefault="00C21A9A" w:rsidP="00F82C5F">
      <w:pPr>
        <w:tabs>
          <w:tab w:val="left" w:pos="5529"/>
        </w:tabs>
        <w:jc w:val="both"/>
        <w:rPr>
          <w:rFonts w:ascii="Arial" w:hAnsi="Arial" w:cs="Arial"/>
          <w:sz w:val="20"/>
          <w:szCs w:val="20"/>
        </w:rPr>
      </w:pPr>
      <w:r w:rsidRPr="00F82C5F">
        <w:rPr>
          <w:rFonts w:ascii="Arial" w:hAnsi="Arial" w:cs="Arial"/>
          <w:sz w:val="20"/>
          <w:szCs w:val="20"/>
        </w:rPr>
        <w:lastRenderedPageBreak/>
        <w:t>V letu 201</w:t>
      </w:r>
      <w:r w:rsidR="003E2061" w:rsidRPr="00F82C5F">
        <w:rPr>
          <w:rFonts w:ascii="Arial" w:hAnsi="Arial" w:cs="Arial"/>
          <w:sz w:val="20"/>
          <w:szCs w:val="20"/>
        </w:rPr>
        <w:t>9</w:t>
      </w:r>
      <w:r w:rsidRPr="00F82C5F">
        <w:rPr>
          <w:rFonts w:ascii="Arial" w:hAnsi="Arial" w:cs="Arial"/>
          <w:sz w:val="20"/>
          <w:szCs w:val="20"/>
        </w:rPr>
        <w:t xml:space="preserve"> so bili pooblaščeni muzeji vpeti v </w:t>
      </w:r>
      <w:r w:rsidRPr="00F82C5F">
        <w:rPr>
          <w:rFonts w:ascii="Arial" w:hAnsi="Arial" w:cs="Arial"/>
          <w:b/>
          <w:sz w:val="20"/>
          <w:szCs w:val="20"/>
        </w:rPr>
        <w:t>pomembne in odmevne projekte</w:t>
      </w:r>
      <w:r w:rsidRPr="00F82C5F">
        <w:rPr>
          <w:rFonts w:ascii="Arial" w:hAnsi="Arial" w:cs="Arial"/>
          <w:sz w:val="20"/>
          <w:szCs w:val="20"/>
        </w:rPr>
        <w:t>.</w:t>
      </w:r>
      <w:r w:rsidR="00922D28" w:rsidRPr="00F82C5F">
        <w:rPr>
          <w:rStyle w:val="Sprotnaopomba-sklic"/>
          <w:rFonts w:ascii="Arial" w:hAnsi="Arial" w:cs="Arial"/>
          <w:sz w:val="20"/>
          <w:szCs w:val="20"/>
        </w:rPr>
        <w:footnoteReference w:id="10"/>
      </w:r>
      <w:r w:rsidRPr="00F82C5F">
        <w:rPr>
          <w:rFonts w:ascii="Arial" w:hAnsi="Arial" w:cs="Arial"/>
          <w:sz w:val="20"/>
          <w:szCs w:val="20"/>
        </w:rPr>
        <w:t xml:space="preserve"> </w:t>
      </w:r>
      <w:r w:rsidR="00D82E4A" w:rsidRPr="00F82C5F">
        <w:rPr>
          <w:rFonts w:ascii="Arial" w:hAnsi="Arial" w:cs="Arial"/>
          <w:sz w:val="20"/>
          <w:szCs w:val="20"/>
        </w:rPr>
        <w:t xml:space="preserve">V financiranju programskega II. sklopa je bila uvedena sprememba. Ministrstvo je vsakemu muzeju zagotovilo sredstva v višini 7.000 EUR za standardni program, ki vključuje dopolnjevanje stalnih razstav, manjše lastne občasne razstave in gostovanja ter druge manjše projekte po izboru muzeja. Preostali del financiranja je bil namenjen večjim, celovitim projektom s spremljevalnim programom, namenjenim široki javnosti. Prednostno se že vrsto let podpira skupne projekte muzejev, medinstitucionalno sodelovanje in ambiciozne projekte, katerih cilj je doseči zanimanje širše slovenske in tudi mednarodne javnosti. </w:t>
      </w:r>
    </w:p>
    <w:p w:rsidR="00C05E19" w:rsidRPr="00F82C5F" w:rsidRDefault="00C05E19" w:rsidP="00F82C5F">
      <w:pPr>
        <w:tabs>
          <w:tab w:val="left" w:pos="5529"/>
        </w:tabs>
        <w:jc w:val="both"/>
        <w:rPr>
          <w:rFonts w:ascii="Arial" w:hAnsi="Arial" w:cs="Arial"/>
          <w:sz w:val="20"/>
          <w:szCs w:val="20"/>
        </w:rPr>
      </w:pPr>
    </w:p>
    <w:p w:rsidR="00D82E4A" w:rsidRPr="00F82C5F" w:rsidRDefault="0097219D" w:rsidP="00F82C5F">
      <w:pPr>
        <w:tabs>
          <w:tab w:val="left" w:pos="5529"/>
        </w:tabs>
        <w:jc w:val="both"/>
        <w:rPr>
          <w:rFonts w:ascii="Arial" w:hAnsi="Arial" w:cs="Arial"/>
          <w:sz w:val="20"/>
          <w:szCs w:val="20"/>
        </w:rPr>
      </w:pPr>
      <w:r w:rsidRPr="00F82C5F">
        <w:rPr>
          <w:rFonts w:ascii="Arial" w:hAnsi="Arial" w:cs="Arial"/>
          <w:sz w:val="20"/>
          <w:szCs w:val="20"/>
        </w:rPr>
        <w:t>Nova s</w:t>
      </w:r>
      <w:r w:rsidR="00D82E4A" w:rsidRPr="00F82C5F">
        <w:rPr>
          <w:rFonts w:ascii="Arial" w:hAnsi="Arial" w:cs="Arial"/>
          <w:sz w:val="20"/>
          <w:szCs w:val="20"/>
        </w:rPr>
        <w:t xml:space="preserve">talna postavitev kot strokovno, organizacijsko in finančno kompleksen </w:t>
      </w:r>
      <w:r w:rsidRPr="00F82C5F">
        <w:rPr>
          <w:rFonts w:ascii="Arial" w:hAnsi="Arial" w:cs="Arial"/>
          <w:sz w:val="20"/>
          <w:szCs w:val="20"/>
        </w:rPr>
        <w:t xml:space="preserve">projekt </w:t>
      </w:r>
      <w:r w:rsidR="002A2D61" w:rsidRPr="00F82C5F">
        <w:rPr>
          <w:rFonts w:ascii="Arial" w:hAnsi="Arial" w:cs="Arial"/>
          <w:sz w:val="20"/>
          <w:szCs w:val="20"/>
        </w:rPr>
        <w:t>je večinoma delo več let.</w:t>
      </w:r>
      <w:r w:rsidR="00540D60" w:rsidRPr="00F82C5F">
        <w:rPr>
          <w:rFonts w:ascii="Arial" w:hAnsi="Arial" w:cs="Arial"/>
          <w:sz w:val="20"/>
          <w:szCs w:val="20"/>
        </w:rPr>
        <w:t xml:space="preserve"> Poteka po historičnih ali tematskih sklopih. </w:t>
      </w:r>
      <w:r w:rsidR="003D53E7" w:rsidRPr="00F82C5F">
        <w:rPr>
          <w:rFonts w:ascii="Arial" w:hAnsi="Arial" w:cs="Arial"/>
          <w:sz w:val="20"/>
          <w:szCs w:val="20"/>
        </w:rPr>
        <w:t xml:space="preserve">Večjih prenov se je lotilo nekaj muzejev. </w:t>
      </w:r>
      <w:r w:rsidRPr="00F82C5F">
        <w:rPr>
          <w:rFonts w:ascii="Arial" w:hAnsi="Arial" w:cs="Arial"/>
          <w:sz w:val="20"/>
          <w:szCs w:val="20"/>
        </w:rPr>
        <w:t xml:space="preserve">Pokrajinski muzej Maribor je s </w:t>
      </w:r>
      <w:r w:rsidRPr="00F82C5F">
        <w:rPr>
          <w:rFonts w:ascii="Arial" w:hAnsi="Arial" w:cs="Arial"/>
          <w:i/>
          <w:iCs/>
          <w:sz w:val="20"/>
          <w:szCs w:val="20"/>
        </w:rPr>
        <w:t>Portretom meščanstva</w:t>
      </w:r>
      <w:r w:rsidRPr="00F82C5F">
        <w:rPr>
          <w:rFonts w:ascii="Arial" w:hAnsi="Arial" w:cs="Arial"/>
          <w:sz w:val="20"/>
          <w:szCs w:val="20"/>
        </w:rPr>
        <w:t xml:space="preserve"> predstavil kulturno zgodovino dinamičnega, za Slovence in Maribor pomembnega obdobja 19. stol. Belokranjski muzej</w:t>
      </w:r>
      <w:r w:rsidR="00540D60" w:rsidRPr="00F82C5F">
        <w:rPr>
          <w:rFonts w:ascii="Arial" w:hAnsi="Arial" w:cs="Arial"/>
          <w:sz w:val="20"/>
          <w:szCs w:val="20"/>
        </w:rPr>
        <w:t xml:space="preserve"> je ob 150.</w:t>
      </w:r>
      <w:r w:rsidRPr="00F82C5F">
        <w:rPr>
          <w:rFonts w:ascii="Arial" w:hAnsi="Arial" w:cs="Arial"/>
          <w:sz w:val="20"/>
          <w:szCs w:val="20"/>
        </w:rPr>
        <w:t xml:space="preserve"> obletnici ustanovitve prvega gasilskega društva na naših tleh</w:t>
      </w:r>
      <w:r w:rsidR="00540D60" w:rsidRPr="00F82C5F">
        <w:rPr>
          <w:rFonts w:ascii="Arial" w:hAnsi="Arial" w:cs="Arial"/>
          <w:sz w:val="20"/>
          <w:szCs w:val="20"/>
        </w:rPr>
        <w:t xml:space="preserve"> stalno </w:t>
      </w:r>
      <w:r w:rsidR="00152DAA" w:rsidRPr="00F82C5F">
        <w:rPr>
          <w:rFonts w:ascii="Arial" w:hAnsi="Arial" w:cs="Arial"/>
          <w:sz w:val="20"/>
          <w:szCs w:val="20"/>
        </w:rPr>
        <w:t xml:space="preserve">razstavo </w:t>
      </w:r>
      <w:r w:rsidR="00540D60" w:rsidRPr="00F82C5F">
        <w:rPr>
          <w:rFonts w:ascii="Arial" w:hAnsi="Arial" w:cs="Arial"/>
          <w:sz w:val="20"/>
          <w:szCs w:val="20"/>
        </w:rPr>
        <w:t xml:space="preserve">dopolnil </w:t>
      </w:r>
      <w:r w:rsidR="00152DAA" w:rsidRPr="00F82C5F">
        <w:rPr>
          <w:rFonts w:ascii="Arial" w:hAnsi="Arial" w:cs="Arial"/>
          <w:sz w:val="20"/>
          <w:szCs w:val="20"/>
        </w:rPr>
        <w:t xml:space="preserve">s postavitvijo </w:t>
      </w:r>
      <w:r w:rsidR="00540D60" w:rsidRPr="00F82C5F">
        <w:rPr>
          <w:rFonts w:ascii="Arial" w:hAnsi="Arial" w:cs="Arial"/>
          <w:sz w:val="20"/>
          <w:szCs w:val="20"/>
        </w:rPr>
        <w:t>v čast</w:t>
      </w:r>
      <w:r w:rsidR="00152DAA" w:rsidRPr="00F82C5F">
        <w:rPr>
          <w:rFonts w:ascii="Arial" w:hAnsi="Arial" w:cs="Arial"/>
          <w:sz w:val="20"/>
          <w:szCs w:val="20"/>
        </w:rPr>
        <w:t xml:space="preserve"> njegovemu ustanovitelju </w:t>
      </w:r>
      <w:r w:rsidR="00540D60" w:rsidRPr="00F82C5F">
        <w:rPr>
          <w:rFonts w:ascii="Arial" w:hAnsi="Arial" w:cs="Arial"/>
          <w:sz w:val="20"/>
          <w:szCs w:val="20"/>
        </w:rPr>
        <w:t xml:space="preserve">Josipu Savinšku, </w:t>
      </w:r>
      <w:r w:rsidR="00152DAA" w:rsidRPr="00F82C5F">
        <w:rPr>
          <w:rFonts w:ascii="Arial" w:hAnsi="Arial" w:cs="Arial"/>
          <w:sz w:val="20"/>
          <w:szCs w:val="20"/>
        </w:rPr>
        <w:t xml:space="preserve">hkrati pa je obnovljeni muzejski hiši v Semiču dal vsebino s postavitvijo krajevne muzejske zbirke. </w:t>
      </w:r>
      <w:r w:rsidRPr="00F82C5F">
        <w:rPr>
          <w:rFonts w:ascii="Arial" w:hAnsi="Arial" w:cs="Arial"/>
          <w:sz w:val="20"/>
          <w:szCs w:val="20"/>
        </w:rPr>
        <w:t>Pomurski muzej se približuje dokončanju postopne prenove celotne obsežne stalne razstave Ljudje ob Muri. P</w:t>
      </w:r>
      <w:r w:rsidR="00152DAA" w:rsidRPr="00F82C5F">
        <w:rPr>
          <w:rFonts w:ascii="Arial" w:hAnsi="Arial" w:cs="Arial"/>
          <w:sz w:val="20"/>
          <w:szCs w:val="20"/>
        </w:rPr>
        <w:t xml:space="preserve">okrajinski muzej Ptuj Ormož s prenovo prostorov glasbene zbirke prenavlja tudi postavitev. Koroški pokrajinski muzej je v dvorcu </w:t>
      </w:r>
      <w:r w:rsidRPr="00F82C5F">
        <w:rPr>
          <w:rFonts w:ascii="Arial" w:hAnsi="Arial" w:cs="Arial"/>
          <w:sz w:val="20"/>
          <w:szCs w:val="20"/>
        </w:rPr>
        <w:t xml:space="preserve">Ravne </w:t>
      </w:r>
      <w:r w:rsidR="00152DAA" w:rsidRPr="00F82C5F">
        <w:rPr>
          <w:rFonts w:ascii="Arial" w:hAnsi="Arial" w:cs="Arial"/>
          <w:sz w:val="20"/>
          <w:szCs w:val="20"/>
        </w:rPr>
        <w:t>dokončal postavitev stalne razstave, Tržiški muzej je predstavitev obrti do</w:t>
      </w:r>
      <w:r w:rsidR="004254A8" w:rsidRPr="00F82C5F">
        <w:rPr>
          <w:rFonts w:ascii="Arial" w:hAnsi="Arial" w:cs="Arial"/>
          <w:sz w:val="20"/>
          <w:szCs w:val="20"/>
        </w:rPr>
        <w:t xml:space="preserve">polnil </w:t>
      </w:r>
      <w:r w:rsidR="00152DAA" w:rsidRPr="00F82C5F">
        <w:rPr>
          <w:rFonts w:ascii="Arial" w:hAnsi="Arial" w:cs="Arial"/>
          <w:sz w:val="20"/>
          <w:szCs w:val="20"/>
        </w:rPr>
        <w:t xml:space="preserve">z zbirko kolarstva. </w:t>
      </w:r>
    </w:p>
    <w:p w:rsidR="0097219D" w:rsidRPr="00F82C5F" w:rsidRDefault="0097219D" w:rsidP="00F82C5F">
      <w:pPr>
        <w:tabs>
          <w:tab w:val="left" w:pos="5529"/>
        </w:tabs>
        <w:jc w:val="both"/>
        <w:rPr>
          <w:rFonts w:ascii="Arial" w:hAnsi="Arial" w:cs="Arial"/>
          <w:sz w:val="20"/>
          <w:szCs w:val="20"/>
        </w:rPr>
      </w:pPr>
    </w:p>
    <w:p w:rsidR="004254A8" w:rsidRPr="00F82C5F" w:rsidRDefault="004254A8" w:rsidP="00F82C5F">
      <w:pPr>
        <w:jc w:val="both"/>
        <w:rPr>
          <w:rFonts w:ascii="Arial" w:hAnsi="Arial" w:cs="Arial"/>
          <w:sz w:val="20"/>
          <w:szCs w:val="20"/>
          <w:lang w:eastAsia="sl-SI"/>
        </w:rPr>
      </w:pPr>
      <w:r w:rsidRPr="00F82C5F">
        <w:rPr>
          <w:rFonts w:ascii="Arial" w:hAnsi="Arial" w:cs="Arial"/>
          <w:sz w:val="20"/>
          <w:szCs w:val="20"/>
          <w:lang w:eastAsia="sl-SI"/>
        </w:rPr>
        <w:t xml:space="preserve">Na nacionalnem nivoju je bila obeležena 100. obletnica priključitve Prekmurja matični domovini. Obsežen strokovni in muzeološki del je prispeval Pomurski muzej. V Galeriji Murska Sobota so obletnico počastili z razstavo </w:t>
      </w:r>
      <w:r w:rsidRPr="00F82C5F">
        <w:rPr>
          <w:rFonts w:ascii="Arial" w:hAnsi="Arial" w:cs="Arial"/>
          <w:i/>
          <w:sz w:val="20"/>
          <w:szCs w:val="20"/>
          <w:lang w:eastAsia="sl-SI"/>
        </w:rPr>
        <w:t>Osamljenosti – izrazi tesnobe v prekmurski likovni umetnosti.</w:t>
      </w:r>
      <w:r w:rsidRPr="00F82C5F">
        <w:rPr>
          <w:rFonts w:ascii="Arial" w:hAnsi="Arial" w:cs="Arial"/>
          <w:sz w:val="20"/>
          <w:szCs w:val="20"/>
          <w:lang w:eastAsia="sl-SI"/>
        </w:rPr>
        <w:t xml:space="preserve"> </w:t>
      </w:r>
      <w:r w:rsidR="00A8295B" w:rsidRPr="00F82C5F">
        <w:rPr>
          <w:rFonts w:ascii="Arial" w:hAnsi="Arial" w:cs="Arial"/>
          <w:sz w:val="20"/>
          <w:szCs w:val="20"/>
          <w:lang w:eastAsia="sl-SI"/>
        </w:rPr>
        <w:t xml:space="preserve">Med muzeji z najdaljšo tradicijo je Loški muzej, ki je s pestrim in inkluzivnim programom obeležil 80 let obstoja. 130 let delovanja so praznovali jamarji. Osrednjo razstavo ob obletnici ustanovitve društva je pripravil Notranjski muzej v Postojni. </w:t>
      </w:r>
    </w:p>
    <w:p w:rsidR="004254A8" w:rsidRPr="00F82C5F" w:rsidRDefault="004254A8" w:rsidP="00F82C5F">
      <w:pPr>
        <w:jc w:val="both"/>
        <w:rPr>
          <w:rFonts w:ascii="Arial" w:hAnsi="Arial" w:cs="Arial"/>
          <w:sz w:val="20"/>
          <w:szCs w:val="20"/>
          <w:lang w:eastAsia="sl-SI"/>
        </w:rPr>
      </w:pPr>
    </w:p>
    <w:p w:rsidR="004254A8" w:rsidRPr="00F82C5F" w:rsidRDefault="004254A8" w:rsidP="00F82C5F">
      <w:pPr>
        <w:jc w:val="both"/>
        <w:rPr>
          <w:rFonts w:ascii="Arial" w:hAnsi="Arial" w:cs="Arial"/>
          <w:sz w:val="20"/>
          <w:szCs w:val="20"/>
          <w:lang w:eastAsia="sl-SI"/>
        </w:rPr>
      </w:pPr>
      <w:r w:rsidRPr="00F82C5F">
        <w:rPr>
          <w:rFonts w:ascii="Arial" w:hAnsi="Arial" w:cs="Arial"/>
          <w:sz w:val="20"/>
          <w:szCs w:val="20"/>
          <w:lang w:eastAsia="sl-SI"/>
        </w:rPr>
        <w:t xml:space="preserve">Zanimiv in inovativen skupni projekt </w:t>
      </w:r>
      <w:r w:rsidRPr="00F82C5F">
        <w:rPr>
          <w:rFonts w:ascii="Arial" w:hAnsi="Arial" w:cs="Arial"/>
          <w:i/>
          <w:sz w:val="20"/>
          <w:szCs w:val="20"/>
          <w:lang w:eastAsia="sl-SI"/>
        </w:rPr>
        <w:t>Neverjetne gore</w:t>
      </w:r>
      <w:r w:rsidRPr="00F82C5F">
        <w:rPr>
          <w:rFonts w:ascii="Arial" w:hAnsi="Arial" w:cs="Arial"/>
          <w:sz w:val="20"/>
          <w:szCs w:val="20"/>
          <w:lang w:eastAsia="sl-SI"/>
        </w:rPr>
        <w:t xml:space="preserve"> so zasnovali gorenjski muzeji. Gre za planinsko muzejsko transverzalo, katere cilj je obiskovalcem predstaviti dediščino v gorah in jih spodbuditi k boljšemu poznavanju z obiskom muzeja. Projekt je pritegnil pohodnike, planince in navdušence nad </w:t>
      </w:r>
      <w:proofErr w:type="spellStart"/>
      <w:r w:rsidRPr="00F82C5F">
        <w:rPr>
          <w:rFonts w:ascii="Arial" w:hAnsi="Arial" w:cs="Arial"/>
          <w:sz w:val="20"/>
          <w:szCs w:val="20"/>
          <w:lang w:eastAsia="sl-SI"/>
        </w:rPr>
        <w:t>geocatchingom</w:t>
      </w:r>
      <w:proofErr w:type="spellEnd"/>
      <w:r w:rsidRPr="00F82C5F">
        <w:rPr>
          <w:rFonts w:ascii="Arial" w:hAnsi="Arial" w:cs="Arial"/>
          <w:sz w:val="20"/>
          <w:szCs w:val="20"/>
          <w:lang w:eastAsia="sl-SI"/>
        </w:rPr>
        <w:t xml:space="preserve">. Skupni imenovalec za </w:t>
      </w:r>
      <w:r w:rsidR="005158E5" w:rsidRPr="00F82C5F">
        <w:rPr>
          <w:rFonts w:ascii="Arial" w:hAnsi="Arial" w:cs="Arial"/>
          <w:sz w:val="20"/>
          <w:szCs w:val="20"/>
          <w:lang w:eastAsia="sl-SI"/>
        </w:rPr>
        <w:t xml:space="preserve">simpatičen </w:t>
      </w:r>
      <w:r w:rsidRPr="00F82C5F">
        <w:rPr>
          <w:rFonts w:ascii="Arial" w:hAnsi="Arial" w:cs="Arial"/>
          <w:sz w:val="20"/>
          <w:szCs w:val="20"/>
          <w:lang w:eastAsia="sl-SI"/>
        </w:rPr>
        <w:t xml:space="preserve">projekt so v </w:t>
      </w:r>
      <w:r w:rsidR="005158E5" w:rsidRPr="00F82C5F">
        <w:rPr>
          <w:rFonts w:ascii="Arial" w:hAnsi="Arial" w:cs="Arial"/>
          <w:sz w:val="20"/>
          <w:szCs w:val="20"/>
          <w:lang w:eastAsia="sl-SI"/>
        </w:rPr>
        <w:t xml:space="preserve">priljubljenih </w:t>
      </w:r>
      <w:r w:rsidRPr="00F82C5F">
        <w:rPr>
          <w:rFonts w:ascii="Arial" w:hAnsi="Arial" w:cs="Arial"/>
          <w:sz w:val="20"/>
          <w:szCs w:val="20"/>
          <w:lang w:eastAsia="sl-SI"/>
        </w:rPr>
        <w:t>afriških zbirkah našli trije slovenski muzeji: Slovenski etnografski muzej, Koroški pokrajinski muzej in Muzej Velenje.</w:t>
      </w:r>
    </w:p>
    <w:p w:rsidR="005158E5" w:rsidRPr="00F82C5F" w:rsidRDefault="005158E5" w:rsidP="00F82C5F">
      <w:pPr>
        <w:jc w:val="both"/>
        <w:rPr>
          <w:rFonts w:ascii="Arial" w:hAnsi="Arial" w:cs="Arial"/>
          <w:sz w:val="20"/>
          <w:szCs w:val="20"/>
          <w:lang w:eastAsia="sl-SI"/>
        </w:rPr>
      </w:pPr>
    </w:p>
    <w:p w:rsidR="005158E5" w:rsidRPr="00F82C5F" w:rsidRDefault="005158E5" w:rsidP="00F82C5F">
      <w:pPr>
        <w:jc w:val="both"/>
        <w:rPr>
          <w:rFonts w:ascii="Arial" w:hAnsi="Arial" w:cs="Arial"/>
          <w:sz w:val="20"/>
          <w:szCs w:val="20"/>
          <w:lang w:eastAsia="sl-SI"/>
        </w:rPr>
      </w:pPr>
      <w:r w:rsidRPr="00F82C5F">
        <w:rPr>
          <w:rFonts w:ascii="Arial" w:hAnsi="Arial" w:cs="Arial"/>
          <w:sz w:val="20"/>
          <w:szCs w:val="20"/>
          <w:lang w:eastAsia="sl-SI"/>
        </w:rPr>
        <w:t xml:space="preserve">Leto 2019 je bilo izjemno uspešno v mednarodnem sodelovanju. MGML je v Vatikanskih muzejih kot eni najbolj referenčnih lokacij na svetu postavil razstavo o Plečnikovih kelihih. Hkrati je gostil razstavo ruskih ikon. Galerija Božidarja Jakca je vzporedno z gostovanjem Narodne galerije na Praškem gradu zbirko ekspresionizma predstavila v referenčni galeriji na </w:t>
      </w:r>
      <w:proofErr w:type="spellStart"/>
      <w:r w:rsidRPr="00F82C5F">
        <w:rPr>
          <w:rFonts w:ascii="Arial" w:hAnsi="Arial" w:cs="Arial"/>
          <w:sz w:val="20"/>
          <w:szCs w:val="20"/>
          <w:lang w:eastAsia="sl-SI"/>
        </w:rPr>
        <w:t>Kutni</w:t>
      </w:r>
      <w:proofErr w:type="spellEnd"/>
      <w:r w:rsidRPr="00F82C5F">
        <w:rPr>
          <w:rFonts w:ascii="Arial" w:hAnsi="Arial" w:cs="Arial"/>
          <w:sz w:val="20"/>
          <w:szCs w:val="20"/>
          <w:lang w:eastAsia="sl-SI"/>
        </w:rPr>
        <w:t xml:space="preserve"> Hori. Mestni muzej Idrija je v okviru UNESCO povezave gostoval v </w:t>
      </w:r>
      <w:proofErr w:type="spellStart"/>
      <w:r w:rsidRPr="00F82C5F">
        <w:rPr>
          <w:rFonts w:ascii="Arial" w:hAnsi="Arial" w:cs="Arial"/>
          <w:sz w:val="20"/>
          <w:szCs w:val="20"/>
          <w:lang w:eastAsia="sl-SI"/>
        </w:rPr>
        <w:t>Almadenu</w:t>
      </w:r>
      <w:proofErr w:type="spellEnd"/>
      <w:r w:rsidRPr="00F82C5F">
        <w:rPr>
          <w:rFonts w:ascii="Arial" w:hAnsi="Arial" w:cs="Arial"/>
          <w:sz w:val="20"/>
          <w:szCs w:val="20"/>
          <w:lang w:eastAsia="sl-SI"/>
        </w:rPr>
        <w:t xml:space="preserve"> v Španiji.</w:t>
      </w:r>
      <w:r w:rsidR="00A8295B" w:rsidRPr="00F82C5F">
        <w:rPr>
          <w:rFonts w:ascii="Arial" w:hAnsi="Arial" w:cs="Arial"/>
          <w:sz w:val="20"/>
          <w:szCs w:val="20"/>
          <w:lang w:eastAsia="sl-SI"/>
        </w:rPr>
        <w:t xml:space="preserve"> V Sloveniji je bil n</w:t>
      </w:r>
      <w:r w:rsidRPr="00F82C5F">
        <w:rPr>
          <w:rFonts w:ascii="Arial" w:hAnsi="Arial" w:cs="Arial"/>
          <w:sz w:val="20"/>
          <w:szCs w:val="20"/>
          <w:lang w:eastAsia="sl-SI"/>
        </w:rPr>
        <w:t xml:space="preserve">ajbolj odmeven in obiskan 33. grafični bienale, ki se odvija v organizaciji MGLC na več lokacijah v prestolnici. </w:t>
      </w:r>
    </w:p>
    <w:p w:rsidR="005158E5" w:rsidRPr="00F82C5F" w:rsidRDefault="005158E5" w:rsidP="00F82C5F">
      <w:pPr>
        <w:jc w:val="both"/>
        <w:rPr>
          <w:rFonts w:ascii="Arial" w:hAnsi="Arial" w:cs="Arial"/>
          <w:sz w:val="20"/>
          <w:szCs w:val="20"/>
          <w:lang w:eastAsia="sl-SI"/>
        </w:rPr>
      </w:pPr>
    </w:p>
    <w:p w:rsidR="005158E5" w:rsidRDefault="005158E5" w:rsidP="00F82C5F">
      <w:pPr>
        <w:jc w:val="both"/>
        <w:rPr>
          <w:rFonts w:ascii="Arial" w:hAnsi="Arial" w:cs="Arial"/>
          <w:sz w:val="20"/>
          <w:szCs w:val="20"/>
          <w:lang w:eastAsia="sl-SI"/>
        </w:rPr>
      </w:pPr>
      <w:r w:rsidRPr="00F82C5F">
        <w:rPr>
          <w:rFonts w:ascii="Arial" w:hAnsi="Arial" w:cs="Arial"/>
          <w:sz w:val="20"/>
          <w:szCs w:val="20"/>
          <w:lang w:eastAsia="sl-SI"/>
        </w:rPr>
        <w:t>Izjemn</w:t>
      </w:r>
      <w:r w:rsidR="00A8295B" w:rsidRPr="00F82C5F">
        <w:rPr>
          <w:rFonts w:ascii="Arial" w:hAnsi="Arial" w:cs="Arial"/>
          <w:sz w:val="20"/>
          <w:szCs w:val="20"/>
          <w:lang w:eastAsia="sl-SI"/>
        </w:rPr>
        <w:t>a</w:t>
      </w:r>
      <w:r w:rsidRPr="00F82C5F">
        <w:rPr>
          <w:rFonts w:ascii="Arial" w:hAnsi="Arial" w:cs="Arial"/>
          <w:sz w:val="20"/>
          <w:szCs w:val="20"/>
          <w:lang w:eastAsia="sl-SI"/>
        </w:rPr>
        <w:t xml:space="preserve"> priložnost za vzpostavitev muzeja fotografije </w:t>
      </w:r>
      <w:r w:rsidR="00A8295B" w:rsidRPr="00F82C5F">
        <w:rPr>
          <w:rFonts w:ascii="Arial" w:hAnsi="Arial" w:cs="Arial"/>
          <w:sz w:val="20"/>
          <w:szCs w:val="20"/>
          <w:lang w:eastAsia="sl-SI"/>
        </w:rPr>
        <w:t xml:space="preserve">se je ponudila </w:t>
      </w:r>
      <w:r w:rsidRPr="00F82C5F">
        <w:rPr>
          <w:rFonts w:ascii="Arial" w:hAnsi="Arial" w:cs="Arial"/>
          <w:sz w:val="20"/>
          <w:szCs w:val="20"/>
          <w:lang w:eastAsia="sl-SI"/>
        </w:rPr>
        <w:t>Muzej</w:t>
      </w:r>
      <w:r w:rsidR="00A8295B" w:rsidRPr="00F82C5F">
        <w:rPr>
          <w:rFonts w:ascii="Arial" w:hAnsi="Arial" w:cs="Arial"/>
          <w:sz w:val="20"/>
          <w:szCs w:val="20"/>
          <w:lang w:eastAsia="sl-SI"/>
        </w:rPr>
        <w:t>u</w:t>
      </w:r>
      <w:r w:rsidRPr="00F82C5F">
        <w:rPr>
          <w:rFonts w:ascii="Arial" w:hAnsi="Arial" w:cs="Arial"/>
          <w:sz w:val="20"/>
          <w:szCs w:val="20"/>
          <w:lang w:eastAsia="sl-SI"/>
        </w:rPr>
        <w:t xml:space="preserve"> novejše zgodovine Celje, katerega ustanoviteljica Mestna občina Celje, je od lastnikov odkupila hišo, v kateri je živel in delal fotograf Josip Pelikan. Muzej je pred celovito obnovo obiskovalcem omogočil vpogled v obstoječe stanje električnega ateljeja.</w:t>
      </w:r>
    </w:p>
    <w:p w:rsidR="008B4BB4" w:rsidRDefault="008B4BB4" w:rsidP="00F82C5F">
      <w:pPr>
        <w:jc w:val="both"/>
        <w:rPr>
          <w:rFonts w:ascii="Arial" w:hAnsi="Arial" w:cs="Arial"/>
          <w:sz w:val="20"/>
          <w:szCs w:val="20"/>
          <w:lang w:eastAsia="sl-SI"/>
        </w:rPr>
      </w:pPr>
    </w:p>
    <w:p w:rsidR="008B4BB4" w:rsidRPr="00F82C5F" w:rsidRDefault="008B4BB4" w:rsidP="00F82C5F">
      <w:pPr>
        <w:jc w:val="both"/>
        <w:rPr>
          <w:rFonts w:ascii="Arial" w:hAnsi="Arial" w:cs="Arial"/>
          <w:sz w:val="20"/>
          <w:szCs w:val="20"/>
          <w:lang w:eastAsia="sl-SI"/>
        </w:rPr>
      </w:pPr>
      <w:r>
        <w:rPr>
          <w:rFonts w:ascii="Arial" w:hAnsi="Arial" w:cs="Arial"/>
          <w:sz w:val="20"/>
          <w:szCs w:val="20"/>
          <w:lang w:eastAsia="sl-SI"/>
        </w:rPr>
        <w:t xml:space="preserve">Uspešno delo je bilo nagrajeno. Za projekt Gradovi Posavja so sodelujoči partnerji, med njimi Posavski muzej Brežice in Galerija Božidar Jakac, prejeli nagrado Jakob. MGLC je ob podeljevanju nagrade ŽIVA prejel </w:t>
      </w:r>
      <w:r w:rsidRPr="008B4BB4">
        <w:rPr>
          <w:rFonts w:ascii="Arial" w:hAnsi="Arial" w:cs="Arial"/>
          <w:sz w:val="20"/>
          <w:szCs w:val="20"/>
          <w:lang w:eastAsia="sl-SI"/>
        </w:rPr>
        <w:t>posebno priznanje za odprtost in pozornost do obiskovalcev.</w:t>
      </w:r>
      <w:r w:rsidR="004B314B">
        <w:rPr>
          <w:rFonts w:ascii="Arial" w:hAnsi="Arial" w:cs="Arial"/>
          <w:sz w:val="20"/>
          <w:szCs w:val="20"/>
          <w:lang w:eastAsia="sl-SI"/>
        </w:rPr>
        <w:t xml:space="preserve"> Izkopavanja na območju Ljubljane so posebej nagradila MGML z najdbo čudovite modre rimskodobne posodice. </w:t>
      </w:r>
    </w:p>
    <w:p w:rsidR="005158E5" w:rsidRPr="00F82C5F" w:rsidRDefault="005158E5" w:rsidP="00F82C5F">
      <w:pPr>
        <w:jc w:val="both"/>
        <w:rPr>
          <w:rFonts w:ascii="Arial" w:hAnsi="Arial" w:cs="Arial"/>
          <w:sz w:val="20"/>
          <w:szCs w:val="20"/>
          <w:lang w:eastAsia="sl-SI"/>
        </w:rPr>
      </w:pPr>
    </w:p>
    <w:p w:rsidR="00F82C5F" w:rsidRPr="00F82C5F" w:rsidRDefault="00F82C5F" w:rsidP="00F82C5F">
      <w:pPr>
        <w:jc w:val="both"/>
        <w:rPr>
          <w:rFonts w:ascii="Arial" w:hAnsi="Arial" w:cs="Arial"/>
          <w:sz w:val="20"/>
          <w:szCs w:val="20"/>
          <w:lang w:eastAsia="sl-SI"/>
        </w:rPr>
      </w:pPr>
      <w:r w:rsidRPr="00F82C5F">
        <w:rPr>
          <w:rFonts w:ascii="Arial" w:hAnsi="Arial" w:cs="Arial"/>
          <w:sz w:val="20"/>
          <w:szCs w:val="20"/>
          <w:lang w:eastAsia="sl-SI"/>
        </w:rPr>
        <w:t xml:space="preserve">Pooblaščeni muzeji so v letu 2019 realizirali načrtovan program državne javne službe muzejev. Izvedli so 18 novih stalnih razstav, 293 lastnih občasnih, 113 medinstitucionalnih razstav in številna gostovanja v Sloveniji. Izrazito poudarjeno je bilo sodelovanje s tujino, zlasti EU državami. Število realiziranih projektov medinstitucionalnih razstav in gostovanj se je podvojilo. Muzeji so sodelovali na 43 medinstitucionalnih razstavah, gostili 28 razstav in izvedli 51 gostovanj v tujini. </w:t>
      </w:r>
    </w:p>
    <w:p w:rsidR="00F82C5F" w:rsidRPr="00F82C5F" w:rsidRDefault="00F82C5F" w:rsidP="00F82C5F">
      <w:pPr>
        <w:jc w:val="both"/>
        <w:rPr>
          <w:rFonts w:ascii="Arial" w:hAnsi="Arial" w:cs="Arial"/>
          <w:sz w:val="20"/>
          <w:szCs w:val="20"/>
          <w:lang w:eastAsia="sl-SI"/>
        </w:rPr>
      </w:pPr>
    </w:p>
    <w:p w:rsidR="00A8295B" w:rsidRPr="00F82C5F" w:rsidRDefault="00A8295B" w:rsidP="00F82C5F">
      <w:pPr>
        <w:jc w:val="both"/>
        <w:rPr>
          <w:rFonts w:ascii="Arial" w:hAnsi="Arial" w:cs="Arial"/>
          <w:sz w:val="20"/>
          <w:szCs w:val="20"/>
          <w:lang w:eastAsia="sl-SI"/>
        </w:rPr>
      </w:pPr>
      <w:r w:rsidRPr="00F82C5F">
        <w:rPr>
          <w:rFonts w:ascii="Arial" w:hAnsi="Arial" w:cs="Arial"/>
          <w:sz w:val="20"/>
          <w:szCs w:val="20"/>
          <w:lang w:eastAsia="sl-SI"/>
        </w:rPr>
        <w:t xml:space="preserve">V nadaljevanju </w:t>
      </w:r>
      <w:r w:rsidR="00B347A5" w:rsidRPr="00F82C5F">
        <w:rPr>
          <w:rFonts w:ascii="Arial" w:hAnsi="Arial" w:cs="Arial"/>
          <w:sz w:val="20"/>
          <w:szCs w:val="20"/>
          <w:lang w:eastAsia="sl-SI"/>
        </w:rPr>
        <w:t>so navedeni večje lastne občasne ali medinstitucionalne razstave in projekte posameznih muzejev.</w:t>
      </w:r>
      <w:r w:rsidR="00B347A5" w:rsidRPr="00F82C5F">
        <w:rPr>
          <w:rStyle w:val="Sprotnaopomba-sklic"/>
          <w:rFonts w:ascii="Arial" w:hAnsi="Arial" w:cs="Arial"/>
          <w:sz w:val="20"/>
          <w:szCs w:val="20"/>
          <w:lang w:eastAsia="sl-SI"/>
        </w:rPr>
        <w:footnoteReference w:id="11"/>
      </w:r>
    </w:p>
    <w:p w:rsidR="00B347A5" w:rsidRPr="00F82C5F" w:rsidRDefault="00B347A5" w:rsidP="00F82C5F">
      <w:pPr>
        <w:jc w:val="both"/>
        <w:rPr>
          <w:rFonts w:ascii="Arial" w:hAnsi="Arial" w:cs="Arial"/>
          <w:sz w:val="20"/>
          <w:szCs w:val="20"/>
          <w:lang w:eastAsia="sl-SI"/>
        </w:rPr>
      </w:pPr>
    </w:p>
    <w:tbl>
      <w:tblPr>
        <w:tblW w:w="9493" w:type="dxa"/>
        <w:tblInd w:w="75" w:type="dxa"/>
        <w:tblCellMar>
          <w:left w:w="70" w:type="dxa"/>
          <w:right w:w="70" w:type="dxa"/>
        </w:tblCellMar>
        <w:tblLook w:val="04A0" w:firstRow="1" w:lastRow="0" w:firstColumn="1" w:lastColumn="0" w:noHBand="0" w:noVBand="1"/>
      </w:tblPr>
      <w:tblGrid>
        <w:gridCol w:w="2972"/>
        <w:gridCol w:w="6521"/>
      </w:tblGrid>
      <w:tr w:rsidR="00F82C5F" w:rsidRPr="00F82C5F" w:rsidTr="00F82C5F">
        <w:trPr>
          <w:trHeight w:val="270"/>
        </w:trPr>
        <w:tc>
          <w:tcPr>
            <w:tcW w:w="2972"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F82C5F" w:rsidRPr="00F82C5F" w:rsidRDefault="00F82C5F" w:rsidP="00F82C5F">
            <w:pPr>
              <w:jc w:val="both"/>
              <w:rPr>
                <w:rFonts w:ascii="Arial" w:hAnsi="Arial" w:cs="Arial"/>
                <w:b/>
                <w:bCs/>
                <w:sz w:val="20"/>
                <w:szCs w:val="20"/>
                <w:lang w:eastAsia="sl-SI"/>
              </w:rPr>
            </w:pPr>
            <w:r w:rsidRPr="00F82C5F">
              <w:rPr>
                <w:rFonts w:ascii="Arial" w:hAnsi="Arial" w:cs="Arial"/>
                <w:b/>
                <w:bCs/>
                <w:sz w:val="20"/>
                <w:szCs w:val="20"/>
              </w:rPr>
              <w:t>muzej</w:t>
            </w:r>
          </w:p>
        </w:tc>
        <w:tc>
          <w:tcPr>
            <w:tcW w:w="6521" w:type="dxa"/>
            <w:tcBorders>
              <w:top w:val="single" w:sz="4" w:space="0" w:color="auto"/>
              <w:left w:val="nil"/>
              <w:bottom w:val="single" w:sz="8"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b/>
                <w:bCs/>
                <w:sz w:val="20"/>
                <w:szCs w:val="20"/>
              </w:rPr>
            </w:pPr>
            <w:r w:rsidRPr="00F82C5F">
              <w:rPr>
                <w:rFonts w:ascii="Arial" w:hAnsi="Arial" w:cs="Arial"/>
                <w:b/>
                <w:bCs/>
                <w:sz w:val="20"/>
                <w:szCs w:val="20"/>
              </w:rPr>
              <w:t>razstava / projekt</w:t>
            </w:r>
          </w:p>
        </w:tc>
      </w:tr>
      <w:tr w:rsidR="00F82C5F" w:rsidRPr="00F82C5F" w:rsidTr="00F82C5F">
        <w:trPr>
          <w:trHeight w:val="290"/>
        </w:trPr>
        <w:tc>
          <w:tcPr>
            <w:tcW w:w="2972" w:type="dxa"/>
            <w:vMerge w:val="restart"/>
            <w:tcBorders>
              <w:top w:val="nil"/>
              <w:left w:val="single" w:sz="4" w:space="0" w:color="auto"/>
              <w:bottom w:val="single" w:sz="4" w:space="0" w:color="000000"/>
              <w:right w:val="single" w:sz="4" w:space="0" w:color="auto"/>
            </w:tcBorders>
            <w:shd w:val="clear" w:color="auto" w:fill="auto"/>
            <w:vAlign w:val="center"/>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Posavski muzej Brežice</w:t>
            </w: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Štirje elementi: 3-ZEMLJA*</w:t>
            </w:r>
          </w:p>
        </w:tc>
      </w:tr>
      <w:tr w:rsidR="00F82C5F" w:rsidRPr="00F82C5F" w:rsidTr="00F82C5F">
        <w:trPr>
          <w:trHeight w:val="300"/>
        </w:trPr>
        <w:tc>
          <w:tcPr>
            <w:tcW w:w="2972" w:type="dxa"/>
            <w:vMerge/>
            <w:tcBorders>
              <w:top w:val="nil"/>
              <w:left w:val="single" w:sz="4" w:space="0" w:color="auto"/>
              <w:bottom w:val="single" w:sz="4" w:space="0" w:color="000000"/>
              <w:right w:val="single" w:sz="4" w:space="0" w:color="auto"/>
            </w:tcBorders>
            <w:vAlign w:val="center"/>
            <w:hideMark/>
          </w:tcPr>
          <w:p w:rsidR="00F82C5F" w:rsidRPr="00F82C5F" w:rsidRDefault="00F82C5F" w:rsidP="00F82C5F">
            <w:pPr>
              <w:jc w:val="both"/>
              <w:rPr>
                <w:rFonts w:ascii="Arial" w:hAnsi="Arial" w:cs="Arial"/>
                <w:sz w:val="20"/>
                <w:szCs w:val="20"/>
              </w:rPr>
            </w:pP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Alenka Gerlovič, ob 100-letnici rojstva (Makedonija, Hrvaška)</w:t>
            </w:r>
          </w:p>
        </w:tc>
      </w:tr>
      <w:tr w:rsidR="00F82C5F" w:rsidRPr="00F82C5F" w:rsidTr="00F82C5F">
        <w:trPr>
          <w:trHeight w:val="290"/>
        </w:trPr>
        <w:tc>
          <w:tcPr>
            <w:tcW w:w="2972" w:type="dxa"/>
            <w:vMerge w:val="restart"/>
            <w:tcBorders>
              <w:top w:val="nil"/>
              <w:left w:val="single" w:sz="4" w:space="0" w:color="auto"/>
              <w:bottom w:val="single" w:sz="4" w:space="0" w:color="000000"/>
              <w:right w:val="single" w:sz="4" w:space="0" w:color="auto"/>
            </w:tcBorders>
            <w:shd w:val="clear" w:color="auto" w:fill="auto"/>
            <w:vAlign w:val="center"/>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Pokrajinski muzej Celje</w:t>
            </w: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Alma M Karlin in Vzhodna Azija</w:t>
            </w:r>
          </w:p>
        </w:tc>
      </w:tr>
      <w:tr w:rsidR="00F82C5F" w:rsidRPr="00F82C5F" w:rsidTr="00F82C5F">
        <w:trPr>
          <w:trHeight w:val="290"/>
        </w:trPr>
        <w:tc>
          <w:tcPr>
            <w:tcW w:w="2972" w:type="dxa"/>
            <w:vMerge/>
            <w:tcBorders>
              <w:top w:val="nil"/>
              <w:left w:val="single" w:sz="4" w:space="0" w:color="auto"/>
              <w:bottom w:val="single" w:sz="4" w:space="0" w:color="000000"/>
              <w:right w:val="single" w:sz="4" w:space="0" w:color="auto"/>
            </w:tcBorders>
            <w:vAlign w:val="center"/>
            <w:hideMark/>
          </w:tcPr>
          <w:p w:rsidR="00F82C5F" w:rsidRPr="00F82C5F" w:rsidRDefault="00F82C5F" w:rsidP="00F82C5F">
            <w:pPr>
              <w:jc w:val="both"/>
              <w:rPr>
                <w:rFonts w:ascii="Arial" w:hAnsi="Arial" w:cs="Arial"/>
                <w:sz w:val="20"/>
                <w:szCs w:val="20"/>
              </w:rPr>
            </w:pP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Medalje in odlikovanja iz zbirke Pokrajinskega muzeja Celje</w:t>
            </w:r>
          </w:p>
        </w:tc>
      </w:tr>
      <w:tr w:rsidR="00F82C5F" w:rsidRPr="00F82C5F" w:rsidTr="00F82C5F">
        <w:trPr>
          <w:trHeight w:val="29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Muzej novejše zgodovine Celje</w:t>
            </w: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 xml:space="preserve">I </w:t>
            </w:r>
            <w:proofErr w:type="spellStart"/>
            <w:r w:rsidRPr="00F82C5F">
              <w:rPr>
                <w:rFonts w:ascii="Arial" w:hAnsi="Arial" w:cs="Arial"/>
                <w:sz w:val="20"/>
                <w:szCs w:val="20"/>
              </w:rPr>
              <w:t>feel</w:t>
            </w:r>
            <w:proofErr w:type="spellEnd"/>
            <w:r w:rsidRPr="00F82C5F">
              <w:rPr>
                <w:rFonts w:ascii="Arial" w:hAnsi="Arial" w:cs="Arial"/>
                <w:sz w:val="20"/>
                <w:szCs w:val="20"/>
              </w:rPr>
              <w:t xml:space="preserve"> Slovenija/ I </w:t>
            </w:r>
            <w:proofErr w:type="spellStart"/>
            <w:r w:rsidRPr="00F82C5F">
              <w:rPr>
                <w:rFonts w:ascii="Arial" w:hAnsi="Arial" w:cs="Arial"/>
                <w:sz w:val="20"/>
                <w:szCs w:val="20"/>
              </w:rPr>
              <w:t>feel</w:t>
            </w:r>
            <w:proofErr w:type="spellEnd"/>
            <w:r w:rsidRPr="00F82C5F">
              <w:rPr>
                <w:rFonts w:ascii="Arial" w:hAnsi="Arial" w:cs="Arial"/>
                <w:sz w:val="20"/>
                <w:szCs w:val="20"/>
              </w:rPr>
              <w:t xml:space="preserve"> Celje</w:t>
            </w:r>
          </w:p>
        </w:tc>
      </w:tr>
      <w:tr w:rsidR="00F82C5F" w:rsidRPr="00F82C5F" w:rsidTr="00F82C5F">
        <w:trPr>
          <w:trHeight w:val="28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Mestni muzej Idrija</w:t>
            </w: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Klekljanje idrijske čipke  – UNESCO nesnovna dediščina (cikel razstav)</w:t>
            </w:r>
          </w:p>
        </w:tc>
      </w:tr>
      <w:tr w:rsidR="00F82C5F" w:rsidRPr="00F82C5F" w:rsidTr="00F82C5F">
        <w:trPr>
          <w:trHeight w:val="29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Gornjesavski muzej Jesenice</w:t>
            </w: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 xml:space="preserve">Jamski svet pod gorami </w:t>
            </w:r>
          </w:p>
        </w:tc>
      </w:tr>
      <w:tr w:rsidR="00F82C5F" w:rsidRPr="00F82C5F" w:rsidTr="00F82C5F">
        <w:trPr>
          <w:trHeight w:val="29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Medobčinski muzej Kamnik</w:t>
            </w: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 xml:space="preserve">Risba – Gvardjančič, </w:t>
            </w:r>
            <w:proofErr w:type="spellStart"/>
            <w:r w:rsidRPr="00F82C5F">
              <w:rPr>
                <w:rFonts w:ascii="Arial" w:hAnsi="Arial" w:cs="Arial"/>
                <w:sz w:val="20"/>
                <w:szCs w:val="20"/>
              </w:rPr>
              <w:t>Mrčnik</w:t>
            </w:r>
            <w:proofErr w:type="spellEnd"/>
          </w:p>
        </w:tc>
      </w:tr>
      <w:tr w:rsidR="00F82C5F" w:rsidRPr="00F82C5F" w:rsidTr="00F82C5F">
        <w:trPr>
          <w:trHeight w:val="29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Pokrajinski muzej Kočevje</w:t>
            </w: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Telovadba, šport, rekreacija</w:t>
            </w:r>
          </w:p>
        </w:tc>
      </w:tr>
      <w:tr w:rsidR="00F82C5F" w:rsidRPr="00F82C5F" w:rsidTr="00F82C5F">
        <w:trPr>
          <w:trHeight w:val="29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Pokrajinski muzej Koper</w:t>
            </w: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 xml:space="preserve">Mir, o Kocjan (Miro </w:t>
            </w:r>
            <w:proofErr w:type="spellStart"/>
            <w:r w:rsidRPr="00F82C5F">
              <w:rPr>
                <w:rFonts w:ascii="Arial" w:hAnsi="Arial" w:cs="Arial"/>
                <w:sz w:val="20"/>
                <w:szCs w:val="20"/>
              </w:rPr>
              <w:t>kocjan</w:t>
            </w:r>
            <w:proofErr w:type="spellEnd"/>
            <w:r w:rsidRPr="00F82C5F">
              <w:rPr>
                <w:rFonts w:ascii="Arial" w:hAnsi="Arial" w:cs="Arial"/>
                <w:sz w:val="20"/>
                <w:szCs w:val="20"/>
              </w:rPr>
              <w:t>, častni občan)</w:t>
            </w:r>
          </w:p>
        </w:tc>
      </w:tr>
      <w:tr w:rsidR="00F82C5F" w:rsidRPr="00F82C5F" w:rsidTr="00F82C5F">
        <w:trPr>
          <w:trHeight w:val="290"/>
        </w:trPr>
        <w:tc>
          <w:tcPr>
            <w:tcW w:w="29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Gorenjski muzej Kranj</w:t>
            </w: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Mobiliziranci v nemško vojsko</w:t>
            </w:r>
          </w:p>
        </w:tc>
      </w:tr>
      <w:tr w:rsidR="00F82C5F" w:rsidRPr="00F82C5F" w:rsidTr="00F82C5F">
        <w:trPr>
          <w:trHeight w:val="290"/>
        </w:trPr>
        <w:tc>
          <w:tcPr>
            <w:tcW w:w="2972" w:type="dxa"/>
            <w:vMerge/>
            <w:tcBorders>
              <w:top w:val="nil"/>
              <w:left w:val="single" w:sz="4" w:space="0" w:color="auto"/>
              <w:bottom w:val="single" w:sz="4" w:space="0" w:color="000000"/>
              <w:right w:val="single" w:sz="4" w:space="0" w:color="auto"/>
            </w:tcBorders>
            <w:vAlign w:val="center"/>
            <w:hideMark/>
          </w:tcPr>
          <w:p w:rsidR="00F82C5F" w:rsidRPr="00F82C5F" w:rsidRDefault="00F82C5F" w:rsidP="00F82C5F">
            <w:pPr>
              <w:jc w:val="both"/>
              <w:rPr>
                <w:rFonts w:ascii="Arial" w:hAnsi="Arial" w:cs="Arial"/>
                <w:sz w:val="20"/>
                <w:szCs w:val="20"/>
              </w:rPr>
            </w:pP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 xml:space="preserve">Inženir Maks </w:t>
            </w:r>
            <w:proofErr w:type="spellStart"/>
            <w:r w:rsidRPr="00F82C5F">
              <w:rPr>
                <w:rFonts w:ascii="Arial" w:hAnsi="Arial" w:cs="Arial"/>
                <w:sz w:val="20"/>
                <w:szCs w:val="20"/>
              </w:rPr>
              <w:t>Klodič</w:t>
            </w:r>
            <w:proofErr w:type="spellEnd"/>
            <w:r w:rsidRPr="00F82C5F">
              <w:rPr>
                <w:rFonts w:ascii="Arial" w:hAnsi="Arial" w:cs="Arial"/>
                <w:sz w:val="20"/>
                <w:szCs w:val="20"/>
              </w:rPr>
              <w:t xml:space="preserve"> – ustvarjalec novih poti (Čedad)</w:t>
            </w:r>
          </w:p>
        </w:tc>
      </w:tr>
      <w:tr w:rsidR="00F82C5F" w:rsidRPr="00F82C5F" w:rsidTr="00F82C5F">
        <w:trPr>
          <w:trHeight w:val="5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82C5F" w:rsidRPr="00F82C5F" w:rsidRDefault="00F82C5F" w:rsidP="00F82C5F">
            <w:pPr>
              <w:rPr>
                <w:rFonts w:ascii="Arial" w:hAnsi="Arial" w:cs="Arial"/>
                <w:sz w:val="20"/>
                <w:szCs w:val="20"/>
              </w:rPr>
            </w:pPr>
            <w:r w:rsidRPr="00F82C5F">
              <w:rPr>
                <w:rFonts w:ascii="Arial" w:hAnsi="Arial" w:cs="Arial"/>
                <w:sz w:val="20"/>
                <w:szCs w:val="20"/>
              </w:rPr>
              <w:t>Muzej narodne osvoboditve Maribor</w:t>
            </w: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In bila je luč - hidroelektrarne na Dravi v 20. stoletju</w:t>
            </w:r>
          </w:p>
        </w:tc>
      </w:tr>
      <w:tr w:rsidR="00F82C5F" w:rsidRPr="00F82C5F" w:rsidTr="00F82C5F">
        <w:trPr>
          <w:trHeight w:val="29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Pokrajinski muzej Maribor</w:t>
            </w: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MUSEOEUROPE 2019</w:t>
            </w:r>
          </w:p>
        </w:tc>
      </w:tr>
      <w:tr w:rsidR="00F82C5F" w:rsidRPr="00F82C5F" w:rsidTr="00F82C5F">
        <w:trPr>
          <w:trHeight w:val="29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Goriški muzej</w:t>
            </w: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 xml:space="preserve">O živalih in ljudeh </w:t>
            </w:r>
          </w:p>
        </w:tc>
      </w:tr>
      <w:tr w:rsidR="00F82C5F" w:rsidRPr="00F82C5F" w:rsidTr="00F82C5F">
        <w:trPr>
          <w:trHeight w:val="290"/>
        </w:trPr>
        <w:tc>
          <w:tcPr>
            <w:tcW w:w="2972" w:type="dxa"/>
            <w:vMerge w:val="restart"/>
            <w:tcBorders>
              <w:top w:val="nil"/>
              <w:left w:val="single" w:sz="4" w:space="0" w:color="auto"/>
              <w:bottom w:val="single" w:sz="4" w:space="0" w:color="000000"/>
              <w:right w:val="single" w:sz="4" w:space="0" w:color="auto"/>
            </w:tcBorders>
            <w:shd w:val="clear" w:color="auto" w:fill="auto"/>
            <w:vAlign w:val="center"/>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Dolenjski muzej</w:t>
            </w: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Na dobri poti</w:t>
            </w:r>
          </w:p>
        </w:tc>
      </w:tr>
      <w:tr w:rsidR="00F82C5F" w:rsidRPr="00F82C5F" w:rsidTr="00F82C5F">
        <w:trPr>
          <w:trHeight w:val="290"/>
        </w:trPr>
        <w:tc>
          <w:tcPr>
            <w:tcW w:w="2972" w:type="dxa"/>
            <w:vMerge/>
            <w:tcBorders>
              <w:top w:val="nil"/>
              <w:left w:val="single" w:sz="4" w:space="0" w:color="auto"/>
              <w:bottom w:val="single" w:sz="4" w:space="0" w:color="000000"/>
              <w:right w:val="single" w:sz="4" w:space="0" w:color="auto"/>
            </w:tcBorders>
            <w:vAlign w:val="center"/>
            <w:hideMark/>
          </w:tcPr>
          <w:p w:rsidR="00F82C5F" w:rsidRPr="00F82C5F" w:rsidRDefault="00F82C5F" w:rsidP="00F82C5F">
            <w:pPr>
              <w:jc w:val="both"/>
              <w:rPr>
                <w:rFonts w:ascii="Arial" w:hAnsi="Arial" w:cs="Arial"/>
                <w:sz w:val="20"/>
                <w:szCs w:val="20"/>
              </w:rPr>
            </w:pP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150 – letnica rojstva slikarja Josipa Germa</w:t>
            </w:r>
          </w:p>
        </w:tc>
      </w:tr>
      <w:tr w:rsidR="00F82C5F" w:rsidRPr="00F82C5F" w:rsidTr="00F82C5F">
        <w:trPr>
          <w:trHeight w:val="47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Pomorski muzej Sergej Mašera Piran</w:t>
            </w: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6 ladij Splošne plovbe</w:t>
            </w:r>
          </w:p>
        </w:tc>
      </w:tr>
      <w:tr w:rsidR="00F82C5F" w:rsidRPr="00F82C5F" w:rsidTr="00F82C5F">
        <w:trPr>
          <w:trHeight w:val="29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Notranjski muzej Postojna</w:t>
            </w: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 xml:space="preserve">Kras(na) igralnica </w:t>
            </w:r>
          </w:p>
        </w:tc>
      </w:tr>
      <w:tr w:rsidR="00F82C5F" w:rsidRPr="00F82C5F" w:rsidTr="00F82C5F">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Pokrajinski muzej Ptuj-Ormož</w:t>
            </w: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 xml:space="preserve">Osrčje </w:t>
            </w:r>
            <w:proofErr w:type="spellStart"/>
            <w:r w:rsidRPr="00F82C5F">
              <w:rPr>
                <w:rFonts w:ascii="Arial" w:hAnsi="Arial" w:cs="Arial"/>
                <w:sz w:val="20"/>
                <w:szCs w:val="20"/>
              </w:rPr>
              <w:t>Petovione</w:t>
            </w:r>
            <w:proofErr w:type="spellEnd"/>
          </w:p>
        </w:tc>
      </w:tr>
      <w:tr w:rsidR="00F82C5F" w:rsidRPr="00F82C5F" w:rsidTr="00F82C5F">
        <w:trPr>
          <w:trHeight w:val="29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Muzeji radovljiške občine</w:t>
            </w: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Po poteh 60 let Čebelarskega muzeja</w:t>
            </w:r>
          </w:p>
        </w:tc>
      </w:tr>
      <w:tr w:rsidR="00F82C5F" w:rsidRPr="00F82C5F" w:rsidTr="00F82C5F">
        <w:trPr>
          <w:trHeight w:val="29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Rokodelski center Ribnica</w:t>
            </w: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Dr. Jože Ilc, skrbnik zapuščine Riharda Jakopiča</w:t>
            </w:r>
          </w:p>
        </w:tc>
      </w:tr>
      <w:tr w:rsidR="00F82C5F" w:rsidRPr="00F82C5F" w:rsidTr="00F82C5F">
        <w:trPr>
          <w:trHeight w:val="29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Loški muzej</w:t>
            </w: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40 let Združenja umetnikov Škofja Loka</w:t>
            </w:r>
          </w:p>
        </w:tc>
      </w:tr>
      <w:tr w:rsidR="00F82C5F" w:rsidRPr="00F82C5F" w:rsidTr="00F82C5F">
        <w:trPr>
          <w:trHeight w:val="29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Tolminski muzej</w:t>
            </w: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gostovanja razstave o Javorci v tujini</w:t>
            </w:r>
          </w:p>
        </w:tc>
      </w:tr>
      <w:tr w:rsidR="00F82C5F" w:rsidRPr="00F82C5F" w:rsidTr="00F82C5F">
        <w:trPr>
          <w:trHeight w:val="53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Tržiški muzej</w:t>
            </w: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Dokumentarni film: Pričevalci koncentracijskega taborišča Ljubelj jug, podružnice Mauthausna</w:t>
            </w:r>
          </w:p>
        </w:tc>
      </w:tr>
      <w:tr w:rsidR="00F82C5F" w:rsidRPr="00F82C5F" w:rsidTr="00F82C5F">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 xml:space="preserve">Galerija Božidar </w:t>
            </w:r>
            <w:r w:rsidR="00AA0357">
              <w:rPr>
                <w:rFonts w:ascii="Arial" w:hAnsi="Arial" w:cs="Arial"/>
                <w:sz w:val="20"/>
                <w:szCs w:val="20"/>
              </w:rPr>
              <w:t>J</w:t>
            </w:r>
            <w:r w:rsidRPr="00F82C5F">
              <w:rPr>
                <w:rFonts w:ascii="Arial" w:hAnsi="Arial" w:cs="Arial"/>
                <w:sz w:val="20"/>
                <w:szCs w:val="20"/>
              </w:rPr>
              <w:t>akac</w:t>
            </w: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Forma viva 2019</w:t>
            </w:r>
          </w:p>
        </w:tc>
      </w:tr>
      <w:tr w:rsidR="00F82C5F" w:rsidRPr="00F82C5F" w:rsidTr="00F82C5F">
        <w:trPr>
          <w:trHeight w:val="25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MGLC</w:t>
            </w: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 xml:space="preserve">Viktor </w:t>
            </w:r>
            <w:proofErr w:type="spellStart"/>
            <w:r w:rsidRPr="00F82C5F">
              <w:rPr>
                <w:rFonts w:ascii="Arial" w:hAnsi="Arial" w:cs="Arial"/>
                <w:sz w:val="20"/>
                <w:szCs w:val="20"/>
              </w:rPr>
              <w:t>Vasarely</w:t>
            </w:r>
            <w:proofErr w:type="spellEnd"/>
          </w:p>
        </w:tc>
      </w:tr>
      <w:tr w:rsidR="00F82C5F" w:rsidRPr="00F82C5F" w:rsidTr="00F82C5F">
        <w:trPr>
          <w:trHeight w:val="29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UGM</w:t>
            </w: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UGM Kabinet – cikel Osebnosti</w:t>
            </w:r>
          </w:p>
        </w:tc>
      </w:tr>
      <w:tr w:rsidR="00F82C5F" w:rsidRPr="00F82C5F" w:rsidTr="00F82C5F">
        <w:trPr>
          <w:trHeight w:val="290"/>
        </w:trPr>
        <w:tc>
          <w:tcPr>
            <w:tcW w:w="29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Obalne galerije Piran</w:t>
            </w: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 xml:space="preserve">Novi jaz, </w:t>
            </w:r>
            <w:proofErr w:type="spellStart"/>
            <w:r w:rsidRPr="00F82C5F">
              <w:rPr>
                <w:rFonts w:ascii="Arial" w:hAnsi="Arial" w:cs="Arial"/>
                <w:sz w:val="20"/>
                <w:szCs w:val="20"/>
              </w:rPr>
              <w:t>samoupodobitve</w:t>
            </w:r>
            <w:proofErr w:type="spellEnd"/>
            <w:r w:rsidRPr="00F82C5F">
              <w:rPr>
                <w:rFonts w:ascii="Arial" w:hAnsi="Arial" w:cs="Arial"/>
                <w:sz w:val="20"/>
                <w:szCs w:val="20"/>
              </w:rPr>
              <w:t xml:space="preserve"> v delih sodobnih umetnikov</w:t>
            </w:r>
          </w:p>
        </w:tc>
      </w:tr>
      <w:tr w:rsidR="00F82C5F" w:rsidRPr="00F82C5F" w:rsidTr="00F82C5F">
        <w:trPr>
          <w:trHeight w:val="300"/>
        </w:trPr>
        <w:tc>
          <w:tcPr>
            <w:tcW w:w="2972" w:type="dxa"/>
            <w:vMerge/>
            <w:tcBorders>
              <w:top w:val="nil"/>
              <w:left w:val="single" w:sz="4" w:space="0" w:color="auto"/>
              <w:bottom w:val="single" w:sz="4" w:space="0" w:color="000000"/>
              <w:right w:val="single" w:sz="4" w:space="0" w:color="auto"/>
            </w:tcBorders>
            <w:vAlign w:val="center"/>
            <w:hideMark/>
          </w:tcPr>
          <w:p w:rsidR="00F82C5F" w:rsidRPr="00F82C5F" w:rsidRDefault="00F82C5F" w:rsidP="00F82C5F">
            <w:pPr>
              <w:jc w:val="both"/>
              <w:rPr>
                <w:rFonts w:ascii="Arial" w:hAnsi="Arial" w:cs="Arial"/>
                <w:sz w:val="20"/>
                <w:szCs w:val="20"/>
              </w:rPr>
            </w:pP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Mednarodni kiparski simpozij Forma viva Portorož</w:t>
            </w:r>
          </w:p>
        </w:tc>
      </w:tr>
      <w:tr w:rsidR="00F82C5F" w:rsidRPr="00F82C5F" w:rsidTr="00F82C5F">
        <w:trPr>
          <w:trHeight w:val="290"/>
        </w:trPr>
        <w:tc>
          <w:tcPr>
            <w:tcW w:w="2972" w:type="dxa"/>
            <w:vMerge w:val="restart"/>
            <w:tcBorders>
              <w:top w:val="nil"/>
              <w:left w:val="single" w:sz="4" w:space="0" w:color="auto"/>
              <w:bottom w:val="single" w:sz="4" w:space="0" w:color="000000"/>
              <w:right w:val="single" w:sz="4" w:space="0" w:color="auto"/>
            </w:tcBorders>
            <w:shd w:val="clear" w:color="auto" w:fill="auto"/>
            <w:vAlign w:val="center"/>
            <w:hideMark/>
          </w:tcPr>
          <w:p w:rsidR="00F82C5F" w:rsidRPr="00F82C5F" w:rsidRDefault="00F82C5F" w:rsidP="00F82C5F">
            <w:pPr>
              <w:rPr>
                <w:rFonts w:ascii="Arial" w:hAnsi="Arial" w:cs="Arial"/>
                <w:sz w:val="20"/>
                <w:szCs w:val="20"/>
              </w:rPr>
            </w:pPr>
            <w:r w:rsidRPr="00F82C5F">
              <w:rPr>
                <w:rFonts w:ascii="Arial" w:hAnsi="Arial" w:cs="Arial"/>
                <w:sz w:val="20"/>
                <w:szCs w:val="20"/>
              </w:rPr>
              <w:t>Koroška galerija likovnih umetnosti</w:t>
            </w: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Nezaslišani svet, ki ga imam v glavi</w:t>
            </w:r>
          </w:p>
        </w:tc>
      </w:tr>
      <w:tr w:rsidR="00F82C5F" w:rsidRPr="00F82C5F" w:rsidTr="00F82C5F">
        <w:trPr>
          <w:trHeight w:val="290"/>
        </w:trPr>
        <w:tc>
          <w:tcPr>
            <w:tcW w:w="2972" w:type="dxa"/>
            <w:vMerge/>
            <w:tcBorders>
              <w:top w:val="nil"/>
              <w:left w:val="single" w:sz="4" w:space="0" w:color="auto"/>
              <w:bottom w:val="single" w:sz="4" w:space="0" w:color="000000"/>
              <w:right w:val="single" w:sz="4" w:space="0" w:color="auto"/>
            </w:tcBorders>
            <w:vAlign w:val="center"/>
            <w:hideMark/>
          </w:tcPr>
          <w:p w:rsidR="00F82C5F" w:rsidRPr="00F82C5F" w:rsidRDefault="00F82C5F" w:rsidP="00F82C5F">
            <w:pPr>
              <w:jc w:val="both"/>
              <w:rPr>
                <w:rFonts w:ascii="Arial" w:hAnsi="Arial" w:cs="Arial"/>
                <w:sz w:val="20"/>
                <w:szCs w:val="20"/>
              </w:rPr>
            </w:pPr>
          </w:p>
        </w:tc>
        <w:tc>
          <w:tcPr>
            <w:tcW w:w="6521" w:type="dxa"/>
            <w:tcBorders>
              <w:top w:val="nil"/>
              <w:left w:val="nil"/>
              <w:bottom w:val="single" w:sz="4" w:space="0" w:color="auto"/>
              <w:right w:val="single" w:sz="4" w:space="0" w:color="auto"/>
            </w:tcBorders>
            <w:shd w:val="clear" w:color="auto" w:fill="auto"/>
            <w:vAlign w:val="bottom"/>
            <w:hideMark/>
          </w:tcPr>
          <w:p w:rsidR="00F82C5F" w:rsidRPr="00F82C5F" w:rsidRDefault="00F82C5F" w:rsidP="00F82C5F">
            <w:pPr>
              <w:jc w:val="both"/>
              <w:rPr>
                <w:rFonts w:ascii="Arial" w:hAnsi="Arial" w:cs="Arial"/>
                <w:sz w:val="20"/>
                <w:szCs w:val="20"/>
              </w:rPr>
            </w:pPr>
            <w:r w:rsidRPr="00F82C5F">
              <w:rPr>
                <w:rFonts w:ascii="Arial" w:hAnsi="Arial" w:cs="Arial"/>
                <w:sz w:val="20"/>
                <w:szCs w:val="20"/>
              </w:rPr>
              <w:t xml:space="preserve">Narava: Slike narave in Slike Pokrajine </w:t>
            </w:r>
          </w:p>
        </w:tc>
      </w:tr>
    </w:tbl>
    <w:p w:rsidR="00F82C5F" w:rsidRPr="00F82C5F" w:rsidRDefault="00F82C5F" w:rsidP="00F82C5F">
      <w:pPr>
        <w:jc w:val="both"/>
        <w:rPr>
          <w:rFonts w:ascii="Arial" w:hAnsi="Arial" w:cs="Arial"/>
          <w:sz w:val="20"/>
          <w:szCs w:val="20"/>
          <w:lang w:eastAsia="sl-SI"/>
        </w:rPr>
      </w:pPr>
    </w:p>
    <w:p w:rsidR="00B347A5" w:rsidRPr="00F82C5F" w:rsidRDefault="00B347A5" w:rsidP="00F82C5F">
      <w:pPr>
        <w:jc w:val="both"/>
        <w:rPr>
          <w:rFonts w:ascii="Arial" w:hAnsi="Arial" w:cs="Arial"/>
          <w:sz w:val="20"/>
          <w:szCs w:val="20"/>
          <w:lang w:eastAsia="sl-SI"/>
        </w:rPr>
      </w:pPr>
    </w:p>
    <w:p w:rsidR="00FD46EB" w:rsidRPr="00F82C5F" w:rsidRDefault="004B314B" w:rsidP="00F82C5F">
      <w:pPr>
        <w:jc w:val="both"/>
        <w:rPr>
          <w:rFonts w:ascii="Arial" w:hAnsi="Arial" w:cs="Arial"/>
          <w:sz w:val="20"/>
          <w:szCs w:val="20"/>
        </w:rPr>
      </w:pPr>
      <w:r>
        <w:rPr>
          <w:rFonts w:ascii="Arial" w:hAnsi="Arial" w:cs="Arial"/>
          <w:sz w:val="20"/>
          <w:szCs w:val="20"/>
        </w:rPr>
        <w:lastRenderedPageBreak/>
        <w:t xml:space="preserve">Polovica </w:t>
      </w:r>
      <w:r w:rsidR="00BC7FF0" w:rsidRPr="00F82C5F">
        <w:rPr>
          <w:rFonts w:ascii="Arial" w:hAnsi="Arial" w:cs="Arial"/>
          <w:sz w:val="20"/>
          <w:szCs w:val="20"/>
        </w:rPr>
        <w:t>muzejev</w:t>
      </w:r>
      <w:r>
        <w:rPr>
          <w:rFonts w:ascii="Arial" w:hAnsi="Arial" w:cs="Arial"/>
          <w:sz w:val="20"/>
          <w:szCs w:val="20"/>
        </w:rPr>
        <w:t>, večinoma kot partnerji,</w:t>
      </w:r>
      <w:r w:rsidR="00BC7FF0" w:rsidRPr="00F82C5F">
        <w:rPr>
          <w:rFonts w:ascii="Arial" w:hAnsi="Arial" w:cs="Arial"/>
          <w:sz w:val="20"/>
          <w:szCs w:val="20"/>
        </w:rPr>
        <w:t xml:space="preserve"> </w:t>
      </w:r>
      <w:r w:rsidR="00C05066" w:rsidRPr="00F82C5F">
        <w:rPr>
          <w:rFonts w:ascii="Arial" w:hAnsi="Arial" w:cs="Arial"/>
          <w:sz w:val="20"/>
          <w:szCs w:val="20"/>
        </w:rPr>
        <w:t>sodeluje v</w:t>
      </w:r>
      <w:r>
        <w:rPr>
          <w:rFonts w:ascii="Arial" w:hAnsi="Arial" w:cs="Arial"/>
          <w:sz w:val="20"/>
          <w:szCs w:val="20"/>
        </w:rPr>
        <w:t xml:space="preserve"> 39</w:t>
      </w:r>
      <w:r w:rsidR="00C05066" w:rsidRPr="00F82C5F">
        <w:rPr>
          <w:rFonts w:ascii="Arial" w:hAnsi="Arial" w:cs="Arial"/>
          <w:sz w:val="20"/>
          <w:szCs w:val="20"/>
        </w:rPr>
        <w:t xml:space="preserve"> </w:t>
      </w:r>
      <w:r w:rsidR="00C05066" w:rsidRPr="00F82C5F">
        <w:rPr>
          <w:rFonts w:ascii="Arial" w:hAnsi="Arial" w:cs="Arial"/>
          <w:b/>
          <w:sz w:val="20"/>
          <w:szCs w:val="20"/>
        </w:rPr>
        <w:t xml:space="preserve">projektih iz </w:t>
      </w:r>
      <w:r w:rsidR="00BC7FF0" w:rsidRPr="00F82C5F">
        <w:rPr>
          <w:rFonts w:ascii="Arial" w:hAnsi="Arial" w:cs="Arial"/>
          <w:b/>
          <w:sz w:val="20"/>
          <w:szCs w:val="20"/>
        </w:rPr>
        <w:t xml:space="preserve">EU </w:t>
      </w:r>
      <w:r w:rsidR="00C05066" w:rsidRPr="00F82C5F">
        <w:rPr>
          <w:rFonts w:ascii="Arial" w:hAnsi="Arial" w:cs="Arial"/>
          <w:b/>
          <w:sz w:val="20"/>
          <w:szCs w:val="20"/>
        </w:rPr>
        <w:t>sredstev</w:t>
      </w:r>
      <w:r w:rsidRPr="004B314B">
        <w:rPr>
          <w:rFonts w:ascii="Arial" w:hAnsi="Arial" w:cs="Arial"/>
          <w:bCs/>
          <w:sz w:val="20"/>
          <w:szCs w:val="20"/>
        </w:rPr>
        <w:t xml:space="preserve">, predvsem </w:t>
      </w:r>
      <w:r>
        <w:rPr>
          <w:rFonts w:ascii="Arial" w:hAnsi="Arial" w:cs="Arial"/>
          <w:sz w:val="20"/>
          <w:szCs w:val="20"/>
        </w:rPr>
        <w:t>v okviru programa</w:t>
      </w:r>
      <w:r w:rsidR="00323ACB" w:rsidRPr="00F82C5F">
        <w:rPr>
          <w:rFonts w:ascii="Arial" w:hAnsi="Arial" w:cs="Arial"/>
          <w:sz w:val="20"/>
          <w:szCs w:val="20"/>
        </w:rPr>
        <w:t xml:space="preserve"> </w:t>
      </w:r>
      <w:r w:rsidR="00AA0357">
        <w:rPr>
          <w:rFonts w:ascii="Arial" w:hAnsi="Arial" w:cs="Arial"/>
          <w:sz w:val="20"/>
          <w:szCs w:val="20"/>
        </w:rPr>
        <w:t>Ustvarjalna</w:t>
      </w:r>
      <w:r w:rsidR="00AA0357" w:rsidRPr="00F82C5F">
        <w:rPr>
          <w:rFonts w:ascii="Arial" w:hAnsi="Arial" w:cs="Arial"/>
          <w:sz w:val="20"/>
          <w:szCs w:val="20"/>
        </w:rPr>
        <w:t xml:space="preserve"> </w:t>
      </w:r>
      <w:r w:rsidR="00323ACB" w:rsidRPr="00F82C5F">
        <w:rPr>
          <w:rFonts w:ascii="Arial" w:hAnsi="Arial" w:cs="Arial"/>
          <w:sz w:val="20"/>
          <w:szCs w:val="20"/>
        </w:rPr>
        <w:t>Evropa in čezmejn</w:t>
      </w:r>
      <w:r>
        <w:rPr>
          <w:rFonts w:ascii="Arial" w:hAnsi="Arial" w:cs="Arial"/>
          <w:sz w:val="20"/>
          <w:szCs w:val="20"/>
        </w:rPr>
        <w:t>ih</w:t>
      </w:r>
      <w:r w:rsidR="00323ACB" w:rsidRPr="00F82C5F">
        <w:rPr>
          <w:rFonts w:ascii="Arial" w:hAnsi="Arial" w:cs="Arial"/>
          <w:sz w:val="20"/>
          <w:szCs w:val="20"/>
        </w:rPr>
        <w:t xml:space="preserve"> program</w:t>
      </w:r>
      <w:r>
        <w:rPr>
          <w:rFonts w:ascii="Arial" w:hAnsi="Arial" w:cs="Arial"/>
          <w:sz w:val="20"/>
          <w:szCs w:val="20"/>
        </w:rPr>
        <w:t xml:space="preserve">ov: </w:t>
      </w:r>
      <w:r w:rsidR="00323ACB" w:rsidRPr="00F82C5F">
        <w:rPr>
          <w:rFonts w:ascii="Arial" w:hAnsi="Arial" w:cs="Arial"/>
          <w:sz w:val="20"/>
          <w:szCs w:val="20"/>
        </w:rPr>
        <w:t xml:space="preserve"> Več muzejev je vključenih v projekte kot pridruženi partner v sodelovanju z ustanovitelji. </w:t>
      </w:r>
    </w:p>
    <w:p w:rsidR="00663DC8" w:rsidRPr="00F82C5F" w:rsidRDefault="00663DC8" w:rsidP="00F82C5F">
      <w:pPr>
        <w:jc w:val="both"/>
        <w:rPr>
          <w:rFonts w:ascii="Arial" w:hAnsi="Arial" w:cs="Arial"/>
          <w:sz w:val="20"/>
          <w:szCs w:val="20"/>
        </w:rPr>
      </w:pPr>
    </w:p>
    <w:p w:rsidR="00323ACB" w:rsidRPr="00F82C5F" w:rsidRDefault="00323ACB" w:rsidP="00F82C5F">
      <w:pPr>
        <w:jc w:val="both"/>
        <w:rPr>
          <w:rFonts w:ascii="Arial" w:hAnsi="Arial" w:cs="Arial"/>
          <w:sz w:val="20"/>
          <w:szCs w:val="20"/>
        </w:rPr>
      </w:pPr>
    </w:p>
    <w:p w:rsidR="00663DC8" w:rsidRPr="00F82C5F" w:rsidRDefault="00663DC8" w:rsidP="00F82C5F">
      <w:pPr>
        <w:jc w:val="both"/>
        <w:rPr>
          <w:rFonts w:ascii="Arial" w:hAnsi="Arial" w:cs="Arial"/>
          <w:b/>
          <w:sz w:val="20"/>
          <w:szCs w:val="20"/>
          <w:u w:val="single"/>
        </w:rPr>
      </w:pPr>
      <w:r w:rsidRPr="00F82C5F">
        <w:rPr>
          <w:rFonts w:ascii="Arial" w:hAnsi="Arial" w:cs="Arial"/>
          <w:b/>
          <w:sz w:val="20"/>
          <w:szCs w:val="20"/>
          <w:u w:val="single"/>
        </w:rPr>
        <w:t>Delo z obiskovalci</w:t>
      </w:r>
    </w:p>
    <w:p w:rsidR="00A8295B" w:rsidRPr="00F82C5F" w:rsidRDefault="00A8295B" w:rsidP="00F82C5F">
      <w:pPr>
        <w:jc w:val="both"/>
        <w:rPr>
          <w:rFonts w:ascii="Arial" w:hAnsi="Arial" w:cs="Arial"/>
          <w:sz w:val="20"/>
          <w:szCs w:val="20"/>
        </w:rPr>
      </w:pPr>
    </w:p>
    <w:p w:rsidR="00663DC8" w:rsidRPr="00F82C5F" w:rsidRDefault="0006632D" w:rsidP="00F82C5F">
      <w:pPr>
        <w:jc w:val="both"/>
        <w:rPr>
          <w:rFonts w:ascii="Arial" w:hAnsi="Arial" w:cs="Arial"/>
          <w:sz w:val="20"/>
          <w:szCs w:val="20"/>
        </w:rPr>
      </w:pPr>
      <w:r w:rsidRPr="00F82C5F">
        <w:rPr>
          <w:rFonts w:ascii="Arial" w:hAnsi="Arial" w:cs="Arial"/>
          <w:sz w:val="20"/>
          <w:szCs w:val="20"/>
        </w:rPr>
        <w:t xml:space="preserve">Predstavljanje </w:t>
      </w:r>
      <w:r w:rsidR="008F4320" w:rsidRPr="00F82C5F">
        <w:rPr>
          <w:rFonts w:ascii="Arial" w:hAnsi="Arial" w:cs="Arial"/>
          <w:sz w:val="20"/>
          <w:szCs w:val="20"/>
        </w:rPr>
        <w:t>zbirk</w:t>
      </w:r>
      <w:r w:rsidRPr="00F82C5F">
        <w:rPr>
          <w:rFonts w:ascii="Arial" w:hAnsi="Arial" w:cs="Arial"/>
          <w:sz w:val="20"/>
          <w:szCs w:val="20"/>
        </w:rPr>
        <w:t xml:space="preserve"> javnosti </w:t>
      </w:r>
      <w:r w:rsidR="00CB1B78">
        <w:rPr>
          <w:rFonts w:ascii="Arial" w:hAnsi="Arial" w:cs="Arial"/>
          <w:sz w:val="20"/>
          <w:szCs w:val="20"/>
        </w:rPr>
        <w:t>s</w:t>
      </w:r>
      <w:r w:rsidR="008F4320" w:rsidRPr="00F82C5F">
        <w:rPr>
          <w:rFonts w:ascii="Arial" w:hAnsi="Arial" w:cs="Arial"/>
          <w:sz w:val="20"/>
          <w:szCs w:val="20"/>
        </w:rPr>
        <w:t xml:space="preserve">ledi javnemu interesu dviga zavesti in znanja o naši </w:t>
      </w:r>
      <w:r w:rsidRPr="00F82C5F">
        <w:rPr>
          <w:rFonts w:ascii="Arial" w:hAnsi="Arial" w:cs="Arial"/>
          <w:sz w:val="20"/>
          <w:szCs w:val="20"/>
        </w:rPr>
        <w:t>dediščini</w:t>
      </w:r>
      <w:r w:rsidR="008F4320" w:rsidRPr="00F82C5F">
        <w:rPr>
          <w:rFonts w:ascii="Arial" w:hAnsi="Arial" w:cs="Arial"/>
          <w:sz w:val="20"/>
          <w:szCs w:val="20"/>
        </w:rPr>
        <w:t xml:space="preserve">. </w:t>
      </w:r>
      <w:r w:rsidR="0058650F" w:rsidRPr="00F82C5F">
        <w:rPr>
          <w:rFonts w:ascii="Arial" w:hAnsi="Arial" w:cs="Arial"/>
          <w:sz w:val="20"/>
          <w:szCs w:val="20"/>
        </w:rPr>
        <w:t xml:space="preserve">Muzeji se z vso pozornostjo usmerjajo k mlajši publiki, otrokom in mladini, se povezujejo s šolami, pripravljajo programe za </w:t>
      </w:r>
      <w:r w:rsidR="003E7C12" w:rsidRPr="00F82C5F">
        <w:rPr>
          <w:rFonts w:ascii="Arial" w:hAnsi="Arial" w:cs="Arial"/>
          <w:sz w:val="20"/>
          <w:szCs w:val="20"/>
        </w:rPr>
        <w:t>obiske šolskih skupin, za prostočasne dejavnosti, so mentorji pri pripravi seminarskih, raziskovalnih in tekmovalnih nalog, predvsem pa mlade vzgajajo in jim vzbujajo zanimanje za našo skupno dediščino</w:t>
      </w:r>
      <w:r w:rsidR="00664D07" w:rsidRPr="00F82C5F">
        <w:rPr>
          <w:rFonts w:ascii="Arial" w:hAnsi="Arial" w:cs="Arial"/>
          <w:sz w:val="20"/>
          <w:szCs w:val="20"/>
        </w:rPr>
        <w:t xml:space="preserve"> z vodenim ogledom razstav in delavnicami</w:t>
      </w:r>
      <w:r w:rsidR="003E7C12" w:rsidRPr="00F82C5F">
        <w:rPr>
          <w:rFonts w:ascii="Arial" w:hAnsi="Arial" w:cs="Arial"/>
          <w:sz w:val="20"/>
          <w:szCs w:val="20"/>
        </w:rPr>
        <w:t xml:space="preserve">. </w:t>
      </w:r>
      <w:r w:rsidR="00CB1B78">
        <w:rPr>
          <w:rFonts w:ascii="Arial" w:hAnsi="Arial" w:cs="Arial"/>
          <w:sz w:val="20"/>
          <w:szCs w:val="20"/>
        </w:rPr>
        <w:t xml:space="preserve">Tri četrtine </w:t>
      </w:r>
      <w:r w:rsidR="003E7C12" w:rsidRPr="00F82C5F">
        <w:rPr>
          <w:rFonts w:ascii="Arial" w:hAnsi="Arial" w:cs="Arial"/>
          <w:sz w:val="20"/>
          <w:szCs w:val="20"/>
        </w:rPr>
        <w:t xml:space="preserve">muzejev za družine pripravlja posebne programe, prilagojene skupnemu delu oz. povezovanju otrok in staršev. </w:t>
      </w:r>
      <w:r w:rsidR="00664D07" w:rsidRPr="00F82C5F">
        <w:rPr>
          <w:rFonts w:ascii="Arial" w:hAnsi="Arial" w:cs="Arial"/>
          <w:sz w:val="20"/>
          <w:szCs w:val="20"/>
        </w:rPr>
        <w:t xml:space="preserve">Odrasli obiskujejo muzeje zaradi zanimanja za izpostavljeno temo, lastnega strokovnega zanimanja za določeno vrsto gradiva, v muzeju obiskujejo predavanja ali druge dogodke, pripeljejo vanj svoje vnuke, se udeležijo zanimive delavnice ali pa preprosto obudijo spomin na svoje otroštvo in mladost. </w:t>
      </w:r>
    </w:p>
    <w:p w:rsidR="005038DA" w:rsidRPr="00F82C5F" w:rsidRDefault="005038DA" w:rsidP="00F82C5F">
      <w:pPr>
        <w:jc w:val="both"/>
        <w:rPr>
          <w:rFonts w:ascii="Arial" w:hAnsi="Arial" w:cs="Arial"/>
          <w:sz w:val="20"/>
          <w:szCs w:val="20"/>
        </w:rPr>
      </w:pPr>
    </w:p>
    <w:p w:rsidR="00D21CF4" w:rsidRDefault="00CB1B78" w:rsidP="00F82C5F">
      <w:pPr>
        <w:jc w:val="both"/>
        <w:rPr>
          <w:rFonts w:ascii="Arial" w:hAnsi="Arial" w:cs="Arial"/>
          <w:sz w:val="20"/>
          <w:szCs w:val="20"/>
        </w:rPr>
      </w:pPr>
      <w:r>
        <w:rPr>
          <w:rFonts w:ascii="Arial" w:hAnsi="Arial" w:cs="Arial"/>
          <w:sz w:val="20"/>
          <w:szCs w:val="20"/>
        </w:rPr>
        <w:t>V letu 2019 so muzeji zasnovali 525 novih</w:t>
      </w:r>
      <w:r w:rsidR="005038DA" w:rsidRPr="00F82C5F">
        <w:rPr>
          <w:rFonts w:ascii="Arial" w:hAnsi="Arial" w:cs="Arial"/>
          <w:sz w:val="20"/>
          <w:szCs w:val="20"/>
        </w:rPr>
        <w:t xml:space="preserve"> </w:t>
      </w:r>
      <w:r w:rsidR="005038DA" w:rsidRPr="00F82C5F">
        <w:rPr>
          <w:rFonts w:ascii="Arial" w:hAnsi="Arial" w:cs="Arial"/>
          <w:b/>
          <w:sz w:val="20"/>
          <w:szCs w:val="20"/>
        </w:rPr>
        <w:t>pedagoških programov</w:t>
      </w:r>
      <w:r w:rsidR="005C34F8">
        <w:rPr>
          <w:rStyle w:val="Sprotnaopomba-sklic"/>
          <w:rFonts w:ascii="Arial" w:hAnsi="Arial" w:cs="Arial"/>
          <w:b/>
          <w:sz w:val="20"/>
          <w:szCs w:val="20"/>
        </w:rPr>
        <w:footnoteReference w:id="12"/>
      </w:r>
      <w:r w:rsidR="005038DA" w:rsidRPr="00F82C5F">
        <w:rPr>
          <w:rFonts w:ascii="Arial" w:hAnsi="Arial" w:cs="Arial"/>
          <w:sz w:val="20"/>
          <w:szCs w:val="20"/>
        </w:rPr>
        <w:t xml:space="preserve">, </w:t>
      </w:r>
      <w:r>
        <w:rPr>
          <w:rFonts w:ascii="Arial" w:hAnsi="Arial" w:cs="Arial"/>
          <w:sz w:val="20"/>
          <w:szCs w:val="20"/>
        </w:rPr>
        <w:t>544 andragoških, 79 programov za družine in 547 dodatnih</w:t>
      </w:r>
      <w:r w:rsidR="005C34F8">
        <w:rPr>
          <w:rFonts w:ascii="Arial" w:hAnsi="Arial" w:cs="Arial"/>
          <w:sz w:val="20"/>
          <w:szCs w:val="20"/>
        </w:rPr>
        <w:t xml:space="preserve"> </w:t>
      </w:r>
      <w:r>
        <w:rPr>
          <w:rFonts w:ascii="Arial" w:hAnsi="Arial" w:cs="Arial"/>
          <w:sz w:val="20"/>
          <w:szCs w:val="20"/>
        </w:rPr>
        <w:t>programov</w:t>
      </w:r>
      <w:r w:rsidR="005C34F8">
        <w:rPr>
          <w:rStyle w:val="Sprotnaopomba-sklic"/>
          <w:rFonts w:ascii="Arial" w:hAnsi="Arial" w:cs="Arial"/>
          <w:sz w:val="20"/>
          <w:szCs w:val="20"/>
        </w:rPr>
        <w:footnoteReference w:id="13"/>
      </w:r>
      <w:r>
        <w:rPr>
          <w:rFonts w:ascii="Arial" w:hAnsi="Arial" w:cs="Arial"/>
          <w:sz w:val="20"/>
          <w:szCs w:val="20"/>
        </w:rPr>
        <w:t>. Manj izkoriščen potencial predstavljajo programi za družine</w:t>
      </w:r>
      <w:r w:rsidR="00483A3C">
        <w:rPr>
          <w:rFonts w:ascii="Arial" w:hAnsi="Arial" w:cs="Arial"/>
          <w:sz w:val="20"/>
          <w:szCs w:val="20"/>
        </w:rPr>
        <w:t>, vendar je v</w:t>
      </w:r>
      <w:r>
        <w:rPr>
          <w:rFonts w:ascii="Arial" w:hAnsi="Arial" w:cs="Arial"/>
          <w:sz w:val="20"/>
          <w:szCs w:val="20"/>
        </w:rPr>
        <w:t xml:space="preserve"> primerjavi z letom 2018</w:t>
      </w:r>
      <w:r w:rsidR="00483A3C">
        <w:rPr>
          <w:rFonts w:ascii="Arial" w:hAnsi="Arial" w:cs="Arial"/>
          <w:sz w:val="20"/>
          <w:szCs w:val="20"/>
        </w:rPr>
        <w:t xml:space="preserve"> tovrstne programe pripravilo več muzejev. </w:t>
      </w:r>
      <w:r w:rsidR="00730C6B" w:rsidRPr="00F82C5F">
        <w:rPr>
          <w:rFonts w:ascii="Arial" w:hAnsi="Arial" w:cs="Arial"/>
          <w:sz w:val="20"/>
          <w:szCs w:val="20"/>
        </w:rPr>
        <w:t xml:space="preserve">Zanimanje za pedagoške programe je povezano s </w:t>
      </w:r>
      <w:r w:rsidR="00483A3C">
        <w:rPr>
          <w:rFonts w:ascii="Arial" w:hAnsi="Arial" w:cs="Arial"/>
          <w:sz w:val="20"/>
          <w:szCs w:val="20"/>
        </w:rPr>
        <w:t xml:space="preserve">kakovostno izvedbo in tudi </w:t>
      </w:r>
      <w:r w:rsidR="00730C6B" w:rsidRPr="00F82C5F">
        <w:rPr>
          <w:rFonts w:ascii="Arial" w:hAnsi="Arial" w:cs="Arial"/>
          <w:sz w:val="20"/>
          <w:szCs w:val="20"/>
        </w:rPr>
        <w:t>finančno podporo šolskim programom kulturnih dejavnosti</w:t>
      </w:r>
      <w:r w:rsidR="00483A3C">
        <w:rPr>
          <w:rFonts w:ascii="Arial" w:hAnsi="Arial" w:cs="Arial"/>
          <w:sz w:val="20"/>
          <w:szCs w:val="20"/>
        </w:rPr>
        <w:t>. A</w:t>
      </w:r>
      <w:r w:rsidR="00730C6B" w:rsidRPr="00F82C5F">
        <w:rPr>
          <w:rFonts w:ascii="Arial" w:hAnsi="Arial" w:cs="Arial"/>
          <w:sz w:val="20"/>
          <w:szCs w:val="20"/>
        </w:rPr>
        <w:t xml:space="preserve">ndragoški programi so namenjeni različnim ciljnim </w:t>
      </w:r>
      <w:r w:rsidR="00117D52">
        <w:rPr>
          <w:rFonts w:ascii="Arial" w:hAnsi="Arial" w:cs="Arial"/>
          <w:sz w:val="20"/>
          <w:szCs w:val="20"/>
        </w:rPr>
        <w:t>skupinam odraslih</w:t>
      </w:r>
      <w:r w:rsidR="00730C6B" w:rsidRPr="00F82C5F">
        <w:rPr>
          <w:rFonts w:ascii="Arial" w:hAnsi="Arial" w:cs="Arial"/>
          <w:sz w:val="20"/>
          <w:szCs w:val="20"/>
        </w:rPr>
        <w:t xml:space="preserve"> Večina muzejev ima ustanovljene klube prijateljev, organizira zan</w:t>
      </w:r>
      <w:r w:rsidR="00637B67" w:rsidRPr="00F82C5F">
        <w:rPr>
          <w:rFonts w:ascii="Arial" w:hAnsi="Arial" w:cs="Arial"/>
          <w:sz w:val="20"/>
          <w:szCs w:val="20"/>
        </w:rPr>
        <w:t>imiva tematska predavanja, strokovne ekskurzije ipd.</w:t>
      </w:r>
      <w:r w:rsidR="00483A3C">
        <w:rPr>
          <w:rFonts w:ascii="Arial" w:hAnsi="Arial" w:cs="Arial"/>
          <w:sz w:val="20"/>
          <w:szCs w:val="20"/>
        </w:rPr>
        <w:t xml:space="preserve"> V </w:t>
      </w:r>
      <w:r w:rsidR="00117D52">
        <w:rPr>
          <w:rFonts w:ascii="Arial" w:hAnsi="Arial" w:cs="Arial"/>
          <w:sz w:val="20"/>
          <w:szCs w:val="20"/>
        </w:rPr>
        <w:t xml:space="preserve">letu 2019 je bila poudarjena usmerjenost na področje turizma, ki je sovpadla z aktivnostmi STO na področju kulturnega turizma. Muzeji so se posvetili vsebinam in programom, prilagojenim potrebam tujih turistov. </w:t>
      </w:r>
    </w:p>
    <w:p w:rsidR="00117D52" w:rsidRPr="00F82C5F" w:rsidRDefault="00117D52" w:rsidP="00F82C5F">
      <w:pPr>
        <w:jc w:val="both"/>
        <w:rPr>
          <w:rFonts w:ascii="Arial" w:hAnsi="Arial" w:cs="Arial"/>
          <w:sz w:val="20"/>
          <w:szCs w:val="20"/>
        </w:rPr>
      </w:pPr>
    </w:p>
    <w:p w:rsidR="002E26A1" w:rsidRPr="00F82C5F" w:rsidRDefault="00D21CF4" w:rsidP="00F82C5F">
      <w:pPr>
        <w:jc w:val="both"/>
        <w:rPr>
          <w:rFonts w:ascii="Arial" w:hAnsi="Arial" w:cs="Arial"/>
          <w:sz w:val="20"/>
          <w:szCs w:val="20"/>
        </w:rPr>
      </w:pPr>
      <w:r w:rsidRPr="00F82C5F">
        <w:rPr>
          <w:rFonts w:ascii="Arial" w:hAnsi="Arial" w:cs="Arial"/>
          <w:sz w:val="20"/>
          <w:szCs w:val="20"/>
        </w:rPr>
        <w:t xml:space="preserve">Dostopnost gradiva se zagotavlja tudi z </w:t>
      </w:r>
      <w:r w:rsidRPr="00F82C5F">
        <w:rPr>
          <w:rFonts w:ascii="Arial" w:hAnsi="Arial" w:cs="Arial"/>
          <w:b/>
          <w:sz w:val="20"/>
          <w:szCs w:val="20"/>
        </w:rPr>
        <w:t>objavami na spletu</w:t>
      </w:r>
      <w:r w:rsidRPr="00F82C5F">
        <w:rPr>
          <w:rFonts w:ascii="Arial" w:hAnsi="Arial" w:cs="Arial"/>
          <w:sz w:val="20"/>
          <w:szCs w:val="20"/>
        </w:rPr>
        <w:t xml:space="preserve">. To je običajno prvi stik z obiskovalcem, ki na spletu poišče informacije o zbirkah, zainteresiranim posameznikom pa nudi fotografije in podrobnejše opise predmetov, ki bi jih sicer morali poiskati v literaturi ali dokumentaciji. </w:t>
      </w:r>
      <w:r w:rsidR="00980AC7" w:rsidRPr="00F82C5F">
        <w:rPr>
          <w:rFonts w:ascii="Arial" w:hAnsi="Arial" w:cs="Arial"/>
          <w:sz w:val="20"/>
          <w:szCs w:val="20"/>
        </w:rPr>
        <w:t xml:space="preserve">Zavedanje o pomembnosti objave gradiva na spletu ni enakomerno. Spletna stran muzeja iskalcem podrobnejših vsebin predstavlja najbolj pomemben in verodostojen vir </w:t>
      </w:r>
      <w:r w:rsidR="002E77B6" w:rsidRPr="00F82C5F">
        <w:rPr>
          <w:rFonts w:ascii="Arial" w:hAnsi="Arial" w:cs="Arial"/>
          <w:sz w:val="20"/>
          <w:szCs w:val="20"/>
        </w:rPr>
        <w:t xml:space="preserve">hitrih </w:t>
      </w:r>
      <w:r w:rsidR="00980AC7" w:rsidRPr="00F82C5F">
        <w:rPr>
          <w:rFonts w:ascii="Arial" w:hAnsi="Arial" w:cs="Arial"/>
          <w:sz w:val="20"/>
          <w:szCs w:val="20"/>
        </w:rPr>
        <w:t>informacij. V</w:t>
      </w:r>
      <w:r w:rsidR="00117D52">
        <w:rPr>
          <w:rFonts w:ascii="Arial" w:hAnsi="Arial" w:cs="Arial"/>
          <w:sz w:val="20"/>
          <w:szCs w:val="20"/>
        </w:rPr>
        <w:t xml:space="preserve">si muzeji </w:t>
      </w:r>
      <w:r w:rsidR="00980AC7" w:rsidRPr="00F82C5F">
        <w:rPr>
          <w:rFonts w:ascii="Arial" w:hAnsi="Arial" w:cs="Arial"/>
          <w:sz w:val="20"/>
          <w:szCs w:val="20"/>
        </w:rPr>
        <w:t>ima</w:t>
      </w:r>
      <w:r w:rsidR="00117D52">
        <w:rPr>
          <w:rFonts w:ascii="Arial" w:hAnsi="Arial" w:cs="Arial"/>
          <w:sz w:val="20"/>
          <w:szCs w:val="20"/>
        </w:rPr>
        <w:t>jo</w:t>
      </w:r>
      <w:r w:rsidR="00980AC7" w:rsidRPr="00F82C5F">
        <w:rPr>
          <w:rFonts w:ascii="Arial" w:hAnsi="Arial" w:cs="Arial"/>
          <w:sz w:val="20"/>
          <w:szCs w:val="20"/>
        </w:rPr>
        <w:t xml:space="preserve"> vsaj nekaj predmetov ali zbirk</w:t>
      </w:r>
      <w:r w:rsidR="00980AC7" w:rsidRPr="00F82C5F">
        <w:rPr>
          <w:rFonts w:ascii="Arial" w:hAnsi="Arial" w:cs="Arial"/>
          <w:sz w:val="20"/>
          <w:szCs w:val="20"/>
        </w:rPr>
        <w:t xml:space="preserve"> </w:t>
      </w:r>
      <w:r w:rsidR="00AA0357">
        <w:rPr>
          <w:rFonts w:ascii="Arial" w:hAnsi="Arial" w:cs="Arial"/>
          <w:sz w:val="20"/>
          <w:szCs w:val="20"/>
        </w:rPr>
        <w:t xml:space="preserve">v digitalni obliki </w:t>
      </w:r>
      <w:r w:rsidR="00980AC7" w:rsidRPr="00F82C5F">
        <w:rPr>
          <w:rFonts w:ascii="Arial" w:hAnsi="Arial" w:cs="Arial"/>
          <w:sz w:val="20"/>
          <w:szCs w:val="20"/>
        </w:rPr>
        <w:t>objavljenih na svoji s</w:t>
      </w:r>
      <w:r w:rsidR="00D335CA" w:rsidRPr="00F82C5F">
        <w:rPr>
          <w:rFonts w:ascii="Arial" w:hAnsi="Arial" w:cs="Arial"/>
          <w:sz w:val="20"/>
          <w:szCs w:val="20"/>
        </w:rPr>
        <w:t>pletni strani</w:t>
      </w:r>
      <w:r w:rsidR="00117D52">
        <w:rPr>
          <w:rFonts w:ascii="Arial" w:hAnsi="Arial" w:cs="Arial"/>
          <w:sz w:val="20"/>
          <w:szCs w:val="20"/>
        </w:rPr>
        <w:t xml:space="preserve"> ali </w:t>
      </w:r>
      <w:r w:rsidR="00D335CA" w:rsidRPr="00F82C5F">
        <w:rPr>
          <w:rFonts w:ascii="Arial" w:hAnsi="Arial" w:cs="Arial"/>
          <w:sz w:val="20"/>
          <w:szCs w:val="20"/>
        </w:rPr>
        <w:t>na skupnem portalu museums.si</w:t>
      </w:r>
      <w:r w:rsidR="00117D52">
        <w:rPr>
          <w:rFonts w:ascii="Arial" w:hAnsi="Arial" w:cs="Arial"/>
          <w:sz w:val="20"/>
          <w:szCs w:val="20"/>
        </w:rPr>
        <w:t xml:space="preserve">. </w:t>
      </w:r>
      <w:r w:rsidR="004A00AF" w:rsidRPr="00F82C5F">
        <w:rPr>
          <w:rFonts w:ascii="Arial" w:hAnsi="Arial" w:cs="Arial"/>
          <w:sz w:val="20"/>
          <w:szCs w:val="20"/>
        </w:rPr>
        <w:t>Bolj kot sp</w:t>
      </w:r>
      <w:r w:rsidR="004A00AF" w:rsidRPr="00F82C5F">
        <w:rPr>
          <w:rFonts w:ascii="Arial" w:hAnsi="Arial" w:cs="Arial"/>
          <w:sz w:val="20"/>
          <w:szCs w:val="20"/>
        </w:rPr>
        <w:t>letne strani so za obiskovalce zanimiva družbena omrežja, kjer je večina muzejev tudi aktivnih</w:t>
      </w:r>
      <w:r w:rsidR="00926918">
        <w:rPr>
          <w:rFonts w:ascii="Arial" w:hAnsi="Arial" w:cs="Arial"/>
          <w:sz w:val="20"/>
          <w:szCs w:val="20"/>
        </w:rPr>
        <w:t xml:space="preserve"> in med drugim objavlja tudi posamezne predmete. Objave na družbenih omrežjih so namenjene predvsem dnevnim vsebinam in popularizaciji aktualnih dogodkov in za potrebe dokumentacije, predstavitve zbirk,.. .ne morejo nadomestiti spletne strani muzeja. </w:t>
      </w:r>
    </w:p>
    <w:p w:rsidR="00833BD0" w:rsidRPr="00F82C5F" w:rsidRDefault="00833BD0" w:rsidP="00F82C5F">
      <w:pPr>
        <w:jc w:val="both"/>
        <w:rPr>
          <w:rFonts w:ascii="Arial" w:hAnsi="Arial" w:cs="Arial"/>
          <w:sz w:val="20"/>
          <w:szCs w:val="20"/>
        </w:rPr>
      </w:pPr>
    </w:p>
    <w:p w:rsidR="00730C6B" w:rsidRDefault="00833BD0" w:rsidP="00F82C5F">
      <w:pPr>
        <w:jc w:val="both"/>
        <w:rPr>
          <w:rFonts w:ascii="Arial" w:hAnsi="Arial" w:cs="Arial"/>
          <w:sz w:val="20"/>
          <w:szCs w:val="20"/>
        </w:rPr>
      </w:pPr>
      <w:r w:rsidRPr="00F82C5F">
        <w:rPr>
          <w:rFonts w:ascii="Arial" w:hAnsi="Arial" w:cs="Arial"/>
          <w:sz w:val="20"/>
          <w:szCs w:val="20"/>
        </w:rPr>
        <w:t xml:space="preserve">Posameznikom, ki </w:t>
      </w:r>
      <w:r w:rsidR="00080FC9" w:rsidRPr="00F82C5F">
        <w:rPr>
          <w:rFonts w:ascii="Arial" w:hAnsi="Arial" w:cs="Arial"/>
          <w:sz w:val="20"/>
          <w:szCs w:val="20"/>
        </w:rPr>
        <w:t xml:space="preserve">za različne namene </w:t>
      </w:r>
      <w:r w:rsidRPr="00F82C5F">
        <w:rPr>
          <w:rFonts w:ascii="Arial" w:hAnsi="Arial" w:cs="Arial"/>
          <w:sz w:val="20"/>
          <w:szCs w:val="20"/>
        </w:rPr>
        <w:t xml:space="preserve">potrebujejo podrobnejše podatke, je dostopna </w:t>
      </w:r>
      <w:r w:rsidRPr="00F82C5F">
        <w:rPr>
          <w:rFonts w:ascii="Arial" w:hAnsi="Arial" w:cs="Arial"/>
          <w:b/>
          <w:sz w:val="20"/>
          <w:szCs w:val="20"/>
        </w:rPr>
        <w:t>dokumentacija</w:t>
      </w:r>
      <w:r w:rsidR="00080FC9" w:rsidRPr="00F82C5F">
        <w:rPr>
          <w:rFonts w:ascii="Arial" w:hAnsi="Arial" w:cs="Arial"/>
          <w:sz w:val="20"/>
          <w:szCs w:val="20"/>
        </w:rPr>
        <w:t xml:space="preserve"> o predmetih oz. gradivu. Prošnje ali zahteve za dostop je prejela večina muzejev in omogočila vpogled </w:t>
      </w:r>
      <w:r w:rsidR="00926918">
        <w:rPr>
          <w:rFonts w:ascii="Arial" w:hAnsi="Arial" w:cs="Arial"/>
          <w:sz w:val="20"/>
          <w:szCs w:val="20"/>
        </w:rPr>
        <w:t>1</w:t>
      </w:r>
      <w:r w:rsidR="00080FC9" w:rsidRPr="00F82C5F">
        <w:rPr>
          <w:rFonts w:ascii="Arial" w:hAnsi="Arial" w:cs="Arial"/>
          <w:sz w:val="20"/>
          <w:szCs w:val="20"/>
        </w:rPr>
        <w:t>.</w:t>
      </w:r>
      <w:r w:rsidR="00926918">
        <w:rPr>
          <w:rFonts w:ascii="Arial" w:hAnsi="Arial" w:cs="Arial"/>
          <w:sz w:val="20"/>
          <w:szCs w:val="20"/>
        </w:rPr>
        <w:t>789</w:t>
      </w:r>
      <w:r w:rsidR="00080FC9" w:rsidRPr="00F82C5F">
        <w:rPr>
          <w:rFonts w:ascii="Arial" w:hAnsi="Arial" w:cs="Arial"/>
          <w:sz w:val="20"/>
          <w:szCs w:val="20"/>
        </w:rPr>
        <w:t xml:space="preserve"> osebam. Tri četrtine muzejev ima urejene </w:t>
      </w:r>
      <w:r w:rsidR="00080FC9" w:rsidRPr="00F82C5F">
        <w:rPr>
          <w:rFonts w:ascii="Arial" w:hAnsi="Arial" w:cs="Arial"/>
          <w:b/>
          <w:sz w:val="20"/>
          <w:szCs w:val="20"/>
        </w:rPr>
        <w:t>knjižnice</w:t>
      </w:r>
      <w:r w:rsidR="00080FC9" w:rsidRPr="00F82C5F">
        <w:rPr>
          <w:rFonts w:ascii="Arial" w:hAnsi="Arial" w:cs="Arial"/>
          <w:sz w:val="20"/>
          <w:szCs w:val="20"/>
        </w:rPr>
        <w:t>, dostopne zunanjim uporabnikom, ki jih je 5.</w:t>
      </w:r>
      <w:r w:rsidR="00926918">
        <w:rPr>
          <w:rFonts w:ascii="Arial" w:hAnsi="Arial" w:cs="Arial"/>
          <w:sz w:val="20"/>
          <w:szCs w:val="20"/>
        </w:rPr>
        <w:t>496.</w:t>
      </w:r>
      <w:r w:rsidR="004A00AF" w:rsidRPr="00F82C5F">
        <w:rPr>
          <w:rFonts w:ascii="Arial" w:hAnsi="Arial" w:cs="Arial"/>
          <w:sz w:val="20"/>
          <w:szCs w:val="20"/>
        </w:rPr>
        <w:t xml:space="preserve"> V primerjavi s preteklim letom se je število </w:t>
      </w:r>
      <w:r w:rsidR="00926918">
        <w:rPr>
          <w:rFonts w:ascii="Arial" w:hAnsi="Arial" w:cs="Arial"/>
          <w:sz w:val="20"/>
          <w:szCs w:val="20"/>
        </w:rPr>
        <w:t xml:space="preserve">uporabnikov v dokumentaciji močno znižalo, število uporabnikov knjižnic pa sorazmerno zvišalo. </w:t>
      </w:r>
    </w:p>
    <w:p w:rsidR="00926918" w:rsidRPr="00F82C5F" w:rsidRDefault="00926918" w:rsidP="00F82C5F">
      <w:pPr>
        <w:jc w:val="both"/>
        <w:rPr>
          <w:rFonts w:ascii="Arial" w:hAnsi="Arial" w:cs="Arial"/>
          <w:sz w:val="20"/>
          <w:szCs w:val="20"/>
        </w:rPr>
      </w:pPr>
    </w:p>
    <w:p w:rsidR="005038DA" w:rsidRDefault="00730C6B" w:rsidP="00F82C5F">
      <w:pPr>
        <w:jc w:val="both"/>
        <w:rPr>
          <w:rFonts w:ascii="Arial" w:hAnsi="Arial" w:cs="Arial"/>
          <w:sz w:val="20"/>
          <w:szCs w:val="20"/>
        </w:rPr>
      </w:pPr>
      <w:r w:rsidRPr="00F82C5F">
        <w:rPr>
          <w:rFonts w:ascii="Arial" w:hAnsi="Arial" w:cs="Arial"/>
          <w:sz w:val="20"/>
          <w:szCs w:val="20"/>
        </w:rPr>
        <w:t xml:space="preserve">Za senzorno in gibalno </w:t>
      </w:r>
      <w:r w:rsidRPr="00F82C5F">
        <w:rPr>
          <w:rFonts w:ascii="Arial" w:hAnsi="Arial" w:cs="Arial"/>
          <w:b/>
          <w:sz w:val="20"/>
          <w:szCs w:val="20"/>
        </w:rPr>
        <w:t>ovirane</w:t>
      </w:r>
      <w:r w:rsidRPr="00F82C5F">
        <w:rPr>
          <w:rFonts w:ascii="Arial" w:hAnsi="Arial" w:cs="Arial"/>
          <w:sz w:val="20"/>
          <w:szCs w:val="20"/>
        </w:rPr>
        <w:t xml:space="preserve"> obiskovalce </w:t>
      </w:r>
      <w:r w:rsidR="005C7592" w:rsidRPr="00F82C5F">
        <w:rPr>
          <w:rFonts w:ascii="Arial" w:hAnsi="Arial" w:cs="Arial"/>
          <w:sz w:val="20"/>
          <w:szCs w:val="20"/>
        </w:rPr>
        <w:t xml:space="preserve">se skladno s finančnimi možnostmi postopno </w:t>
      </w:r>
      <w:r w:rsidRPr="00F82C5F">
        <w:rPr>
          <w:rFonts w:ascii="Arial" w:hAnsi="Arial" w:cs="Arial"/>
          <w:sz w:val="20"/>
          <w:szCs w:val="20"/>
        </w:rPr>
        <w:t>ure</w:t>
      </w:r>
      <w:r w:rsidR="005C7592" w:rsidRPr="00F82C5F">
        <w:rPr>
          <w:rFonts w:ascii="Arial" w:hAnsi="Arial" w:cs="Arial"/>
          <w:sz w:val="20"/>
          <w:szCs w:val="20"/>
        </w:rPr>
        <w:t xml:space="preserve">ja </w:t>
      </w:r>
      <w:r w:rsidRPr="00F82C5F">
        <w:rPr>
          <w:rFonts w:ascii="Arial" w:hAnsi="Arial" w:cs="Arial"/>
          <w:sz w:val="20"/>
          <w:szCs w:val="20"/>
        </w:rPr>
        <w:t>dostopnost objektov in razstavnih prostorov</w:t>
      </w:r>
      <w:r w:rsidR="00553083" w:rsidRPr="00F82C5F">
        <w:rPr>
          <w:rFonts w:ascii="Arial" w:hAnsi="Arial" w:cs="Arial"/>
          <w:sz w:val="20"/>
          <w:szCs w:val="20"/>
        </w:rPr>
        <w:t xml:space="preserve"> </w:t>
      </w:r>
      <w:r w:rsidR="005C7592" w:rsidRPr="00F82C5F">
        <w:rPr>
          <w:rFonts w:ascii="Arial" w:hAnsi="Arial" w:cs="Arial"/>
          <w:sz w:val="20"/>
          <w:szCs w:val="20"/>
        </w:rPr>
        <w:t xml:space="preserve">s </w:t>
      </w:r>
      <w:r w:rsidR="00553083" w:rsidRPr="00F82C5F">
        <w:rPr>
          <w:rFonts w:ascii="Arial" w:hAnsi="Arial" w:cs="Arial"/>
          <w:sz w:val="20"/>
          <w:szCs w:val="20"/>
        </w:rPr>
        <w:t>klančin</w:t>
      </w:r>
      <w:r w:rsidR="005C7592" w:rsidRPr="00F82C5F">
        <w:rPr>
          <w:rFonts w:ascii="Arial" w:hAnsi="Arial" w:cs="Arial"/>
          <w:sz w:val="20"/>
          <w:szCs w:val="20"/>
        </w:rPr>
        <w:t>ami</w:t>
      </w:r>
      <w:r w:rsidR="00553083" w:rsidRPr="00F82C5F">
        <w:rPr>
          <w:rFonts w:ascii="Arial" w:hAnsi="Arial" w:cs="Arial"/>
          <w:sz w:val="20"/>
          <w:szCs w:val="20"/>
        </w:rPr>
        <w:t>, dvigal</w:t>
      </w:r>
      <w:r w:rsidR="005C7592" w:rsidRPr="00F82C5F">
        <w:rPr>
          <w:rFonts w:ascii="Arial" w:hAnsi="Arial" w:cs="Arial"/>
          <w:sz w:val="20"/>
          <w:szCs w:val="20"/>
        </w:rPr>
        <w:t>i</w:t>
      </w:r>
      <w:r w:rsidR="00553083" w:rsidRPr="00F82C5F">
        <w:rPr>
          <w:rFonts w:ascii="Arial" w:hAnsi="Arial" w:cs="Arial"/>
          <w:sz w:val="20"/>
          <w:szCs w:val="20"/>
        </w:rPr>
        <w:t>, taln</w:t>
      </w:r>
      <w:r w:rsidR="005C7592" w:rsidRPr="00F82C5F">
        <w:rPr>
          <w:rFonts w:ascii="Arial" w:hAnsi="Arial" w:cs="Arial"/>
          <w:sz w:val="20"/>
          <w:szCs w:val="20"/>
        </w:rPr>
        <w:t>imi</w:t>
      </w:r>
      <w:r w:rsidR="00553083" w:rsidRPr="00F82C5F">
        <w:rPr>
          <w:rFonts w:ascii="Arial" w:hAnsi="Arial" w:cs="Arial"/>
          <w:sz w:val="20"/>
          <w:szCs w:val="20"/>
        </w:rPr>
        <w:t xml:space="preserve"> oznak</w:t>
      </w:r>
      <w:r w:rsidR="005C7592" w:rsidRPr="00F82C5F">
        <w:rPr>
          <w:rFonts w:ascii="Arial" w:hAnsi="Arial" w:cs="Arial"/>
          <w:sz w:val="20"/>
          <w:szCs w:val="20"/>
        </w:rPr>
        <w:t>ami</w:t>
      </w:r>
      <w:r w:rsidR="00553083" w:rsidRPr="00F82C5F">
        <w:rPr>
          <w:rFonts w:ascii="Arial" w:hAnsi="Arial" w:cs="Arial"/>
          <w:sz w:val="20"/>
          <w:szCs w:val="20"/>
        </w:rPr>
        <w:t xml:space="preserve"> in indukcijsk</w:t>
      </w:r>
      <w:r w:rsidR="005C7592" w:rsidRPr="00F82C5F">
        <w:rPr>
          <w:rFonts w:ascii="Arial" w:hAnsi="Arial" w:cs="Arial"/>
          <w:sz w:val="20"/>
          <w:szCs w:val="20"/>
        </w:rPr>
        <w:t>imi</w:t>
      </w:r>
      <w:r w:rsidR="00553083" w:rsidRPr="00F82C5F">
        <w:rPr>
          <w:rFonts w:ascii="Arial" w:hAnsi="Arial" w:cs="Arial"/>
          <w:sz w:val="20"/>
          <w:szCs w:val="20"/>
        </w:rPr>
        <w:t xml:space="preserve"> zank</w:t>
      </w:r>
      <w:r w:rsidR="005C7592" w:rsidRPr="00F82C5F">
        <w:rPr>
          <w:rFonts w:ascii="Arial" w:hAnsi="Arial" w:cs="Arial"/>
          <w:sz w:val="20"/>
          <w:szCs w:val="20"/>
        </w:rPr>
        <w:t>ami</w:t>
      </w:r>
      <w:r w:rsidR="00553083" w:rsidRPr="00F82C5F">
        <w:rPr>
          <w:rFonts w:ascii="Arial" w:hAnsi="Arial" w:cs="Arial"/>
          <w:sz w:val="20"/>
          <w:szCs w:val="20"/>
        </w:rPr>
        <w:t>. Neposredni poziv ministrstva za predložitev programa dela vključuje tudi prilagoditev vsaj ene od razstav gibalno in senzorno oviranim</w:t>
      </w:r>
      <w:r w:rsidR="007B3F39" w:rsidRPr="00F82C5F">
        <w:rPr>
          <w:rFonts w:ascii="Arial" w:hAnsi="Arial" w:cs="Arial"/>
          <w:sz w:val="20"/>
          <w:szCs w:val="20"/>
        </w:rPr>
        <w:t xml:space="preserve"> obiskovalcem ter</w:t>
      </w:r>
      <w:r w:rsidR="00553083" w:rsidRPr="00F82C5F">
        <w:rPr>
          <w:rFonts w:ascii="Arial" w:hAnsi="Arial" w:cs="Arial"/>
          <w:sz w:val="20"/>
          <w:szCs w:val="20"/>
        </w:rPr>
        <w:t xml:space="preserve"> </w:t>
      </w:r>
      <w:r w:rsidR="00872DFE" w:rsidRPr="00F82C5F">
        <w:rPr>
          <w:rFonts w:ascii="Arial" w:hAnsi="Arial" w:cs="Arial"/>
          <w:sz w:val="20"/>
          <w:szCs w:val="20"/>
        </w:rPr>
        <w:t>obiskovalcem</w:t>
      </w:r>
      <w:r w:rsidR="00553083" w:rsidRPr="00F82C5F">
        <w:rPr>
          <w:rFonts w:ascii="Arial" w:hAnsi="Arial" w:cs="Arial"/>
          <w:sz w:val="20"/>
          <w:szCs w:val="20"/>
        </w:rPr>
        <w:t xml:space="preserve"> s posebnimi potrebami. </w:t>
      </w:r>
      <w:r w:rsidR="00560547" w:rsidRPr="00F82C5F">
        <w:rPr>
          <w:rFonts w:ascii="Arial" w:hAnsi="Arial" w:cs="Arial"/>
          <w:sz w:val="20"/>
          <w:szCs w:val="20"/>
        </w:rPr>
        <w:t xml:space="preserve">Z usmerjeno spodbudo je ministrstvo uspelo uveljaviti pozornost za potrebe ranljivih skupin. S staranjem prebivalstva in usmerjenostjo k vsem ciljnim skupinam se tudi ob prenovi objektov fizična dostopnost ranljivim skupinam izkazuje kot standard. </w:t>
      </w:r>
      <w:r w:rsidR="00926918">
        <w:rPr>
          <w:rFonts w:ascii="Arial" w:hAnsi="Arial" w:cs="Arial"/>
          <w:sz w:val="20"/>
          <w:szCs w:val="20"/>
        </w:rPr>
        <w:t>Objave predmetov, p</w:t>
      </w:r>
      <w:r w:rsidR="00833BD0" w:rsidRPr="00F82C5F">
        <w:rPr>
          <w:rFonts w:ascii="Arial" w:hAnsi="Arial" w:cs="Arial"/>
          <w:sz w:val="20"/>
          <w:szCs w:val="20"/>
        </w:rPr>
        <w:t>rilagojen</w:t>
      </w:r>
      <w:r w:rsidR="00926918">
        <w:rPr>
          <w:rFonts w:ascii="Arial" w:hAnsi="Arial" w:cs="Arial"/>
          <w:sz w:val="20"/>
          <w:szCs w:val="20"/>
        </w:rPr>
        <w:t>e</w:t>
      </w:r>
      <w:r w:rsidR="00833BD0" w:rsidRPr="00F82C5F">
        <w:rPr>
          <w:rFonts w:ascii="Arial" w:hAnsi="Arial" w:cs="Arial"/>
          <w:sz w:val="20"/>
          <w:szCs w:val="20"/>
        </w:rPr>
        <w:t xml:space="preserve"> senzorno oviran</w:t>
      </w:r>
      <w:r w:rsidR="00926918">
        <w:rPr>
          <w:rFonts w:ascii="Arial" w:hAnsi="Arial" w:cs="Arial"/>
          <w:sz w:val="20"/>
          <w:szCs w:val="20"/>
        </w:rPr>
        <w:t>im</w:t>
      </w:r>
      <w:r w:rsidR="00833BD0" w:rsidRPr="00F82C5F">
        <w:rPr>
          <w:rFonts w:ascii="Arial" w:hAnsi="Arial" w:cs="Arial"/>
          <w:sz w:val="20"/>
          <w:szCs w:val="20"/>
        </w:rPr>
        <w:t xml:space="preserve"> oseb</w:t>
      </w:r>
      <w:r w:rsidR="00926918">
        <w:rPr>
          <w:rFonts w:ascii="Arial" w:hAnsi="Arial" w:cs="Arial"/>
          <w:sz w:val="20"/>
          <w:szCs w:val="20"/>
        </w:rPr>
        <w:t>am</w:t>
      </w:r>
      <w:r w:rsidR="00833BD0" w:rsidRPr="00F82C5F">
        <w:rPr>
          <w:rFonts w:ascii="Arial" w:hAnsi="Arial" w:cs="Arial"/>
          <w:sz w:val="20"/>
          <w:szCs w:val="20"/>
        </w:rPr>
        <w:t xml:space="preserve"> na svojih spletnih straneh </w:t>
      </w:r>
      <w:r w:rsidR="00926918">
        <w:rPr>
          <w:rFonts w:ascii="Arial" w:hAnsi="Arial" w:cs="Arial"/>
          <w:sz w:val="20"/>
          <w:szCs w:val="20"/>
        </w:rPr>
        <w:t xml:space="preserve">omogoča 5 muzejev. </w:t>
      </w:r>
    </w:p>
    <w:p w:rsidR="00926918" w:rsidRDefault="00926918" w:rsidP="00F82C5F">
      <w:pPr>
        <w:jc w:val="both"/>
        <w:rPr>
          <w:rFonts w:ascii="Arial" w:hAnsi="Arial" w:cs="Arial"/>
          <w:sz w:val="20"/>
          <w:szCs w:val="20"/>
        </w:rPr>
      </w:pPr>
    </w:p>
    <w:p w:rsidR="00C6246F" w:rsidRPr="00F82C5F" w:rsidRDefault="00C6246F" w:rsidP="00F82C5F">
      <w:pPr>
        <w:jc w:val="both"/>
        <w:rPr>
          <w:rFonts w:ascii="Arial" w:hAnsi="Arial" w:cs="Arial"/>
          <w:b/>
          <w:sz w:val="20"/>
          <w:szCs w:val="20"/>
        </w:rPr>
      </w:pPr>
      <w:r w:rsidRPr="00F82C5F">
        <w:rPr>
          <w:rFonts w:ascii="Arial" w:hAnsi="Arial" w:cs="Arial"/>
          <w:b/>
          <w:sz w:val="20"/>
          <w:szCs w:val="20"/>
        </w:rPr>
        <w:lastRenderedPageBreak/>
        <w:t>Število obiskovalcev</w:t>
      </w:r>
    </w:p>
    <w:p w:rsidR="004172D3" w:rsidRPr="00F82C5F" w:rsidRDefault="004172D3" w:rsidP="00F82C5F">
      <w:pPr>
        <w:jc w:val="both"/>
        <w:rPr>
          <w:rFonts w:ascii="Arial" w:hAnsi="Arial" w:cs="Arial"/>
          <w:b/>
          <w:sz w:val="20"/>
          <w:szCs w:val="20"/>
        </w:rPr>
      </w:pPr>
    </w:p>
    <w:p w:rsidR="00F82C5F" w:rsidRPr="00F82C5F" w:rsidRDefault="00F82C5F" w:rsidP="00F82C5F">
      <w:pPr>
        <w:jc w:val="both"/>
        <w:rPr>
          <w:rFonts w:ascii="Arial" w:hAnsi="Arial" w:cs="Arial"/>
          <w:sz w:val="20"/>
          <w:szCs w:val="20"/>
          <w:lang w:eastAsia="sl-SI"/>
        </w:rPr>
      </w:pPr>
      <w:r w:rsidRPr="00F82C5F">
        <w:rPr>
          <w:rFonts w:ascii="Arial" w:hAnsi="Arial" w:cs="Arial"/>
          <w:sz w:val="20"/>
          <w:szCs w:val="20"/>
          <w:lang w:eastAsia="sl-SI"/>
        </w:rPr>
        <w:t xml:space="preserve">V letu 2019 se nadaljuje trend obiska iz leta 2018 Ponovno je opazen rahel porast obiska otrok in mladine ter obiskovalcev iz tujine, kjer beležijo 25% porast, kar je nedvomno rezultat povečanih aktivnosti na področju turizma. </w:t>
      </w:r>
    </w:p>
    <w:p w:rsidR="00F82C5F" w:rsidRPr="00F82C5F" w:rsidRDefault="00F82C5F" w:rsidP="00F82C5F">
      <w:pPr>
        <w:jc w:val="both"/>
        <w:rPr>
          <w:rFonts w:ascii="Arial" w:hAnsi="Arial" w:cs="Arial"/>
          <w:sz w:val="20"/>
          <w:szCs w:val="20"/>
        </w:rPr>
      </w:pPr>
    </w:p>
    <w:p w:rsidR="000972A2" w:rsidRPr="00F82C5F" w:rsidRDefault="00C6246F" w:rsidP="00F82C5F">
      <w:pPr>
        <w:jc w:val="both"/>
        <w:rPr>
          <w:rFonts w:ascii="Arial" w:hAnsi="Arial" w:cs="Arial"/>
          <w:sz w:val="20"/>
          <w:szCs w:val="20"/>
        </w:rPr>
      </w:pPr>
      <w:r w:rsidRPr="00F82C5F">
        <w:rPr>
          <w:rFonts w:ascii="Arial" w:hAnsi="Arial" w:cs="Arial"/>
          <w:sz w:val="20"/>
          <w:szCs w:val="20"/>
        </w:rPr>
        <w:t xml:space="preserve">Podatek </w:t>
      </w:r>
      <w:r w:rsidR="00892659" w:rsidRPr="00F82C5F">
        <w:rPr>
          <w:rFonts w:ascii="Arial" w:hAnsi="Arial" w:cs="Arial"/>
          <w:sz w:val="20"/>
          <w:szCs w:val="20"/>
        </w:rPr>
        <w:t>o številu vseh obiskovalcev j</w:t>
      </w:r>
      <w:r w:rsidRPr="00F82C5F">
        <w:rPr>
          <w:rFonts w:ascii="Arial" w:hAnsi="Arial" w:cs="Arial"/>
          <w:sz w:val="20"/>
          <w:szCs w:val="20"/>
        </w:rPr>
        <w:t xml:space="preserve">e pridobljen na podlagi števila izdanih vstopnic in ocene obiska ob otvoritvah in dneh </w:t>
      </w:r>
      <w:r w:rsidR="006D1EBC" w:rsidRPr="00F82C5F">
        <w:rPr>
          <w:rFonts w:ascii="Arial" w:hAnsi="Arial" w:cs="Arial"/>
          <w:sz w:val="20"/>
          <w:szCs w:val="20"/>
        </w:rPr>
        <w:t>prostega vstopa</w:t>
      </w:r>
      <w:r w:rsidR="00926918">
        <w:rPr>
          <w:rFonts w:ascii="Arial" w:hAnsi="Arial" w:cs="Arial"/>
          <w:sz w:val="20"/>
          <w:szCs w:val="20"/>
        </w:rPr>
        <w:t>.</w:t>
      </w:r>
      <w:r w:rsidRPr="00F82C5F">
        <w:rPr>
          <w:rFonts w:ascii="Arial" w:hAnsi="Arial" w:cs="Arial"/>
          <w:sz w:val="20"/>
          <w:szCs w:val="20"/>
        </w:rPr>
        <w:t xml:space="preserve"> </w:t>
      </w:r>
      <w:r w:rsidR="000A324F" w:rsidRPr="00F82C5F">
        <w:rPr>
          <w:rFonts w:ascii="Arial" w:hAnsi="Arial" w:cs="Arial"/>
          <w:sz w:val="20"/>
          <w:szCs w:val="20"/>
        </w:rPr>
        <w:t>P</w:t>
      </w:r>
      <w:r w:rsidR="00B6239D" w:rsidRPr="00F82C5F">
        <w:rPr>
          <w:rFonts w:ascii="Arial" w:hAnsi="Arial" w:cs="Arial"/>
          <w:sz w:val="20"/>
          <w:szCs w:val="20"/>
        </w:rPr>
        <w:t>opularizacij</w:t>
      </w:r>
      <w:r w:rsidR="000A324F" w:rsidRPr="00F82C5F">
        <w:rPr>
          <w:rFonts w:ascii="Arial" w:hAnsi="Arial" w:cs="Arial"/>
          <w:sz w:val="20"/>
          <w:szCs w:val="20"/>
        </w:rPr>
        <w:t>a</w:t>
      </w:r>
      <w:r w:rsidR="00B6239D" w:rsidRPr="00F82C5F">
        <w:rPr>
          <w:rFonts w:ascii="Arial" w:hAnsi="Arial" w:cs="Arial"/>
          <w:sz w:val="20"/>
          <w:szCs w:val="20"/>
        </w:rPr>
        <w:t xml:space="preserve"> programov </w:t>
      </w:r>
      <w:r w:rsidR="00180624" w:rsidRPr="00F82C5F">
        <w:rPr>
          <w:rFonts w:ascii="Arial" w:hAnsi="Arial" w:cs="Arial"/>
          <w:sz w:val="20"/>
          <w:szCs w:val="20"/>
        </w:rPr>
        <w:t xml:space="preserve">ob izbranih dneh, ko je vstop prost, privabi številno publiko, ki se vrača ob manj obiskanih terminih, ki omogočajo bolj umirjen ogled razstav. Dnevi prostega vstopa so: 8. februar, 18. maj – mednarodni dan muzejev, Poletna muzejska noč na izbrano soboto v drugi polovici junija, in 3. december – Ta veseli dan kulture, poleg tega pa vsak muzej določi tudi prost vstop eno nedeljo v mesecu. </w:t>
      </w:r>
      <w:r w:rsidR="006D1EBC" w:rsidRPr="00F82C5F">
        <w:rPr>
          <w:rFonts w:ascii="Arial" w:hAnsi="Arial" w:cs="Arial"/>
          <w:sz w:val="20"/>
          <w:szCs w:val="20"/>
        </w:rPr>
        <w:t xml:space="preserve">S povečevanjem števila različnih dogodkov in vključevanjem v prireditve lokalnih skupnosti se viša tudi ocenjen obisk. </w:t>
      </w:r>
      <w:r w:rsidR="00180624" w:rsidRPr="00F82C5F">
        <w:rPr>
          <w:rFonts w:ascii="Arial" w:hAnsi="Arial" w:cs="Arial"/>
          <w:sz w:val="20"/>
          <w:szCs w:val="20"/>
        </w:rPr>
        <w:t xml:space="preserve">Največjega obiska </w:t>
      </w:r>
      <w:r w:rsidR="006D1EBC" w:rsidRPr="00F82C5F">
        <w:rPr>
          <w:rFonts w:ascii="Arial" w:hAnsi="Arial" w:cs="Arial"/>
          <w:sz w:val="20"/>
          <w:szCs w:val="20"/>
        </w:rPr>
        <w:t xml:space="preserve">so muzeji </w:t>
      </w:r>
      <w:r w:rsidR="00180624" w:rsidRPr="00F82C5F">
        <w:rPr>
          <w:rFonts w:ascii="Arial" w:hAnsi="Arial" w:cs="Arial"/>
          <w:sz w:val="20"/>
          <w:szCs w:val="20"/>
        </w:rPr>
        <w:t xml:space="preserve">deležni ob Slovenskem kulturnem prazniku in na Poletno muzejsko noč ter ob posameznih otvoritvah odmevnih in promoviranih razstav. </w:t>
      </w:r>
      <w:r w:rsidR="007B3F39" w:rsidRPr="00F82C5F">
        <w:rPr>
          <w:rFonts w:ascii="Arial" w:hAnsi="Arial" w:cs="Arial"/>
          <w:sz w:val="20"/>
          <w:szCs w:val="20"/>
        </w:rPr>
        <w:t xml:space="preserve">Povprečna cena vstopnice </w:t>
      </w:r>
      <w:r w:rsidR="00974576">
        <w:rPr>
          <w:rFonts w:ascii="Arial" w:hAnsi="Arial" w:cs="Arial"/>
          <w:sz w:val="20"/>
          <w:szCs w:val="20"/>
        </w:rPr>
        <w:t xml:space="preserve">znaša 2,7 EUR in </w:t>
      </w:r>
      <w:r w:rsidR="00180624" w:rsidRPr="00F82C5F">
        <w:rPr>
          <w:rFonts w:ascii="Arial" w:hAnsi="Arial" w:cs="Arial"/>
          <w:sz w:val="20"/>
          <w:szCs w:val="20"/>
        </w:rPr>
        <w:t xml:space="preserve">se </w:t>
      </w:r>
      <w:r w:rsidR="00974576">
        <w:rPr>
          <w:rFonts w:ascii="Arial" w:hAnsi="Arial" w:cs="Arial"/>
          <w:sz w:val="20"/>
          <w:szCs w:val="20"/>
        </w:rPr>
        <w:t xml:space="preserve">glede na posamezni muzej </w:t>
      </w:r>
      <w:r w:rsidR="00180624" w:rsidRPr="00F82C5F">
        <w:rPr>
          <w:rFonts w:ascii="Arial" w:hAnsi="Arial" w:cs="Arial"/>
          <w:sz w:val="20"/>
          <w:szCs w:val="20"/>
        </w:rPr>
        <w:t xml:space="preserve">giblje od </w:t>
      </w:r>
      <w:r w:rsidR="000A324F" w:rsidRPr="00F82C5F">
        <w:rPr>
          <w:rFonts w:ascii="Arial" w:hAnsi="Arial" w:cs="Arial"/>
          <w:sz w:val="20"/>
          <w:szCs w:val="20"/>
        </w:rPr>
        <w:t>1</w:t>
      </w:r>
      <w:r w:rsidR="00180624" w:rsidRPr="00F82C5F">
        <w:rPr>
          <w:rFonts w:ascii="Arial" w:hAnsi="Arial" w:cs="Arial"/>
          <w:sz w:val="20"/>
          <w:szCs w:val="20"/>
        </w:rPr>
        <w:t xml:space="preserve"> do </w:t>
      </w:r>
      <w:r w:rsidR="000A324F" w:rsidRPr="00F82C5F">
        <w:rPr>
          <w:rFonts w:ascii="Arial" w:hAnsi="Arial" w:cs="Arial"/>
          <w:sz w:val="20"/>
          <w:szCs w:val="20"/>
        </w:rPr>
        <w:t>5</w:t>
      </w:r>
      <w:r w:rsidR="00193506">
        <w:rPr>
          <w:rFonts w:ascii="Arial" w:hAnsi="Arial" w:cs="Arial"/>
          <w:sz w:val="20"/>
          <w:szCs w:val="20"/>
        </w:rPr>
        <w:t>,5</w:t>
      </w:r>
      <w:r w:rsidR="00180624" w:rsidRPr="00F82C5F">
        <w:rPr>
          <w:rFonts w:ascii="Arial" w:hAnsi="Arial" w:cs="Arial"/>
          <w:sz w:val="20"/>
          <w:szCs w:val="20"/>
        </w:rPr>
        <w:t xml:space="preserve"> EUR</w:t>
      </w:r>
      <w:r w:rsidR="007B3F39" w:rsidRPr="00F82C5F">
        <w:rPr>
          <w:rFonts w:ascii="Arial" w:hAnsi="Arial" w:cs="Arial"/>
          <w:sz w:val="20"/>
          <w:szCs w:val="20"/>
        </w:rPr>
        <w:t>.</w:t>
      </w:r>
      <w:r w:rsidR="000972A2" w:rsidRPr="00F82C5F">
        <w:rPr>
          <w:rFonts w:ascii="Arial" w:hAnsi="Arial" w:cs="Arial"/>
          <w:sz w:val="20"/>
          <w:szCs w:val="20"/>
        </w:rPr>
        <w:t xml:space="preserve"> </w:t>
      </w:r>
    </w:p>
    <w:p w:rsidR="000972A2" w:rsidRPr="00F82C5F" w:rsidRDefault="000972A2" w:rsidP="00F82C5F">
      <w:pPr>
        <w:jc w:val="both"/>
        <w:rPr>
          <w:rFonts w:ascii="Arial" w:hAnsi="Arial" w:cs="Arial"/>
          <w:sz w:val="20"/>
          <w:szCs w:val="20"/>
        </w:rPr>
      </w:pPr>
    </w:p>
    <w:p w:rsidR="00F6386C" w:rsidRPr="00F82C5F" w:rsidRDefault="00F6386C" w:rsidP="00F82C5F">
      <w:pPr>
        <w:jc w:val="both"/>
        <w:rPr>
          <w:rFonts w:ascii="Arial" w:hAnsi="Arial" w:cs="Arial"/>
          <w:sz w:val="20"/>
          <w:szCs w:val="20"/>
        </w:rPr>
      </w:pPr>
    </w:p>
    <w:p w:rsidR="00F6386C" w:rsidRPr="00F82C5F" w:rsidRDefault="00D9672B" w:rsidP="00F82C5F">
      <w:pPr>
        <w:jc w:val="both"/>
        <w:rPr>
          <w:rFonts w:ascii="Arial" w:hAnsi="Arial" w:cs="Arial"/>
          <w:sz w:val="20"/>
          <w:szCs w:val="20"/>
        </w:rPr>
      </w:pPr>
      <w:r w:rsidRPr="00F82C5F">
        <w:rPr>
          <w:rFonts w:ascii="Arial" w:hAnsi="Arial" w:cs="Arial"/>
          <w:noProof/>
          <w:sz w:val="20"/>
          <w:szCs w:val="20"/>
          <w:lang w:eastAsia="sl-SI"/>
        </w:rPr>
        <w:drawing>
          <wp:inline distT="0" distB="0" distL="0" distR="0">
            <wp:extent cx="5943600" cy="2718435"/>
            <wp:effectExtent l="0" t="0" r="0" b="5715"/>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6386C" w:rsidRPr="00F82C5F" w:rsidRDefault="00F6386C" w:rsidP="00F82C5F">
      <w:pPr>
        <w:jc w:val="both"/>
        <w:rPr>
          <w:rFonts w:ascii="Arial" w:hAnsi="Arial" w:cs="Arial"/>
          <w:sz w:val="20"/>
          <w:szCs w:val="20"/>
        </w:rPr>
      </w:pPr>
    </w:p>
    <w:p w:rsidR="005B357A" w:rsidRDefault="005B357A" w:rsidP="00F82C5F">
      <w:pPr>
        <w:jc w:val="both"/>
        <w:rPr>
          <w:rFonts w:ascii="Arial" w:hAnsi="Arial" w:cs="Arial"/>
          <w:sz w:val="20"/>
          <w:szCs w:val="20"/>
        </w:rPr>
      </w:pPr>
    </w:p>
    <w:p w:rsidR="00E23520" w:rsidRDefault="00E23520" w:rsidP="00F82C5F">
      <w:pPr>
        <w:jc w:val="both"/>
        <w:rPr>
          <w:rFonts w:ascii="Arial" w:hAnsi="Arial" w:cs="Arial"/>
          <w:sz w:val="20"/>
          <w:szCs w:val="20"/>
        </w:rPr>
      </w:pPr>
    </w:p>
    <w:p w:rsidR="00E23520" w:rsidRDefault="00E23520" w:rsidP="00F82C5F">
      <w:pPr>
        <w:jc w:val="both"/>
        <w:rPr>
          <w:rFonts w:ascii="Arial" w:hAnsi="Arial" w:cs="Arial"/>
          <w:sz w:val="20"/>
          <w:szCs w:val="20"/>
        </w:rPr>
      </w:pPr>
    </w:p>
    <w:p w:rsidR="00E23520" w:rsidRDefault="00E23520" w:rsidP="00F82C5F">
      <w:pPr>
        <w:jc w:val="both"/>
        <w:rPr>
          <w:rFonts w:ascii="Arial" w:hAnsi="Arial" w:cs="Arial"/>
          <w:sz w:val="20"/>
          <w:szCs w:val="20"/>
        </w:rPr>
      </w:pPr>
    </w:p>
    <w:p w:rsidR="005B357A" w:rsidRPr="00F82C5F" w:rsidRDefault="00B530FB" w:rsidP="00F82C5F">
      <w:pPr>
        <w:jc w:val="both"/>
        <w:rPr>
          <w:rFonts w:ascii="Arial" w:hAnsi="Arial" w:cs="Arial"/>
          <w:sz w:val="20"/>
          <w:szCs w:val="20"/>
        </w:rPr>
      </w:pPr>
      <w:r>
        <w:rPr>
          <w:rFonts w:ascii="Arial" w:hAnsi="Arial" w:cs="Arial"/>
          <w:noProof/>
          <w:sz w:val="20"/>
          <w:szCs w:val="20"/>
        </w:rPr>
        <w:lastRenderedPageBreak/>
        <w:drawing>
          <wp:inline distT="0" distB="0" distL="0" distR="0">
            <wp:extent cx="5486400" cy="3200400"/>
            <wp:effectExtent l="0" t="0" r="0" b="0"/>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662F6" w:rsidRDefault="009662F6" w:rsidP="00F82C5F">
      <w:pPr>
        <w:jc w:val="both"/>
        <w:rPr>
          <w:rFonts w:ascii="Arial" w:hAnsi="Arial" w:cs="Arial"/>
          <w:sz w:val="20"/>
          <w:szCs w:val="20"/>
        </w:rPr>
      </w:pPr>
    </w:p>
    <w:p w:rsidR="00974576" w:rsidRDefault="00974576" w:rsidP="00F82C5F">
      <w:pPr>
        <w:jc w:val="both"/>
        <w:rPr>
          <w:rFonts w:ascii="Arial" w:hAnsi="Arial" w:cs="Arial"/>
          <w:sz w:val="20"/>
          <w:szCs w:val="20"/>
        </w:rPr>
      </w:pPr>
      <w:r>
        <w:rPr>
          <w:rFonts w:ascii="Arial" w:hAnsi="Arial" w:cs="Arial"/>
          <w:sz w:val="20"/>
          <w:szCs w:val="20"/>
        </w:rPr>
        <w:t xml:space="preserve">Štetje obiskovalcev med muzeji ni povsem poenoteno. V celoten obisk je zajeto število izdanih vstopnic in ocenjen obisk. Muzeji n.pr. različno beležijo obisk skupin. Nekateri štejejo le izdano skupinsko vstopnico, nekateri število v celotni skupini. V posameznem muzeju se način beleženja v navedenem časovnem intervalu tudi spremeni. Med krivuljami je najbolj konstantna tista, ki prikazuje plačan vstop in v petletnem obdobju izkazuje konstanten priliv z rahlim dvigom. </w:t>
      </w:r>
      <w:r w:rsidR="00BF115D">
        <w:rPr>
          <w:rFonts w:ascii="Arial" w:hAnsi="Arial" w:cs="Arial"/>
          <w:sz w:val="20"/>
          <w:szCs w:val="20"/>
        </w:rPr>
        <w:t xml:space="preserve">V letu 2016 so skoraj vsi muzeji pričeli izdajati vstopnice tudi za brezplačen vstop. Vstop ob dnevih odprtih vrat in otvoritvah, ko obiskovalcem ni izdana vstopnica, je ocenjen in ni odraz povsem točnega števila obiskovalcev. Celoten obisk poleg navedenih parametrov vključuje tudi ločen obisk pedagoških, andragoških in drugih programov, ki so lahko plačani, ali brezplačni in za katere se izdaja skupinska ali pa individualna vstopnica. </w:t>
      </w:r>
    </w:p>
    <w:p w:rsidR="00BF115D" w:rsidRDefault="00BF115D" w:rsidP="00F82C5F">
      <w:pPr>
        <w:jc w:val="both"/>
        <w:rPr>
          <w:rFonts w:ascii="Arial" w:hAnsi="Arial" w:cs="Arial"/>
          <w:sz w:val="20"/>
          <w:szCs w:val="20"/>
        </w:rPr>
      </w:pPr>
    </w:p>
    <w:p w:rsidR="00BF115D" w:rsidRDefault="00BF115D" w:rsidP="00F82C5F">
      <w:pPr>
        <w:jc w:val="both"/>
        <w:rPr>
          <w:rFonts w:ascii="Arial" w:hAnsi="Arial" w:cs="Arial"/>
          <w:sz w:val="20"/>
          <w:szCs w:val="20"/>
        </w:rPr>
      </w:pPr>
      <w:r>
        <w:rPr>
          <w:rFonts w:ascii="Arial" w:hAnsi="Arial" w:cs="Arial"/>
          <w:noProof/>
          <w:sz w:val="20"/>
          <w:szCs w:val="20"/>
        </w:rPr>
        <w:drawing>
          <wp:inline distT="0" distB="0" distL="0" distR="0">
            <wp:extent cx="5486400" cy="3200400"/>
            <wp:effectExtent l="0" t="0" r="0" b="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4576" w:rsidRDefault="00974576" w:rsidP="00F82C5F">
      <w:pPr>
        <w:jc w:val="both"/>
        <w:rPr>
          <w:rFonts w:ascii="Arial" w:hAnsi="Arial" w:cs="Arial"/>
          <w:sz w:val="20"/>
          <w:szCs w:val="20"/>
        </w:rPr>
      </w:pPr>
    </w:p>
    <w:p w:rsidR="00974576" w:rsidRDefault="00FD519A" w:rsidP="00F82C5F">
      <w:pPr>
        <w:jc w:val="both"/>
        <w:rPr>
          <w:rFonts w:ascii="Arial" w:hAnsi="Arial" w:cs="Arial"/>
          <w:sz w:val="20"/>
          <w:szCs w:val="20"/>
        </w:rPr>
      </w:pPr>
      <w:r>
        <w:rPr>
          <w:rFonts w:ascii="Arial" w:hAnsi="Arial" w:cs="Arial"/>
          <w:sz w:val="20"/>
          <w:szCs w:val="20"/>
        </w:rPr>
        <w:lastRenderedPageBreak/>
        <w:t>Izbrane kategorije števila obiskovalcev določene ciljne publike ali programov izkazujejo trende obiska. V zadnjem triletnem obdobju je močno povečan obisk šolajočih se otrok in mladine</w:t>
      </w:r>
      <w:r w:rsidR="00515589">
        <w:rPr>
          <w:rFonts w:ascii="Arial" w:hAnsi="Arial" w:cs="Arial"/>
          <w:sz w:val="20"/>
          <w:szCs w:val="20"/>
        </w:rPr>
        <w:t>.</w:t>
      </w:r>
      <w:r>
        <w:rPr>
          <w:rFonts w:ascii="Arial" w:hAnsi="Arial" w:cs="Arial"/>
          <w:sz w:val="20"/>
          <w:szCs w:val="20"/>
        </w:rPr>
        <w:t xml:space="preserve"> Določeni inovativni programi, interaktivni prikazi in </w:t>
      </w:r>
      <w:proofErr w:type="spellStart"/>
      <w:r>
        <w:rPr>
          <w:rFonts w:ascii="Arial" w:hAnsi="Arial" w:cs="Arial"/>
          <w:sz w:val="20"/>
          <w:szCs w:val="20"/>
        </w:rPr>
        <w:t>popularizacijski</w:t>
      </w:r>
      <w:proofErr w:type="spellEnd"/>
      <w:r>
        <w:rPr>
          <w:rFonts w:ascii="Arial" w:hAnsi="Arial" w:cs="Arial"/>
          <w:sz w:val="20"/>
          <w:szCs w:val="20"/>
        </w:rPr>
        <w:t xml:space="preserve"> prijemi učinkujejo </w:t>
      </w:r>
      <w:r w:rsidR="00515589">
        <w:rPr>
          <w:rFonts w:ascii="Arial" w:hAnsi="Arial" w:cs="Arial"/>
          <w:sz w:val="20"/>
          <w:szCs w:val="20"/>
        </w:rPr>
        <w:t xml:space="preserve">na obisk razstav in predvsem pedagoških programov. Trend je zelo spodbuden tudi v širšem družbenem kontekstu. Mladi so najpomembnejša ciljna skupina v muzejih zaradi prizadevanj za ohranjanje dediščine, razvijanja zavesti in širjenja znanja. </w:t>
      </w:r>
      <w:r>
        <w:rPr>
          <w:rFonts w:ascii="Arial" w:hAnsi="Arial" w:cs="Arial"/>
          <w:sz w:val="20"/>
          <w:szCs w:val="20"/>
        </w:rPr>
        <w:t>Večji preskok je v letu 2019 izkazan pri obisku tujcev</w:t>
      </w:r>
      <w:r w:rsidR="00515589">
        <w:rPr>
          <w:rFonts w:ascii="Arial" w:hAnsi="Arial" w:cs="Arial"/>
          <w:sz w:val="20"/>
          <w:szCs w:val="20"/>
        </w:rPr>
        <w:t xml:space="preserve">. Po izraziti aktivnosti STO za vključevanje kulture v turistično ponudbo je s povezovanjem kulture in turizma ter nekaj učinkovitimi </w:t>
      </w:r>
      <w:proofErr w:type="spellStart"/>
      <w:r w:rsidR="00515589">
        <w:rPr>
          <w:rFonts w:ascii="Arial" w:hAnsi="Arial" w:cs="Arial"/>
          <w:sz w:val="20"/>
          <w:szCs w:val="20"/>
        </w:rPr>
        <w:t>popularizacijskimi</w:t>
      </w:r>
      <w:proofErr w:type="spellEnd"/>
      <w:r w:rsidR="00515589">
        <w:rPr>
          <w:rFonts w:ascii="Arial" w:hAnsi="Arial" w:cs="Arial"/>
          <w:sz w:val="20"/>
          <w:szCs w:val="20"/>
        </w:rPr>
        <w:t xml:space="preserve"> prijemi muzejem in turizmu uspelo vzbuditi pri tujcih večje zanimanje za ogled zbirk. </w:t>
      </w:r>
    </w:p>
    <w:p w:rsidR="00FD519A" w:rsidRDefault="00FD519A" w:rsidP="00F82C5F">
      <w:pPr>
        <w:jc w:val="both"/>
        <w:rPr>
          <w:rFonts w:ascii="Arial" w:hAnsi="Arial" w:cs="Arial"/>
          <w:sz w:val="20"/>
          <w:szCs w:val="20"/>
        </w:rPr>
      </w:pPr>
    </w:p>
    <w:p w:rsidR="003454B5" w:rsidRDefault="005B7CCA" w:rsidP="00F82C5F">
      <w:pPr>
        <w:jc w:val="both"/>
        <w:rPr>
          <w:rFonts w:ascii="Arial" w:hAnsi="Arial" w:cs="Arial"/>
          <w:sz w:val="20"/>
          <w:szCs w:val="20"/>
        </w:rPr>
      </w:pPr>
      <w:r>
        <w:rPr>
          <w:rFonts w:ascii="Arial" w:hAnsi="Arial" w:cs="Arial"/>
          <w:sz w:val="20"/>
          <w:szCs w:val="20"/>
        </w:rPr>
        <w:t xml:space="preserve">»Magično mejo« 100 tisoč obiskovalcev presegata MGML in Gornjesavski muzej Jesenice. Najvišji plačan vstop, skoraj 50.000 prodanih vstopnic, beleži MGML, sledijo mu Mestni muzej Idrija, Pokrajinski muzej Ptuj – Ormož, Muzeji radovljiške občine in Galerija-muzej Lendava. V navedenih muzejih je tudi najvišji obisk tujcev. Največji obisk pedagoških programov imajo v Muzeju novejše zgodovine Celje, sledijo mu MGML, Mestni muzej Idrija in Pokrajinski muzej Celje. </w:t>
      </w:r>
    </w:p>
    <w:p w:rsidR="005B7CCA" w:rsidRPr="00F82C5F" w:rsidRDefault="005B7CCA" w:rsidP="00F82C5F">
      <w:pPr>
        <w:jc w:val="both"/>
        <w:rPr>
          <w:rFonts w:ascii="Arial" w:hAnsi="Arial" w:cs="Arial"/>
          <w:sz w:val="20"/>
          <w:szCs w:val="20"/>
        </w:rPr>
      </w:pPr>
    </w:p>
    <w:p w:rsidR="0038083F" w:rsidRPr="00A30474" w:rsidRDefault="00A30474" w:rsidP="00F82C5F">
      <w:pPr>
        <w:jc w:val="both"/>
        <w:rPr>
          <w:rFonts w:ascii="Arial" w:hAnsi="Arial" w:cs="Arial"/>
          <w:bCs/>
          <w:sz w:val="20"/>
          <w:szCs w:val="20"/>
        </w:rPr>
      </w:pPr>
      <w:r>
        <w:rPr>
          <w:rFonts w:ascii="Arial" w:hAnsi="Arial" w:cs="Arial"/>
          <w:bCs/>
          <w:sz w:val="20"/>
          <w:szCs w:val="20"/>
        </w:rPr>
        <w:t xml:space="preserve">Najbolj obiskan je bil 33. grafični bienale v organizaciji MGLC z več kot 30.000 obiskovalci, 20.000 obiska beleži Pokrajinski muzej Ptuj-Ormož na razstavi o insignijah ptujskega mestnega sodnika, skoraj enako število si je v Galeriji-muzeju Lendava ogledalo razstavo </w:t>
      </w:r>
      <w:proofErr w:type="spellStart"/>
      <w:r w:rsidRPr="00A30474">
        <w:rPr>
          <w:rFonts w:ascii="Arial" w:hAnsi="Arial" w:cs="Arial"/>
          <w:bCs/>
          <w:sz w:val="20"/>
          <w:szCs w:val="20"/>
        </w:rPr>
        <w:t>Hundertwasser-Hasegawa</w:t>
      </w:r>
      <w:proofErr w:type="spellEnd"/>
      <w:r w:rsidR="00890787">
        <w:rPr>
          <w:rFonts w:ascii="Arial" w:hAnsi="Arial" w:cs="Arial"/>
          <w:bCs/>
          <w:sz w:val="20"/>
          <w:szCs w:val="20"/>
        </w:rPr>
        <w:t xml:space="preserve">, le malo manj obiskovalcev je privabila razstava ob 60. obletnici čebelarskega muzeja v Muzejih radovljiške občine, več kot 10.000 obiskovalcev pa beležijo še na razstavah: </w:t>
      </w:r>
      <w:r w:rsidR="00890787" w:rsidRPr="00890787">
        <w:rPr>
          <w:rFonts w:ascii="Arial" w:hAnsi="Arial" w:cs="Arial"/>
          <w:bCs/>
          <w:sz w:val="20"/>
          <w:szCs w:val="20"/>
        </w:rPr>
        <w:t>Muzejski donator Robert Šupe in izbor iz donacije Posavskemu muzeju Brežice</w:t>
      </w:r>
      <w:r w:rsidR="00890787">
        <w:rPr>
          <w:rFonts w:ascii="Arial" w:hAnsi="Arial" w:cs="Arial"/>
          <w:bCs/>
          <w:sz w:val="20"/>
          <w:szCs w:val="20"/>
        </w:rPr>
        <w:t xml:space="preserve">, Zemlja pleše (Muzej novejše zgodovine Celje), Korajža je ženskega spola (Gornjesavski muzej Jesenice, SPM), Ruske ikone (gostovanje v MGML), Antični bojevnik (Pokrajinski muzej Maribor) in Drago Tršar: Monument (Galerija Božidar </w:t>
      </w:r>
      <w:proofErr w:type="spellStart"/>
      <w:r w:rsidR="00890787">
        <w:rPr>
          <w:rFonts w:ascii="Arial" w:hAnsi="Arial" w:cs="Arial"/>
          <w:bCs/>
          <w:sz w:val="20"/>
          <w:szCs w:val="20"/>
        </w:rPr>
        <w:t>jakac</w:t>
      </w:r>
      <w:proofErr w:type="spellEnd"/>
      <w:r w:rsidR="00890787">
        <w:rPr>
          <w:rFonts w:ascii="Arial" w:hAnsi="Arial" w:cs="Arial"/>
          <w:bCs/>
          <w:sz w:val="20"/>
          <w:szCs w:val="20"/>
        </w:rPr>
        <w:t>).</w:t>
      </w:r>
    </w:p>
    <w:p w:rsidR="007A52D5" w:rsidRDefault="007A52D5" w:rsidP="00F82C5F">
      <w:pPr>
        <w:jc w:val="both"/>
        <w:rPr>
          <w:rFonts w:ascii="Arial" w:hAnsi="Arial" w:cs="Arial"/>
          <w:b/>
          <w:sz w:val="20"/>
          <w:szCs w:val="20"/>
        </w:rPr>
      </w:pPr>
    </w:p>
    <w:p w:rsidR="00B770BB" w:rsidRPr="00F82C5F" w:rsidRDefault="00B770BB" w:rsidP="00F82C5F">
      <w:pPr>
        <w:jc w:val="both"/>
        <w:rPr>
          <w:rFonts w:ascii="Arial" w:hAnsi="Arial" w:cs="Arial"/>
          <w:b/>
          <w:sz w:val="20"/>
          <w:szCs w:val="20"/>
        </w:rPr>
      </w:pPr>
    </w:p>
    <w:p w:rsidR="000966F8" w:rsidRPr="00F82C5F" w:rsidRDefault="000966F8" w:rsidP="00F82C5F">
      <w:pPr>
        <w:jc w:val="both"/>
        <w:rPr>
          <w:rFonts w:ascii="Arial" w:hAnsi="Arial" w:cs="Arial"/>
          <w:b/>
          <w:sz w:val="20"/>
          <w:szCs w:val="20"/>
          <w:u w:val="single"/>
        </w:rPr>
      </w:pPr>
      <w:r w:rsidRPr="00F82C5F">
        <w:rPr>
          <w:rFonts w:ascii="Arial" w:hAnsi="Arial" w:cs="Arial"/>
          <w:b/>
          <w:sz w:val="20"/>
          <w:szCs w:val="20"/>
          <w:u w:val="single"/>
        </w:rPr>
        <w:t>Zaposleni</w:t>
      </w:r>
    </w:p>
    <w:p w:rsidR="00080FC9" w:rsidRPr="00F82C5F" w:rsidRDefault="00080FC9" w:rsidP="00F82C5F">
      <w:pPr>
        <w:jc w:val="both"/>
        <w:rPr>
          <w:rFonts w:ascii="Arial" w:hAnsi="Arial" w:cs="Arial"/>
          <w:sz w:val="20"/>
          <w:szCs w:val="20"/>
        </w:rPr>
      </w:pPr>
    </w:p>
    <w:p w:rsidR="004F08CB" w:rsidRDefault="00451BB3" w:rsidP="00F82C5F">
      <w:pPr>
        <w:jc w:val="both"/>
        <w:rPr>
          <w:rFonts w:ascii="Arial" w:hAnsi="Arial" w:cs="Arial"/>
          <w:sz w:val="20"/>
          <w:szCs w:val="20"/>
        </w:rPr>
      </w:pPr>
      <w:r w:rsidRPr="00F82C5F">
        <w:rPr>
          <w:rFonts w:ascii="Arial" w:hAnsi="Arial" w:cs="Arial"/>
          <w:sz w:val="20"/>
          <w:szCs w:val="20"/>
        </w:rPr>
        <w:t xml:space="preserve">Za delovanje muzeja in izvajanje javne službe skrbijo </w:t>
      </w:r>
      <w:r w:rsidR="000966F8" w:rsidRPr="00F82C5F">
        <w:rPr>
          <w:rFonts w:ascii="Arial" w:hAnsi="Arial" w:cs="Arial"/>
          <w:sz w:val="20"/>
          <w:szCs w:val="20"/>
        </w:rPr>
        <w:t>strokovn</w:t>
      </w:r>
      <w:r w:rsidRPr="00F82C5F">
        <w:rPr>
          <w:rFonts w:ascii="Arial" w:hAnsi="Arial" w:cs="Arial"/>
          <w:sz w:val="20"/>
          <w:szCs w:val="20"/>
        </w:rPr>
        <w:t>i</w:t>
      </w:r>
      <w:r w:rsidR="000966F8" w:rsidRPr="00F82C5F">
        <w:rPr>
          <w:rFonts w:ascii="Arial" w:hAnsi="Arial" w:cs="Arial"/>
          <w:sz w:val="20"/>
          <w:szCs w:val="20"/>
        </w:rPr>
        <w:t>, poslovn</w:t>
      </w:r>
      <w:r w:rsidRPr="00F82C5F">
        <w:rPr>
          <w:rFonts w:ascii="Arial" w:hAnsi="Arial" w:cs="Arial"/>
          <w:sz w:val="20"/>
          <w:szCs w:val="20"/>
        </w:rPr>
        <w:t>i</w:t>
      </w:r>
      <w:r w:rsidR="000966F8" w:rsidRPr="00F82C5F">
        <w:rPr>
          <w:rFonts w:ascii="Arial" w:hAnsi="Arial" w:cs="Arial"/>
          <w:sz w:val="20"/>
          <w:szCs w:val="20"/>
        </w:rPr>
        <w:t xml:space="preserve"> in tehničn</w:t>
      </w:r>
      <w:r w:rsidRPr="00F82C5F">
        <w:rPr>
          <w:rFonts w:ascii="Arial" w:hAnsi="Arial" w:cs="Arial"/>
          <w:sz w:val="20"/>
          <w:szCs w:val="20"/>
        </w:rPr>
        <w:t>i delavci</w:t>
      </w:r>
      <w:r w:rsidR="000966F8" w:rsidRPr="00F82C5F">
        <w:rPr>
          <w:rFonts w:ascii="Arial" w:hAnsi="Arial" w:cs="Arial"/>
          <w:sz w:val="20"/>
          <w:szCs w:val="20"/>
        </w:rPr>
        <w:t xml:space="preserve">. </w:t>
      </w:r>
      <w:r w:rsidR="00482061" w:rsidRPr="00F82C5F">
        <w:rPr>
          <w:rFonts w:ascii="Arial" w:hAnsi="Arial" w:cs="Arial"/>
          <w:sz w:val="20"/>
          <w:szCs w:val="20"/>
        </w:rPr>
        <w:t xml:space="preserve">Sindikalna pogajanja so </w:t>
      </w:r>
      <w:r w:rsidR="006F504E" w:rsidRPr="00F82C5F">
        <w:rPr>
          <w:rFonts w:ascii="Arial" w:hAnsi="Arial" w:cs="Arial"/>
          <w:sz w:val="20"/>
          <w:szCs w:val="20"/>
        </w:rPr>
        <w:t xml:space="preserve">se osredotočila </w:t>
      </w:r>
      <w:r w:rsidR="00482061" w:rsidRPr="00F82C5F">
        <w:rPr>
          <w:rFonts w:ascii="Arial" w:hAnsi="Arial" w:cs="Arial"/>
          <w:sz w:val="20"/>
          <w:szCs w:val="20"/>
        </w:rPr>
        <w:t xml:space="preserve">predvsem v prizadevanja za višje plače, zaradi česar </w:t>
      </w:r>
      <w:r w:rsidR="006F504E" w:rsidRPr="00F82C5F">
        <w:rPr>
          <w:rFonts w:ascii="Arial" w:hAnsi="Arial" w:cs="Arial"/>
          <w:sz w:val="20"/>
          <w:szCs w:val="20"/>
        </w:rPr>
        <w:t xml:space="preserve">povečana </w:t>
      </w:r>
      <w:r w:rsidR="00482061" w:rsidRPr="00F82C5F">
        <w:rPr>
          <w:rFonts w:ascii="Arial" w:hAnsi="Arial" w:cs="Arial"/>
          <w:sz w:val="20"/>
          <w:szCs w:val="20"/>
        </w:rPr>
        <w:t xml:space="preserve">obremenitev na masi plač ne dopušča sprememb </w:t>
      </w:r>
      <w:r w:rsidR="00BE77DF" w:rsidRPr="00F82C5F">
        <w:rPr>
          <w:rFonts w:ascii="Arial" w:hAnsi="Arial" w:cs="Arial"/>
          <w:sz w:val="20"/>
          <w:szCs w:val="20"/>
        </w:rPr>
        <w:t>Zakon</w:t>
      </w:r>
      <w:r w:rsidR="00482061" w:rsidRPr="00F82C5F">
        <w:rPr>
          <w:rFonts w:ascii="Arial" w:hAnsi="Arial" w:cs="Arial"/>
          <w:sz w:val="20"/>
          <w:szCs w:val="20"/>
        </w:rPr>
        <w:t>a</w:t>
      </w:r>
      <w:r w:rsidR="00BE77DF" w:rsidRPr="00F82C5F">
        <w:rPr>
          <w:rFonts w:ascii="Arial" w:hAnsi="Arial" w:cs="Arial"/>
          <w:sz w:val="20"/>
          <w:szCs w:val="20"/>
        </w:rPr>
        <w:t xml:space="preserve"> o izvrševanju proračuna </w:t>
      </w:r>
      <w:r w:rsidR="00482061" w:rsidRPr="00F82C5F">
        <w:rPr>
          <w:rFonts w:ascii="Arial" w:hAnsi="Arial" w:cs="Arial"/>
          <w:sz w:val="20"/>
          <w:szCs w:val="20"/>
        </w:rPr>
        <w:t xml:space="preserve">v </w:t>
      </w:r>
      <w:r w:rsidR="006F504E" w:rsidRPr="00F82C5F">
        <w:rPr>
          <w:rFonts w:ascii="Arial" w:hAnsi="Arial" w:cs="Arial"/>
          <w:sz w:val="20"/>
          <w:szCs w:val="20"/>
        </w:rPr>
        <w:t xml:space="preserve">korist </w:t>
      </w:r>
      <w:r w:rsidR="00482061" w:rsidRPr="00F82C5F">
        <w:rPr>
          <w:rFonts w:ascii="Arial" w:hAnsi="Arial" w:cs="Arial"/>
          <w:sz w:val="20"/>
          <w:szCs w:val="20"/>
        </w:rPr>
        <w:t>viš</w:t>
      </w:r>
      <w:r w:rsidR="00012275" w:rsidRPr="00F82C5F">
        <w:rPr>
          <w:rFonts w:ascii="Arial" w:hAnsi="Arial" w:cs="Arial"/>
          <w:sz w:val="20"/>
          <w:szCs w:val="20"/>
        </w:rPr>
        <w:t>a</w:t>
      </w:r>
      <w:r w:rsidR="00482061" w:rsidRPr="00F82C5F">
        <w:rPr>
          <w:rFonts w:ascii="Arial" w:hAnsi="Arial" w:cs="Arial"/>
          <w:sz w:val="20"/>
          <w:szCs w:val="20"/>
        </w:rPr>
        <w:t>nj</w:t>
      </w:r>
      <w:r w:rsidR="00012275" w:rsidRPr="00F82C5F">
        <w:rPr>
          <w:rFonts w:ascii="Arial" w:hAnsi="Arial" w:cs="Arial"/>
          <w:sz w:val="20"/>
          <w:szCs w:val="20"/>
        </w:rPr>
        <w:t>a</w:t>
      </w:r>
      <w:r w:rsidR="00482061" w:rsidRPr="00F82C5F">
        <w:rPr>
          <w:rFonts w:ascii="Arial" w:hAnsi="Arial" w:cs="Arial"/>
          <w:sz w:val="20"/>
          <w:szCs w:val="20"/>
        </w:rPr>
        <w:t xml:space="preserve"> števila zaposlenih. Z</w:t>
      </w:r>
      <w:r w:rsidR="00BE77DF" w:rsidRPr="00F82C5F">
        <w:rPr>
          <w:rFonts w:ascii="Arial" w:hAnsi="Arial" w:cs="Arial"/>
          <w:sz w:val="20"/>
          <w:szCs w:val="20"/>
        </w:rPr>
        <w:t xml:space="preserve">a morebitne utemeljene izjeme morajo biti sredstva zagotovljena iz drugih virov. </w:t>
      </w:r>
      <w:r w:rsidR="005B6EED" w:rsidRPr="00F82C5F">
        <w:rPr>
          <w:rFonts w:ascii="Arial" w:hAnsi="Arial" w:cs="Arial"/>
          <w:sz w:val="20"/>
          <w:szCs w:val="20"/>
        </w:rPr>
        <w:t xml:space="preserve">Z novimi usmeritvami in pričakovanji nastajajo potrebe po povečanju števila kadrov pri delu z obiskovalci: vodnikov, receptorjev ipd. Muzeji </w:t>
      </w:r>
      <w:r w:rsidR="00BE77DF" w:rsidRPr="00F82C5F">
        <w:rPr>
          <w:rFonts w:ascii="Arial" w:hAnsi="Arial" w:cs="Arial"/>
          <w:sz w:val="20"/>
          <w:szCs w:val="20"/>
        </w:rPr>
        <w:t>iščejo različne možnosti zaposlovanja</w:t>
      </w:r>
      <w:r w:rsidR="005B6EED" w:rsidRPr="00F82C5F">
        <w:rPr>
          <w:rFonts w:ascii="Arial" w:hAnsi="Arial" w:cs="Arial"/>
          <w:sz w:val="20"/>
          <w:szCs w:val="20"/>
        </w:rPr>
        <w:t xml:space="preserve">, največkrat v okviru programa </w:t>
      </w:r>
      <w:r w:rsidR="00BE77DF" w:rsidRPr="00F82C5F">
        <w:rPr>
          <w:rFonts w:ascii="Arial" w:hAnsi="Arial" w:cs="Arial"/>
          <w:sz w:val="20"/>
          <w:szCs w:val="20"/>
        </w:rPr>
        <w:t xml:space="preserve">sofinanciranja javnih del, </w:t>
      </w:r>
      <w:r w:rsidR="007B3F39" w:rsidRPr="00F82C5F">
        <w:rPr>
          <w:rFonts w:ascii="Arial" w:hAnsi="Arial" w:cs="Arial"/>
          <w:sz w:val="20"/>
          <w:szCs w:val="20"/>
        </w:rPr>
        <w:t xml:space="preserve">manjkajoči </w:t>
      </w:r>
      <w:r w:rsidR="00BE77DF" w:rsidRPr="00F82C5F">
        <w:rPr>
          <w:rFonts w:ascii="Arial" w:hAnsi="Arial" w:cs="Arial"/>
          <w:sz w:val="20"/>
          <w:szCs w:val="20"/>
        </w:rPr>
        <w:t xml:space="preserve">del obveznosti pa uspejo </w:t>
      </w:r>
      <w:r w:rsidR="007B3F39" w:rsidRPr="00F82C5F">
        <w:rPr>
          <w:rFonts w:ascii="Arial" w:hAnsi="Arial" w:cs="Arial"/>
          <w:sz w:val="20"/>
          <w:szCs w:val="20"/>
        </w:rPr>
        <w:t>nadomestiti</w:t>
      </w:r>
      <w:r w:rsidR="00BE77DF" w:rsidRPr="00F82C5F">
        <w:rPr>
          <w:rFonts w:ascii="Arial" w:hAnsi="Arial" w:cs="Arial"/>
          <w:sz w:val="20"/>
          <w:szCs w:val="20"/>
        </w:rPr>
        <w:t xml:space="preserve"> s </w:t>
      </w:r>
      <w:proofErr w:type="spellStart"/>
      <w:r w:rsidR="00BE77DF" w:rsidRPr="00F82C5F">
        <w:rPr>
          <w:rFonts w:ascii="Arial" w:hAnsi="Arial" w:cs="Arial"/>
          <w:sz w:val="20"/>
          <w:szCs w:val="20"/>
        </w:rPr>
        <w:t>podjemnimi</w:t>
      </w:r>
      <w:proofErr w:type="spellEnd"/>
      <w:r w:rsidR="00BE77DF" w:rsidRPr="00F82C5F">
        <w:rPr>
          <w:rFonts w:ascii="Arial" w:hAnsi="Arial" w:cs="Arial"/>
          <w:sz w:val="20"/>
          <w:szCs w:val="20"/>
        </w:rPr>
        <w:t xml:space="preserve"> pogodbami in zlasti delom študentov.</w:t>
      </w:r>
      <w:r w:rsidR="004F08CB">
        <w:rPr>
          <w:rFonts w:ascii="Arial" w:hAnsi="Arial" w:cs="Arial"/>
          <w:sz w:val="20"/>
          <w:szCs w:val="20"/>
        </w:rPr>
        <w:t xml:space="preserve"> </w:t>
      </w:r>
      <w:r w:rsidR="00BE77DF" w:rsidRPr="00F82C5F">
        <w:rPr>
          <w:rFonts w:ascii="Arial" w:hAnsi="Arial" w:cs="Arial"/>
          <w:sz w:val="20"/>
          <w:szCs w:val="20"/>
        </w:rPr>
        <w:t>Z</w:t>
      </w:r>
      <w:r w:rsidR="000966F8" w:rsidRPr="00F82C5F">
        <w:rPr>
          <w:rFonts w:ascii="Arial" w:hAnsi="Arial" w:cs="Arial"/>
          <w:sz w:val="20"/>
          <w:szCs w:val="20"/>
        </w:rPr>
        <w:t xml:space="preserve">a </w:t>
      </w:r>
      <w:r w:rsidR="00BE77DF" w:rsidRPr="00F82C5F">
        <w:rPr>
          <w:rFonts w:ascii="Arial" w:hAnsi="Arial" w:cs="Arial"/>
          <w:sz w:val="20"/>
          <w:szCs w:val="20"/>
        </w:rPr>
        <w:t xml:space="preserve">plače zaposlenih </w:t>
      </w:r>
      <w:r w:rsidR="000966F8" w:rsidRPr="00F82C5F">
        <w:rPr>
          <w:rFonts w:ascii="Arial" w:hAnsi="Arial" w:cs="Arial"/>
          <w:sz w:val="20"/>
          <w:szCs w:val="20"/>
        </w:rPr>
        <w:t xml:space="preserve">pridobijo sredstva iz proračuna </w:t>
      </w:r>
      <w:r w:rsidR="00872DFE" w:rsidRPr="00F82C5F">
        <w:rPr>
          <w:rFonts w:ascii="Arial" w:hAnsi="Arial" w:cs="Arial"/>
          <w:sz w:val="20"/>
          <w:szCs w:val="20"/>
        </w:rPr>
        <w:t>m</w:t>
      </w:r>
      <w:r w:rsidR="000966F8" w:rsidRPr="00F82C5F">
        <w:rPr>
          <w:rFonts w:ascii="Arial" w:hAnsi="Arial" w:cs="Arial"/>
          <w:sz w:val="20"/>
          <w:szCs w:val="20"/>
        </w:rPr>
        <w:t xml:space="preserve">inistrstva, občinskih proračunov, iz naslova javnih del, projektno in tudi iz lastnih sredstev. </w:t>
      </w:r>
    </w:p>
    <w:p w:rsidR="004F08CB" w:rsidRDefault="004F08CB" w:rsidP="00F82C5F">
      <w:pPr>
        <w:jc w:val="both"/>
        <w:rPr>
          <w:rFonts w:ascii="Arial" w:hAnsi="Arial" w:cs="Arial"/>
          <w:sz w:val="20"/>
          <w:szCs w:val="20"/>
        </w:rPr>
      </w:pPr>
    </w:p>
    <w:p w:rsidR="0048268B" w:rsidRPr="00F82C5F" w:rsidRDefault="000966F8" w:rsidP="00F82C5F">
      <w:pPr>
        <w:jc w:val="both"/>
        <w:rPr>
          <w:rFonts w:ascii="Arial" w:hAnsi="Arial" w:cs="Arial"/>
          <w:sz w:val="20"/>
          <w:szCs w:val="20"/>
        </w:rPr>
      </w:pPr>
      <w:r w:rsidRPr="00F82C5F">
        <w:rPr>
          <w:rFonts w:ascii="Arial" w:hAnsi="Arial" w:cs="Arial"/>
          <w:sz w:val="20"/>
          <w:szCs w:val="20"/>
        </w:rPr>
        <w:t>V letu 201</w:t>
      </w:r>
      <w:r w:rsidR="00890787">
        <w:rPr>
          <w:rFonts w:ascii="Arial" w:hAnsi="Arial" w:cs="Arial"/>
          <w:sz w:val="20"/>
          <w:szCs w:val="20"/>
        </w:rPr>
        <w:t>9</w:t>
      </w:r>
      <w:r w:rsidRPr="00F82C5F">
        <w:rPr>
          <w:rFonts w:ascii="Arial" w:hAnsi="Arial" w:cs="Arial"/>
          <w:sz w:val="20"/>
          <w:szCs w:val="20"/>
        </w:rPr>
        <w:t xml:space="preserve"> je bilo v pooblaščenih muzejih 5</w:t>
      </w:r>
      <w:r w:rsidR="00890787">
        <w:rPr>
          <w:rFonts w:ascii="Arial" w:hAnsi="Arial" w:cs="Arial"/>
          <w:sz w:val="20"/>
          <w:szCs w:val="20"/>
        </w:rPr>
        <w:t>2</w:t>
      </w:r>
      <w:r w:rsidR="004F08CB">
        <w:rPr>
          <w:rFonts w:ascii="Arial" w:hAnsi="Arial" w:cs="Arial"/>
          <w:sz w:val="20"/>
          <w:szCs w:val="20"/>
        </w:rPr>
        <w:t>5</w:t>
      </w:r>
      <w:r w:rsidRPr="00F82C5F">
        <w:rPr>
          <w:rFonts w:ascii="Arial" w:hAnsi="Arial" w:cs="Arial"/>
          <w:sz w:val="20"/>
          <w:szCs w:val="20"/>
        </w:rPr>
        <w:t xml:space="preserve"> delovnih mest</w:t>
      </w:r>
      <w:r w:rsidR="00BE77DF" w:rsidRPr="00F82C5F">
        <w:rPr>
          <w:rFonts w:ascii="Arial" w:hAnsi="Arial" w:cs="Arial"/>
          <w:sz w:val="20"/>
          <w:szCs w:val="20"/>
        </w:rPr>
        <w:t>.</w:t>
      </w:r>
      <w:r w:rsidR="004F08CB">
        <w:rPr>
          <w:rStyle w:val="Sprotnaopomba-sklic"/>
          <w:rFonts w:ascii="Arial" w:hAnsi="Arial" w:cs="Arial"/>
          <w:sz w:val="20"/>
          <w:szCs w:val="20"/>
        </w:rPr>
        <w:footnoteReference w:id="14"/>
      </w:r>
      <w:r w:rsidRPr="00F82C5F">
        <w:rPr>
          <w:rFonts w:ascii="Arial" w:hAnsi="Arial" w:cs="Arial"/>
          <w:sz w:val="20"/>
          <w:szCs w:val="20"/>
        </w:rPr>
        <w:t xml:space="preserve"> </w:t>
      </w:r>
      <w:r w:rsidR="00FB3F87">
        <w:rPr>
          <w:rFonts w:ascii="Arial" w:hAnsi="Arial" w:cs="Arial"/>
          <w:sz w:val="20"/>
          <w:szCs w:val="20"/>
        </w:rPr>
        <w:t>62</w:t>
      </w:r>
      <w:r w:rsidR="00012275" w:rsidRPr="00F82C5F">
        <w:rPr>
          <w:rFonts w:ascii="Arial" w:hAnsi="Arial" w:cs="Arial"/>
          <w:sz w:val="20"/>
          <w:szCs w:val="20"/>
        </w:rPr>
        <w:t xml:space="preserve">% je </w:t>
      </w:r>
      <w:r w:rsidR="00BE77DF" w:rsidRPr="00F82C5F">
        <w:rPr>
          <w:rFonts w:ascii="Arial" w:hAnsi="Arial" w:cs="Arial"/>
          <w:sz w:val="20"/>
          <w:szCs w:val="20"/>
        </w:rPr>
        <w:t>strokovnih delavcev.</w:t>
      </w:r>
      <w:r w:rsidR="004F08CB">
        <w:rPr>
          <w:rFonts w:ascii="Arial" w:hAnsi="Arial" w:cs="Arial"/>
          <w:sz w:val="20"/>
          <w:szCs w:val="20"/>
        </w:rPr>
        <w:t xml:space="preserve"> </w:t>
      </w:r>
      <w:r w:rsidR="00BE77DF" w:rsidRPr="00F82C5F">
        <w:rPr>
          <w:rFonts w:ascii="Arial" w:hAnsi="Arial" w:cs="Arial"/>
          <w:sz w:val="20"/>
          <w:szCs w:val="20"/>
        </w:rPr>
        <w:t xml:space="preserve">Prvo zaposlitev je dobilo </w:t>
      </w:r>
      <w:r w:rsidR="004F08CB">
        <w:rPr>
          <w:rFonts w:ascii="Arial" w:hAnsi="Arial" w:cs="Arial"/>
          <w:sz w:val="20"/>
          <w:szCs w:val="20"/>
        </w:rPr>
        <w:t>5</w:t>
      </w:r>
      <w:r w:rsidR="00BE77DF" w:rsidRPr="00F82C5F">
        <w:rPr>
          <w:rFonts w:ascii="Arial" w:hAnsi="Arial" w:cs="Arial"/>
          <w:sz w:val="20"/>
          <w:szCs w:val="20"/>
        </w:rPr>
        <w:t xml:space="preserve"> mladih diplomantov</w:t>
      </w:r>
      <w:r w:rsidR="004F08CB">
        <w:rPr>
          <w:rFonts w:ascii="Arial" w:hAnsi="Arial" w:cs="Arial"/>
          <w:sz w:val="20"/>
          <w:szCs w:val="20"/>
        </w:rPr>
        <w:t>.</w:t>
      </w:r>
      <w:r w:rsidR="00BE77DF" w:rsidRPr="00F82C5F">
        <w:rPr>
          <w:rFonts w:ascii="Arial" w:hAnsi="Arial" w:cs="Arial"/>
          <w:sz w:val="20"/>
          <w:szCs w:val="20"/>
        </w:rPr>
        <w:t xml:space="preserve"> </w:t>
      </w:r>
      <w:r w:rsidRPr="00F82C5F">
        <w:rPr>
          <w:rFonts w:ascii="Arial" w:hAnsi="Arial" w:cs="Arial"/>
          <w:sz w:val="20"/>
          <w:szCs w:val="20"/>
        </w:rPr>
        <w:t>1</w:t>
      </w:r>
      <w:r w:rsidR="004F08CB">
        <w:rPr>
          <w:rFonts w:ascii="Arial" w:hAnsi="Arial" w:cs="Arial"/>
          <w:sz w:val="20"/>
          <w:szCs w:val="20"/>
        </w:rPr>
        <w:t>6</w:t>
      </w:r>
      <w:r w:rsidRPr="00F82C5F">
        <w:rPr>
          <w:rFonts w:ascii="Arial" w:hAnsi="Arial" w:cs="Arial"/>
          <w:sz w:val="20"/>
          <w:szCs w:val="20"/>
        </w:rPr>
        <w:t>%</w:t>
      </w:r>
      <w:r w:rsidR="00C700D9" w:rsidRPr="00F82C5F">
        <w:rPr>
          <w:rFonts w:ascii="Arial" w:hAnsi="Arial" w:cs="Arial"/>
          <w:sz w:val="20"/>
          <w:szCs w:val="20"/>
        </w:rPr>
        <w:t xml:space="preserve"> vseh delavcev je zaposlenih </w:t>
      </w:r>
      <w:r w:rsidRPr="00F82C5F">
        <w:rPr>
          <w:rFonts w:ascii="Arial" w:hAnsi="Arial" w:cs="Arial"/>
          <w:sz w:val="20"/>
          <w:szCs w:val="20"/>
        </w:rPr>
        <w:t xml:space="preserve">za določen čas. </w:t>
      </w:r>
      <w:r w:rsidR="00295C24" w:rsidRPr="00F82C5F">
        <w:rPr>
          <w:rFonts w:ascii="Arial" w:hAnsi="Arial" w:cs="Arial"/>
          <w:sz w:val="20"/>
          <w:szCs w:val="20"/>
        </w:rPr>
        <w:t xml:space="preserve">Študentsko delo je izvajalo </w:t>
      </w:r>
      <w:r w:rsidR="004F08CB">
        <w:rPr>
          <w:rFonts w:ascii="Arial" w:hAnsi="Arial" w:cs="Arial"/>
          <w:sz w:val="20"/>
          <w:szCs w:val="20"/>
        </w:rPr>
        <w:t>315</w:t>
      </w:r>
      <w:r w:rsidR="00295C24" w:rsidRPr="00F82C5F">
        <w:rPr>
          <w:rFonts w:ascii="Arial" w:hAnsi="Arial" w:cs="Arial"/>
          <w:sz w:val="20"/>
          <w:szCs w:val="20"/>
        </w:rPr>
        <w:t xml:space="preserve"> študentov in dijakov</w:t>
      </w:r>
      <w:r w:rsidR="004F08CB">
        <w:rPr>
          <w:rFonts w:ascii="Arial" w:hAnsi="Arial" w:cs="Arial"/>
          <w:sz w:val="20"/>
          <w:szCs w:val="20"/>
        </w:rPr>
        <w:t xml:space="preserve"> in javna dela 50 oseb</w:t>
      </w:r>
      <w:r w:rsidR="00295C24" w:rsidRPr="00F82C5F">
        <w:rPr>
          <w:rFonts w:ascii="Arial" w:hAnsi="Arial" w:cs="Arial"/>
          <w:sz w:val="20"/>
          <w:szCs w:val="20"/>
        </w:rPr>
        <w:t>.</w:t>
      </w:r>
      <w:r w:rsidR="00D70DBF" w:rsidRPr="00F82C5F">
        <w:rPr>
          <w:rFonts w:ascii="Arial" w:hAnsi="Arial" w:cs="Arial"/>
          <w:sz w:val="20"/>
          <w:szCs w:val="20"/>
        </w:rPr>
        <w:t xml:space="preserve"> </w:t>
      </w:r>
      <w:r w:rsidR="004C2A86">
        <w:rPr>
          <w:rFonts w:ascii="Arial" w:hAnsi="Arial" w:cs="Arial"/>
          <w:sz w:val="20"/>
          <w:szCs w:val="20"/>
        </w:rPr>
        <w:t xml:space="preserve">Trend v primerjavi z letom 2018 postaja zaskrbljujoč. Število vseh delovnih mest se je znižalo za 3%, za enak odstotek se je zvišal delež strokovnih delavcev, </w:t>
      </w:r>
      <w:r w:rsidR="00D45698">
        <w:rPr>
          <w:rFonts w:ascii="Arial" w:hAnsi="Arial" w:cs="Arial"/>
          <w:sz w:val="20"/>
          <w:szCs w:val="20"/>
        </w:rPr>
        <w:t xml:space="preserve">za 2% je višji delež zaposlenih za določen čas, </w:t>
      </w:r>
      <w:r w:rsidR="004C2A86">
        <w:rPr>
          <w:rFonts w:ascii="Arial" w:hAnsi="Arial" w:cs="Arial"/>
          <w:sz w:val="20"/>
          <w:szCs w:val="20"/>
        </w:rPr>
        <w:t>mladih diplomantov, ki so v muzeju dobili prvo zaposlitev</w:t>
      </w:r>
      <w:r w:rsidR="00C53B1E">
        <w:rPr>
          <w:rFonts w:ascii="Arial" w:hAnsi="Arial" w:cs="Arial"/>
          <w:sz w:val="20"/>
          <w:szCs w:val="20"/>
        </w:rPr>
        <w:t>,</w:t>
      </w:r>
      <w:r w:rsidR="004C2A86">
        <w:rPr>
          <w:rFonts w:ascii="Arial" w:hAnsi="Arial" w:cs="Arial"/>
          <w:sz w:val="20"/>
          <w:szCs w:val="20"/>
        </w:rPr>
        <w:t xml:space="preserve"> je več kot polovica manj, število študentov se je zvišalo za eno tretjino, število javnih del pa znižalo za skoraj eno tretjino. </w:t>
      </w:r>
      <w:r w:rsidR="00D45698">
        <w:rPr>
          <w:rFonts w:ascii="Arial" w:hAnsi="Arial" w:cs="Arial"/>
          <w:sz w:val="20"/>
          <w:szCs w:val="20"/>
        </w:rPr>
        <w:t xml:space="preserve">Število delovnih mest se je znižalo iz projektnega dela in financiranja iz lastnega prihodka. Višji </w:t>
      </w:r>
      <w:r w:rsidR="00D45698">
        <w:rPr>
          <w:rFonts w:ascii="Arial" w:hAnsi="Arial" w:cs="Arial"/>
          <w:sz w:val="20"/>
          <w:szCs w:val="20"/>
        </w:rPr>
        <w:t>odstotek zaposleni strokovnih delavcev izhaja predvsem iz nižjega števila vseh delovnih mest, ko so muzeji izpad nadomeščali z zunanjimi izvajalci ali pa delom študentov. Nižje število zaposlenih iz javnih del je delno posledica nižanja sredstev na državni ravni, hkrati pa muzeji ugotavljajo, da javna dela v mnogih primerih predstavljajo problematično rešitev zaradi neustreznosti razpoložljivega kadra, zlasti v obdobjih gospodarske konju</w:t>
      </w:r>
      <w:r w:rsidR="00185134">
        <w:rPr>
          <w:rFonts w:ascii="Arial" w:hAnsi="Arial" w:cs="Arial"/>
          <w:sz w:val="20"/>
          <w:szCs w:val="20"/>
        </w:rPr>
        <w:t>n</w:t>
      </w:r>
      <w:r w:rsidR="00D45698">
        <w:rPr>
          <w:rFonts w:ascii="Arial" w:hAnsi="Arial" w:cs="Arial"/>
          <w:sz w:val="20"/>
          <w:szCs w:val="20"/>
        </w:rPr>
        <w:t xml:space="preserve">kture. Zato se zvišuje delež študentskega dela, ki omogoča lažji izbor in fleksibilnost. </w:t>
      </w:r>
      <w:r w:rsidR="00185134">
        <w:rPr>
          <w:rFonts w:ascii="Arial" w:hAnsi="Arial" w:cs="Arial"/>
          <w:sz w:val="20"/>
          <w:szCs w:val="20"/>
        </w:rPr>
        <w:t>Najbolj zaskrbljujoča je razpolovitev števila prvič zaposlenih diplomantov, ki je posledica zelo stimulativne zakonodaje za zamik upokojitve. Povprečna starost zaposlenih se približuje 50. letu.</w:t>
      </w:r>
      <w:r w:rsidR="00B56BE5">
        <w:rPr>
          <w:rFonts w:ascii="Arial" w:hAnsi="Arial" w:cs="Arial"/>
          <w:sz w:val="20"/>
          <w:szCs w:val="20"/>
        </w:rPr>
        <w:t xml:space="preserve"> Takšna starostna neuravnoteženost</w:t>
      </w:r>
      <w:r w:rsidR="00185134">
        <w:rPr>
          <w:rFonts w:ascii="Arial" w:hAnsi="Arial" w:cs="Arial"/>
          <w:sz w:val="20"/>
          <w:szCs w:val="20"/>
        </w:rPr>
        <w:t xml:space="preserve"> za delovanje muzeja ni stimulativn</w:t>
      </w:r>
      <w:r w:rsidR="00B56BE5">
        <w:rPr>
          <w:rFonts w:ascii="Arial" w:hAnsi="Arial" w:cs="Arial"/>
          <w:sz w:val="20"/>
          <w:szCs w:val="20"/>
        </w:rPr>
        <w:t xml:space="preserve">a, izrazite generacijske vrzeli pa so pri strokovnem delu problematične zaradi zagotavljanja kontinuitete znanja in dela z gradivom. </w:t>
      </w:r>
    </w:p>
    <w:p w:rsidR="0048268B" w:rsidRPr="00F82C5F" w:rsidRDefault="0048268B" w:rsidP="00F82C5F">
      <w:pPr>
        <w:jc w:val="both"/>
        <w:rPr>
          <w:rFonts w:ascii="Arial" w:hAnsi="Arial" w:cs="Arial"/>
          <w:sz w:val="20"/>
          <w:szCs w:val="20"/>
        </w:rPr>
      </w:pPr>
    </w:p>
    <w:p w:rsidR="000F5B55" w:rsidRPr="00F82C5F" w:rsidRDefault="000F5B55" w:rsidP="00F82C5F">
      <w:pPr>
        <w:jc w:val="both"/>
        <w:rPr>
          <w:rFonts w:ascii="Arial" w:hAnsi="Arial" w:cs="Arial"/>
          <w:sz w:val="20"/>
          <w:szCs w:val="20"/>
        </w:rPr>
      </w:pPr>
    </w:p>
    <w:p w:rsidR="000966F8" w:rsidRPr="00F82C5F" w:rsidRDefault="000966F8" w:rsidP="00F82C5F">
      <w:pPr>
        <w:jc w:val="both"/>
        <w:rPr>
          <w:rFonts w:ascii="Arial" w:hAnsi="Arial" w:cs="Arial"/>
          <w:sz w:val="20"/>
          <w:szCs w:val="20"/>
        </w:rPr>
      </w:pPr>
    </w:p>
    <w:p w:rsidR="00230635" w:rsidRPr="00F82C5F" w:rsidRDefault="00230635" w:rsidP="00F82C5F">
      <w:pPr>
        <w:jc w:val="both"/>
        <w:rPr>
          <w:rFonts w:ascii="Arial" w:hAnsi="Arial" w:cs="Arial"/>
          <w:sz w:val="20"/>
          <w:szCs w:val="20"/>
        </w:rPr>
      </w:pPr>
      <w:r w:rsidRPr="00F82C5F">
        <w:rPr>
          <w:rFonts w:ascii="Arial" w:hAnsi="Arial" w:cs="Arial"/>
          <w:noProof/>
          <w:sz w:val="20"/>
          <w:szCs w:val="20"/>
          <w:lang w:eastAsia="sl-SI"/>
        </w:rPr>
        <w:drawing>
          <wp:inline distT="0" distB="0" distL="0" distR="0">
            <wp:extent cx="5960715" cy="1955936"/>
            <wp:effectExtent l="0" t="0" r="2540" b="635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F5B55" w:rsidRPr="00F82C5F" w:rsidRDefault="000F5B55" w:rsidP="00F82C5F">
      <w:pPr>
        <w:jc w:val="both"/>
        <w:rPr>
          <w:rFonts w:ascii="Arial" w:hAnsi="Arial" w:cs="Arial"/>
          <w:sz w:val="20"/>
          <w:szCs w:val="20"/>
        </w:rPr>
      </w:pPr>
    </w:p>
    <w:p w:rsidR="00D70DBF" w:rsidRPr="00F82C5F" w:rsidRDefault="00D70DBF" w:rsidP="00F82C5F">
      <w:pPr>
        <w:jc w:val="both"/>
        <w:rPr>
          <w:rFonts w:ascii="Arial" w:hAnsi="Arial" w:cs="Arial"/>
          <w:sz w:val="20"/>
          <w:szCs w:val="20"/>
        </w:rPr>
      </w:pPr>
      <w:r w:rsidRPr="00F82C5F">
        <w:rPr>
          <w:rFonts w:ascii="Arial" w:hAnsi="Arial" w:cs="Arial"/>
          <w:sz w:val="20"/>
          <w:szCs w:val="20"/>
        </w:rPr>
        <w:t xml:space="preserve">Za javni zavod je zaradi načrtovanja </w:t>
      </w:r>
      <w:r w:rsidR="005A662F" w:rsidRPr="00F82C5F">
        <w:rPr>
          <w:rFonts w:ascii="Arial" w:hAnsi="Arial" w:cs="Arial"/>
          <w:sz w:val="20"/>
          <w:szCs w:val="20"/>
        </w:rPr>
        <w:t>in</w:t>
      </w:r>
      <w:r w:rsidRPr="00F82C5F">
        <w:rPr>
          <w:rFonts w:ascii="Arial" w:hAnsi="Arial" w:cs="Arial"/>
          <w:sz w:val="20"/>
          <w:szCs w:val="20"/>
        </w:rPr>
        <w:t xml:space="preserve"> stabilnosti pomemben </w:t>
      </w:r>
      <w:r w:rsidR="005A662F" w:rsidRPr="00F82C5F">
        <w:rPr>
          <w:rFonts w:ascii="Arial" w:hAnsi="Arial" w:cs="Arial"/>
          <w:sz w:val="20"/>
          <w:szCs w:val="20"/>
        </w:rPr>
        <w:t xml:space="preserve">konstanten </w:t>
      </w:r>
      <w:r w:rsidRPr="00F82C5F">
        <w:rPr>
          <w:rFonts w:ascii="Arial" w:hAnsi="Arial" w:cs="Arial"/>
          <w:sz w:val="20"/>
          <w:szCs w:val="20"/>
        </w:rPr>
        <w:t xml:space="preserve">dotok </w:t>
      </w:r>
      <w:r w:rsidR="005A662F" w:rsidRPr="00F82C5F">
        <w:rPr>
          <w:rFonts w:ascii="Arial" w:hAnsi="Arial" w:cs="Arial"/>
          <w:sz w:val="20"/>
          <w:szCs w:val="20"/>
        </w:rPr>
        <w:t xml:space="preserve">letnih </w:t>
      </w:r>
      <w:r w:rsidRPr="00F82C5F">
        <w:rPr>
          <w:rFonts w:ascii="Arial" w:hAnsi="Arial" w:cs="Arial"/>
          <w:sz w:val="20"/>
          <w:szCs w:val="20"/>
        </w:rPr>
        <w:t xml:space="preserve">sredstev za delovna mesta. </w:t>
      </w:r>
      <w:r w:rsidR="00876C6D" w:rsidRPr="00F82C5F">
        <w:rPr>
          <w:rFonts w:ascii="Arial" w:hAnsi="Arial" w:cs="Arial"/>
          <w:sz w:val="20"/>
          <w:szCs w:val="20"/>
        </w:rPr>
        <w:t>N</w:t>
      </w:r>
      <w:r w:rsidRPr="00F82C5F">
        <w:rPr>
          <w:rFonts w:ascii="Arial" w:hAnsi="Arial" w:cs="Arial"/>
          <w:sz w:val="20"/>
          <w:szCs w:val="20"/>
        </w:rPr>
        <w:t>ajvišji delež zagotavlja državni proračun</w:t>
      </w:r>
      <w:r w:rsidR="00876C6D" w:rsidRPr="00F82C5F">
        <w:rPr>
          <w:rFonts w:ascii="Arial" w:hAnsi="Arial" w:cs="Arial"/>
          <w:sz w:val="20"/>
          <w:szCs w:val="20"/>
        </w:rPr>
        <w:t xml:space="preserve">. Sredstva za stroške dela predstavljajo najbolj merodajen segment financiranja. Ne glede na delež financiranja projektov s strani ostalih deležnikov so namreč ravno zaposleni tisti, ki aktivnosti izvajajo in njihovo delo ni vračunano v posamezni projekt. </w:t>
      </w:r>
      <w:r w:rsidR="00D101B8" w:rsidRPr="00F82C5F">
        <w:rPr>
          <w:rFonts w:ascii="Arial" w:hAnsi="Arial" w:cs="Arial"/>
          <w:sz w:val="20"/>
          <w:szCs w:val="20"/>
        </w:rPr>
        <w:t xml:space="preserve">Sredstva za </w:t>
      </w:r>
      <w:r w:rsidR="00876C6D" w:rsidRPr="00F82C5F">
        <w:rPr>
          <w:rFonts w:ascii="Arial" w:hAnsi="Arial" w:cs="Arial"/>
          <w:sz w:val="20"/>
          <w:szCs w:val="20"/>
        </w:rPr>
        <w:t xml:space="preserve">tretjino </w:t>
      </w:r>
      <w:r w:rsidR="00D101B8" w:rsidRPr="00F82C5F">
        <w:rPr>
          <w:rFonts w:ascii="Arial" w:hAnsi="Arial" w:cs="Arial"/>
          <w:sz w:val="20"/>
          <w:szCs w:val="20"/>
        </w:rPr>
        <w:t>delovnih mest</w:t>
      </w:r>
      <w:r w:rsidR="00876C6D" w:rsidRPr="00F82C5F">
        <w:rPr>
          <w:rFonts w:ascii="Arial" w:hAnsi="Arial" w:cs="Arial"/>
          <w:sz w:val="20"/>
          <w:szCs w:val="20"/>
        </w:rPr>
        <w:t xml:space="preserve"> prispevajo ustanovitelji</w:t>
      </w:r>
      <w:r w:rsidR="00B56BE5">
        <w:rPr>
          <w:rFonts w:ascii="Arial" w:hAnsi="Arial" w:cs="Arial"/>
          <w:sz w:val="20"/>
          <w:szCs w:val="20"/>
        </w:rPr>
        <w:t xml:space="preserve">, ki v primerjavi </w:t>
      </w:r>
      <w:r w:rsidR="00AB7462">
        <w:rPr>
          <w:rFonts w:ascii="Arial" w:hAnsi="Arial" w:cs="Arial"/>
          <w:sz w:val="20"/>
          <w:szCs w:val="20"/>
        </w:rPr>
        <w:t xml:space="preserve">z letom 2018 financirajo 10 delovnih mest več. </w:t>
      </w:r>
      <w:r w:rsidR="00D101B8" w:rsidRPr="00F82C5F">
        <w:rPr>
          <w:rFonts w:ascii="Arial" w:hAnsi="Arial" w:cs="Arial"/>
          <w:sz w:val="20"/>
          <w:szCs w:val="20"/>
        </w:rPr>
        <w:t xml:space="preserve">Njihov </w:t>
      </w:r>
      <w:r w:rsidR="00D101B8" w:rsidRPr="00F82C5F">
        <w:rPr>
          <w:rFonts w:ascii="Arial" w:hAnsi="Arial" w:cs="Arial"/>
          <w:sz w:val="20"/>
          <w:szCs w:val="20"/>
        </w:rPr>
        <w:t xml:space="preserve">delež je </w:t>
      </w:r>
      <w:r w:rsidR="00876C6D" w:rsidRPr="00F82C5F">
        <w:rPr>
          <w:rFonts w:ascii="Arial" w:hAnsi="Arial" w:cs="Arial"/>
          <w:sz w:val="20"/>
          <w:szCs w:val="20"/>
        </w:rPr>
        <w:t xml:space="preserve">le redko namenjen financiranju delovnih mest strokovnega kadra, ampak večinoma </w:t>
      </w:r>
      <w:r w:rsidR="00B31EEA" w:rsidRPr="00F82C5F">
        <w:rPr>
          <w:rFonts w:ascii="Arial" w:hAnsi="Arial" w:cs="Arial"/>
          <w:sz w:val="20"/>
          <w:szCs w:val="20"/>
        </w:rPr>
        <w:t xml:space="preserve">pokriva stroške dela </w:t>
      </w:r>
      <w:r w:rsidR="00C53B1E">
        <w:rPr>
          <w:rFonts w:ascii="Arial" w:hAnsi="Arial" w:cs="Arial"/>
          <w:sz w:val="20"/>
          <w:szCs w:val="20"/>
        </w:rPr>
        <w:t>v</w:t>
      </w:r>
      <w:r w:rsidR="00C53B1E" w:rsidRPr="00F82C5F">
        <w:rPr>
          <w:rFonts w:ascii="Arial" w:hAnsi="Arial" w:cs="Arial"/>
          <w:sz w:val="20"/>
          <w:szCs w:val="20"/>
        </w:rPr>
        <w:t xml:space="preserve"> </w:t>
      </w:r>
      <w:r w:rsidR="00D101B8" w:rsidRPr="00F82C5F">
        <w:rPr>
          <w:rFonts w:ascii="Arial" w:hAnsi="Arial" w:cs="Arial"/>
          <w:sz w:val="20"/>
          <w:szCs w:val="20"/>
        </w:rPr>
        <w:t xml:space="preserve">nižjih tarifnih skupinah. S sofinanciranjem </w:t>
      </w:r>
      <w:r w:rsidR="00876C6D" w:rsidRPr="00F82C5F">
        <w:rPr>
          <w:rFonts w:ascii="Arial" w:hAnsi="Arial" w:cs="Arial"/>
          <w:sz w:val="20"/>
          <w:szCs w:val="20"/>
        </w:rPr>
        <w:t>javni</w:t>
      </w:r>
      <w:r w:rsidR="00D101B8" w:rsidRPr="00F82C5F">
        <w:rPr>
          <w:rFonts w:ascii="Arial" w:hAnsi="Arial" w:cs="Arial"/>
          <w:sz w:val="20"/>
          <w:szCs w:val="20"/>
        </w:rPr>
        <w:t>h</w:t>
      </w:r>
      <w:r w:rsidR="00876C6D" w:rsidRPr="00F82C5F">
        <w:rPr>
          <w:rFonts w:ascii="Arial" w:hAnsi="Arial" w:cs="Arial"/>
          <w:sz w:val="20"/>
          <w:szCs w:val="20"/>
        </w:rPr>
        <w:t xml:space="preserve"> del se dopolnjuje</w:t>
      </w:r>
      <w:r w:rsidR="00D101B8" w:rsidRPr="00F82C5F">
        <w:rPr>
          <w:rFonts w:ascii="Arial" w:hAnsi="Arial" w:cs="Arial"/>
          <w:sz w:val="20"/>
          <w:szCs w:val="20"/>
        </w:rPr>
        <w:t xml:space="preserve">jo potrebe po podpornih delovnih </w:t>
      </w:r>
      <w:r w:rsidR="00D101B8" w:rsidRPr="00F82C5F">
        <w:rPr>
          <w:rFonts w:ascii="Arial" w:hAnsi="Arial" w:cs="Arial"/>
          <w:sz w:val="20"/>
          <w:szCs w:val="20"/>
        </w:rPr>
        <w:t xml:space="preserve">mestih na recepciji, </w:t>
      </w:r>
      <w:r w:rsidR="006A7505" w:rsidRPr="00F82C5F">
        <w:rPr>
          <w:rFonts w:ascii="Arial" w:hAnsi="Arial" w:cs="Arial"/>
          <w:sz w:val="20"/>
          <w:szCs w:val="20"/>
        </w:rPr>
        <w:t xml:space="preserve">vzdrževanju, pomoči pri delu s skupinami ipd. Zaposleni preko javnih del pa ne predstavljajo stalne delovne sile, zato je skoraj vsako leto znova zaposlene potrebno k delom priučiti. Projektna delovna mesta niso namenjena splošnim kadrovskim potrebam muzeja. Muzeji z višjim deležem lastnih prihodkov kadrovsko vrzel dopolnjujejo iz lasnih sredstev. V primeru tržne dejavnosti je takšen način smiseln, sicer pa močno bremeni delež, ki je sicer namenjen programu. </w:t>
      </w:r>
    </w:p>
    <w:p w:rsidR="000966F8" w:rsidRPr="00F82C5F" w:rsidRDefault="000966F8" w:rsidP="00F82C5F">
      <w:pPr>
        <w:jc w:val="both"/>
        <w:rPr>
          <w:rFonts w:ascii="Arial" w:hAnsi="Arial" w:cs="Arial"/>
          <w:sz w:val="20"/>
          <w:szCs w:val="20"/>
        </w:rPr>
      </w:pPr>
    </w:p>
    <w:p w:rsidR="00A03AAD" w:rsidRPr="00F82C5F" w:rsidRDefault="00A03AAD" w:rsidP="00F82C5F">
      <w:pPr>
        <w:jc w:val="both"/>
        <w:rPr>
          <w:rFonts w:ascii="Arial" w:hAnsi="Arial" w:cs="Arial"/>
          <w:sz w:val="20"/>
          <w:szCs w:val="20"/>
        </w:rPr>
      </w:pPr>
    </w:p>
    <w:p w:rsidR="00F944F5" w:rsidRPr="00F82C5F" w:rsidRDefault="00F944F5" w:rsidP="00F82C5F">
      <w:pPr>
        <w:jc w:val="both"/>
        <w:rPr>
          <w:rFonts w:ascii="Arial" w:hAnsi="Arial" w:cs="Arial"/>
          <w:b/>
          <w:sz w:val="20"/>
          <w:szCs w:val="20"/>
          <w:u w:val="single"/>
        </w:rPr>
      </w:pPr>
      <w:r w:rsidRPr="00F82C5F">
        <w:rPr>
          <w:rFonts w:ascii="Arial" w:hAnsi="Arial" w:cs="Arial"/>
          <w:b/>
          <w:sz w:val="20"/>
          <w:szCs w:val="20"/>
          <w:u w:val="single"/>
        </w:rPr>
        <w:t>Sofinanciranje</w:t>
      </w:r>
    </w:p>
    <w:p w:rsidR="0049072D" w:rsidRPr="00F82C5F" w:rsidRDefault="0049072D" w:rsidP="00F82C5F">
      <w:pPr>
        <w:jc w:val="both"/>
        <w:rPr>
          <w:rFonts w:ascii="Arial" w:hAnsi="Arial" w:cs="Arial"/>
          <w:sz w:val="20"/>
          <w:szCs w:val="20"/>
        </w:rPr>
      </w:pPr>
    </w:p>
    <w:p w:rsidR="00AB023A" w:rsidRPr="00F82C5F" w:rsidRDefault="00AB023A" w:rsidP="00F82C5F">
      <w:pPr>
        <w:jc w:val="both"/>
        <w:rPr>
          <w:rFonts w:ascii="Arial" w:hAnsi="Arial" w:cs="Arial"/>
          <w:sz w:val="20"/>
          <w:szCs w:val="20"/>
        </w:rPr>
      </w:pPr>
      <w:r w:rsidRPr="00F82C5F">
        <w:rPr>
          <w:rFonts w:ascii="Arial" w:hAnsi="Arial" w:cs="Arial"/>
          <w:sz w:val="20"/>
          <w:szCs w:val="20"/>
        </w:rPr>
        <w:t xml:space="preserve">Pooblaščeni muzeji sredstva za svoje delovanje pridobivajo iz različnih virov: državnega proračuna, proračunov občin, projektno iz sredstev EU in lastnih sredstev. </w:t>
      </w:r>
    </w:p>
    <w:p w:rsidR="005B357A" w:rsidRPr="00F82C5F" w:rsidRDefault="005B357A" w:rsidP="00F82C5F">
      <w:pPr>
        <w:jc w:val="both"/>
        <w:rPr>
          <w:rFonts w:ascii="Arial" w:hAnsi="Arial" w:cs="Arial"/>
          <w:sz w:val="20"/>
          <w:szCs w:val="20"/>
        </w:rPr>
      </w:pPr>
    </w:p>
    <w:p w:rsidR="0049072D" w:rsidRDefault="00F944F5" w:rsidP="00F82C5F">
      <w:pPr>
        <w:jc w:val="both"/>
        <w:rPr>
          <w:rFonts w:ascii="Arial" w:hAnsi="Arial" w:cs="Arial"/>
          <w:sz w:val="20"/>
          <w:szCs w:val="20"/>
        </w:rPr>
      </w:pPr>
      <w:r w:rsidRPr="00F82C5F">
        <w:rPr>
          <w:rFonts w:ascii="Arial" w:hAnsi="Arial" w:cs="Arial"/>
          <w:sz w:val="20"/>
          <w:szCs w:val="20"/>
        </w:rPr>
        <w:t>V letu 201</w:t>
      </w:r>
      <w:r w:rsidR="00AB7462">
        <w:rPr>
          <w:rFonts w:ascii="Arial" w:hAnsi="Arial" w:cs="Arial"/>
          <w:sz w:val="20"/>
          <w:szCs w:val="20"/>
        </w:rPr>
        <w:t>9</w:t>
      </w:r>
      <w:r w:rsidRPr="00F82C5F">
        <w:rPr>
          <w:rFonts w:ascii="Arial" w:hAnsi="Arial" w:cs="Arial"/>
          <w:sz w:val="20"/>
          <w:szCs w:val="20"/>
        </w:rPr>
        <w:t xml:space="preserve"> je </w:t>
      </w:r>
      <w:r w:rsidR="008628A7" w:rsidRPr="00F82C5F">
        <w:rPr>
          <w:rFonts w:ascii="Arial" w:hAnsi="Arial" w:cs="Arial"/>
          <w:b/>
          <w:sz w:val="20"/>
          <w:szCs w:val="20"/>
        </w:rPr>
        <w:t xml:space="preserve">proračun </w:t>
      </w:r>
      <w:r w:rsidR="00A03AAD" w:rsidRPr="00F82C5F">
        <w:rPr>
          <w:rFonts w:ascii="Arial" w:hAnsi="Arial" w:cs="Arial"/>
          <w:b/>
          <w:sz w:val="20"/>
          <w:szCs w:val="20"/>
        </w:rPr>
        <w:t xml:space="preserve">pooblaščenih </w:t>
      </w:r>
      <w:r w:rsidR="008628A7" w:rsidRPr="00F82C5F">
        <w:rPr>
          <w:rFonts w:ascii="Arial" w:hAnsi="Arial" w:cs="Arial"/>
          <w:b/>
          <w:sz w:val="20"/>
          <w:szCs w:val="20"/>
        </w:rPr>
        <w:t>muzejev</w:t>
      </w:r>
      <w:r w:rsidR="008628A7" w:rsidRPr="00F82C5F">
        <w:rPr>
          <w:rFonts w:ascii="Arial" w:hAnsi="Arial" w:cs="Arial"/>
          <w:sz w:val="20"/>
          <w:szCs w:val="20"/>
        </w:rPr>
        <w:t xml:space="preserve"> dosegel </w:t>
      </w:r>
      <w:r w:rsidR="00AB7462" w:rsidRPr="00AB7462">
        <w:rPr>
          <w:rFonts w:ascii="Arial" w:hAnsi="Arial" w:cs="Arial"/>
          <w:sz w:val="20"/>
          <w:szCs w:val="20"/>
        </w:rPr>
        <w:t>28.988.483</w:t>
      </w:r>
      <w:r w:rsidR="008628A7" w:rsidRPr="00F82C5F">
        <w:rPr>
          <w:rStyle w:val="Sprotnaopomba-sklic"/>
          <w:rFonts w:ascii="Arial" w:hAnsi="Arial" w:cs="Arial"/>
          <w:sz w:val="20"/>
          <w:szCs w:val="20"/>
        </w:rPr>
        <w:footnoteReference w:id="15"/>
      </w:r>
      <w:r w:rsidR="008628A7" w:rsidRPr="00F82C5F">
        <w:rPr>
          <w:rFonts w:ascii="Arial" w:hAnsi="Arial" w:cs="Arial"/>
          <w:sz w:val="20"/>
          <w:szCs w:val="20"/>
        </w:rPr>
        <w:t xml:space="preserve"> </w:t>
      </w:r>
      <w:r w:rsidR="00AB7462">
        <w:rPr>
          <w:rFonts w:ascii="Arial" w:hAnsi="Arial" w:cs="Arial"/>
          <w:sz w:val="20"/>
          <w:szCs w:val="20"/>
        </w:rPr>
        <w:t xml:space="preserve">kar v </w:t>
      </w:r>
      <w:r w:rsidR="00D40FFB" w:rsidRPr="00F82C5F">
        <w:rPr>
          <w:rFonts w:ascii="Arial" w:hAnsi="Arial" w:cs="Arial"/>
          <w:sz w:val="20"/>
          <w:szCs w:val="20"/>
        </w:rPr>
        <w:t>primerjavi z letom 201</w:t>
      </w:r>
      <w:r w:rsidR="00AB7462">
        <w:rPr>
          <w:rFonts w:ascii="Arial" w:hAnsi="Arial" w:cs="Arial"/>
          <w:sz w:val="20"/>
          <w:szCs w:val="20"/>
        </w:rPr>
        <w:t>8 pomeni 5,4% povečanje</w:t>
      </w:r>
      <w:r w:rsidR="00D40FFB" w:rsidRPr="00F82C5F">
        <w:rPr>
          <w:rFonts w:ascii="Arial" w:hAnsi="Arial" w:cs="Arial"/>
          <w:sz w:val="20"/>
          <w:szCs w:val="20"/>
        </w:rPr>
        <w:t xml:space="preserve">, ki pa </w:t>
      </w:r>
      <w:r w:rsidR="007C1BC8">
        <w:rPr>
          <w:rFonts w:ascii="Arial" w:hAnsi="Arial" w:cs="Arial"/>
          <w:sz w:val="20"/>
          <w:szCs w:val="20"/>
        </w:rPr>
        <w:t>je</w:t>
      </w:r>
      <w:r w:rsidR="00D40FFB" w:rsidRPr="00F82C5F">
        <w:rPr>
          <w:rFonts w:ascii="Arial" w:hAnsi="Arial" w:cs="Arial"/>
          <w:sz w:val="20"/>
          <w:szCs w:val="20"/>
        </w:rPr>
        <w:t xml:space="preserve"> v celoti namenjen</w:t>
      </w:r>
      <w:r w:rsidR="007C1BC8">
        <w:rPr>
          <w:rFonts w:ascii="Arial" w:hAnsi="Arial" w:cs="Arial"/>
          <w:sz w:val="20"/>
          <w:szCs w:val="20"/>
        </w:rPr>
        <w:t>o</w:t>
      </w:r>
      <w:r w:rsidR="00D40FFB" w:rsidRPr="00F82C5F">
        <w:rPr>
          <w:rFonts w:ascii="Arial" w:hAnsi="Arial" w:cs="Arial"/>
          <w:sz w:val="20"/>
          <w:szCs w:val="20"/>
        </w:rPr>
        <w:t xml:space="preserve"> pokrivanj</w:t>
      </w:r>
      <w:r w:rsidR="007C1BC8">
        <w:rPr>
          <w:rFonts w:ascii="Arial" w:hAnsi="Arial" w:cs="Arial"/>
          <w:sz w:val="20"/>
          <w:szCs w:val="20"/>
        </w:rPr>
        <w:t>u</w:t>
      </w:r>
      <w:r w:rsidR="00D40FFB" w:rsidRPr="00F82C5F">
        <w:rPr>
          <w:rFonts w:ascii="Arial" w:hAnsi="Arial" w:cs="Arial"/>
          <w:sz w:val="20"/>
          <w:szCs w:val="20"/>
        </w:rPr>
        <w:t xml:space="preserve"> stroškov za plače zaposlenih</w:t>
      </w:r>
      <w:r w:rsidR="00A03AAD" w:rsidRPr="00F82C5F">
        <w:rPr>
          <w:rFonts w:ascii="Arial" w:hAnsi="Arial" w:cs="Arial"/>
          <w:sz w:val="20"/>
          <w:szCs w:val="20"/>
        </w:rPr>
        <w:t>.</w:t>
      </w:r>
      <w:r w:rsidR="00D40FFB" w:rsidRPr="00F82C5F">
        <w:rPr>
          <w:rFonts w:ascii="Arial" w:hAnsi="Arial" w:cs="Arial"/>
          <w:sz w:val="20"/>
          <w:szCs w:val="20"/>
        </w:rPr>
        <w:t xml:space="preserve"> </w:t>
      </w:r>
      <w:r w:rsidR="008A1D54">
        <w:rPr>
          <w:rFonts w:ascii="Arial" w:hAnsi="Arial" w:cs="Arial"/>
          <w:sz w:val="20"/>
          <w:szCs w:val="20"/>
        </w:rPr>
        <w:t>Iz sredstev državnega proračuna je bilo zagotovljenih 55% sredstev, iz občinskih proračunov 26% in iz lastnega prihodka iz izvajanja javne službe, EU sredstev in tržne dejavnosti</w:t>
      </w:r>
      <w:r w:rsidR="00EA5DB7">
        <w:rPr>
          <w:rFonts w:ascii="Arial" w:hAnsi="Arial" w:cs="Arial"/>
          <w:sz w:val="20"/>
          <w:szCs w:val="20"/>
        </w:rPr>
        <w:t xml:space="preserve"> 19</w:t>
      </w:r>
      <w:r w:rsidR="00576D42">
        <w:rPr>
          <w:rFonts w:ascii="Arial" w:hAnsi="Arial" w:cs="Arial"/>
          <w:sz w:val="20"/>
          <w:szCs w:val="20"/>
        </w:rPr>
        <w:t>%.</w:t>
      </w:r>
    </w:p>
    <w:p w:rsidR="00FA76A5" w:rsidRDefault="00FA76A5" w:rsidP="00F82C5F">
      <w:pPr>
        <w:jc w:val="both"/>
        <w:rPr>
          <w:rFonts w:ascii="Arial" w:hAnsi="Arial" w:cs="Arial"/>
          <w:sz w:val="20"/>
          <w:szCs w:val="20"/>
        </w:rPr>
      </w:pPr>
    </w:p>
    <w:tbl>
      <w:tblPr>
        <w:tblStyle w:val="Tabelamrea"/>
        <w:tblW w:w="0" w:type="auto"/>
        <w:tblLook w:val="04A0" w:firstRow="1" w:lastRow="0" w:firstColumn="1" w:lastColumn="0" w:noHBand="0" w:noVBand="1"/>
      </w:tblPr>
      <w:tblGrid>
        <w:gridCol w:w="2517"/>
        <w:gridCol w:w="1320"/>
      </w:tblGrid>
      <w:tr w:rsidR="00FA76A5" w:rsidRPr="00FA76A5" w:rsidTr="00FA76A5">
        <w:trPr>
          <w:trHeight w:val="290"/>
        </w:trPr>
        <w:tc>
          <w:tcPr>
            <w:tcW w:w="2517" w:type="dxa"/>
            <w:noWrap/>
            <w:hideMark/>
          </w:tcPr>
          <w:p w:rsidR="00FA76A5" w:rsidRPr="00FA76A5" w:rsidRDefault="00FA76A5" w:rsidP="00FA76A5">
            <w:pPr>
              <w:jc w:val="both"/>
              <w:rPr>
                <w:rFonts w:ascii="Arial" w:hAnsi="Arial" w:cs="Arial"/>
                <w:sz w:val="20"/>
                <w:szCs w:val="20"/>
              </w:rPr>
            </w:pPr>
            <w:r>
              <w:rPr>
                <w:rFonts w:ascii="Arial" w:hAnsi="Arial" w:cs="Arial"/>
                <w:sz w:val="20"/>
                <w:szCs w:val="20"/>
              </w:rPr>
              <w:t>DP</w:t>
            </w:r>
            <w:r>
              <w:rPr>
                <w:rStyle w:val="Sprotnaopomba-sklic"/>
                <w:rFonts w:ascii="Arial" w:hAnsi="Arial" w:cs="Arial"/>
                <w:sz w:val="20"/>
                <w:szCs w:val="20"/>
              </w:rPr>
              <w:footnoteReference w:id="16"/>
            </w:r>
            <w:r>
              <w:rPr>
                <w:rFonts w:ascii="Arial" w:hAnsi="Arial" w:cs="Arial"/>
                <w:sz w:val="20"/>
                <w:szCs w:val="20"/>
              </w:rPr>
              <w:t xml:space="preserve"> – </w:t>
            </w:r>
            <w:r w:rsidRPr="00FA76A5">
              <w:rPr>
                <w:rFonts w:ascii="Arial" w:hAnsi="Arial" w:cs="Arial"/>
                <w:sz w:val="20"/>
                <w:szCs w:val="20"/>
              </w:rPr>
              <w:t>MK</w:t>
            </w:r>
          </w:p>
        </w:tc>
        <w:tc>
          <w:tcPr>
            <w:tcW w:w="1320" w:type="dxa"/>
            <w:noWrap/>
            <w:hideMark/>
          </w:tcPr>
          <w:p w:rsidR="00FA76A5" w:rsidRPr="00FA76A5" w:rsidRDefault="00FA76A5" w:rsidP="00FA76A5">
            <w:pPr>
              <w:jc w:val="right"/>
              <w:rPr>
                <w:rFonts w:ascii="Arial" w:hAnsi="Arial" w:cs="Arial"/>
                <w:sz w:val="20"/>
                <w:szCs w:val="20"/>
              </w:rPr>
            </w:pPr>
            <w:r w:rsidRPr="00FA76A5">
              <w:rPr>
                <w:rFonts w:ascii="Arial" w:hAnsi="Arial" w:cs="Arial"/>
                <w:sz w:val="20"/>
                <w:szCs w:val="20"/>
              </w:rPr>
              <w:t>15.933.558</w:t>
            </w:r>
          </w:p>
        </w:tc>
      </w:tr>
      <w:tr w:rsidR="00FA76A5" w:rsidRPr="00FA76A5" w:rsidTr="00FA76A5">
        <w:trPr>
          <w:trHeight w:val="290"/>
        </w:trPr>
        <w:tc>
          <w:tcPr>
            <w:tcW w:w="2517" w:type="dxa"/>
            <w:noWrap/>
            <w:hideMark/>
          </w:tcPr>
          <w:p w:rsidR="00FA76A5" w:rsidRPr="00FA76A5" w:rsidRDefault="00FA76A5" w:rsidP="00FA76A5">
            <w:pPr>
              <w:jc w:val="both"/>
              <w:rPr>
                <w:rFonts w:ascii="Arial" w:hAnsi="Arial" w:cs="Arial"/>
                <w:sz w:val="20"/>
                <w:szCs w:val="20"/>
              </w:rPr>
            </w:pPr>
            <w:r>
              <w:rPr>
                <w:rFonts w:ascii="Arial" w:hAnsi="Arial" w:cs="Arial"/>
                <w:sz w:val="20"/>
                <w:szCs w:val="20"/>
              </w:rPr>
              <w:t xml:space="preserve">DP </w:t>
            </w:r>
            <w:r w:rsidRPr="00FA76A5">
              <w:rPr>
                <w:rFonts w:ascii="Arial" w:hAnsi="Arial" w:cs="Arial"/>
                <w:sz w:val="20"/>
                <w:szCs w:val="20"/>
              </w:rPr>
              <w:t>-</w:t>
            </w:r>
            <w:r>
              <w:rPr>
                <w:rFonts w:ascii="Arial" w:hAnsi="Arial" w:cs="Arial"/>
                <w:sz w:val="20"/>
                <w:szCs w:val="20"/>
              </w:rPr>
              <w:t xml:space="preserve"> </w:t>
            </w:r>
            <w:r w:rsidRPr="00FA76A5">
              <w:rPr>
                <w:rFonts w:ascii="Arial" w:hAnsi="Arial" w:cs="Arial"/>
                <w:sz w:val="20"/>
                <w:szCs w:val="20"/>
              </w:rPr>
              <w:t>ostalo</w:t>
            </w:r>
          </w:p>
        </w:tc>
        <w:tc>
          <w:tcPr>
            <w:tcW w:w="1320" w:type="dxa"/>
            <w:noWrap/>
            <w:hideMark/>
          </w:tcPr>
          <w:p w:rsidR="00FA76A5" w:rsidRPr="00FA76A5" w:rsidRDefault="00FA76A5" w:rsidP="00FA76A5">
            <w:pPr>
              <w:jc w:val="right"/>
              <w:rPr>
                <w:rFonts w:ascii="Arial" w:hAnsi="Arial" w:cs="Arial"/>
                <w:sz w:val="20"/>
                <w:szCs w:val="20"/>
              </w:rPr>
            </w:pPr>
            <w:r w:rsidRPr="00FA76A5">
              <w:rPr>
                <w:rFonts w:ascii="Arial" w:hAnsi="Arial" w:cs="Arial"/>
                <w:sz w:val="20"/>
                <w:szCs w:val="20"/>
              </w:rPr>
              <w:t>489.317</w:t>
            </w:r>
          </w:p>
        </w:tc>
      </w:tr>
      <w:tr w:rsidR="00FA76A5" w:rsidRPr="00FA76A5" w:rsidTr="00FA76A5">
        <w:trPr>
          <w:trHeight w:val="290"/>
        </w:trPr>
        <w:tc>
          <w:tcPr>
            <w:tcW w:w="2517" w:type="dxa"/>
            <w:noWrap/>
            <w:hideMark/>
          </w:tcPr>
          <w:p w:rsidR="00FA76A5" w:rsidRPr="00FA76A5" w:rsidRDefault="00FA76A5" w:rsidP="00FA76A5">
            <w:pPr>
              <w:jc w:val="both"/>
              <w:rPr>
                <w:rFonts w:ascii="Arial" w:hAnsi="Arial" w:cs="Arial"/>
                <w:sz w:val="20"/>
                <w:szCs w:val="20"/>
              </w:rPr>
            </w:pPr>
            <w:r>
              <w:rPr>
                <w:rFonts w:ascii="Arial" w:hAnsi="Arial" w:cs="Arial"/>
                <w:sz w:val="20"/>
                <w:szCs w:val="20"/>
              </w:rPr>
              <w:t xml:space="preserve">OP - </w:t>
            </w:r>
            <w:r w:rsidRPr="00FA76A5">
              <w:rPr>
                <w:rFonts w:ascii="Arial" w:hAnsi="Arial" w:cs="Arial"/>
                <w:sz w:val="20"/>
                <w:szCs w:val="20"/>
              </w:rPr>
              <w:t>ustanoviteljice</w:t>
            </w:r>
          </w:p>
        </w:tc>
        <w:tc>
          <w:tcPr>
            <w:tcW w:w="1320" w:type="dxa"/>
            <w:noWrap/>
            <w:hideMark/>
          </w:tcPr>
          <w:p w:rsidR="00FA76A5" w:rsidRPr="00FA76A5" w:rsidRDefault="00FA76A5" w:rsidP="00FA76A5">
            <w:pPr>
              <w:jc w:val="right"/>
              <w:rPr>
                <w:rFonts w:ascii="Arial" w:hAnsi="Arial" w:cs="Arial"/>
                <w:sz w:val="20"/>
                <w:szCs w:val="20"/>
              </w:rPr>
            </w:pPr>
            <w:r w:rsidRPr="00FA76A5">
              <w:rPr>
                <w:rFonts w:ascii="Arial" w:hAnsi="Arial" w:cs="Arial"/>
                <w:sz w:val="20"/>
                <w:szCs w:val="20"/>
              </w:rPr>
              <w:t>7.381.153</w:t>
            </w:r>
          </w:p>
        </w:tc>
      </w:tr>
      <w:tr w:rsidR="00FA76A5" w:rsidRPr="00FA76A5" w:rsidTr="00FA76A5">
        <w:trPr>
          <w:trHeight w:val="290"/>
        </w:trPr>
        <w:tc>
          <w:tcPr>
            <w:tcW w:w="2517" w:type="dxa"/>
            <w:noWrap/>
            <w:hideMark/>
          </w:tcPr>
          <w:p w:rsidR="00FA76A5" w:rsidRPr="00FA76A5" w:rsidRDefault="00FA76A5" w:rsidP="00FA76A5">
            <w:pPr>
              <w:jc w:val="both"/>
              <w:rPr>
                <w:rFonts w:ascii="Arial" w:hAnsi="Arial" w:cs="Arial"/>
                <w:sz w:val="20"/>
                <w:szCs w:val="20"/>
              </w:rPr>
            </w:pPr>
            <w:r>
              <w:rPr>
                <w:rFonts w:ascii="Arial" w:hAnsi="Arial" w:cs="Arial"/>
                <w:sz w:val="20"/>
                <w:szCs w:val="20"/>
              </w:rPr>
              <w:t xml:space="preserve">OP - </w:t>
            </w:r>
            <w:r w:rsidRPr="00FA76A5">
              <w:rPr>
                <w:rFonts w:ascii="Arial" w:hAnsi="Arial" w:cs="Arial"/>
                <w:sz w:val="20"/>
                <w:szCs w:val="20"/>
              </w:rPr>
              <w:t>ostale občine</w:t>
            </w:r>
          </w:p>
        </w:tc>
        <w:tc>
          <w:tcPr>
            <w:tcW w:w="1320" w:type="dxa"/>
            <w:noWrap/>
            <w:hideMark/>
          </w:tcPr>
          <w:p w:rsidR="00FA76A5" w:rsidRPr="00FA76A5" w:rsidRDefault="00FA76A5" w:rsidP="00FA76A5">
            <w:pPr>
              <w:jc w:val="right"/>
              <w:rPr>
                <w:rFonts w:ascii="Arial" w:hAnsi="Arial" w:cs="Arial"/>
                <w:sz w:val="20"/>
                <w:szCs w:val="20"/>
              </w:rPr>
            </w:pPr>
            <w:r w:rsidRPr="00FA76A5">
              <w:rPr>
                <w:rFonts w:ascii="Arial" w:hAnsi="Arial" w:cs="Arial"/>
                <w:sz w:val="20"/>
                <w:szCs w:val="20"/>
              </w:rPr>
              <w:t>422.940</w:t>
            </w:r>
          </w:p>
        </w:tc>
      </w:tr>
      <w:tr w:rsidR="00FA76A5" w:rsidRPr="00FA76A5" w:rsidTr="00FA76A5">
        <w:trPr>
          <w:trHeight w:val="290"/>
        </w:trPr>
        <w:tc>
          <w:tcPr>
            <w:tcW w:w="2517" w:type="dxa"/>
            <w:noWrap/>
            <w:hideMark/>
          </w:tcPr>
          <w:p w:rsidR="00FA76A5" w:rsidRPr="00FA76A5" w:rsidRDefault="00FA76A5" w:rsidP="00FA76A5">
            <w:pPr>
              <w:jc w:val="both"/>
              <w:rPr>
                <w:rFonts w:ascii="Arial" w:hAnsi="Arial" w:cs="Arial"/>
                <w:sz w:val="20"/>
                <w:szCs w:val="20"/>
              </w:rPr>
            </w:pPr>
            <w:r>
              <w:rPr>
                <w:rFonts w:ascii="Arial" w:hAnsi="Arial" w:cs="Arial"/>
                <w:sz w:val="20"/>
                <w:szCs w:val="20"/>
              </w:rPr>
              <w:t xml:space="preserve">LP - </w:t>
            </w:r>
            <w:r w:rsidRPr="00FA76A5">
              <w:rPr>
                <w:rFonts w:ascii="Arial" w:hAnsi="Arial" w:cs="Arial"/>
                <w:sz w:val="20"/>
                <w:szCs w:val="20"/>
              </w:rPr>
              <w:t>javna služba</w:t>
            </w:r>
          </w:p>
        </w:tc>
        <w:tc>
          <w:tcPr>
            <w:tcW w:w="1320" w:type="dxa"/>
            <w:noWrap/>
            <w:hideMark/>
          </w:tcPr>
          <w:p w:rsidR="00FA76A5" w:rsidRPr="00FA76A5" w:rsidRDefault="00FA76A5" w:rsidP="00FA76A5">
            <w:pPr>
              <w:jc w:val="right"/>
              <w:rPr>
                <w:rFonts w:ascii="Arial" w:hAnsi="Arial" w:cs="Arial"/>
                <w:sz w:val="20"/>
                <w:szCs w:val="20"/>
              </w:rPr>
            </w:pPr>
            <w:r w:rsidRPr="00FA76A5">
              <w:rPr>
                <w:rFonts w:ascii="Arial" w:hAnsi="Arial" w:cs="Arial"/>
                <w:sz w:val="20"/>
                <w:szCs w:val="20"/>
              </w:rPr>
              <w:t>4.152.362</w:t>
            </w:r>
          </w:p>
        </w:tc>
      </w:tr>
      <w:tr w:rsidR="00FA76A5" w:rsidRPr="00FA76A5" w:rsidTr="00FA76A5">
        <w:trPr>
          <w:trHeight w:val="290"/>
        </w:trPr>
        <w:tc>
          <w:tcPr>
            <w:tcW w:w="2517" w:type="dxa"/>
            <w:noWrap/>
            <w:hideMark/>
          </w:tcPr>
          <w:p w:rsidR="00FA76A5" w:rsidRPr="00FA76A5" w:rsidRDefault="00FA76A5" w:rsidP="00FA76A5">
            <w:pPr>
              <w:jc w:val="both"/>
              <w:rPr>
                <w:rFonts w:ascii="Arial" w:hAnsi="Arial" w:cs="Arial"/>
                <w:sz w:val="20"/>
                <w:szCs w:val="20"/>
              </w:rPr>
            </w:pPr>
            <w:r>
              <w:rPr>
                <w:rFonts w:ascii="Arial" w:hAnsi="Arial" w:cs="Arial"/>
                <w:sz w:val="20"/>
                <w:szCs w:val="20"/>
              </w:rPr>
              <w:t>LP</w:t>
            </w:r>
            <w:r w:rsidRPr="00FA76A5">
              <w:rPr>
                <w:rFonts w:ascii="Arial" w:hAnsi="Arial" w:cs="Arial"/>
                <w:sz w:val="20"/>
                <w:szCs w:val="20"/>
              </w:rPr>
              <w:t xml:space="preserve"> -</w:t>
            </w:r>
            <w:r>
              <w:rPr>
                <w:rFonts w:ascii="Arial" w:hAnsi="Arial" w:cs="Arial"/>
                <w:sz w:val="20"/>
                <w:szCs w:val="20"/>
              </w:rPr>
              <w:t xml:space="preserve"> </w:t>
            </w:r>
            <w:r w:rsidRPr="00FA76A5">
              <w:rPr>
                <w:rFonts w:ascii="Arial" w:hAnsi="Arial" w:cs="Arial"/>
                <w:sz w:val="20"/>
                <w:szCs w:val="20"/>
              </w:rPr>
              <w:t>trg</w:t>
            </w:r>
          </w:p>
        </w:tc>
        <w:tc>
          <w:tcPr>
            <w:tcW w:w="1320" w:type="dxa"/>
            <w:noWrap/>
            <w:hideMark/>
          </w:tcPr>
          <w:p w:rsidR="00FA76A5" w:rsidRPr="00FA76A5" w:rsidRDefault="00FA76A5" w:rsidP="00FA76A5">
            <w:pPr>
              <w:jc w:val="right"/>
              <w:rPr>
                <w:rFonts w:ascii="Arial" w:hAnsi="Arial" w:cs="Arial"/>
                <w:sz w:val="20"/>
                <w:szCs w:val="20"/>
              </w:rPr>
            </w:pPr>
            <w:r w:rsidRPr="00FA76A5">
              <w:rPr>
                <w:rFonts w:ascii="Arial" w:hAnsi="Arial" w:cs="Arial"/>
                <w:sz w:val="20"/>
                <w:szCs w:val="20"/>
              </w:rPr>
              <w:t>337.093</w:t>
            </w:r>
          </w:p>
        </w:tc>
      </w:tr>
      <w:tr w:rsidR="00FA76A5" w:rsidRPr="00FA76A5" w:rsidTr="00FA76A5">
        <w:trPr>
          <w:trHeight w:val="290"/>
        </w:trPr>
        <w:tc>
          <w:tcPr>
            <w:tcW w:w="2517" w:type="dxa"/>
            <w:noWrap/>
            <w:hideMark/>
          </w:tcPr>
          <w:p w:rsidR="00FA76A5" w:rsidRPr="00FA76A5" w:rsidRDefault="00FA76A5" w:rsidP="00FA76A5">
            <w:pPr>
              <w:jc w:val="both"/>
              <w:rPr>
                <w:rFonts w:ascii="Arial" w:hAnsi="Arial" w:cs="Arial"/>
                <w:sz w:val="20"/>
                <w:szCs w:val="20"/>
              </w:rPr>
            </w:pPr>
            <w:r>
              <w:rPr>
                <w:rFonts w:ascii="Arial" w:hAnsi="Arial" w:cs="Arial"/>
                <w:sz w:val="20"/>
                <w:szCs w:val="20"/>
              </w:rPr>
              <w:t>LP</w:t>
            </w:r>
            <w:r w:rsidRPr="00FA76A5">
              <w:rPr>
                <w:rFonts w:ascii="Arial" w:hAnsi="Arial" w:cs="Arial"/>
                <w:sz w:val="20"/>
                <w:szCs w:val="20"/>
              </w:rPr>
              <w:t xml:space="preserve"> -</w:t>
            </w:r>
            <w:r>
              <w:rPr>
                <w:rFonts w:ascii="Arial" w:hAnsi="Arial" w:cs="Arial"/>
                <w:sz w:val="20"/>
                <w:szCs w:val="20"/>
              </w:rPr>
              <w:t xml:space="preserve"> </w:t>
            </w:r>
            <w:r w:rsidRPr="00FA76A5">
              <w:rPr>
                <w:rFonts w:ascii="Arial" w:hAnsi="Arial" w:cs="Arial"/>
                <w:sz w:val="20"/>
                <w:szCs w:val="20"/>
              </w:rPr>
              <w:t>EU projekti</w:t>
            </w:r>
          </w:p>
        </w:tc>
        <w:tc>
          <w:tcPr>
            <w:tcW w:w="1320" w:type="dxa"/>
            <w:noWrap/>
            <w:hideMark/>
          </w:tcPr>
          <w:p w:rsidR="00FA76A5" w:rsidRPr="00FA76A5" w:rsidRDefault="00FA76A5" w:rsidP="00FA76A5">
            <w:pPr>
              <w:jc w:val="right"/>
              <w:rPr>
                <w:rFonts w:ascii="Arial" w:hAnsi="Arial" w:cs="Arial"/>
                <w:sz w:val="20"/>
                <w:szCs w:val="20"/>
              </w:rPr>
            </w:pPr>
            <w:r w:rsidRPr="00FA76A5">
              <w:rPr>
                <w:rFonts w:ascii="Arial" w:hAnsi="Arial" w:cs="Arial"/>
                <w:sz w:val="20"/>
                <w:szCs w:val="20"/>
              </w:rPr>
              <w:t>1.338.619</w:t>
            </w:r>
          </w:p>
        </w:tc>
      </w:tr>
    </w:tbl>
    <w:p w:rsidR="00FA76A5" w:rsidRPr="00F82C5F" w:rsidRDefault="00FA76A5" w:rsidP="00F82C5F">
      <w:pPr>
        <w:jc w:val="both"/>
        <w:rPr>
          <w:rFonts w:ascii="Arial" w:hAnsi="Arial" w:cs="Arial"/>
          <w:sz w:val="20"/>
          <w:szCs w:val="20"/>
        </w:rPr>
      </w:pPr>
    </w:p>
    <w:p w:rsidR="00720C46" w:rsidRPr="00F82C5F" w:rsidRDefault="00720C46" w:rsidP="00F82C5F">
      <w:pPr>
        <w:jc w:val="both"/>
        <w:rPr>
          <w:rFonts w:ascii="Arial" w:hAnsi="Arial" w:cs="Arial"/>
          <w:sz w:val="20"/>
          <w:szCs w:val="20"/>
        </w:rPr>
      </w:pPr>
    </w:p>
    <w:p w:rsidR="009C5648" w:rsidRPr="00F82C5F" w:rsidRDefault="009C5648" w:rsidP="00F82C5F">
      <w:pPr>
        <w:jc w:val="both"/>
        <w:rPr>
          <w:rFonts w:ascii="Arial" w:hAnsi="Arial" w:cs="Arial"/>
          <w:sz w:val="20"/>
          <w:szCs w:val="20"/>
        </w:rPr>
      </w:pPr>
      <w:r w:rsidRPr="00F82C5F">
        <w:rPr>
          <w:rFonts w:ascii="Arial" w:hAnsi="Arial" w:cs="Arial"/>
          <w:noProof/>
          <w:sz w:val="20"/>
          <w:szCs w:val="20"/>
          <w:lang w:eastAsia="sl-SI"/>
        </w:rPr>
        <w:lastRenderedPageBreak/>
        <w:drawing>
          <wp:inline distT="0" distB="0" distL="0" distR="0">
            <wp:extent cx="5965605" cy="3119717"/>
            <wp:effectExtent l="0" t="0" r="16510" b="5080"/>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C5648" w:rsidRPr="00F82C5F" w:rsidRDefault="009C5648" w:rsidP="00F82C5F">
      <w:pPr>
        <w:jc w:val="both"/>
        <w:rPr>
          <w:rFonts w:ascii="Arial" w:hAnsi="Arial" w:cs="Arial"/>
          <w:sz w:val="20"/>
          <w:szCs w:val="20"/>
        </w:rPr>
      </w:pPr>
    </w:p>
    <w:p w:rsidR="0049072D" w:rsidRDefault="00CF33DF" w:rsidP="00F82C5F">
      <w:pPr>
        <w:jc w:val="both"/>
        <w:rPr>
          <w:rFonts w:ascii="Arial" w:hAnsi="Arial" w:cs="Arial"/>
          <w:sz w:val="20"/>
          <w:szCs w:val="20"/>
        </w:rPr>
      </w:pPr>
      <w:r w:rsidRPr="00F82C5F">
        <w:rPr>
          <w:rFonts w:ascii="Arial" w:hAnsi="Arial" w:cs="Arial"/>
          <w:sz w:val="20"/>
          <w:szCs w:val="20"/>
        </w:rPr>
        <w:t xml:space="preserve">Za izvajanje državne javne službe je </w:t>
      </w:r>
      <w:r w:rsidRPr="00F82C5F">
        <w:rPr>
          <w:rFonts w:ascii="Arial" w:hAnsi="Arial" w:cs="Arial"/>
          <w:b/>
          <w:sz w:val="20"/>
          <w:szCs w:val="20"/>
        </w:rPr>
        <w:t xml:space="preserve">ministrstvo </w:t>
      </w:r>
      <w:r w:rsidRPr="00F82C5F">
        <w:rPr>
          <w:rFonts w:ascii="Arial" w:hAnsi="Arial" w:cs="Arial"/>
          <w:sz w:val="20"/>
          <w:szCs w:val="20"/>
        </w:rPr>
        <w:t>zagot</w:t>
      </w:r>
      <w:r w:rsidR="00306D57" w:rsidRPr="00F82C5F">
        <w:rPr>
          <w:rFonts w:ascii="Arial" w:hAnsi="Arial" w:cs="Arial"/>
          <w:sz w:val="20"/>
          <w:szCs w:val="20"/>
        </w:rPr>
        <w:t>ovilo</w:t>
      </w:r>
      <w:r w:rsidRPr="00F82C5F">
        <w:rPr>
          <w:rFonts w:ascii="Arial" w:hAnsi="Arial" w:cs="Arial"/>
          <w:sz w:val="20"/>
          <w:szCs w:val="20"/>
        </w:rPr>
        <w:t xml:space="preserve"> sr</w:t>
      </w:r>
      <w:r w:rsidR="00F53C02" w:rsidRPr="00F82C5F">
        <w:rPr>
          <w:rFonts w:ascii="Arial" w:hAnsi="Arial" w:cs="Arial"/>
          <w:sz w:val="20"/>
          <w:szCs w:val="20"/>
        </w:rPr>
        <w:t xml:space="preserve">edstva v višini </w:t>
      </w:r>
      <w:r w:rsidR="00576D42" w:rsidRPr="00576D42">
        <w:rPr>
          <w:rFonts w:ascii="Arial" w:hAnsi="Arial" w:cs="Arial"/>
          <w:sz w:val="20"/>
          <w:szCs w:val="20"/>
        </w:rPr>
        <w:t>15.893.328</w:t>
      </w:r>
      <w:r w:rsidR="00F53C02" w:rsidRPr="00F82C5F">
        <w:rPr>
          <w:rFonts w:ascii="Arial" w:hAnsi="Arial" w:cs="Arial"/>
          <w:sz w:val="20"/>
          <w:szCs w:val="20"/>
        </w:rPr>
        <w:t xml:space="preserve"> EUR, kot je navedeno v spodnjem prikazu.</w:t>
      </w:r>
      <w:r w:rsidRPr="00F82C5F">
        <w:rPr>
          <w:rFonts w:ascii="Arial" w:hAnsi="Arial" w:cs="Arial"/>
          <w:sz w:val="20"/>
          <w:szCs w:val="20"/>
        </w:rPr>
        <w:t xml:space="preserve"> Sredstva za investicijsko vzdrževanje kulturnih spomenikov</w:t>
      </w:r>
      <w:r w:rsidRPr="00F82C5F">
        <w:rPr>
          <w:rStyle w:val="Sprotnaopomba-sklic"/>
          <w:rFonts w:ascii="Arial" w:hAnsi="Arial" w:cs="Arial"/>
          <w:sz w:val="20"/>
          <w:szCs w:val="20"/>
        </w:rPr>
        <w:footnoteReference w:id="17"/>
      </w:r>
      <w:r w:rsidRPr="00F82C5F">
        <w:rPr>
          <w:rFonts w:ascii="Arial" w:hAnsi="Arial" w:cs="Arial"/>
          <w:sz w:val="20"/>
          <w:szCs w:val="20"/>
        </w:rPr>
        <w:t xml:space="preserve"> je </w:t>
      </w:r>
      <w:r w:rsidR="00F53C02" w:rsidRPr="00F82C5F">
        <w:rPr>
          <w:rFonts w:ascii="Arial" w:hAnsi="Arial" w:cs="Arial"/>
          <w:sz w:val="20"/>
          <w:szCs w:val="20"/>
        </w:rPr>
        <w:t xml:space="preserve">ministrstvo </w:t>
      </w:r>
      <w:r w:rsidRPr="00F82C5F">
        <w:rPr>
          <w:rFonts w:ascii="Arial" w:hAnsi="Arial" w:cs="Arial"/>
          <w:sz w:val="20"/>
          <w:szCs w:val="20"/>
        </w:rPr>
        <w:t xml:space="preserve">zagotovilo Pokrajinskemu muzeju Ptuj – Ormož in Galeriji Božidar Jakac, ki imata prostore v spomeniških kompleksih v lasti Republike Slovenije in sta hkrati tudi upravljavca objektov. </w:t>
      </w:r>
    </w:p>
    <w:p w:rsidR="00576D42" w:rsidRPr="00F82C5F" w:rsidRDefault="00576D42" w:rsidP="00F82C5F">
      <w:pPr>
        <w:jc w:val="both"/>
        <w:rPr>
          <w:rFonts w:ascii="Arial" w:hAnsi="Arial" w:cs="Arial"/>
          <w:sz w:val="20"/>
          <w:szCs w:val="20"/>
        </w:rPr>
      </w:pPr>
      <w:bookmarkStart w:id="0" w:name="_GoBack"/>
      <w:bookmarkEnd w:id="0"/>
    </w:p>
    <w:p w:rsidR="004E2C59" w:rsidRPr="00F82C5F" w:rsidRDefault="000A6989" w:rsidP="00F82C5F">
      <w:pPr>
        <w:jc w:val="both"/>
        <w:rPr>
          <w:rFonts w:ascii="Arial" w:hAnsi="Arial" w:cs="Arial"/>
          <w:sz w:val="20"/>
          <w:szCs w:val="20"/>
        </w:rPr>
      </w:pPr>
      <w:r>
        <w:rPr>
          <w:rFonts w:ascii="Arial" w:hAnsi="Arial" w:cs="Arial"/>
          <w:noProof/>
          <w:sz w:val="20"/>
          <w:szCs w:val="20"/>
        </w:rPr>
        <w:drawing>
          <wp:inline distT="0" distB="0" distL="0" distR="0">
            <wp:extent cx="5486400" cy="3200400"/>
            <wp:effectExtent l="0" t="0" r="0" b="0"/>
            <wp:docPr id="12" name="Grafikon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F5B55" w:rsidRPr="00F82C5F" w:rsidRDefault="000F5B55" w:rsidP="00F82C5F">
      <w:pPr>
        <w:jc w:val="both"/>
        <w:rPr>
          <w:rFonts w:ascii="Arial" w:hAnsi="Arial" w:cs="Arial"/>
          <w:sz w:val="20"/>
          <w:szCs w:val="20"/>
        </w:rPr>
      </w:pPr>
    </w:p>
    <w:p w:rsidR="00D325BE" w:rsidRPr="00F82C5F" w:rsidRDefault="00FF6A9C" w:rsidP="00F82C5F">
      <w:pPr>
        <w:jc w:val="both"/>
        <w:rPr>
          <w:rFonts w:ascii="Arial" w:hAnsi="Arial" w:cs="Arial"/>
          <w:sz w:val="20"/>
          <w:szCs w:val="20"/>
        </w:rPr>
      </w:pPr>
      <w:r w:rsidRPr="00F82C5F">
        <w:rPr>
          <w:rFonts w:ascii="Arial" w:hAnsi="Arial" w:cs="Arial"/>
          <w:sz w:val="20"/>
          <w:szCs w:val="20"/>
        </w:rPr>
        <w:t xml:space="preserve">Večina sredstev je porabljenih za plače, </w:t>
      </w:r>
      <w:r w:rsidR="00F944F5" w:rsidRPr="00F82C5F">
        <w:rPr>
          <w:rFonts w:ascii="Arial" w:hAnsi="Arial" w:cs="Arial"/>
          <w:sz w:val="20"/>
          <w:szCs w:val="20"/>
        </w:rPr>
        <w:t xml:space="preserve">vključujoč regres, odpravnine in jubilejne nagrade. </w:t>
      </w:r>
      <w:r w:rsidR="00D325BE" w:rsidRPr="00F82C5F">
        <w:rPr>
          <w:rFonts w:ascii="Arial" w:hAnsi="Arial" w:cs="Arial"/>
          <w:sz w:val="20"/>
          <w:szCs w:val="20"/>
        </w:rPr>
        <w:t xml:space="preserve">Ker ministrstvo zagotavlja plače večini strokovnih delavcev, ki napredujejo tudi v nazivih, </w:t>
      </w:r>
      <w:r w:rsidR="000A2DAC" w:rsidRPr="00F82C5F">
        <w:rPr>
          <w:rFonts w:ascii="Arial" w:hAnsi="Arial" w:cs="Arial"/>
          <w:sz w:val="20"/>
          <w:szCs w:val="20"/>
        </w:rPr>
        <w:t xml:space="preserve">in direktorjev, </w:t>
      </w:r>
      <w:r w:rsidR="00D325BE" w:rsidRPr="00F82C5F">
        <w:rPr>
          <w:rFonts w:ascii="Arial" w:hAnsi="Arial" w:cs="Arial"/>
          <w:sz w:val="20"/>
          <w:szCs w:val="20"/>
        </w:rPr>
        <w:t>se je breme zagotavljanja sredstev za ministrstvo dodatno povišalo.</w:t>
      </w:r>
      <w:r w:rsidR="00930018" w:rsidRPr="00F82C5F">
        <w:rPr>
          <w:rFonts w:ascii="Arial" w:hAnsi="Arial" w:cs="Arial"/>
          <w:sz w:val="20"/>
          <w:szCs w:val="20"/>
        </w:rPr>
        <w:t xml:space="preserve"> </w:t>
      </w:r>
      <w:r w:rsidRPr="00F82C5F">
        <w:rPr>
          <w:rFonts w:ascii="Arial" w:hAnsi="Arial" w:cs="Arial"/>
          <w:sz w:val="20"/>
          <w:szCs w:val="20"/>
        </w:rPr>
        <w:t xml:space="preserve">Skoraj enako razmerje predstavljajo </w:t>
      </w:r>
      <w:r w:rsidR="00F944F5" w:rsidRPr="00F82C5F">
        <w:rPr>
          <w:rFonts w:ascii="Arial" w:hAnsi="Arial" w:cs="Arial"/>
          <w:sz w:val="20"/>
          <w:szCs w:val="20"/>
        </w:rPr>
        <w:t>splošni strošk</w:t>
      </w:r>
      <w:r w:rsidRPr="00F82C5F">
        <w:rPr>
          <w:rFonts w:ascii="Arial" w:hAnsi="Arial" w:cs="Arial"/>
          <w:sz w:val="20"/>
          <w:szCs w:val="20"/>
        </w:rPr>
        <w:t>i</w:t>
      </w:r>
      <w:r w:rsidR="00D325BE" w:rsidRPr="00F82C5F">
        <w:rPr>
          <w:rFonts w:ascii="Arial" w:hAnsi="Arial" w:cs="Arial"/>
          <w:sz w:val="20"/>
          <w:szCs w:val="20"/>
        </w:rPr>
        <w:t xml:space="preserve"> delovanja, ki so indeksirani, </w:t>
      </w:r>
      <w:r w:rsidR="00F944F5" w:rsidRPr="00F82C5F">
        <w:rPr>
          <w:rFonts w:ascii="Arial" w:hAnsi="Arial" w:cs="Arial"/>
          <w:sz w:val="20"/>
          <w:szCs w:val="20"/>
        </w:rPr>
        <w:t>in programski strošk</w:t>
      </w:r>
      <w:r w:rsidRPr="00F82C5F">
        <w:rPr>
          <w:rFonts w:ascii="Arial" w:hAnsi="Arial" w:cs="Arial"/>
          <w:sz w:val="20"/>
          <w:szCs w:val="20"/>
        </w:rPr>
        <w:t>i</w:t>
      </w:r>
      <w:r w:rsidR="00D325BE" w:rsidRPr="00F82C5F">
        <w:rPr>
          <w:rFonts w:ascii="Arial" w:hAnsi="Arial" w:cs="Arial"/>
          <w:sz w:val="20"/>
          <w:szCs w:val="20"/>
        </w:rPr>
        <w:t>, razdeljeni v dva sklopa. P</w:t>
      </w:r>
      <w:r w:rsidR="00F944F5" w:rsidRPr="00F82C5F">
        <w:rPr>
          <w:rFonts w:ascii="Arial" w:hAnsi="Arial" w:cs="Arial"/>
          <w:sz w:val="20"/>
          <w:szCs w:val="20"/>
        </w:rPr>
        <w:t>rogramski I. sklop</w:t>
      </w:r>
      <w:r w:rsidR="00D325BE" w:rsidRPr="00F82C5F">
        <w:rPr>
          <w:rFonts w:ascii="Arial" w:hAnsi="Arial" w:cs="Arial"/>
          <w:sz w:val="20"/>
          <w:szCs w:val="20"/>
        </w:rPr>
        <w:t xml:space="preserve"> je izračunan</w:t>
      </w:r>
      <w:r w:rsidR="00F944F5" w:rsidRPr="00F82C5F">
        <w:rPr>
          <w:rFonts w:ascii="Arial" w:hAnsi="Arial" w:cs="Arial"/>
          <w:sz w:val="20"/>
          <w:szCs w:val="20"/>
        </w:rPr>
        <w:t xml:space="preserve"> </w:t>
      </w:r>
      <w:r w:rsidR="00F944F5" w:rsidRPr="00F82C5F">
        <w:rPr>
          <w:rFonts w:ascii="Arial" w:hAnsi="Arial" w:cs="Arial"/>
          <w:sz w:val="20"/>
          <w:szCs w:val="20"/>
        </w:rPr>
        <w:lastRenderedPageBreak/>
        <w:t>kot povprečje porabe sredstev za strokovno delo enega zaposlenega</w:t>
      </w:r>
      <w:r w:rsidR="00D325BE" w:rsidRPr="00F82C5F">
        <w:rPr>
          <w:rFonts w:ascii="Arial" w:hAnsi="Arial" w:cs="Arial"/>
          <w:sz w:val="20"/>
          <w:szCs w:val="20"/>
        </w:rPr>
        <w:t xml:space="preserve"> in se v primerjavi z letom 201</w:t>
      </w:r>
      <w:r w:rsidR="00C873AD">
        <w:rPr>
          <w:rFonts w:ascii="Arial" w:hAnsi="Arial" w:cs="Arial"/>
          <w:sz w:val="20"/>
          <w:szCs w:val="20"/>
        </w:rPr>
        <w:t>8</w:t>
      </w:r>
      <w:r w:rsidR="00D325BE" w:rsidRPr="00F82C5F">
        <w:rPr>
          <w:rFonts w:ascii="Arial" w:hAnsi="Arial" w:cs="Arial"/>
          <w:sz w:val="20"/>
          <w:szCs w:val="20"/>
        </w:rPr>
        <w:t xml:space="preserve"> ni spreminjal. Sredstva programskega II. sklopa so namenjena realizaciji razstav in drugih projektov</w:t>
      </w:r>
      <w:r w:rsidR="00F944F5" w:rsidRPr="00F82C5F">
        <w:rPr>
          <w:rFonts w:ascii="Arial" w:hAnsi="Arial" w:cs="Arial"/>
          <w:sz w:val="20"/>
          <w:szCs w:val="20"/>
        </w:rPr>
        <w:t xml:space="preserve">, </w:t>
      </w:r>
      <w:r w:rsidR="00D325BE" w:rsidRPr="00F82C5F">
        <w:rPr>
          <w:rFonts w:ascii="Arial" w:hAnsi="Arial" w:cs="Arial"/>
          <w:sz w:val="20"/>
          <w:szCs w:val="20"/>
        </w:rPr>
        <w:t xml:space="preserve">muzejem pa se dodeljujejo po predhodni obravnavi na pristojni strokovni komisiji. Za posamezni muzej je programski II. sklop variabilen in lahko v letih močno niha, odvisno od prijave programa. Ministrstvo želi spodbujati </w:t>
      </w:r>
      <w:r w:rsidR="006D0D44" w:rsidRPr="00F82C5F">
        <w:rPr>
          <w:rFonts w:ascii="Arial" w:hAnsi="Arial" w:cs="Arial"/>
          <w:sz w:val="20"/>
          <w:szCs w:val="20"/>
        </w:rPr>
        <w:t xml:space="preserve">kvaliteto projektov in sodelovanje med sorodnimi institucijami, zaradi česar je indeksacija sredstev II. sklopa nesprejemljiva. </w:t>
      </w:r>
    </w:p>
    <w:p w:rsidR="006D0D44" w:rsidRPr="00F82C5F" w:rsidRDefault="006D0D44" w:rsidP="00F82C5F">
      <w:pPr>
        <w:jc w:val="both"/>
        <w:rPr>
          <w:rFonts w:ascii="Arial" w:hAnsi="Arial" w:cs="Arial"/>
          <w:sz w:val="20"/>
          <w:szCs w:val="20"/>
        </w:rPr>
      </w:pPr>
    </w:p>
    <w:p w:rsidR="00F944F5" w:rsidRPr="00F82C5F" w:rsidRDefault="00F944F5" w:rsidP="00F82C5F">
      <w:pPr>
        <w:jc w:val="both"/>
        <w:rPr>
          <w:rFonts w:ascii="Arial" w:hAnsi="Arial" w:cs="Arial"/>
          <w:sz w:val="20"/>
          <w:szCs w:val="20"/>
        </w:rPr>
      </w:pPr>
      <w:r w:rsidRPr="00F82C5F">
        <w:rPr>
          <w:rFonts w:ascii="Arial" w:hAnsi="Arial" w:cs="Arial"/>
          <w:sz w:val="20"/>
          <w:szCs w:val="20"/>
        </w:rPr>
        <w:t xml:space="preserve">Muzeji lahko del sredstev pridobijo še za odkupe predmetov za dopolnitev muzejskih zbirk, obdelavo arhivov </w:t>
      </w:r>
      <w:r w:rsidRPr="00F82C5F">
        <w:rPr>
          <w:rFonts w:ascii="Arial" w:hAnsi="Arial" w:cs="Arial"/>
          <w:sz w:val="20"/>
          <w:szCs w:val="20"/>
        </w:rPr>
        <w:t>arheoloških najdišč in za nekatere posebne projekte ali naloge</w:t>
      </w:r>
      <w:r w:rsidR="006D0D44" w:rsidRPr="00F82C5F">
        <w:rPr>
          <w:rFonts w:ascii="Arial" w:hAnsi="Arial" w:cs="Arial"/>
          <w:sz w:val="20"/>
          <w:szCs w:val="20"/>
        </w:rPr>
        <w:t>.</w:t>
      </w:r>
      <w:r w:rsidRPr="00F82C5F">
        <w:rPr>
          <w:rFonts w:ascii="Arial" w:hAnsi="Arial" w:cs="Arial"/>
          <w:sz w:val="20"/>
          <w:szCs w:val="20"/>
        </w:rPr>
        <w:t xml:space="preserve"> </w:t>
      </w:r>
      <w:r w:rsidR="006D0D44" w:rsidRPr="00F82C5F">
        <w:rPr>
          <w:rFonts w:ascii="Arial" w:hAnsi="Arial" w:cs="Arial"/>
          <w:sz w:val="20"/>
          <w:szCs w:val="20"/>
        </w:rPr>
        <w:t xml:space="preserve">Na postavki za odkupe kulturne dediščine je ministrstvo zagotovilo sredstva v višini 237.500 EUR, </w:t>
      </w:r>
      <w:r w:rsidR="00EC55E2">
        <w:rPr>
          <w:rFonts w:ascii="Arial" w:hAnsi="Arial" w:cs="Arial"/>
          <w:sz w:val="20"/>
          <w:szCs w:val="20"/>
        </w:rPr>
        <w:t xml:space="preserve">od tega so </w:t>
      </w:r>
      <w:r w:rsidR="006D0D44" w:rsidRPr="00F82C5F">
        <w:rPr>
          <w:rFonts w:ascii="Arial" w:hAnsi="Arial" w:cs="Arial"/>
          <w:sz w:val="20"/>
          <w:szCs w:val="20"/>
        </w:rPr>
        <w:t xml:space="preserve">pooblaščeni muzeji pridobili </w:t>
      </w:r>
      <w:r w:rsidR="00C873AD">
        <w:rPr>
          <w:rFonts w:ascii="Arial" w:hAnsi="Arial" w:cs="Arial"/>
          <w:sz w:val="20"/>
          <w:szCs w:val="20"/>
        </w:rPr>
        <w:t>7</w:t>
      </w:r>
      <w:r w:rsidR="0018674F" w:rsidRPr="00F82C5F">
        <w:rPr>
          <w:rFonts w:ascii="Arial" w:hAnsi="Arial" w:cs="Arial"/>
          <w:sz w:val="20"/>
          <w:szCs w:val="20"/>
        </w:rPr>
        <w:t>4,</w:t>
      </w:r>
      <w:r w:rsidR="00C873AD">
        <w:rPr>
          <w:rFonts w:ascii="Arial" w:hAnsi="Arial" w:cs="Arial"/>
          <w:sz w:val="20"/>
          <w:szCs w:val="20"/>
        </w:rPr>
        <w:t>4</w:t>
      </w:r>
      <w:r w:rsidR="0018674F" w:rsidRPr="00F82C5F">
        <w:rPr>
          <w:rFonts w:ascii="Arial" w:hAnsi="Arial" w:cs="Arial"/>
          <w:sz w:val="20"/>
          <w:szCs w:val="20"/>
        </w:rPr>
        <w:t xml:space="preserve"> </w:t>
      </w:r>
      <w:r w:rsidR="006D0D44" w:rsidRPr="00F82C5F">
        <w:rPr>
          <w:rFonts w:ascii="Arial" w:hAnsi="Arial" w:cs="Arial"/>
          <w:sz w:val="20"/>
          <w:szCs w:val="20"/>
        </w:rPr>
        <w:t>% sredstev. Tudi predloge odkupov presoja pristojna strokovna komisija</w:t>
      </w:r>
      <w:r w:rsidR="00676E33" w:rsidRPr="00F82C5F">
        <w:rPr>
          <w:rFonts w:ascii="Arial" w:hAnsi="Arial" w:cs="Arial"/>
          <w:sz w:val="20"/>
          <w:szCs w:val="20"/>
        </w:rPr>
        <w:t xml:space="preserve"> in glede na pomembnost, kakovost </w:t>
      </w:r>
      <w:r w:rsidR="00676E33" w:rsidRPr="00F82C5F">
        <w:rPr>
          <w:rFonts w:ascii="Arial" w:hAnsi="Arial" w:cs="Arial"/>
          <w:sz w:val="20"/>
          <w:szCs w:val="20"/>
        </w:rPr>
        <w:t>in smotrnost posameznega odkupa pripravi seznam predlogov. Glede na obseg sredstev, namenjenih obdelavi arhivov arheoloških najdišč, se financirajo le najnujnej</w:t>
      </w:r>
      <w:r w:rsidR="001B5A08" w:rsidRPr="00F82C5F">
        <w:rPr>
          <w:rFonts w:ascii="Arial" w:hAnsi="Arial" w:cs="Arial"/>
          <w:sz w:val="20"/>
          <w:szCs w:val="20"/>
        </w:rPr>
        <w:t>š</w:t>
      </w:r>
      <w:r w:rsidR="00676E33" w:rsidRPr="00F82C5F">
        <w:rPr>
          <w:rFonts w:ascii="Arial" w:hAnsi="Arial" w:cs="Arial"/>
          <w:sz w:val="20"/>
          <w:szCs w:val="20"/>
        </w:rPr>
        <w:t>e aktivnosti priprav</w:t>
      </w:r>
      <w:r w:rsidR="0070427F" w:rsidRPr="00F82C5F">
        <w:rPr>
          <w:rFonts w:ascii="Arial" w:hAnsi="Arial" w:cs="Arial"/>
          <w:sz w:val="20"/>
          <w:szCs w:val="20"/>
        </w:rPr>
        <w:t>e</w:t>
      </w:r>
      <w:r w:rsidR="00676E33" w:rsidRPr="00F82C5F">
        <w:rPr>
          <w:rFonts w:ascii="Arial" w:hAnsi="Arial" w:cs="Arial"/>
          <w:sz w:val="20"/>
          <w:szCs w:val="20"/>
        </w:rPr>
        <w:t xml:space="preserve"> predmetov </w:t>
      </w:r>
      <w:r w:rsidR="0070427F" w:rsidRPr="00F82C5F">
        <w:rPr>
          <w:rFonts w:ascii="Arial" w:hAnsi="Arial" w:cs="Arial"/>
          <w:sz w:val="20"/>
          <w:szCs w:val="20"/>
        </w:rPr>
        <w:t>za</w:t>
      </w:r>
      <w:r w:rsidR="00676E33" w:rsidRPr="00F82C5F">
        <w:rPr>
          <w:rFonts w:ascii="Arial" w:hAnsi="Arial" w:cs="Arial"/>
          <w:sz w:val="20"/>
          <w:szCs w:val="20"/>
        </w:rPr>
        <w:t xml:space="preserve"> inventarizacijo. D</w:t>
      </w:r>
      <w:r w:rsidRPr="00F82C5F">
        <w:rPr>
          <w:rFonts w:ascii="Arial" w:hAnsi="Arial" w:cs="Arial"/>
          <w:sz w:val="20"/>
          <w:szCs w:val="20"/>
        </w:rPr>
        <w:t xml:space="preserve">odatna sredstva </w:t>
      </w:r>
      <w:r w:rsidR="00676E33" w:rsidRPr="00F82C5F">
        <w:rPr>
          <w:rFonts w:ascii="Arial" w:hAnsi="Arial" w:cs="Arial"/>
          <w:sz w:val="20"/>
          <w:szCs w:val="20"/>
        </w:rPr>
        <w:t xml:space="preserve">z drugih postavk </w:t>
      </w:r>
      <w:r w:rsidRPr="00F82C5F">
        <w:rPr>
          <w:rFonts w:ascii="Arial" w:hAnsi="Arial" w:cs="Arial"/>
          <w:sz w:val="20"/>
          <w:szCs w:val="20"/>
        </w:rPr>
        <w:t xml:space="preserve">za večje projekte in naloge </w:t>
      </w:r>
      <w:r w:rsidR="00AB4C57" w:rsidRPr="00F82C5F">
        <w:rPr>
          <w:rFonts w:ascii="Arial" w:hAnsi="Arial" w:cs="Arial"/>
          <w:sz w:val="20"/>
          <w:szCs w:val="20"/>
        </w:rPr>
        <w:t>je</w:t>
      </w:r>
      <w:r w:rsidR="00676E33" w:rsidRPr="00F82C5F">
        <w:rPr>
          <w:rFonts w:ascii="Arial" w:hAnsi="Arial" w:cs="Arial"/>
          <w:sz w:val="20"/>
          <w:szCs w:val="20"/>
        </w:rPr>
        <w:t xml:space="preserve"> pridobil</w:t>
      </w:r>
      <w:r w:rsidR="00AB4C57" w:rsidRPr="00F82C5F">
        <w:rPr>
          <w:rFonts w:ascii="Arial" w:hAnsi="Arial" w:cs="Arial"/>
          <w:sz w:val="20"/>
          <w:szCs w:val="20"/>
        </w:rPr>
        <w:t xml:space="preserve">o šest muzejev. </w:t>
      </w:r>
    </w:p>
    <w:p w:rsidR="00F944F5" w:rsidRPr="00F82C5F" w:rsidRDefault="00F944F5" w:rsidP="00F82C5F">
      <w:pPr>
        <w:jc w:val="both"/>
        <w:rPr>
          <w:rFonts w:ascii="Arial" w:hAnsi="Arial" w:cs="Arial"/>
          <w:sz w:val="20"/>
          <w:szCs w:val="20"/>
        </w:rPr>
      </w:pPr>
    </w:p>
    <w:p w:rsidR="00AB023A" w:rsidRPr="00F82C5F" w:rsidRDefault="00F944F5" w:rsidP="00F82C5F">
      <w:pPr>
        <w:jc w:val="both"/>
        <w:rPr>
          <w:rFonts w:ascii="Arial" w:hAnsi="Arial" w:cs="Arial"/>
          <w:sz w:val="20"/>
          <w:szCs w:val="20"/>
        </w:rPr>
      </w:pPr>
      <w:r w:rsidRPr="00F82C5F">
        <w:rPr>
          <w:rFonts w:ascii="Arial" w:hAnsi="Arial" w:cs="Arial"/>
          <w:sz w:val="20"/>
          <w:szCs w:val="20"/>
        </w:rPr>
        <w:t xml:space="preserve">Ustanoviteljice 35 pooblaščenih muzejev so </w:t>
      </w:r>
      <w:r w:rsidRPr="00F82C5F">
        <w:rPr>
          <w:rFonts w:ascii="Arial" w:hAnsi="Arial" w:cs="Arial"/>
          <w:b/>
          <w:sz w:val="20"/>
          <w:szCs w:val="20"/>
        </w:rPr>
        <w:t>občine</w:t>
      </w:r>
      <w:r w:rsidR="000A2DAC" w:rsidRPr="00F82C5F">
        <w:rPr>
          <w:rFonts w:ascii="Arial" w:hAnsi="Arial" w:cs="Arial"/>
          <w:sz w:val="20"/>
          <w:szCs w:val="20"/>
        </w:rPr>
        <w:t>,</w:t>
      </w:r>
      <w:r w:rsidRPr="00F82C5F">
        <w:rPr>
          <w:rFonts w:ascii="Arial" w:hAnsi="Arial" w:cs="Arial"/>
          <w:sz w:val="20"/>
          <w:szCs w:val="20"/>
        </w:rPr>
        <w:t xml:space="preserve"> večin</w:t>
      </w:r>
      <w:r w:rsidR="000A2DAC" w:rsidRPr="00F82C5F">
        <w:rPr>
          <w:rFonts w:ascii="Arial" w:hAnsi="Arial" w:cs="Arial"/>
          <w:sz w:val="20"/>
          <w:szCs w:val="20"/>
        </w:rPr>
        <w:t>oma</w:t>
      </w:r>
      <w:r w:rsidRPr="00F82C5F">
        <w:rPr>
          <w:rFonts w:ascii="Arial" w:hAnsi="Arial" w:cs="Arial"/>
          <w:sz w:val="20"/>
          <w:szCs w:val="20"/>
        </w:rPr>
        <w:t xml:space="preserve"> sedežna občina, </w:t>
      </w:r>
      <w:r w:rsidR="00F82EBA" w:rsidRPr="00F82C5F">
        <w:rPr>
          <w:rFonts w:ascii="Arial" w:hAnsi="Arial" w:cs="Arial"/>
          <w:sz w:val="20"/>
          <w:szCs w:val="20"/>
        </w:rPr>
        <w:t>8</w:t>
      </w:r>
      <w:r w:rsidRPr="00F82C5F">
        <w:rPr>
          <w:rFonts w:ascii="Arial" w:hAnsi="Arial" w:cs="Arial"/>
          <w:sz w:val="20"/>
          <w:szCs w:val="20"/>
        </w:rPr>
        <w:t xml:space="preserve"> muzejev pa </w:t>
      </w:r>
      <w:r w:rsidR="00F82EBA" w:rsidRPr="00F82C5F">
        <w:rPr>
          <w:rFonts w:ascii="Arial" w:hAnsi="Arial" w:cs="Arial"/>
          <w:sz w:val="20"/>
          <w:szCs w:val="20"/>
        </w:rPr>
        <w:t>sta ustanovili dve ali več občin.</w:t>
      </w:r>
      <w:r w:rsidRPr="00F82C5F">
        <w:rPr>
          <w:rFonts w:ascii="Arial" w:hAnsi="Arial" w:cs="Arial"/>
          <w:sz w:val="20"/>
          <w:szCs w:val="20"/>
        </w:rPr>
        <w:t xml:space="preserve"> </w:t>
      </w:r>
      <w:r w:rsidR="00AB023A" w:rsidRPr="00F82C5F">
        <w:rPr>
          <w:rFonts w:ascii="Arial" w:hAnsi="Arial" w:cs="Arial"/>
          <w:sz w:val="20"/>
          <w:szCs w:val="20"/>
        </w:rPr>
        <w:t>ZVKD-1</w:t>
      </w:r>
      <w:r w:rsidR="00AB023A" w:rsidRPr="00F82C5F">
        <w:rPr>
          <w:rStyle w:val="Sprotnaopomba-sklic"/>
          <w:rFonts w:ascii="Arial" w:hAnsi="Arial" w:cs="Arial"/>
          <w:sz w:val="20"/>
          <w:szCs w:val="20"/>
        </w:rPr>
        <w:footnoteReference w:id="18"/>
      </w:r>
      <w:r w:rsidR="00AB023A" w:rsidRPr="00F82C5F">
        <w:rPr>
          <w:rFonts w:ascii="Arial" w:hAnsi="Arial" w:cs="Arial"/>
          <w:sz w:val="20"/>
          <w:szCs w:val="20"/>
        </w:rPr>
        <w:t xml:space="preserve"> </w:t>
      </w:r>
      <w:r w:rsidRPr="00F82C5F">
        <w:rPr>
          <w:rFonts w:ascii="Arial" w:hAnsi="Arial" w:cs="Arial"/>
          <w:sz w:val="20"/>
          <w:szCs w:val="20"/>
        </w:rPr>
        <w:t>nalaga finančne obveznosti ustanovitelju, ministrstvu in muzeju</w:t>
      </w:r>
      <w:r w:rsidR="00F82EBA" w:rsidRPr="00F82C5F">
        <w:rPr>
          <w:rFonts w:ascii="Arial" w:hAnsi="Arial" w:cs="Arial"/>
          <w:sz w:val="20"/>
          <w:szCs w:val="20"/>
        </w:rPr>
        <w:t>.</w:t>
      </w:r>
      <w:r w:rsidRPr="00F82C5F">
        <w:rPr>
          <w:rFonts w:ascii="Arial" w:hAnsi="Arial" w:cs="Arial"/>
          <w:sz w:val="20"/>
          <w:szCs w:val="20"/>
        </w:rPr>
        <w:t xml:space="preserve"> </w:t>
      </w:r>
      <w:r w:rsidR="00F82EBA" w:rsidRPr="00F82C5F">
        <w:rPr>
          <w:rFonts w:ascii="Arial" w:hAnsi="Arial" w:cs="Arial"/>
          <w:sz w:val="20"/>
          <w:szCs w:val="20"/>
        </w:rPr>
        <w:t xml:space="preserve">Ministrstvo muzejem financira izvajanje državne javne službe na območju vseh občin v Republiki Sloveniji, posameznemu muzeju pa skladno s pooblastilom na območju </w:t>
      </w:r>
      <w:r w:rsidR="00CF1755" w:rsidRPr="00F82C5F">
        <w:rPr>
          <w:rFonts w:ascii="Arial" w:hAnsi="Arial" w:cs="Arial"/>
          <w:sz w:val="20"/>
          <w:szCs w:val="20"/>
        </w:rPr>
        <w:t>tistih</w:t>
      </w:r>
      <w:r w:rsidR="00F82EBA" w:rsidRPr="00F82C5F">
        <w:rPr>
          <w:rFonts w:ascii="Arial" w:hAnsi="Arial" w:cs="Arial"/>
          <w:sz w:val="20"/>
          <w:szCs w:val="20"/>
        </w:rPr>
        <w:t xml:space="preserve"> občin, za katere je pristojen in v obsegu, določenem v pogodbi. </w:t>
      </w:r>
      <w:r w:rsidR="00CF1755" w:rsidRPr="00F82C5F">
        <w:rPr>
          <w:rFonts w:ascii="Arial" w:hAnsi="Arial" w:cs="Arial"/>
          <w:sz w:val="20"/>
          <w:szCs w:val="20"/>
        </w:rPr>
        <w:t xml:space="preserve">Če občina ni ustanoviteljica muzeja, </w:t>
      </w:r>
      <w:r w:rsidR="004130CF" w:rsidRPr="00F82C5F">
        <w:rPr>
          <w:rFonts w:ascii="Arial" w:hAnsi="Arial" w:cs="Arial"/>
          <w:sz w:val="20"/>
          <w:szCs w:val="20"/>
        </w:rPr>
        <w:t xml:space="preserve">je </w:t>
      </w:r>
      <w:r w:rsidR="00CF1755" w:rsidRPr="00F82C5F">
        <w:rPr>
          <w:rFonts w:ascii="Arial" w:hAnsi="Arial" w:cs="Arial"/>
          <w:sz w:val="20"/>
          <w:szCs w:val="20"/>
        </w:rPr>
        <w:t>prav tako obvezn</w:t>
      </w:r>
      <w:r w:rsidR="004130CF" w:rsidRPr="00F82C5F">
        <w:rPr>
          <w:rFonts w:ascii="Arial" w:hAnsi="Arial" w:cs="Arial"/>
          <w:sz w:val="20"/>
          <w:szCs w:val="20"/>
        </w:rPr>
        <w:t>a</w:t>
      </w:r>
      <w:r w:rsidR="00CF1755" w:rsidRPr="00F82C5F">
        <w:rPr>
          <w:rFonts w:ascii="Arial" w:hAnsi="Arial" w:cs="Arial"/>
          <w:sz w:val="20"/>
          <w:szCs w:val="20"/>
        </w:rPr>
        <w:t xml:space="preserve"> plačevati stroške izvajanja lokalne javne službe ali pa projektnih nalog, ki jih na njenem območju ali zanjo izvaja muzej. Razmerje, obveznosti in višino financiranja v tem primeru uredi pogodbeno z muzejem. </w:t>
      </w:r>
      <w:r w:rsidR="00C873AD">
        <w:rPr>
          <w:rFonts w:ascii="Arial" w:hAnsi="Arial" w:cs="Arial"/>
          <w:sz w:val="20"/>
          <w:szCs w:val="20"/>
        </w:rPr>
        <w:t xml:space="preserve">Ministrstvo je z uradnim dopisom, namenjenim občinam, ki niso ustanoviteljice pooblaščenih muzejev, le-te posebej obvestilo in seznanilo z obveznostmi plačevanja posameznih storitev muzejem. </w:t>
      </w:r>
    </w:p>
    <w:p w:rsidR="00CF1755" w:rsidRPr="00F82C5F" w:rsidRDefault="00CF1755" w:rsidP="00F82C5F">
      <w:pPr>
        <w:jc w:val="both"/>
        <w:rPr>
          <w:rFonts w:ascii="Arial" w:hAnsi="Arial" w:cs="Arial"/>
          <w:sz w:val="20"/>
          <w:szCs w:val="20"/>
        </w:rPr>
      </w:pPr>
    </w:p>
    <w:p w:rsidR="003E1FB4" w:rsidRPr="00F82C5F" w:rsidRDefault="00CF1755" w:rsidP="00F82C5F">
      <w:pPr>
        <w:jc w:val="both"/>
        <w:rPr>
          <w:rFonts w:ascii="Arial" w:hAnsi="Arial" w:cs="Arial"/>
          <w:sz w:val="20"/>
          <w:szCs w:val="20"/>
        </w:rPr>
      </w:pPr>
      <w:r w:rsidRPr="00F82C5F">
        <w:rPr>
          <w:rFonts w:ascii="Arial" w:hAnsi="Arial" w:cs="Arial"/>
          <w:sz w:val="20"/>
          <w:szCs w:val="20"/>
        </w:rPr>
        <w:t xml:space="preserve">93. člen ZVKD-1 določa, da delež sredstev državnega proračuna za posamezni pooblaščeni muzej ne sme presegati 80 % celotnega proračuna muzeja. Predpisi ne določajo obveznega deleža iz občinskih </w:t>
      </w:r>
      <w:r w:rsidRPr="00F82C5F">
        <w:rPr>
          <w:rFonts w:ascii="Arial" w:hAnsi="Arial" w:cs="Arial"/>
          <w:sz w:val="20"/>
          <w:szCs w:val="20"/>
        </w:rPr>
        <w:t xml:space="preserve">proračunov, povsem zmotno pa </w:t>
      </w:r>
      <w:r w:rsidR="00F07EDF" w:rsidRPr="00F82C5F">
        <w:rPr>
          <w:rFonts w:ascii="Arial" w:hAnsi="Arial" w:cs="Arial"/>
          <w:sz w:val="20"/>
          <w:szCs w:val="20"/>
        </w:rPr>
        <w:t xml:space="preserve">je </w:t>
      </w:r>
      <w:r w:rsidRPr="00F82C5F">
        <w:rPr>
          <w:rFonts w:ascii="Arial" w:hAnsi="Arial" w:cs="Arial"/>
          <w:sz w:val="20"/>
          <w:szCs w:val="20"/>
        </w:rPr>
        <w:t xml:space="preserve">mnenje nekaterih ustanoviteljev, da bi država v proračunu morala vsakemu muzeju zagotavljati 80% sredstev. </w:t>
      </w:r>
      <w:r w:rsidR="00F07EDF" w:rsidRPr="00F82C5F">
        <w:rPr>
          <w:rFonts w:ascii="Arial" w:hAnsi="Arial" w:cs="Arial"/>
          <w:sz w:val="20"/>
          <w:szCs w:val="20"/>
        </w:rPr>
        <w:t>Večina muzejev izvaja bistveno večji delež lokalne javne službe varstva</w:t>
      </w:r>
      <w:r w:rsidR="00EC55E2">
        <w:rPr>
          <w:rFonts w:ascii="Arial" w:hAnsi="Arial" w:cs="Arial"/>
          <w:sz w:val="20"/>
          <w:szCs w:val="20"/>
        </w:rPr>
        <w:t>,</w:t>
      </w:r>
      <w:r w:rsidR="00F07EDF" w:rsidRPr="00F82C5F">
        <w:rPr>
          <w:rFonts w:ascii="Arial" w:hAnsi="Arial" w:cs="Arial"/>
          <w:sz w:val="20"/>
          <w:szCs w:val="20"/>
        </w:rPr>
        <w:t xml:space="preserve"> kot ima zagotovljenih sredstev v občinskih proračunih. Delež sredstev iz občinskih proračunov se giblje od </w:t>
      </w:r>
      <w:r w:rsidR="008321C1">
        <w:rPr>
          <w:rFonts w:ascii="Arial" w:hAnsi="Arial" w:cs="Arial"/>
          <w:sz w:val="20"/>
          <w:szCs w:val="20"/>
        </w:rPr>
        <w:t>10</w:t>
      </w:r>
      <w:r w:rsidR="00F07EDF" w:rsidRPr="00F82C5F">
        <w:rPr>
          <w:rFonts w:ascii="Arial" w:hAnsi="Arial" w:cs="Arial"/>
          <w:sz w:val="20"/>
          <w:szCs w:val="20"/>
        </w:rPr>
        <w:t xml:space="preserve"> % do </w:t>
      </w:r>
      <w:r w:rsidR="008321C1">
        <w:rPr>
          <w:rFonts w:ascii="Arial" w:hAnsi="Arial" w:cs="Arial"/>
          <w:sz w:val="20"/>
          <w:szCs w:val="20"/>
        </w:rPr>
        <w:t>79</w:t>
      </w:r>
      <w:r w:rsidR="00F07EDF" w:rsidRPr="00F82C5F">
        <w:rPr>
          <w:rFonts w:ascii="Arial" w:hAnsi="Arial" w:cs="Arial"/>
          <w:sz w:val="20"/>
          <w:szCs w:val="20"/>
        </w:rPr>
        <w:t xml:space="preserve"> % sredstev celotnega proračuna posameznega muzeja. </w:t>
      </w:r>
      <w:r w:rsidR="00C82DA9" w:rsidRPr="00F82C5F">
        <w:rPr>
          <w:rFonts w:ascii="Arial" w:hAnsi="Arial" w:cs="Arial"/>
          <w:sz w:val="20"/>
          <w:szCs w:val="20"/>
        </w:rPr>
        <w:t xml:space="preserve">Najvišje deleže zagotavljajo </w:t>
      </w:r>
      <w:r w:rsidR="00F07EDF" w:rsidRPr="00F82C5F">
        <w:rPr>
          <w:rFonts w:ascii="Arial" w:hAnsi="Arial" w:cs="Arial"/>
          <w:sz w:val="20"/>
          <w:szCs w:val="20"/>
        </w:rPr>
        <w:t>ustanovitelji Tržiškega muzeja, Gornjesavskega muzeja in Rokodelskega centra Ribnica</w:t>
      </w:r>
      <w:r w:rsidR="00503463">
        <w:rPr>
          <w:rFonts w:ascii="Arial" w:hAnsi="Arial" w:cs="Arial"/>
          <w:sz w:val="20"/>
          <w:szCs w:val="20"/>
        </w:rPr>
        <w:t xml:space="preserve">. </w:t>
      </w:r>
      <w:r w:rsidR="00F07EDF" w:rsidRPr="00F82C5F">
        <w:rPr>
          <w:rFonts w:ascii="Arial" w:hAnsi="Arial" w:cs="Arial"/>
          <w:sz w:val="20"/>
          <w:szCs w:val="20"/>
        </w:rPr>
        <w:t xml:space="preserve">Najnižji delež </w:t>
      </w:r>
      <w:r w:rsidR="00F07EDF" w:rsidRPr="00F82C5F">
        <w:rPr>
          <w:rFonts w:ascii="Arial" w:hAnsi="Arial" w:cs="Arial"/>
          <w:sz w:val="20"/>
          <w:szCs w:val="20"/>
        </w:rPr>
        <w:t>prispevajo občine ustanoviteljice Pomorskega muzeja</w:t>
      </w:r>
      <w:r w:rsidR="001B5A08" w:rsidRPr="00F82C5F">
        <w:rPr>
          <w:rFonts w:ascii="Arial" w:hAnsi="Arial" w:cs="Arial"/>
          <w:sz w:val="20"/>
          <w:szCs w:val="20"/>
        </w:rPr>
        <w:t xml:space="preserve"> Sergej Mašera Piran</w:t>
      </w:r>
      <w:r w:rsidR="008321C1">
        <w:rPr>
          <w:rFonts w:ascii="Arial" w:hAnsi="Arial" w:cs="Arial"/>
          <w:sz w:val="20"/>
          <w:szCs w:val="20"/>
        </w:rPr>
        <w:t xml:space="preserve"> in Umetnostne galerije Maribor.</w:t>
      </w:r>
      <w:r w:rsidR="00C82DA9" w:rsidRPr="00F82C5F">
        <w:rPr>
          <w:rFonts w:ascii="Arial" w:hAnsi="Arial" w:cs="Arial"/>
          <w:sz w:val="20"/>
          <w:szCs w:val="20"/>
        </w:rPr>
        <w:t xml:space="preserve">. </w:t>
      </w:r>
      <w:r w:rsidR="00F944F5" w:rsidRPr="00F82C5F">
        <w:rPr>
          <w:rFonts w:ascii="Arial" w:hAnsi="Arial" w:cs="Arial"/>
          <w:sz w:val="20"/>
          <w:szCs w:val="20"/>
        </w:rPr>
        <w:t xml:space="preserve"> </w:t>
      </w:r>
    </w:p>
    <w:p w:rsidR="003E1FB4" w:rsidRPr="00F82C5F" w:rsidRDefault="003E1FB4" w:rsidP="00F82C5F">
      <w:pPr>
        <w:jc w:val="both"/>
        <w:rPr>
          <w:rFonts w:ascii="Arial" w:hAnsi="Arial" w:cs="Arial"/>
          <w:sz w:val="20"/>
          <w:szCs w:val="20"/>
        </w:rPr>
      </w:pPr>
    </w:p>
    <w:p w:rsidR="000A2DAC" w:rsidRPr="00F82C5F" w:rsidRDefault="00930018" w:rsidP="00F82C5F">
      <w:pPr>
        <w:jc w:val="both"/>
        <w:rPr>
          <w:rFonts w:ascii="Arial" w:hAnsi="Arial" w:cs="Arial"/>
          <w:sz w:val="20"/>
          <w:szCs w:val="20"/>
        </w:rPr>
      </w:pPr>
      <w:r w:rsidRPr="00F82C5F">
        <w:rPr>
          <w:rFonts w:ascii="Arial" w:hAnsi="Arial" w:cs="Arial"/>
          <w:sz w:val="20"/>
          <w:szCs w:val="20"/>
        </w:rPr>
        <w:t>Občine zagotavljajo sredstva za stroške dela 1</w:t>
      </w:r>
      <w:r w:rsidR="008321C1">
        <w:rPr>
          <w:rFonts w:ascii="Arial" w:hAnsi="Arial" w:cs="Arial"/>
          <w:sz w:val="20"/>
          <w:szCs w:val="20"/>
        </w:rPr>
        <w:t>17</w:t>
      </w:r>
      <w:r w:rsidRPr="00F82C5F">
        <w:rPr>
          <w:rFonts w:ascii="Arial" w:hAnsi="Arial" w:cs="Arial"/>
          <w:sz w:val="20"/>
          <w:szCs w:val="20"/>
        </w:rPr>
        <w:t xml:space="preserve"> zaposlenih</w:t>
      </w:r>
      <w:r w:rsidR="00155D91" w:rsidRPr="00F82C5F">
        <w:rPr>
          <w:rFonts w:ascii="Arial" w:hAnsi="Arial" w:cs="Arial"/>
          <w:sz w:val="20"/>
          <w:szCs w:val="20"/>
        </w:rPr>
        <w:t xml:space="preserve">, kar je za </w:t>
      </w:r>
      <w:r w:rsidR="008321C1">
        <w:rPr>
          <w:rFonts w:ascii="Arial" w:hAnsi="Arial" w:cs="Arial"/>
          <w:sz w:val="20"/>
          <w:szCs w:val="20"/>
        </w:rPr>
        <w:t>9</w:t>
      </w:r>
      <w:r w:rsidR="00155D91" w:rsidRPr="00F82C5F">
        <w:rPr>
          <w:rFonts w:ascii="Arial" w:hAnsi="Arial" w:cs="Arial"/>
          <w:sz w:val="20"/>
          <w:szCs w:val="20"/>
        </w:rPr>
        <w:t xml:space="preserve"> več kot lani. </w:t>
      </w:r>
      <w:r w:rsidR="00503463">
        <w:rPr>
          <w:rFonts w:ascii="Arial" w:hAnsi="Arial" w:cs="Arial"/>
          <w:sz w:val="20"/>
          <w:szCs w:val="20"/>
        </w:rPr>
        <w:t>O</w:t>
      </w:r>
      <w:r w:rsidRPr="00F82C5F">
        <w:rPr>
          <w:rFonts w:ascii="Arial" w:hAnsi="Arial" w:cs="Arial"/>
          <w:sz w:val="20"/>
          <w:szCs w:val="20"/>
        </w:rPr>
        <w:t xml:space="preserve">bveznosti </w:t>
      </w:r>
      <w:r w:rsidR="00503463">
        <w:rPr>
          <w:rFonts w:ascii="Arial" w:hAnsi="Arial" w:cs="Arial"/>
          <w:sz w:val="20"/>
          <w:szCs w:val="20"/>
        </w:rPr>
        <w:t xml:space="preserve">prevzemajo predvsem </w:t>
      </w:r>
      <w:r w:rsidRPr="00F82C5F">
        <w:rPr>
          <w:rFonts w:ascii="Arial" w:hAnsi="Arial" w:cs="Arial"/>
          <w:sz w:val="20"/>
          <w:szCs w:val="20"/>
        </w:rPr>
        <w:t xml:space="preserve">do </w:t>
      </w:r>
      <w:r w:rsidR="004130CF" w:rsidRPr="00F82C5F">
        <w:rPr>
          <w:rFonts w:ascii="Arial" w:hAnsi="Arial" w:cs="Arial"/>
          <w:sz w:val="20"/>
          <w:szCs w:val="20"/>
        </w:rPr>
        <w:t xml:space="preserve">podpornega in </w:t>
      </w:r>
      <w:r w:rsidRPr="00F82C5F">
        <w:rPr>
          <w:rFonts w:ascii="Arial" w:hAnsi="Arial" w:cs="Arial"/>
          <w:sz w:val="20"/>
          <w:szCs w:val="20"/>
        </w:rPr>
        <w:t>tehni</w:t>
      </w:r>
      <w:r w:rsidR="004130CF" w:rsidRPr="00F82C5F">
        <w:rPr>
          <w:rFonts w:ascii="Arial" w:hAnsi="Arial" w:cs="Arial"/>
          <w:sz w:val="20"/>
          <w:szCs w:val="20"/>
        </w:rPr>
        <w:t>č</w:t>
      </w:r>
      <w:r w:rsidRPr="00F82C5F">
        <w:rPr>
          <w:rFonts w:ascii="Arial" w:hAnsi="Arial" w:cs="Arial"/>
          <w:sz w:val="20"/>
          <w:szCs w:val="20"/>
        </w:rPr>
        <w:t>nega osebja, manj pa do strokovnih delovnih mest</w:t>
      </w:r>
      <w:r w:rsidR="004130CF" w:rsidRPr="00F82C5F">
        <w:rPr>
          <w:rFonts w:ascii="Arial" w:hAnsi="Arial" w:cs="Arial"/>
          <w:sz w:val="20"/>
          <w:szCs w:val="20"/>
        </w:rPr>
        <w:t>, ki so v višjih tarifnih skupinah.</w:t>
      </w:r>
      <w:r w:rsidRPr="00F82C5F">
        <w:rPr>
          <w:rFonts w:ascii="Arial" w:hAnsi="Arial" w:cs="Arial"/>
          <w:sz w:val="20"/>
          <w:szCs w:val="20"/>
        </w:rPr>
        <w:t xml:space="preserve"> </w:t>
      </w:r>
      <w:r w:rsidR="00205523">
        <w:rPr>
          <w:rFonts w:ascii="Arial" w:hAnsi="Arial" w:cs="Arial"/>
          <w:sz w:val="20"/>
          <w:szCs w:val="20"/>
        </w:rPr>
        <w:t xml:space="preserve">Muzejem, ki so pooblastilo za opravljanje državne javne službe muzejev prvič </w:t>
      </w:r>
      <w:r w:rsidR="00205523">
        <w:rPr>
          <w:rFonts w:ascii="Arial" w:hAnsi="Arial" w:cs="Arial"/>
          <w:sz w:val="20"/>
          <w:szCs w:val="20"/>
        </w:rPr>
        <w:t>pridobili v letu 2013</w:t>
      </w:r>
      <w:r w:rsidR="00205523" w:rsidRPr="00503463">
        <w:rPr>
          <w:rFonts w:ascii="Arial" w:hAnsi="Arial" w:cs="Arial"/>
          <w:sz w:val="20"/>
          <w:szCs w:val="20"/>
        </w:rPr>
        <w:t xml:space="preserve"> </w:t>
      </w:r>
      <w:r w:rsidR="00205523">
        <w:rPr>
          <w:rFonts w:ascii="Arial" w:hAnsi="Arial" w:cs="Arial"/>
          <w:sz w:val="20"/>
          <w:szCs w:val="20"/>
        </w:rPr>
        <w:t>(Tržiški muzej, Rokodelski center Ribnica</w:t>
      </w:r>
      <w:r w:rsidR="00C3505C">
        <w:rPr>
          <w:rFonts w:ascii="Arial" w:hAnsi="Arial" w:cs="Arial"/>
          <w:sz w:val="20"/>
          <w:szCs w:val="20"/>
        </w:rPr>
        <w:t>,</w:t>
      </w:r>
      <w:r w:rsidR="00205523">
        <w:rPr>
          <w:rFonts w:ascii="Arial" w:hAnsi="Arial" w:cs="Arial"/>
          <w:sz w:val="20"/>
          <w:szCs w:val="20"/>
        </w:rPr>
        <w:t xml:space="preserve"> Galerija–muzej Lendava</w:t>
      </w:r>
      <w:r w:rsidR="00C3505C">
        <w:rPr>
          <w:rFonts w:ascii="Arial" w:hAnsi="Arial" w:cs="Arial"/>
          <w:sz w:val="20"/>
          <w:szCs w:val="20"/>
        </w:rPr>
        <w:t xml:space="preserve"> in Kobariški muzej</w:t>
      </w:r>
      <w:r w:rsidR="00205523">
        <w:rPr>
          <w:rFonts w:ascii="Arial" w:hAnsi="Arial" w:cs="Arial"/>
          <w:sz w:val="20"/>
          <w:szCs w:val="20"/>
        </w:rPr>
        <w:t xml:space="preserve">), država </w:t>
      </w:r>
      <w:r w:rsidR="003E1679">
        <w:rPr>
          <w:rFonts w:ascii="Arial" w:hAnsi="Arial" w:cs="Arial"/>
          <w:sz w:val="20"/>
          <w:szCs w:val="20"/>
        </w:rPr>
        <w:t xml:space="preserve">glede na razpisne pogoje </w:t>
      </w:r>
      <w:r w:rsidR="00205523">
        <w:rPr>
          <w:rFonts w:ascii="Arial" w:hAnsi="Arial" w:cs="Arial"/>
          <w:sz w:val="20"/>
          <w:szCs w:val="20"/>
        </w:rPr>
        <w:t>ne zagotavlja sredstev za stroške dela.</w:t>
      </w:r>
      <w:r w:rsidR="00EC55E2">
        <w:rPr>
          <w:rFonts w:ascii="Arial" w:hAnsi="Arial" w:cs="Arial"/>
          <w:sz w:val="20"/>
          <w:szCs w:val="20"/>
        </w:rPr>
        <w:t xml:space="preserve"> </w:t>
      </w:r>
      <w:r w:rsidR="00155D91" w:rsidRPr="00F82C5F">
        <w:rPr>
          <w:rFonts w:ascii="Arial" w:hAnsi="Arial" w:cs="Arial"/>
          <w:sz w:val="20"/>
          <w:szCs w:val="20"/>
        </w:rPr>
        <w:t xml:space="preserve">V Gornjesavskem muzeju </w:t>
      </w:r>
      <w:r w:rsidR="004130CF" w:rsidRPr="00F82C5F">
        <w:rPr>
          <w:rFonts w:ascii="Arial" w:hAnsi="Arial" w:cs="Arial"/>
          <w:sz w:val="20"/>
          <w:szCs w:val="20"/>
        </w:rPr>
        <w:t>Jesenice</w:t>
      </w:r>
      <w:r w:rsidR="00155D91" w:rsidRPr="00F82C5F">
        <w:rPr>
          <w:rFonts w:ascii="Arial" w:hAnsi="Arial" w:cs="Arial"/>
          <w:sz w:val="20"/>
          <w:szCs w:val="20"/>
        </w:rPr>
        <w:t xml:space="preserve"> in</w:t>
      </w:r>
      <w:r w:rsidR="004130CF" w:rsidRPr="00F82C5F">
        <w:rPr>
          <w:rFonts w:ascii="Arial" w:hAnsi="Arial" w:cs="Arial"/>
          <w:sz w:val="20"/>
          <w:szCs w:val="20"/>
        </w:rPr>
        <w:t xml:space="preserve"> </w:t>
      </w:r>
      <w:r w:rsidR="00155D91" w:rsidRPr="00F82C5F">
        <w:rPr>
          <w:rFonts w:ascii="Arial" w:hAnsi="Arial" w:cs="Arial"/>
          <w:sz w:val="20"/>
          <w:szCs w:val="20"/>
        </w:rPr>
        <w:t xml:space="preserve">Tolminskem muzeju je več delovnih mest financiranih iz občinskih kot iz državnega proračuna. </w:t>
      </w:r>
      <w:r w:rsidR="00155D91" w:rsidRPr="00F82C5F">
        <w:rPr>
          <w:rFonts w:ascii="Arial" w:hAnsi="Arial" w:cs="Arial"/>
          <w:sz w:val="20"/>
          <w:szCs w:val="20"/>
        </w:rPr>
        <w:t xml:space="preserve">Uravnotežen delež financiranja delovnih mest so prevzeli ustanovitelji MGML, </w:t>
      </w:r>
      <w:r w:rsidR="00205523">
        <w:rPr>
          <w:rFonts w:ascii="Arial" w:hAnsi="Arial" w:cs="Arial"/>
          <w:sz w:val="20"/>
          <w:szCs w:val="20"/>
        </w:rPr>
        <w:t xml:space="preserve">Pokrajinskega muzeja Kočevje </w:t>
      </w:r>
      <w:r w:rsidR="00155D91" w:rsidRPr="00F82C5F">
        <w:rPr>
          <w:rFonts w:ascii="Arial" w:hAnsi="Arial" w:cs="Arial"/>
          <w:sz w:val="20"/>
          <w:szCs w:val="20"/>
        </w:rPr>
        <w:t>in Muzeja Velenje. I</w:t>
      </w:r>
      <w:r w:rsidR="0070427F" w:rsidRPr="00F82C5F">
        <w:rPr>
          <w:rFonts w:ascii="Arial" w:hAnsi="Arial" w:cs="Arial"/>
          <w:sz w:val="20"/>
          <w:szCs w:val="20"/>
        </w:rPr>
        <w:t xml:space="preserve">z občinskega proračuna </w:t>
      </w:r>
      <w:r w:rsidR="00155D91" w:rsidRPr="00F82C5F">
        <w:rPr>
          <w:rFonts w:ascii="Arial" w:hAnsi="Arial" w:cs="Arial"/>
          <w:sz w:val="20"/>
          <w:szCs w:val="20"/>
        </w:rPr>
        <w:t xml:space="preserve">sredstev za delovna mesta ne zagotavljajo ustanoviteljice Zasavskega muzeja Trbovlje, Umetnostne galerije Maribor in Galerije Murska Sobota. </w:t>
      </w:r>
      <w:r w:rsidR="0070427F" w:rsidRPr="00F82C5F">
        <w:rPr>
          <w:rFonts w:ascii="Arial" w:hAnsi="Arial" w:cs="Arial"/>
          <w:sz w:val="20"/>
          <w:szCs w:val="20"/>
        </w:rPr>
        <w:t xml:space="preserve">Mestna občina Celje </w:t>
      </w:r>
      <w:r w:rsidR="00155D91" w:rsidRPr="00F82C5F">
        <w:rPr>
          <w:rFonts w:ascii="Arial" w:hAnsi="Arial" w:cs="Arial"/>
          <w:sz w:val="20"/>
          <w:szCs w:val="20"/>
        </w:rPr>
        <w:t xml:space="preserve">v Pokrajinskem </w:t>
      </w:r>
      <w:r w:rsidR="00CA7C4D" w:rsidRPr="00F82C5F">
        <w:rPr>
          <w:rFonts w:ascii="Arial" w:hAnsi="Arial" w:cs="Arial"/>
          <w:sz w:val="20"/>
          <w:szCs w:val="20"/>
        </w:rPr>
        <w:t xml:space="preserve">muzeju Celje financira </w:t>
      </w:r>
      <w:r w:rsidR="003F13BC">
        <w:rPr>
          <w:rFonts w:ascii="Arial" w:hAnsi="Arial" w:cs="Arial"/>
          <w:sz w:val="20"/>
          <w:szCs w:val="20"/>
        </w:rPr>
        <w:t>7</w:t>
      </w:r>
      <w:r w:rsidR="00174323" w:rsidRPr="00F82C5F">
        <w:rPr>
          <w:rFonts w:ascii="Arial" w:hAnsi="Arial" w:cs="Arial"/>
          <w:sz w:val="20"/>
          <w:szCs w:val="20"/>
        </w:rPr>
        <w:t xml:space="preserve"> projektn</w:t>
      </w:r>
      <w:r w:rsidR="003F13BC">
        <w:rPr>
          <w:rFonts w:ascii="Arial" w:hAnsi="Arial" w:cs="Arial"/>
          <w:sz w:val="20"/>
          <w:szCs w:val="20"/>
        </w:rPr>
        <w:t>ih</w:t>
      </w:r>
      <w:r w:rsidR="00174323" w:rsidRPr="00F82C5F">
        <w:rPr>
          <w:rFonts w:ascii="Arial" w:hAnsi="Arial" w:cs="Arial"/>
          <w:sz w:val="20"/>
          <w:szCs w:val="20"/>
        </w:rPr>
        <w:t xml:space="preserve"> delovn</w:t>
      </w:r>
      <w:r w:rsidR="003F13BC">
        <w:rPr>
          <w:rFonts w:ascii="Arial" w:hAnsi="Arial" w:cs="Arial"/>
          <w:sz w:val="20"/>
          <w:szCs w:val="20"/>
        </w:rPr>
        <w:t>ih</w:t>
      </w:r>
      <w:r w:rsidR="00174323" w:rsidRPr="00F82C5F">
        <w:rPr>
          <w:rFonts w:ascii="Arial" w:hAnsi="Arial" w:cs="Arial"/>
          <w:sz w:val="20"/>
          <w:szCs w:val="20"/>
        </w:rPr>
        <w:t xml:space="preserve"> mest. </w:t>
      </w:r>
      <w:r w:rsidR="003F13BC">
        <w:rPr>
          <w:rFonts w:ascii="Arial" w:hAnsi="Arial" w:cs="Arial"/>
          <w:sz w:val="20"/>
          <w:szCs w:val="20"/>
        </w:rPr>
        <w:t>Četrtina</w:t>
      </w:r>
      <w:r w:rsidR="00174323" w:rsidRPr="00F82C5F">
        <w:rPr>
          <w:rFonts w:ascii="Arial" w:hAnsi="Arial" w:cs="Arial"/>
          <w:sz w:val="20"/>
          <w:szCs w:val="20"/>
        </w:rPr>
        <w:t xml:space="preserve"> muzejev nima zaposlenih iz javnih del. Občine sofinancirajo zaposlitve iz programa javnih del</w:t>
      </w:r>
      <w:r w:rsidR="009F5B2A" w:rsidRPr="00F82C5F">
        <w:rPr>
          <w:rFonts w:ascii="Arial" w:hAnsi="Arial" w:cs="Arial"/>
          <w:sz w:val="20"/>
          <w:szCs w:val="20"/>
        </w:rPr>
        <w:t xml:space="preserve">, ki pa ne predstavlja tako konstantne in obremenjujoče finančne obveznosti kot redne zaposlitve. </w:t>
      </w:r>
    </w:p>
    <w:p w:rsidR="000A2DAC" w:rsidRPr="00F82C5F" w:rsidRDefault="000A2DAC" w:rsidP="00F82C5F">
      <w:pPr>
        <w:jc w:val="both"/>
        <w:rPr>
          <w:rFonts w:ascii="Arial" w:hAnsi="Arial" w:cs="Arial"/>
          <w:sz w:val="20"/>
          <w:szCs w:val="20"/>
        </w:rPr>
      </w:pPr>
    </w:p>
    <w:p w:rsidR="00B152C4" w:rsidRPr="00F82C5F" w:rsidRDefault="000A2DAC" w:rsidP="00F82C5F">
      <w:pPr>
        <w:jc w:val="both"/>
        <w:rPr>
          <w:rFonts w:ascii="Arial" w:hAnsi="Arial" w:cs="Arial"/>
          <w:sz w:val="20"/>
          <w:szCs w:val="20"/>
        </w:rPr>
      </w:pPr>
      <w:r w:rsidRPr="00F82C5F">
        <w:rPr>
          <w:rFonts w:ascii="Arial" w:hAnsi="Arial" w:cs="Arial"/>
          <w:sz w:val="20"/>
          <w:szCs w:val="20"/>
        </w:rPr>
        <w:t xml:space="preserve">Ustanovitelji podpirajo predvsem projekte in programe lokalne javne službe, pri čemer pa </w:t>
      </w:r>
      <w:r w:rsidR="001B5A08" w:rsidRPr="00F82C5F">
        <w:rPr>
          <w:rFonts w:ascii="Arial" w:hAnsi="Arial" w:cs="Arial"/>
          <w:sz w:val="20"/>
          <w:szCs w:val="20"/>
        </w:rPr>
        <w:t xml:space="preserve">ne vključujejo stroškov dela, ki ga izvajajo </w:t>
      </w:r>
      <w:r w:rsidRPr="00F82C5F">
        <w:rPr>
          <w:rFonts w:ascii="Arial" w:hAnsi="Arial" w:cs="Arial"/>
          <w:sz w:val="20"/>
          <w:szCs w:val="20"/>
        </w:rPr>
        <w:t xml:space="preserve">zaposleni iz sredstev ministrstva. Prostori muzejev so v občinski lasti, razen v izjemnih primerih, ko gre za najem depojev. Poleg obveznosti iz izvajanja lokalne javne službe </w:t>
      </w:r>
      <w:r w:rsidR="001B5A08" w:rsidRPr="00F82C5F">
        <w:rPr>
          <w:rFonts w:ascii="Arial" w:hAnsi="Arial" w:cs="Arial"/>
          <w:sz w:val="20"/>
          <w:szCs w:val="20"/>
        </w:rPr>
        <w:t xml:space="preserve">in dela splošnih stroškov delovanja </w:t>
      </w:r>
      <w:r w:rsidRPr="00F82C5F">
        <w:rPr>
          <w:rFonts w:ascii="Arial" w:hAnsi="Arial" w:cs="Arial"/>
          <w:sz w:val="20"/>
          <w:szCs w:val="20"/>
        </w:rPr>
        <w:t>občine zagotavljajo sredstva za investicije in investicijsko vzdrževanje objektov.</w:t>
      </w:r>
      <w:r w:rsidR="0064058B" w:rsidRPr="00F82C5F">
        <w:rPr>
          <w:rStyle w:val="Sprotnaopomba-sklic"/>
          <w:rFonts w:ascii="Arial" w:hAnsi="Arial" w:cs="Arial"/>
          <w:sz w:val="20"/>
          <w:szCs w:val="20"/>
        </w:rPr>
        <w:footnoteReference w:id="19"/>
      </w:r>
      <w:r w:rsidRPr="00F82C5F">
        <w:rPr>
          <w:rFonts w:ascii="Arial" w:hAnsi="Arial" w:cs="Arial"/>
          <w:sz w:val="20"/>
          <w:szCs w:val="20"/>
        </w:rPr>
        <w:t xml:space="preserve"> </w:t>
      </w:r>
    </w:p>
    <w:p w:rsidR="00B152C4" w:rsidRPr="00F82C5F" w:rsidRDefault="00B152C4" w:rsidP="00F82C5F">
      <w:pPr>
        <w:jc w:val="both"/>
        <w:rPr>
          <w:rFonts w:ascii="Arial" w:hAnsi="Arial" w:cs="Arial"/>
          <w:sz w:val="20"/>
          <w:szCs w:val="20"/>
        </w:rPr>
      </w:pPr>
    </w:p>
    <w:p w:rsidR="00F17622" w:rsidRPr="00F82C5F" w:rsidRDefault="00840529" w:rsidP="00F82C5F">
      <w:pPr>
        <w:jc w:val="both"/>
        <w:rPr>
          <w:rFonts w:ascii="Arial" w:hAnsi="Arial" w:cs="Arial"/>
          <w:sz w:val="20"/>
          <w:szCs w:val="20"/>
        </w:rPr>
      </w:pPr>
      <w:r w:rsidRPr="00F82C5F">
        <w:rPr>
          <w:rFonts w:ascii="Arial" w:hAnsi="Arial" w:cs="Arial"/>
          <w:b/>
          <w:sz w:val="20"/>
          <w:szCs w:val="20"/>
        </w:rPr>
        <w:t>Lastna sredstva</w:t>
      </w:r>
      <w:r w:rsidRPr="00F82C5F">
        <w:rPr>
          <w:rFonts w:ascii="Arial" w:hAnsi="Arial" w:cs="Arial"/>
          <w:sz w:val="20"/>
          <w:szCs w:val="20"/>
        </w:rPr>
        <w:t xml:space="preserve"> muzeji pridobivajo s prihodki iz izvajanja javne službe, donacijami</w:t>
      </w:r>
      <w:r w:rsidR="009F5B2A" w:rsidRPr="00F82C5F">
        <w:rPr>
          <w:rFonts w:ascii="Arial" w:hAnsi="Arial" w:cs="Arial"/>
          <w:sz w:val="20"/>
          <w:szCs w:val="20"/>
        </w:rPr>
        <w:t>, uspešnimi prijavami EU projektov</w:t>
      </w:r>
      <w:r w:rsidRPr="00F82C5F">
        <w:rPr>
          <w:rFonts w:ascii="Arial" w:hAnsi="Arial" w:cs="Arial"/>
          <w:sz w:val="20"/>
          <w:szCs w:val="20"/>
        </w:rPr>
        <w:t xml:space="preserve"> in tržno dejavnostjo. </w:t>
      </w:r>
      <w:r w:rsidR="00C320D7">
        <w:rPr>
          <w:rFonts w:ascii="Arial" w:hAnsi="Arial" w:cs="Arial"/>
          <w:sz w:val="20"/>
          <w:szCs w:val="20"/>
        </w:rPr>
        <w:t xml:space="preserve">Skupni delež znaša </w:t>
      </w:r>
      <w:r w:rsidR="00C77B1F">
        <w:rPr>
          <w:rFonts w:ascii="Arial" w:hAnsi="Arial" w:cs="Arial"/>
          <w:sz w:val="20"/>
          <w:szCs w:val="20"/>
        </w:rPr>
        <w:t xml:space="preserve">15,6 </w:t>
      </w:r>
      <w:r w:rsidR="00C320D7">
        <w:rPr>
          <w:rFonts w:ascii="Arial" w:hAnsi="Arial" w:cs="Arial"/>
          <w:sz w:val="20"/>
          <w:szCs w:val="20"/>
        </w:rPr>
        <w:t xml:space="preserve">% celotnega proračuna muzejev in se je v primerjavi z letom 2018 zvišal za </w:t>
      </w:r>
      <w:r w:rsidR="00C77B1F">
        <w:rPr>
          <w:rFonts w:ascii="Arial" w:hAnsi="Arial" w:cs="Arial"/>
          <w:sz w:val="20"/>
          <w:szCs w:val="20"/>
        </w:rPr>
        <w:t>0,4</w:t>
      </w:r>
      <w:r w:rsidR="00C320D7">
        <w:rPr>
          <w:rFonts w:ascii="Arial" w:hAnsi="Arial" w:cs="Arial"/>
          <w:sz w:val="20"/>
          <w:szCs w:val="20"/>
        </w:rPr>
        <w:t xml:space="preserve">%. </w:t>
      </w:r>
      <w:r w:rsidR="009F5B2A" w:rsidRPr="00F82C5F">
        <w:rPr>
          <w:rFonts w:ascii="Arial" w:hAnsi="Arial" w:cs="Arial"/>
          <w:sz w:val="20"/>
          <w:szCs w:val="20"/>
        </w:rPr>
        <w:t xml:space="preserve">Poleg odmevnih projektov je lastni prihodek eden od najbolj realnih kazalnikov uspešnosti posameznega muzeja. </w:t>
      </w:r>
      <w:r w:rsidR="002C2B9D" w:rsidRPr="00F82C5F">
        <w:rPr>
          <w:rFonts w:ascii="Arial" w:hAnsi="Arial" w:cs="Arial"/>
          <w:sz w:val="20"/>
          <w:szCs w:val="20"/>
        </w:rPr>
        <w:t>Giblje se v visokem razponu od 1,</w:t>
      </w:r>
      <w:r w:rsidR="00C77B1F">
        <w:rPr>
          <w:rFonts w:ascii="Arial" w:hAnsi="Arial" w:cs="Arial"/>
          <w:sz w:val="20"/>
          <w:szCs w:val="20"/>
        </w:rPr>
        <w:t>2</w:t>
      </w:r>
      <w:r w:rsidR="002C2B9D" w:rsidRPr="00F82C5F">
        <w:rPr>
          <w:rFonts w:ascii="Arial" w:hAnsi="Arial" w:cs="Arial"/>
          <w:sz w:val="20"/>
          <w:szCs w:val="20"/>
        </w:rPr>
        <w:t xml:space="preserve"> % do 36</w:t>
      </w:r>
      <w:r w:rsidR="00C77B1F">
        <w:rPr>
          <w:rFonts w:ascii="Arial" w:hAnsi="Arial" w:cs="Arial"/>
          <w:sz w:val="20"/>
          <w:szCs w:val="20"/>
        </w:rPr>
        <w:t>,4</w:t>
      </w:r>
      <w:r w:rsidR="002C2B9D" w:rsidRPr="00F82C5F">
        <w:rPr>
          <w:rFonts w:ascii="Arial" w:hAnsi="Arial" w:cs="Arial"/>
          <w:sz w:val="20"/>
          <w:szCs w:val="20"/>
        </w:rPr>
        <w:t xml:space="preserve"> %, odvisno od lastne </w:t>
      </w:r>
      <w:r w:rsidR="00530F82" w:rsidRPr="00F82C5F">
        <w:rPr>
          <w:rFonts w:ascii="Arial" w:hAnsi="Arial" w:cs="Arial"/>
          <w:sz w:val="20"/>
          <w:szCs w:val="20"/>
        </w:rPr>
        <w:t xml:space="preserve">programske in </w:t>
      </w:r>
      <w:r w:rsidR="002C2B9D" w:rsidRPr="00F82C5F">
        <w:rPr>
          <w:rFonts w:ascii="Arial" w:hAnsi="Arial" w:cs="Arial"/>
          <w:sz w:val="20"/>
          <w:szCs w:val="20"/>
        </w:rPr>
        <w:t xml:space="preserve">poslovne aktivnosti </w:t>
      </w:r>
      <w:r w:rsidR="00530F82" w:rsidRPr="00F82C5F">
        <w:rPr>
          <w:rFonts w:ascii="Arial" w:hAnsi="Arial" w:cs="Arial"/>
          <w:sz w:val="20"/>
          <w:szCs w:val="20"/>
        </w:rPr>
        <w:t>ter</w:t>
      </w:r>
      <w:r w:rsidR="002C2B9D" w:rsidRPr="00F82C5F">
        <w:rPr>
          <w:rFonts w:ascii="Arial" w:hAnsi="Arial" w:cs="Arial"/>
          <w:sz w:val="20"/>
          <w:szCs w:val="20"/>
        </w:rPr>
        <w:t xml:space="preserve"> </w:t>
      </w:r>
      <w:r w:rsidR="003B1312" w:rsidRPr="00F82C5F">
        <w:rPr>
          <w:rFonts w:ascii="Arial" w:hAnsi="Arial" w:cs="Arial"/>
          <w:sz w:val="20"/>
          <w:szCs w:val="20"/>
        </w:rPr>
        <w:t>potencialov okolja</w:t>
      </w:r>
      <w:r w:rsidR="00530F82" w:rsidRPr="00F82C5F">
        <w:rPr>
          <w:rFonts w:ascii="Arial" w:hAnsi="Arial" w:cs="Arial"/>
          <w:sz w:val="20"/>
          <w:szCs w:val="20"/>
        </w:rPr>
        <w:t xml:space="preserve">. Načeloma lahko vsak muzej doseže najmanj 5% delež, preseganje 20% pa pomeni evropsko primerljiv poslovni rezultat muzejev, ki izvajajo javno službo. Dosega in presega ga </w:t>
      </w:r>
      <w:r w:rsidR="00C77B1F">
        <w:rPr>
          <w:rFonts w:ascii="Arial" w:hAnsi="Arial" w:cs="Arial"/>
          <w:sz w:val="20"/>
          <w:szCs w:val="20"/>
        </w:rPr>
        <w:t>6</w:t>
      </w:r>
      <w:r w:rsidR="00530F82" w:rsidRPr="00F82C5F">
        <w:rPr>
          <w:rFonts w:ascii="Arial" w:hAnsi="Arial" w:cs="Arial"/>
          <w:sz w:val="20"/>
          <w:szCs w:val="20"/>
        </w:rPr>
        <w:t xml:space="preserve"> muzejev. Kot mejnik, h kateremu naj bi muzeji stremeli, je ministrstvo predlagalo 10% delež. </w:t>
      </w:r>
      <w:r w:rsidR="00C77B1F">
        <w:rPr>
          <w:rFonts w:ascii="Arial" w:hAnsi="Arial" w:cs="Arial"/>
          <w:sz w:val="20"/>
          <w:szCs w:val="20"/>
        </w:rPr>
        <w:t>15</w:t>
      </w:r>
      <w:r w:rsidR="00F17622" w:rsidRPr="00F82C5F">
        <w:rPr>
          <w:rFonts w:ascii="Arial" w:hAnsi="Arial" w:cs="Arial"/>
          <w:sz w:val="20"/>
          <w:szCs w:val="20"/>
        </w:rPr>
        <w:t xml:space="preserve"> muzejev </w:t>
      </w:r>
      <w:r w:rsidR="00530F82" w:rsidRPr="00F82C5F">
        <w:rPr>
          <w:rFonts w:ascii="Arial" w:hAnsi="Arial" w:cs="Arial"/>
          <w:sz w:val="20"/>
          <w:szCs w:val="20"/>
        </w:rPr>
        <w:t xml:space="preserve">ga </w:t>
      </w:r>
      <w:r w:rsidR="00F17622" w:rsidRPr="00F82C5F">
        <w:rPr>
          <w:rFonts w:ascii="Arial" w:hAnsi="Arial" w:cs="Arial"/>
          <w:sz w:val="20"/>
          <w:szCs w:val="20"/>
        </w:rPr>
        <w:t>je že presegl</w:t>
      </w:r>
      <w:r w:rsidR="00C77B1F">
        <w:rPr>
          <w:rFonts w:ascii="Arial" w:hAnsi="Arial" w:cs="Arial"/>
          <w:sz w:val="20"/>
          <w:szCs w:val="20"/>
        </w:rPr>
        <w:t>o</w:t>
      </w:r>
      <w:r w:rsidR="00F17622" w:rsidRPr="00F82C5F">
        <w:rPr>
          <w:rFonts w:ascii="Arial" w:hAnsi="Arial" w:cs="Arial"/>
          <w:sz w:val="20"/>
          <w:szCs w:val="20"/>
        </w:rPr>
        <w:t xml:space="preserve">. </w:t>
      </w:r>
      <w:r w:rsidR="00C77B1F">
        <w:rPr>
          <w:rFonts w:ascii="Arial" w:hAnsi="Arial" w:cs="Arial"/>
          <w:sz w:val="20"/>
          <w:szCs w:val="20"/>
        </w:rPr>
        <w:t xml:space="preserve">Žal 8 muzejev še vedno ne dosega deleža 5% lastnega prihodka. </w:t>
      </w:r>
    </w:p>
    <w:p w:rsidR="00F17622" w:rsidRPr="00F82C5F" w:rsidRDefault="00F17622" w:rsidP="00F82C5F">
      <w:pPr>
        <w:jc w:val="both"/>
        <w:rPr>
          <w:rFonts w:ascii="Arial" w:hAnsi="Arial" w:cs="Arial"/>
          <w:sz w:val="20"/>
          <w:szCs w:val="20"/>
        </w:rPr>
      </w:pPr>
    </w:p>
    <w:p w:rsidR="00EA2C40" w:rsidRPr="00F82C5F" w:rsidRDefault="00301E76" w:rsidP="00F82C5F">
      <w:pPr>
        <w:jc w:val="both"/>
        <w:rPr>
          <w:rFonts w:ascii="Arial" w:hAnsi="Arial" w:cs="Arial"/>
          <w:sz w:val="20"/>
          <w:szCs w:val="20"/>
        </w:rPr>
      </w:pPr>
      <w:r w:rsidRPr="00F82C5F">
        <w:rPr>
          <w:rFonts w:ascii="Arial" w:hAnsi="Arial" w:cs="Arial"/>
          <w:sz w:val="20"/>
          <w:szCs w:val="20"/>
        </w:rPr>
        <w:t xml:space="preserve">Največ lastnih sredstev muzeji pridobijo s prodajo vstopnic in trženjem </w:t>
      </w:r>
      <w:r w:rsidR="00840529" w:rsidRPr="00F82C5F">
        <w:rPr>
          <w:rFonts w:ascii="Arial" w:hAnsi="Arial" w:cs="Arial"/>
          <w:sz w:val="20"/>
          <w:szCs w:val="20"/>
        </w:rPr>
        <w:t>pedagošk</w:t>
      </w:r>
      <w:r w:rsidRPr="00F82C5F">
        <w:rPr>
          <w:rFonts w:ascii="Arial" w:hAnsi="Arial" w:cs="Arial"/>
          <w:sz w:val="20"/>
          <w:szCs w:val="20"/>
        </w:rPr>
        <w:t>ih</w:t>
      </w:r>
      <w:r w:rsidR="00840529" w:rsidRPr="00F82C5F">
        <w:rPr>
          <w:rFonts w:ascii="Arial" w:hAnsi="Arial" w:cs="Arial"/>
          <w:sz w:val="20"/>
          <w:szCs w:val="20"/>
        </w:rPr>
        <w:t xml:space="preserve"> </w:t>
      </w:r>
      <w:r w:rsidRPr="00F82C5F">
        <w:rPr>
          <w:rFonts w:ascii="Arial" w:hAnsi="Arial" w:cs="Arial"/>
          <w:sz w:val="20"/>
          <w:szCs w:val="20"/>
        </w:rPr>
        <w:t xml:space="preserve">in andragoških programov. Prodaja publikacij upada zaradi spletne dostopnosti vsebin. Presega jo prodaja spominkov v </w:t>
      </w:r>
      <w:r w:rsidR="00E8087C" w:rsidRPr="00F82C5F">
        <w:rPr>
          <w:rFonts w:ascii="Arial" w:hAnsi="Arial" w:cs="Arial"/>
          <w:sz w:val="20"/>
          <w:szCs w:val="20"/>
        </w:rPr>
        <w:t xml:space="preserve"> muzejsk</w:t>
      </w:r>
      <w:r w:rsidRPr="00F82C5F">
        <w:rPr>
          <w:rFonts w:ascii="Arial" w:hAnsi="Arial" w:cs="Arial"/>
          <w:sz w:val="20"/>
          <w:szCs w:val="20"/>
        </w:rPr>
        <w:t>i</w:t>
      </w:r>
      <w:r w:rsidR="00E8087C" w:rsidRPr="00F82C5F">
        <w:rPr>
          <w:rFonts w:ascii="Arial" w:hAnsi="Arial" w:cs="Arial"/>
          <w:sz w:val="20"/>
          <w:szCs w:val="20"/>
        </w:rPr>
        <w:t xml:space="preserve"> trgovin</w:t>
      </w:r>
      <w:r w:rsidRPr="00F82C5F">
        <w:rPr>
          <w:rFonts w:ascii="Arial" w:hAnsi="Arial" w:cs="Arial"/>
          <w:sz w:val="20"/>
          <w:szCs w:val="20"/>
        </w:rPr>
        <w:t>i</w:t>
      </w:r>
      <w:r w:rsidR="00E8087C" w:rsidRPr="00F82C5F">
        <w:rPr>
          <w:rFonts w:ascii="Arial" w:hAnsi="Arial" w:cs="Arial"/>
          <w:sz w:val="20"/>
          <w:szCs w:val="20"/>
        </w:rPr>
        <w:t xml:space="preserve">. </w:t>
      </w:r>
      <w:r w:rsidRPr="00F82C5F">
        <w:rPr>
          <w:rFonts w:ascii="Arial" w:hAnsi="Arial" w:cs="Arial"/>
          <w:sz w:val="20"/>
          <w:szCs w:val="20"/>
        </w:rPr>
        <w:t xml:space="preserve">Pridobivanje sponzorskih sredstev in donacij je razmeroma redko. Večinoma gre za blagovni prispevek, denarni pa je z upadanjem števila velikih in uspešnih slovenskih podjetij vse redkejši. </w:t>
      </w:r>
      <w:r w:rsidR="00EA2C40" w:rsidRPr="00F82C5F">
        <w:rPr>
          <w:rFonts w:ascii="Arial" w:hAnsi="Arial" w:cs="Arial"/>
          <w:sz w:val="20"/>
          <w:szCs w:val="20"/>
        </w:rPr>
        <w:t>1</w:t>
      </w:r>
      <w:r w:rsidR="00230B36">
        <w:rPr>
          <w:rFonts w:ascii="Arial" w:hAnsi="Arial" w:cs="Arial"/>
          <w:sz w:val="20"/>
          <w:szCs w:val="20"/>
        </w:rPr>
        <w:t>1</w:t>
      </w:r>
      <w:r w:rsidR="00EA2C40" w:rsidRPr="00F82C5F">
        <w:rPr>
          <w:rFonts w:ascii="Arial" w:hAnsi="Arial" w:cs="Arial"/>
          <w:sz w:val="20"/>
          <w:szCs w:val="20"/>
        </w:rPr>
        <w:t xml:space="preserve"> muzejev</w:t>
      </w:r>
      <w:r w:rsidRPr="00F82C5F">
        <w:rPr>
          <w:rFonts w:ascii="Arial" w:hAnsi="Arial" w:cs="Arial"/>
          <w:sz w:val="20"/>
          <w:szCs w:val="20"/>
        </w:rPr>
        <w:t xml:space="preserve">, </w:t>
      </w:r>
      <w:r w:rsidR="00230B36">
        <w:rPr>
          <w:rFonts w:ascii="Arial" w:hAnsi="Arial" w:cs="Arial"/>
          <w:sz w:val="20"/>
          <w:szCs w:val="20"/>
        </w:rPr>
        <w:t>pet manj kot lani</w:t>
      </w:r>
      <w:r w:rsidRPr="00F82C5F">
        <w:rPr>
          <w:rFonts w:ascii="Arial" w:hAnsi="Arial" w:cs="Arial"/>
          <w:sz w:val="20"/>
          <w:szCs w:val="20"/>
        </w:rPr>
        <w:t>,</w:t>
      </w:r>
      <w:r w:rsidR="00EA2C40" w:rsidRPr="00F82C5F">
        <w:rPr>
          <w:rFonts w:ascii="Arial" w:hAnsi="Arial" w:cs="Arial"/>
          <w:sz w:val="20"/>
          <w:szCs w:val="20"/>
        </w:rPr>
        <w:t xml:space="preserve"> iz lastnih sredstev zagotavlja tudi zaposlitev</w:t>
      </w:r>
      <w:r w:rsidR="00230B36">
        <w:rPr>
          <w:rFonts w:ascii="Arial" w:hAnsi="Arial" w:cs="Arial"/>
          <w:sz w:val="20"/>
          <w:szCs w:val="20"/>
        </w:rPr>
        <w:t xml:space="preserve"> oz. krije razliko do polne zaposlitve. Znižanje števila je ugodno in je nastalo zaradi zagotavljanja sredstev s strani ustanoviteljev, ki pred tem v muzeju delovnih mest bodisi niso financirali ali pa so financirali nesorazmerno nizek delež. </w:t>
      </w:r>
      <w:r w:rsidR="00EA2C40" w:rsidRPr="00F82C5F">
        <w:rPr>
          <w:rFonts w:ascii="Arial" w:hAnsi="Arial" w:cs="Arial"/>
          <w:sz w:val="20"/>
          <w:szCs w:val="20"/>
        </w:rPr>
        <w:t>Lastn</w:t>
      </w:r>
      <w:r w:rsidR="00660AB1" w:rsidRPr="00F82C5F">
        <w:rPr>
          <w:rFonts w:ascii="Arial" w:hAnsi="Arial" w:cs="Arial"/>
          <w:sz w:val="20"/>
          <w:szCs w:val="20"/>
        </w:rPr>
        <w:t>i</w:t>
      </w:r>
      <w:r w:rsidR="00230B36">
        <w:rPr>
          <w:rFonts w:ascii="Arial" w:hAnsi="Arial" w:cs="Arial"/>
          <w:sz w:val="20"/>
          <w:szCs w:val="20"/>
        </w:rPr>
        <w:t xml:space="preserve"> </w:t>
      </w:r>
      <w:r w:rsidR="00660AB1" w:rsidRPr="00F82C5F">
        <w:rPr>
          <w:rFonts w:ascii="Arial" w:hAnsi="Arial" w:cs="Arial"/>
          <w:sz w:val="20"/>
          <w:szCs w:val="20"/>
        </w:rPr>
        <w:t xml:space="preserve">prihodki iz izvajanja javne službe so prednostno namenjeni bogatitvi programa. </w:t>
      </w:r>
    </w:p>
    <w:p w:rsidR="00660AB1" w:rsidRPr="00F82C5F" w:rsidRDefault="00660AB1" w:rsidP="00F82C5F">
      <w:pPr>
        <w:jc w:val="both"/>
        <w:rPr>
          <w:rFonts w:ascii="Arial" w:hAnsi="Arial" w:cs="Arial"/>
          <w:sz w:val="20"/>
          <w:szCs w:val="20"/>
        </w:rPr>
      </w:pPr>
    </w:p>
    <w:p w:rsidR="00840529" w:rsidRPr="00F82C5F" w:rsidRDefault="00840529" w:rsidP="00F82C5F">
      <w:pPr>
        <w:jc w:val="both"/>
        <w:rPr>
          <w:rFonts w:ascii="Arial" w:hAnsi="Arial" w:cs="Arial"/>
          <w:sz w:val="20"/>
          <w:szCs w:val="20"/>
        </w:rPr>
      </w:pPr>
      <w:r w:rsidRPr="00F82C5F">
        <w:rPr>
          <w:rFonts w:ascii="Arial" w:hAnsi="Arial" w:cs="Arial"/>
          <w:sz w:val="20"/>
          <w:szCs w:val="20"/>
        </w:rPr>
        <w:t>V letu 201</w:t>
      </w:r>
      <w:r w:rsidR="00230B36">
        <w:rPr>
          <w:rFonts w:ascii="Arial" w:hAnsi="Arial" w:cs="Arial"/>
          <w:sz w:val="20"/>
          <w:szCs w:val="20"/>
        </w:rPr>
        <w:t>9</w:t>
      </w:r>
      <w:r w:rsidRPr="00F82C5F">
        <w:rPr>
          <w:rFonts w:ascii="Arial" w:hAnsi="Arial" w:cs="Arial"/>
          <w:sz w:val="20"/>
          <w:szCs w:val="20"/>
        </w:rPr>
        <w:t xml:space="preserve"> je finančna sredstva EU </w:t>
      </w:r>
      <w:r w:rsidR="00B144E2" w:rsidRPr="00F82C5F">
        <w:rPr>
          <w:rFonts w:ascii="Arial" w:hAnsi="Arial" w:cs="Arial"/>
          <w:sz w:val="20"/>
          <w:szCs w:val="20"/>
        </w:rPr>
        <w:t xml:space="preserve">v skupni višini </w:t>
      </w:r>
      <w:r w:rsidR="00230B36">
        <w:rPr>
          <w:rFonts w:ascii="Arial" w:hAnsi="Arial" w:cs="Arial"/>
          <w:sz w:val="20"/>
          <w:szCs w:val="20"/>
        </w:rPr>
        <w:t>525.098</w:t>
      </w:r>
      <w:r w:rsidR="00B144E2" w:rsidRPr="00F82C5F">
        <w:rPr>
          <w:rFonts w:ascii="Arial" w:hAnsi="Arial" w:cs="Arial"/>
          <w:sz w:val="20"/>
          <w:szCs w:val="20"/>
        </w:rPr>
        <w:t xml:space="preserve"> EUR </w:t>
      </w:r>
      <w:r w:rsidRPr="00F82C5F">
        <w:rPr>
          <w:rFonts w:ascii="Arial" w:hAnsi="Arial" w:cs="Arial"/>
          <w:sz w:val="20"/>
          <w:szCs w:val="20"/>
        </w:rPr>
        <w:t>črpalo 1</w:t>
      </w:r>
      <w:r w:rsidR="00230B36">
        <w:rPr>
          <w:rFonts w:ascii="Arial" w:hAnsi="Arial" w:cs="Arial"/>
          <w:sz w:val="20"/>
          <w:szCs w:val="20"/>
        </w:rPr>
        <w:t>5</w:t>
      </w:r>
      <w:r w:rsidRPr="00F82C5F">
        <w:rPr>
          <w:rFonts w:ascii="Arial" w:hAnsi="Arial" w:cs="Arial"/>
          <w:sz w:val="20"/>
          <w:szCs w:val="20"/>
        </w:rPr>
        <w:t xml:space="preserve"> muzejev</w:t>
      </w:r>
      <w:r w:rsidR="00E059B5">
        <w:rPr>
          <w:rFonts w:ascii="Arial" w:hAnsi="Arial" w:cs="Arial"/>
          <w:sz w:val="20"/>
          <w:szCs w:val="20"/>
        </w:rPr>
        <w:t>, 2 več kot v letu 2018.</w:t>
      </w:r>
      <w:r w:rsidRPr="00F82C5F">
        <w:rPr>
          <w:rFonts w:ascii="Arial" w:hAnsi="Arial" w:cs="Arial"/>
          <w:sz w:val="20"/>
          <w:szCs w:val="20"/>
        </w:rPr>
        <w:t xml:space="preserve"> </w:t>
      </w:r>
      <w:r w:rsidR="00230B36">
        <w:rPr>
          <w:rFonts w:ascii="Arial" w:hAnsi="Arial" w:cs="Arial"/>
          <w:sz w:val="20"/>
          <w:szCs w:val="20"/>
        </w:rPr>
        <w:t>V primerjavi z letom 2018</w:t>
      </w:r>
      <w:r w:rsidR="00E059B5">
        <w:rPr>
          <w:rFonts w:ascii="Arial" w:hAnsi="Arial" w:cs="Arial"/>
          <w:sz w:val="20"/>
          <w:szCs w:val="20"/>
        </w:rPr>
        <w:t xml:space="preserve"> so črpali za 121.240 EUR več sredstev </w:t>
      </w:r>
      <w:r w:rsidR="00E059B5" w:rsidRPr="00F82C5F">
        <w:rPr>
          <w:rFonts w:ascii="Arial" w:hAnsi="Arial" w:cs="Arial"/>
          <w:sz w:val="20"/>
          <w:szCs w:val="20"/>
        </w:rPr>
        <w:t>pri čemer so upoštevani neposredni in posredni viri.</w:t>
      </w:r>
      <w:r w:rsidR="00E059B5">
        <w:rPr>
          <w:rFonts w:ascii="Arial" w:hAnsi="Arial" w:cs="Arial"/>
          <w:sz w:val="20"/>
          <w:szCs w:val="20"/>
        </w:rPr>
        <w:t xml:space="preserve"> </w:t>
      </w:r>
      <w:r w:rsidR="00EA2C40" w:rsidRPr="00F82C5F">
        <w:rPr>
          <w:rFonts w:ascii="Arial" w:hAnsi="Arial" w:cs="Arial"/>
          <w:sz w:val="20"/>
          <w:szCs w:val="20"/>
        </w:rPr>
        <w:t xml:space="preserve">S sredstvi so zagotovili delo na </w:t>
      </w:r>
      <w:r w:rsidR="00660AB1" w:rsidRPr="00F82C5F">
        <w:rPr>
          <w:rFonts w:ascii="Arial" w:hAnsi="Arial" w:cs="Arial"/>
          <w:sz w:val="20"/>
          <w:szCs w:val="20"/>
        </w:rPr>
        <w:t>1</w:t>
      </w:r>
      <w:r w:rsidR="00E059B5">
        <w:rPr>
          <w:rFonts w:ascii="Arial" w:hAnsi="Arial" w:cs="Arial"/>
          <w:sz w:val="20"/>
          <w:szCs w:val="20"/>
        </w:rPr>
        <w:t>3</w:t>
      </w:r>
      <w:r w:rsidR="00EA2C40" w:rsidRPr="00F82C5F">
        <w:rPr>
          <w:rFonts w:ascii="Arial" w:hAnsi="Arial" w:cs="Arial"/>
          <w:sz w:val="20"/>
          <w:szCs w:val="20"/>
        </w:rPr>
        <w:t xml:space="preserve"> delovnih mestih, omogočili strokovno delo in druge projektne aktivnosti. </w:t>
      </w:r>
      <w:r w:rsidR="00660AB1" w:rsidRPr="00F82C5F">
        <w:rPr>
          <w:rFonts w:ascii="Arial" w:hAnsi="Arial" w:cs="Arial"/>
          <w:sz w:val="20"/>
          <w:szCs w:val="20"/>
        </w:rPr>
        <w:t xml:space="preserve">V primerjavi z letom prej gre za </w:t>
      </w:r>
      <w:r w:rsidR="00B144E2" w:rsidRPr="00F82C5F">
        <w:rPr>
          <w:rFonts w:ascii="Arial" w:hAnsi="Arial" w:cs="Arial"/>
          <w:sz w:val="20"/>
          <w:szCs w:val="20"/>
        </w:rPr>
        <w:t xml:space="preserve">boljši </w:t>
      </w:r>
      <w:r w:rsidR="00660AB1" w:rsidRPr="00F82C5F">
        <w:rPr>
          <w:rFonts w:ascii="Arial" w:hAnsi="Arial" w:cs="Arial"/>
          <w:sz w:val="20"/>
          <w:szCs w:val="20"/>
        </w:rPr>
        <w:t>rezultat</w:t>
      </w:r>
      <w:r w:rsidR="00B144E2" w:rsidRPr="00F82C5F">
        <w:rPr>
          <w:rFonts w:ascii="Arial" w:hAnsi="Arial" w:cs="Arial"/>
          <w:sz w:val="20"/>
          <w:szCs w:val="20"/>
        </w:rPr>
        <w:t xml:space="preserve"> v višini sredstev in številu </w:t>
      </w:r>
      <w:r w:rsidR="00E059B5">
        <w:rPr>
          <w:rFonts w:ascii="Arial" w:hAnsi="Arial" w:cs="Arial"/>
          <w:sz w:val="20"/>
          <w:szCs w:val="20"/>
        </w:rPr>
        <w:t>udeleženih muzejev</w:t>
      </w:r>
      <w:r w:rsidR="00B144E2" w:rsidRPr="00F82C5F">
        <w:rPr>
          <w:rFonts w:ascii="Arial" w:hAnsi="Arial" w:cs="Arial"/>
          <w:sz w:val="20"/>
          <w:szCs w:val="20"/>
        </w:rPr>
        <w:t>. Najuspešnejša pri pridobivanju EU sredstev sta MGML in Pomorski muzej Sergej Mašera Piran</w:t>
      </w:r>
      <w:r w:rsidR="00E059B5">
        <w:rPr>
          <w:rFonts w:ascii="Arial" w:hAnsi="Arial" w:cs="Arial"/>
          <w:sz w:val="20"/>
          <w:szCs w:val="20"/>
        </w:rPr>
        <w:t xml:space="preserve">, kar pa se ne odraža v številu delovnih mest. </w:t>
      </w:r>
      <w:r w:rsidR="00B144E2" w:rsidRPr="00F82C5F">
        <w:rPr>
          <w:rFonts w:ascii="Arial" w:hAnsi="Arial" w:cs="Arial"/>
          <w:sz w:val="20"/>
          <w:szCs w:val="20"/>
        </w:rPr>
        <w:t xml:space="preserve">   </w:t>
      </w:r>
      <w:r w:rsidR="00660AB1" w:rsidRPr="00F82C5F">
        <w:rPr>
          <w:rFonts w:ascii="Arial" w:hAnsi="Arial" w:cs="Arial"/>
          <w:sz w:val="20"/>
          <w:szCs w:val="20"/>
        </w:rPr>
        <w:t xml:space="preserve"> </w:t>
      </w:r>
    </w:p>
    <w:p w:rsidR="00840529" w:rsidRPr="00F82C5F" w:rsidRDefault="00840529" w:rsidP="00F82C5F">
      <w:pPr>
        <w:jc w:val="both"/>
        <w:rPr>
          <w:rFonts w:ascii="Arial" w:hAnsi="Arial" w:cs="Arial"/>
          <w:sz w:val="20"/>
          <w:szCs w:val="20"/>
        </w:rPr>
      </w:pPr>
    </w:p>
    <w:p w:rsidR="00EA2C40" w:rsidRPr="00F82C5F" w:rsidRDefault="00F944F5" w:rsidP="00F82C5F">
      <w:pPr>
        <w:jc w:val="both"/>
        <w:rPr>
          <w:rFonts w:ascii="Arial" w:hAnsi="Arial" w:cs="Arial"/>
          <w:sz w:val="20"/>
          <w:szCs w:val="20"/>
        </w:rPr>
      </w:pPr>
      <w:r w:rsidRPr="00F82C5F">
        <w:rPr>
          <w:rFonts w:ascii="Arial" w:hAnsi="Arial" w:cs="Arial"/>
          <w:sz w:val="20"/>
          <w:szCs w:val="20"/>
        </w:rPr>
        <w:t xml:space="preserve">Med pooblaščenimi muzeji je Kobariški muzej </w:t>
      </w:r>
      <w:proofErr w:type="spellStart"/>
      <w:r w:rsidRPr="00F82C5F">
        <w:rPr>
          <w:rFonts w:ascii="Arial" w:hAnsi="Arial" w:cs="Arial"/>
          <w:sz w:val="20"/>
          <w:szCs w:val="20"/>
        </w:rPr>
        <w:t>d.o.o</w:t>
      </w:r>
      <w:proofErr w:type="spellEnd"/>
      <w:r w:rsidRPr="00F82C5F">
        <w:rPr>
          <w:rFonts w:ascii="Arial" w:hAnsi="Arial" w:cs="Arial"/>
          <w:sz w:val="20"/>
          <w:szCs w:val="20"/>
        </w:rPr>
        <w:t xml:space="preserve">. edini </w:t>
      </w:r>
      <w:r w:rsidRPr="00F82C5F">
        <w:rPr>
          <w:rFonts w:ascii="Arial" w:hAnsi="Arial" w:cs="Arial"/>
          <w:b/>
          <w:sz w:val="20"/>
          <w:szCs w:val="20"/>
        </w:rPr>
        <w:t>zasebni muzej</w:t>
      </w:r>
      <w:r w:rsidRPr="00F82C5F">
        <w:rPr>
          <w:rFonts w:ascii="Arial" w:hAnsi="Arial" w:cs="Arial"/>
          <w:sz w:val="20"/>
          <w:szCs w:val="20"/>
        </w:rPr>
        <w:t xml:space="preserve">, ki je pridobil pooblastilo za izvajanje državne javne službe muzejev. Muzej se ukvarja predvsem z vsebinami prve svetovne vojne, prednostno z dediščino Soške fronte. Višina sofinanciranja v </w:t>
      </w:r>
      <w:r w:rsidR="00EA2C40" w:rsidRPr="00F82C5F">
        <w:rPr>
          <w:rFonts w:ascii="Arial" w:hAnsi="Arial" w:cs="Arial"/>
          <w:sz w:val="20"/>
          <w:szCs w:val="20"/>
        </w:rPr>
        <w:t>letu 201</w:t>
      </w:r>
      <w:r w:rsidR="00E059B5">
        <w:rPr>
          <w:rFonts w:ascii="Arial" w:hAnsi="Arial" w:cs="Arial"/>
          <w:sz w:val="20"/>
          <w:szCs w:val="20"/>
        </w:rPr>
        <w:t>9</w:t>
      </w:r>
      <w:r w:rsidR="00EA2C40" w:rsidRPr="00F82C5F">
        <w:rPr>
          <w:rFonts w:ascii="Arial" w:hAnsi="Arial" w:cs="Arial"/>
          <w:sz w:val="20"/>
          <w:szCs w:val="20"/>
        </w:rPr>
        <w:t xml:space="preserve"> je znašala </w:t>
      </w:r>
      <w:r w:rsidR="00B144E2" w:rsidRPr="00F82C5F">
        <w:rPr>
          <w:rFonts w:ascii="Arial" w:hAnsi="Arial" w:cs="Arial"/>
          <w:sz w:val="20"/>
          <w:szCs w:val="20"/>
        </w:rPr>
        <w:t>25</w:t>
      </w:r>
      <w:r w:rsidRPr="00F82C5F">
        <w:rPr>
          <w:rFonts w:ascii="Arial" w:hAnsi="Arial" w:cs="Arial"/>
          <w:sz w:val="20"/>
          <w:szCs w:val="20"/>
        </w:rPr>
        <w:t xml:space="preserve">.000 EUR. </w:t>
      </w:r>
      <w:r w:rsidR="00EA2C40" w:rsidRPr="00F82C5F">
        <w:rPr>
          <w:rFonts w:ascii="Arial" w:hAnsi="Arial" w:cs="Arial"/>
          <w:sz w:val="20"/>
          <w:szCs w:val="20"/>
        </w:rPr>
        <w:t xml:space="preserve">Ministrstvo muzeju zagotavlja sredstva za programske stroške izvajanja državne javne službe v okviru I. sklopa in projektni sklop, ki vključuje dopolnitev stalne razstave in občasno razstavo. Muzej pridobiva sredstva po javnem pozivu. Beleži visok obisk, finančno pa izkaze vodi razmejeno </w:t>
      </w:r>
      <w:r w:rsidR="00F420EE" w:rsidRPr="00F82C5F">
        <w:rPr>
          <w:rFonts w:ascii="Arial" w:hAnsi="Arial" w:cs="Arial"/>
          <w:sz w:val="20"/>
          <w:szCs w:val="20"/>
        </w:rPr>
        <w:t xml:space="preserve">med prihodke iz javnih sredstev in </w:t>
      </w:r>
      <w:r w:rsidR="00EA2C40" w:rsidRPr="00F82C5F">
        <w:rPr>
          <w:rFonts w:ascii="Arial" w:hAnsi="Arial" w:cs="Arial"/>
          <w:sz w:val="20"/>
          <w:szCs w:val="20"/>
        </w:rPr>
        <w:t>tržn</w:t>
      </w:r>
      <w:r w:rsidR="00F420EE" w:rsidRPr="00F82C5F">
        <w:rPr>
          <w:rFonts w:ascii="Arial" w:hAnsi="Arial" w:cs="Arial"/>
          <w:sz w:val="20"/>
          <w:szCs w:val="20"/>
        </w:rPr>
        <w:t>e</w:t>
      </w:r>
      <w:r w:rsidR="00EA2C40" w:rsidRPr="00F82C5F">
        <w:rPr>
          <w:rFonts w:ascii="Arial" w:hAnsi="Arial" w:cs="Arial"/>
          <w:sz w:val="20"/>
          <w:szCs w:val="20"/>
        </w:rPr>
        <w:t xml:space="preserve"> dejavnost</w:t>
      </w:r>
      <w:r w:rsidR="00F420EE" w:rsidRPr="00F82C5F">
        <w:rPr>
          <w:rFonts w:ascii="Arial" w:hAnsi="Arial" w:cs="Arial"/>
          <w:sz w:val="20"/>
          <w:szCs w:val="20"/>
        </w:rPr>
        <w:t>i</w:t>
      </w:r>
      <w:r w:rsidR="00EA2C40" w:rsidRPr="00F82C5F">
        <w:rPr>
          <w:rFonts w:ascii="Arial" w:hAnsi="Arial" w:cs="Arial"/>
          <w:sz w:val="20"/>
          <w:szCs w:val="20"/>
        </w:rPr>
        <w:t xml:space="preserve">. </w:t>
      </w:r>
    </w:p>
    <w:p w:rsidR="00A63774" w:rsidRPr="00F82C5F" w:rsidRDefault="00A63774" w:rsidP="00F82C5F">
      <w:pPr>
        <w:jc w:val="both"/>
        <w:rPr>
          <w:rFonts w:ascii="Arial" w:hAnsi="Arial" w:cs="Arial"/>
          <w:sz w:val="20"/>
          <w:szCs w:val="20"/>
        </w:rPr>
      </w:pPr>
    </w:p>
    <w:p w:rsidR="000F5B55" w:rsidRPr="00F82C5F" w:rsidRDefault="000F5B55" w:rsidP="00F82C5F">
      <w:pPr>
        <w:jc w:val="both"/>
        <w:rPr>
          <w:rFonts w:ascii="Arial" w:hAnsi="Arial" w:cs="Arial"/>
          <w:sz w:val="20"/>
          <w:szCs w:val="20"/>
        </w:rPr>
      </w:pPr>
    </w:p>
    <w:p w:rsidR="00EC33AB" w:rsidRPr="00F82C5F" w:rsidRDefault="00EC33AB" w:rsidP="00F82C5F">
      <w:pPr>
        <w:jc w:val="both"/>
        <w:rPr>
          <w:rFonts w:ascii="Arial" w:hAnsi="Arial" w:cs="Arial"/>
          <w:b/>
          <w:sz w:val="20"/>
          <w:szCs w:val="20"/>
          <w:u w:val="single"/>
        </w:rPr>
      </w:pPr>
      <w:r w:rsidRPr="00F82C5F">
        <w:rPr>
          <w:rFonts w:ascii="Arial" w:hAnsi="Arial" w:cs="Arial"/>
          <w:b/>
          <w:sz w:val="20"/>
          <w:szCs w:val="20"/>
          <w:u w:val="single"/>
        </w:rPr>
        <w:t>Zaključek</w:t>
      </w:r>
    </w:p>
    <w:p w:rsidR="004D4C82" w:rsidRDefault="004D4C82" w:rsidP="00F82C5F">
      <w:pPr>
        <w:jc w:val="both"/>
        <w:rPr>
          <w:rFonts w:ascii="Arial" w:hAnsi="Arial" w:cs="Arial"/>
          <w:b/>
          <w:sz w:val="20"/>
          <w:szCs w:val="20"/>
          <w:u w:val="single"/>
        </w:rPr>
      </w:pPr>
    </w:p>
    <w:p w:rsidR="00D16461" w:rsidRDefault="00543950" w:rsidP="00543950">
      <w:pPr>
        <w:jc w:val="both"/>
        <w:rPr>
          <w:rFonts w:ascii="Arial" w:hAnsi="Arial" w:cs="Arial"/>
          <w:sz w:val="20"/>
          <w:szCs w:val="20"/>
        </w:rPr>
      </w:pPr>
      <w:r>
        <w:rPr>
          <w:rFonts w:ascii="Arial" w:hAnsi="Arial" w:cs="Arial"/>
          <w:sz w:val="20"/>
          <w:szCs w:val="20"/>
        </w:rPr>
        <w:t xml:space="preserve">Pooblaščeni muzeji so leto 2019 uspešno zaključili. </w:t>
      </w:r>
      <w:r w:rsidR="00BC5970">
        <w:rPr>
          <w:rFonts w:ascii="Arial" w:hAnsi="Arial" w:cs="Arial"/>
          <w:sz w:val="20"/>
          <w:szCs w:val="20"/>
        </w:rPr>
        <w:t xml:space="preserve">Realizirali so zastavljene projekte, </w:t>
      </w:r>
      <w:r w:rsidR="00D16461">
        <w:rPr>
          <w:rFonts w:ascii="Arial" w:hAnsi="Arial" w:cs="Arial"/>
          <w:sz w:val="20"/>
          <w:szCs w:val="20"/>
        </w:rPr>
        <w:t xml:space="preserve">med njimi nekaj zelo odmevnih, </w:t>
      </w:r>
      <w:r w:rsidR="00BC5970">
        <w:rPr>
          <w:rFonts w:ascii="Arial" w:hAnsi="Arial" w:cs="Arial"/>
          <w:sz w:val="20"/>
          <w:szCs w:val="20"/>
        </w:rPr>
        <w:t>ohranili število obiskovalcev, povečali zanimanje za obisk</w:t>
      </w:r>
      <w:r w:rsidR="00D16461">
        <w:rPr>
          <w:rFonts w:ascii="Arial" w:hAnsi="Arial" w:cs="Arial"/>
          <w:sz w:val="20"/>
          <w:szCs w:val="20"/>
        </w:rPr>
        <w:t xml:space="preserve"> otrok in mladine ter tujcev, intenzivirali mednarodno sodelovanje</w:t>
      </w:r>
      <w:r w:rsidR="00B241FB">
        <w:rPr>
          <w:rFonts w:ascii="Arial" w:hAnsi="Arial" w:cs="Arial"/>
          <w:sz w:val="20"/>
          <w:szCs w:val="20"/>
        </w:rPr>
        <w:t xml:space="preserve">, </w:t>
      </w:r>
      <w:r w:rsidR="00D16461">
        <w:rPr>
          <w:rFonts w:ascii="Arial" w:hAnsi="Arial" w:cs="Arial"/>
          <w:sz w:val="20"/>
          <w:szCs w:val="20"/>
        </w:rPr>
        <w:t xml:space="preserve">zvišali </w:t>
      </w:r>
      <w:r w:rsidR="00B241FB">
        <w:rPr>
          <w:rFonts w:ascii="Arial" w:hAnsi="Arial" w:cs="Arial"/>
          <w:sz w:val="20"/>
          <w:szCs w:val="20"/>
        </w:rPr>
        <w:t xml:space="preserve">črpanje EU sredstev in </w:t>
      </w:r>
      <w:r w:rsidR="00D16461">
        <w:rPr>
          <w:rFonts w:ascii="Arial" w:hAnsi="Arial" w:cs="Arial"/>
          <w:sz w:val="20"/>
          <w:szCs w:val="20"/>
        </w:rPr>
        <w:t>lastni prihodek</w:t>
      </w:r>
      <w:r w:rsidR="00B241FB">
        <w:rPr>
          <w:rFonts w:ascii="Arial" w:hAnsi="Arial" w:cs="Arial"/>
          <w:sz w:val="20"/>
          <w:szCs w:val="20"/>
        </w:rPr>
        <w:t>.</w:t>
      </w:r>
    </w:p>
    <w:p w:rsidR="00D16461" w:rsidRDefault="00D16461" w:rsidP="00543950">
      <w:pPr>
        <w:jc w:val="both"/>
        <w:rPr>
          <w:rFonts w:ascii="Arial" w:hAnsi="Arial" w:cs="Arial"/>
          <w:sz w:val="20"/>
          <w:szCs w:val="20"/>
        </w:rPr>
      </w:pPr>
    </w:p>
    <w:p w:rsidR="00543950" w:rsidRDefault="00D16461" w:rsidP="00F82C5F">
      <w:pPr>
        <w:jc w:val="both"/>
        <w:rPr>
          <w:rFonts w:ascii="Arial" w:hAnsi="Arial" w:cs="Arial"/>
          <w:sz w:val="20"/>
          <w:szCs w:val="20"/>
        </w:rPr>
      </w:pPr>
      <w:r>
        <w:rPr>
          <w:rFonts w:ascii="Arial" w:hAnsi="Arial" w:cs="Arial"/>
          <w:sz w:val="20"/>
          <w:szCs w:val="20"/>
        </w:rPr>
        <w:t xml:space="preserve">Velika večina muzejev se kontinuirano ukvarja </w:t>
      </w:r>
      <w:r w:rsidR="00543950">
        <w:rPr>
          <w:rFonts w:ascii="Arial" w:hAnsi="Arial" w:cs="Arial"/>
          <w:sz w:val="20"/>
          <w:szCs w:val="20"/>
        </w:rPr>
        <w:t xml:space="preserve">s postopno prenovo prostorov in stalnih postavitev. </w:t>
      </w:r>
      <w:r w:rsidR="00BC5970">
        <w:rPr>
          <w:rFonts w:ascii="Arial" w:hAnsi="Arial" w:cs="Arial"/>
          <w:sz w:val="20"/>
          <w:szCs w:val="20"/>
        </w:rPr>
        <w:t>Največji problem še vedno predstavljajo depojski prostori. Več posluha za investicije in podporo muzeju izkazujejo tudi njihovi ustanovitelji, zlasti tisti z vizijo, ki kulturno področje vključujejo v razvojne programe občine in si prizadevajo za turistični obisk. Problem pomanjkanja podporn</w:t>
      </w:r>
      <w:r>
        <w:rPr>
          <w:rFonts w:ascii="Arial" w:hAnsi="Arial" w:cs="Arial"/>
          <w:sz w:val="20"/>
          <w:szCs w:val="20"/>
        </w:rPr>
        <w:t>ih služb</w:t>
      </w:r>
      <w:r w:rsidR="00BC5970">
        <w:rPr>
          <w:rFonts w:ascii="Arial" w:hAnsi="Arial" w:cs="Arial"/>
          <w:sz w:val="20"/>
          <w:szCs w:val="20"/>
        </w:rPr>
        <w:t xml:space="preserve"> rešujejo z zunanjimi izvajalci, javnimi deli in študentskim delom. </w:t>
      </w:r>
      <w:r w:rsidR="00543950" w:rsidRPr="00F82C5F">
        <w:rPr>
          <w:rFonts w:ascii="Arial" w:hAnsi="Arial" w:cs="Arial"/>
          <w:sz w:val="20"/>
          <w:szCs w:val="20"/>
        </w:rPr>
        <w:t>Celoten proračun muzej</w:t>
      </w:r>
      <w:r w:rsidR="00BC5970">
        <w:rPr>
          <w:rFonts w:ascii="Arial" w:hAnsi="Arial" w:cs="Arial"/>
          <w:sz w:val="20"/>
          <w:szCs w:val="20"/>
        </w:rPr>
        <w:t>ev</w:t>
      </w:r>
      <w:r w:rsidR="00543950" w:rsidRPr="00F82C5F">
        <w:rPr>
          <w:rFonts w:ascii="Arial" w:hAnsi="Arial" w:cs="Arial"/>
          <w:sz w:val="20"/>
          <w:szCs w:val="20"/>
        </w:rPr>
        <w:t xml:space="preserve"> je sicer višji kot v letu 201</w:t>
      </w:r>
      <w:r w:rsidR="00BC5970">
        <w:rPr>
          <w:rFonts w:ascii="Arial" w:hAnsi="Arial" w:cs="Arial"/>
          <w:sz w:val="20"/>
          <w:szCs w:val="20"/>
        </w:rPr>
        <w:t>8</w:t>
      </w:r>
      <w:r w:rsidR="00543950" w:rsidRPr="00F82C5F">
        <w:rPr>
          <w:rFonts w:ascii="Arial" w:hAnsi="Arial" w:cs="Arial"/>
          <w:sz w:val="20"/>
          <w:szCs w:val="20"/>
        </w:rPr>
        <w:t xml:space="preserve">, vendar je razlika namenjena izplačilu plač. </w:t>
      </w:r>
    </w:p>
    <w:p w:rsidR="00D16461" w:rsidRPr="00F82C5F" w:rsidRDefault="00B241FB" w:rsidP="00F82C5F">
      <w:pPr>
        <w:jc w:val="both"/>
        <w:rPr>
          <w:rFonts w:ascii="Arial" w:hAnsi="Arial" w:cs="Arial"/>
          <w:b/>
          <w:sz w:val="20"/>
          <w:szCs w:val="20"/>
          <w:u w:val="single"/>
        </w:rPr>
      </w:pPr>
      <w:r>
        <w:rPr>
          <w:rFonts w:ascii="Arial" w:hAnsi="Arial" w:cs="Arial"/>
          <w:sz w:val="20"/>
          <w:szCs w:val="20"/>
        </w:rPr>
        <w:t xml:space="preserve">Med pooblaščenimi muzeji jih tretjina deluje zelo uspešno, mednarodno primerljivo, nekateri med njimi glede na izhodiščne možnosti tudi nadpovprečno. Imajo vizijo, pripravljajo odmevne projekte, beležijo dober obisk in posledično pridobijo tudi več lastnih sredstev. Petina muzejev deluje pod mejo </w:t>
      </w:r>
      <w:r w:rsidR="00DD256D">
        <w:rPr>
          <w:rFonts w:ascii="Arial" w:hAnsi="Arial" w:cs="Arial"/>
          <w:sz w:val="20"/>
          <w:szCs w:val="20"/>
        </w:rPr>
        <w:t xml:space="preserve">pričakovanih in izvedljivih rezultatov, kar je večinoma posledica neustreznega vodenja in brezbrižnosti ustanoviteljev, da bi stanje spremenili. Večina muzejev deluje uspešno in si prizadeva izboljšati stanje in povečati prepoznavnost. </w:t>
      </w:r>
    </w:p>
    <w:sectPr w:rsidR="00D16461" w:rsidRPr="00F82C5F">
      <w:footerReference w:type="defaul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573" w:rsidRDefault="00917573" w:rsidP="006668D1">
      <w:r>
        <w:separator/>
      </w:r>
    </w:p>
  </w:endnote>
  <w:endnote w:type="continuationSeparator" w:id="0">
    <w:p w:rsidR="00917573" w:rsidRDefault="00917573" w:rsidP="0066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417146"/>
      <w:docPartObj>
        <w:docPartGallery w:val="Page Numbers (Bottom of Page)"/>
        <w:docPartUnique/>
      </w:docPartObj>
    </w:sdtPr>
    <w:sdtEndPr/>
    <w:sdtContent>
      <w:p w:rsidR="00F07EDF" w:rsidRDefault="00F07EDF">
        <w:pPr>
          <w:pStyle w:val="Noga"/>
          <w:jc w:val="right"/>
        </w:pPr>
        <w:r>
          <w:fldChar w:fldCharType="begin"/>
        </w:r>
        <w:r>
          <w:instrText>PAGE   \* MERGEFORMAT</w:instrText>
        </w:r>
        <w:r>
          <w:fldChar w:fldCharType="separate"/>
        </w:r>
        <w:r w:rsidR="00DD3E4F">
          <w:rPr>
            <w:noProof/>
          </w:rPr>
          <w:t>13</w:t>
        </w:r>
        <w:r>
          <w:fldChar w:fldCharType="end"/>
        </w:r>
      </w:p>
    </w:sdtContent>
  </w:sdt>
  <w:p w:rsidR="00F07EDF" w:rsidRDefault="00F07ED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573" w:rsidRDefault="00917573" w:rsidP="006668D1">
      <w:r>
        <w:separator/>
      </w:r>
    </w:p>
  </w:footnote>
  <w:footnote w:type="continuationSeparator" w:id="0">
    <w:p w:rsidR="00917573" w:rsidRDefault="00917573" w:rsidP="006668D1">
      <w:r>
        <w:continuationSeparator/>
      </w:r>
    </w:p>
  </w:footnote>
  <w:footnote w:id="1">
    <w:p w:rsidR="00637628" w:rsidRPr="00306D57" w:rsidRDefault="00637628">
      <w:pPr>
        <w:pStyle w:val="Sprotnaopomba-besedilo"/>
        <w:rPr>
          <w:rFonts w:ascii="Arial" w:hAnsi="Arial" w:cs="Arial"/>
          <w:sz w:val="16"/>
          <w:szCs w:val="16"/>
        </w:rPr>
      </w:pPr>
      <w:r w:rsidRPr="00306D57">
        <w:rPr>
          <w:rStyle w:val="Sprotnaopomba-sklic"/>
          <w:rFonts w:ascii="Arial" w:hAnsi="Arial" w:cs="Arial"/>
          <w:sz w:val="16"/>
          <w:szCs w:val="16"/>
        </w:rPr>
        <w:footnoteRef/>
      </w:r>
      <w:r w:rsidRPr="00306D57">
        <w:rPr>
          <w:rFonts w:ascii="Arial" w:hAnsi="Arial" w:cs="Arial"/>
          <w:sz w:val="16"/>
          <w:szCs w:val="16"/>
        </w:rPr>
        <w:t xml:space="preserve"> Javni zavod, katerega ustanoviteljica je vsaj ena občina. </w:t>
      </w:r>
    </w:p>
  </w:footnote>
  <w:footnote w:id="2">
    <w:p w:rsidR="00F07EDF" w:rsidRPr="00306D57" w:rsidRDefault="00F07EDF">
      <w:pPr>
        <w:pStyle w:val="Sprotnaopomba-besedilo"/>
        <w:rPr>
          <w:rFonts w:ascii="Arial" w:hAnsi="Arial" w:cs="Arial"/>
          <w:sz w:val="16"/>
          <w:szCs w:val="16"/>
        </w:rPr>
      </w:pPr>
      <w:r w:rsidRPr="00306D57">
        <w:rPr>
          <w:rStyle w:val="Sprotnaopomba-sklic"/>
          <w:rFonts w:ascii="Arial" w:hAnsi="Arial" w:cs="Arial"/>
          <w:sz w:val="16"/>
          <w:szCs w:val="16"/>
        </w:rPr>
        <w:footnoteRef/>
      </w:r>
      <w:r w:rsidRPr="00306D57">
        <w:rPr>
          <w:rFonts w:ascii="Arial" w:hAnsi="Arial" w:cs="Arial"/>
          <w:sz w:val="16"/>
          <w:szCs w:val="16"/>
        </w:rPr>
        <w:t xml:space="preserve"> Muzej in galerije mesta Ljubljane</w:t>
      </w:r>
    </w:p>
  </w:footnote>
  <w:footnote w:id="3">
    <w:p w:rsidR="00637628" w:rsidRPr="00306D57" w:rsidRDefault="00637628">
      <w:pPr>
        <w:pStyle w:val="Sprotnaopomba-besedilo"/>
        <w:rPr>
          <w:rFonts w:ascii="Arial" w:hAnsi="Arial" w:cs="Arial"/>
          <w:sz w:val="16"/>
          <w:szCs w:val="16"/>
        </w:rPr>
      </w:pPr>
      <w:r w:rsidRPr="00306D57">
        <w:rPr>
          <w:rStyle w:val="Sprotnaopomba-sklic"/>
          <w:rFonts w:ascii="Arial" w:hAnsi="Arial" w:cs="Arial"/>
          <w:sz w:val="16"/>
          <w:szCs w:val="16"/>
        </w:rPr>
        <w:footnoteRef/>
      </w:r>
      <w:r w:rsidRPr="00306D57">
        <w:rPr>
          <w:rFonts w:ascii="Arial" w:hAnsi="Arial" w:cs="Arial"/>
          <w:sz w:val="16"/>
          <w:szCs w:val="16"/>
        </w:rPr>
        <w:t xml:space="preserve"> Notranjski muzej Postojna je notranja organizacijska enota Zavoda Znanje Postojna. </w:t>
      </w:r>
    </w:p>
  </w:footnote>
  <w:footnote w:id="4">
    <w:p w:rsidR="00F07EDF" w:rsidRPr="00306D57" w:rsidRDefault="00F07EDF">
      <w:pPr>
        <w:pStyle w:val="Sprotnaopomba-besedilo"/>
        <w:rPr>
          <w:rFonts w:ascii="Arial" w:hAnsi="Arial" w:cs="Arial"/>
          <w:sz w:val="16"/>
          <w:szCs w:val="16"/>
        </w:rPr>
      </w:pPr>
      <w:r w:rsidRPr="00306D57">
        <w:rPr>
          <w:rStyle w:val="Sprotnaopomba-sklic"/>
          <w:rFonts w:ascii="Arial" w:hAnsi="Arial" w:cs="Arial"/>
          <w:sz w:val="16"/>
          <w:szCs w:val="16"/>
        </w:rPr>
        <w:footnoteRef/>
      </w:r>
      <w:r w:rsidRPr="00306D57">
        <w:rPr>
          <w:rFonts w:ascii="Arial" w:hAnsi="Arial" w:cs="Arial"/>
          <w:sz w:val="16"/>
          <w:szCs w:val="16"/>
        </w:rPr>
        <w:t xml:space="preserve"> Mednarodni grafični likovni center</w:t>
      </w:r>
    </w:p>
  </w:footnote>
  <w:footnote w:id="5">
    <w:p w:rsidR="00F07EDF" w:rsidRPr="00306D57" w:rsidRDefault="00F07EDF">
      <w:pPr>
        <w:pStyle w:val="Sprotnaopomba-besedilo"/>
        <w:rPr>
          <w:rFonts w:ascii="Arial" w:hAnsi="Arial" w:cs="Arial"/>
          <w:sz w:val="16"/>
          <w:szCs w:val="16"/>
        </w:rPr>
      </w:pPr>
      <w:r w:rsidRPr="00306D57">
        <w:rPr>
          <w:rStyle w:val="Sprotnaopomba-sklic"/>
          <w:rFonts w:ascii="Arial" w:hAnsi="Arial" w:cs="Arial"/>
          <w:sz w:val="16"/>
          <w:szCs w:val="16"/>
        </w:rPr>
        <w:footnoteRef/>
      </w:r>
      <w:r w:rsidRPr="00306D57">
        <w:rPr>
          <w:rFonts w:ascii="Arial" w:hAnsi="Arial" w:cs="Arial"/>
          <w:sz w:val="16"/>
          <w:szCs w:val="16"/>
        </w:rPr>
        <w:t xml:space="preserve"> V nadaljevanju se večina statističnih podatkov nanaša na pooblaščene muzeje, ki so javni zavodi, razen kjer je posebej navedeno tudi upoštevanje podatkov za Kobariški muzej </w:t>
      </w:r>
      <w:proofErr w:type="spellStart"/>
      <w:r w:rsidRPr="00306D57">
        <w:rPr>
          <w:rFonts w:ascii="Arial" w:hAnsi="Arial" w:cs="Arial"/>
          <w:sz w:val="16"/>
          <w:szCs w:val="16"/>
        </w:rPr>
        <w:t>d.o.o</w:t>
      </w:r>
      <w:proofErr w:type="spellEnd"/>
      <w:r w:rsidRPr="00306D57">
        <w:rPr>
          <w:rFonts w:ascii="Arial" w:hAnsi="Arial" w:cs="Arial"/>
          <w:sz w:val="16"/>
          <w:szCs w:val="16"/>
        </w:rPr>
        <w:t>.</w:t>
      </w:r>
    </w:p>
  </w:footnote>
  <w:footnote w:id="6">
    <w:p w:rsidR="00300C00" w:rsidRDefault="00300C00">
      <w:pPr>
        <w:pStyle w:val="Sprotnaopomba-besedilo"/>
      </w:pPr>
      <w:r>
        <w:rPr>
          <w:rStyle w:val="Sprotnaopomba-sklic"/>
        </w:rPr>
        <w:footnoteRef/>
      </w:r>
      <w:r>
        <w:t xml:space="preserve"> Služba za premično dediščino in muzeje</w:t>
      </w:r>
    </w:p>
  </w:footnote>
  <w:footnote w:id="7">
    <w:p w:rsidR="00660BC3" w:rsidRPr="00306D57" w:rsidRDefault="00660BC3" w:rsidP="00660BC3">
      <w:pPr>
        <w:pStyle w:val="Sprotnaopomba-besedilo"/>
        <w:rPr>
          <w:rFonts w:ascii="Arial" w:hAnsi="Arial" w:cs="Arial"/>
          <w:sz w:val="16"/>
          <w:szCs w:val="16"/>
        </w:rPr>
      </w:pPr>
      <w:r w:rsidRPr="00306D57">
        <w:rPr>
          <w:rStyle w:val="Sprotnaopomba-sklic"/>
          <w:rFonts w:ascii="Arial" w:hAnsi="Arial" w:cs="Arial"/>
          <w:sz w:val="16"/>
          <w:szCs w:val="16"/>
        </w:rPr>
        <w:footnoteRef/>
      </w:r>
      <w:r w:rsidRPr="00306D57">
        <w:rPr>
          <w:rFonts w:ascii="Arial" w:hAnsi="Arial" w:cs="Arial"/>
          <w:sz w:val="16"/>
          <w:szCs w:val="16"/>
        </w:rPr>
        <w:t xml:space="preserve"> Pooblastilo določa seznam občin, za katere je posamezni muzej pristojen. </w:t>
      </w:r>
    </w:p>
  </w:footnote>
  <w:footnote w:id="8">
    <w:p w:rsidR="00F07EDF" w:rsidRPr="00306D57" w:rsidRDefault="00F07EDF">
      <w:pPr>
        <w:pStyle w:val="Sprotnaopomba-besedilo"/>
        <w:rPr>
          <w:rFonts w:ascii="Arial" w:hAnsi="Arial" w:cs="Arial"/>
          <w:sz w:val="16"/>
          <w:szCs w:val="16"/>
        </w:rPr>
      </w:pPr>
      <w:r w:rsidRPr="00306D57">
        <w:rPr>
          <w:rStyle w:val="Sprotnaopomba-sklic"/>
          <w:rFonts w:ascii="Arial" w:hAnsi="Arial" w:cs="Arial"/>
          <w:sz w:val="16"/>
          <w:szCs w:val="16"/>
        </w:rPr>
        <w:footnoteRef/>
      </w:r>
      <w:r w:rsidRPr="00306D57">
        <w:rPr>
          <w:rFonts w:ascii="Arial" w:hAnsi="Arial" w:cs="Arial"/>
          <w:sz w:val="16"/>
          <w:szCs w:val="16"/>
        </w:rPr>
        <w:t xml:space="preserve"> Enota je lahko posamezen predmet ali zbirka predmetov.</w:t>
      </w:r>
    </w:p>
  </w:footnote>
  <w:footnote w:id="9">
    <w:p w:rsidR="00965DFD" w:rsidRDefault="00965DFD">
      <w:pPr>
        <w:pStyle w:val="Sprotnaopomba-besedilo"/>
      </w:pPr>
      <w:r>
        <w:rPr>
          <w:rStyle w:val="Sprotnaopomba-sklic"/>
        </w:rPr>
        <w:footnoteRef/>
      </w:r>
      <w:r>
        <w:t xml:space="preserve"> Standardni program je del programskega II. sklopa – razstavno projektni sklop. MK zanj zagotavlja enako višino 7.000 EUR za vsak muzej. Standardni program obsega manjše dopolnitve stalnih razstav, manjše lastne občasne razstave, gostovanja in manjše projekte. </w:t>
      </w:r>
    </w:p>
  </w:footnote>
  <w:footnote w:id="10">
    <w:p w:rsidR="00922D28" w:rsidRPr="00306D57" w:rsidRDefault="00922D28">
      <w:pPr>
        <w:pStyle w:val="Sprotnaopomba-besedilo"/>
        <w:rPr>
          <w:rFonts w:ascii="Arial" w:hAnsi="Arial" w:cs="Arial"/>
          <w:sz w:val="16"/>
          <w:szCs w:val="16"/>
        </w:rPr>
      </w:pPr>
      <w:r w:rsidRPr="00306D57">
        <w:rPr>
          <w:rStyle w:val="Sprotnaopomba-sklic"/>
          <w:rFonts w:ascii="Arial" w:hAnsi="Arial" w:cs="Arial"/>
          <w:sz w:val="16"/>
          <w:szCs w:val="16"/>
        </w:rPr>
        <w:footnoteRef/>
      </w:r>
      <w:r w:rsidRPr="00306D57">
        <w:rPr>
          <w:rFonts w:ascii="Arial" w:hAnsi="Arial" w:cs="Arial"/>
          <w:sz w:val="16"/>
          <w:szCs w:val="16"/>
        </w:rPr>
        <w:t xml:space="preserve"> V nadaljevanju se podatki v poglavju o predstavljanju dediščine javnosti nanašajo na projekte, sofinancirane iz sredstev Ministrstva za kulturo. </w:t>
      </w:r>
    </w:p>
  </w:footnote>
  <w:footnote w:id="11">
    <w:p w:rsidR="00B347A5" w:rsidRDefault="00B347A5">
      <w:pPr>
        <w:pStyle w:val="Sprotnaopomba-besedilo"/>
      </w:pPr>
      <w:r>
        <w:rPr>
          <w:rStyle w:val="Sprotnaopomba-sklic"/>
        </w:rPr>
        <w:footnoteRef/>
      </w:r>
      <w:r>
        <w:t xml:space="preserve"> V tabeli niso navedene razstave in projekti, ki so izpostavljeni v tekstu. </w:t>
      </w:r>
    </w:p>
  </w:footnote>
  <w:footnote w:id="12">
    <w:p w:rsidR="005C34F8" w:rsidRDefault="005C34F8">
      <w:pPr>
        <w:pStyle w:val="Sprotnaopomba-besedilo"/>
      </w:pPr>
      <w:r>
        <w:rPr>
          <w:rStyle w:val="Sprotnaopomba-sklic"/>
        </w:rPr>
        <w:footnoteRef/>
      </w:r>
      <w:r>
        <w:t xml:space="preserve"> Posamezni pedagoški program je n.pr. program vodenja po razstavi z gradivom za določeno triado, program tematske delavnice ipd. </w:t>
      </w:r>
    </w:p>
  </w:footnote>
  <w:footnote w:id="13">
    <w:p w:rsidR="005C34F8" w:rsidRDefault="005C34F8">
      <w:pPr>
        <w:pStyle w:val="Sprotnaopomba-besedilo"/>
      </w:pPr>
      <w:r>
        <w:rPr>
          <w:rStyle w:val="Sprotnaopomba-sklic"/>
        </w:rPr>
        <w:footnoteRef/>
      </w:r>
      <w:r>
        <w:t xml:space="preserve"> Dodatni program je n.pr. cikel predavanj, filmski večeri, ….</w:t>
      </w:r>
    </w:p>
  </w:footnote>
  <w:footnote w:id="14">
    <w:p w:rsidR="004F08CB" w:rsidRDefault="004F08CB">
      <w:pPr>
        <w:pStyle w:val="Sprotnaopomba-besedilo"/>
      </w:pPr>
      <w:r>
        <w:rPr>
          <w:rStyle w:val="Sprotnaopomba-sklic"/>
        </w:rPr>
        <w:footnoteRef/>
      </w:r>
      <w:r>
        <w:t xml:space="preserve"> Brez javnih del</w:t>
      </w:r>
    </w:p>
  </w:footnote>
  <w:footnote w:id="15">
    <w:p w:rsidR="00F07EDF" w:rsidRPr="00306D57" w:rsidRDefault="00F07EDF">
      <w:pPr>
        <w:pStyle w:val="Sprotnaopomba-besedilo"/>
        <w:rPr>
          <w:rFonts w:ascii="Arial" w:hAnsi="Arial" w:cs="Arial"/>
          <w:sz w:val="16"/>
          <w:szCs w:val="16"/>
        </w:rPr>
      </w:pPr>
      <w:r w:rsidRPr="00306D57">
        <w:rPr>
          <w:rStyle w:val="Sprotnaopomba-sklic"/>
          <w:rFonts w:ascii="Arial" w:hAnsi="Arial" w:cs="Arial"/>
          <w:sz w:val="16"/>
          <w:szCs w:val="16"/>
        </w:rPr>
        <w:footnoteRef/>
      </w:r>
      <w:r w:rsidRPr="00306D57">
        <w:rPr>
          <w:rFonts w:ascii="Arial" w:hAnsi="Arial" w:cs="Arial"/>
          <w:sz w:val="16"/>
          <w:szCs w:val="16"/>
        </w:rPr>
        <w:t xml:space="preserve"> Navedeni zneski in deleži financiranja so izračunani po podatkih o prihodkih in odhodkih po denarnem toku. </w:t>
      </w:r>
    </w:p>
  </w:footnote>
  <w:footnote w:id="16">
    <w:p w:rsidR="00FA76A5" w:rsidRDefault="00FA76A5">
      <w:pPr>
        <w:pStyle w:val="Sprotnaopomba-besedilo"/>
      </w:pPr>
      <w:r>
        <w:rPr>
          <w:rStyle w:val="Sprotnaopomba-sklic"/>
        </w:rPr>
        <w:footnoteRef/>
      </w:r>
      <w:r>
        <w:t xml:space="preserve"> DP – državni proračun,  OP – občinski proračun,  LP – lastni prihodek</w:t>
      </w:r>
    </w:p>
  </w:footnote>
  <w:footnote w:id="17">
    <w:p w:rsidR="00F07EDF" w:rsidRPr="00306D57" w:rsidRDefault="00F07EDF">
      <w:pPr>
        <w:pStyle w:val="Sprotnaopomba-besedilo"/>
        <w:rPr>
          <w:rFonts w:ascii="Arial" w:hAnsi="Arial" w:cs="Arial"/>
          <w:sz w:val="16"/>
          <w:szCs w:val="16"/>
        </w:rPr>
      </w:pPr>
      <w:r w:rsidRPr="00306D57">
        <w:rPr>
          <w:rStyle w:val="Sprotnaopomba-sklic"/>
          <w:rFonts w:ascii="Arial" w:hAnsi="Arial" w:cs="Arial"/>
          <w:sz w:val="16"/>
          <w:szCs w:val="16"/>
        </w:rPr>
        <w:footnoteRef/>
      </w:r>
      <w:r w:rsidRPr="00306D57">
        <w:rPr>
          <w:rFonts w:ascii="Arial" w:hAnsi="Arial" w:cs="Arial"/>
          <w:sz w:val="16"/>
          <w:szCs w:val="16"/>
        </w:rPr>
        <w:t xml:space="preserve"> Sredstva niso vključena v </w:t>
      </w:r>
      <w:r w:rsidR="00576D42">
        <w:rPr>
          <w:rFonts w:ascii="Arial" w:hAnsi="Arial" w:cs="Arial"/>
          <w:sz w:val="16"/>
          <w:szCs w:val="16"/>
        </w:rPr>
        <w:t xml:space="preserve">prikaz, upoštevana pa so v predhodnem prikazu o virih financiranja. </w:t>
      </w:r>
    </w:p>
  </w:footnote>
  <w:footnote w:id="18">
    <w:p w:rsidR="00F07EDF" w:rsidRPr="00306D57" w:rsidRDefault="00F07EDF">
      <w:pPr>
        <w:pStyle w:val="Sprotnaopomba-besedilo"/>
        <w:rPr>
          <w:rFonts w:ascii="Arial" w:hAnsi="Arial" w:cs="Arial"/>
          <w:sz w:val="16"/>
          <w:szCs w:val="16"/>
        </w:rPr>
      </w:pPr>
      <w:r w:rsidRPr="00306D57">
        <w:rPr>
          <w:rStyle w:val="Sprotnaopomba-sklic"/>
          <w:rFonts w:ascii="Arial" w:hAnsi="Arial" w:cs="Arial"/>
          <w:sz w:val="16"/>
          <w:szCs w:val="16"/>
        </w:rPr>
        <w:footnoteRef/>
      </w:r>
      <w:r w:rsidRPr="00306D57">
        <w:rPr>
          <w:rFonts w:ascii="Arial" w:hAnsi="Arial" w:cs="Arial"/>
          <w:sz w:val="16"/>
          <w:szCs w:val="16"/>
        </w:rPr>
        <w:t xml:space="preserve"> Zakon o varstvu kulturne dediščine (Uradni list RS, št. 16/2008, 123/2008, 8/2011, 30/2011, Odl.US: U-l.297/08-19, 90/2012, 111/2013, 32/16)</w:t>
      </w:r>
    </w:p>
  </w:footnote>
  <w:footnote w:id="19">
    <w:p w:rsidR="0064058B" w:rsidRPr="00306D57" w:rsidRDefault="0064058B">
      <w:pPr>
        <w:pStyle w:val="Sprotnaopomba-besedilo"/>
        <w:rPr>
          <w:rFonts w:ascii="Arial" w:hAnsi="Arial" w:cs="Arial"/>
          <w:sz w:val="16"/>
          <w:szCs w:val="16"/>
        </w:rPr>
      </w:pPr>
      <w:r w:rsidRPr="00306D57">
        <w:rPr>
          <w:rStyle w:val="Sprotnaopomba-sklic"/>
          <w:rFonts w:ascii="Arial" w:hAnsi="Arial" w:cs="Arial"/>
          <w:sz w:val="16"/>
          <w:szCs w:val="16"/>
        </w:rPr>
        <w:footnoteRef/>
      </w:r>
      <w:r w:rsidRPr="00306D57">
        <w:rPr>
          <w:rFonts w:ascii="Arial" w:hAnsi="Arial" w:cs="Arial"/>
          <w:sz w:val="16"/>
          <w:szCs w:val="16"/>
        </w:rPr>
        <w:t xml:space="preserve"> Investicijski transferji v vzdrževanje in obnovo objektov v lasti občin niso vključeni v financiranje javne službe. Enako velja za sredstva državnega proračuna za nepremičnine v lasti 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3F"/>
    <w:rsid w:val="00012275"/>
    <w:rsid w:val="0002487A"/>
    <w:rsid w:val="0002682C"/>
    <w:rsid w:val="00030E10"/>
    <w:rsid w:val="00032D30"/>
    <w:rsid w:val="00034C4C"/>
    <w:rsid w:val="00041B40"/>
    <w:rsid w:val="0004662B"/>
    <w:rsid w:val="0004688A"/>
    <w:rsid w:val="0006243B"/>
    <w:rsid w:val="0006632D"/>
    <w:rsid w:val="000719A0"/>
    <w:rsid w:val="00071C1E"/>
    <w:rsid w:val="000764AD"/>
    <w:rsid w:val="00080FC9"/>
    <w:rsid w:val="00084724"/>
    <w:rsid w:val="00090CB8"/>
    <w:rsid w:val="000966F8"/>
    <w:rsid w:val="000972A2"/>
    <w:rsid w:val="000A2DAC"/>
    <w:rsid w:val="000A324F"/>
    <w:rsid w:val="000A5F80"/>
    <w:rsid w:val="000A6989"/>
    <w:rsid w:val="000B01B2"/>
    <w:rsid w:val="000B10C7"/>
    <w:rsid w:val="000B1FA7"/>
    <w:rsid w:val="000B2128"/>
    <w:rsid w:val="000C23B8"/>
    <w:rsid w:val="000C70AD"/>
    <w:rsid w:val="000E125F"/>
    <w:rsid w:val="000E323C"/>
    <w:rsid w:val="000F0EBB"/>
    <w:rsid w:val="000F3818"/>
    <w:rsid w:val="000F4EF7"/>
    <w:rsid w:val="000F4F62"/>
    <w:rsid w:val="000F50AF"/>
    <w:rsid w:val="000F5B55"/>
    <w:rsid w:val="001022B5"/>
    <w:rsid w:val="001152DF"/>
    <w:rsid w:val="00117D52"/>
    <w:rsid w:val="001242ED"/>
    <w:rsid w:val="00132C10"/>
    <w:rsid w:val="00142255"/>
    <w:rsid w:val="00146504"/>
    <w:rsid w:val="00152DAA"/>
    <w:rsid w:val="001550EC"/>
    <w:rsid w:val="00155D91"/>
    <w:rsid w:val="00162242"/>
    <w:rsid w:val="00163F77"/>
    <w:rsid w:val="00170D2A"/>
    <w:rsid w:val="00174323"/>
    <w:rsid w:val="00180624"/>
    <w:rsid w:val="00184005"/>
    <w:rsid w:val="00185134"/>
    <w:rsid w:val="001863E0"/>
    <w:rsid w:val="0018674F"/>
    <w:rsid w:val="00193506"/>
    <w:rsid w:val="001A4FA1"/>
    <w:rsid w:val="001B2946"/>
    <w:rsid w:val="001B29FF"/>
    <w:rsid w:val="001B5A08"/>
    <w:rsid w:val="001B6513"/>
    <w:rsid w:val="001C34DE"/>
    <w:rsid w:val="001D0693"/>
    <w:rsid w:val="00205523"/>
    <w:rsid w:val="00210ED2"/>
    <w:rsid w:val="00230635"/>
    <w:rsid w:val="00230B36"/>
    <w:rsid w:val="00267617"/>
    <w:rsid w:val="00273BB5"/>
    <w:rsid w:val="00285326"/>
    <w:rsid w:val="00285F61"/>
    <w:rsid w:val="00295C24"/>
    <w:rsid w:val="002A2D61"/>
    <w:rsid w:val="002B34ED"/>
    <w:rsid w:val="002B37B3"/>
    <w:rsid w:val="002B631A"/>
    <w:rsid w:val="002C2B9D"/>
    <w:rsid w:val="002E26A1"/>
    <w:rsid w:val="002E5E3F"/>
    <w:rsid w:val="002E77B6"/>
    <w:rsid w:val="00300C00"/>
    <w:rsid w:val="00301E76"/>
    <w:rsid w:val="00306D57"/>
    <w:rsid w:val="0031315F"/>
    <w:rsid w:val="00314B53"/>
    <w:rsid w:val="00321AB0"/>
    <w:rsid w:val="00323ACB"/>
    <w:rsid w:val="00326126"/>
    <w:rsid w:val="003321C4"/>
    <w:rsid w:val="003407A0"/>
    <w:rsid w:val="00343EAA"/>
    <w:rsid w:val="00344398"/>
    <w:rsid w:val="003454B5"/>
    <w:rsid w:val="0035537E"/>
    <w:rsid w:val="0037227C"/>
    <w:rsid w:val="003728B4"/>
    <w:rsid w:val="0038083F"/>
    <w:rsid w:val="003B1312"/>
    <w:rsid w:val="003C3AC2"/>
    <w:rsid w:val="003C7E6C"/>
    <w:rsid w:val="003D53E1"/>
    <w:rsid w:val="003D53E7"/>
    <w:rsid w:val="003E1679"/>
    <w:rsid w:val="003E1FB4"/>
    <w:rsid w:val="003E2061"/>
    <w:rsid w:val="003E7C12"/>
    <w:rsid w:val="003F13BC"/>
    <w:rsid w:val="003F176E"/>
    <w:rsid w:val="003F4733"/>
    <w:rsid w:val="003F4B12"/>
    <w:rsid w:val="004130CF"/>
    <w:rsid w:val="004172D3"/>
    <w:rsid w:val="004207BE"/>
    <w:rsid w:val="004245A0"/>
    <w:rsid w:val="004254A8"/>
    <w:rsid w:val="0042581D"/>
    <w:rsid w:val="0043027A"/>
    <w:rsid w:val="004445AA"/>
    <w:rsid w:val="00451BB3"/>
    <w:rsid w:val="00463075"/>
    <w:rsid w:val="0048135C"/>
    <w:rsid w:val="00482061"/>
    <w:rsid w:val="004821EA"/>
    <w:rsid w:val="0048268B"/>
    <w:rsid w:val="00483A3C"/>
    <w:rsid w:val="00483BCE"/>
    <w:rsid w:val="0049072D"/>
    <w:rsid w:val="00493C71"/>
    <w:rsid w:val="00496F6C"/>
    <w:rsid w:val="004A00AF"/>
    <w:rsid w:val="004A047A"/>
    <w:rsid w:val="004A104A"/>
    <w:rsid w:val="004A11F1"/>
    <w:rsid w:val="004A2183"/>
    <w:rsid w:val="004A676B"/>
    <w:rsid w:val="004A73ED"/>
    <w:rsid w:val="004B314B"/>
    <w:rsid w:val="004C2A86"/>
    <w:rsid w:val="004D15D0"/>
    <w:rsid w:val="004D4C82"/>
    <w:rsid w:val="004E0495"/>
    <w:rsid w:val="004E2C59"/>
    <w:rsid w:val="004E37F5"/>
    <w:rsid w:val="004F08CB"/>
    <w:rsid w:val="004F10A6"/>
    <w:rsid w:val="004F3EDB"/>
    <w:rsid w:val="004F64D0"/>
    <w:rsid w:val="00501741"/>
    <w:rsid w:val="00503463"/>
    <w:rsid w:val="005038DA"/>
    <w:rsid w:val="00512890"/>
    <w:rsid w:val="00515589"/>
    <w:rsid w:val="005158E5"/>
    <w:rsid w:val="0052019A"/>
    <w:rsid w:val="00524BF3"/>
    <w:rsid w:val="00530F82"/>
    <w:rsid w:val="00532F04"/>
    <w:rsid w:val="00540D60"/>
    <w:rsid w:val="00543950"/>
    <w:rsid w:val="00550841"/>
    <w:rsid w:val="00553083"/>
    <w:rsid w:val="00560547"/>
    <w:rsid w:val="00565152"/>
    <w:rsid w:val="00566379"/>
    <w:rsid w:val="00571544"/>
    <w:rsid w:val="00576D42"/>
    <w:rsid w:val="00581D55"/>
    <w:rsid w:val="0058650F"/>
    <w:rsid w:val="00590837"/>
    <w:rsid w:val="005911BC"/>
    <w:rsid w:val="00592881"/>
    <w:rsid w:val="005A044F"/>
    <w:rsid w:val="005A662F"/>
    <w:rsid w:val="005B27C3"/>
    <w:rsid w:val="005B2A4A"/>
    <w:rsid w:val="005B357A"/>
    <w:rsid w:val="005B3F7C"/>
    <w:rsid w:val="005B63F8"/>
    <w:rsid w:val="005B6EED"/>
    <w:rsid w:val="005B7CCA"/>
    <w:rsid w:val="005C070A"/>
    <w:rsid w:val="005C34F8"/>
    <w:rsid w:val="005C7592"/>
    <w:rsid w:val="005D3C8A"/>
    <w:rsid w:val="005E3C97"/>
    <w:rsid w:val="005F1EDD"/>
    <w:rsid w:val="005F68AB"/>
    <w:rsid w:val="00602F63"/>
    <w:rsid w:val="006073D4"/>
    <w:rsid w:val="00615868"/>
    <w:rsid w:val="0062213A"/>
    <w:rsid w:val="00622261"/>
    <w:rsid w:val="00637628"/>
    <w:rsid w:val="00637B67"/>
    <w:rsid w:val="0064058B"/>
    <w:rsid w:val="006473AE"/>
    <w:rsid w:val="00651A54"/>
    <w:rsid w:val="00655E7F"/>
    <w:rsid w:val="006560E3"/>
    <w:rsid w:val="00660AB1"/>
    <w:rsid w:val="00660BC3"/>
    <w:rsid w:val="006625AC"/>
    <w:rsid w:val="00662735"/>
    <w:rsid w:val="00663DC8"/>
    <w:rsid w:val="00664D07"/>
    <w:rsid w:val="006668D1"/>
    <w:rsid w:val="00673C27"/>
    <w:rsid w:val="00676E33"/>
    <w:rsid w:val="00681B34"/>
    <w:rsid w:val="00692F95"/>
    <w:rsid w:val="006A1BEB"/>
    <w:rsid w:val="006A7505"/>
    <w:rsid w:val="006D0D44"/>
    <w:rsid w:val="006D1EBC"/>
    <w:rsid w:val="006E49BA"/>
    <w:rsid w:val="006F4E38"/>
    <w:rsid w:val="006F504E"/>
    <w:rsid w:val="0070155F"/>
    <w:rsid w:val="0070427F"/>
    <w:rsid w:val="00715494"/>
    <w:rsid w:val="0071701D"/>
    <w:rsid w:val="00720C46"/>
    <w:rsid w:val="00730C6B"/>
    <w:rsid w:val="0073139C"/>
    <w:rsid w:val="00746C0C"/>
    <w:rsid w:val="00750A34"/>
    <w:rsid w:val="0075203A"/>
    <w:rsid w:val="00765139"/>
    <w:rsid w:val="00765842"/>
    <w:rsid w:val="0077115A"/>
    <w:rsid w:val="007711F8"/>
    <w:rsid w:val="007A52D5"/>
    <w:rsid w:val="007B3F39"/>
    <w:rsid w:val="007B7DE9"/>
    <w:rsid w:val="007C1BC8"/>
    <w:rsid w:val="007E04EC"/>
    <w:rsid w:val="007E540A"/>
    <w:rsid w:val="007F7F76"/>
    <w:rsid w:val="00802489"/>
    <w:rsid w:val="008027F0"/>
    <w:rsid w:val="008321C1"/>
    <w:rsid w:val="00832D62"/>
    <w:rsid w:val="00833BD0"/>
    <w:rsid w:val="00840529"/>
    <w:rsid w:val="00860712"/>
    <w:rsid w:val="00860E12"/>
    <w:rsid w:val="008628A7"/>
    <w:rsid w:val="008708D0"/>
    <w:rsid w:val="00872DFE"/>
    <w:rsid w:val="00876C6D"/>
    <w:rsid w:val="00880A8C"/>
    <w:rsid w:val="0088190F"/>
    <w:rsid w:val="00882862"/>
    <w:rsid w:val="00887FE5"/>
    <w:rsid w:val="00890787"/>
    <w:rsid w:val="00892659"/>
    <w:rsid w:val="008A0DE4"/>
    <w:rsid w:val="008A10ED"/>
    <w:rsid w:val="008A186C"/>
    <w:rsid w:val="008A1D54"/>
    <w:rsid w:val="008A33C2"/>
    <w:rsid w:val="008B4891"/>
    <w:rsid w:val="008B4BB4"/>
    <w:rsid w:val="008C4318"/>
    <w:rsid w:val="008D61B3"/>
    <w:rsid w:val="008E36A0"/>
    <w:rsid w:val="008E4C29"/>
    <w:rsid w:val="008F4320"/>
    <w:rsid w:val="00917573"/>
    <w:rsid w:val="00920E75"/>
    <w:rsid w:val="00922C11"/>
    <w:rsid w:val="00922D28"/>
    <w:rsid w:val="00926918"/>
    <w:rsid w:val="00930018"/>
    <w:rsid w:val="00941684"/>
    <w:rsid w:val="00941782"/>
    <w:rsid w:val="00945684"/>
    <w:rsid w:val="009504A3"/>
    <w:rsid w:val="00965DFD"/>
    <w:rsid w:val="0096626C"/>
    <w:rsid w:val="009662F6"/>
    <w:rsid w:val="0097219D"/>
    <w:rsid w:val="00974576"/>
    <w:rsid w:val="00980061"/>
    <w:rsid w:val="00980AC7"/>
    <w:rsid w:val="0098337F"/>
    <w:rsid w:val="00986C0E"/>
    <w:rsid w:val="00997D50"/>
    <w:rsid w:val="009A103F"/>
    <w:rsid w:val="009A23FF"/>
    <w:rsid w:val="009A3018"/>
    <w:rsid w:val="009A3F58"/>
    <w:rsid w:val="009B3C2B"/>
    <w:rsid w:val="009C5648"/>
    <w:rsid w:val="009C603A"/>
    <w:rsid w:val="009D1542"/>
    <w:rsid w:val="009D4647"/>
    <w:rsid w:val="009E6E82"/>
    <w:rsid w:val="009F5B2A"/>
    <w:rsid w:val="009F67AB"/>
    <w:rsid w:val="00A011DF"/>
    <w:rsid w:val="00A01238"/>
    <w:rsid w:val="00A03AAD"/>
    <w:rsid w:val="00A11FE4"/>
    <w:rsid w:val="00A30474"/>
    <w:rsid w:val="00A3609C"/>
    <w:rsid w:val="00A479A5"/>
    <w:rsid w:val="00A54EAC"/>
    <w:rsid w:val="00A564CA"/>
    <w:rsid w:val="00A63774"/>
    <w:rsid w:val="00A63BB6"/>
    <w:rsid w:val="00A755CB"/>
    <w:rsid w:val="00A76496"/>
    <w:rsid w:val="00A8295B"/>
    <w:rsid w:val="00A912AD"/>
    <w:rsid w:val="00A96BC9"/>
    <w:rsid w:val="00AA0357"/>
    <w:rsid w:val="00AA2684"/>
    <w:rsid w:val="00AA7872"/>
    <w:rsid w:val="00AA7895"/>
    <w:rsid w:val="00AB023A"/>
    <w:rsid w:val="00AB2F66"/>
    <w:rsid w:val="00AB4C57"/>
    <w:rsid w:val="00AB7066"/>
    <w:rsid w:val="00AB7462"/>
    <w:rsid w:val="00AC0C1A"/>
    <w:rsid w:val="00AD14D1"/>
    <w:rsid w:val="00AD43B6"/>
    <w:rsid w:val="00AF26D1"/>
    <w:rsid w:val="00B11388"/>
    <w:rsid w:val="00B144E2"/>
    <w:rsid w:val="00B152C4"/>
    <w:rsid w:val="00B17660"/>
    <w:rsid w:val="00B241FB"/>
    <w:rsid w:val="00B253D9"/>
    <w:rsid w:val="00B31EEA"/>
    <w:rsid w:val="00B347A5"/>
    <w:rsid w:val="00B3567C"/>
    <w:rsid w:val="00B41F3C"/>
    <w:rsid w:val="00B50474"/>
    <w:rsid w:val="00B51543"/>
    <w:rsid w:val="00B52BEF"/>
    <w:rsid w:val="00B530FB"/>
    <w:rsid w:val="00B55F1C"/>
    <w:rsid w:val="00B56BE5"/>
    <w:rsid w:val="00B6239D"/>
    <w:rsid w:val="00B723A9"/>
    <w:rsid w:val="00B74684"/>
    <w:rsid w:val="00B7600A"/>
    <w:rsid w:val="00B770BB"/>
    <w:rsid w:val="00B92AC9"/>
    <w:rsid w:val="00B943B9"/>
    <w:rsid w:val="00B97D3F"/>
    <w:rsid w:val="00BA2880"/>
    <w:rsid w:val="00BA33F6"/>
    <w:rsid w:val="00BA771C"/>
    <w:rsid w:val="00BB4E1D"/>
    <w:rsid w:val="00BB5609"/>
    <w:rsid w:val="00BC5970"/>
    <w:rsid w:val="00BC7FF0"/>
    <w:rsid w:val="00BD1143"/>
    <w:rsid w:val="00BE0872"/>
    <w:rsid w:val="00BE77DF"/>
    <w:rsid w:val="00BE7B83"/>
    <w:rsid w:val="00BF115D"/>
    <w:rsid w:val="00C05066"/>
    <w:rsid w:val="00C05E19"/>
    <w:rsid w:val="00C21A9A"/>
    <w:rsid w:val="00C21D82"/>
    <w:rsid w:val="00C2775B"/>
    <w:rsid w:val="00C320D7"/>
    <w:rsid w:val="00C3505C"/>
    <w:rsid w:val="00C400C5"/>
    <w:rsid w:val="00C40E9A"/>
    <w:rsid w:val="00C45100"/>
    <w:rsid w:val="00C51BA3"/>
    <w:rsid w:val="00C53B1E"/>
    <w:rsid w:val="00C56F5F"/>
    <w:rsid w:val="00C5716F"/>
    <w:rsid w:val="00C6246F"/>
    <w:rsid w:val="00C700D9"/>
    <w:rsid w:val="00C7305B"/>
    <w:rsid w:val="00C77B1F"/>
    <w:rsid w:val="00C82DA9"/>
    <w:rsid w:val="00C873AD"/>
    <w:rsid w:val="00C91F2F"/>
    <w:rsid w:val="00CA07B2"/>
    <w:rsid w:val="00CA2531"/>
    <w:rsid w:val="00CA7C4D"/>
    <w:rsid w:val="00CB1B78"/>
    <w:rsid w:val="00CC249C"/>
    <w:rsid w:val="00CD19AA"/>
    <w:rsid w:val="00CD73AB"/>
    <w:rsid w:val="00CD7C54"/>
    <w:rsid w:val="00CF0AB3"/>
    <w:rsid w:val="00CF1755"/>
    <w:rsid w:val="00CF2D7F"/>
    <w:rsid w:val="00CF33DF"/>
    <w:rsid w:val="00D04A93"/>
    <w:rsid w:val="00D04E55"/>
    <w:rsid w:val="00D101B8"/>
    <w:rsid w:val="00D16461"/>
    <w:rsid w:val="00D20659"/>
    <w:rsid w:val="00D21CF4"/>
    <w:rsid w:val="00D24C18"/>
    <w:rsid w:val="00D325BE"/>
    <w:rsid w:val="00D335CA"/>
    <w:rsid w:val="00D33B2F"/>
    <w:rsid w:val="00D33C0A"/>
    <w:rsid w:val="00D40FFB"/>
    <w:rsid w:val="00D4519D"/>
    <w:rsid w:val="00D45698"/>
    <w:rsid w:val="00D46CE6"/>
    <w:rsid w:val="00D46D73"/>
    <w:rsid w:val="00D50199"/>
    <w:rsid w:val="00D54629"/>
    <w:rsid w:val="00D564C4"/>
    <w:rsid w:val="00D56EBE"/>
    <w:rsid w:val="00D70DBF"/>
    <w:rsid w:val="00D824CB"/>
    <w:rsid w:val="00D82E4A"/>
    <w:rsid w:val="00D84DE2"/>
    <w:rsid w:val="00D90124"/>
    <w:rsid w:val="00D9672B"/>
    <w:rsid w:val="00DA381C"/>
    <w:rsid w:val="00DA5B00"/>
    <w:rsid w:val="00DA5CFA"/>
    <w:rsid w:val="00DB082E"/>
    <w:rsid w:val="00DB1682"/>
    <w:rsid w:val="00DB52BD"/>
    <w:rsid w:val="00DC078D"/>
    <w:rsid w:val="00DC6979"/>
    <w:rsid w:val="00DC6C2F"/>
    <w:rsid w:val="00DC6DD6"/>
    <w:rsid w:val="00DD256D"/>
    <w:rsid w:val="00DD3E4F"/>
    <w:rsid w:val="00DE3172"/>
    <w:rsid w:val="00DE4DF7"/>
    <w:rsid w:val="00DE71D0"/>
    <w:rsid w:val="00E059B5"/>
    <w:rsid w:val="00E119BA"/>
    <w:rsid w:val="00E1673E"/>
    <w:rsid w:val="00E20FF2"/>
    <w:rsid w:val="00E23520"/>
    <w:rsid w:val="00E32985"/>
    <w:rsid w:val="00E33C29"/>
    <w:rsid w:val="00E33D80"/>
    <w:rsid w:val="00E51222"/>
    <w:rsid w:val="00E53AB4"/>
    <w:rsid w:val="00E63793"/>
    <w:rsid w:val="00E63906"/>
    <w:rsid w:val="00E8087C"/>
    <w:rsid w:val="00E8617A"/>
    <w:rsid w:val="00E9357D"/>
    <w:rsid w:val="00E94DBB"/>
    <w:rsid w:val="00EA2C40"/>
    <w:rsid w:val="00EA48F2"/>
    <w:rsid w:val="00EA5DB7"/>
    <w:rsid w:val="00EC16EA"/>
    <w:rsid w:val="00EC33AB"/>
    <w:rsid w:val="00EC43E2"/>
    <w:rsid w:val="00EC48BB"/>
    <w:rsid w:val="00EC55E2"/>
    <w:rsid w:val="00EC7BF6"/>
    <w:rsid w:val="00ED46EF"/>
    <w:rsid w:val="00EE5052"/>
    <w:rsid w:val="00EF29CE"/>
    <w:rsid w:val="00EF6886"/>
    <w:rsid w:val="00F07EDF"/>
    <w:rsid w:val="00F12A25"/>
    <w:rsid w:val="00F13A13"/>
    <w:rsid w:val="00F17622"/>
    <w:rsid w:val="00F201F8"/>
    <w:rsid w:val="00F20E83"/>
    <w:rsid w:val="00F22108"/>
    <w:rsid w:val="00F24D20"/>
    <w:rsid w:val="00F257E5"/>
    <w:rsid w:val="00F25FEC"/>
    <w:rsid w:val="00F262F1"/>
    <w:rsid w:val="00F420EE"/>
    <w:rsid w:val="00F53C02"/>
    <w:rsid w:val="00F54E8E"/>
    <w:rsid w:val="00F6386C"/>
    <w:rsid w:val="00F82C5F"/>
    <w:rsid w:val="00F82EBA"/>
    <w:rsid w:val="00F944F5"/>
    <w:rsid w:val="00FA33BD"/>
    <w:rsid w:val="00FA76A5"/>
    <w:rsid w:val="00FB25E1"/>
    <w:rsid w:val="00FB3F87"/>
    <w:rsid w:val="00FB6B71"/>
    <w:rsid w:val="00FB7B47"/>
    <w:rsid w:val="00FC237E"/>
    <w:rsid w:val="00FD46EB"/>
    <w:rsid w:val="00FD519A"/>
    <w:rsid w:val="00FD6042"/>
    <w:rsid w:val="00FD6149"/>
    <w:rsid w:val="00FE1F17"/>
    <w:rsid w:val="00FF3DA1"/>
    <w:rsid w:val="00FF5097"/>
    <w:rsid w:val="00FF6A9C"/>
    <w:rsid w:val="00FF76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8FE79"/>
  <w15:docId w15:val="{B52DCE87-79C7-4075-9323-5BD2E9E0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Pr>
      <w:sz w:val="24"/>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3F4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6668D1"/>
    <w:rPr>
      <w:sz w:val="20"/>
      <w:szCs w:val="20"/>
    </w:rPr>
  </w:style>
  <w:style w:type="character" w:customStyle="1" w:styleId="Sprotnaopomba-besediloZnak">
    <w:name w:val="Sprotna opomba - besedilo Znak"/>
    <w:basedOn w:val="Privzetapisavaodstavka"/>
    <w:link w:val="Sprotnaopomba-besedilo"/>
    <w:rsid w:val="006668D1"/>
    <w:rPr>
      <w:lang w:eastAsia="en-US"/>
    </w:rPr>
  </w:style>
  <w:style w:type="character" w:styleId="Sprotnaopomba-sklic">
    <w:name w:val="footnote reference"/>
    <w:basedOn w:val="Privzetapisavaodstavka"/>
    <w:rsid w:val="006668D1"/>
    <w:rPr>
      <w:vertAlign w:val="superscript"/>
    </w:rPr>
  </w:style>
  <w:style w:type="paragraph" w:styleId="Glava">
    <w:name w:val="header"/>
    <w:basedOn w:val="Navaden"/>
    <w:link w:val="GlavaZnak"/>
    <w:rsid w:val="00872DFE"/>
    <w:pPr>
      <w:tabs>
        <w:tab w:val="center" w:pos="4536"/>
        <w:tab w:val="right" w:pos="9072"/>
      </w:tabs>
    </w:pPr>
  </w:style>
  <w:style w:type="character" w:customStyle="1" w:styleId="GlavaZnak">
    <w:name w:val="Glava Znak"/>
    <w:basedOn w:val="Privzetapisavaodstavka"/>
    <w:link w:val="Glava"/>
    <w:rsid w:val="00872DFE"/>
    <w:rPr>
      <w:sz w:val="24"/>
      <w:szCs w:val="24"/>
      <w:lang w:eastAsia="en-US"/>
    </w:rPr>
  </w:style>
  <w:style w:type="paragraph" w:styleId="Noga">
    <w:name w:val="footer"/>
    <w:basedOn w:val="Navaden"/>
    <w:link w:val="NogaZnak"/>
    <w:uiPriority w:val="99"/>
    <w:rsid w:val="00872DFE"/>
    <w:pPr>
      <w:tabs>
        <w:tab w:val="center" w:pos="4536"/>
        <w:tab w:val="right" w:pos="9072"/>
      </w:tabs>
    </w:pPr>
  </w:style>
  <w:style w:type="character" w:customStyle="1" w:styleId="NogaZnak">
    <w:name w:val="Noga Znak"/>
    <w:basedOn w:val="Privzetapisavaodstavka"/>
    <w:link w:val="Noga"/>
    <w:uiPriority w:val="99"/>
    <w:rsid w:val="00872DFE"/>
    <w:rPr>
      <w:sz w:val="24"/>
      <w:szCs w:val="24"/>
      <w:lang w:eastAsia="en-US"/>
    </w:rPr>
  </w:style>
  <w:style w:type="paragraph" w:styleId="Besedilooblaka">
    <w:name w:val="Balloon Text"/>
    <w:basedOn w:val="Navaden"/>
    <w:link w:val="BesedilooblakaZnak"/>
    <w:rsid w:val="00C6246F"/>
    <w:rPr>
      <w:rFonts w:ascii="Tahoma" w:hAnsi="Tahoma" w:cs="Tahoma"/>
      <w:sz w:val="16"/>
      <w:szCs w:val="16"/>
    </w:rPr>
  </w:style>
  <w:style w:type="character" w:customStyle="1" w:styleId="BesedilooblakaZnak">
    <w:name w:val="Besedilo oblačka Znak"/>
    <w:basedOn w:val="Privzetapisavaodstavka"/>
    <w:link w:val="Besedilooblaka"/>
    <w:rsid w:val="00C6246F"/>
    <w:rPr>
      <w:rFonts w:ascii="Tahoma" w:hAnsi="Tahoma" w:cs="Tahoma"/>
      <w:sz w:val="16"/>
      <w:szCs w:val="16"/>
      <w:lang w:eastAsia="en-US"/>
    </w:rPr>
  </w:style>
  <w:style w:type="paragraph" w:styleId="Odstavekseznama">
    <w:name w:val="List Paragraph"/>
    <w:basedOn w:val="Navaden"/>
    <w:uiPriority w:val="34"/>
    <w:qFormat/>
    <w:rsid w:val="00FF6A9C"/>
    <w:pPr>
      <w:ind w:left="720"/>
      <w:contextualSpacing/>
    </w:pPr>
  </w:style>
  <w:style w:type="paragraph" w:styleId="Napis">
    <w:name w:val="caption"/>
    <w:basedOn w:val="Navaden"/>
    <w:next w:val="Navaden"/>
    <w:unhideWhenUsed/>
    <w:qFormat/>
    <w:rsid w:val="00C91F2F"/>
    <w:pPr>
      <w:spacing w:after="200"/>
    </w:pPr>
    <w:rPr>
      <w:b/>
      <w:bCs/>
      <w:color w:val="4F81BD" w:themeColor="accent1"/>
      <w:sz w:val="18"/>
      <w:szCs w:val="18"/>
    </w:rPr>
  </w:style>
  <w:style w:type="character" w:styleId="Pripombasklic">
    <w:name w:val="annotation reference"/>
    <w:basedOn w:val="Privzetapisavaodstavka"/>
    <w:rsid w:val="00D33C0A"/>
    <w:rPr>
      <w:sz w:val="16"/>
      <w:szCs w:val="16"/>
    </w:rPr>
  </w:style>
  <w:style w:type="paragraph" w:styleId="Pripombabesedilo">
    <w:name w:val="annotation text"/>
    <w:basedOn w:val="Navaden"/>
    <w:link w:val="PripombabesediloZnak"/>
    <w:rsid w:val="00D33C0A"/>
    <w:rPr>
      <w:sz w:val="20"/>
      <w:szCs w:val="20"/>
    </w:rPr>
  </w:style>
  <w:style w:type="character" w:customStyle="1" w:styleId="PripombabesediloZnak">
    <w:name w:val="Pripomba – besedilo Znak"/>
    <w:basedOn w:val="Privzetapisavaodstavka"/>
    <w:link w:val="Pripombabesedilo"/>
    <w:rsid w:val="00D33C0A"/>
    <w:rPr>
      <w:lang w:eastAsia="en-US"/>
    </w:rPr>
  </w:style>
  <w:style w:type="paragraph" w:styleId="Zadevapripombe">
    <w:name w:val="annotation subject"/>
    <w:basedOn w:val="Pripombabesedilo"/>
    <w:next w:val="Pripombabesedilo"/>
    <w:link w:val="ZadevapripombeZnak"/>
    <w:rsid w:val="00D33C0A"/>
    <w:rPr>
      <w:b/>
      <w:bCs/>
    </w:rPr>
  </w:style>
  <w:style w:type="character" w:customStyle="1" w:styleId="ZadevapripombeZnak">
    <w:name w:val="Zadeva pripombe Znak"/>
    <w:basedOn w:val="PripombabesediloZnak"/>
    <w:link w:val="Zadevapripombe"/>
    <w:rsid w:val="00D33C0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65499">
      <w:bodyDiv w:val="1"/>
      <w:marLeft w:val="0"/>
      <w:marRight w:val="0"/>
      <w:marTop w:val="0"/>
      <w:marBottom w:val="0"/>
      <w:divBdr>
        <w:top w:val="none" w:sz="0" w:space="0" w:color="auto"/>
        <w:left w:val="none" w:sz="0" w:space="0" w:color="auto"/>
        <w:bottom w:val="none" w:sz="0" w:space="0" w:color="auto"/>
        <w:right w:val="none" w:sz="0" w:space="0" w:color="auto"/>
      </w:divBdr>
    </w:div>
    <w:div w:id="144321135">
      <w:bodyDiv w:val="1"/>
      <w:marLeft w:val="0"/>
      <w:marRight w:val="0"/>
      <w:marTop w:val="0"/>
      <w:marBottom w:val="0"/>
      <w:divBdr>
        <w:top w:val="none" w:sz="0" w:space="0" w:color="auto"/>
        <w:left w:val="none" w:sz="0" w:space="0" w:color="auto"/>
        <w:bottom w:val="none" w:sz="0" w:space="0" w:color="auto"/>
        <w:right w:val="none" w:sz="0" w:space="0" w:color="auto"/>
      </w:divBdr>
    </w:div>
    <w:div w:id="250706233">
      <w:bodyDiv w:val="1"/>
      <w:marLeft w:val="0"/>
      <w:marRight w:val="0"/>
      <w:marTop w:val="0"/>
      <w:marBottom w:val="0"/>
      <w:divBdr>
        <w:top w:val="none" w:sz="0" w:space="0" w:color="auto"/>
        <w:left w:val="none" w:sz="0" w:space="0" w:color="auto"/>
        <w:bottom w:val="none" w:sz="0" w:space="0" w:color="auto"/>
        <w:right w:val="none" w:sz="0" w:space="0" w:color="auto"/>
      </w:divBdr>
    </w:div>
    <w:div w:id="271323508">
      <w:bodyDiv w:val="1"/>
      <w:marLeft w:val="0"/>
      <w:marRight w:val="0"/>
      <w:marTop w:val="0"/>
      <w:marBottom w:val="0"/>
      <w:divBdr>
        <w:top w:val="none" w:sz="0" w:space="0" w:color="auto"/>
        <w:left w:val="none" w:sz="0" w:space="0" w:color="auto"/>
        <w:bottom w:val="none" w:sz="0" w:space="0" w:color="auto"/>
        <w:right w:val="none" w:sz="0" w:space="0" w:color="auto"/>
      </w:divBdr>
    </w:div>
    <w:div w:id="307708475">
      <w:bodyDiv w:val="1"/>
      <w:marLeft w:val="0"/>
      <w:marRight w:val="0"/>
      <w:marTop w:val="0"/>
      <w:marBottom w:val="0"/>
      <w:divBdr>
        <w:top w:val="none" w:sz="0" w:space="0" w:color="auto"/>
        <w:left w:val="none" w:sz="0" w:space="0" w:color="auto"/>
        <w:bottom w:val="none" w:sz="0" w:space="0" w:color="auto"/>
        <w:right w:val="none" w:sz="0" w:space="0" w:color="auto"/>
      </w:divBdr>
    </w:div>
    <w:div w:id="630671355">
      <w:bodyDiv w:val="1"/>
      <w:marLeft w:val="0"/>
      <w:marRight w:val="0"/>
      <w:marTop w:val="0"/>
      <w:marBottom w:val="0"/>
      <w:divBdr>
        <w:top w:val="none" w:sz="0" w:space="0" w:color="auto"/>
        <w:left w:val="none" w:sz="0" w:space="0" w:color="auto"/>
        <w:bottom w:val="none" w:sz="0" w:space="0" w:color="auto"/>
        <w:right w:val="none" w:sz="0" w:space="0" w:color="auto"/>
      </w:divBdr>
    </w:div>
    <w:div w:id="1053851256">
      <w:bodyDiv w:val="1"/>
      <w:marLeft w:val="0"/>
      <w:marRight w:val="0"/>
      <w:marTop w:val="0"/>
      <w:marBottom w:val="0"/>
      <w:divBdr>
        <w:top w:val="none" w:sz="0" w:space="0" w:color="auto"/>
        <w:left w:val="none" w:sz="0" w:space="0" w:color="auto"/>
        <w:bottom w:val="none" w:sz="0" w:space="0" w:color="auto"/>
        <w:right w:val="none" w:sz="0" w:space="0" w:color="auto"/>
      </w:divBdr>
    </w:div>
    <w:div w:id="1085345005">
      <w:bodyDiv w:val="1"/>
      <w:marLeft w:val="0"/>
      <w:marRight w:val="0"/>
      <w:marTop w:val="0"/>
      <w:marBottom w:val="0"/>
      <w:divBdr>
        <w:top w:val="none" w:sz="0" w:space="0" w:color="auto"/>
        <w:left w:val="none" w:sz="0" w:space="0" w:color="auto"/>
        <w:bottom w:val="none" w:sz="0" w:space="0" w:color="auto"/>
        <w:right w:val="none" w:sz="0" w:space="0" w:color="auto"/>
      </w:divBdr>
    </w:div>
    <w:div w:id="1274898054">
      <w:bodyDiv w:val="1"/>
      <w:marLeft w:val="0"/>
      <w:marRight w:val="0"/>
      <w:marTop w:val="0"/>
      <w:marBottom w:val="0"/>
      <w:divBdr>
        <w:top w:val="none" w:sz="0" w:space="0" w:color="auto"/>
        <w:left w:val="none" w:sz="0" w:space="0" w:color="auto"/>
        <w:bottom w:val="none" w:sz="0" w:space="0" w:color="auto"/>
        <w:right w:val="none" w:sz="0" w:space="0" w:color="auto"/>
      </w:divBdr>
    </w:div>
    <w:div w:id="1478719382">
      <w:bodyDiv w:val="1"/>
      <w:marLeft w:val="0"/>
      <w:marRight w:val="0"/>
      <w:marTop w:val="0"/>
      <w:marBottom w:val="0"/>
      <w:divBdr>
        <w:top w:val="none" w:sz="0" w:space="0" w:color="auto"/>
        <w:left w:val="none" w:sz="0" w:space="0" w:color="auto"/>
        <w:bottom w:val="none" w:sz="0" w:space="0" w:color="auto"/>
        <w:right w:val="none" w:sz="0" w:space="0" w:color="auto"/>
      </w:divBdr>
    </w:div>
    <w:div w:id="1557816468">
      <w:bodyDiv w:val="1"/>
      <w:marLeft w:val="0"/>
      <w:marRight w:val="0"/>
      <w:marTop w:val="0"/>
      <w:marBottom w:val="0"/>
      <w:divBdr>
        <w:top w:val="none" w:sz="0" w:space="0" w:color="auto"/>
        <w:left w:val="none" w:sz="0" w:space="0" w:color="auto"/>
        <w:bottom w:val="none" w:sz="0" w:space="0" w:color="auto"/>
        <w:right w:val="none" w:sz="0" w:space="0" w:color="auto"/>
      </w:divBdr>
    </w:div>
    <w:div w:id="1607736162">
      <w:bodyDiv w:val="1"/>
      <w:marLeft w:val="0"/>
      <w:marRight w:val="0"/>
      <w:marTop w:val="0"/>
      <w:marBottom w:val="0"/>
      <w:divBdr>
        <w:top w:val="none" w:sz="0" w:space="0" w:color="auto"/>
        <w:left w:val="none" w:sz="0" w:space="0" w:color="auto"/>
        <w:bottom w:val="none" w:sz="0" w:space="0" w:color="auto"/>
        <w:right w:val="none" w:sz="0" w:space="0" w:color="auto"/>
      </w:divBdr>
    </w:div>
    <w:div w:id="1682001367">
      <w:bodyDiv w:val="1"/>
      <w:marLeft w:val="0"/>
      <w:marRight w:val="0"/>
      <w:marTop w:val="0"/>
      <w:marBottom w:val="0"/>
      <w:divBdr>
        <w:top w:val="none" w:sz="0" w:space="0" w:color="auto"/>
        <w:left w:val="none" w:sz="0" w:space="0" w:color="auto"/>
        <w:bottom w:val="none" w:sz="0" w:space="0" w:color="auto"/>
        <w:right w:val="none" w:sz="0" w:space="0" w:color="auto"/>
      </w:divBdr>
    </w:div>
    <w:div w:id="1706054612">
      <w:bodyDiv w:val="1"/>
      <w:marLeft w:val="0"/>
      <w:marRight w:val="0"/>
      <w:marTop w:val="0"/>
      <w:marBottom w:val="0"/>
      <w:divBdr>
        <w:top w:val="none" w:sz="0" w:space="0" w:color="auto"/>
        <w:left w:val="none" w:sz="0" w:space="0" w:color="auto"/>
        <w:bottom w:val="none" w:sz="0" w:space="0" w:color="auto"/>
        <w:right w:val="none" w:sz="0" w:space="0" w:color="auto"/>
      </w:divBdr>
    </w:div>
    <w:div w:id="1856646204">
      <w:bodyDiv w:val="1"/>
      <w:marLeft w:val="0"/>
      <w:marRight w:val="0"/>
      <w:marTop w:val="0"/>
      <w:marBottom w:val="0"/>
      <w:divBdr>
        <w:top w:val="none" w:sz="0" w:space="0" w:color="auto"/>
        <w:left w:val="none" w:sz="0" w:space="0" w:color="auto"/>
        <w:bottom w:val="none" w:sz="0" w:space="0" w:color="auto"/>
        <w:right w:val="none" w:sz="0" w:space="0" w:color="auto"/>
      </w:divBdr>
    </w:div>
    <w:div w:id="1893693937">
      <w:bodyDiv w:val="1"/>
      <w:marLeft w:val="0"/>
      <w:marRight w:val="0"/>
      <w:marTop w:val="0"/>
      <w:marBottom w:val="0"/>
      <w:divBdr>
        <w:top w:val="none" w:sz="0" w:space="0" w:color="auto"/>
        <w:left w:val="none" w:sz="0" w:space="0" w:color="auto"/>
        <w:bottom w:val="none" w:sz="0" w:space="0" w:color="auto"/>
        <w:right w:val="none" w:sz="0" w:space="0" w:color="auto"/>
      </w:divBdr>
    </w:div>
    <w:div w:id="193142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Št. razstav in projektov v RS  2016</a:t>
            </a:r>
            <a:r>
              <a:rPr lang="sl-SI" baseline="0"/>
              <a:t> - 2019</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nova stalna razstava</c:v>
                </c:pt>
              </c:strCache>
            </c:strRef>
          </c:tx>
          <c:spPr>
            <a:solidFill>
              <a:schemeClr val="accent1"/>
            </a:solidFill>
            <a:ln>
              <a:noFill/>
            </a:ln>
            <a:effectLst/>
          </c:spPr>
          <c:invertIfNegative val="0"/>
          <c:cat>
            <c:numRef>
              <c:f>List1!$A$2:$A$5</c:f>
              <c:numCache>
                <c:formatCode>General</c:formatCode>
                <c:ptCount val="4"/>
                <c:pt idx="0">
                  <c:v>2016</c:v>
                </c:pt>
                <c:pt idx="1">
                  <c:v>2017</c:v>
                </c:pt>
                <c:pt idx="2">
                  <c:v>2018</c:v>
                </c:pt>
                <c:pt idx="3">
                  <c:v>2019</c:v>
                </c:pt>
              </c:numCache>
            </c:numRef>
          </c:cat>
          <c:val>
            <c:numRef>
              <c:f>List1!$B$2:$B$5</c:f>
              <c:numCache>
                <c:formatCode>General</c:formatCode>
                <c:ptCount val="4"/>
                <c:pt idx="0">
                  <c:v>22</c:v>
                </c:pt>
                <c:pt idx="1">
                  <c:v>23</c:v>
                </c:pt>
                <c:pt idx="2">
                  <c:v>37</c:v>
                </c:pt>
                <c:pt idx="3">
                  <c:v>19</c:v>
                </c:pt>
              </c:numCache>
            </c:numRef>
          </c:val>
          <c:extLst>
            <c:ext xmlns:c16="http://schemas.microsoft.com/office/drawing/2014/chart" uri="{C3380CC4-5D6E-409C-BE32-E72D297353CC}">
              <c16:uniqueId val="{00000000-8481-4940-8EFD-A7188E8E6657}"/>
            </c:ext>
          </c:extLst>
        </c:ser>
        <c:ser>
          <c:idx val="1"/>
          <c:order val="1"/>
          <c:tx>
            <c:strRef>
              <c:f>List1!$C$1</c:f>
              <c:strCache>
                <c:ptCount val="1"/>
                <c:pt idx="0">
                  <c:v>lastna občasna razstava</c:v>
                </c:pt>
              </c:strCache>
            </c:strRef>
          </c:tx>
          <c:spPr>
            <a:solidFill>
              <a:schemeClr val="accent2"/>
            </a:solidFill>
            <a:ln>
              <a:noFill/>
            </a:ln>
            <a:effectLst/>
          </c:spPr>
          <c:invertIfNegative val="0"/>
          <c:cat>
            <c:numRef>
              <c:f>List1!$A$2:$A$5</c:f>
              <c:numCache>
                <c:formatCode>General</c:formatCode>
                <c:ptCount val="4"/>
                <c:pt idx="0">
                  <c:v>2016</c:v>
                </c:pt>
                <c:pt idx="1">
                  <c:v>2017</c:v>
                </c:pt>
                <c:pt idx="2">
                  <c:v>2018</c:v>
                </c:pt>
                <c:pt idx="3">
                  <c:v>2019</c:v>
                </c:pt>
              </c:numCache>
            </c:numRef>
          </c:cat>
          <c:val>
            <c:numRef>
              <c:f>List1!$C$2:$C$5</c:f>
              <c:numCache>
                <c:formatCode>General</c:formatCode>
                <c:ptCount val="4"/>
                <c:pt idx="0">
                  <c:v>353</c:v>
                </c:pt>
                <c:pt idx="1">
                  <c:v>308</c:v>
                </c:pt>
                <c:pt idx="2">
                  <c:v>361</c:v>
                </c:pt>
                <c:pt idx="3">
                  <c:v>301</c:v>
                </c:pt>
              </c:numCache>
            </c:numRef>
          </c:val>
          <c:extLst>
            <c:ext xmlns:c16="http://schemas.microsoft.com/office/drawing/2014/chart" uri="{C3380CC4-5D6E-409C-BE32-E72D297353CC}">
              <c16:uniqueId val="{00000001-8481-4940-8EFD-A7188E8E6657}"/>
            </c:ext>
          </c:extLst>
        </c:ser>
        <c:ser>
          <c:idx val="2"/>
          <c:order val="2"/>
          <c:tx>
            <c:strRef>
              <c:f>List1!$D$1</c:f>
              <c:strCache>
                <c:ptCount val="1"/>
                <c:pt idx="0">
                  <c:v>medinstitucionalna razstava</c:v>
                </c:pt>
              </c:strCache>
            </c:strRef>
          </c:tx>
          <c:spPr>
            <a:solidFill>
              <a:schemeClr val="accent3"/>
            </a:solidFill>
            <a:ln>
              <a:noFill/>
            </a:ln>
            <a:effectLst/>
          </c:spPr>
          <c:invertIfNegative val="0"/>
          <c:cat>
            <c:numRef>
              <c:f>List1!$A$2:$A$5</c:f>
              <c:numCache>
                <c:formatCode>General</c:formatCode>
                <c:ptCount val="4"/>
                <c:pt idx="0">
                  <c:v>2016</c:v>
                </c:pt>
                <c:pt idx="1">
                  <c:v>2017</c:v>
                </c:pt>
                <c:pt idx="2">
                  <c:v>2018</c:v>
                </c:pt>
                <c:pt idx="3">
                  <c:v>2019</c:v>
                </c:pt>
              </c:numCache>
            </c:numRef>
          </c:cat>
          <c:val>
            <c:numRef>
              <c:f>List1!$D$2:$D$5</c:f>
              <c:numCache>
                <c:formatCode>General</c:formatCode>
                <c:ptCount val="4"/>
                <c:pt idx="0">
                  <c:v>123</c:v>
                </c:pt>
                <c:pt idx="1">
                  <c:v>133</c:v>
                </c:pt>
                <c:pt idx="2">
                  <c:v>101</c:v>
                </c:pt>
                <c:pt idx="3">
                  <c:v>117</c:v>
                </c:pt>
              </c:numCache>
            </c:numRef>
          </c:val>
          <c:extLst>
            <c:ext xmlns:c16="http://schemas.microsoft.com/office/drawing/2014/chart" uri="{C3380CC4-5D6E-409C-BE32-E72D297353CC}">
              <c16:uniqueId val="{00000002-8481-4940-8EFD-A7188E8E6657}"/>
            </c:ext>
          </c:extLst>
        </c:ser>
        <c:ser>
          <c:idx val="3"/>
          <c:order val="3"/>
          <c:tx>
            <c:strRef>
              <c:f>List1!$E$1</c:f>
              <c:strCache>
                <c:ptCount val="1"/>
                <c:pt idx="0">
                  <c:v>gostovanje </c:v>
                </c:pt>
              </c:strCache>
            </c:strRef>
          </c:tx>
          <c:spPr>
            <a:solidFill>
              <a:schemeClr val="accent4"/>
            </a:solidFill>
            <a:ln>
              <a:noFill/>
            </a:ln>
            <a:effectLst/>
          </c:spPr>
          <c:invertIfNegative val="0"/>
          <c:cat>
            <c:numRef>
              <c:f>List1!$A$2:$A$5</c:f>
              <c:numCache>
                <c:formatCode>General</c:formatCode>
                <c:ptCount val="4"/>
                <c:pt idx="0">
                  <c:v>2016</c:v>
                </c:pt>
                <c:pt idx="1">
                  <c:v>2017</c:v>
                </c:pt>
                <c:pt idx="2">
                  <c:v>2018</c:v>
                </c:pt>
                <c:pt idx="3">
                  <c:v>2019</c:v>
                </c:pt>
              </c:numCache>
            </c:numRef>
          </c:cat>
          <c:val>
            <c:numRef>
              <c:f>List1!$E$2:$E$5</c:f>
              <c:numCache>
                <c:formatCode>General</c:formatCode>
                <c:ptCount val="4"/>
                <c:pt idx="0">
                  <c:v>255</c:v>
                </c:pt>
                <c:pt idx="1">
                  <c:v>232</c:v>
                </c:pt>
                <c:pt idx="2">
                  <c:v>210</c:v>
                </c:pt>
                <c:pt idx="3">
                  <c:v>230</c:v>
                </c:pt>
              </c:numCache>
            </c:numRef>
          </c:val>
          <c:extLst>
            <c:ext xmlns:c16="http://schemas.microsoft.com/office/drawing/2014/chart" uri="{C3380CC4-5D6E-409C-BE32-E72D297353CC}">
              <c16:uniqueId val="{00000001-88F8-491A-925F-B32E2DE2D965}"/>
            </c:ext>
          </c:extLst>
        </c:ser>
        <c:ser>
          <c:idx val="4"/>
          <c:order val="4"/>
          <c:tx>
            <c:strRef>
              <c:f>List1!$F$1</c:f>
              <c:strCache>
                <c:ptCount val="1"/>
                <c:pt idx="0">
                  <c:v>projekt</c:v>
                </c:pt>
              </c:strCache>
            </c:strRef>
          </c:tx>
          <c:spPr>
            <a:solidFill>
              <a:schemeClr val="accent5"/>
            </a:solidFill>
            <a:ln>
              <a:noFill/>
            </a:ln>
            <a:effectLst/>
          </c:spPr>
          <c:invertIfNegative val="0"/>
          <c:cat>
            <c:numRef>
              <c:f>List1!$A$2:$A$5</c:f>
              <c:numCache>
                <c:formatCode>General</c:formatCode>
                <c:ptCount val="4"/>
                <c:pt idx="0">
                  <c:v>2016</c:v>
                </c:pt>
                <c:pt idx="1">
                  <c:v>2017</c:v>
                </c:pt>
                <c:pt idx="2">
                  <c:v>2018</c:v>
                </c:pt>
                <c:pt idx="3">
                  <c:v>2019</c:v>
                </c:pt>
              </c:numCache>
            </c:numRef>
          </c:cat>
          <c:val>
            <c:numRef>
              <c:f>List1!$F$2:$F$5</c:f>
              <c:numCache>
                <c:formatCode>General</c:formatCode>
                <c:ptCount val="4"/>
                <c:pt idx="0">
                  <c:v>142</c:v>
                </c:pt>
                <c:pt idx="1">
                  <c:v>112</c:v>
                </c:pt>
                <c:pt idx="2">
                  <c:v>132</c:v>
                </c:pt>
                <c:pt idx="3">
                  <c:v>120</c:v>
                </c:pt>
              </c:numCache>
            </c:numRef>
          </c:val>
          <c:extLst>
            <c:ext xmlns:c16="http://schemas.microsoft.com/office/drawing/2014/chart" uri="{C3380CC4-5D6E-409C-BE32-E72D297353CC}">
              <c16:uniqueId val="{00000002-88F8-491A-925F-B32E2DE2D965}"/>
            </c:ext>
          </c:extLst>
        </c:ser>
        <c:dLbls>
          <c:showLegendKey val="0"/>
          <c:showVal val="0"/>
          <c:showCatName val="0"/>
          <c:showSerName val="0"/>
          <c:showPercent val="0"/>
          <c:showBubbleSize val="0"/>
        </c:dLbls>
        <c:gapWidth val="219"/>
        <c:overlap val="-27"/>
        <c:axId val="211646488"/>
        <c:axId val="211643536"/>
      </c:barChart>
      <c:catAx>
        <c:axId val="21164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11643536"/>
        <c:crosses val="autoZero"/>
        <c:auto val="1"/>
        <c:lblAlgn val="ctr"/>
        <c:lblOffset val="100"/>
        <c:noMultiLvlLbl val="0"/>
      </c:catAx>
      <c:valAx>
        <c:axId val="211643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11646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Sodelovanje s partnerji iz tujine 2016 - 2019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medinstitucionalne razstave</c:v>
                </c:pt>
              </c:strCache>
            </c:strRef>
          </c:tx>
          <c:spPr>
            <a:solidFill>
              <a:schemeClr val="accent1"/>
            </a:solidFill>
            <a:ln>
              <a:noFill/>
            </a:ln>
            <a:effectLst/>
          </c:spPr>
          <c:invertIfNegative val="0"/>
          <c:cat>
            <c:numRef>
              <c:f>List1!$A$2:$A$5</c:f>
              <c:numCache>
                <c:formatCode>General</c:formatCode>
                <c:ptCount val="4"/>
                <c:pt idx="0">
                  <c:v>2016</c:v>
                </c:pt>
                <c:pt idx="1">
                  <c:v>2017</c:v>
                </c:pt>
                <c:pt idx="2">
                  <c:v>2018</c:v>
                </c:pt>
                <c:pt idx="3">
                  <c:v>2019</c:v>
                </c:pt>
              </c:numCache>
            </c:numRef>
          </c:cat>
          <c:val>
            <c:numRef>
              <c:f>List1!$B$2:$B$5</c:f>
              <c:numCache>
                <c:formatCode>General</c:formatCode>
                <c:ptCount val="4"/>
                <c:pt idx="0">
                  <c:v>42</c:v>
                </c:pt>
                <c:pt idx="1">
                  <c:v>34</c:v>
                </c:pt>
                <c:pt idx="2">
                  <c:v>22</c:v>
                </c:pt>
                <c:pt idx="3">
                  <c:v>43</c:v>
                </c:pt>
              </c:numCache>
            </c:numRef>
          </c:val>
          <c:extLst>
            <c:ext xmlns:c16="http://schemas.microsoft.com/office/drawing/2014/chart" uri="{C3380CC4-5D6E-409C-BE32-E72D297353CC}">
              <c16:uniqueId val="{00000000-59E4-42BA-B640-94C2271C93AC}"/>
            </c:ext>
          </c:extLst>
        </c:ser>
        <c:ser>
          <c:idx val="1"/>
          <c:order val="1"/>
          <c:tx>
            <c:strRef>
              <c:f>List1!$C$1</c:f>
              <c:strCache>
                <c:ptCount val="1"/>
                <c:pt idx="0">
                  <c:v>gostovanja v RS</c:v>
                </c:pt>
              </c:strCache>
            </c:strRef>
          </c:tx>
          <c:spPr>
            <a:solidFill>
              <a:schemeClr val="accent2"/>
            </a:solidFill>
            <a:ln>
              <a:noFill/>
            </a:ln>
            <a:effectLst/>
          </c:spPr>
          <c:invertIfNegative val="0"/>
          <c:cat>
            <c:numRef>
              <c:f>List1!$A$2:$A$5</c:f>
              <c:numCache>
                <c:formatCode>General</c:formatCode>
                <c:ptCount val="4"/>
                <c:pt idx="0">
                  <c:v>2016</c:v>
                </c:pt>
                <c:pt idx="1">
                  <c:v>2017</c:v>
                </c:pt>
                <c:pt idx="2">
                  <c:v>2018</c:v>
                </c:pt>
                <c:pt idx="3">
                  <c:v>2019</c:v>
                </c:pt>
              </c:numCache>
            </c:numRef>
          </c:cat>
          <c:val>
            <c:numRef>
              <c:f>List1!$C$2:$C$5</c:f>
              <c:numCache>
                <c:formatCode>General</c:formatCode>
                <c:ptCount val="4"/>
                <c:pt idx="0">
                  <c:v>15</c:v>
                </c:pt>
                <c:pt idx="1">
                  <c:v>8</c:v>
                </c:pt>
                <c:pt idx="2">
                  <c:v>17</c:v>
                </c:pt>
                <c:pt idx="3">
                  <c:v>28</c:v>
                </c:pt>
              </c:numCache>
            </c:numRef>
          </c:val>
          <c:extLst>
            <c:ext xmlns:c16="http://schemas.microsoft.com/office/drawing/2014/chart" uri="{C3380CC4-5D6E-409C-BE32-E72D297353CC}">
              <c16:uniqueId val="{00000001-59E4-42BA-B640-94C2271C93AC}"/>
            </c:ext>
          </c:extLst>
        </c:ser>
        <c:ser>
          <c:idx val="2"/>
          <c:order val="2"/>
          <c:tx>
            <c:strRef>
              <c:f>List1!$D$1</c:f>
              <c:strCache>
                <c:ptCount val="1"/>
                <c:pt idx="0">
                  <c:v>gostovanja v tujini</c:v>
                </c:pt>
              </c:strCache>
            </c:strRef>
          </c:tx>
          <c:spPr>
            <a:solidFill>
              <a:schemeClr val="accent3"/>
            </a:solidFill>
            <a:ln>
              <a:noFill/>
            </a:ln>
            <a:effectLst/>
          </c:spPr>
          <c:invertIfNegative val="0"/>
          <c:cat>
            <c:numRef>
              <c:f>List1!$A$2:$A$5</c:f>
              <c:numCache>
                <c:formatCode>General</c:formatCode>
                <c:ptCount val="4"/>
                <c:pt idx="0">
                  <c:v>2016</c:v>
                </c:pt>
                <c:pt idx="1">
                  <c:v>2017</c:v>
                </c:pt>
                <c:pt idx="2">
                  <c:v>2018</c:v>
                </c:pt>
                <c:pt idx="3">
                  <c:v>2019</c:v>
                </c:pt>
              </c:numCache>
            </c:numRef>
          </c:cat>
          <c:val>
            <c:numRef>
              <c:f>List1!$D$2:$D$5</c:f>
              <c:numCache>
                <c:formatCode>General</c:formatCode>
                <c:ptCount val="4"/>
                <c:pt idx="0">
                  <c:v>35</c:v>
                </c:pt>
                <c:pt idx="1">
                  <c:v>22</c:v>
                </c:pt>
                <c:pt idx="2">
                  <c:v>30</c:v>
                </c:pt>
                <c:pt idx="3">
                  <c:v>52</c:v>
                </c:pt>
              </c:numCache>
            </c:numRef>
          </c:val>
          <c:extLst>
            <c:ext xmlns:c16="http://schemas.microsoft.com/office/drawing/2014/chart" uri="{C3380CC4-5D6E-409C-BE32-E72D297353CC}">
              <c16:uniqueId val="{00000002-59E4-42BA-B640-94C2271C93AC}"/>
            </c:ext>
          </c:extLst>
        </c:ser>
        <c:ser>
          <c:idx val="3"/>
          <c:order val="3"/>
          <c:tx>
            <c:strRef>
              <c:f>List1!$E$1</c:f>
              <c:strCache>
                <c:ptCount val="1"/>
                <c:pt idx="0">
                  <c:v>medinstitucionalni projekti</c:v>
                </c:pt>
              </c:strCache>
            </c:strRef>
          </c:tx>
          <c:spPr>
            <a:solidFill>
              <a:schemeClr val="accent4"/>
            </a:solidFill>
            <a:ln>
              <a:noFill/>
            </a:ln>
            <a:effectLst/>
          </c:spPr>
          <c:invertIfNegative val="0"/>
          <c:cat>
            <c:numRef>
              <c:f>List1!$A$2:$A$5</c:f>
              <c:numCache>
                <c:formatCode>General</c:formatCode>
                <c:ptCount val="4"/>
                <c:pt idx="0">
                  <c:v>2016</c:v>
                </c:pt>
                <c:pt idx="1">
                  <c:v>2017</c:v>
                </c:pt>
                <c:pt idx="2">
                  <c:v>2018</c:v>
                </c:pt>
                <c:pt idx="3">
                  <c:v>2019</c:v>
                </c:pt>
              </c:numCache>
            </c:numRef>
          </c:cat>
          <c:val>
            <c:numRef>
              <c:f>List1!$E$2:$E$5</c:f>
              <c:numCache>
                <c:formatCode>General</c:formatCode>
                <c:ptCount val="4"/>
                <c:pt idx="0">
                  <c:v>100</c:v>
                </c:pt>
                <c:pt idx="1">
                  <c:v>65</c:v>
                </c:pt>
                <c:pt idx="2">
                  <c:v>80</c:v>
                </c:pt>
                <c:pt idx="3">
                  <c:v>74</c:v>
                </c:pt>
              </c:numCache>
            </c:numRef>
          </c:val>
          <c:extLst>
            <c:ext xmlns:c16="http://schemas.microsoft.com/office/drawing/2014/chart" uri="{C3380CC4-5D6E-409C-BE32-E72D297353CC}">
              <c16:uniqueId val="{00000003-59E4-42BA-B640-94C2271C93AC}"/>
            </c:ext>
          </c:extLst>
        </c:ser>
        <c:ser>
          <c:idx val="4"/>
          <c:order val="4"/>
          <c:tx>
            <c:strRef>
              <c:f>List1!$F$1</c:f>
              <c:strCache>
                <c:ptCount val="1"/>
                <c:pt idx="0">
                  <c:v>projekti iz EU sredstev</c:v>
                </c:pt>
              </c:strCache>
            </c:strRef>
          </c:tx>
          <c:spPr>
            <a:solidFill>
              <a:schemeClr val="accent5"/>
            </a:solidFill>
            <a:ln>
              <a:noFill/>
            </a:ln>
            <a:effectLst/>
          </c:spPr>
          <c:invertIfNegative val="0"/>
          <c:cat>
            <c:numRef>
              <c:f>List1!$A$2:$A$5</c:f>
              <c:numCache>
                <c:formatCode>General</c:formatCode>
                <c:ptCount val="4"/>
                <c:pt idx="0">
                  <c:v>2016</c:v>
                </c:pt>
                <c:pt idx="1">
                  <c:v>2017</c:v>
                </c:pt>
                <c:pt idx="2">
                  <c:v>2018</c:v>
                </c:pt>
                <c:pt idx="3">
                  <c:v>2019</c:v>
                </c:pt>
              </c:numCache>
            </c:numRef>
          </c:cat>
          <c:val>
            <c:numRef>
              <c:f>List1!$F$2:$F$5</c:f>
              <c:numCache>
                <c:formatCode>General</c:formatCode>
                <c:ptCount val="4"/>
                <c:pt idx="0">
                  <c:v>15</c:v>
                </c:pt>
                <c:pt idx="1">
                  <c:v>19</c:v>
                </c:pt>
                <c:pt idx="2">
                  <c:v>26</c:v>
                </c:pt>
                <c:pt idx="3">
                  <c:v>39</c:v>
                </c:pt>
              </c:numCache>
            </c:numRef>
          </c:val>
          <c:extLst>
            <c:ext xmlns:c16="http://schemas.microsoft.com/office/drawing/2014/chart" uri="{C3380CC4-5D6E-409C-BE32-E72D297353CC}">
              <c16:uniqueId val="{00000004-59E4-42BA-B640-94C2271C93AC}"/>
            </c:ext>
          </c:extLst>
        </c:ser>
        <c:dLbls>
          <c:showLegendKey val="0"/>
          <c:showVal val="0"/>
          <c:showCatName val="0"/>
          <c:showSerName val="0"/>
          <c:showPercent val="0"/>
          <c:showBubbleSize val="0"/>
        </c:dLbls>
        <c:gapWidth val="219"/>
        <c:overlap val="-27"/>
        <c:axId val="213726536"/>
        <c:axId val="213736376"/>
      </c:barChart>
      <c:catAx>
        <c:axId val="213726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13736376"/>
        <c:crosses val="autoZero"/>
        <c:auto val="1"/>
        <c:lblAlgn val="ctr"/>
        <c:lblOffset val="100"/>
        <c:noMultiLvlLbl val="0"/>
      </c:catAx>
      <c:valAx>
        <c:axId val="213736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13726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Povprečno razmerje aktivnosti</a:t>
            </a:r>
            <a:r>
              <a:rPr lang="sl-SI" baseline="0"/>
              <a:t> programskega II. sklopa </a:t>
            </a:r>
            <a:r>
              <a:rPr lang="sl-SI"/>
              <a:t>2016 - 2019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tx>
            <c:strRef>
              <c:f>List1!$B$1</c:f>
              <c:strCache>
                <c:ptCount val="1"/>
                <c:pt idx="0">
                  <c:v>povprečno razmerje razstav 2016 - 2019</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5AC-4FF8-9855-75BD813CA61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5AC-4FF8-9855-75BD813CA61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5AC-4FF8-9855-75BD813CA61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5AC-4FF8-9855-75BD813CA61F}"/>
              </c:ext>
            </c:extLst>
          </c:dPt>
          <c:cat>
            <c:strRef>
              <c:f>List1!$A$2:$A$5</c:f>
              <c:strCache>
                <c:ptCount val="4"/>
                <c:pt idx="0">
                  <c:v>lastne razstave</c:v>
                </c:pt>
                <c:pt idx="1">
                  <c:v>medinstitucionalne razstave</c:v>
                </c:pt>
                <c:pt idx="2">
                  <c:v>gostovanja</c:v>
                </c:pt>
                <c:pt idx="3">
                  <c:v>projekti</c:v>
                </c:pt>
              </c:strCache>
            </c:strRef>
          </c:cat>
          <c:val>
            <c:numRef>
              <c:f>List1!$B$2:$B$5</c:f>
              <c:numCache>
                <c:formatCode>General</c:formatCode>
                <c:ptCount val="4"/>
                <c:pt idx="0">
                  <c:v>1424</c:v>
                </c:pt>
                <c:pt idx="1">
                  <c:v>615</c:v>
                </c:pt>
                <c:pt idx="2">
                  <c:v>1132</c:v>
                </c:pt>
                <c:pt idx="3">
                  <c:v>826</c:v>
                </c:pt>
              </c:numCache>
            </c:numRef>
          </c:val>
          <c:extLst>
            <c:ext xmlns:c16="http://schemas.microsoft.com/office/drawing/2014/chart" uri="{C3380CC4-5D6E-409C-BE32-E72D297353CC}">
              <c16:uniqueId val="{00000000-080F-41AF-BA5A-4BEBCCC6FC9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en-US"/>
              <a:t>Obisk </a:t>
            </a:r>
            <a:r>
              <a:rPr lang="sl-SI"/>
              <a:t>razstav</a:t>
            </a:r>
            <a:endParaRPr lang="en-US"/>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1324786324786325"/>
          <c:y val="0.22313573802573911"/>
          <c:w val="0.75678783530165172"/>
          <c:h val="0.65527481804788412"/>
        </c:manualLayout>
      </c:layout>
      <c:pie3DChart>
        <c:varyColors val="1"/>
        <c:ser>
          <c:idx val="0"/>
          <c:order val="0"/>
          <c:tx>
            <c:strRef>
              <c:f>List1!$B$1</c:f>
              <c:strCache>
                <c:ptCount val="1"/>
                <c:pt idx="0">
                  <c:v>Obisk muzejev</c:v>
                </c:pt>
              </c:strCache>
            </c:strRef>
          </c:tx>
          <c:dLbls>
            <c:dLbl>
              <c:idx val="1"/>
              <c:spPr>
                <a:noFill/>
                <a:ln>
                  <a:noFill/>
                </a:ln>
                <a:effectLst/>
              </c:spPr>
              <c:txPr>
                <a:bodyPr wrap="square" lIns="38100" tIns="19050" rIns="38100" bIns="19050" anchor="ctr">
                  <a:spAutoFit/>
                </a:bodyPr>
                <a:lstStyle/>
                <a:p>
                  <a:pPr>
                    <a:defRPr>
                      <a:solidFill>
                        <a:schemeClr val="bg1"/>
                      </a:solidFill>
                    </a:defRPr>
                  </a:pPr>
                  <a:endParaRPr lang="sl-SI"/>
                </a:p>
              </c:txPr>
              <c:showLegendKey val="0"/>
              <c:showVal val="0"/>
              <c:showCatName val="1"/>
              <c:showSerName val="0"/>
              <c:showPercent val="1"/>
              <c:showBubbleSize val="0"/>
              <c:extLst>
                <c:ext xmlns:c16="http://schemas.microsoft.com/office/drawing/2014/chart" uri="{C3380CC4-5D6E-409C-BE32-E72D297353CC}">
                  <c16:uniqueId val="{00000000-F0C9-43A2-A833-57CA21477419}"/>
                </c:ext>
              </c:extLst>
            </c:dLbl>
            <c:dLbl>
              <c:idx val="3"/>
              <c:layout>
                <c:manualLayout>
                  <c:x val="4.441382327209091E-2"/>
                  <c:y val="7.222354038260984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306B-4232-B1DD-97BEB01994F8}"/>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List1!$A$2:$A$5</c:f>
              <c:strCache>
                <c:ptCount val="4"/>
                <c:pt idx="0">
                  <c:v>prost vstop</c:v>
                </c:pt>
                <c:pt idx="1">
                  <c:v>plačan vstop</c:v>
                </c:pt>
                <c:pt idx="2">
                  <c:v>brezplačni vstop</c:v>
                </c:pt>
                <c:pt idx="3">
                  <c:v>otvoritve</c:v>
                </c:pt>
              </c:strCache>
            </c:strRef>
          </c:cat>
          <c:val>
            <c:numRef>
              <c:f>List1!$B$2:$B$5</c:f>
              <c:numCache>
                <c:formatCode>#,##0</c:formatCode>
                <c:ptCount val="4"/>
                <c:pt idx="0">
                  <c:v>359528</c:v>
                </c:pt>
                <c:pt idx="1">
                  <c:v>399626</c:v>
                </c:pt>
                <c:pt idx="2">
                  <c:v>273692</c:v>
                </c:pt>
                <c:pt idx="3">
                  <c:v>43901</c:v>
                </c:pt>
              </c:numCache>
            </c:numRef>
          </c:val>
          <c:extLst>
            <c:ext xmlns:c16="http://schemas.microsoft.com/office/drawing/2014/chart" uri="{C3380CC4-5D6E-409C-BE32-E72D297353CC}">
              <c16:uniqueId val="{00000001-306B-4232-B1DD-97BEB01994F8}"/>
            </c:ext>
          </c:extLst>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Obisk muzejev 2015 - 2019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List1!$B$1</c:f>
              <c:strCache>
                <c:ptCount val="1"/>
                <c:pt idx="0">
                  <c:v>plačan vstop</c:v>
                </c:pt>
              </c:strCache>
            </c:strRef>
          </c:tx>
          <c:spPr>
            <a:ln w="28575" cap="rnd">
              <a:solidFill>
                <a:schemeClr val="accent1"/>
              </a:solidFill>
              <a:round/>
            </a:ln>
            <a:effectLst/>
          </c:spPr>
          <c:marker>
            <c:symbol val="none"/>
          </c:marker>
          <c:cat>
            <c:numRef>
              <c:f>List1!$A$2:$A$6</c:f>
              <c:numCache>
                <c:formatCode>General</c:formatCode>
                <c:ptCount val="5"/>
                <c:pt idx="0">
                  <c:v>2015</c:v>
                </c:pt>
                <c:pt idx="1">
                  <c:v>2016</c:v>
                </c:pt>
                <c:pt idx="2">
                  <c:v>2017</c:v>
                </c:pt>
                <c:pt idx="3">
                  <c:v>2018</c:v>
                </c:pt>
                <c:pt idx="4">
                  <c:v>2019</c:v>
                </c:pt>
              </c:numCache>
            </c:numRef>
          </c:cat>
          <c:val>
            <c:numRef>
              <c:f>List1!$B$2:$B$6</c:f>
              <c:numCache>
                <c:formatCode>#,##0</c:formatCode>
                <c:ptCount val="5"/>
                <c:pt idx="0">
                  <c:v>346968</c:v>
                </c:pt>
                <c:pt idx="1">
                  <c:v>371473</c:v>
                </c:pt>
                <c:pt idx="2">
                  <c:v>388236</c:v>
                </c:pt>
                <c:pt idx="3">
                  <c:v>418628</c:v>
                </c:pt>
                <c:pt idx="4">
                  <c:v>399626</c:v>
                </c:pt>
              </c:numCache>
            </c:numRef>
          </c:val>
          <c:smooth val="0"/>
          <c:extLst>
            <c:ext xmlns:c16="http://schemas.microsoft.com/office/drawing/2014/chart" uri="{C3380CC4-5D6E-409C-BE32-E72D297353CC}">
              <c16:uniqueId val="{00000000-EA59-42A5-96C9-C91D4943E69D}"/>
            </c:ext>
          </c:extLst>
        </c:ser>
        <c:ser>
          <c:idx val="1"/>
          <c:order val="1"/>
          <c:tx>
            <c:strRef>
              <c:f>List1!$C$1</c:f>
              <c:strCache>
                <c:ptCount val="1"/>
                <c:pt idx="0">
                  <c:v>brezplačen vstop</c:v>
                </c:pt>
              </c:strCache>
            </c:strRef>
          </c:tx>
          <c:spPr>
            <a:ln w="28575" cap="rnd">
              <a:solidFill>
                <a:schemeClr val="accent2"/>
              </a:solidFill>
              <a:round/>
            </a:ln>
            <a:effectLst/>
          </c:spPr>
          <c:marker>
            <c:symbol val="none"/>
          </c:marker>
          <c:cat>
            <c:numRef>
              <c:f>List1!$A$2:$A$6</c:f>
              <c:numCache>
                <c:formatCode>General</c:formatCode>
                <c:ptCount val="5"/>
                <c:pt idx="0">
                  <c:v>2015</c:v>
                </c:pt>
                <c:pt idx="1">
                  <c:v>2016</c:v>
                </c:pt>
                <c:pt idx="2">
                  <c:v>2017</c:v>
                </c:pt>
                <c:pt idx="3">
                  <c:v>2018</c:v>
                </c:pt>
                <c:pt idx="4">
                  <c:v>2019</c:v>
                </c:pt>
              </c:numCache>
            </c:numRef>
          </c:cat>
          <c:val>
            <c:numRef>
              <c:f>List1!$C$2:$C$6</c:f>
              <c:numCache>
                <c:formatCode>#,##0</c:formatCode>
                <c:ptCount val="5"/>
                <c:pt idx="0">
                  <c:v>201932</c:v>
                </c:pt>
                <c:pt idx="1">
                  <c:v>556712</c:v>
                </c:pt>
                <c:pt idx="2">
                  <c:v>320668</c:v>
                </c:pt>
                <c:pt idx="3">
                  <c:v>301314</c:v>
                </c:pt>
                <c:pt idx="4">
                  <c:v>273692</c:v>
                </c:pt>
              </c:numCache>
            </c:numRef>
          </c:val>
          <c:smooth val="0"/>
          <c:extLst>
            <c:ext xmlns:c16="http://schemas.microsoft.com/office/drawing/2014/chart" uri="{C3380CC4-5D6E-409C-BE32-E72D297353CC}">
              <c16:uniqueId val="{00000001-EA59-42A5-96C9-C91D4943E69D}"/>
            </c:ext>
          </c:extLst>
        </c:ser>
        <c:ser>
          <c:idx val="2"/>
          <c:order val="2"/>
          <c:tx>
            <c:strRef>
              <c:f>List1!$D$1</c:f>
              <c:strCache>
                <c:ptCount val="1"/>
                <c:pt idx="0">
                  <c:v>prost vstop</c:v>
                </c:pt>
              </c:strCache>
            </c:strRef>
          </c:tx>
          <c:spPr>
            <a:ln w="28575" cap="rnd">
              <a:solidFill>
                <a:schemeClr val="accent3"/>
              </a:solidFill>
              <a:round/>
            </a:ln>
            <a:effectLst/>
          </c:spPr>
          <c:marker>
            <c:symbol val="none"/>
          </c:marker>
          <c:cat>
            <c:numRef>
              <c:f>List1!$A$2:$A$6</c:f>
              <c:numCache>
                <c:formatCode>General</c:formatCode>
                <c:ptCount val="5"/>
                <c:pt idx="0">
                  <c:v>2015</c:v>
                </c:pt>
                <c:pt idx="1">
                  <c:v>2016</c:v>
                </c:pt>
                <c:pt idx="2">
                  <c:v>2017</c:v>
                </c:pt>
                <c:pt idx="3">
                  <c:v>2018</c:v>
                </c:pt>
                <c:pt idx="4">
                  <c:v>2019</c:v>
                </c:pt>
              </c:numCache>
            </c:numRef>
          </c:cat>
          <c:val>
            <c:numRef>
              <c:f>List1!$D$2:$D$6</c:f>
              <c:numCache>
                <c:formatCode>#,##0</c:formatCode>
                <c:ptCount val="5"/>
                <c:pt idx="0">
                  <c:v>526901</c:v>
                </c:pt>
                <c:pt idx="1">
                  <c:v>644452</c:v>
                </c:pt>
                <c:pt idx="2">
                  <c:v>398518</c:v>
                </c:pt>
                <c:pt idx="3">
                  <c:v>521290</c:v>
                </c:pt>
                <c:pt idx="4">
                  <c:v>403429</c:v>
                </c:pt>
              </c:numCache>
            </c:numRef>
          </c:val>
          <c:smooth val="0"/>
          <c:extLst>
            <c:ext xmlns:c16="http://schemas.microsoft.com/office/drawing/2014/chart" uri="{C3380CC4-5D6E-409C-BE32-E72D297353CC}">
              <c16:uniqueId val="{00000002-EA59-42A5-96C9-C91D4943E69D}"/>
            </c:ext>
          </c:extLst>
        </c:ser>
        <c:ser>
          <c:idx val="3"/>
          <c:order val="3"/>
          <c:tx>
            <c:strRef>
              <c:f>List1!$E$1</c:f>
              <c:strCache>
                <c:ptCount val="1"/>
                <c:pt idx="0">
                  <c:v>celoten obisk</c:v>
                </c:pt>
              </c:strCache>
            </c:strRef>
          </c:tx>
          <c:spPr>
            <a:ln w="28575" cap="rnd">
              <a:solidFill>
                <a:schemeClr val="accent4"/>
              </a:solidFill>
              <a:round/>
            </a:ln>
            <a:effectLst/>
          </c:spPr>
          <c:marker>
            <c:symbol val="none"/>
          </c:marker>
          <c:cat>
            <c:numRef>
              <c:f>List1!$A$2:$A$6</c:f>
              <c:numCache>
                <c:formatCode>General</c:formatCode>
                <c:ptCount val="5"/>
                <c:pt idx="0">
                  <c:v>2015</c:v>
                </c:pt>
                <c:pt idx="1">
                  <c:v>2016</c:v>
                </c:pt>
                <c:pt idx="2">
                  <c:v>2017</c:v>
                </c:pt>
                <c:pt idx="3">
                  <c:v>2018</c:v>
                </c:pt>
                <c:pt idx="4">
                  <c:v>2019</c:v>
                </c:pt>
              </c:numCache>
            </c:numRef>
          </c:cat>
          <c:val>
            <c:numRef>
              <c:f>List1!$E$2:$E$6</c:f>
              <c:numCache>
                <c:formatCode>#,##0</c:formatCode>
                <c:ptCount val="5"/>
                <c:pt idx="0">
                  <c:v>1075799</c:v>
                </c:pt>
                <c:pt idx="1">
                  <c:v>1572637</c:v>
                </c:pt>
                <c:pt idx="2">
                  <c:v>1323455</c:v>
                </c:pt>
                <c:pt idx="3">
                  <c:v>1517770</c:v>
                </c:pt>
                <c:pt idx="4">
                  <c:v>1485667</c:v>
                </c:pt>
              </c:numCache>
            </c:numRef>
          </c:val>
          <c:smooth val="0"/>
          <c:extLst>
            <c:ext xmlns:c16="http://schemas.microsoft.com/office/drawing/2014/chart" uri="{C3380CC4-5D6E-409C-BE32-E72D297353CC}">
              <c16:uniqueId val="{00000003-EA59-42A5-96C9-C91D4943E69D}"/>
            </c:ext>
          </c:extLst>
        </c:ser>
        <c:dLbls>
          <c:showLegendKey val="0"/>
          <c:showVal val="0"/>
          <c:showCatName val="0"/>
          <c:showSerName val="0"/>
          <c:showPercent val="0"/>
          <c:showBubbleSize val="0"/>
        </c:dLbls>
        <c:smooth val="0"/>
        <c:axId val="214920816"/>
        <c:axId val="214921472"/>
      </c:lineChart>
      <c:catAx>
        <c:axId val="214920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14921472"/>
        <c:crosses val="autoZero"/>
        <c:auto val="1"/>
        <c:lblAlgn val="ctr"/>
        <c:lblOffset val="100"/>
        <c:noMultiLvlLbl val="0"/>
      </c:catAx>
      <c:valAx>
        <c:axId val="2149214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14920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Struktura obiska 2015 - 2019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otroci/mladina</c:v>
                </c:pt>
              </c:strCache>
            </c:strRef>
          </c:tx>
          <c:spPr>
            <a:solidFill>
              <a:schemeClr val="accent1"/>
            </a:solidFill>
            <a:ln>
              <a:noFill/>
            </a:ln>
            <a:effectLst/>
          </c:spPr>
          <c:invertIfNegative val="0"/>
          <c:cat>
            <c:numRef>
              <c:f>List1!$A$2:$A$6</c:f>
              <c:numCache>
                <c:formatCode>General</c:formatCode>
                <c:ptCount val="5"/>
                <c:pt idx="0">
                  <c:v>2015</c:v>
                </c:pt>
                <c:pt idx="1">
                  <c:v>2016</c:v>
                </c:pt>
                <c:pt idx="2">
                  <c:v>2017</c:v>
                </c:pt>
                <c:pt idx="3">
                  <c:v>2018</c:v>
                </c:pt>
                <c:pt idx="4">
                  <c:v>2019</c:v>
                </c:pt>
              </c:numCache>
            </c:numRef>
          </c:cat>
          <c:val>
            <c:numRef>
              <c:f>List1!$B$2:$B$6</c:f>
              <c:numCache>
                <c:formatCode>#,##0</c:formatCode>
                <c:ptCount val="5"/>
                <c:pt idx="0">
                  <c:v>101257</c:v>
                </c:pt>
                <c:pt idx="1">
                  <c:v>87192</c:v>
                </c:pt>
                <c:pt idx="2">
                  <c:v>105021</c:v>
                </c:pt>
                <c:pt idx="3">
                  <c:v>173910</c:v>
                </c:pt>
                <c:pt idx="4">
                  <c:v>202493</c:v>
                </c:pt>
              </c:numCache>
            </c:numRef>
          </c:val>
          <c:extLst>
            <c:ext xmlns:c16="http://schemas.microsoft.com/office/drawing/2014/chart" uri="{C3380CC4-5D6E-409C-BE32-E72D297353CC}">
              <c16:uniqueId val="{00000000-B092-4017-A2EE-8603BBFB7E29}"/>
            </c:ext>
          </c:extLst>
        </c:ser>
        <c:ser>
          <c:idx val="1"/>
          <c:order val="1"/>
          <c:tx>
            <c:strRef>
              <c:f>List1!$C$1</c:f>
              <c:strCache>
                <c:ptCount val="1"/>
                <c:pt idx="0">
                  <c:v>tujci</c:v>
                </c:pt>
              </c:strCache>
            </c:strRef>
          </c:tx>
          <c:spPr>
            <a:solidFill>
              <a:schemeClr val="accent2"/>
            </a:solidFill>
            <a:ln>
              <a:noFill/>
            </a:ln>
            <a:effectLst/>
          </c:spPr>
          <c:invertIfNegative val="0"/>
          <c:cat>
            <c:numRef>
              <c:f>List1!$A$2:$A$6</c:f>
              <c:numCache>
                <c:formatCode>General</c:formatCode>
                <c:ptCount val="5"/>
                <c:pt idx="0">
                  <c:v>2015</c:v>
                </c:pt>
                <c:pt idx="1">
                  <c:v>2016</c:v>
                </c:pt>
                <c:pt idx="2">
                  <c:v>2017</c:v>
                </c:pt>
                <c:pt idx="3">
                  <c:v>2018</c:v>
                </c:pt>
                <c:pt idx="4">
                  <c:v>2019</c:v>
                </c:pt>
              </c:numCache>
            </c:numRef>
          </c:cat>
          <c:val>
            <c:numRef>
              <c:f>List1!$C$2:$C$6</c:f>
              <c:numCache>
                <c:formatCode>#,##0</c:formatCode>
                <c:ptCount val="5"/>
                <c:pt idx="0">
                  <c:v>100370</c:v>
                </c:pt>
                <c:pt idx="1">
                  <c:v>99677</c:v>
                </c:pt>
                <c:pt idx="2">
                  <c:v>103753</c:v>
                </c:pt>
                <c:pt idx="3">
                  <c:v>109225</c:v>
                </c:pt>
                <c:pt idx="4">
                  <c:v>146772</c:v>
                </c:pt>
              </c:numCache>
            </c:numRef>
          </c:val>
          <c:extLst>
            <c:ext xmlns:c16="http://schemas.microsoft.com/office/drawing/2014/chart" uri="{C3380CC4-5D6E-409C-BE32-E72D297353CC}">
              <c16:uniqueId val="{00000001-B092-4017-A2EE-8603BBFB7E29}"/>
            </c:ext>
          </c:extLst>
        </c:ser>
        <c:ser>
          <c:idx val="2"/>
          <c:order val="2"/>
          <c:tx>
            <c:strRef>
              <c:f>List1!$D$1</c:f>
              <c:strCache>
                <c:ptCount val="1"/>
                <c:pt idx="0">
                  <c:v>pedagoški programi</c:v>
                </c:pt>
              </c:strCache>
            </c:strRef>
          </c:tx>
          <c:spPr>
            <a:solidFill>
              <a:schemeClr val="accent3"/>
            </a:solidFill>
            <a:ln>
              <a:noFill/>
            </a:ln>
            <a:effectLst/>
          </c:spPr>
          <c:invertIfNegative val="0"/>
          <c:cat>
            <c:numRef>
              <c:f>List1!$A$2:$A$6</c:f>
              <c:numCache>
                <c:formatCode>General</c:formatCode>
                <c:ptCount val="5"/>
                <c:pt idx="0">
                  <c:v>2015</c:v>
                </c:pt>
                <c:pt idx="1">
                  <c:v>2016</c:v>
                </c:pt>
                <c:pt idx="2">
                  <c:v>2017</c:v>
                </c:pt>
                <c:pt idx="3">
                  <c:v>2018</c:v>
                </c:pt>
                <c:pt idx="4">
                  <c:v>2019</c:v>
                </c:pt>
              </c:numCache>
            </c:numRef>
          </c:cat>
          <c:val>
            <c:numRef>
              <c:f>List1!$D$2:$D$6</c:f>
              <c:numCache>
                <c:formatCode>#,##0</c:formatCode>
                <c:ptCount val="5"/>
                <c:pt idx="0">
                  <c:v>211233</c:v>
                </c:pt>
                <c:pt idx="1">
                  <c:v>134118</c:v>
                </c:pt>
                <c:pt idx="2">
                  <c:v>119288</c:v>
                </c:pt>
                <c:pt idx="3">
                  <c:v>147698</c:v>
                </c:pt>
                <c:pt idx="4">
                  <c:v>284474</c:v>
                </c:pt>
              </c:numCache>
            </c:numRef>
          </c:val>
          <c:extLst>
            <c:ext xmlns:c16="http://schemas.microsoft.com/office/drawing/2014/chart" uri="{C3380CC4-5D6E-409C-BE32-E72D297353CC}">
              <c16:uniqueId val="{00000002-B092-4017-A2EE-8603BBFB7E29}"/>
            </c:ext>
          </c:extLst>
        </c:ser>
        <c:ser>
          <c:idx val="3"/>
          <c:order val="3"/>
          <c:tx>
            <c:strRef>
              <c:f>List1!$E$1</c:f>
              <c:strCache>
                <c:ptCount val="1"/>
                <c:pt idx="0">
                  <c:v>andragoški programi</c:v>
                </c:pt>
              </c:strCache>
            </c:strRef>
          </c:tx>
          <c:spPr>
            <a:solidFill>
              <a:schemeClr val="accent4"/>
            </a:solidFill>
            <a:ln>
              <a:noFill/>
            </a:ln>
            <a:effectLst/>
          </c:spPr>
          <c:invertIfNegative val="0"/>
          <c:cat>
            <c:numRef>
              <c:f>List1!$A$2:$A$6</c:f>
              <c:numCache>
                <c:formatCode>General</c:formatCode>
                <c:ptCount val="5"/>
                <c:pt idx="0">
                  <c:v>2015</c:v>
                </c:pt>
                <c:pt idx="1">
                  <c:v>2016</c:v>
                </c:pt>
                <c:pt idx="2">
                  <c:v>2017</c:v>
                </c:pt>
                <c:pt idx="3">
                  <c:v>2018</c:v>
                </c:pt>
                <c:pt idx="4">
                  <c:v>2019</c:v>
                </c:pt>
              </c:numCache>
            </c:numRef>
          </c:cat>
          <c:val>
            <c:numRef>
              <c:f>List1!$E$2:$E$6</c:f>
              <c:numCache>
                <c:formatCode>#,##0</c:formatCode>
                <c:ptCount val="5"/>
                <c:pt idx="0">
                  <c:v>109698</c:v>
                </c:pt>
                <c:pt idx="1">
                  <c:v>53738</c:v>
                </c:pt>
                <c:pt idx="2">
                  <c:v>61608</c:v>
                </c:pt>
                <c:pt idx="3">
                  <c:v>76493</c:v>
                </c:pt>
                <c:pt idx="4">
                  <c:v>66272</c:v>
                </c:pt>
              </c:numCache>
            </c:numRef>
          </c:val>
          <c:extLst>
            <c:ext xmlns:c16="http://schemas.microsoft.com/office/drawing/2014/chart" uri="{C3380CC4-5D6E-409C-BE32-E72D297353CC}">
              <c16:uniqueId val="{00000003-B092-4017-A2EE-8603BBFB7E29}"/>
            </c:ext>
          </c:extLst>
        </c:ser>
        <c:ser>
          <c:idx val="4"/>
          <c:order val="4"/>
          <c:tx>
            <c:strRef>
              <c:f>List1!$F$1</c:f>
              <c:strCache>
                <c:ptCount val="1"/>
                <c:pt idx="0">
                  <c:v>dodatni programi</c:v>
                </c:pt>
              </c:strCache>
            </c:strRef>
          </c:tx>
          <c:spPr>
            <a:solidFill>
              <a:schemeClr val="accent5"/>
            </a:solidFill>
            <a:ln>
              <a:noFill/>
            </a:ln>
            <a:effectLst/>
          </c:spPr>
          <c:invertIfNegative val="0"/>
          <c:cat>
            <c:numRef>
              <c:f>List1!$A$2:$A$6</c:f>
              <c:numCache>
                <c:formatCode>General</c:formatCode>
                <c:ptCount val="5"/>
                <c:pt idx="0">
                  <c:v>2015</c:v>
                </c:pt>
                <c:pt idx="1">
                  <c:v>2016</c:v>
                </c:pt>
                <c:pt idx="2">
                  <c:v>2017</c:v>
                </c:pt>
                <c:pt idx="3">
                  <c:v>2018</c:v>
                </c:pt>
                <c:pt idx="4">
                  <c:v>2019</c:v>
                </c:pt>
              </c:numCache>
            </c:numRef>
          </c:cat>
          <c:val>
            <c:numRef>
              <c:f>List1!$F$2:$F$6</c:f>
              <c:numCache>
                <c:formatCode>#,##0</c:formatCode>
                <c:ptCount val="5"/>
                <c:pt idx="0">
                  <c:v>53159</c:v>
                </c:pt>
                <c:pt idx="1">
                  <c:v>31533</c:v>
                </c:pt>
                <c:pt idx="2">
                  <c:v>35137</c:v>
                </c:pt>
                <c:pt idx="3">
                  <c:v>44750</c:v>
                </c:pt>
                <c:pt idx="4">
                  <c:v>35220</c:v>
                </c:pt>
              </c:numCache>
            </c:numRef>
          </c:val>
          <c:extLst>
            <c:ext xmlns:c16="http://schemas.microsoft.com/office/drawing/2014/chart" uri="{C3380CC4-5D6E-409C-BE32-E72D297353CC}">
              <c16:uniqueId val="{00000004-B092-4017-A2EE-8603BBFB7E29}"/>
            </c:ext>
          </c:extLst>
        </c:ser>
        <c:dLbls>
          <c:showLegendKey val="0"/>
          <c:showVal val="0"/>
          <c:showCatName val="0"/>
          <c:showSerName val="0"/>
          <c:showPercent val="0"/>
          <c:showBubbleSize val="0"/>
        </c:dLbls>
        <c:gapWidth val="219"/>
        <c:overlap val="-27"/>
        <c:axId val="214914584"/>
        <c:axId val="214917208"/>
      </c:barChart>
      <c:catAx>
        <c:axId val="214914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14917208"/>
        <c:crosses val="autoZero"/>
        <c:auto val="1"/>
        <c:lblAlgn val="ctr"/>
        <c:lblOffset val="100"/>
        <c:noMultiLvlLbl val="0"/>
      </c:catAx>
      <c:valAx>
        <c:axId val="214917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14914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l-SI" sz="1000"/>
              <a:t>št. zaposlenih po posameznih</a:t>
            </a:r>
            <a:r>
              <a:rPr lang="sl-SI" sz="1000" baseline="0"/>
              <a:t> </a:t>
            </a:r>
            <a:r>
              <a:rPr lang="sl-SI" sz="1000"/>
              <a:t>virih financiranja delovnih mest</a:t>
            </a:r>
            <a:endParaRPr lang="en-US" sz="1000"/>
          </a:p>
        </c:rich>
      </c:tx>
      <c:overlay val="0"/>
    </c:title>
    <c:autoTitleDeleted val="0"/>
    <c:plotArea>
      <c:layout/>
      <c:barChart>
        <c:barDir val="bar"/>
        <c:grouping val="clustered"/>
        <c:varyColors val="0"/>
        <c:ser>
          <c:idx val="0"/>
          <c:order val="0"/>
          <c:tx>
            <c:strRef>
              <c:f>List1!$B$1</c:f>
              <c:strCache>
                <c:ptCount val="1"/>
                <c:pt idx="0">
                  <c:v>št. zaposlenih</c:v>
                </c:pt>
              </c:strCache>
            </c:strRef>
          </c:tx>
          <c:invertIfNegative val="0"/>
          <c:cat>
            <c:strRef>
              <c:f>List1!$A$2:$A$6</c:f>
              <c:strCache>
                <c:ptCount val="5"/>
                <c:pt idx="0">
                  <c:v>državni proračun</c:v>
                </c:pt>
                <c:pt idx="1">
                  <c:v>proračuni občin</c:v>
                </c:pt>
                <c:pt idx="2">
                  <c:v>javna dela</c:v>
                </c:pt>
                <c:pt idx="3">
                  <c:v>projekti</c:v>
                </c:pt>
                <c:pt idx="4">
                  <c:v>lastni prihodek</c:v>
                </c:pt>
              </c:strCache>
            </c:strRef>
          </c:cat>
          <c:val>
            <c:numRef>
              <c:f>List1!$B$2:$B$6</c:f>
              <c:numCache>
                <c:formatCode>General</c:formatCode>
                <c:ptCount val="5"/>
                <c:pt idx="0">
                  <c:v>388.42</c:v>
                </c:pt>
                <c:pt idx="1">
                  <c:v>117.19</c:v>
                </c:pt>
                <c:pt idx="2">
                  <c:v>50.5</c:v>
                </c:pt>
                <c:pt idx="3">
                  <c:v>13</c:v>
                </c:pt>
                <c:pt idx="4">
                  <c:v>10.5</c:v>
                </c:pt>
              </c:numCache>
            </c:numRef>
          </c:val>
          <c:extLst>
            <c:ext xmlns:c16="http://schemas.microsoft.com/office/drawing/2014/chart" uri="{C3380CC4-5D6E-409C-BE32-E72D297353CC}">
              <c16:uniqueId val="{00000000-FFAA-4696-81A0-2AA6AEB084A7}"/>
            </c:ext>
          </c:extLst>
        </c:ser>
        <c:ser>
          <c:idx val="1"/>
          <c:order val="1"/>
          <c:tx>
            <c:strRef>
              <c:f>List1!$C$1</c:f>
              <c:strCache>
                <c:ptCount val="1"/>
                <c:pt idx="0">
                  <c:v>Stolpec1</c:v>
                </c:pt>
              </c:strCache>
            </c:strRef>
          </c:tx>
          <c:invertIfNegative val="0"/>
          <c:cat>
            <c:strRef>
              <c:f>List1!$A$2:$A$6</c:f>
              <c:strCache>
                <c:ptCount val="5"/>
                <c:pt idx="0">
                  <c:v>državni proračun</c:v>
                </c:pt>
                <c:pt idx="1">
                  <c:v>proračuni občin</c:v>
                </c:pt>
                <c:pt idx="2">
                  <c:v>javna dela</c:v>
                </c:pt>
                <c:pt idx="3">
                  <c:v>projekti</c:v>
                </c:pt>
                <c:pt idx="4">
                  <c:v>lastni prihodek</c:v>
                </c:pt>
              </c:strCache>
            </c:strRef>
          </c:cat>
          <c:val>
            <c:numRef>
              <c:f>List1!$C$2:$C$6</c:f>
              <c:numCache>
                <c:formatCode>General</c:formatCode>
                <c:ptCount val="5"/>
              </c:numCache>
            </c:numRef>
          </c:val>
          <c:extLst>
            <c:ext xmlns:c16="http://schemas.microsoft.com/office/drawing/2014/chart" uri="{C3380CC4-5D6E-409C-BE32-E72D297353CC}">
              <c16:uniqueId val="{00000001-FFAA-4696-81A0-2AA6AEB084A7}"/>
            </c:ext>
          </c:extLst>
        </c:ser>
        <c:dLbls>
          <c:showLegendKey val="0"/>
          <c:showVal val="0"/>
          <c:showCatName val="0"/>
          <c:showSerName val="0"/>
          <c:showPercent val="0"/>
          <c:showBubbleSize val="0"/>
        </c:dLbls>
        <c:gapWidth val="150"/>
        <c:axId val="44244992"/>
        <c:axId val="44246528"/>
      </c:barChart>
      <c:catAx>
        <c:axId val="44244992"/>
        <c:scaling>
          <c:orientation val="minMax"/>
        </c:scaling>
        <c:delete val="0"/>
        <c:axPos val="l"/>
        <c:numFmt formatCode="General" sourceLinked="0"/>
        <c:majorTickMark val="out"/>
        <c:minorTickMark val="none"/>
        <c:tickLblPos val="nextTo"/>
        <c:txPr>
          <a:bodyPr/>
          <a:lstStyle/>
          <a:p>
            <a:pPr>
              <a:defRPr sz="800"/>
            </a:pPr>
            <a:endParaRPr lang="sl-SI"/>
          </a:p>
        </c:txPr>
        <c:crossAx val="44246528"/>
        <c:crosses val="autoZero"/>
        <c:auto val="1"/>
        <c:lblAlgn val="ctr"/>
        <c:lblOffset val="100"/>
        <c:noMultiLvlLbl val="0"/>
      </c:catAx>
      <c:valAx>
        <c:axId val="44246528"/>
        <c:scaling>
          <c:orientation val="minMax"/>
        </c:scaling>
        <c:delete val="0"/>
        <c:axPos val="b"/>
        <c:majorGridlines/>
        <c:numFmt formatCode="General" sourceLinked="1"/>
        <c:majorTickMark val="out"/>
        <c:minorTickMark val="none"/>
        <c:tickLblPos val="nextTo"/>
        <c:txPr>
          <a:bodyPr/>
          <a:lstStyle/>
          <a:p>
            <a:pPr>
              <a:defRPr sz="800"/>
            </a:pPr>
            <a:endParaRPr lang="sl-SI"/>
          </a:p>
        </c:txPr>
        <c:crossAx val="4424499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sl-SI"/>
              <a:t>V</a:t>
            </a:r>
            <a:r>
              <a:rPr lang="en-US"/>
              <a:t>iri financiranja muzejev</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l-SI"/>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0114648485630805E-2"/>
          <c:y val="0.26005604144758776"/>
          <c:w val="0.86694908292946238"/>
          <c:h val="0.71972928261817437"/>
        </c:manualLayout>
      </c:layout>
      <c:pie3DChart>
        <c:varyColors val="1"/>
        <c:ser>
          <c:idx val="0"/>
          <c:order val="0"/>
          <c:tx>
            <c:strRef>
              <c:f>List1!$B$1</c:f>
              <c:strCache>
                <c:ptCount val="1"/>
                <c:pt idx="0">
                  <c:v>viri financiranja muzejev</c:v>
                </c:pt>
              </c:strCache>
            </c:strRef>
          </c:tx>
          <c:explosion val="1"/>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0-5C0B-48E8-B871-C626D801C7FC}"/>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C0B-48E8-B871-C626D801C7FC}"/>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5C0B-48E8-B871-C626D801C7FC}"/>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5C0B-48E8-B871-C626D801C7FC}"/>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4-5C0B-48E8-B871-C626D801C7FC}"/>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C0B-48E8-B871-C626D801C7FC}"/>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0-57DA-45A1-910D-078E6118D567}"/>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7DA-45A1-910D-078E6118D567}"/>
              </c:ext>
            </c:extLst>
          </c:dPt>
          <c:dLbls>
            <c:dLbl>
              <c:idx val="0"/>
              <c:layout>
                <c:manualLayout>
                  <c:x val="-0.20012774111134768"/>
                  <c:y val="-7.7361563517915385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rgbClr val="FF0000"/>
                        </a:solidFill>
                        <a:latin typeface="+mn-lt"/>
                        <a:ea typeface="+mn-ea"/>
                        <a:cs typeface="+mn-cs"/>
                      </a:defRPr>
                    </a:pPr>
                    <a:fld id="{75FBB6D0-95A5-4D88-ABCC-422D7B275F1E}" type="CATEGORYNAME">
                      <a:rPr lang="en-US">
                        <a:solidFill>
                          <a:srgbClr val="FF0000"/>
                        </a:solidFill>
                      </a:rPr>
                      <a:pPr>
                        <a:defRPr>
                          <a:solidFill>
                            <a:srgbClr val="FF0000"/>
                          </a:solidFill>
                        </a:defRPr>
                      </a:pPr>
                      <a:t>[IME KATEGORIJE]</a:t>
                    </a:fld>
                    <a:r>
                      <a:rPr lang="en-US" baseline="0">
                        <a:solidFill>
                          <a:srgbClr val="FF0000"/>
                        </a:solidFill>
                      </a:rPr>
                      <a:t>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FF0000"/>
                      </a:solidFill>
                      <a:latin typeface="+mn-lt"/>
                      <a:ea typeface="+mn-ea"/>
                      <a:cs typeface="+mn-cs"/>
                    </a:defRPr>
                  </a:pPr>
                  <a:endParaRPr lang="sl-SI"/>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5C0B-48E8-B871-C626D801C7FC}"/>
                </c:ext>
              </c:extLst>
            </c:dLbl>
            <c:dLbl>
              <c:idx val="1"/>
              <c:layout>
                <c:manualLayout>
                  <c:x val="7.4515648286140088E-2"/>
                  <c:y val="-9.7719869706840393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bg1"/>
                        </a:solidFill>
                        <a:latin typeface="+mn-lt"/>
                        <a:ea typeface="+mn-ea"/>
                        <a:cs typeface="+mn-cs"/>
                      </a:defRPr>
                    </a:pPr>
                    <a:fld id="{D90647E1-0FE0-4BFD-A858-AB35AE20915C}" type="CATEGORYNAME">
                      <a:rPr lang="en-US">
                        <a:solidFill>
                          <a:schemeClr val="bg1"/>
                        </a:solidFill>
                      </a:rPr>
                      <a:pPr>
                        <a:defRPr>
                          <a:solidFill>
                            <a:schemeClr val="bg1"/>
                          </a:solidFill>
                        </a:defRPr>
                      </a:pPr>
                      <a:t>[IME KATEGORIJE]</a:t>
                    </a:fld>
                    <a:endParaRPr lang="sl-SI"/>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bg1"/>
                      </a:solidFill>
                      <a:latin typeface="+mn-lt"/>
                      <a:ea typeface="+mn-ea"/>
                      <a:cs typeface="+mn-cs"/>
                    </a:defRPr>
                  </a:pPr>
                  <a:endParaRPr lang="sl-SI"/>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C0B-48E8-B871-C626D801C7FC}"/>
                </c:ext>
              </c:extLst>
            </c:dLbl>
            <c:dLbl>
              <c:idx val="2"/>
              <c:layout>
                <c:manualLayout>
                  <c:x val="0.22141792633595908"/>
                  <c:y val="-0.19951140065146586"/>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rgbClr val="FF0000"/>
                        </a:solidFill>
                        <a:latin typeface="+mn-lt"/>
                        <a:ea typeface="+mn-ea"/>
                        <a:cs typeface="+mn-cs"/>
                      </a:defRPr>
                    </a:pPr>
                    <a:fld id="{55E2E4A5-222B-4E0B-B050-59279FA467DD}" type="CATEGORYNAME">
                      <a:rPr lang="en-US"/>
                      <a:pPr>
                        <a:defRPr>
                          <a:solidFill>
                            <a:srgbClr val="FF0000"/>
                          </a:solidFill>
                        </a:defRPr>
                      </a:pPr>
                      <a:t>[IME KATEGORIJE]</a:t>
                    </a:fld>
                    <a:endParaRPr lang="sl-SI"/>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FF0000"/>
                      </a:solidFill>
                      <a:latin typeface="+mn-lt"/>
                      <a:ea typeface="+mn-ea"/>
                      <a:cs typeface="+mn-cs"/>
                    </a:defRPr>
                  </a:pPr>
                  <a:endParaRPr lang="sl-SI"/>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5C0B-48E8-B871-C626D801C7FC}"/>
                </c:ext>
              </c:extLst>
            </c:dLbl>
            <c:dLbl>
              <c:idx val="3"/>
              <c:layout>
                <c:manualLayout>
                  <c:x val="3.8322333404300621E-2"/>
                  <c:y val="0"/>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rgbClr val="FF0000"/>
                        </a:solidFill>
                        <a:latin typeface="+mn-lt"/>
                        <a:ea typeface="+mn-ea"/>
                        <a:cs typeface="+mn-cs"/>
                      </a:defRPr>
                    </a:pPr>
                    <a:fld id="{CDB1A3FF-DAE0-4CC2-8D6C-32EEC132BDFE}" type="CATEGORYNAME">
                      <a:rPr lang="en-US"/>
                      <a:pPr>
                        <a:defRPr>
                          <a:solidFill>
                            <a:srgbClr val="FF0000"/>
                          </a:solidFill>
                        </a:defRPr>
                      </a:pPr>
                      <a:t>[IME KATEGORIJE]</a:t>
                    </a:fld>
                    <a:endParaRPr lang="sl-SI"/>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FF0000"/>
                      </a:solidFill>
                      <a:latin typeface="+mn-lt"/>
                      <a:ea typeface="+mn-ea"/>
                      <a:cs typeface="+mn-cs"/>
                    </a:defRPr>
                  </a:pPr>
                  <a:endParaRPr lang="sl-SI"/>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C0B-48E8-B871-C626D801C7FC}"/>
                </c:ext>
              </c:extLst>
            </c:dLbl>
            <c:dLbl>
              <c:idx val="4"/>
              <c:layout>
                <c:manualLayout>
                  <c:x val="0.13412816691505219"/>
                  <c:y val="7.328990228013029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rgbClr val="FF0000"/>
                        </a:solidFill>
                        <a:latin typeface="+mn-lt"/>
                        <a:ea typeface="+mn-ea"/>
                        <a:cs typeface="+mn-cs"/>
                      </a:defRPr>
                    </a:pPr>
                    <a:fld id="{B4E4E145-262F-4E05-A9B5-20196F26478F}" type="CATEGORYNAME">
                      <a:rPr lang="en-US"/>
                      <a:pPr>
                        <a:defRPr>
                          <a:solidFill>
                            <a:srgbClr val="FF0000"/>
                          </a:solidFill>
                        </a:defRPr>
                      </a:pPr>
                      <a:t>[IME KATEGORIJE]</a:t>
                    </a:fld>
                    <a:endParaRPr lang="sl-SI"/>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FF0000"/>
                      </a:solidFill>
                      <a:latin typeface="+mn-lt"/>
                      <a:ea typeface="+mn-ea"/>
                      <a:cs typeface="+mn-cs"/>
                    </a:defRPr>
                  </a:pPr>
                  <a:endParaRPr lang="sl-SI"/>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5C0B-48E8-B871-C626D801C7FC}"/>
                </c:ext>
              </c:extLst>
            </c:dLbl>
            <c:dLbl>
              <c:idx val="5"/>
              <c:delete val="1"/>
              <c:extLst>
                <c:ext xmlns:c15="http://schemas.microsoft.com/office/drawing/2012/chart" uri="{CE6537A1-D6FC-4f65-9D91-7224C49458BB}"/>
                <c:ext xmlns:c16="http://schemas.microsoft.com/office/drawing/2014/chart" uri="{C3380CC4-5D6E-409C-BE32-E72D297353CC}">
                  <c16:uniqueId val="{00000005-5C0B-48E8-B871-C626D801C7FC}"/>
                </c:ext>
              </c:extLst>
            </c:dLbl>
            <c:dLbl>
              <c:idx val="6"/>
              <c:layout>
                <c:manualLayout>
                  <c:x val="2.9806259314456036E-2"/>
                  <c:y val="1.6286644951140065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rgbClr val="FF0000"/>
                        </a:solidFill>
                        <a:latin typeface="+mn-lt"/>
                        <a:ea typeface="+mn-ea"/>
                        <a:cs typeface="+mn-cs"/>
                      </a:defRPr>
                    </a:pPr>
                    <a:fld id="{C55A6ED8-C38D-4325-9B8B-468723C430E9}" type="CATEGORYNAME">
                      <a:rPr lang="en-US"/>
                      <a:pPr>
                        <a:defRPr>
                          <a:solidFill>
                            <a:srgbClr val="FF0000"/>
                          </a:solidFill>
                        </a:defRPr>
                      </a:pPr>
                      <a:t>[IME KATEGORIJE]</a:t>
                    </a:fld>
                    <a:r>
                      <a:rPr lang="en-US" baseline="0"/>
                      <a:t> </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FF0000"/>
                      </a:solidFill>
                      <a:latin typeface="+mn-lt"/>
                      <a:ea typeface="+mn-ea"/>
                      <a:cs typeface="+mn-cs"/>
                    </a:defRPr>
                  </a:pPr>
                  <a:endParaRPr lang="sl-SI"/>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57DA-45A1-910D-078E6118D567}"/>
                </c:ext>
              </c:extLst>
            </c:dLbl>
            <c:dLbl>
              <c:idx val="7"/>
              <c:layout>
                <c:manualLayout>
                  <c:x val="4.0451351926761761E-2"/>
                  <c:y val="8.1433224755700293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bg1"/>
                        </a:solidFill>
                        <a:latin typeface="+mn-lt"/>
                        <a:ea typeface="+mn-ea"/>
                        <a:cs typeface="+mn-cs"/>
                      </a:defRPr>
                    </a:pPr>
                    <a:fld id="{D4F35EC1-DB65-4B33-BDEF-ABEF93695E7A}" type="CATEGORYNAME">
                      <a:rPr lang="en-US">
                        <a:solidFill>
                          <a:schemeClr val="bg1"/>
                        </a:solidFill>
                      </a:rPr>
                      <a:pPr>
                        <a:defRPr>
                          <a:solidFill>
                            <a:schemeClr val="bg1"/>
                          </a:solidFill>
                        </a:defRPr>
                      </a:pPr>
                      <a:t>[IME KATEGORIJE]</a:t>
                    </a:fld>
                    <a:endParaRPr lang="sl-SI"/>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bg1"/>
                      </a:solidFill>
                      <a:latin typeface="+mn-lt"/>
                      <a:ea typeface="+mn-ea"/>
                      <a:cs typeface="+mn-cs"/>
                    </a:defRPr>
                  </a:pPr>
                  <a:endParaRPr lang="sl-SI"/>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7DA-45A1-910D-078E6118D56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FF0000"/>
                    </a:solidFill>
                    <a:latin typeface="+mn-lt"/>
                    <a:ea typeface="+mn-ea"/>
                    <a:cs typeface="+mn-cs"/>
                  </a:defRPr>
                </a:pPr>
                <a:endParaRPr lang="sl-SI"/>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List1!$A$2:$A$9</c:f>
              <c:strCache>
                <c:ptCount val="8"/>
                <c:pt idx="0">
                  <c:v>DP -MK</c:v>
                </c:pt>
                <c:pt idx="1">
                  <c:v>DP-ostalo</c:v>
                </c:pt>
                <c:pt idx="2">
                  <c:v>OP-ustanoviteljice</c:v>
                </c:pt>
                <c:pt idx="3">
                  <c:v>OP-ostalo</c:v>
                </c:pt>
                <c:pt idx="4">
                  <c:v>LP-javna služba</c:v>
                </c:pt>
                <c:pt idx="6">
                  <c:v>LP-trg</c:v>
                </c:pt>
                <c:pt idx="7">
                  <c:v>LP-EU </c:v>
                </c:pt>
              </c:strCache>
            </c:strRef>
          </c:cat>
          <c:val>
            <c:numRef>
              <c:f>List1!$B$2:$B$9</c:f>
              <c:numCache>
                <c:formatCode>#,##0</c:formatCode>
                <c:ptCount val="8"/>
                <c:pt idx="0">
                  <c:v>15933558.140000001</c:v>
                </c:pt>
                <c:pt idx="1">
                  <c:v>489317.06999999995</c:v>
                </c:pt>
                <c:pt idx="2">
                  <c:v>7381153.0600000005</c:v>
                </c:pt>
                <c:pt idx="3">
                  <c:v>422939.6</c:v>
                </c:pt>
                <c:pt idx="4">
                  <c:v>4152362</c:v>
                </c:pt>
                <c:pt idx="6">
                  <c:v>337092.5</c:v>
                </c:pt>
                <c:pt idx="7">
                  <c:v>1338619</c:v>
                </c:pt>
              </c:numCache>
            </c:numRef>
          </c:val>
          <c:extLst>
            <c:ext xmlns:c16="http://schemas.microsoft.com/office/drawing/2014/chart" uri="{C3380CC4-5D6E-409C-BE32-E72D297353CC}">
              <c16:uniqueId val="{00000006-5C0B-48E8-B871-C626D801C7FC}"/>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b="1"/>
              <a:t>Sredstva DP za izvajanje državne javne službe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pieChart>
        <c:varyColors val="1"/>
        <c:ser>
          <c:idx val="0"/>
          <c:order val="0"/>
          <c:tx>
            <c:strRef>
              <c:f>List1!$B$1</c:f>
              <c:strCache>
                <c:ptCount val="1"/>
                <c:pt idx="0">
                  <c:v>sredstva DP za izvajanje državne javne službe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A8E-4571-B8D8-06480F50308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8A8E-4571-B8D8-06480F50308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912-46B0-98EA-55F395B2B72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912-46B0-98EA-55F395B2B72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912-46B0-98EA-55F395B2B726}"/>
              </c:ext>
            </c:extLst>
          </c:dPt>
          <c:dLbls>
            <c:dLbl>
              <c:idx val="0"/>
              <c:layout>
                <c:manualLayout>
                  <c:x val="-0.12142534266550015"/>
                  <c:y val="-0.25374328208973879"/>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A8E-4571-B8D8-06480F50308A}"/>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l-SI"/>
                </a:p>
              </c:txPr>
              <c:dLblPos val="bestFit"/>
              <c:showLegendKey val="0"/>
              <c:showVal val="1"/>
              <c:showCatName val="0"/>
              <c:showSerName val="0"/>
              <c:showPercent val="0"/>
              <c:showBubbleSize val="0"/>
              <c:extLst>
                <c:ext xmlns:c16="http://schemas.microsoft.com/office/drawing/2014/chart" uri="{C3380CC4-5D6E-409C-BE32-E72D297353CC}">
                  <c16:uniqueId val="{00000002-8A8E-4571-B8D8-06480F50308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plače</c:v>
                </c:pt>
                <c:pt idx="1">
                  <c:v>splošni stroški</c:v>
                </c:pt>
                <c:pt idx="2">
                  <c:v>program</c:v>
                </c:pt>
                <c:pt idx="3">
                  <c:v>odkupi</c:v>
                </c:pt>
                <c:pt idx="4">
                  <c:v>ostalo</c:v>
                </c:pt>
              </c:strCache>
            </c:strRef>
          </c:cat>
          <c:val>
            <c:numRef>
              <c:f>List1!$B$2:$B$6</c:f>
              <c:numCache>
                <c:formatCode>#,##0</c:formatCode>
                <c:ptCount val="5"/>
                <c:pt idx="0">
                  <c:v>11693189</c:v>
                </c:pt>
                <c:pt idx="1">
                  <c:v>1763777</c:v>
                </c:pt>
                <c:pt idx="2">
                  <c:v>2210030</c:v>
                </c:pt>
                <c:pt idx="3">
                  <c:v>176694</c:v>
                </c:pt>
                <c:pt idx="4">
                  <c:v>82638</c:v>
                </c:pt>
              </c:numCache>
            </c:numRef>
          </c:val>
          <c:extLst>
            <c:ext xmlns:c16="http://schemas.microsoft.com/office/drawing/2014/chart" uri="{C3380CC4-5D6E-409C-BE32-E72D297353CC}">
              <c16:uniqueId val="{00000000-8A8E-4571-B8D8-06480F50308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CF0F1-9D53-44CA-8E61-612C2A79D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5486</Words>
  <Characters>34388</Characters>
  <Application>Microsoft Office Word</Application>
  <DocSecurity>0</DocSecurity>
  <Lines>286</Lines>
  <Paragraphs>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Brus</dc:creator>
  <cp:lastModifiedBy>Marija Brus</cp:lastModifiedBy>
  <cp:revision>3</cp:revision>
  <cp:lastPrinted>2019-08-30T12:12:00Z</cp:lastPrinted>
  <dcterms:created xsi:type="dcterms:W3CDTF">2020-07-24T08:28:00Z</dcterms:created>
  <dcterms:modified xsi:type="dcterms:W3CDTF">2020-07-24T09:19:00Z</dcterms:modified>
</cp:coreProperties>
</file>