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93059" w14:textId="4AE2E704" w:rsidR="00541646" w:rsidRDefault="00541646" w:rsidP="00C14603">
      <w:pPr>
        <w:jc w:val="both"/>
        <w:rPr>
          <w:lang w:val="sl-SI"/>
        </w:rPr>
      </w:pPr>
    </w:p>
    <w:p w14:paraId="7DC55513" w14:textId="77777777" w:rsidR="00DC4550" w:rsidRDefault="00DC4550" w:rsidP="00C14603">
      <w:pPr>
        <w:jc w:val="both"/>
        <w:rPr>
          <w:lang w:val="sl-SI"/>
        </w:rPr>
      </w:pPr>
    </w:p>
    <w:p w14:paraId="2950705E" w14:textId="77777777" w:rsidR="007D75CF" w:rsidRPr="002F077E" w:rsidRDefault="007D75CF" w:rsidP="00C14603">
      <w:pPr>
        <w:jc w:val="both"/>
        <w:rPr>
          <w:lang w:val="sl-SI"/>
        </w:rPr>
      </w:pPr>
      <w:r w:rsidRPr="002F077E">
        <w:rPr>
          <w:lang w:val="sl-SI"/>
        </w:rPr>
        <w:t xml:space="preserve">Številka: </w:t>
      </w:r>
      <w:r w:rsidR="00BF1D3C" w:rsidRPr="002F077E">
        <w:rPr>
          <w:lang w:val="sl-SI"/>
        </w:rPr>
        <w:t>100-488/2018/4</w:t>
      </w:r>
      <w:r w:rsidRPr="002F077E">
        <w:rPr>
          <w:lang w:val="sl-SI"/>
        </w:rPr>
        <w:tab/>
      </w:r>
    </w:p>
    <w:p w14:paraId="0DF39C2B" w14:textId="77777777" w:rsidR="007D75CF" w:rsidRPr="002F077E" w:rsidRDefault="00C250D5" w:rsidP="00C14603">
      <w:pPr>
        <w:jc w:val="both"/>
        <w:rPr>
          <w:lang w:val="sl-SI"/>
        </w:rPr>
      </w:pPr>
      <w:r w:rsidRPr="002F077E">
        <w:rPr>
          <w:lang w:val="sl-SI"/>
        </w:rPr>
        <w:t xml:space="preserve">Datum: </w:t>
      </w:r>
      <w:r w:rsidRPr="002F077E">
        <w:rPr>
          <w:lang w:val="sl-SI"/>
        </w:rPr>
        <w:tab/>
      </w:r>
      <w:r w:rsidR="007B4930">
        <w:rPr>
          <w:lang w:val="sl-SI"/>
        </w:rPr>
        <w:t>15</w:t>
      </w:r>
      <w:r w:rsidR="009A4E65" w:rsidRPr="002F077E">
        <w:rPr>
          <w:lang w:val="sl-SI"/>
        </w:rPr>
        <w:t>. 6. 2018</w:t>
      </w:r>
      <w:r w:rsidR="007D75CF" w:rsidRPr="002F077E">
        <w:rPr>
          <w:lang w:val="sl-SI"/>
        </w:rPr>
        <w:t xml:space="preserve"> </w:t>
      </w:r>
    </w:p>
    <w:p w14:paraId="55BAE52D" w14:textId="77777777" w:rsidR="004744D1" w:rsidRPr="002F077E" w:rsidRDefault="004744D1" w:rsidP="00C14603">
      <w:pPr>
        <w:jc w:val="both"/>
        <w:rPr>
          <w:lang w:val="sl-SI"/>
        </w:rPr>
      </w:pPr>
    </w:p>
    <w:p w14:paraId="7DF6DB17" w14:textId="77777777" w:rsidR="007D75CF" w:rsidRPr="002F077E" w:rsidRDefault="007D75CF" w:rsidP="00C14603">
      <w:pPr>
        <w:jc w:val="both"/>
        <w:rPr>
          <w:lang w:val="sl-SI"/>
        </w:rPr>
      </w:pPr>
      <w:r w:rsidRPr="002F077E">
        <w:rPr>
          <w:rFonts w:cs="Arial"/>
          <w:b/>
          <w:szCs w:val="20"/>
          <w:lang w:val="sl-SI"/>
        </w:rPr>
        <w:t>Zadeva:</w:t>
      </w:r>
      <w:r w:rsidR="00E74EA8" w:rsidRPr="002F077E">
        <w:rPr>
          <w:rFonts w:cs="Arial"/>
          <w:b/>
          <w:szCs w:val="20"/>
          <w:lang w:val="sl-SI"/>
        </w:rPr>
        <w:t xml:space="preserve"> </w:t>
      </w:r>
      <w:bookmarkStart w:id="0" w:name="_GoBack"/>
      <w:r w:rsidR="00E74EA8" w:rsidRPr="002F077E">
        <w:rPr>
          <w:rFonts w:cs="Arial"/>
          <w:b/>
          <w:szCs w:val="20"/>
          <w:lang w:val="sl-SI"/>
        </w:rPr>
        <w:t>Povračilo stroškov za službena potovanja v tujino in</w:t>
      </w:r>
      <w:r w:rsidRPr="002F077E">
        <w:rPr>
          <w:rFonts w:cs="Arial"/>
          <w:b/>
          <w:szCs w:val="20"/>
          <w:lang w:val="sl-SI"/>
        </w:rPr>
        <w:t xml:space="preserve"> </w:t>
      </w:r>
      <w:r w:rsidR="00E74EA8" w:rsidRPr="002F077E">
        <w:rPr>
          <w:rFonts w:cs="Arial"/>
          <w:b/>
          <w:szCs w:val="20"/>
          <w:lang w:val="sl-SI"/>
        </w:rPr>
        <w:t>d</w:t>
      </w:r>
      <w:r w:rsidR="00C14603" w:rsidRPr="002F077E">
        <w:rPr>
          <w:rFonts w:cs="Arial"/>
          <w:b/>
          <w:szCs w:val="20"/>
          <w:lang w:val="sl-SI"/>
        </w:rPr>
        <w:t xml:space="preserve">avčna obravnava »per </w:t>
      </w:r>
      <w:proofErr w:type="spellStart"/>
      <w:r w:rsidR="00C14603" w:rsidRPr="002F077E">
        <w:rPr>
          <w:rFonts w:cs="Arial"/>
          <w:b/>
          <w:szCs w:val="20"/>
          <w:lang w:val="sl-SI"/>
        </w:rPr>
        <w:t>diem</w:t>
      </w:r>
      <w:proofErr w:type="spellEnd"/>
      <w:r w:rsidR="00C14603" w:rsidRPr="002F077E">
        <w:rPr>
          <w:rFonts w:cs="Arial"/>
          <w:b/>
          <w:szCs w:val="20"/>
          <w:lang w:val="sl-SI"/>
        </w:rPr>
        <w:t xml:space="preserve">« izplačil s strani mednarodnih organizacij </w:t>
      </w:r>
      <w:bookmarkEnd w:id="0"/>
    </w:p>
    <w:p w14:paraId="02400934" w14:textId="77777777" w:rsidR="00F57FED" w:rsidRPr="002F077E" w:rsidRDefault="00F57FED" w:rsidP="00C14603">
      <w:pPr>
        <w:jc w:val="both"/>
        <w:rPr>
          <w:lang w:val="sl-SI"/>
        </w:rPr>
      </w:pPr>
    </w:p>
    <w:p w14:paraId="6DADCF81" w14:textId="77777777" w:rsidR="00EC473D" w:rsidRPr="002F077E" w:rsidRDefault="00E74EA8" w:rsidP="00C14603">
      <w:pPr>
        <w:jc w:val="both"/>
        <w:rPr>
          <w:lang w:val="sl-SI"/>
        </w:rPr>
      </w:pPr>
      <w:r w:rsidRPr="002F077E">
        <w:rPr>
          <w:lang w:val="sl-SI"/>
        </w:rPr>
        <w:t>Spoštovani!</w:t>
      </w:r>
    </w:p>
    <w:p w14:paraId="3FFE69DF" w14:textId="77777777" w:rsidR="00E74EA8" w:rsidRPr="002F077E" w:rsidRDefault="00E74EA8" w:rsidP="00C14603">
      <w:pPr>
        <w:jc w:val="both"/>
        <w:rPr>
          <w:lang w:val="sl-SI"/>
        </w:rPr>
      </w:pPr>
    </w:p>
    <w:p w14:paraId="1E30710C" w14:textId="77777777" w:rsidR="009F7098" w:rsidRDefault="005605CF" w:rsidP="00C14603">
      <w:pPr>
        <w:jc w:val="both"/>
        <w:rPr>
          <w:lang w:val="sl-SI"/>
        </w:rPr>
      </w:pPr>
      <w:r>
        <w:rPr>
          <w:lang w:val="sl-SI"/>
        </w:rPr>
        <w:t xml:space="preserve">Ministrstvo za javno upravo je prejelo več vprašanj glede povračila stroškov </w:t>
      </w:r>
      <w:r w:rsidR="00E74EA8" w:rsidRPr="002F077E">
        <w:rPr>
          <w:lang w:val="sl-SI"/>
        </w:rPr>
        <w:t xml:space="preserve">za službena potovanja v tujino in davčne obravnave »per </w:t>
      </w:r>
      <w:proofErr w:type="spellStart"/>
      <w:r w:rsidR="00E74EA8" w:rsidRPr="002F077E">
        <w:rPr>
          <w:lang w:val="sl-SI"/>
        </w:rPr>
        <w:t>diem</w:t>
      </w:r>
      <w:proofErr w:type="spellEnd"/>
      <w:r w:rsidR="00E74EA8" w:rsidRPr="002F077E">
        <w:rPr>
          <w:lang w:val="sl-SI"/>
        </w:rPr>
        <w:t>« izplačil mednarodnih organi</w:t>
      </w:r>
      <w:r w:rsidR="008A57B5" w:rsidRPr="002F077E">
        <w:rPr>
          <w:lang w:val="sl-SI"/>
        </w:rPr>
        <w:t>zacij. Povračilo stroškov za službena potovanja v tujino ureja Uredba o povračilu stroškov za službena potovanja v tujino</w:t>
      </w:r>
      <w:r w:rsidR="00605CDA" w:rsidRPr="002F077E">
        <w:rPr>
          <w:lang w:val="sl-SI"/>
        </w:rPr>
        <w:t xml:space="preserve"> (Uradni list RS, št. </w:t>
      </w:r>
      <w:hyperlink r:id="rId8" w:tgtFrame="_blank" w:tooltip="Uredba o povračilu stroškov za službena potovanja v tujino" w:history="1">
        <w:r w:rsidR="00605CDA" w:rsidRPr="002F077E">
          <w:rPr>
            <w:lang w:val="sl-SI"/>
          </w:rPr>
          <w:t>38/94</w:t>
        </w:r>
      </w:hyperlink>
      <w:r w:rsidR="00605CDA" w:rsidRPr="002F077E">
        <w:rPr>
          <w:lang w:val="sl-SI"/>
        </w:rPr>
        <w:t xml:space="preserve">, </w:t>
      </w:r>
      <w:hyperlink r:id="rId9" w:tgtFrame="_blank" w:tooltip="Uredba o dopolnitvi uredbe o povračilu stroškov za službena potovanja v tujino" w:history="1">
        <w:r w:rsidR="00605CDA" w:rsidRPr="002F077E">
          <w:rPr>
            <w:lang w:val="sl-SI"/>
          </w:rPr>
          <w:t>63/94</w:t>
        </w:r>
      </w:hyperlink>
      <w:r w:rsidR="00605CDA" w:rsidRPr="002F077E">
        <w:rPr>
          <w:lang w:val="sl-SI"/>
        </w:rPr>
        <w:t xml:space="preserve">, </w:t>
      </w:r>
      <w:hyperlink r:id="rId10" w:tgtFrame="_blank" w:tooltip="Uredba o dopolnitvah uredbe o povračilu stroškov za službena potovanja v tujino" w:history="1">
        <w:r w:rsidR="00605CDA" w:rsidRPr="002F077E">
          <w:rPr>
            <w:lang w:val="sl-SI"/>
          </w:rPr>
          <w:t>24/96</w:t>
        </w:r>
      </w:hyperlink>
      <w:r w:rsidR="00605CDA" w:rsidRPr="002F077E">
        <w:rPr>
          <w:lang w:val="sl-SI"/>
        </w:rPr>
        <w:t xml:space="preserve">, </w:t>
      </w:r>
      <w:hyperlink r:id="rId11" w:tgtFrame="_blank" w:tooltip="Uredba o spremembah in dopolnitvah uredbe o povračilu stroškov za službena potovanja v tujino" w:history="1">
        <w:r w:rsidR="00605CDA" w:rsidRPr="002F077E">
          <w:rPr>
            <w:lang w:val="sl-SI"/>
          </w:rPr>
          <w:t>96/00</w:t>
        </w:r>
      </w:hyperlink>
      <w:r w:rsidR="00605CDA" w:rsidRPr="002F077E">
        <w:rPr>
          <w:lang w:val="sl-SI"/>
        </w:rPr>
        <w:t xml:space="preserve">, </w:t>
      </w:r>
      <w:hyperlink r:id="rId12" w:tgtFrame="_blank" w:tooltip="Uredba o spremembi uredbe o povračilu stroškov za službena potovanja v tujino" w:history="1">
        <w:r w:rsidR="00605CDA" w:rsidRPr="002F077E">
          <w:rPr>
            <w:lang w:val="sl-SI"/>
          </w:rPr>
          <w:t>35/02</w:t>
        </w:r>
      </w:hyperlink>
      <w:r w:rsidR="00605CDA" w:rsidRPr="002F077E">
        <w:rPr>
          <w:lang w:val="sl-SI"/>
        </w:rPr>
        <w:t xml:space="preserve">, </w:t>
      </w:r>
      <w:hyperlink r:id="rId13" w:tgtFrame="_blank" w:tooltip="Uredba o dopolnitvi uredbe o povračilu stroškov za službena potovanja v tujino" w:history="1">
        <w:r w:rsidR="00605CDA" w:rsidRPr="002F077E">
          <w:rPr>
            <w:lang w:val="sl-SI"/>
          </w:rPr>
          <w:t>86/02</w:t>
        </w:r>
      </w:hyperlink>
      <w:r w:rsidR="00605CDA" w:rsidRPr="002F077E">
        <w:rPr>
          <w:lang w:val="sl-SI"/>
        </w:rPr>
        <w:t xml:space="preserve">, </w:t>
      </w:r>
      <w:hyperlink r:id="rId14" w:tgtFrame="_blank" w:tooltip="Uredba o spremembah in dopolnitvah Uredbe o povračilu stroškov za službena potovanja v tujino" w:history="1">
        <w:r w:rsidR="00605CDA" w:rsidRPr="002F077E">
          <w:rPr>
            <w:lang w:val="sl-SI"/>
          </w:rPr>
          <w:t>66/04</w:t>
        </w:r>
      </w:hyperlink>
      <w:r w:rsidR="00605CDA" w:rsidRPr="002F077E">
        <w:rPr>
          <w:lang w:val="sl-SI"/>
        </w:rPr>
        <w:t xml:space="preserve">, </w:t>
      </w:r>
      <w:hyperlink r:id="rId15" w:tgtFrame="_blank" w:tooltip="Uredba o spremembi in dopolnitvi uredbe o povračilu stroškov za službena potovanja v tujino" w:history="1">
        <w:r w:rsidR="00605CDA" w:rsidRPr="002F077E">
          <w:rPr>
            <w:lang w:val="sl-SI"/>
          </w:rPr>
          <w:t>73/04</w:t>
        </w:r>
      </w:hyperlink>
      <w:r w:rsidR="00605CDA" w:rsidRPr="002F077E">
        <w:rPr>
          <w:lang w:val="sl-SI"/>
        </w:rPr>
        <w:t xml:space="preserve">, </w:t>
      </w:r>
      <w:hyperlink r:id="rId16" w:tgtFrame="_blank" w:tooltip="Uredba o spremembah in dopolnitvah Uredbe o povračilu stroškov za službena potovanja v tujino" w:history="1">
        <w:r w:rsidR="00605CDA" w:rsidRPr="002F077E">
          <w:rPr>
            <w:lang w:val="sl-SI"/>
          </w:rPr>
          <w:t>16/07</w:t>
        </w:r>
      </w:hyperlink>
      <w:r w:rsidR="00605CDA" w:rsidRPr="002F077E">
        <w:rPr>
          <w:lang w:val="sl-SI"/>
        </w:rPr>
        <w:t xml:space="preserve">, </w:t>
      </w:r>
      <w:hyperlink r:id="rId17" w:tgtFrame="_blank" w:tooltip="Uredba o spremembah in dopolnitvah Uredbe o povračilu stroškov za službena potovanja v tujino" w:history="1">
        <w:r w:rsidR="00605CDA" w:rsidRPr="002F077E">
          <w:rPr>
            <w:lang w:val="sl-SI"/>
          </w:rPr>
          <w:t>30/09</w:t>
        </w:r>
      </w:hyperlink>
      <w:r w:rsidR="00605CDA" w:rsidRPr="002F077E">
        <w:rPr>
          <w:lang w:val="sl-SI"/>
        </w:rPr>
        <w:t xml:space="preserve"> in </w:t>
      </w:r>
      <w:hyperlink r:id="rId18" w:tgtFrame="_blank" w:tooltip="Uredba o spremembah in dopolnitvah Uredbe o povračilu stroškov za službena potovanja v tujino" w:history="1">
        <w:r w:rsidR="00605CDA" w:rsidRPr="002F077E">
          <w:rPr>
            <w:lang w:val="sl-SI"/>
          </w:rPr>
          <w:t>51/12</w:t>
        </w:r>
      </w:hyperlink>
      <w:r w:rsidR="00605CDA" w:rsidRPr="002F077E">
        <w:rPr>
          <w:lang w:val="sl-SI"/>
        </w:rPr>
        <w:t>, v nadaljevanju: Uredba o povračilu stroškov za službena potovanja v tujino)</w:t>
      </w:r>
      <w:r w:rsidR="008A57B5" w:rsidRPr="002F077E">
        <w:rPr>
          <w:lang w:val="sl-SI"/>
        </w:rPr>
        <w:t xml:space="preserve">, ki velja za javne uslužbence in funkcionarje v državnih organih, upravah samoupravnih lokalnih skupnosti, javnih agencijah, javnih skladih, javnih zavodih, javnih gospodarskih zavodih ter drugih osebah javnega prava, ki so posredni uporabniki državnega proračuna ali proračuna samoupravne lokalne skupnosti (v nadaljnjem besedilu: zaposleni). </w:t>
      </w:r>
      <w:r w:rsidR="008A57B5" w:rsidRPr="00EF5C6D">
        <w:rPr>
          <w:lang w:val="sl-SI"/>
        </w:rPr>
        <w:t xml:space="preserve">Če je zaposleni napoten na službeno potovanje v okviru sodelovanja v programu evropske ali druge mednarodne organizacije, ki financira takšno sodelovanje, se upravičenost in višina povračil ugotavljata na način, ki je določen s pravili te organizacije. </w:t>
      </w:r>
    </w:p>
    <w:p w14:paraId="436D9574" w14:textId="77777777" w:rsidR="009F7098" w:rsidRDefault="009F7098" w:rsidP="00C14603">
      <w:pPr>
        <w:jc w:val="both"/>
        <w:rPr>
          <w:lang w:val="sl-SI"/>
        </w:rPr>
      </w:pPr>
    </w:p>
    <w:p w14:paraId="5E0B508A" w14:textId="77777777" w:rsidR="00E74EA8" w:rsidRPr="00285592" w:rsidRDefault="008A57B5" w:rsidP="00C14603">
      <w:pPr>
        <w:jc w:val="both"/>
        <w:rPr>
          <w:lang w:val="sl-SI"/>
        </w:rPr>
      </w:pPr>
      <w:r w:rsidRPr="00285592">
        <w:rPr>
          <w:lang w:val="sl-SI"/>
        </w:rPr>
        <w:t xml:space="preserve">Uredba o povračilu stroškov za službena potovanja v tujino </w:t>
      </w:r>
      <w:r w:rsidRPr="009F7098">
        <w:rPr>
          <w:lang w:val="sl-SI"/>
        </w:rPr>
        <w:t>ne ureja</w:t>
      </w:r>
      <w:r w:rsidRPr="00285592">
        <w:rPr>
          <w:lang w:val="sl-SI"/>
        </w:rPr>
        <w:t xml:space="preserve"> obdavčitve povračil stroškov oziroma izplačil s strani mednarodnih organizacij, saj je to urejeno v davčnih predpisih.</w:t>
      </w:r>
    </w:p>
    <w:p w14:paraId="731DB052" w14:textId="77777777" w:rsidR="00EC473D" w:rsidRPr="00EF5C6D" w:rsidRDefault="00EC473D" w:rsidP="00C14603">
      <w:pPr>
        <w:jc w:val="both"/>
        <w:rPr>
          <w:lang w:val="sl-SI"/>
        </w:rPr>
      </w:pPr>
    </w:p>
    <w:p w14:paraId="55023319" w14:textId="77777777" w:rsidR="00AC7F3F" w:rsidRPr="00B372D1" w:rsidRDefault="003B085A" w:rsidP="00C14603">
      <w:pPr>
        <w:jc w:val="both"/>
        <w:rPr>
          <w:u w:val="single"/>
          <w:lang w:val="sl-SI"/>
        </w:rPr>
      </w:pPr>
      <w:r w:rsidRPr="00B372D1">
        <w:rPr>
          <w:u w:val="single"/>
          <w:lang w:val="sl-SI"/>
        </w:rPr>
        <w:t>Pojasnilo</w:t>
      </w:r>
      <w:r w:rsidR="00AC7F3F" w:rsidRPr="00B372D1">
        <w:rPr>
          <w:u w:val="single"/>
          <w:lang w:val="sl-SI"/>
        </w:rPr>
        <w:t xml:space="preserve"> Ministrstva za finance, Finančne uprave Republike Slovenije, Generalnega finančnega urada, glede </w:t>
      </w:r>
      <w:r w:rsidR="00A42FB5" w:rsidRPr="00B372D1">
        <w:rPr>
          <w:u w:val="single"/>
          <w:lang w:val="sl-SI"/>
        </w:rPr>
        <w:t xml:space="preserve">davčne obravnave »per </w:t>
      </w:r>
      <w:proofErr w:type="spellStart"/>
      <w:r w:rsidR="00A42FB5" w:rsidRPr="00B372D1">
        <w:rPr>
          <w:u w:val="single"/>
          <w:lang w:val="sl-SI"/>
        </w:rPr>
        <w:t>diem</w:t>
      </w:r>
      <w:proofErr w:type="spellEnd"/>
      <w:r w:rsidR="00A42FB5" w:rsidRPr="00B372D1">
        <w:rPr>
          <w:u w:val="single"/>
          <w:lang w:val="sl-SI"/>
        </w:rPr>
        <w:t>« izplačil s strani mednarodnih organizacij:</w:t>
      </w:r>
    </w:p>
    <w:p w14:paraId="506F22EB" w14:textId="77777777" w:rsidR="00AC7F3F" w:rsidRDefault="00AC7F3F" w:rsidP="00C14603">
      <w:pPr>
        <w:jc w:val="both"/>
        <w:rPr>
          <w:lang w:val="sl-SI"/>
        </w:rPr>
      </w:pPr>
    </w:p>
    <w:p w14:paraId="529B6D3B" w14:textId="77777777" w:rsidR="007E6DC5" w:rsidRPr="00285592" w:rsidRDefault="00D348C2" w:rsidP="00C14603">
      <w:pPr>
        <w:jc w:val="both"/>
        <w:rPr>
          <w:lang w:val="sl-SI"/>
        </w:rPr>
      </w:pPr>
      <w:r>
        <w:rPr>
          <w:lang w:val="sl-SI"/>
        </w:rPr>
        <w:t>»</w:t>
      </w:r>
      <w:r w:rsidR="00FA5608" w:rsidRPr="00285592">
        <w:rPr>
          <w:lang w:val="sl-SI"/>
        </w:rPr>
        <w:t xml:space="preserve">Ministrstvo za finance, Finančna uprava Republike Slovenije, Generalni finančni urad, je podal pojasnilo glede davčne obravnave »per </w:t>
      </w:r>
      <w:proofErr w:type="spellStart"/>
      <w:r w:rsidR="00FA5608" w:rsidRPr="00285592">
        <w:rPr>
          <w:lang w:val="sl-SI"/>
        </w:rPr>
        <w:t>diem</w:t>
      </w:r>
      <w:proofErr w:type="spellEnd"/>
      <w:r w:rsidR="00FA5608" w:rsidRPr="00285592">
        <w:rPr>
          <w:lang w:val="sl-SI"/>
        </w:rPr>
        <w:t xml:space="preserve">« izplačil s strani mednarodnih organizacij, in sicer, kako naj delodajalec postopa v primerih, ko mednarodna organizacija (konkretno Svet Evrope, lahko pa tudi katerakoli druga mednarodna organizacija) krije stroške oziroma del stroškov za službeno pot v obliki »per </w:t>
      </w:r>
      <w:proofErr w:type="spellStart"/>
      <w:r w:rsidR="00FA5608" w:rsidRPr="00285592">
        <w:rPr>
          <w:lang w:val="sl-SI"/>
        </w:rPr>
        <w:t>diem</w:t>
      </w:r>
      <w:proofErr w:type="spellEnd"/>
      <w:r w:rsidR="00FA5608" w:rsidRPr="00285592">
        <w:rPr>
          <w:lang w:val="sl-SI"/>
        </w:rPr>
        <w:t>« neposredno zaposlenemu (ne gre za projekt tesnega medinstitucionalnega sodelovanja). Uslužbenca napoti delodajalec s potnim nalogom na službeno pot, uslužbenec pa dobi izplačilo v obliki čekov neposredno ob koncu dogodka. V teh primerih se postav</w:t>
      </w:r>
      <w:r w:rsidR="00814B92" w:rsidRPr="00285592">
        <w:rPr>
          <w:lang w:val="sl-SI"/>
        </w:rPr>
        <w:t>i</w:t>
      </w:r>
      <w:r w:rsidR="00FA5608" w:rsidRPr="00285592">
        <w:rPr>
          <w:lang w:val="sl-SI"/>
        </w:rPr>
        <w:t xml:space="preserve"> vprašanje, ali mora delodajalec pripraviti obračun in razliko nad višino dnevnic</w:t>
      </w:r>
      <w:r w:rsidR="006A38B9" w:rsidRPr="00285592">
        <w:rPr>
          <w:lang w:val="sl-SI"/>
        </w:rPr>
        <w:t>e</w:t>
      </w:r>
      <w:r w:rsidR="00FA5608" w:rsidRPr="00285592">
        <w:rPr>
          <w:lang w:val="sl-SI"/>
        </w:rPr>
        <w:t>, določene za posamezno državo</w:t>
      </w:r>
      <w:r w:rsidR="006A38B9" w:rsidRPr="00285592">
        <w:rPr>
          <w:lang w:val="sl-SI"/>
        </w:rPr>
        <w:t>,</w:t>
      </w:r>
      <w:r w:rsidR="00FA5608" w:rsidRPr="00285592">
        <w:rPr>
          <w:lang w:val="sl-SI"/>
        </w:rPr>
        <w:t xml:space="preserve"> prijaviti v davčno osnovo za obračun dohodnine ali lahko zaposleni sam prevzame obveznost prijave morebitne razlike pri pristojnem finančnem uradu. </w:t>
      </w:r>
      <w:r w:rsidR="006A38B9" w:rsidRPr="00285592">
        <w:rPr>
          <w:lang w:val="sl-SI"/>
        </w:rPr>
        <w:t>Kot vprašanje se postavlja</w:t>
      </w:r>
      <w:r w:rsidR="00814B92" w:rsidRPr="00285592">
        <w:rPr>
          <w:lang w:val="sl-SI"/>
        </w:rPr>
        <w:t xml:space="preserve"> tudi, ali je »per </w:t>
      </w:r>
      <w:proofErr w:type="spellStart"/>
      <w:r w:rsidR="00814B92" w:rsidRPr="00285592">
        <w:rPr>
          <w:lang w:val="sl-SI"/>
        </w:rPr>
        <w:t>diem</w:t>
      </w:r>
      <w:proofErr w:type="spellEnd"/>
      <w:r w:rsidR="00814B92" w:rsidRPr="00285592">
        <w:rPr>
          <w:lang w:val="sl-SI"/>
        </w:rPr>
        <w:t>«, ki ga izplača mednarodna organizacija v skladu s svojimi pravili, lahko predmet obdavčitve v skladu z notranjimi davčnimi predpisi držav članic.</w:t>
      </w:r>
    </w:p>
    <w:p w14:paraId="2FBA64CC" w14:textId="77777777" w:rsidR="009F7098" w:rsidRDefault="009F7098" w:rsidP="00C14603">
      <w:pPr>
        <w:jc w:val="both"/>
        <w:rPr>
          <w:i/>
          <w:lang w:val="sl-SI"/>
        </w:rPr>
      </w:pPr>
    </w:p>
    <w:p w14:paraId="1CB9C353" w14:textId="77777777" w:rsidR="006513FF" w:rsidRDefault="006513FF" w:rsidP="00C14603">
      <w:pPr>
        <w:jc w:val="both"/>
        <w:rPr>
          <w:i/>
          <w:lang w:val="sl-SI"/>
        </w:rPr>
      </w:pPr>
    </w:p>
    <w:p w14:paraId="1D86F922" w14:textId="77777777" w:rsidR="00814B92" w:rsidRPr="002F077E" w:rsidRDefault="007D529F" w:rsidP="00C14603">
      <w:pPr>
        <w:jc w:val="both"/>
        <w:rPr>
          <w:i/>
          <w:lang w:val="sl-SI"/>
        </w:rPr>
      </w:pPr>
      <w:r w:rsidRPr="00574B0F">
        <w:rPr>
          <w:iCs/>
          <w:lang w:val="sl-SI"/>
        </w:rPr>
        <w:lastRenderedPageBreak/>
        <w:t>Če slovenski delodajalec s potnim nalogom napoti fizično osebo na delavnico, posvet ali drug dogodek, ki ga organizira mednarodna organizacija, ob tem pa fizična oseba od organizatorja prejme povračila določenih stroškov</w:t>
      </w:r>
      <w:r w:rsidRPr="00400BB7">
        <w:rPr>
          <w:i/>
          <w:lang w:val="sl-SI"/>
        </w:rPr>
        <w:t xml:space="preserve">, </w:t>
      </w:r>
      <w:r w:rsidR="00A5135F" w:rsidRPr="00400BB7">
        <w:rPr>
          <w:i/>
          <w:lang w:val="sl-SI"/>
        </w:rPr>
        <w:t xml:space="preserve">le - </w:t>
      </w:r>
      <w:r w:rsidRPr="00400BB7">
        <w:rPr>
          <w:i/>
          <w:lang w:val="sl-SI"/>
        </w:rPr>
        <w:t xml:space="preserve">ta sodijo med dohodke iz delovnega razmerja in jih mora </w:t>
      </w:r>
      <w:r w:rsidRPr="00574B0F">
        <w:rPr>
          <w:iCs/>
          <w:lang w:val="sl-SI"/>
        </w:rPr>
        <w:t>obračunati delodajalec.</w:t>
      </w:r>
    </w:p>
    <w:p w14:paraId="5E1046BF" w14:textId="77777777" w:rsidR="00FA5608" w:rsidRPr="002F077E" w:rsidRDefault="00FA5608" w:rsidP="00C14603">
      <w:pPr>
        <w:jc w:val="both"/>
        <w:rPr>
          <w:lang w:val="sl-SI"/>
        </w:rPr>
      </w:pPr>
    </w:p>
    <w:p w14:paraId="3176EC79" w14:textId="77777777" w:rsidR="00A5135F" w:rsidRPr="002F077E" w:rsidRDefault="00A5135F" w:rsidP="00C14603">
      <w:pPr>
        <w:jc w:val="both"/>
        <w:rPr>
          <w:lang w:val="sl-SI"/>
        </w:rPr>
      </w:pPr>
      <w:r w:rsidRPr="002F077E">
        <w:rPr>
          <w:lang w:val="sl-SI"/>
        </w:rPr>
        <w:t xml:space="preserve">Prejeti dohodki davčnega zavezanca – rezidenta, ki se udeleži dogodka, organiziranega s strani Evropske unije oziroma mednarodne organizacije (in ne gre za projekt tesnega medinstitucionalnega sodelovanja), na katerega ga napoti slovenski delodajalec, se v skladu s 37. členom Zakona o dohodnini </w:t>
      </w:r>
      <w:r w:rsidR="00230216" w:rsidRPr="002F077E">
        <w:rPr>
          <w:lang w:val="sl-SI"/>
        </w:rPr>
        <w:t xml:space="preserve">(Uradni list RS, št. </w:t>
      </w:r>
      <w:hyperlink r:id="rId19" w:tgtFrame="_blank" w:tooltip="Zakon o dohodnini (uradno prečiščeno besedilo)" w:history="1">
        <w:r w:rsidR="00230216" w:rsidRPr="002F077E">
          <w:rPr>
            <w:lang w:val="sl-SI"/>
          </w:rPr>
          <w:t>13/11</w:t>
        </w:r>
      </w:hyperlink>
      <w:r w:rsidR="00230216" w:rsidRPr="002F077E">
        <w:rPr>
          <w:lang w:val="sl-SI"/>
        </w:rPr>
        <w:t xml:space="preserve"> – uradno prečiščeno besedilo, </w:t>
      </w:r>
      <w:hyperlink r:id="rId20" w:tgtFrame="_blank" w:tooltip="Odločba o ugotovitvi, da so bili prvi do tretji odstavek 154. člena Zakona o dohodnini v neskladju z Ustavo" w:history="1">
        <w:r w:rsidR="00230216" w:rsidRPr="002F077E">
          <w:rPr>
            <w:lang w:val="sl-SI"/>
          </w:rPr>
          <w:t>9/12</w:t>
        </w:r>
      </w:hyperlink>
      <w:r w:rsidR="00230216" w:rsidRPr="002F077E">
        <w:rPr>
          <w:lang w:val="sl-SI"/>
        </w:rPr>
        <w:t xml:space="preserve"> – </w:t>
      </w:r>
      <w:proofErr w:type="spellStart"/>
      <w:r w:rsidR="00230216" w:rsidRPr="002F077E">
        <w:rPr>
          <w:lang w:val="sl-SI"/>
        </w:rPr>
        <w:t>odl</w:t>
      </w:r>
      <w:proofErr w:type="spellEnd"/>
      <w:r w:rsidR="00230216" w:rsidRPr="002F077E">
        <w:rPr>
          <w:lang w:val="sl-SI"/>
        </w:rPr>
        <w:t xml:space="preserve">. US, </w:t>
      </w:r>
      <w:hyperlink r:id="rId21" w:tgtFrame="_blank" w:tooltip="Zakon o spremembi Zakona o spremembah in dopolnitvah Zakona o dohodnini" w:history="1">
        <w:r w:rsidR="00230216" w:rsidRPr="002F077E">
          <w:rPr>
            <w:lang w:val="sl-SI"/>
          </w:rPr>
          <w:t>24/12</w:t>
        </w:r>
      </w:hyperlink>
      <w:r w:rsidR="00230216" w:rsidRPr="002F077E">
        <w:rPr>
          <w:lang w:val="sl-SI"/>
        </w:rPr>
        <w:t xml:space="preserve">, </w:t>
      </w:r>
      <w:hyperlink r:id="rId22" w:tgtFrame="_blank" w:tooltip="Zakon o spremembah in dopolnitvah Zakona o dohodnini" w:history="1">
        <w:r w:rsidR="00230216" w:rsidRPr="002F077E">
          <w:rPr>
            <w:lang w:val="sl-SI"/>
          </w:rPr>
          <w:t>30/12</w:t>
        </w:r>
      </w:hyperlink>
      <w:r w:rsidR="00230216" w:rsidRPr="002F077E">
        <w:rPr>
          <w:lang w:val="sl-SI"/>
        </w:rPr>
        <w:t xml:space="preserve">, </w:t>
      </w:r>
      <w:hyperlink r:id="rId23" w:tgtFrame="_blank" w:tooltip="Zakon za uravnoteženje javnih financ" w:history="1">
        <w:r w:rsidR="00230216" w:rsidRPr="002F077E">
          <w:rPr>
            <w:lang w:val="sl-SI"/>
          </w:rPr>
          <w:t>40/12</w:t>
        </w:r>
      </w:hyperlink>
      <w:r w:rsidR="00230216" w:rsidRPr="002F077E">
        <w:rPr>
          <w:lang w:val="sl-SI"/>
        </w:rPr>
        <w:t xml:space="preserve"> – ZUJF, </w:t>
      </w:r>
      <w:hyperlink r:id="rId24" w:tgtFrame="_blank" w:tooltip="Zakon o spremembi Zakona o spremembah in dopolnitvah Zakona o dohodnini" w:history="1">
        <w:r w:rsidR="00230216" w:rsidRPr="002F077E">
          <w:rPr>
            <w:lang w:val="sl-SI"/>
          </w:rPr>
          <w:t>75/12</w:t>
        </w:r>
      </w:hyperlink>
      <w:r w:rsidR="00230216" w:rsidRPr="002F077E">
        <w:rPr>
          <w:lang w:val="sl-SI"/>
        </w:rPr>
        <w:t xml:space="preserve">, </w:t>
      </w:r>
      <w:hyperlink r:id="rId25" w:tgtFrame="_blank" w:tooltip="Zakon o spremembah in dopolnitvah Zakona o dohodnini" w:history="1">
        <w:r w:rsidR="00230216" w:rsidRPr="002F077E">
          <w:rPr>
            <w:lang w:val="sl-SI"/>
          </w:rPr>
          <w:t>94/12</w:t>
        </w:r>
      </w:hyperlink>
      <w:r w:rsidR="00230216" w:rsidRPr="002F077E">
        <w:rPr>
          <w:lang w:val="sl-SI"/>
        </w:rPr>
        <w:t xml:space="preserve">, </w:t>
      </w:r>
      <w:hyperlink r:id="rId26" w:tgtFrame="_blank" w:tooltip="Odločba o ugotovitvi, da je peti odstavek 113. člena Zakona o dohodnini v neskladju z Ustavo" w:history="1">
        <w:r w:rsidR="00230216" w:rsidRPr="002F077E">
          <w:rPr>
            <w:lang w:val="sl-SI"/>
          </w:rPr>
          <w:t>52/13</w:t>
        </w:r>
      </w:hyperlink>
      <w:r w:rsidR="00230216" w:rsidRPr="002F077E">
        <w:rPr>
          <w:lang w:val="sl-SI"/>
        </w:rPr>
        <w:t xml:space="preserve"> – </w:t>
      </w:r>
      <w:proofErr w:type="spellStart"/>
      <w:r w:rsidR="00230216" w:rsidRPr="002F077E">
        <w:rPr>
          <w:lang w:val="sl-SI"/>
        </w:rPr>
        <w:t>odl</w:t>
      </w:r>
      <w:proofErr w:type="spellEnd"/>
      <w:r w:rsidR="00230216" w:rsidRPr="002F077E">
        <w:rPr>
          <w:lang w:val="sl-SI"/>
        </w:rPr>
        <w:t xml:space="preserve">. US, </w:t>
      </w:r>
      <w:hyperlink r:id="rId27" w:tgtFrame="_blank" w:tooltip="Zakon o spremembah in dopolnitvah Zakona o dohodnini" w:history="1">
        <w:r w:rsidR="00230216" w:rsidRPr="002F077E">
          <w:rPr>
            <w:lang w:val="sl-SI"/>
          </w:rPr>
          <w:t>96/13</w:t>
        </w:r>
      </w:hyperlink>
      <w:r w:rsidR="00230216" w:rsidRPr="002F077E">
        <w:rPr>
          <w:lang w:val="sl-SI"/>
        </w:rPr>
        <w:t xml:space="preserve">, </w:t>
      </w:r>
      <w:hyperlink r:id="rId28" w:tgtFrame="_blank" w:tooltip="Odločba o razveljavitvi dela besedila tretjega odstavka 90. člena, 9. točke 95. člena in šestega odstavka 98. člena Zakona o dohodnini" w:history="1">
        <w:r w:rsidR="00230216" w:rsidRPr="002F077E">
          <w:rPr>
            <w:lang w:val="sl-SI"/>
          </w:rPr>
          <w:t>29/14</w:t>
        </w:r>
      </w:hyperlink>
      <w:r w:rsidR="00230216" w:rsidRPr="002F077E">
        <w:rPr>
          <w:lang w:val="sl-SI"/>
        </w:rPr>
        <w:t xml:space="preserve"> – </w:t>
      </w:r>
      <w:proofErr w:type="spellStart"/>
      <w:r w:rsidR="00230216" w:rsidRPr="002F077E">
        <w:rPr>
          <w:lang w:val="sl-SI"/>
        </w:rPr>
        <w:t>odl</w:t>
      </w:r>
      <w:proofErr w:type="spellEnd"/>
      <w:r w:rsidR="00230216" w:rsidRPr="002F077E">
        <w:rPr>
          <w:lang w:val="sl-SI"/>
        </w:rPr>
        <w:t xml:space="preserve">. US, </w:t>
      </w:r>
      <w:hyperlink r:id="rId29" w:tgtFrame="_blank" w:tooltip="Zakon o spremembah Zakona o dohodnini" w:history="1">
        <w:r w:rsidR="00230216" w:rsidRPr="002F077E">
          <w:rPr>
            <w:lang w:val="sl-SI"/>
          </w:rPr>
          <w:t>50/14</w:t>
        </w:r>
      </w:hyperlink>
      <w:r w:rsidR="00230216" w:rsidRPr="002F077E">
        <w:rPr>
          <w:lang w:val="sl-SI"/>
        </w:rPr>
        <w:t xml:space="preserve">, </w:t>
      </w:r>
      <w:hyperlink r:id="rId30" w:tgtFrame="_blank" w:tooltip="Zakon o dopolnitvi Zakona o dohodnini" w:history="1">
        <w:r w:rsidR="00230216" w:rsidRPr="002F077E">
          <w:rPr>
            <w:lang w:val="sl-SI"/>
          </w:rPr>
          <w:t>23/15</w:t>
        </w:r>
      </w:hyperlink>
      <w:r w:rsidR="00230216" w:rsidRPr="002F077E">
        <w:rPr>
          <w:lang w:val="sl-SI"/>
        </w:rPr>
        <w:t xml:space="preserve">, </w:t>
      </w:r>
      <w:hyperlink r:id="rId31" w:tgtFrame="_blank" w:tooltip="Zakon o spremembah in dopolnitvah Zakona o dohodnini" w:history="1">
        <w:r w:rsidR="00230216" w:rsidRPr="002F077E">
          <w:rPr>
            <w:lang w:val="sl-SI"/>
          </w:rPr>
          <w:t>55/15</w:t>
        </w:r>
      </w:hyperlink>
      <w:r w:rsidR="00230216" w:rsidRPr="002F077E">
        <w:rPr>
          <w:lang w:val="sl-SI"/>
        </w:rPr>
        <w:t xml:space="preserve">, </w:t>
      </w:r>
      <w:hyperlink r:id="rId32" w:tgtFrame="_blank" w:tooltip="Zakon o spremembah in dopolnitvah Zakona o dohodnini" w:history="1">
        <w:r w:rsidR="00230216" w:rsidRPr="002F077E">
          <w:rPr>
            <w:lang w:val="sl-SI"/>
          </w:rPr>
          <w:t>63/16</w:t>
        </w:r>
      </w:hyperlink>
      <w:r w:rsidR="00230216" w:rsidRPr="002F077E">
        <w:rPr>
          <w:lang w:val="sl-SI"/>
        </w:rPr>
        <w:t xml:space="preserve"> in </w:t>
      </w:r>
      <w:hyperlink r:id="rId33" w:tgtFrame="_blank" w:tooltip="Zakon o spremembah in dopolnitvah Zakona o dohodnini" w:history="1">
        <w:r w:rsidR="00230216" w:rsidRPr="002F077E">
          <w:rPr>
            <w:lang w:val="sl-SI"/>
          </w:rPr>
          <w:t>69/17</w:t>
        </w:r>
      </w:hyperlink>
      <w:r w:rsidR="009814CC" w:rsidRPr="002F077E">
        <w:rPr>
          <w:lang w:val="sl-SI"/>
        </w:rPr>
        <w:t>, v nadaljevanju: Zakon o dohodnini</w:t>
      </w:r>
      <w:r w:rsidR="00230216" w:rsidRPr="002F077E">
        <w:rPr>
          <w:lang w:val="sl-SI"/>
        </w:rPr>
        <w:t xml:space="preserve">) </w:t>
      </w:r>
      <w:r w:rsidRPr="002F077E">
        <w:rPr>
          <w:lang w:val="sl-SI"/>
        </w:rPr>
        <w:t>štejejo za dohodke iz delovnega razmerja. Če davčni zavezanec določena povračila stroškov prejme tudi s strani organizatorja oziroma gostitelja, mora tudi zneske povračil stroškov, ki jih prejme na svoj račun, sporočiti svojemu delodajalcu, da jih pri obračunu potnega naloga ustrezno obračuna v skladu z določili slovenske davčne zakonodaje. V davčno osnovo dohodkov iz delovnega razmerja se v skladu s 4. točko prvega odstavka 44. člena Zakona o dohodnini ne vštevajo povračila stroškov v zvezi s službenim potovanjem pod pogoji in do višin, kot jih je določi</w:t>
      </w:r>
      <w:r w:rsidR="002A32DA" w:rsidRPr="002F077E">
        <w:rPr>
          <w:lang w:val="sl-SI"/>
        </w:rPr>
        <w:t>la vlada z Uredbo o davčni obravn</w:t>
      </w:r>
      <w:r w:rsidRPr="002F077E">
        <w:rPr>
          <w:lang w:val="sl-SI"/>
        </w:rPr>
        <w:t>avi povračil stroškov in drugih dohodkov iz delovnega razmerja</w:t>
      </w:r>
      <w:r w:rsidR="00502DF1" w:rsidRPr="002F077E">
        <w:rPr>
          <w:lang w:val="sl-SI"/>
        </w:rPr>
        <w:t xml:space="preserve"> (Uradni list RS, št. </w:t>
      </w:r>
      <w:hyperlink r:id="rId34" w:tgtFrame="_blank" w:tooltip="Uredba o davčni obravnavi povračil stroškov in drugih dohodkov iz delovnega razmerja" w:history="1">
        <w:r w:rsidR="00502DF1" w:rsidRPr="002F077E">
          <w:rPr>
            <w:lang w:val="sl-SI"/>
          </w:rPr>
          <w:t>140/06</w:t>
        </w:r>
      </w:hyperlink>
      <w:r w:rsidR="00502DF1" w:rsidRPr="002F077E">
        <w:rPr>
          <w:lang w:val="sl-SI"/>
        </w:rPr>
        <w:t xml:space="preserve">, </w:t>
      </w:r>
      <w:hyperlink r:id="rId35" w:tgtFrame="_blank" w:tooltip="Uredba o spremembah in dopolnitvah Uredbe o višini povračil stroškov v zvezi z delom in drugih dohodkov, ki se ne vštevajo v davčno osnovo" w:history="1">
        <w:r w:rsidR="00502DF1" w:rsidRPr="002F077E">
          <w:rPr>
            <w:lang w:val="sl-SI"/>
          </w:rPr>
          <w:t>76/08</w:t>
        </w:r>
      </w:hyperlink>
      <w:r w:rsidR="00502DF1" w:rsidRPr="002F077E">
        <w:rPr>
          <w:lang w:val="sl-SI"/>
        </w:rPr>
        <w:t xml:space="preserve"> in </w:t>
      </w:r>
      <w:hyperlink r:id="rId36" w:tgtFrame="_blank" w:tooltip="Uredba o spremembi Uredbe o davčni obravnavi povračil stroškov in drugih dohodkov iz delovnega razmerja" w:history="1">
        <w:r w:rsidR="00502DF1" w:rsidRPr="002F077E">
          <w:rPr>
            <w:lang w:val="sl-SI"/>
          </w:rPr>
          <w:t>63/17</w:t>
        </w:r>
      </w:hyperlink>
      <w:r w:rsidR="00502DF1" w:rsidRPr="002F077E">
        <w:rPr>
          <w:lang w:val="sl-SI"/>
        </w:rPr>
        <w:t>)</w:t>
      </w:r>
      <w:r w:rsidRPr="002F077E">
        <w:rPr>
          <w:lang w:val="sl-SI"/>
        </w:rPr>
        <w:t xml:space="preserve">. Ko gre za javne uslužbence, mora delodajalec ob tem upoštevati tudi Uredbo o povračilu stroškov za službena potovanja v tujino. </w:t>
      </w:r>
    </w:p>
    <w:p w14:paraId="3A5AA4B1" w14:textId="77777777" w:rsidR="00A66F73" w:rsidRPr="002F077E" w:rsidRDefault="00A66F73" w:rsidP="00C14603">
      <w:pPr>
        <w:jc w:val="both"/>
        <w:rPr>
          <w:lang w:val="sl-SI"/>
        </w:rPr>
      </w:pPr>
    </w:p>
    <w:p w14:paraId="426CDFC2" w14:textId="77777777" w:rsidR="00A66F73" w:rsidRPr="002F077E" w:rsidRDefault="00B024EC" w:rsidP="00C14603">
      <w:pPr>
        <w:jc w:val="both"/>
        <w:rPr>
          <w:lang w:val="sl-SI"/>
        </w:rPr>
      </w:pPr>
      <w:r w:rsidRPr="002F077E">
        <w:rPr>
          <w:lang w:val="sl-SI"/>
        </w:rPr>
        <w:t>Če se davčni zavezanec – rezident udeleži dogodka, na katerega ga ne napoti delodajalec (npr. gre za neposredni dogovor med tujim naročnikom in zavezancem), se prejeti dohodki štejejo za dohodke iz drugega pogodbenega razmerja po 38. členu Zakona o dohodnini. V tem primeru mora davčni zavezanec – rezident prejete dohodke pri davčnem organu napovedati sam.</w:t>
      </w:r>
    </w:p>
    <w:p w14:paraId="65D0FDED" w14:textId="77777777" w:rsidR="00B024EC" w:rsidRPr="002F077E" w:rsidRDefault="00B024EC" w:rsidP="00C14603">
      <w:pPr>
        <w:jc w:val="both"/>
        <w:rPr>
          <w:lang w:val="sl-SI"/>
        </w:rPr>
      </w:pPr>
    </w:p>
    <w:p w14:paraId="1DAA4EE2" w14:textId="77777777" w:rsidR="00B024EC" w:rsidRPr="002F077E" w:rsidRDefault="00B024EC" w:rsidP="00C14603">
      <w:pPr>
        <w:jc w:val="both"/>
        <w:rPr>
          <w:lang w:val="sl-SI"/>
        </w:rPr>
      </w:pPr>
      <w:r w:rsidRPr="002F077E">
        <w:rPr>
          <w:lang w:val="sl-SI"/>
        </w:rPr>
        <w:t>Glede obdavčitve velja splošno pravilo nacionalne zakonodaje, po katerem so rezidenti Slovenije obdavčeni po načelu svetovnega dohodka. Po določbi 5. člena Zakona o dohodnini je namreč rezident Slovenije zavezan za plačilo dohodnine od vseh dohodkov, ki imajo vir v Sloveniji, in od vseh dohodkov, ki imajo vir izven</w:t>
      </w:r>
      <w:r w:rsidR="006C31FF">
        <w:rPr>
          <w:lang w:val="sl-SI"/>
        </w:rPr>
        <w:t xml:space="preserve"> Slovenije. </w:t>
      </w:r>
      <w:r w:rsidRPr="002F077E">
        <w:rPr>
          <w:lang w:val="sl-SI"/>
        </w:rPr>
        <w:t xml:space="preserve">Slovenija </w:t>
      </w:r>
      <w:r w:rsidR="006C31FF">
        <w:rPr>
          <w:lang w:val="sl-SI"/>
        </w:rPr>
        <w:t xml:space="preserve">je </w:t>
      </w:r>
      <w:r w:rsidRPr="002F077E">
        <w:rPr>
          <w:lang w:val="sl-SI"/>
        </w:rPr>
        <w:t>z različnimi mednarodnimi organizacijami sklenila in ratificirala pogodbe, ki sicer določajo morebitne privilegije in imunitete glede obdavčitve dohodkov, izplačanih s strani take organizacije, vendar se te ugodnosti v splošnem nanašajo na funkcionarje in člane mednarodnih organizacij. V vsaki mednarodni pogodbi je potrebno preveriti, katere osebe in v katerih primerih lahko te ugodnosti koristijo.</w:t>
      </w:r>
      <w:r w:rsidR="00E33809">
        <w:rPr>
          <w:lang w:val="sl-SI"/>
        </w:rPr>
        <w:t xml:space="preserve"> </w:t>
      </w:r>
      <w:r w:rsidR="00B159C8" w:rsidRPr="002F077E">
        <w:rPr>
          <w:lang w:val="sl-SI"/>
        </w:rPr>
        <w:t>Tako je na primer Republika Slovenija ratificirala Splošni sporazum o privilegijih in imunitetah Sveta Evrope ter določene protokole k temu sporazumu. Iz splošnega sporazuma je razvidno, da so funkcionarji Sveta Evrope oproščeni plačila davkov na plače in honorarje, ki jih izplačuje Svet Evrope. V petem protokolu k splošnem</w:t>
      </w:r>
      <w:r w:rsidR="00FC00FC" w:rsidRPr="002F077E">
        <w:rPr>
          <w:lang w:val="sl-SI"/>
        </w:rPr>
        <w:t>u</w:t>
      </w:r>
      <w:r w:rsidR="00B159C8" w:rsidRPr="002F077E">
        <w:rPr>
          <w:lang w:val="sl-SI"/>
        </w:rPr>
        <w:t xml:space="preserve"> sporazumu pa je navedeno, da so davkov na plače, honorarje in dnevnice, ki jih plača Svet Evrope, oproščeni tudi člani Evropske komisije za človekove pravice in Evropskega sodišča za človekove pravice (kot člani se štejejo tudi bivši člani, ki še rešujejo določene primere, s katerimi so se že prej ukvarjali, kot tudi katerikoli ad hoc sodniki, imenovani z določili konvencije). </w:t>
      </w:r>
    </w:p>
    <w:p w14:paraId="29A0E927" w14:textId="77777777" w:rsidR="00B159C8" w:rsidRPr="002F077E" w:rsidRDefault="00B159C8" w:rsidP="00C14603">
      <w:pPr>
        <w:jc w:val="both"/>
        <w:rPr>
          <w:lang w:val="sl-SI"/>
        </w:rPr>
      </w:pPr>
    </w:p>
    <w:p w14:paraId="1D1D47B9" w14:textId="77777777" w:rsidR="00B159C8" w:rsidRPr="002F077E" w:rsidRDefault="00B82158" w:rsidP="00C14603">
      <w:pPr>
        <w:jc w:val="both"/>
        <w:rPr>
          <w:i/>
          <w:lang w:val="sl-SI"/>
        </w:rPr>
      </w:pPr>
      <w:r>
        <w:rPr>
          <w:i/>
          <w:lang w:val="sl-SI"/>
        </w:rPr>
        <w:t>Na podlagi navedenega</w:t>
      </w:r>
      <w:r w:rsidR="00FC00FC" w:rsidRPr="002F077E">
        <w:rPr>
          <w:i/>
          <w:lang w:val="sl-SI"/>
        </w:rPr>
        <w:t xml:space="preserve"> izhaja, da so d</w:t>
      </w:r>
      <w:r w:rsidR="00491608" w:rsidRPr="002F077E">
        <w:rPr>
          <w:i/>
          <w:lang w:val="sl-SI"/>
        </w:rPr>
        <w:t>o pr</w:t>
      </w:r>
      <w:r w:rsidR="00FC00FC" w:rsidRPr="002F077E">
        <w:rPr>
          <w:i/>
          <w:lang w:val="sl-SI"/>
        </w:rPr>
        <w:t xml:space="preserve">ivilegijev in imunitet </w:t>
      </w:r>
      <w:r w:rsidR="00491608" w:rsidRPr="00574B0F">
        <w:rPr>
          <w:iCs/>
          <w:lang w:val="sl-SI"/>
        </w:rPr>
        <w:t xml:space="preserve">upravičeni člani organizacij in ne osebe, ki jih delodajalec napoti na službeno pot, mednarodna organizacija pa jim povrne stroške za udeležbo. Pri obdavčitvi takih dohodkov se upošteva slovenska davčna zakonodaja, </w:t>
      </w:r>
      <w:r w:rsidR="00491608" w:rsidRPr="00574B0F">
        <w:rPr>
          <w:i/>
          <w:lang w:val="sl-SI"/>
        </w:rPr>
        <w:t>in sicer v</w:t>
      </w:r>
      <w:r w:rsidR="00491608" w:rsidRPr="00574B0F">
        <w:rPr>
          <w:iCs/>
          <w:lang w:val="sl-SI"/>
        </w:rPr>
        <w:t xml:space="preserve"> konkretnem primeru že navedena določila Zakona o dohodni</w:t>
      </w:r>
      <w:r w:rsidR="00803F7D" w:rsidRPr="00574B0F">
        <w:rPr>
          <w:iCs/>
          <w:lang w:val="sl-SI"/>
        </w:rPr>
        <w:t>ni</w:t>
      </w:r>
      <w:r w:rsidR="00803F7D">
        <w:rPr>
          <w:i/>
          <w:lang w:val="sl-SI"/>
        </w:rPr>
        <w:t xml:space="preserve"> in uredb</w:t>
      </w:r>
      <w:r w:rsidR="00491608" w:rsidRPr="002F077E">
        <w:rPr>
          <w:i/>
          <w:lang w:val="sl-SI"/>
        </w:rPr>
        <w:t>.</w:t>
      </w:r>
      <w:r w:rsidR="00BA0391">
        <w:rPr>
          <w:i/>
          <w:lang w:val="sl-SI"/>
        </w:rPr>
        <w:t>«</w:t>
      </w:r>
    </w:p>
    <w:p w14:paraId="075553C9" w14:textId="77777777" w:rsidR="00FA5608" w:rsidRPr="002F077E" w:rsidRDefault="00FA5608" w:rsidP="00C14603">
      <w:pPr>
        <w:jc w:val="both"/>
        <w:rPr>
          <w:lang w:val="sl-SI"/>
        </w:rPr>
      </w:pPr>
    </w:p>
    <w:p w14:paraId="6F7BF5BF" w14:textId="77777777" w:rsidR="007D75CF" w:rsidRPr="002F077E" w:rsidRDefault="007D75CF" w:rsidP="00C14603">
      <w:pPr>
        <w:jc w:val="both"/>
        <w:rPr>
          <w:lang w:val="sl-SI"/>
        </w:rPr>
      </w:pPr>
      <w:r w:rsidRPr="002F077E">
        <w:rPr>
          <w:lang w:val="sl-SI"/>
        </w:rPr>
        <w:t>S spoštovanjem,</w:t>
      </w:r>
    </w:p>
    <w:p w14:paraId="018F9547" w14:textId="77777777" w:rsidR="007D75CF" w:rsidRPr="002F077E" w:rsidRDefault="003066E0" w:rsidP="00C14603">
      <w:pPr>
        <w:jc w:val="both"/>
        <w:rPr>
          <w:lang w:val="sl-SI"/>
        </w:rPr>
      </w:pPr>
      <w:r w:rsidRPr="002F077E">
        <w:rPr>
          <w:lang w:val="sl-SI"/>
        </w:rPr>
        <w:t xml:space="preserve">                                                                                                               mag. Igor Kotnik</w:t>
      </w:r>
    </w:p>
    <w:p w14:paraId="7C5E860D" w14:textId="77777777" w:rsidR="003066E0" w:rsidRPr="002F077E" w:rsidRDefault="003066E0" w:rsidP="00C14603">
      <w:pPr>
        <w:jc w:val="both"/>
        <w:rPr>
          <w:lang w:val="sl-SI"/>
        </w:rPr>
      </w:pPr>
      <w:r w:rsidRPr="002F077E">
        <w:rPr>
          <w:lang w:val="sl-SI"/>
        </w:rPr>
        <w:t xml:space="preserve">                                                                                                               generalni direktor</w:t>
      </w:r>
    </w:p>
    <w:p w14:paraId="5149A8F1" w14:textId="77777777" w:rsidR="007D75CF" w:rsidRPr="002F077E" w:rsidRDefault="007D75CF" w:rsidP="00C14603">
      <w:pPr>
        <w:jc w:val="both"/>
        <w:rPr>
          <w:lang w:val="sl-SI"/>
        </w:rPr>
      </w:pPr>
    </w:p>
    <w:sectPr w:rsidR="007D75CF" w:rsidRPr="002F077E" w:rsidSect="00623E84">
      <w:headerReference w:type="default" r:id="rId37"/>
      <w:headerReference w:type="first" r:id="rId38"/>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823A" w14:textId="77777777" w:rsidR="00632394" w:rsidRDefault="00632394">
      <w:r>
        <w:separator/>
      </w:r>
    </w:p>
  </w:endnote>
  <w:endnote w:type="continuationSeparator" w:id="0">
    <w:p w14:paraId="132C628F" w14:textId="77777777" w:rsidR="00632394" w:rsidRDefault="0063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1379" w14:textId="77777777" w:rsidR="00632394" w:rsidRDefault="00632394">
      <w:r>
        <w:separator/>
      </w:r>
    </w:p>
  </w:footnote>
  <w:footnote w:type="continuationSeparator" w:id="0">
    <w:p w14:paraId="68EEC116" w14:textId="77777777" w:rsidR="00632394" w:rsidRDefault="0063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D33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C4550" w14:paraId="42C1A95B" w14:textId="77777777" w:rsidTr="00822549">
      <w:trPr>
        <w:trHeight w:val="980"/>
      </w:trPr>
      <w:tc>
        <w:tcPr>
          <w:tcW w:w="657" w:type="dxa"/>
        </w:tcPr>
        <w:p w14:paraId="5B9B23F1" w14:textId="77777777" w:rsidR="00DC4550" w:rsidRDefault="00DC4550" w:rsidP="00DC4550">
          <w:pPr>
            <w:autoSpaceDE w:val="0"/>
            <w:autoSpaceDN w:val="0"/>
            <w:adjustRightInd w:val="0"/>
            <w:spacing w:line="240" w:lineRule="auto"/>
            <w:rPr>
              <w:rFonts w:ascii="Republika" w:hAnsi="Republika"/>
              <w:color w:val="529DBA"/>
              <w:szCs w:val="20"/>
            </w:rPr>
          </w:pPr>
          <w:r>
            <w:rPr>
              <w:noProof/>
            </w:rPr>
            <w:drawing>
              <wp:inline distT="0" distB="0" distL="0" distR="0" wp14:anchorId="1A8AD77C" wp14:editId="5B797834">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69BEAD90" w14:textId="77777777" w:rsidR="00DC4550" w:rsidRDefault="00DC4550" w:rsidP="00DC4550">
          <w:pPr>
            <w:autoSpaceDE w:val="0"/>
            <w:autoSpaceDN w:val="0"/>
            <w:adjustRightInd w:val="0"/>
            <w:spacing w:line="240" w:lineRule="auto"/>
            <w:rPr>
              <w:rFonts w:ascii="Republika" w:hAnsi="Republika"/>
              <w:color w:val="529DBA"/>
              <w:szCs w:val="20"/>
            </w:rPr>
          </w:pPr>
        </w:p>
      </w:tc>
      <w:tc>
        <w:tcPr>
          <w:tcW w:w="4644" w:type="dxa"/>
        </w:tcPr>
        <w:p w14:paraId="5315656C" w14:textId="77777777" w:rsidR="00DC4550" w:rsidRPr="008820DC" w:rsidRDefault="00DC4550" w:rsidP="00DC4550">
          <w:pPr>
            <w:autoSpaceDE w:val="0"/>
            <w:autoSpaceDN w:val="0"/>
            <w:adjustRightInd w:val="0"/>
            <w:spacing w:line="240" w:lineRule="auto"/>
            <w:ind w:left="102" w:hanging="39"/>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76E0C097" w14:textId="77777777" w:rsidR="00DC4550" w:rsidRPr="000B427F" w:rsidRDefault="00DC4550" w:rsidP="00DC4550">
          <w:pPr>
            <w:autoSpaceDE w:val="0"/>
            <w:autoSpaceDN w:val="0"/>
            <w:adjustRightInd w:val="0"/>
            <w:spacing w:line="240" w:lineRule="auto"/>
            <w:ind w:left="102" w:hanging="39"/>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27495153" w14:textId="77777777" w:rsidR="00DC4550" w:rsidRPr="00B8505D" w:rsidRDefault="00DC4550" w:rsidP="00DC4550">
          <w:pPr>
            <w:autoSpaceDE w:val="0"/>
            <w:autoSpaceDN w:val="0"/>
            <w:adjustRightInd w:val="0"/>
            <w:spacing w:line="240" w:lineRule="auto"/>
            <w:ind w:hanging="39"/>
            <w:rPr>
              <w:rFonts w:ascii="Republika" w:hAnsi="Republika"/>
              <w:color w:val="529DBA"/>
              <w:sz w:val="16"/>
              <w:szCs w:val="16"/>
            </w:rPr>
          </w:pPr>
          <w:r>
            <w:rPr>
              <w:rFonts w:ascii="Republika" w:hAnsi="Republika" w:cs="Republika"/>
              <w:color w:val="000000" w:themeColor="text1"/>
              <w:szCs w:val="20"/>
            </w:rPr>
            <w:t xml:space="preserve">  </w:t>
          </w:r>
          <w:r w:rsidRPr="008820DC">
            <w:rPr>
              <w:rFonts w:ascii="Republika" w:hAnsi="Republika" w:cs="Republika"/>
              <w:color w:val="000000" w:themeColor="text1"/>
              <w:szCs w:val="20"/>
            </w:rPr>
            <w:t>DIREKTORAT ZA JAVNI SEKTOR</w:t>
          </w:r>
        </w:p>
      </w:tc>
    </w:tr>
  </w:tbl>
  <w:p w14:paraId="35E489DF" w14:textId="14DAA58C"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mc:AlternateContent>
        <mc:Choice Requires="wps">
          <w:drawing>
            <wp:anchor distT="0" distB="0" distL="114300" distR="114300" simplePos="0" relativeHeight="251657216" behindDoc="0" locked="0" layoutInCell="0" allowOverlap="1" wp14:anchorId="271B6DAD" wp14:editId="6AD89481">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8CC78E7"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1B8A109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1AAB763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3EE3753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3713EF1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4"/>
    <w:rsid w:val="00014C9D"/>
    <w:rsid w:val="00023A88"/>
    <w:rsid w:val="0003046E"/>
    <w:rsid w:val="000A7238"/>
    <w:rsid w:val="00124E67"/>
    <w:rsid w:val="001357B2"/>
    <w:rsid w:val="001363E8"/>
    <w:rsid w:val="0017478F"/>
    <w:rsid w:val="001E23CB"/>
    <w:rsid w:val="002027AA"/>
    <w:rsid w:val="00202A77"/>
    <w:rsid w:val="00230216"/>
    <w:rsid w:val="00271CE5"/>
    <w:rsid w:val="00282020"/>
    <w:rsid w:val="002835DD"/>
    <w:rsid w:val="00285592"/>
    <w:rsid w:val="002A2B69"/>
    <w:rsid w:val="002A32DA"/>
    <w:rsid w:val="002C5096"/>
    <w:rsid w:val="002F077E"/>
    <w:rsid w:val="002F464D"/>
    <w:rsid w:val="002F5BA4"/>
    <w:rsid w:val="003066E0"/>
    <w:rsid w:val="003636BF"/>
    <w:rsid w:val="00371442"/>
    <w:rsid w:val="003822C8"/>
    <w:rsid w:val="003845B4"/>
    <w:rsid w:val="00387B1A"/>
    <w:rsid w:val="0039356A"/>
    <w:rsid w:val="003B085A"/>
    <w:rsid w:val="003C5EE5"/>
    <w:rsid w:val="003C65AC"/>
    <w:rsid w:val="003E1C74"/>
    <w:rsid w:val="00400BB7"/>
    <w:rsid w:val="00404D75"/>
    <w:rsid w:val="00417D18"/>
    <w:rsid w:val="00441266"/>
    <w:rsid w:val="00454CA1"/>
    <w:rsid w:val="004657EE"/>
    <w:rsid w:val="004744D1"/>
    <w:rsid w:val="00491608"/>
    <w:rsid w:val="004B58BF"/>
    <w:rsid w:val="00502DF1"/>
    <w:rsid w:val="00526246"/>
    <w:rsid w:val="00535D20"/>
    <w:rsid w:val="00541646"/>
    <w:rsid w:val="005605CF"/>
    <w:rsid w:val="00567106"/>
    <w:rsid w:val="00574B0F"/>
    <w:rsid w:val="005A56E0"/>
    <w:rsid w:val="005C1995"/>
    <w:rsid w:val="005E1D3C"/>
    <w:rsid w:val="00601E22"/>
    <w:rsid w:val="00605CDA"/>
    <w:rsid w:val="00620CFD"/>
    <w:rsid w:val="00623E84"/>
    <w:rsid w:val="006242EF"/>
    <w:rsid w:val="00625AE6"/>
    <w:rsid w:val="00632253"/>
    <w:rsid w:val="00632394"/>
    <w:rsid w:val="00633DA3"/>
    <w:rsid w:val="00642714"/>
    <w:rsid w:val="006455CE"/>
    <w:rsid w:val="00647A86"/>
    <w:rsid w:val="006513FF"/>
    <w:rsid w:val="00655841"/>
    <w:rsid w:val="006A18CD"/>
    <w:rsid w:val="006A38B9"/>
    <w:rsid w:val="006C31FF"/>
    <w:rsid w:val="006E25B1"/>
    <w:rsid w:val="00710310"/>
    <w:rsid w:val="007151C3"/>
    <w:rsid w:val="00733017"/>
    <w:rsid w:val="00783310"/>
    <w:rsid w:val="007A49AA"/>
    <w:rsid w:val="007A4A6D"/>
    <w:rsid w:val="007B4930"/>
    <w:rsid w:val="007C42F0"/>
    <w:rsid w:val="007D1BCF"/>
    <w:rsid w:val="007D435E"/>
    <w:rsid w:val="007D529F"/>
    <w:rsid w:val="007D75CF"/>
    <w:rsid w:val="007E0440"/>
    <w:rsid w:val="007E6DC5"/>
    <w:rsid w:val="00803F7D"/>
    <w:rsid w:val="008121F4"/>
    <w:rsid w:val="00814B92"/>
    <w:rsid w:val="00850CDA"/>
    <w:rsid w:val="0088043C"/>
    <w:rsid w:val="00884889"/>
    <w:rsid w:val="008906C9"/>
    <w:rsid w:val="00890A17"/>
    <w:rsid w:val="008A0DA1"/>
    <w:rsid w:val="008A57B5"/>
    <w:rsid w:val="008C5738"/>
    <w:rsid w:val="008D04F0"/>
    <w:rsid w:val="008D588E"/>
    <w:rsid w:val="008D5F69"/>
    <w:rsid w:val="008F3500"/>
    <w:rsid w:val="00905FB9"/>
    <w:rsid w:val="00924E3C"/>
    <w:rsid w:val="009421C1"/>
    <w:rsid w:val="0095411C"/>
    <w:rsid w:val="009612BB"/>
    <w:rsid w:val="009649C9"/>
    <w:rsid w:val="00964BF5"/>
    <w:rsid w:val="009814CC"/>
    <w:rsid w:val="009A4E65"/>
    <w:rsid w:val="009C740A"/>
    <w:rsid w:val="009E0445"/>
    <w:rsid w:val="009F7098"/>
    <w:rsid w:val="00A125C5"/>
    <w:rsid w:val="00A2451C"/>
    <w:rsid w:val="00A26766"/>
    <w:rsid w:val="00A42FB5"/>
    <w:rsid w:val="00A43EF7"/>
    <w:rsid w:val="00A5135F"/>
    <w:rsid w:val="00A65EE7"/>
    <w:rsid w:val="00A66F73"/>
    <w:rsid w:val="00A70133"/>
    <w:rsid w:val="00A770A6"/>
    <w:rsid w:val="00A813B1"/>
    <w:rsid w:val="00AB36C4"/>
    <w:rsid w:val="00AC32B2"/>
    <w:rsid w:val="00AC7F3F"/>
    <w:rsid w:val="00AD3F94"/>
    <w:rsid w:val="00AE2BB1"/>
    <w:rsid w:val="00B024EC"/>
    <w:rsid w:val="00B159C8"/>
    <w:rsid w:val="00B17141"/>
    <w:rsid w:val="00B31575"/>
    <w:rsid w:val="00B372D1"/>
    <w:rsid w:val="00B81D93"/>
    <w:rsid w:val="00B82158"/>
    <w:rsid w:val="00B8547D"/>
    <w:rsid w:val="00BA0391"/>
    <w:rsid w:val="00BA55C3"/>
    <w:rsid w:val="00BB1718"/>
    <w:rsid w:val="00BD06AD"/>
    <w:rsid w:val="00BE0B5E"/>
    <w:rsid w:val="00BF1D3C"/>
    <w:rsid w:val="00C14603"/>
    <w:rsid w:val="00C1655C"/>
    <w:rsid w:val="00C250D5"/>
    <w:rsid w:val="00C35666"/>
    <w:rsid w:val="00C42998"/>
    <w:rsid w:val="00C506CE"/>
    <w:rsid w:val="00C75F77"/>
    <w:rsid w:val="00C92898"/>
    <w:rsid w:val="00CA4340"/>
    <w:rsid w:val="00CB716C"/>
    <w:rsid w:val="00CC46DA"/>
    <w:rsid w:val="00CE5238"/>
    <w:rsid w:val="00CE69B6"/>
    <w:rsid w:val="00CE7514"/>
    <w:rsid w:val="00D248DE"/>
    <w:rsid w:val="00D348C2"/>
    <w:rsid w:val="00D417C8"/>
    <w:rsid w:val="00D55412"/>
    <w:rsid w:val="00D8542D"/>
    <w:rsid w:val="00DB3801"/>
    <w:rsid w:val="00DC4550"/>
    <w:rsid w:val="00DC6A71"/>
    <w:rsid w:val="00DF0F8E"/>
    <w:rsid w:val="00E0357D"/>
    <w:rsid w:val="00E33809"/>
    <w:rsid w:val="00E467C4"/>
    <w:rsid w:val="00E70005"/>
    <w:rsid w:val="00E74EA8"/>
    <w:rsid w:val="00EC473D"/>
    <w:rsid w:val="00ED1C3E"/>
    <w:rsid w:val="00EF5C6D"/>
    <w:rsid w:val="00F240BB"/>
    <w:rsid w:val="00F57FED"/>
    <w:rsid w:val="00F87487"/>
    <w:rsid w:val="00FA5608"/>
    <w:rsid w:val="00FC00FC"/>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0D27A76E"/>
  <w15:chartTrackingRefBased/>
  <w15:docId w15:val="{37F18628-05F0-4B73-AE07-70F10D41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Podnaslov">
    <w:name w:val="Subtitle"/>
    <w:basedOn w:val="Navaden"/>
    <w:next w:val="Navaden"/>
    <w:link w:val="PodnaslovZnak"/>
    <w:qFormat/>
    <w:rsid w:val="00C146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C14603"/>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1994-01-1535" TargetMode="External"/><Relationship Id="rId13" Type="http://schemas.openxmlformats.org/officeDocument/2006/relationships/hyperlink" Target="http://www.uradni-list.si/1/objava.jsp?sop=2002-01-4355" TargetMode="External"/><Relationship Id="rId18" Type="http://schemas.openxmlformats.org/officeDocument/2006/relationships/hyperlink" Target="http://www.uradni-list.si/1/objava.jsp?sop=2012-01-2176" TargetMode="External"/><Relationship Id="rId26" Type="http://schemas.openxmlformats.org/officeDocument/2006/relationships/hyperlink" Target="http://www.uradni-list.si/1/objava.jsp?sop=2013-01-200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2-01-0919" TargetMode="External"/><Relationship Id="rId34" Type="http://schemas.openxmlformats.org/officeDocument/2006/relationships/hyperlink" Target="http://www.uradni-list.si/1/objava.jsp?sop=2006-01-6105" TargetMode="External"/><Relationship Id="rId7" Type="http://schemas.openxmlformats.org/officeDocument/2006/relationships/endnotes" Target="endnotes.xml"/><Relationship Id="rId12" Type="http://schemas.openxmlformats.org/officeDocument/2006/relationships/hyperlink" Target="http://www.uradni-list.si/1/objava.jsp?sop=2002-01-1606" TargetMode="External"/><Relationship Id="rId17" Type="http://schemas.openxmlformats.org/officeDocument/2006/relationships/hyperlink" Target="http://www.uradni-list.si/1/objava.jsp?sop=2009-01-1313" TargetMode="External"/><Relationship Id="rId25" Type="http://schemas.openxmlformats.org/officeDocument/2006/relationships/hyperlink" Target="http://www.uradni-list.si/1/objava.jsp?sop=2012-01-3644" TargetMode="External"/><Relationship Id="rId33" Type="http://schemas.openxmlformats.org/officeDocument/2006/relationships/hyperlink" Target="http://www.uradni-list.si/1/objava.jsp?sop=2017-01-326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07-01-0790" TargetMode="External"/><Relationship Id="rId20" Type="http://schemas.openxmlformats.org/officeDocument/2006/relationships/hyperlink" Target="http://www.uradni-list.si/1/objava.jsp?sop=2012-01-0344" TargetMode="External"/><Relationship Id="rId29" Type="http://schemas.openxmlformats.org/officeDocument/2006/relationships/hyperlink" Target="http://www.uradni-list.si/1/objava.jsp?sop=2014-01-20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0-01-4040" TargetMode="External"/><Relationship Id="rId24" Type="http://schemas.openxmlformats.org/officeDocument/2006/relationships/hyperlink" Target="http://www.uradni-list.si/1/objava.jsp?sop=2012-01-2850" TargetMode="External"/><Relationship Id="rId32" Type="http://schemas.openxmlformats.org/officeDocument/2006/relationships/hyperlink" Target="http://www.uradni-list.si/1/objava.jsp?sop=2016-01-268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04-01-3258"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14-01-1190" TargetMode="External"/><Relationship Id="rId36" Type="http://schemas.openxmlformats.org/officeDocument/2006/relationships/hyperlink" Target="http://www.uradni-list.si/1/objava.jsp?sop=2017-01-3015" TargetMode="External"/><Relationship Id="rId10" Type="http://schemas.openxmlformats.org/officeDocument/2006/relationships/hyperlink" Target="http://www.uradni-list.si/1/objava.jsp?sop=1996-01-1498" TargetMode="External"/><Relationship Id="rId19" Type="http://schemas.openxmlformats.org/officeDocument/2006/relationships/hyperlink" Target="http://www.uradni-list.si/1/objava.jsp?sop=2011-01-0555" TargetMode="External"/><Relationship Id="rId31" Type="http://schemas.openxmlformats.org/officeDocument/2006/relationships/hyperlink" Target="http://www.uradni-list.si/1/objava.jsp?sop=2015-01-2280" TargetMode="External"/><Relationship Id="rId4" Type="http://schemas.openxmlformats.org/officeDocument/2006/relationships/settings" Target="settings.xml"/><Relationship Id="rId9" Type="http://schemas.openxmlformats.org/officeDocument/2006/relationships/hyperlink" Target="http://www.uradni-list.si/1/objava.jsp?sop=1994-01-2171" TargetMode="External"/><Relationship Id="rId14" Type="http://schemas.openxmlformats.org/officeDocument/2006/relationships/hyperlink" Target="http://www.uradni-list.si/1/objava.jsp?sop=2004-01-2988" TargetMode="External"/><Relationship Id="rId22" Type="http://schemas.openxmlformats.org/officeDocument/2006/relationships/hyperlink" Target="http://www.uradni-list.si/1/objava.jsp?sop=2012-01-1282" TargetMode="External"/><Relationship Id="rId27" Type="http://schemas.openxmlformats.org/officeDocument/2006/relationships/hyperlink" Target="http://www.uradni-list.si/1/objava.jsp?sop=2013-01-3441" TargetMode="External"/><Relationship Id="rId30" Type="http://schemas.openxmlformats.org/officeDocument/2006/relationships/hyperlink" Target="http://www.uradni-list.si/1/objava.jsp?sop=2015-01-0895" TargetMode="External"/><Relationship Id="rId35" Type="http://schemas.openxmlformats.org/officeDocument/2006/relationships/hyperlink" Target="http://www.uradni-list.si/1/objava.jsp?sop=2008-01-33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6EB267-5B16-4EB3-98FF-F9FA0E5B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10714</Characters>
  <Application>Microsoft Office Word</Application>
  <DocSecurity>0</DocSecurity>
  <Lines>89</Lines>
  <Paragraphs>23</Paragraphs>
  <ScaleCrop>false</ScaleCrop>
  <HeadingPairs>
    <vt:vector size="2" baseType="variant">
      <vt:variant>
        <vt:lpstr>Naslov</vt:lpstr>
      </vt:variant>
      <vt:variant>
        <vt:i4>1</vt:i4>
      </vt:variant>
    </vt:vector>
  </HeadingPairs>
  <TitlesOfParts>
    <vt:vector size="1" baseType="lpstr">
      <vt:lpstr>Povračilo stroškov za službena potovanja v tujino in davčna obravnava »per diem« izplačil s strani mednarodnih organizacij (15. 6. 2018)</vt:lpstr>
    </vt:vector>
  </TitlesOfParts>
  <Company>MNZ RS</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za službena potovanja v tujino in davčna obravnava »per diem« izplačil s strani mednarodnih organizacij (15. 6. 2018)</dc:title>
  <dc:subject/>
  <dc:creator>Melita Nikše</dc:creator>
  <cp:keywords/>
  <cp:lastModifiedBy>Darja Centa</cp:lastModifiedBy>
  <cp:revision>2</cp:revision>
  <cp:lastPrinted>2013-06-21T06:42:00Z</cp:lastPrinted>
  <dcterms:created xsi:type="dcterms:W3CDTF">2020-11-05T07:18:00Z</dcterms:created>
  <dcterms:modified xsi:type="dcterms:W3CDTF">2020-11-05T07:18:00Z</dcterms:modified>
</cp:coreProperties>
</file>