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DF68E" w14:textId="77777777" w:rsidR="00C759FE" w:rsidRDefault="00C759FE" w:rsidP="00DC6A71">
      <w:pPr>
        <w:pStyle w:val="datumtevilka"/>
        <w:rPr>
          <w:rFonts w:cs="Arial"/>
          <w:color w:val="000000"/>
          <w:lang w:eastAsia="en-US"/>
        </w:rPr>
      </w:pPr>
    </w:p>
    <w:p w14:paraId="7188D867" w14:textId="77777777" w:rsidR="00C759FE" w:rsidRDefault="00C759FE" w:rsidP="00DC6A71">
      <w:pPr>
        <w:pStyle w:val="datumtevilka"/>
        <w:rPr>
          <w:rFonts w:cs="Arial"/>
          <w:color w:val="000000"/>
          <w:lang w:eastAsia="en-US"/>
        </w:rPr>
      </w:pPr>
    </w:p>
    <w:p w14:paraId="00CE313C" w14:textId="77777777" w:rsidR="00C759FE" w:rsidRDefault="00C759FE" w:rsidP="00DC6A71">
      <w:pPr>
        <w:pStyle w:val="datumtevilka"/>
        <w:rPr>
          <w:rFonts w:cs="Arial"/>
          <w:color w:val="000000"/>
          <w:lang w:eastAsia="en-US"/>
        </w:rPr>
      </w:pPr>
    </w:p>
    <w:p w14:paraId="14AC3C7A" w14:textId="77777777" w:rsidR="00C759FE" w:rsidRDefault="00C759FE" w:rsidP="00DC6A71">
      <w:pPr>
        <w:pStyle w:val="datumtevilka"/>
        <w:rPr>
          <w:rFonts w:cs="Arial"/>
          <w:color w:val="000000"/>
          <w:lang w:eastAsia="en-US"/>
        </w:rPr>
      </w:pPr>
    </w:p>
    <w:p w14:paraId="3892AC8E" w14:textId="77777777" w:rsidR="00C759FE" w:rsidRDefault="00C759FE" w:rsidP="00DC6A71">
      <w:pPr>
        <w:pStyle w:val="datumtevilka"/>
        <w:rPr>
          <w:rFonts w:cs="Arial"/>
          <w:color w:val="000000"/>
          <w:lang w:eastAsia="en-US"/>
        </w:rPr>
      </w:pPr>
    </w:p>
    <w:p w14:paraId="103378E0" w14:textId="77777777" w:rsidR="00C759FE" w:rsidRDefault="00C759FE" w:rsidP="00DC6A71">
      <w:pPr>
        <w:pStyle w:val="datumtevilka"/>
        <w:rPr>
          <w:rFonts w:cs="Arial"/>
          <w:color w:val="000000"/>
          <w:lang w:eastAsia="en-US"/>
        </w:rPr>
      </w:pPr>
    </w:p>
    <w:p w14:paraId="188B6F14" w14:textId="77777777" w:rsidR="00C759FE" w:rsidRDefault="00C759FE" w:rsidP="00DC6A71">
      <w:pPr>
        <w:pStyle w:val="datumtevilka"/>
        <w:rPr>
          <w:rFonts w:cs="Arial"/>
          <w:color w:val="000000"/>
          <w:lang w:eastAsia="en-US"/>
        </w:rPr>
      </w:pPr>
    </w:p>
    <w:p w14:paraId="4C8AD220" w14:textId="77777777" w:rsidR="00C759FE" w:rsidRDefault="00C759FE" w:rsidP="00DC6A71">
      <w:pPr>
        <w:pStyle w:val="datumtevilka"/>
        <w:rPr>
          <w:rFonts w:cs="Arial"/>
          <w:color w:val="000000"/>
          <w:lang w:eastAsia="en-US"/>
        </w:rPr>
      </w:pPr>
    </w:p>
    <w:p w14:paraId="5347F751" w14:textId="77777777" w:rsidR="00C759FE" w:rsidRDefault="00C759FE" w:rsidP="00DC6A71">
      <w:pPr>
        <w:pStyle w:val="datumtevilka"/>
        <w:rPr>
          <w:rFonts w:cs="Arial"/>
          <w:color w:val="000000"/>
          <w:lang w:eastAsia="en-US"/>
        </w:rPr>
      </w:pPr>
    </w:p>
    <w:p w14:paraId="75A924FA" w14:textId="77777777" w:rsidR="00C759FE" w:rsidRDefault="00C759FE" w:rsidP="00DC6A71">
      <w:pPr>
        <w:pStyle w:val="datumtevilka"/>
        <w:rPr>
          <w:rFonts w:cs="Arial"/>
          <w:color w:val="000000"/>
          <w:lang w:eastAsia="en-US"/>
        </w:rPr>
      </w:pPr>
    </w:p>
    <w:p w14:paraId="16434461" w14:textId="77777777" w:rsidR="00C759FE" w:rsidRDefault="00C759FE" w:rsidP="00DC6A71">
      <w:pPr>
        <w:pStyle w:val="datumtevilka"/>
        <w:rPr>
          <w:rFonts w:cs="Arial"/>
          <w:color w:val="000000"/>
          <w:lang w:eastAsia="en-US"/>
        </w:rPr>
      </w:pPr>
    </w:p>
    <w:p w14:paraId="3FFDCB24" w14:textId="74FC833A" w:rsidR="007D75CF" w:rsidRPr="00F52007" w:rsidRDefault="007D75CF" w:rsidP="00DC6A71">
      <w:pPr>
        <w:pStyle w:val="datumtevilka"/>
      </w:pPr>
      <w:r w:rsidRPr="00F52007">
        <w:t xml:space="preserve">Številka: </w:t>
      </w:r>
      <w:r w:rsidRPr="00F52007">
        <w:tab/>
      </w:r>
      <w:bookmarkStart w:id="0" w:name="KlasSt"/>
      <w:r w:rsidRPr="00F52007">
        <w:t>010-481/2025-3130-3</w:t>
      </w:r>
      <w:bookmarkEnd w:id="0"/>
    </w:p>
    <w:p w14:paraId="0666EC63" w14:textId="77777777" w:rsidR="007D75CF" w:rsidRPr="00F52007" w:rsidRDefault="00144E3D" w:rsidP="00DC6A71">
      <w:pPr>
        <w:pStyle w:val="datumtevilka"/>
      </w:pPr>
      <w:r w:rsidRPr="00F52007">
        <w:t xml:space="preserve">Datum: </w:t>
      </w:r>
      <w:r w:rsidRPr="00F52007">
        <w:tab/>
      </w:r>
      <w:bookmarkStart w:id="1" w:name="DatumDokumenta"/>
      <w:r w:rsidRPr="00F52007">
        <w:t>24. 09. 2025</w:t>
      </w:r>
      <w:bookmarkEnd w:id="1"/>
      <w:r w:rsidRPr="00F52007">
        <w:t xml:space="preserve"> </w:t>
      </w:r>
    </w:p>
    <w:p w14:paraId="3587504E" w14:textId="77777777" w:rsidR="007D75CF" w:rsidRPr="00F52007" w:rsidRDefault="007D75CF" w:rsidP="007D75CF">
      <w:pPr>
        <w:rPr>
          <w:lang w:val="sl-SI"/>
        </w:rPr>
      </w:pPr>
    </w:p>
    <w:p w14:paraId="23209EF9" w14:textId="02BD83F9" w:rsidR="007D75CF" w:rsidRPr="00F52007" w:rsidRDefault="00144E3D" w:rsidP="00DC6A71">
      <w:pPr>
        <w:pStyle w:val="ZADEVA"/>
        <w:rPr>
          <w:lang w:val="sl-SI"/>
        </w:rPr>
      </w:pPr>
      <w:r w:rsidRPr="00F52007">
        <w:rPr>
          <w:lang w:val="sl-SI"/>
        </w:rPr>
        <w:t xml:space="preserve">Zadeva: </w:t>
      </w:r>
      <w:r w:rsidRPr="00F52007">
        <w:rPr>
          <w:lang w:val="sl-SI"/>
        </w:rPr>
        <w:tab/>
      </w:r>
      <w:bookmarkStart w:id="2" w:name="OpisDokumenta"/>
      <w:r w:rsidRPr="00F52007">
        <w:rPr>
          <w:lang w:val="sl-SI"/>
        </w:rPr>
        <w:t>Solidarnostna pomoč in cenzus</w:t>
      </w:r>
      <w:bookmarkEnd w:id="2"/>
    </w:p>
    <w:p w14:paraId="357F79BE" w14:textId="77777777" w:rsidR="007D75CF" w:rsidRPr="00F52007" w:rsidRDefault="007D75CF" w:rsidP="007D75CF">
      <w:pPr>
        <w:rPr>
          <w:lang w:val="sl-SI"/>
        </w:rPr>
      </w:pPr>
    </w:p>
    <w:p w14:paraId="766E4C35" w14:textId="77777777" w:rsidR="00AA3DC5" w:rsidRPr="00F52007" w:rsidRDefault="00144E3D" w:rsidP="00BD7628">
      <w:pPr>
        <w:jc w:val="both"/>
        <w:rPr>
          <w:rFonts w:cs="Arial"/>
          <w:szCs w:val="20"/>
          <w:lang w:val="sl-SI"/>
        </w:rPr>
      </w:pPr>
      <w:r w:rsidRPr="00F52007">
        <w:rPr>
          <w:rFonts w:cs="Arial"/>
          <w:szCs w:val="20"/>
          <w:lang w:val="sl-SI"/>
        </w:rPr>
        <w:t xml:space="preserve">Na </w:t>
      </w:r>
      <w:r w:rsidRPr="00F52007">
        <w:rPr>
          <w:rFonts w:cs="Arial"/>
          <w:bCs/>
          <w:color w:val="000000"/>
          <w:szCs w:val="20"/>
          <w:lang w:val="sl-SI"/>
        </w:rPr>
        <w:t>Ministrstvo za javno upravo</w:t>
      </w:r>
      <w:r w:rsidRPr="00F52007">
        <w:rPr>
          <w:rFonts w:cs="Arial"/>
          <w:szCs w:val="20"/>
          <w:lang w:val="sl-SI"/>
        </w:rPr>
        <w:t xml:space="preserve"> ste naslovili dopis z vprašanjem glede </w:t>
      </w:r>
      <w:r w:rsidR="008174AD" w:rsidRPr="00F52007">
        <w:rPr>
          <w:rFonts w:cs="Arial"/>
          <w:szCs w:val="20"/>
          <w:lang w:val="sl-SI"/>
        </w:rPr>
        <w:t>solidarnostne pomoči in cenzusa v letu 2025.</w:t>
      </w:r>
    </w:p>
    <w:p w14:paraId="006E7376" w14:textId="77777777" w:rsidR="00AA3DC5" w:rsidRPr="00F52007" w:rsidRDefault="00AA3DC5" w:rsidP="00BD7628">
      <w:pPr>
        <w:jc w:val="both"/>
        <w:rPr>
          <w:rFonts w:cs="Arial"/>
          <w:szCs w:val="20"/>
          <w:lang w:val="sl-SI"/>
        </w:rPr>
      </w:pPr>
    </w:p>
    <w:p w14:paraId="2850200E" w14:textId="77777777" w:rsidR="00AA3DC5" w:rsidRPr="00F52007" w:rsidRDefault="00144E3D" w:rsidP="008174AD">
      <w:pPr>
        <w:jc w:val="both"/>
        <w:rPr>
          <w:rFonts w:cs="Arial"/>
          <w:szCs w:val="20"/>
          <w:lang w:val="sl-SI"/>
        </w:rPr>
      </w:pPr>
      <w:r w:rsidRPr="00F52007">
        <w:rPr>
          <w:rFonts w:cs="Arial"/>
          <w:szCs w:val="20"/>
          <w:lang w:val="sl-SI"/>
        </w:rPr>
        <w:t>Uvodoma pojasnjujemo, da Ministrstvo za javno upravo ne more reševati oziroma odločati v konkretnih primerih, ampak lahko le posreduje mnenja in odgovore sistemske narave, predstojnik pa je tisti, ki odloča o pravicah in obveznostih javnih uslužbencev v konkretnem primeru, upoštevaje vse okoliščine primera.</w:t>
      </w:r>
    </w:p>
    <w:p w14:paraId="24EA76AE" w14:textId="77777777" w:rsidR="007D75CF" w:rsidRPr="00F52007" w:rsidRDefault="007D75CF" w:rsidP="008174AD">
      <w:pPr>
        <w:jc w:val="both"/>
        <w:rPr>
          <w:lang w:val="sl-SI"/>
        </w:rPr>
      </w:pPr>
    </w:p>
    <w:p w14:paraId="51D7BC07" w14:textId="77777777" w:rsidR="0017589B" w:rsidRPr="00F52007" w:rsidRDefault="00144E3D" w:rsidP="008174AD">
      <w:pPr>
        <w:jc w:val="both"/>
        <w:rPr>
          <w:lang w:val="sl-SI"/>
        </w:rPr>
      </w:pPr>
      <w:r w:rsidRPr="00F52007">
        <w:rPr>
          <w:lang w:val="sl-SI"/>
        </w:rPr>
        <w:t>Aneks h KPND (Uradni list št. 40/12, D) je v 13. členu (na novo) uredil solidarnostno pomoč:</w:t>
      </w:r>
    </w:p>
    <w:p w14:paraId="5C552D53" w14:textId="77777777" w:rsidR="0017589B" w:rsidRPr="00F52007" w:rsidRDefault="0017589B" w:rsidP="008174AD">
      <w:pPr>
        <w:jc w:val="both"/>
        <w:rPr>
          <w:lang w:val="sl-SI"/>
        </w:rPr>
      </w:pPr>
    </w:p>
    <w:p w14:paraId="4AB8A3F7" w14:textId="77777777" w:rsidR="0017589B" w:rsidRPr="00F52007" w:rsidRDefault="00144E3D" w:rsidP="008174AD">
      <w:pPr>
        <w:jc w:val="both"/>
        <w:rPr>
          <w:lang w:val="sl-SI"/>
        </w:rPr>
      </w:pPr>
      <w:r w:rsidRPr="00F52007">
        <w:rPr>
          <w:lang w:val="sl-SI"/>
        </w:rPr>
        <w:t>»(1) Delodajalec je dolžan izplačati javnemu uslužbencu solidarnostno pomoč v višini 577,51 EUR v primerih in po postopku, določenem v kolektivni pogodbi.</w:t>
      </w:r>
    </w:p>
    <w:p w14:paraId="28771A44" w14:textId="77777777" w:rsidR="0017589B" w:rsidRPr="00F52007" w:rsidRDefault="0017589B" w:rsidP="008174AD">
      <w:pPr>
        <w:jc w:val="both"/>
        <w:rPr>
          <w:lang w:val="sl-SI"/>
        </w:rPr>
      </w:pPr>
    </w:p>
    <w:p w14:paraId="7C376CE1" w14:textId="77777777" w:rsidR="0017589B" w:rsidRPr="00F52007" w:rsidRDefault="00144E3D" w:rsidP="008174AD">
      <w:pPr>
        <w:jc w:val="both"/>
        <w:rPr>
          <w:lang w:val="sl-SI"/>
        </w:rPr>
      </w:pPr>
      <w:r w:rsidRPr="00F52007">
        <w:rPr>
          <w:lang w:val="sl-SI"/>
        </w:rPr>
        <w:t>(2) Do izplačila solidarnostne pomoči je upravičen javni uslužbenec, če njegova osnovna plača v mesecu, ko se je zgodil primer, ne presega oziroma ne bi presegala višine minimalne plače. V primeru požara in naravne nesreče, kot jih določajo predpisi s področja varstva pred naravnimi in drugimi nesrečami, omejitve iz prejšnjega stavka ne veljajo.</w:t>
      </w:r>
    </w:p>
    <w:p w14:paraId="7558ED32" w14:textId="77777777" w:rsidR="0017589B" w:rsidRPr="00F52007" w:rsidRDefault="0017589B" w:rsidP="008174AD">
      <w:pPr>
        <w:jc w:val="both"/>
        <w:rPr>
          <w:lang w:val="sl-SI"/>
        </w:rPr>
      </w:pPr>
    </w:p>
    <w:p w14:paraId="6F9081EF" w14:textId="77777777" w:rsidR="0017589B" w:rsidRPr="00F52007" w:rsidRDefault="00144E3D" w:rsidP="008174AD">
      <w:pPr>
        <w:jc w:val="both"/>
        <w:rPr>
          <w:lang w:val="sl-SI"/>
        </w:rPr>
      </w:pPr>
      <w:r w:rsidRPr="00F52007">
        <w:rPr>
          <w:lang w:val="sl-SI"/>
        </w:rPr>
        <w:t>(3) Javni uslužbenec lahko vloži zahtevo za izplačilo solidarnostne pomoči v roku 60 dni od nastanka primera oziroma od trenutka, ko je bil zahtevo zmožen vložiti.«</w:t>
      </w:r>
    </w:p>
    <w:p w14:paraId="15D5A7E3" w14:textId="77777777" w:rsidR="0017589B" w:rsidRPr="00F52007" w:rsidRDefault="0017589B" w:rsidP="008174AD">
      <w:pPr>
        <w:jc w:val="both"/>
        <w:rPr>
          <w:lang w:val="sl-SI"/>
        </w:rPr>
      </w:pPr>
    </w:p>
    <w:p w14:paraId="40965EE5" w14:textId="77777777" w:rsidR="0017589B" w:rsidRPr="00F52007" w:rsidRDefault="00144E3D" w:rsidP="008174AD">
      <w:pPr>
        <w:jc w:val="both"/>
        <w:rPr>
          <w:lang w:val="sl-SI"/>
        </w:rPr>
      </w:pPr>
      <w:r w:rsidRPr="00F52007">
        <w:rPr>
          <w:lang w:val="sl-SI"/>
        </w:rPr>
        <w:t>Pogodbene stranke so se tako dogovorile glede višine, primerov, postopka, (ob upoštevanju namena solidarnostne pomoči) cenzusa višine plače in roka za vložitev zahteve. Pri primerih in postopku se dogovor sklicuje na določenost v 4. točki 40. člena KPND (v primerih in po postopku, določenem v kolektivni pogodbi). Ob upoštevanju dejstva, da elementarne nesreče (poplava, potres, plaz, žled itd.) in požar povzročajo večjo materialno škodo, pa cenzus višine plače za primer četrte alineje (elementarne nesreče in požar) ni bil določen.</w:t>
      </w:r>
    </w:p>
    <w:p w14:paraId="63C35034" w14:textId="77777777" w:rsidR="0017589B" w:rsidRPr="00F52007" w:rsidRDefault="0017589B" w:rsidP="008174AD">
      <w:pPr>
        <w:jc w:val="both"/>
        <w:rPr>
          <w:lang w:val="sl-SI"/>
        </w:rPr>
      </w:pPr>
    </w:p>
    <w:p w14:paraId="56E8D300" w14:textId="77777777" w:rsidR="0017589B" w:rsidRPr="00F52007" w:rsidRDefault="00144E3D" w:rsidP="008174AD">
      <w:pPr>
        <w:jc w:val="both"/>
        <w:rPr>
          <w:lang w:val="sl-SI"/>
        </w:rPr>
      </w:pPr>
      <w:r w:rsidRPr="00F52007">
        <w:rPr>
          <w:lang w:val="sl-SI"/>
        </w:rPr>
        <w:t>Aneks h KPND (Uradni list RS, št. 46/13) je v 6. členu uredil solidarnostno pomoč za člane reprezentativnega sindikata, podpisnike tega aneksa:</w:t>
      </w:r>
    </w:p>
    <w:p w14:paraId="3CF3875C" w14:textId="77777777" w:rsidR="0017589B" w:rsidRPr="00F52007" w:rsidRDefault="0017589B" w:rsidP="008174AD">
      <w:pPr>
        <w:jc w:val="both"/>
        <w:rPr>
          <w:lang w:val="sl-SI"/>
        </w:rPr>
      </w:pPr>
    </w:p>
    <w:p w14:paraId="659C9E86" w14:textId="77777777" w:rsidR="0017589B" w:rsidRPr="00F52007" w:rsidRDefault="00144E3D" w:rsidP="008174AD">
      <w:pPr>
        <w:jc w:val="both"/>
        <w:rPr>
          <w:lang w:val="sl-SI"/>
        </w:rPr>
      </w:pPr>
      <w:r w:rsidRPr="00F52007">
        <w:rPr>
          <w:lang w:val="sl-SI"/>
        </w:rPr>
        <w:lastRenderedPageBreak/>
        <w:t>»(1) Članu reprezentativnega sindikata, podpisnika tega aneksa, pripada za 20 odstotkov višja solidarnostna pomoč.</w:t>
      </w:r>
    </w:p>
    <w:p w14:paraId="447A6D2C" w14:textId="77777777" w:rsidR="0017589B" w:rsidRPr="00F52007" w:rsidRDefault="0017589B" w:rsidP="008174AD">
      <w:pPr>
        <w:jc w:val="both"/>
        <w:rPr>
          <w:lang w:val="sl-SI"/>
        </w:rPr>
      </w:pPr>
    </w:p>
    <w:p w14:paraId="27BAF971" w14:textId="77777777" w:rsidR="0017589B" w:rsidRPr="00F52007" w:rsidRDefault="00144E3D" w:rsidP="008174AD">
      <w:pPr>
        <w:jc w:val="both"/>
        <w:rPr>
          <w:lang w:val="sl-SI"/>
        </w:rPr>
      </w:pPr>
      <w:r w:rsidRPr="00F52007">
        <w:rPr>
          <w:lang w:val="sl-SI"/>
        </w:rPr>
        <w:t>(2) Do izplačila solidarnostne pomoči je upravičen član reprezentativnega sindikata iz prejšnjega odstavka, če njegova osnovna plača v mesecu, ko se je zgodil primer, ne presega oziroma ne bi presegala višine 130 odstotkov minimalne plače. V primeru požara in naravne nesreče, kot jih določajo predpisi s področja varstva pred naravnimi in drugimi nesrečami, omejitve iz prejšnjega stavka ne veljajo.</w:t>
      </w:r>
    </w:p>
    <w:p w14:paraId="4B003054" w14:textId="77777777" w:rsidR="0017589B" w:rsidRPr="00F52007" w:rsidRDefault="0017589B" w:rsidP="008174AD">
      <w:pPr>
        <w:jc w:val="both"/>
        <w:rPr>
          <w:lang w:val="sl-SI"/>
        </w:rPr>
      </w:pPr>
    </w:p>
    <w:p w14:paraId="614ADCE8" w14:textId="77777777" w:rsidR="0017589B" w:rsidRPr="00F52007" w:rsidRDefault="00144E3D" w:rsidP="008174AD">
      <w:pPr>
        <w:jc w:val="both"/>
        <w:rPr>
          <w:lang w:val="sl-SI"/>
        </w:rPr>
      </w:pPr>
      <w:r w:rsidRPr="00F52007">
        <w:rPr>
          <w:lang w:val="sl-SI"/>
        </w:rPr>
        <w:t>(3) Zahtevo za izplačilo solidarnostne pomoči iz prvega odstavka vloži sindikat, na predlog člana, v roku 60 dni od nastanka primera oziroma od trenutka, ko je bil upravičenec zmožen vložiti predlog.«</w:t>
      </w:r>
    </w:p>
    <w:p w14:paraId="10099AAF" w14:textId="77777777" w:rsidR="0017589B" w:rsidRPr="00F52007" w:rsidRDefault="0017589B" w:rsidP="008174AD">
      <w:pPr>
        <w:jc w:val="both"/>
        <w:rPr>
          <w:lang w:val="sl-SI"/>
        </w:rPr>
      </w:pPr>
    </w:p>
    <w:p w14:paraId="5B7FDC5A" w14:textId="77777777" w:rsidR="0017589B" w:rsidRPr="00F52007" w:rsidRDefault="00144E3D" w:rsidP="008174AD">
      <w:pPr>
        <w:jc w:val="both"/>
        <w:rPr>
          <w:lang w:val="sl-SI"/>
        </w:rPr>
      </w:pPr>
      <w:r w:rsidRPr="00F52007">
        <w:rPr>
          <w:lang w:val="sl-SI"/>
        </w:rPr>
        <w:t>Dogovor se nanaša na višino solidarnostne pomoči ter višino cenzusa za člane sindikata, podpisnika tega aneksa.</w:t>
      </w:r>
    </w:p>
    <w:p w14:paraId="53354C0D" w14:textId="77777777" w:rsidR="0017589B" w:rsidRPr="00F52007" w:rsidRDefault="0017589B" w:rsidP="008174AD">
      <w:pPr>
        <w:jc w:val="both"/>
        <w:rPr>
          <w:lang w:val="sl-SI"/>
        </w:rPr>
      </w:pPr>
    </w:p>
    <w:p w14:paraId="3EB36304" w14:textId="77777777" w:rsidR="0017589B" w:rsidRPr="00F52007" w:rsidRDefault="00144E3D" w:rsidP="008174AD">
      <w:pPr>
        <w:jc w:val="both"/>
        <w:rPr>
          <w:lang w:val="sl-SI"/>
        </w:rPr>
      </w:pPr>
      <w:r w:rsidRPr="00F52007">
        <w:rPr>
          <w:lang w:val="sl-SI"/>
        </w:rPr>
        <w:t>Aneks h KPND (Uradni list RS, št. 88/21) v 11. členu določa:</w:t>
      </w:r>
    </w:p>
    <w:p w14:paraId="02EA778F" w14:textId="77777777" w:rsidR="0017589B" w:rsidRPr="00F52007" w:rsidRDefault="0017589B" w:rsidP="008174AD">
      <w:pPr>
        <w:jc w:val="both"/>
        <w:rPr>
          <w:lang w:val="sl-SI"/>
        </w:rPr>
      </w:pPr>
    </w:p>
    <w:p w14:paraId="77F95A06" w14:textId="77777777" w:rsidR="0017589B" w:rsidRPr="00F52007" w:rsidRDefault="00144E3D" w:rsidP="008174AD">
      <w:pPr>
        <w:jc w:val="both"/>
        <w:rPr>
          <w:lang w:val="sl-SI"/>
        </w:rPr>
      </w:pPr>
      <w:r w:rsidRPr="00F52007">
        <w:rPr>
          <w:lang w:val="sl-SI"/>
        </w:rPr>
        <w:t xml:space="preserve">"Ne glede na drugi odstavek 6. člena Aneksa h Kolektivni pogodbi za negospodarske dejavnosti v Republiki Sloveniji (Uradni list RS, št. 46/13) je član reprezentativnega sindikata, podpisnika tega aneksa, upravičen do izplačila višje solidarnostne pomoči po prvem odstavku 6. člena Aneksa h Kolektivni pogodbi za negospodarske dejavnosti v Republiki Sloveniji (Uradni list RS, št. 46/13), če njegova osnovna plača v mesecu, ko se je zgodil primer iz 4. točke 40. člena Kolektivne pogodbe za negospodarske dejavnosti v Republiki Sloveniji (Uradni list RS, št. 18/91-I, 53/92, 13/93 – ZNOIP, 34/93, 12/94, 18/94 – ZRPJZ, 27/94, 59/94, 80/94, 64/95, 19/97, 37/97, 87/97 – ZPSDP, 3/98, 3/98, 39/99 – ZMPUPR, 39/99, 40/99 – </w:t>
      </w:r>
      <w:proofErr w:type="spellStart"/>
      <w:r w:rsidRPr="00F52007">
        <w:rPr>
          <w:lang w:val="sl-SI"/>
        </w:rPr>
        <w:t>popr</w:t>
      </w:r>
      <w:proofErr w:type="spellEnd"/>
      <w:r w:rsidRPr="00F52007">
        <w:rPr>
          <w:lang w:val="sl-SI"/>
        </w:rPr>
        <w:t>., 99/01, 73/03, 77/04, 115/05, 43/06 – ZKolP, 71/06, 138/06, 65/07, 67/07, 57/08 – KPJS, 67/08, 1/09, 2/10, 52/10, 2/11, 3/12, 40/12, 1/13, 46/13, 95/14, 91/15, 88/16, 80/18, 31/19, 80/19, 97/20 in 160/20), ne presega oziroma ne bi presegala višine 140 odstotkov minimalne plače. V primeru požara in naravne nesreče, kot jih določajo predpisi s področja varstva pred naravnimi in drugimi nesrečami, omejitve iz prejšnjega stavka ne veljajo."</w:t>
      </w:r>
    </w:p>
    <w:p w14:paraId="33FF9769" w14:textId="77777777" w:rsidR="0017589B" w:rsidRPr="00F52007" w:rsidRDefault="0017589B" w:rsidP="008174AD">
      <w:pPr>
        <w:jc w:val="both"/>
        <w:rPr>
          <w:lang w:val="sl-SI"/>
        </w:rPr>
      </w:pPr>
    </w:p>
    <w:p w14:paraId="6F607208" w14:textId="77777777" w:rsidR="00F57FED" w:rsidRPr="00F52007" w:rsidRDefault="00144E3D" w:rsidP="008174AD">
      <w:pPr>
        <w:jc w:val="both"/>
        <w:rPr>
          <w:lang w:val="sl-SI"/>
        </w:rPr>
      </w:pPr>
      <w:r w:rsidRPr="00F52007">
        <w:rPr>
          <w:lang w:val="sl-SI"/>
        </w:rPr>
        <w:t xml:space="preserve">Navedeno pomeni, da je pravna podlaga glede solidarnostne pomoči podana v KPND ter da za vse primere razen naravne nesreče in požara velja dogovorjeni cenzus.  </w:t>
      </w:r>
    </w:p>
    <w:p w14:paraId="62038368" w14:textId="77777777" w:rsidR="007E6DC5" w:rsidRPr="00F52007" w:rsidRDefault="007E6DC5" w:rsidP="007D75CF">
      <w:pPr>
        <w:rPr>
          <w:lang w:val="sl-SI"/>
        </w:rPr>
      </w:pPr>
    </w:p>
    <w:p w14:paraId="3BD51934" w14:textId="77777777" w:rsidR="008174AD" w:rsidRPr="00F52007" w:rsidRDefault="00144E3D" w:rsidP="008174AD">
      <w:pPr>
        <w:jc w:val="both"/>
        <w:rPr>
          <w:lang w:val="sl-SI"/>
        </w:rPr>
      </w:pPr>
      <w:r w:rsidRPr="00F52007">
        <w:rPr>
          <w:lang w:val="sl-SI"/>
        </w:rPr>
        <w:t xml:space="preserve">Vrhovno sodišče je v sodbi </w:t>
      </w:r>
      <w:r w:rsidRPr="00F52007">
        <w:rPr>
          <w:b/>
          <w:bCs/>
          <w:lang w:val="sl-SI"/>
        </w:rPr>
        <w:t xml:space="preserve">RS VIII </w:t>
      </w:r>
      <w:proofErr w:type="spellStart"/>
      <w:r w:rsidRPr="00F52007">
        <w:rPr>
          <w:b/>
          <w:bCs/>
          <w:lang w:val="sl-SI"/>
        </w:rPr>
        <w:t>Ips</w:t>
      </w:r>
      <w:proofErr w:type="spellEnd"/>
      <w:r w:rsidRPr="00F52007">
        <w:rPr>
          <w:b/>
          <w:bCs/>
          <w:lang w:val="sl-SI"/>
        </w:rPr>
        <w:t xml:space="preserve"> 29/2024 z dne 17.12.2024</w:t>
      </w:r>
      <w:r w:rsidRPr="00F52007">
        <w:rPr>
          <w:lang w:val="sl-SI"/>
        </w:rPr>
        <w:t xml:space="preserve"> zapisalo:</w:t>
      </w:r>
    </w:p>
    <w:p w14:paraId="7934B35C" w14:textId="77777777" w:rsidR="008174AD" w:rsidRPr="00F52007" w:rsidRDefault="008174AD" w:rsidP="008174AD">
      <w:pPr>
        <w:jc w:val="both"/>
        <w:rPr>
          <w:lang w:val="sl-SI"/>
        </w:rPr>
      </w:pPr>
    </w:p>
    <w:p w14:paraId="75D1B798" w14:textId="77777777" w:rsidR="008174AD" w:rsidRPr="00F52007" w:rsidRDefault="00144E3D" w:rsidP="008174AD">
      <w:pPr>
        <w:jc w:val="both"/>
        <w:rPr>
          <w:i/>
          <w:iCs/>
          <w:lang w:val="sl-SI"/>
        </w:rPr>
      </w:pPr>
      <w:r w:rsidRPr="00F52007">
        <w:rPr>
          <w:i/>
          <w:iCs/>
          <w:lang w:val="sl-SI"/>
        </w:rPr>
        <w:t>»16. V primerih enkratnega dogodka je logično in razumljivo, da prične teči 60-dnevni rok iz tretjega odstavka 6. člena Aneksa od nastanka tega dogodka. Drugačen pa je primer, ko je delavec upravičen do solidarnostne pomoči zaradi daljše bolezni. Daljša bolezen ni enkratni dogodek, temveč trajajoče stanje.</w:t>
      </w:r>
    </w:p>
    <w:p w14:paraId="097D4712" w14:textId="77777777" w:rsidR="008174AD" w:rsidRPr="00F52007" w:rsidRDefault="00144E3D" w:rsidP="008174AD">
      <w:pPr>
        <w:jc w:val="both"/>
        <w:rPr>
          <w:i/>
          <w:iCs/>
          <w:lang w:val="sl-SI"/>
        </w:rPr>
      </w:pPr>
      <w:r w:rsidRPr="00F52007">
        <w:rPr>
          <w:i/>
          <w:iCs/>
          <w:lang w:val="sl-SI"/>
        </w:rPr>
        <w:t>17. Delavec pridobi pravico do izplačila solidarnostne pomoči, ko nastopi dejstvo daljše bolezni (to je najmanj trimesečna začasna popolna ali delna nezmožnost opravljati delo). Predpostavlja se, da trajajo neugodne posledice zaradi daljše bolezni ves čas njenega trajanja. Zato datum pridobitve te pravice zaradi daljše bolezni ne pomeni, da sindikat izplačila solidarnostne pomoči ne more uveljavljati v nadaljnjem času trajanja daljše bolezni, in sicer tudi po poteku 60 dni od nastopa primera. Ni utemeljenega razloga za zaključek, da mu ta pravica preneha po izteku 60 dni od nastanka primera, ne glede na to, koliko časa daljša bolezen dejansko traja. V primeru bolezni, ki je daljša od treh mesecev, lahko sindikat zahteva izplačilo solidarnostne pomoči tudi po izteku 60 dni od poteka trimesečnega obdobja, ki definira pojem daljše bolezni. Takšno razumevanje roka iz tretjega odstavka 6. člena Aneksa je tudi v skladu z namenom solidarnostne pomoči.</w:t>
      </w:r>
    </w:p>
    <w:p w14:paraId="261C32F7" w14:textId="77777777" w:rsidR="008174AD" w:rsidRPr="00F52007" w:rsidRDefault="00144E3D" w:rsidP="008174AD">
      <w:pPr>
        <w:jc w:val="both"/>
        <w:rPr>
          <w:i/>
          <w:iCs/>
          <w:lang w:val="sl-SI"/>
        </w:rPr>
      </w:pPr>
      <w:r w:rsidRPr="00F52007">
        <w:rPr>
          <w:i/>
          <w:iCs/>
          <w:lang w:val="sl-SI"/>
        </w:rPr>
        <w:lastRenderedPageBreak/>
        <w:t xml:space="preserve">18. Določbo Aneksa o 60-dnevnem roku za vložitev zahteve za izplačilo solidarnostne pomoči v primeru daljše bolezni je treba razlagati tako, da delavec, ki je v bolniškem staležu zaradi daljše bolezni, </w:t>
      </w:r>
      <w:r w:rsidRPr="00F52007">
        <w:rPr>
          <w:b/>
          <w:bCs/>
          <w:i/>
          <w:iCs/>
          <w:lang w:val="sl-SI"/>
        </w:rPr>
        <w:t>pridobi pravico do izplačila solidarnostne pomoči po izteku treh mesecev bolniškega staleža, uveljavljanje te pravice pa ohrani ves čas nadaljnjega bolniškega staleža (ves čas trajanja daljše bolezni) in še 60 dni po zaključku tega staleža</w:t>
      </w:r>
      <w:r w:rsidRPr="00F52007">
        <w:rPr>
          <w:i/>
          <w:iCs/>
          <w:lang w:val="sl-SI"/>
        </w:rPr>
        <w:t>.«</w:t>
      </w:r>
    </w:p>
    <w:p w14:paraId="22DBF4C4" w14:textId="77777777" w:rsidR="008174AD" w:rsidRPr="00F52007" w:rsidRDefault="008174AD" w:rsidP="008174AD">
      <w:pPr>
        <w:jc w:val="both"/>
        <w:rPr>
          <w:lang w:val="sl-SI"/>
        </w:rPr>
      </w:pPr>
    </w:p>
    <w:p w14:paraId="6B49BE2B" w14:textId="77777777" w:rsidR="008174AD" w:rsidRPr="00F52007" w:rsidRDefault="00144E3D" w:rsidP="008174AD">
      <w:pPr>
        <w:jc w:val="both"/>
        <w:rPr>
          <w:lang w:val="sl-SI"/>
        </w:rPr>
      </w:pPr>
      <w:r w:rsidRPr="00F52007">
        <w:rPr>
          <w:lang w:val="sl-SI"/>
        </w:rPr>
        <w:t>Šteje se torej, da se je zgodil primer v mesecu, ko je javni uslužbenec izpolnil pogoj polnih treh mesecev odsotnosti</w:t>
      </w:r>
      <w:r w:rsidR="00F52007" w:rsidRPr="00F52007">
        <w:rPr>
          <w:lang w:val="sl-SI"/>
        </w:rPr>
        <w:t xml:space="preserve">, pravico pa lahko uveljavlja ves čas trajanja daljše bolezni in še 60 dni po zaključku tega staleža. </w:t>
      </w:r>
    </w:p>
    <w:p w14:paraId="071175F4" w14:textId="77777777" w:rsidR="008174AD" w:rsidRPr="00F52007" w:rsidRDefault="008174AD" w:rsidP="007D75CF">
      <w:pPr>
        <w:rPr>
          <w:lang w:val="sl-SI"/>
        </w:rPr>
      </w:pPr>
    </w:p>
    <w:p w14:paraId="43E6CEB5" w14:textId="77777777" w:rsidR="008174AD" w:rsidRPr="00F52007" w:rsidRDefault="00144E3D" w:rsidP="008174AD">
      <w:pPr>
        <w:jc w:val="both"/>
        <w:rPr>
          <w:lang w:val="sl-SI"/>
        </w:rPr>
      </w:pPr>
      <w:r w:rsidRPr="00F52007">
        <w:rPr>
          <w:lang w:val="sl-SI"/>
        </w:rPr>
        <w:t>V zvezi z osnovo za oceno cenzusa pojasnjujemo, da v prehodnem obdobju (1. 1. 2025 - 31. 12. 2027) osnovna plača javnega uslužbenca ni enaka vrednosti plačnega razreda, v katerega je javni uslužbenec sicer s 1. 1. 2025 uvrščen. Do osnovne plače tega plačnega razreda javni uslužbenec pride postopno (po tranšah), kot to določa 101. člen Zakona o skupnih temeljih sistema plač v javnem sektorju (Uradni list RS, št. 95/24). Ko je govora o “cenzusu” pri solidarnostni pomoči, kolektivne pogodbe govorijo o osnovni plači, ki pa v tem prehodnem obdobju ni enaka vrednosti plačnega razreda, ampak predstavlja seštevek vrednosti plačnega razreda na dan 31. 12. 2024 in deleža razlike (v večini primerov je to 100 evrov) med to vrednostjo in vrednostjo plačnega razreda, v katerega je javni uslužbenec uvrščen 1. 1. 2025. Ko bo izplačana zadnja tranša, potem pa bo osnovna plača javnega uslužbenca enaka vrednosti plačnega razreda, v katerega je sicer bil uvrščen že 1. 1. 2025.</w:t>
      </w:r>
    </w:p>
    <w:p w14:paraId="0894D105" w14:textId="77777777" w:rsidR="00F52007" w:rsidRPr="00F52007" w:rsidRDefault="00F52007" w:rsidP="008174AD">
      <w:pPr>
        <w:jc w:val="both"/>
        <w:rPr>
          <w:lang w:val="sl-SI"/>
        </w:rPr>
      </w:pPr>
    </w:p>
    <w:p w14:paraId="5023696F" w14:textId="77777777" w:rsidR="00F52007" w:rsidRPr="00F52007" w:rsidRDefault="00144E3D" w:rsidP="008174AD">
      <w:pPr>
        <w:jc w:val="both"/>
        <w:rPr>
          <w:lang w:val="sl-SI"/>
        </w:rPr>
      </w:pPr>
      <w:r w:rsidRPr="00F52007">
        <w:rPr>
          <w:lang w:val="sl-SI"/>
        </w:rPr>
        <w:t xml:space="preserve">Pripominjamo še, da </w:t>
      </w:r>
      <w:r>
        <w:rPr>
          <w:lang w:val="sl-SI"/>
        </w:rPr>
        <w:t xml:space="preserve">je višina cenzusa predmet pogajanj s sindikati. </w:t>
      </w:r>
    </w:p>
    <w:p w14:paraId="79909F23" w14:textId="77777777" w:rsidR="008174AD" w:rsidRPr="00F52007" w:rsidRDefault="008174AD" w:rsidP="007D75CF">
      <w:pPr>
        <w:rPr>
          <w:lang w:val="sl-SI"/>
        </w:rPr>
      </w:pPr>
    </w:p>
    <w:p w14:paraId="3C35FD6C" w14:textId="77777777" w:rsidR="008174AD" w:rsidRPr="00F52007" w:rsidRDefault="008174AD" w:rsidP="007D75CF">
      <w:pPr>
        <w:rPr>
          <w:lang w:val="sl-SI"/>
        </w:rPr>
      </w:pPr>
    </w:p>
    <w:p w14:paraId="7E47EDE0" w14:textId="77777777" w:rsidR="008174AD" w:rsidRPr="00F52007" w:rsidRDefault="008174AD" w:rsidP="007D75CF">
      <w:pPr>
        <w:rPr>
          <w:lang w:val="sl-SI"/>
        </w:rPr>
      </w:pPr>
    </w:p>
    <w:p w14:paraId="287D9BD1" w14:textId="77777777" w:rsidR="007D75CF" w:rsidRPr="00F52007" w:rsidRDefault="00144E3D" w:rsidP="007D75CF">
      <w:pPr>
        <w:rPr>
          <w:lang w:val="sl-SI"/>
        </w:rPr>
      </w:pPr>
      <w:r w:rsidRPr="00F52007">
        <w:rPr>
          <w:lang w:val="sl-SI"/>
        </w:rPr>
        <w:t>S spoštovanjem,</w:t>
      </w:r>
    </w:p>
    <w:p w14:paraId="75CF7B10" w14:textId="77777777" w:rsidR="007D75CF" w:rsidRPr="00F52007" w:rsidRDefault="007D75CF" w:rsidP="007D75CF">
      <w:pPr>
        <w:rPr>
          <w:lang w:val="sl-SI"/>
        </w:rPr>
      </w:pPr>
    </w:p>
    <w:p w14:paraId="33B1025C" w14:textId="77777777" w:rsidR="007D75CF" w:rsidRPr="00F52007" w:rsidRDefault="007D75CF" w:rsidP="007D75CF">
      <w:pPr>
        <w:rPr>
          <w:lang w:val="sl-SI"/>
        </w:rPr>
      </w:pPr>
    </w:p>
    <w:p w14:paraId="28B44C7B" w14:textId="6B1F68C4" w:rsidR="007D75CF" w:rsidRPr="00F52007" w:rsidRDefault="007D75CF" w:rsidP="003E1C74">
      <w:pPr>
        <w:pStyle w:val="podpisi"/>
        <w:rPr>
          <w:lang w:val="sl-SI"/>
        </w:rPr>
      </w:pPr>
    </w:p>
    <w:tbl>
      <w:tblPr>
        <w:tblStyle w:val="Tabelamrea"/>
        <w:tblW w:w="87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253"/>
      </w:tblGrid>
      <w:tr w:rsidR="00A12360" w14:paraId="2A02387E" w14:textId="77777777" w:rsidTr="00770E4E">
        <w:tc>
          <w:tcPr>
            <w:tcW w:w="4536" w:type="dxa"/>
          </w:tcPr>
          <w:p w14:paraId="27E6C1FC" w14:textId="1E06DBC9" w:rsidR="004D51AF" w:rsidRPr="00F52007" w:rsidRDefault="00144E3D" w:rsidP="00770E4E">
            <w:pPr>
              <w:pStyle w:val="podpisi"/>
              <w:ind w:left="-105"/>
              <w:rPr>
                <w:lang w:val="sl-SI"/>
              </w:rPr>
            </w:pPr>
            <w:r w:rsidRPr="00F52007">
              <w:rPr>
                <w:lang w:val="sl-SI"/>
              </w:rPr>
              <w:t xml:space="preserve">           </w:t>
            </w:r>
          </w:p>
        </w:tc>
        <w:tc>
          <w:tcPr>
            <w:tcW w:w="4253" w:type="dxa"/>
          </w:tcPr>
          <w:p w14:paraId="5AAC95F8" w14:textId="77777777" w:rsidR="004D51AF" w:rsidRPr="00F52007" w:rsidRDefault="00144E3D" w:rsidP="00770E4E">
            <w:pPr>
              <w:pStyle w:val="podpisi"/>
              <w:ind w:left="-105"/>
              <w:rPr>
                <w:lang w:val="sl-SI"/>
              </w:rPr>
            </w:pPr>
            <w:bookmarkStart w:id="3" w:name="PodpisnikImePriimek"/>
            <w:r w:rsidRPr="00F52007">
              <w:rPr>
                <w:lang w:val="sl-SI"/>
              </w:rPr>
              <w:t>Peter Pogačar</w:t>
            </w:r>
            <w:bookmarkEnd w:id="3"/>
          </w:p>
        </w:tc>
      </w:tr>
      <w:tr w:rsidR="00A12360" w14:paraId="56DD7130" w14:textId="77777777" w:rsidTr="00770E4E">
        <w:tc>
          <w:tcPr>
            <w:tcW w:w="4536" w:type="dxa"/>
          </w:tcPr>
          <w:p w14:paraId="323DF4BE" w14:textId="1BA72215" w:rsidR="004D51AF" w:rsidRPr="00F52007" w:rsidRDefault="004D51AF" w:rsidP="00770E4E">
            <w:pPr>
              <w:pStyle w:val="podpisi"/>
              <w:ind w:left="-105"/>
              <w:rPr>
                <w:lang w:val="sl-SI"/>
              </w:rPr>
            </w:pPr>
          </w:p>
        </w:tc>
        <w:tc>
          <w:tcPr>
            <w:tcW w:w="4253" w:type="dxa"/>
          </w:tcPr>
          <w:p w14:paraId="0DE2F4FE" w14:textId="77777777" w:rsidR="004D51AF" w:rsidRPr="00F52007" w:rsidRDefault="00144E3D" w:rsidP="00770E4E">
            <w:pPr>
              <w:pStyle w:val="podpisi"/>
              <w:ind w:left="-105"/>
              <w:rPr>
                <w:lang w:val="sl-SI"/>
              </w:rPr>
            </w:pPr>
            <w:bookmarkStart w:id="4" w:name="PodpisnikNazivDM"/>
            <w:r w:rsidRPr="00F52007">
              <w:rPr>
                <w:lang w:val="sl-SI"/>
              </w:rPr>
              <w:t xml:space="preserve">generalni direktor </w:t>
            </w:r>
            <w:bookmarkEnd w:id="4"/>
          </w:p>
        </w:tc>
      </w:tr>
    </w:tbl>
    <w:p w14:paraId="084C3221" w14:textId="77777777" w:rsidR="007D75CF" w:rsidRPr="00F52007" w:rsidRDefault="007D75CF" w:rsidP="004D51AF">
      <w:pPr>
        <w:pStyle w:val="podpisi"/>
        <w:rPr>
          <w:lang w:val="sl-SI"/>
        </w:rPr>
      </w:pPr>
    </w:p>
    <w:p w14:paraId="6E2BE0D8" w14:textId="77777777" w:rsidR="004D51AF" w:rsidRPr="00F52007" w:rsidRDefault="004D51AF" w:rsidP="004D51AF">
      <w:pPr>
        <w:pStyle w:val="podpisi"/>
        <w:rPr>
          <w:lang w:val="sl-SI"/>
        </w:rPr>
      </w:pPr>
    </w:p>
    <w:p w14:paraId="245DBBE7" w14:textId="77777777" w:rsidR="004D51AF" w:rsidRPr="00F52007" w:rsidRDefault="004D51AF" w:rsidP="004D51AF">
      <w:pPr>
        <w:pStyle w:val="podpisi"/>
        <w:rPr>
          <w:lang w:val="sl-SI"/>
        </w:rPr>
      </w:pPr>
    </w:p>
    <w:p w14:paraId="3AFE4317" w14:textId="77777777" w:rsidR="004D51AF" w:rsidRPr="00F52007" w:rsidRDefault="004D51AF" w:rsidP="004D51AF">
      <w:pPr>
        <w:pStyle w:val="podpisi"/>
        <w:rPr>
          <w:lang w:val="sl-SI"/>
        </w:rPr>
      </w:pPr>
    </w:p>
    <w:p w14:paraId="4760AFB5" w14:textId="77777777" w:rsidR="004D51AF" w:rsidRPr="00F52007" w:rsidRDefault="004D51AF" w:rsidP="004D51AF">
      <w:pPr>
        <w:pStyle w:val="podpisi"/>
        <w:rPr>
          <w:lang w:val="sl-SI"/>
        </w:rPr>
      </w:pPr>
    </w:p>
    <w:p w14:paraId="656DACDF" w14:textId="77777777" w:rsidR="004D51AF" w:rsidRPr="00F52007" w:rsidRDefault="004D51AF" w:rsidP="004D51AF">
      <w:pPr>
        <w:pStyle w:val="podpisi"/>
        <w:rPr>
          <w:lang w:val="sl-SI"/>
        </w:rPr>
      </w:pPr>
    </w:p>
    <w:sectPr w:rsidR="004D51AF" w:rsidRPr="00F52007" w:rsidSect="00623E84">
      <w:headerReference w:type="default" r:id="rId7"/>
      <w:headerReference w:type="first" r:id="rId8"/>
      <w:pgSz w:w="11900" w:h="16840" w:code="9"/>
      <w:pgMar w:top="1701" w:right="1701" w:bottom="1134" w:left="1701" w:header="1880"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DC05F" w14:textId="77777777" w:rsidR="00144E3D" w:rsidRDefault="00144E3D">
      <w:pPr>
        <w:spacing w:line="240" w:lineRule="auto"/>
      </w:pPr>
      <w:r>
        <w:separator/>
      </w:r>
    </w:p>
  </w:endnote>
  <w:endnote w:type="continuationSeparator" w:id="0">
    <w:p w14:paraId="6BF31EFD" w14:textId="77777777" w:rsidR="00144E3D" w:rsidRDefault="00144E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EF1ED" w14:textId="77777777" w:rsidR="00144E3D" w:rsidRDefault="00144E3D">
      <w:pPr>
        <w:spacing w:line="240" w:lineRule="auto"/>
      </w:pPr>
      <w:r>
        <w:separator/>
      </w:r>
    </w:p>
  </w:footnote>
  <w:footnote w:type="continuationSeparator" w:id="0">
    <w:p w14:paraId="0A7F7F1C" w14:textId="77777777" w:rsidR="00144E3D" w:rsidRDefault="00144E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6E619"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09D6D" w14:textId="25298B0D" w:rsidR="00A770A6" w:rsidRPr="008F3500" w:rsidRDefault="00144E3D" w:rsidP="00254C90">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60288" behindDoc="1" locked="0" layoutInCell="1" allowOverlap="1" wp14:anchorId="21B8D3FE" wp14:editId="4AA9740A">
          <wp:simplePos x="0" y="0"/>
          <wp:positionH relativeFrom="page">
            <wp:posOffset>612140</wp:posOffset>
          </wp:positionH>
          <wp:positionV relativeFrom="page">
            <wp:posOffset>648335</wp:posOffset>
          </wp:positionV>
          <wp:extent cx="2348865" cy="529590"/>
          <wp:effectExtent l="0" t="0" r="0" b="0"/>
          <wp:wrapNone/>
          <wp:docPr id="30" name="Slika 30" descr="MJU D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MJU DJ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8865" cy="529590"/>
                  </a:xfrm>
                  <a:prstGeom prst="rect">
                    <a:avLst/>
                  </a:prstGeom>
                  <a:noFill/>
                  <a:ln>
                    <a:noFill/>
                  </a:ln>
                </pic:spPr>
              </pic:pic>
            </a:graphicData>
          </a:graphic>
          <wp14:sizeRelH relativeFrom="page">
            <wp14:pctWidth>0</wp14:pctWidth>
          </wp14:sizeRelH>
          <wp14:sizeRelV relativeFrom="page">
            <wp14:pctHeight>0</wp14:pctHeight>
          </wp14:sizeRelV>
        </wp:anchor>
      </w:drawing>
    </w:r>
    <w:r w:rsidR="006E25B1">
      <w:rPr>
        <w:rFonts w:cs="Arial"/>
        <w:sz w:val="16"/>
        <w:lang w:val="sl-SI"/>
      </w:rPr>
      <w:t>Tržaška cesta 21, 1000</w:t>
    </w:r>
    <w:r w:rsidR="00623E84">
      <w:rPr>
        <w:rFonts w:cs="Arial"/>
        <w:sz w:val="16"/>
        <w:lang w:val="sl-SI"/>
      </w:rPr>
      <w:t xml:space="preserve"> Ljubljana</w:t>
    </w:r>
    <w:r w:rsidRPr="008F3500">
      <w:rPr>
        <w:rFonts w:cs="Arial"/>
        <w:sz w:val="16"/>
        <w:lang w:val="sl-SI"/>
      </w:rPr>
      <w:tab/>
      <w:t xml:space="preserve">T: </w:t>
    </w:r>
    <w:r w:rsidR="00623E84">
      <w:rPr>
        <w:rFonts w:cs="Arial"/>
        <w:sz w:val="16"/>
        <w:lang w:val="sl-SI"/>
      </w:rPr>
      <w:t xml:space="preserve">01 </w:t>
    </w:r>
    <w:r w:rsidR="00C75F77">
      <w:rPr>
        <w:rFonts w:cs="Arial"/>
        <w:sz w:val="16"/>
        <w:lang w:val="sl-SI"/>
      </w:rPr>
      <w:t>478 16 50</w:t>
    </w:r>
  </w:p>
  <w:p w14:paraId="44F412E6" w14:textId="77777777" w:rsidR="00A770A6" w:rsidRPr="008F3500" w:rsidRDefault="00144E3D"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BE0B5E">
      <w:rPr>
        <w:rFonts w:cs="Arial"/>
        <w:sz w:val="16"/>
        <w:lang w:val="sl-SI"/>
      </w:rPr>
      <w:t>gp</w:t>
    </w:r>
    <w:r w:rsidR="00CB716C">
      <w:rPr>
        <w:rFonts w:cs="Arial"/>
        <w:sz w:val="16"/>
        <w:lang w:val="sl-SI"/>
      </w:rPr>
      <w:t>.mju</w:t>
    </w:r>
    <w:r w:rsidR="00623E84">
      <w:rPr>
        <w:rFonts w:cs="Arial"/>
        <w:sz w:val="16"/>
        <w:lang w:val="sl-SI"/>
      </w:rPr>
      <w:t>@gov.si</w:t>
    </w:r>
  </w:p>
  <w:p w14:paraId="6285D326" w14:textId="77777777" w:rsidR="00A770A6" w:rsidRPr="008F3500" w:rsidRDefault="00144E3D"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E467C4">
      <w:rPr>
        <w:rFonts w:cs="Arial"/>
        <w:sz w:val="16"/>
        <w:lang w:val="sl-SI"/>
      </w:rPr>
      <w:t>www.mju</w:t>
    </w:r>
    <w:r w:rsidR="00623E84">
      <w:rPr>
        <w:rFonts w:cs="Arial"/>
        <w:sz w:val="16"/>
        <w:lang w:val="sl-SI"/>
      </w:rPr>
      <w:t>.gov.si</w:t>
    </w:r>
  </w:p>
  <w:p w14:paraId="43025197" w14:textId="77777777"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25CD1"/>
    <w:multiLevelType w:val="hybridMultilevel"/>
    <w:tmpl w:val="2D24329E"/>
    <w:lvl w:ilvl="0" w:tplc="84009206">
      <w:start w:val="1"/>
      <w:numFmt w:val="decimal"/>
      <w:lvlText w:val="%1."/>
      <w:lvlJc w:val="left"/>
      <w:pPr>
        <w:tabs>
          <w:tab w:val="num" w:pos="1080"/>
        </w:tabs>
        <w:ind w:left="1080" w:hanging="360"/>
      </w:pPr>
      <w:rPr>
        <w:rFonts w:hint="default"/>
      </w:rPr>
    </w:lvl>
    <w:lvl w:ilvl="1" w:tplc="9B84AFB2" w:tentative="1">
      <w:start w:val="1"/>
      <w:numFmt w:val="lowerLetter"/>
      <w:lvlText w:val="%2."/>
      <w:lvlJc w:val="left"/>
      <w:pPr>
        <w:ind w:left="1800" w:hanging="360"/>
      </w:pPr>
    </w:lvl>
    <w:lvl w:ilvl="2" w:tplc="D45C68A2" w:tentative="1">
      <w:start w:val="1"/>
      <w:numFmt w:val="lowerRoman"/>
      <w:lvlText w:val="%3."/>
      <w:lvlJc w:val="right"/>
      <w:pPr>
        <w:ind w:left="2520" w:hanging="180"/>
      </w:pPr>
    </w:lvl>
    <w:lvl w:ilvl="3" w:tplc="8714A3A0" w:tentative="1">
      <w:start w:val="1"/>
      <w:numFmt w:val="decimal"/>
      <w:lvlText w:val="%4."/>
      <w:lvlJc w:val="left"/>
      <w:pPr>
        <w:ind w:left="3240" w:hanging="360"/>
      </w:pPr>
    </w:lvl>
    <w:lvl w:ilvl="4" w:tplc="C1CA0FC8" w:tentative="1">
      <w:start w:val="1"/>
      <w:numFmt w:val="lowerLetter"/>
      <w:lvlText w:val="%5."/>
      <w:lvlJc w:val="left"/>
      <w:pPr>
        <w:ind w:left="3960" w:hanging="360"/>
      </w:pPr>
    </w:lvl>
    <w:lvl w:ilvl="5" w:tplc="CD3621C4" w:tentative="1">
      <w:start w:val="1"/>
      <w:numFmt w:val="lowerRoman"/>
      <w:lvlText w:val="%6."/>
      <w:lvlJc w:val="right"/>
      <w:pPr>
        <w:ind w:left="4680" w:hanging="180"/>
      </w:pPr>
    </w:lvl>
    <w:lvl w:ilvl="6" w:tplc="C84A39F4" w:tentative="1">
      <w:start w:val="1"/>
      <w:numFmt w:val="decimal"/>
      <w:lvlText w:val="%7."/>
      <w:lvlJc w:val="left"/>
      <w:pPr>
        <w:ind w:left="5400" w:hanging="360"/>
      </w:pPr>
    </w:lvl>
    <w:lvl w:ilvl="7" w:tplc="936C188C" w:tentative="1">
      <w:start w:val="1"/>
      <w:numFmt w:val="lowerLetter"/>
      <w:lvlText w:val="%8."/>
      <w:lvlJc w:val="left"/>
      <w:pPr>
        <w:ind w:left="6120" w:hanging="360"/>
      </w:pPr>
    </w:lvl>
    <w:lvl w:ilvl="8" w:tplc="381A99C4" w:tentative="1">
      <w:start w:val="1"/>
      <w:numFmt w:val="lowerRoman"/>
      <w:lvlText w:val="%9."/>
      <w:lvlJc w:val="right"/>
      <w:pPr>
        <w:ind w:left="6840" w:hanging="180"/>
      </w:pPr>
    </w:lvl>
  </w:abstractNum>
  <w:abstractNum w:abstractNumId="1" w15:restartNumberingAfterBreak="0">
    <w:nsid w:val="15185C12"/>
    <w:multiLevelType w:val="hybridMultilevel"/>
    <w:tmpl w:val="BF06C40C"/>
    <w:lvl w:ilvl="0" w:tplc="7A546F26">
      <w:start w:val="1"/>
      <w:numFmt w:val="decimal"/>
      <w:lvlText w:val="%1."/>
      <w:lvlJc w:val="left"/>
      <w:pPr>
        <w:tabs>
          <w:tab w:val="num" w:pos="360"/>
        </w:tabs>
        <w:ind w:left="360" w:hanging="360"/>
      </w:pPr>
      <w:rPr>
        <w:rFonts w:hint="default"/>
      </w:rPr>
    </w:lvl>
    <w:lvl w:ilvl="1" w:tplc="9EF83D44" w:tentative="1">
      <w:start w:val="1"/>
      <w:numFmt w:val="lowerLetter"/>
      <w:lvlText w:val="%2."/>
      <w:lvlJc w:val="left"/>
      <w:pPr>
        <w:ind w:left="1080" w:hanging="360"/>
      </w:pPr>
    </w:lvl>
    <w:lvl w:ilvl="2" w:tplc="CA34A860" w:tentative="1">
      <w:start w:val="1"/>
      <w:numFmt w:val="lowerRoman"/>
      <w:lvlText w:val="%3."/>
      <w:lvlJc w:val="right"/>
      <w:pPr>
        <w:ind w:left="1800" w:hanging="180"/>
      </w:pPr>
    </w:lvl>
    <w:lvl w:ilvl="3" w:tplc="097672B0" w:tentative="1">
      <w:start w:val="1"/>
      <w:numFmt w:val="decimal"/>
      <w:lvlText w:val="%4."/>
      <w:lvlJc w:val="left"/>
      <w:pPr>
        <w:ind w:left="2520" w:hanging="360"/>
      </w:pPr>
    </w:lvl>
    <w:lvl w:ilvl="4" w:tplc="6AB87CB4" w:tentative="1">
      <w:start w:val="1"/>
      <w:numFmt w:val="lowerLetter"/>
      <w:lvlText w:val="%5."/>
      <w:lvlJc w:val="left"/>
      <w:pPr>
        <w:ind w:left="3240" w:hanging="360"/>
      </w:pPr>
    </w:lvl>
    <w:lvl w:ilvl="5" w:tplc="6D8AE68A" w:tentative="1">
      <w:start w:val="1"/>
      <w:numFmt w:val="lowerRoman"/>
      <w:lvlText w:val="%6."/>
      <w:lvlJc w:val="right"/>
      <w:pPr>
        <w:ind w:left="3960" w:hanging="180"/>
      </w:pPr>
    </w:lvl>
    <w:lvl w:ilvl="6" w:tplc="0374BB24" w:tentative="1">
      <w:start w:val="1"/>
      <w:numFmt w:val="decimal"/>
      <w:lvlText w:val="%7."/>
      <w:lvlJc w:val="left"/>
      <w:pPr>
        <w:ind w:left="4680" w:hanging="360"/>
      </w:pPr>
    </w:lvl>
    <w:lvl w:ilvl="7" w:tplc="0A48A558" w:tentative="1">
      <w:start w:val="1"/>
      <w:numFmt w:val="lowerLetter"/>
      <w:lvlText w:val="%8."/>
      <w:lvlJc w:val="left"/>
      <w:pPr>
        <w:ind w:left="5400" w:hanging="360"/>
      </w:pPr>
    </w:lvl>
    <w:lvl w:ilvl="8" w:tplc="AC7477E4" w:tentative="1">
      <w:start w:val="1"/>
      <w:numFmt w:val="lowerRoman"/>
      <w:lvlText w:val="%9."/>
      <w:lvlJc w:val="right"/>
      <w:pPr>
        <w:ind w:left="6120" w:hanging="180"/>
      </w:pPr>
    </w:lvl>
  </w:abstractNum>
  <w:abstractNum w:abstractNumId="2" w15:restartNumberingAfterBreak="0">
    <w:nsid w:val="2D072372"/>
    <w:multiLevelType w:val="hybridMultilevel"/>
    <w:tmpl w:val="94FE8146"/>
    <w:lvl w:ilvl="0" w:tplc="45DC8C64">
      <w:start w:val="1"/>
      <w:numFmt w:val="decimal"/>
      <w:lvlText w:val="%1."/>
      <w:lvlJc w:val="left"/>
      <w:pPr>
        <w:tabs>
          <w:tab w:val="num" w:pos="720"/>
        </w:tabs>
        <w:ind w:left="720" w:hanging="360"/>
      </w:pPr>
      <w:rPr>
        <w:rFonts w:hint="default"/>
      </w:rPr>
    </w:lvl>
    <w:lvl w:ilvl="1" w:tplc="7A963DE8" w:tentative="1">
      <w:start w:val="1"/>
      <w:numFmt w:val="lowerLetter"/>
      <w:lvlText w:val="%2."/>
      <w:lvlJc w:val="left"/>
      <w:pPr>
        <w:tabs>
          <w:tab w:val="num" w:pos="1440"/>
        </w:tabs>
        <w:ind w:left="1440" w:hanging="360"/>
      </w:pPr>
    </w:lvl>
    <w:lvl w:ilvl="2" w:tplc="648A9954" w:tentative="1">
      <w:start w:val="1"/>
      <w:numFmt w:val="lowerRoman"/>
      <w:lvlText w:val="%3."/>
      <w:lvlJc w:val="right"/>
      <w:pPr>
        <w:tabs>
          <w:tab w:val="num" w:pos="2160"/>
        </w:tabs>
        <w:ind w:left="2160" w:hanging="180"/>
      </w:pPr>
    </w:lvl>
    <w:lvl w:ilvl="3" w:tplc="91C4B436" w:tentative="1">
      <w:start w:val="1"/>
      <w:numFmt w:val="decimal"/>
      <w:lvlText w:val="%4."/>
      <w:lvlJc w:val="left"/>
      <w:pPr>
        <w:tabs>
          <w:tab w:val="num" w:pos="2880"/>
        </w:tabs>
        <w:ind w:left="2880" w:hanging="360"/>
      </w:pPr>
    </w:lvl>
    <w:lvl w:ilvl="4" w:tplc="2420349A" w:tentative="1">
      <w:start w:val="1"/>
      <w:numFmt w:val="lowerLetter"/>
      <w:lvlText w:val="%5."/>
      <w:lvlJc w:val="left"/>
      <w:pPr>
        <w:tabs>
          <w:tab w:val="num" w:pos="3600"/>
        </w:tabs>
        <w:ind w:left="3600" w:hanging="360"/>
      </w:pPr>
    </w:lvl>
    <w:lvl w:ilvl="5" w:tplc="7660C1F2" w:tentative="1">
      <w:start w:val="1"/>
      <w:numFmt w:val="lowerRoman"/>
      <w:lvlText w:val="%6."/>
      <w:lvlJc w:val="right"/>
      <w:pPr>
        <w:tabs>
          <w:tab w:val="num" w:pos="4320"/>
        </w:tabs>
        <w:ind w:left="4320" w:hanging="180"/>
      </w:pPr>
    </w:lvl>
    <w:lvl w:ilvl="6" w:tplc="DCF413AC" w:tentative="1">
      <w:start w:val="1"/>
      <w:numFmt w:val="decimal"/>
      <w:lvlText w:val="%7."/>
      <w:lvlJc w:val="left"/>
      <w:pPr>
        <w:tabs>
          <w:tab w:val="num" w:pos="5040"/>
        </w:tabs>
        <w:ind w:left="5040" w:hanging="360"/>
      </w:pPr>
    </w:lvl>
    <w:lvl w:ilvl="7" w:tplc="FC4ED2FA" w:tentative="1">
      <w:start w:val="1"/>
      <w:numFmt w:val="lowerLetter"/>
      <w:lvlText w:val="%8."/>
      <w:lvlJc w:val="left"/>
      <w:pPr>
        <w:tabs>
          <w:tab w:val="num" w:pos="5760"/>
        </w:tabs>
        <w:ind w:left="5760" w:hanging="360"/>
      </w:pPr>
    </w:lvl>
    <w:lvl w:ilvl="8" w:tplc="3B58278C" w:tentative="1">
      <w:start w:val="1"/>
      <w:numFmt w:val="lowerRoman"/>
      <w:lvlText w:val="%9."/>
      <w:lvlJc w:val="right"/>
      <w:pPr>
        <w:tabs>
          <w:tab w:val="num" w:pos="6480"/>
        </w:tabs>
        <w:ind w:left="6480" w:hanging="180"/>
      </w:pPr>
    </w:lvl>
  </w:abstractNum>
  <w:abstractNum w:abstractNumId="3"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63AA4C44"/>
    <w:multiLevelType w:val="hybridMultilevel"/>
    <w:tmpl w:val="092E92F6"/>
    <w:lvl w:ilvl="0" w:tplc="CD6C426A">
      <w:start w:val="1"/>
      <w:numFmt w:val="decimal"/>
      <w:lvlText w:val="%1."/>
      <w:lvlJc w:val="left"/>
      <w:pPr>
        <w:tabs>
          <w:tab w:val="num" w:pos="720"/>
        </w:tabs>
        <w:ind w:left="720" w:hanging="360"/>
      </w:pPr>
    </w:lvl>
    <w:lvl w:ilvl="1" w:tplc="35E4C400" w:tentative="1">
      <w:start w:val="1"/>
      <w:numFmt w:val="lowerLetter"/>
      <w:lvlText w:val="%2."/>
      <w:lvlJc w:val="left"/>
      <w:pPr>
        <w:tabs>
          <w:tab w:val="num" w:pos="1440"/>
        </w:tabs>
        <w:ind w:left="1440" w:hanging="360"/>
      </w:pPr>
    </w:lvl>
    <w:lvl w:ilvl="2" w:tplc="B6EE5A28" w:tentative="1">
      <w:start w:val="1"/>
      <w:numFmt w:val="lowerRoman"/>
      <w:lvlText w:val="%3."/>
      <w:lvlJc w:val="right"/>
      <w:pPr>
        <w:tabs>
          <w:tab w:val="num" w:pos="2160"/>
        </w:tabs>
        <w:ind w:left="2160" w:hanging="180"/>
      </w:pPr>
    </w:lvl>
    <w:lvl w:ilvl="3" w:tplc="15C68B56" w:tentative="1">
      <w:start w:val="1"/>
      <w:numFmt w:val="decimal"/>
      <w:lvlText w:val="%4."/>
      <w:lvlJc w:val="left"/>
      <w:pPr>
        <w:tabs>
          <w:tab w:val="num" w:pos="2880"/>
        </w:tabs>
        <w:ind w:left="2880" w:hanging="360"/>
      </w:pPr>
    </w:lvl>
    <w:lvl w:ilvl="4" w:tplc="E69C710A" w:tentative="1">
      <w:start w:val="1"/>
      <w:numFmt w:val="lowerLetter"/>
      <w:lvlText w:val="%5."/>
      <w:lvlJc w:val="left"/>
      <w:pPr>
        <w:tabs>
          <w:tab w:val="num" w:pos="3600"/>
        </w:tabs>
        <w:ind w:left="3600" w:hanging="360"/>
      </w:pPr>
    </w:lvl>
    <w:lvl w:ilvl="5" w:tplc="05F275FC" w:tentative="1">
      <w:start w:val="1"/>
      <w:numFmt w:val="lowerRoman"/>
      <w:lvlText w:val="%6."/>
      <w:lvlJc w:val="right"/>
      <w:pPr>
        <w:tabs>
          <w:tab w:val="num" w:pos="4320"/>
        </w:tabs>
        <w:ind w:left="4320" w:hanging="180"/>
      </w:pPr>
    </w:lvl>
    <w:lvl w:ilvl="6" w:tplc="E6B2D706" w:tentative="1">
      <w:start w:val="1"/>
      <w:numFmt w:val="decimal"/>
      <w:lvlText w:val="%7."/>
      <w:lvlJc w:val="left"/>
      <w:pPr>
        <w:tabs>
          <w:tab w:val="num" w:pos="5040"/>
        </w:tabs>
        <w:ind w:left="5040" w:hanging="360"/>
      </w:pPr>
    </w:lvl>
    <w:lvl w:ilvl="7" w:tplc="8E84C1EE" w:tentative="1">
      <w:start w:val="1"/>
      <w:numFmt w:val="lowerLetter"/>
      <w:lvlText w:val="%8."/>
      <w:lvlJc w:val="left"/>
      <w:pPr>
        <w:tabs>
          <w:tab w:val="num" w:pos="5760"/>
        </w:tabs>
        <w:ind w:left="5760" w:hanging="360"/>
      </w:pPr>
    </w:lvl>
    <w:lvl w:ilvl="8" w:tplc="53487EB6" w:tentative="1">
      <w:start w:val="1"/>
      <w:numFmt w:val="lowerRoman"/>
      <w:lvlText w:val="%9."/>
      <w:lvlJc w:val="right"/>
      <w:pPr>
        <w:tabs>
          <w:tab w:val="num" w:pos="6480"/>
        </w:tabs>
        <w:ind w:left="6480" w:hanging="180"/>
      </w:pPr>
    </w:lvl>
  </w:abstractNum>
  <w:num w:numId="1" w16cid:durableId="1053116778">
    <w:abstractNumId w:val="4"/>
  </w:num>
  <w:num w:numId="2" w16cid:durableId="2070301842">
    <w:abstractNumId w:val="2"/>
  </w:num>
  <w:num w:numId="3" w16cid:durableId="303244051">
    <w:abstractNumId w:val="3"/>
  </w:num>
  <w:num w:numId="4" w16cid:durableId="1449549652">
    <w:abstractNumId w:val="0"/>
  </w:num>
  <w:num w:numId="5" w16cid:durableId="1315915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1B2"/>
    <w:rsid w:val="0001643A"/>
    <w:rsid w:val="00023A88"/>
    <w:rsid w:val="000A7238"/>
    <w:rsid w:val="00110CBD"/>
    <w:rsid w:val="00124E67"/>
    <w:rsid w:val="001357B2"/>
    <w:rsid w:val="001363E8"/>
    <w:rsid w:val="00144E3D"/>
    <w:rsid w:val="00157FE9"/>
    <w:rsid w:val="00174533"/>
    <w:rsid w:val="0017478F"/>
    <w:rsid w:val="0017589B"/>
    <w:rsid w:val="00177E7D"/>
    <w:rsid w:val="00202A77"/>
    <w:rsid w:val="00254C90"/>
    <w:rsid w:val="00271CE5"/>
    <w:rsid w:val="00282020"/>
    <w:rsid w:val="002835DD"/>
    <w:rsid w:val="002A2B69"/>
    <w:rsid w:val="002F464D"/>
    <w:rsid w:val="002F5BA4"/>
    <w:rsid w:val="003636BF"/>
    <w:rsid w:val="00371442"/>
    <w:rsid w:val="003822C8"/>
    <w:rsid w:val="003845B4"/>
    <w:rsid w:val="00387B1A"/>
    <w:rsid w:val="0039356A"/>
    <w:rsid w:val="003C5EE5"/>
    <w:rsid w:val="003C65AC"/>
    <w:rsid w:val="003E1C74"/>
    <w:rsid w:val="00404D75"/>
    <w:rsid w:val="004167BC"/>
    <w:rsid w:val="00417D18"/>
    <w:rsid w:val="00454CA1"/>
    <w:rsid w:val="004657EE"/>
    <w:rsid w:val="004B58BF"/>
    <w:rsid w:val="004D51AF"/>
    <w:rsid w:val="00526246"/>
    <w:rsid w:val="00535D20"/>
    <w:rsid w:val="00555FA2"/>
    <w:rsid w:val="00567106"/>
    <w:rsid w:val="005A56E0"/>
    <w:rsid w:val="005C1995"/>
    <w:rsid w:val="005E1D3C"/>
    <w:rsid w:val="00623E84"/>
    <w:rsid w:val="006242EF"/>
    <w:rsid w:val="00625AE6"/>
    <w:rsid w:val="00632253"/>
    <w:rsid w:val="00633DA3"/>
    <w:rsid w:val="00642714"/>
    <w:rsid w:val="006455CE"/>
    <w:rsid w:val="00647A86"/>
    <w:rsid w:val="00655841"/>
    <w:rsid w:val="00685E96"/>
    <w:rsid w:val="006A18CD"/>
    <w:rsid w:val="006E25B1"/>
    <w:rsid w:val="00710310"/>
    <w:rsid w:val="007151C3"/>
    <w:rsid w:val="00733017"/>
    <w:rsid w:val="00747BD5"/>
    <w:rsid w:val="00770E4E"/>
    <w:rsid w:val="00772735"/>
    <w:rsid w:val="00783310"/>
    <w:rsid w:val="007A49AA"/>
    <w:rsid w:val="007A4A6D"/>
    <w:rsid w:val="007D1BCF"/>
    <w:rsid w:val="007D75CF"/>
    <w:rsid w:val="007E0440"/>
    <w:rsid w:val="007E6DC5"/>
    <w:rsid w:val="008174AD"/>
    <w:rsid w:val="0088043C"/>
    <w:rsid w:val="00884889"/>
    <w:rsid w:val="008906C9"/>
    <w:rsid w:val="00890A17"/>
    <w:rsid w:val="008C5738"/>
    <w:rsid w:val="008D04F0"/>
    <w:rsid w:val="008D588E"/>
    <w:rsid w:val="008D5F69"/>
    <w:rsid w:val="008F3500"/>
    <w:rsid w:val="00924E3C"/>
    <w:rsid w:val="009612BB"/>
    <w:rsid w:val="009649C9"/>
    <w:rsid w:val="00964BF5"/>
    <w:rsid w:val="009B7F79"/>
    <w:rsid w:val="009C128D"/>
    <w:rsid w:val="009C740A"/>
    <w:rsid w:val="009E0445"/>
    <w:rsid w:val="00A119BF"/>
    <w:rsid w:val="00A12360"/>
    <w:rsid w:val="00A125C5"/>
    <w:rsid w:val="00A2451C"/>
    <w:rsid w:val="00A26766"/>
    <w:rsid w:val="00A43EF7"/>
    <w:rsid w:val="00A528E3"/>
    <w:rsid w:val="00A65EE7"/>
    <w:rsid w:val="00A70133"/>
    <w:rsid w:val="00A770A6"/>
    <w:rsid w:val="00A813B1"/>
    <w:rsid w:val="00AA05A8"/>
    <w:rsid w:val="00AA3DC5"/>
    <w:rsid w:val="00AB36C4"/>
    <w:rsid w:val="00AC32B2"/>
    <w:rsid w:val="00B17141"/>
    <w:rsid w:val="00B31575"/>
    <w:rsid w:val="00B8547D"/>
    <w:rsid w:val="00BA55C3"/>
    <w:rsid w:val="00BB1718"/>
    <w:rsid w:val="00BD06AD"/>
    <w:rsid w:val="00BD7628"/>
    <w:rsid w:val="00BE0B5E"/>
    <w:rsid w:val="00C1655C"/>
    <w:rsid w:val="00C250D5"/>
    <w:rsid w:val="00C35666"/>
    <w:rsid w:val="00C42998"/>
    <w:rsid w:val="00C759FE"/>
    <w:rsid w:val="00C75F77"/>
    <w:rsid w:val="00C92898"/>
    <w:rsid w:val="00CA4340"/>
    <w:rsid w:val="00CB716C"/>
    <w:rsid w:val="00CC46DA"/>
    <w:rsid w:val="00CE5238"/>
    <w:rsid w:val="00CE69B6"/>
    <w:rsid w:val="00CE7514"/>
    <w:rsid w:val="00D248DE"/>
    <w:rsid w:val="00D8542D"/>
    <w:rsid w:val="00DC6A71"/>
    <w:rsid w:val="00DF71B2"/>
    <w:rsid w:val="00E0357D"/>
    <w:rsid w:val="00E124B4"/>
    <w:rsid w:val="00E467C4"/>
    <w:rsid w:val="00E70005"/>
    <w:rsid w:val="00ED1C3E"/>
    <w:rsid w:val="00F240BB"/>
    <w:rsid w:val="00F52007"/>
    <w:rsid w:val="00F57FED"/>
    <w:rsid w:val="00F74423"/>
    <w:rsid w:val="00FC7E23"/>
    <w:rsid w:val="00FD44A2"/>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7E6836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1099</Words>
  <Characters>6229</Characters>
  <Application>Microsoft Office Word</Application>
  <DocSecurity>0</DocSecurity>
  <Lines>51</Lines>
  <Paragraphs>14</Paragraphs>
  <ScaleCrop>false</ScaleCrop>
  <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2026-03-17T13:08:00Z</dcterms:created>
  <dcterms:modified xsi:type="dcterms:W3CDTF">2026-03-17T13:17:00Z</dcterms:modified>
</cp:coreProperties>
</file>