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62B986" w14:textId="23849290" w:rsidR="00C330EA" w:rsidRDefault="00C330EA" w:rsidP="00C330EA">
      <w:pPr>
        <w:jc w:val="both"/>
        <w:rPr>
          <w:rFonts w:cs="Arial"/>
          <w:b/>
          <w:color w:val="000000"/>
          <w:szCs w:val="20"/>
        </w:rPr>
      </w:pPr>
    </w:p>
    <w:p w14:paraId="2FF76FB0" w14:textId="77777777" w:rsidR="00A53DFC" w:rsidRDefault="00A53DFC" w:rsidP="00C330EA">
      <w:pPr>
        <w:jc w:val="both"/>
        <w:rPr>
          <w:rFonts w:cs="Arial"/>
          <w:b/>
          <w:color w:val="000000"/>
          <w:szCs w:val="20"/>
        </w:rPr>
      </w:pPr>
    </w:p>
    <w:p w14:paraId="497416A1" w14:textId="77777777" w:rsidR="00C330EA" w:rsidRPr="00D41247" w:rsidRDefault="00C330EA" w:rsidP="00C330EA">
      <w:pPr>
        <w:jc w:val="both"/>
        <w:rPr>
          <w:rFonts w:cs="Arial"/>
          <w:b/>
          <w:color w:val="000000"/>
          <w:szCs w:val="20"/>
        </w:rPr>
      </w:pPr>
    </w:p>
    <w:p w14:paraId="05950D3C" w14:textId="77777777" w:rsidR="00C330EA" w:rsidRPr="00D41247" w:rsidRDefault="00C330EA" w:rsidP="00C330EA">
      <w:pPr>
        <w:jc w:val="both"/>
        <w:rPr>
          <w:rFonts w:cs="Arial"/>
          <w:b/>
          <w:color w:val="000000"/>
          <w:szCs w:val="20"/>
        </w:rPr>
      </w:pPr>
      <w:r w:rsidRPr="00D41247">
        <w:rPr>
          <w:rFonts w:cs="Arial"/>
          <w:b/>
          <w:color w:val="000000"/>
          <w:szCs w:val="20"/>
        </w:rPr>
        <w:t>URAD PREDSEDNIKA REPUBLIKE</w:t>
      </w:r>
    </w:p>
    <w:p w14:paraId="42297C1B" w14:textId="77777777" w:rsidR="00C330EA" w:rsidRPr="00D41247" w:rsidRDefault="00C330EA" w:rsidP="00C330EA">
      <w:pPr>
        <w:jc w:val="both"/>
        <w:rPr>
          <w:rFonts w:cs="Arial"/>
          <w:b/>
          <w:color w:val="000000"/>
          <w:szCs w:val="20"/>
        </w:rPr>
      </w:pPr>
      <w:r w:rsidRPr="00D41247">
        <w:rPr>
          <w:rFonts w:cs="Arial"/>
          <w:b/>
          <w:color w:val="000000"/>
          <w:szCs w:val="20"/>
        </w:rPr>
        <w:t>DRŽAVNI ZBOR REPUBLIKE SLOVENIJE</w:t>
      </w:r>
    </w:p>
    <w:p w14:paraId="4C8AF252" w14:textId="77777777" w:rsidR="00C330EA" w:rsidRPr="00D41247" w:rsidRDefault="00C330EA" w:rsidP="00C330EA">
      <w:pPr>
        <w:jc w:val="both"/>
        <w:rPr>
          <w:rFonts w:cs="Arial"/>
          <w:b/>
          <w:color w:val="000000"/>
          <w:szCs w:val="20"/>
        </w:rPr>
      </w:pPr>
      <w:r w:rsidRPr="00D41247">
        <w:rPr>
          <w:rFonts w:cs="Arial"/>
          <w:b/>
          <w:color w:val="000000"/>
          <w:szCs w:val="20"/>
        </w:rPr>
        <w:t>DRŽAVNI SVET REPUBLIKE SLOVENIJE</w:t>
      </w:r>
    </w:p>
    <w:p w14:paraId="097F1DD1" w14:textId="77777777" w:rsidR="00C330EA" w:rsidRPr="00D41247" w:rsidRDefault="00C330EA" w:rsidP="00C330EA">
      <w:pPr>
        <w:jc w:val="both"/>
        <w:rPr>
          <w:rFonts w:cs="Arial"/>
          <w:b/>
          <w:color w:val="000000"/>
          <w:szCs w:val="20"/>
        </w:rPr>
      </w:pPr>
      <w:r w:rsidRPr="00D41247">
        <w:rPr>
          <w:rFonts w:cs="Arial"/>
          <w:b/>
          <w:color w:val="000000"/>
          <w:szCs w:val="20"/>
        </w:rPr>
        <w:t>USTAVNO SODIŠČE REPUBLIKE SLOVENIJE</w:t>
      </w:r>
    </w:p>
    <w:p w14:paraId="6CA78F39" w14:textId="77777777" w:rsidR="00C330EA" w:rsidRPr="00D41247" w:rsidRDefault="00C330EA" w:rsidP="00C330EA">
      <w:pPr>
        <w:jc w:val="both"/>
        <w:rPr>
          <w:rFonts w:cs="Arial"/>
          <w:b/>
          <w:color w:val="000000"/>
          <w:szCs w:val="20"/>
        </w:rPr>
      </w:pPr>
      <w:r w:rsidRPr="00D41247">
        <w:rPr>
          <w:rFonts w:cs="Arial"/>
          <w:b/>
          <w:color w:val="000000"/>
          <w:szCs w:val="20"/>
        </w:rPr>
        <w:t>RAČUNSKO SODIŠČE REPUBLIKE SLOVENIJE</w:t>
      </w:r>
    </w:p>
    <w:p w14:paraId="732E75AA" w14:textId="77777777" w:rsidR="00C330EA" w:rsidRPr="00D41247" w:rsidRDefault="00C330EA" w:rsidP="00C330EA">
      <w:pPr>
        <w:jc w:val="both"/>
        <w:rPr>
          <w:rFonts w:cs="Arial"/>
          <w:b/>
          <w:color w:val="000000"/>
          <w:szCs w:val="20"/>
        </w:rPr>
      </w:pPr>
      <w:r w:rsidRPr="00D41247">
        <w:rPr>
          <w:rFonts w:cs="Arial"/>
          <w:b/>
          <w:color w:val="000000"/>
          <w:szCs w:val="20"/>
        </w:rPr>
        <w:t>VARUH ČLOVEKOVIH PRAVIC REPUBLIKE SLOVENIJE</w:t>
      </w:r>
    </w:p>
    <w:p w14:paraId="5864F39E" w14:textId="77777777" w:rsidR="00C330EA" w:rsidRPr="00D41247" w:rsidRDefault="00C330EA" w:rsidP="00C330EA">
      <w:pPr>
        <w:jc w:val="both"/>
        <w:rPr>
          <w:rFonts w:cs="Arial"/>
          <w:b/>
          <w:color w:val="000000"/>
          <w:szCs w:val="20"/>
        </w:rPr>
      </w:pPr>
      <w:r w:rsidRPr="00D41247">
        <w:rPr>
          <w:rFonts w:cs="Arial"/>
          <w:b/>
          <w:color w:val="000000"/>
          <w:szCs w:val="20"/>
        </w:rPr>
        <w:t>DRŽAVNA REVIZIJSKA KOMISIJA REPUBLIKE SLOVENIJE</w:t>
      </w:r>
    </w:p>
    <w:p w14:paraId="33E2CDCA" w14:textId="77777777" w:rsidR="00C330EA" w:rsidRPr="00D41247" w:rsidRDefault="00C330EA" w:rsidP="00C330EA">
      <w:pPr>
        <w:jc w:val="both"/>
        <w:rPr>
          <w:rFonts w:cs="Arial"/>
          <w:b/>
          <w:color w:val="000000"/>
          <w:szCs w:val="20"/>
        </w:rPr>
      </w:pPr>
      <w:r w:rsidRPr="00D41247">
        <w:rPr>
          <w:rFonts w:cs="Arial"/>
          <w:b/>
          <w:color w:val="000000"/>
          <w:szCs w:val="20"/>
        </w:rPr>
        <w:t>INFORMACIJSKI POOBLAŠČENEC REPUBLIKE SLOVENIJE</w:t>
      </w:r>
    </w:p>
    <w:p w14:paraId="1EFD8C9C" w14:textId="77777777" w:rsidR="00C330EA" w:rsidRPr="00D41247" w:rsidRDefault="00C330EA" w:rsidP="00C330EA">
      <w:pPr>
        <w:jc w:val="both"/>
        <w:rPr>
          <w:rFonts w:cs="Arial"/>
          <w:b/>
          <w:szCs w:val="20"/>
        </w:rPr>
      </w:pPr>
      <w:r w:rsidRPr="00D41247">
        <w:rPr>
          <w:rFonts w:cs="Arial"/>
          <w:b/>
          <w:szCs w:val="20"/>
        </w:rPr>
        <w:t>KOMISIJA ZA PREPREČEVANJE KORUPCIJE REPUBLIKE SLOVENIJE</w:t>
      </w:r>
    </w:p>
    <w:p w14:paraId="0008086E" w14:textId="77777777" w:rsidR="00C330EA" w:rsidRPr="00D41247" w:rsidRDefault="00C330EA" w:rsidP="00C330EA">
      <w:pPr>
        <w:jc w:val="both"/>
        <w:rPr>
          <w:rFonts w:cs="Arial"/>
          <w:b/>
          <w:szCs w:val="20"/>
        </w:rPr>
      </w:pPr>
      <w:r w:rsidRPr="00D41247">
        <w:rPr>
          <w:rFonts w:cs="Arial"/>
          <w:b/>
          <w:szCs w:val="20"/>
        </w:rPr>
        <w:t>DRŽAVNA VOLILNA KOMISIJA</w:t>
      </w:r>
    </w:p>
    <w:p w14:paraId="4F380993" w14:textId="77777777" w:rsidR="00C330EA" w:rsidRPr="00D41247" w:rsidRDefault="00C330EA" w:rsidP="00C330EA">
      <w:pPr>
        <w:jc w:val="both"/>
        <w:rPr>
          <w:rFonts w:cs="Arial"/>
          <w:b/>
          <w:szCs w:val="20"/>
        </w:rPr>
      </w:pPr>
      <w:r w:rsidRPr="00D41247">
        <w:rPr>
          <w:rFonts w:cs="Arial"/>
          <w:b/>
          <w:szCs w:val="20"/>
        </w:rPr>
        <w:t>FISKALNI SVET</w:t>
      </w:r>
    </w:p>
    <w:p w14:paraId="33D42D49" w14:textId="77777777" w:rsidR="00C330EA" w:rsidRPr="00D41247" w:rsidRDefault="00C330EA" w:rsidP="00C330EA">
      <w:pPr>
        <w:jc w:val="both"/>
        <w:rPr>
          <w:rFonts w:cs="Arial"/>
          <w:b/>
          <w:szCs w:val="20"/>
        </w:rPr>
      </w:pPr>
      <w:r w:rsidRPr="00D41247">
        <w:rPr>
          <w:rFonts w:cs="Arial"/>
          <w:b/>
          <w:szCs w:val="20"/>
        </w:rPr>
        <w:t>SODNI SVET</w:t>
      </w:r>
    </w:p>
    <w:p w14:paraId="6DDA2BAC" w14:textId="77777777" w:rsidR="00C330EA" w:rsidRPr="00D41247" w:rsidRDefault="00C330EA" w:rsidP="00C330EA">
      <w:pPr>
        <w:jc w:val="both"/>
        <w:rPr>
          <w:rFonts w:cs="Arial"/>
          <w:b/>
          <w:szCs w:val="20"/>
        </w:rPr>
      </w:pPr>
      <w:r w:rsidRPr="00D41247">
        <w:rPr>
          <w:rFonts w:cs="Arial"/>
          <w:b/>
          <w:szCs w:val="20"/>
        </w:rPr>
        <w:t>ZAGOVORNIK NAČELA ENAKOSTI</w:t>
      </w:r>
    </w:p>
    <w:p w14:paraId="65CA63BD" w14:textId="77777777" w:rsidR="00C330EA" w:rsidRPr="00D41247" w:rsidRDefault="00C330EA" w:rsidP="00C330EA">
      <w:pPr>
        <w:jc w:val="both"/>
        <w:rPr>
          <w:rFonts w:cs="Arial"/>
          <w:b/>
          <w:szCs w:val="20"/>
        </w:rPr>
      </w:pPr>
    </w:p>
    <w:p w14:paraId="2061260D" w14:textId="77777777" w:rsidR="00C330EA" w:rsidRPr="00D41247" w:rsidRDefault="00C330EA" w:rsidP="00C330EA">
      <w:pPr>
        <w:jc w:val="both"/>
        <w:rPr>
          <w:rFonts w:cs="Arial"/>
          <w:b/>
          <w:szCs w:val="20"/>
        </w:rPr>
      </w:pPr>
      <w:r w:rsidRPr="00D41247">
        <w:rPr>
          <w:rFonts w:cs="Arial"/>
          <w:b/>
          <w:szCs w:val="20"/>
        </w:rPr>
        <w:t>VRHOVNO SODIŠČE REPUBLIKE SLOVENIJE</w:t>
      </w:r>
    </w:p>
    <w:p w14:paraId="49FD72C6" w14:textId="77777777" w:rsidR="00C330EA" w:rsidRPr="00D41247" w:rsidRDefault="00C330EA" w:rsidP="00C330EA">
      <w:pPr>
        <w:jc w:val="both"/>
        <w:rPr>
          <w:rFonts w:cs="Arial"/>
          <w:b/>
          <w:szCs w:val="20"/>
        </w:rPr>
      </w:pPr>
      <w:r w:rsidRPr="00D41247">
        <w:rPr>
          <w:rFonts w:cs="Arial"/>
          <w:b/>
          <w:szCs w:val="20"/>
        </w:rPr>
        <w:t>VRHOVNO DRŽAVNO TOŽILSTVO</w:t>
      </w:r>
    </w:p>
    <w:p w14:paraId="1B28FCA9" w14:textId="77777777" w:rsidR="00C330EA" w:rsidRPr="00D41247" w:rsidRDefault="00C330EA" w:rsidP="00C330EA">
      <w:pPr>
        <w:jc w:val="both"/>
        <w:rPr>
          <w:rFonts w:cs="Arial"/>
          <w:b/>
          <w:szCs w:val="20"/>
        </w:rPr>
      </w:pPr>
      <w:r w:rsidRPr="00D41247">
        <w:rPr>
          <w:rFonts w:cs="Arial"/>
          <w:b/>
          <w:szCs w:val="20"/>
        </w:rPr>
        <w:t>DRŽAVNO ODVETNIŠTVO</w:t>
      </w:r>
    </w:p>
    <w:p w14:paraId="0E7193FF" w14:textId="77777777" w:rsidR="00C330EA" w:rsidRPr="00D41247" w:rsidRDefault="00C330EA" w:rsidP="00C330EA">
      <w:pPr>
        <w:jc w:val="both"/>
        <w:rPr>
          <w:rFonts w:cs="Arial"/>
          <w:b/>
          <w:szCs w:val="20"/>
        </w:rPr>
      </w:pPr>
    </w:p>
    <w:p w14:paraId="364764BF" w14:textId="77777777" w:rsidR="00C330EA" w:rsidRPr="00D41247" w:rsidRDefault="00C330EA" w:rsidP="00C330EA">
      <w:pPr>
        <w:jc w:val="both"/>
        <w:rPr>
          <w:rFonts w:cs="Arial"/>
          <w:b/>
          <w:szCs w:val="20"/>
        </w:rPr>
      </w:pPr>
      <w:r w:rsidRPr="00D41247">
        <w:rPr>
          <w:rFonts w:cs="Arial"/>
          <w:b/>
          <w:szCs w:val="20"/>
        </w:rPr>
        <w:t>OBČINE</w:t>
      </w:r>
    </w:p>
    <w:p w14:paraId="6BF0B552" w14:textId="77777777" w:rsidR="00C330EA" w:rsidRPr="00D41247" w:rsidRDefault="00C330EA" w:rsidP="00C330EA">
      <w:pPr>
        <w:jc w:val="both"/>
        <w:rPr>
          <w:rFonts w:cs="Arial"/>
          <w:b/>
          <w:szCs w:val="20"/>
        </w:rPr>
      </w:pPr>
      <w:r w:rsidRPr="00D41247">
        <w:rPr>
          <w:rFonts w:cs="Arial"/>
          <w:b/>
          <w:szCs w:val="20"/>
        </w:rPr>
        <w:t>ZDRUŽENJE OBČIN SLOVENIJE</w:t>
      </w:r>
    </w:p>
    <w:p w14:paraId="0C690500" w14:textId="77777777" w:rsidR="00C330EA" w:rsidRPr="00D41247" w:rsidRDefault="00C330EA" w:rsidP="00C330EA">
      <w:pPr>
        <w:jc w:val="both"/>
        <w:rPr>
          <w:rFonts w:cs="Arial"/>
          <w:b/>
          <w:szCs w:val="20"/>
        </w:rPr>
      </w:pPr>
      <w:r w:rsidRPr="00D41247">
        <w:rPr>
          <w:rFonts w:cs="Arial"/>
          <w:b/>
          <w:szCs w:val="20"/>
        </w:rPr>
        <w:t>SKUPNOST OBČIN SLOVENIJE</w:t>
      </w:r>
    </w:p>
    <w:p w14:paraId="33F18E5E" w14:textId="77777777" w:rsidR="00C330EA" w:rsidRPr="00D41247" w:rsidRDefault="00C330EA" w:rsidP="00C330EA">
      <w:pPr>
        <w:jc w:val="both"/>
        <w:rPr>
          <w:rFonts w:cs="Arial"/>
          <w:b/>
          <w:szCs w:val="20"/>
        </w:rPr>
      </w:pPr>
      <w:r w:rsidRPr="00D41247">
        <w:rPr>
          <w:rFonts w:cs="Arial"/>
          <w:b/>
          <w:szCs w:val="20"/>
        </w:rPr>
        <w:t>ZDRUŽENJE MESTNIH OBČIN SLOVENIJE</w:t>
      </w:r>
    </w:p>
    <w:p w14:paraId="54EF7CEC" w14:textId="77777777" w:rsidR="00C330EA" w:rsidRPr="00D41247" w:rsidRDefault="00C330EA" w:rsidP="00C330EA">
      <w:pPr>
        <w:jc w:val="both"/>
        <w:rPr>
          <w:rFonts w:cs="Arial"/>
          <w:b/>
          <w:szCs w:val="20"/>
        </w:rPr>
      </w:pPr>
    </w:p>
    <w:p w14:paraId="02983C3C" w14:textId="77777777" w:rsidR="00C330EA" w:rsidRPr="00D41247" w:rsidRDefault="00C330EA" w:rsidP="00C330EA">
      <w:pPr>
        <w:jc w:val="both"/>
        <w:rPr>
          <w:rFonts w:cs="Arial"/>
          <w:b/>
          <w:szCs w:val="20"/>
        </w:rPr>
      </w:pPr>
      <w:r w:rsidRPr="00D41247">
        <w:rPr>
          <w:rFonts w:cs="Arial"/>
          <w:b/>
          <w:szCs w:val="20"/>
        </w:rPr>
        <w:t>MINISTRSTVA</w:t>
      </w:r>
    </w:p>
    <w:p w14:paraId="254B7CC0" w14:textId="77777777" w:rsidR="00C330EA" w:rsidRPr="00D41247" w:rsidRDefault="00C330EA" w:rsidP="00C330EA">
      <w:pPr>
        <w:jc w:val="both"/>
        <w:rPr>
          <w:rFonts w:cs="Arial"/>
          <w:b/>
          <w:szCs w:val="20"/>
        </w:rPr>
      </w:pPr>
      <w:r w:rsidRPr="00D41247">
        <w:rPr>
          <w:rFonts w:cs="Arial"/>
          <w:b/>
          <w:szCs w:val="20"/>
        </w:rPr>
        <w:t>ORGANI V SESTAVI MINISTRSTEV</w:t>
      </w:r>
    </w:p>
    <w:p w14:paraId="5BFD9902" w14:textId="77777777" w:rsidR="00C330EA" w:rsidRPr="00D41247" w:rsidRDefault="00C330EA" w:rsidP="00C330EA">
      <w:pPr>
        <w:jc w:val="both"/>
        <w:rPr>
          <w:rFonts w:cs="Arial"/>
          <w:b/>
          <w:szCs w:val="20"/>
        </w:rPr>
      </w:pPr>
      <w:r w:rsidRPr="00D41247">
        <w:rPr>
          <w:rFonts w:cs="Arial"/>
          <w:b/>
          <w:szCs w:val="20"/>
        </w:rPr>
        <w:t>VLADNE SLUŽBE</w:t>
      </w:r>
    </w:p>
    <w:p w14:paraId="2AE3C89B" w14:textId="77777777" w:rsidR="00C330EA" w:rsidRPr="00D41247" w:rsidRDefault="00C330EA" w:rsidP="00C330EA">
      <w:pPr>
        <w:jc w:val="both"/>
        <w:rPr>
          <w:rFonts w:cs="Arial"/>
          <w:b/>
          <w:szCs w:val="20"/>
        </w:rPr>
      </w:pPr>
      <w:r w:rsidRPr="00D41247">
        <w:rPr>
          <w:rFonts w:cs="Arial"/>
          <w:b/>
          <w:szCs w:val="20"/>
        </w:rPr>
        <w:t>UPRAVNE ENOTE</w:t>
      </w:r>
    </w:p>
    <w:p w14:paraId="7F93A4D7" w14:textId="77777777" w:rsidR="00C330EA" w:rsidRPr="00D41247" w:rsidRDefault="00C330EA" w:rsidP="00C330EA">
      <w:pPr>
        <w:jc w:val="both"/>
        <w:rPr>
          <w:rFonts w:cs="Arial"/>
          <w:color w:val="000000"/>
          <w:szCs w:val="20"/>
          <w:lang w:eastAsia="sl-SI"/>
        </w:rPr>
      </w:pPr>
    </w:p>
    <w:p w14:paraId="5E27D7B2" w14:textId="42847074" w:rsidR="00C330EA" w:rsidRDefault="00C330EA" w:rsidP="00C330EA">
      <w:pPr>
        <w:pStyle w:val="datumtevilka"/>
        <w:jc w:val="both"/>
        <w:rPr>
          <w:rFonts w:cs="Arial"/>
        </w:rPr>
      </w:pPr>
    </w:p>
    <w:p w14:paraId="6DDAF0D9" w14:textId="77777777" w:rsidR="00A53DFC" w:rsidRPr="00D41247" w:rsidRDefault="00A53DFC" w:rsidP="00C330EA">
      <w:pPr>
        <w:pStyle w:val="datumtevilka"/>
        <w:jc w:val="both"/>
        <w:rPr>
          <w:rFonts w:cs="Arial"/>
        </w:rPr>
      </w:pPr>
    </w:p>
    <w:p w14:paraId="398AB0CA" w14:textId="7FC1F19A" w:rsidR="00C330EA" w:rsidRPr="001B3423" w:rsidRDefault="00C330EA" w:rsidP="00C330EA">
      <w:pPr>
        <w:pStyle w:val="datumtevilka"/>
        <w:jc w:val="both"/>
        <w:rPr>
          <w:rFonts w:cs="Arial"/>
        </w:rPr>
      </w:pPr>
      <w:r w:rsidRPr="001B3423">
        <w:rPr>
          <w:rFonts w:cs="Arial"/>
        </w:rPr>
        <w:t>Številka:</w:t>
      </w:r>
      <w:r>
        <w:rPr>
          <w:rFonts w:cs="Arial"/>
        </w:rPr>
        <w:t xml:space="preserve"> </w:t>
      </w:r>
      <w:r w:rsidR="007A52B5">
        <w:rPr>
          <w:rFonts w:cs="Arial"/>
        </w:rPr>
        <w:t>007-1038</w:t>
      </w:r>
      <w:r w:rsidRPr="001B3423">
        <w:rPr>
          <w:rFonts w:cs="Arial"/>
        </w:rPr>
        <w:t>/2021/1</w:t>
      </w:r>
    </w:p>
    <w:p w14:paraId="18AD0928" w14:textId="49AE8E67" w:rsidR="00C330EA" w:rsidRPr="001B3423" w:rsidRDefault="00C330EA" w:rsidP="00C330EA">
      <w:pPr>
        <w:pStyle w:val="datumtevilka"/>
        <w:jc w:val="both"/>
        <w:rPr>
          <w:rFonts w:cs="Arial"/>
        </w:rPr>
      </w:pPr>
      <w:r w:rsidRPr="001B3423">
        <w:rPr>
          <w:rFonts w:cs="Arial"/>
        </w:rPr>
        <w:t>Datum:</w:t>
      </w:r>
      <w:r>
        <w:rPr>
          <w:rFonts w:cs="Arial"/>
        </w:rPr>
        <w:t xml:space="preserve"> 2</w:t>
      </w:r>
      <w:r w:rsidRPr="001B3423">
        <w:rPr>
          <w:rFonts w:cs="Arial"/>
        </w:rPr>
        <w:t xml:space="preserve">. </w:t>
      </w:r>
      <w:r>
        <w:rPr>
          <w:rFonts w:cs="Arial"/>
        </w:rPr>
        <w:t>11</w:t>
      </w:r>
      <w:r w:rsidRPr="001B3423">
        <w:rPr>
          <w:rFonts w:cs="Arial"/>
        </w:rPr>
        <w:t>. 2021</w:t>
      </w:r>
    </w:p>
    <w:p w14:paraId="4144F9DB" w14:textId="77777777" w:rsidR="00C330EA" w:rsidRDefault="00C330EA" w:rsidP="00C330EA">
      <w:pPr>
        <w:jc w:val="both"/>
        <w:rPr>
          <w:rFonts w:cs="Arial"/>
          <w:szCs w:val="20"/>
        </w:rPr>
      </w:pPr>
    </w:p>
    <w:p w14:paraId="0E32147D" w14:textId="77777777" w:rsidR="00C330EA" w:rsidRPr="00D41247" w:rsidRDefault="00C330EA" w:rsidP="00C330EA">
      <w:pPr>
        <w:jc w:val="both"/>
        <w:rPr>
          <w:rFonts w:cs="Arial"/>
          <w:szCs w:val="20"/>
        </w:rPr>
      </w:pPr>
    </w:p>
    <w:p w14:paraId="3248AF4A" w14:textId="04893BB1" w:rsidR="00C330EA" w:rsidRPr="00ED4A4E" w:rsidRDefault="00C330EA" w:rsidP="00C330EA">
      <w:pPr>
        <w:pStyle w:val="Naslov1"/>
        <w:rPr>
          <w:rFonts w:ascii="Arial" w:hAnsi="Arial" w:cs="Arial"/>
          <w:b/>
          <w:bCs/>
          <w:color w:val="auto"/>
          <w:sz w:val="20"/>
          <w:szCs w:val="20"/>
          <w:lang w:eastAsia="sl-SI"/>
        </w:rPr>
      </w:pPr>
      <w:r w:rsidRPr="00ED4A4E">
        <w:rPr>
          <w:rFonts w:ascii="Arial" w:hAnsi="Arial" w:cs="Arial"/>
          <w:b/>
          <w:bCs/>
          <w:color w:val="auto"/>
          <w:sz w:val="20"/>
          <w:szCs w:val="20"/>
        </w:rPr>
        <w:t xml:space="preserve">Zadeva: </w:t>
      </w:r>
      <w:bookmarkStart w:id="0" w:name="_Hlk66872368"/>
      <w:bookmarkStart w:id="1" w:name="_Hlk60740389"/>
      <w:r w:rsidRPr="00C330EA">
        <w:rPr>
          <w:rFonts w:ascii="Arial" w:hAnsi="Arial" w:cs="Arial"/>
          <w:b/>
          <w:bCs/>
          <w:color w:val="auto"/>
          <w:sz w:val="20"/>
          <w:szCs w:val="20"/>
        </w:rPr>
        <w:t>Razlaga Aneksa h Kolektivni pogodbi za negospodarske dejavnosti v Republiki Sloveniji</w:t>
      </w:r>
      <w:r>
        <w:rPr>
          <w:rFonts w:ascii="Arial" w:hAnsi="Arial" w:cs="Arial"/>
          <w:b/>
          <w:bCs/>
          <w:color w:val="auto"/>
          <w:sz w:val="20"/>
          <w:szCs w:val="20"/>
        </w:rPr>
        <w:t>, jubilejna nagrada</w:t>
      </w:r>
    </w:p>
    <w:bookmarkEnd w:id="0"/>
    <w:p w14:paraId="29798659" w14:textId="77777777" w:rsidR="00C330EA" w:rsidRPr="00D41247" w:rsidRDefault="00C330EA" w:rsidP="00C330EA">
      <w:pPr>
        <w:jc w:val="both"/>
        <w:rPr>
          <w:rFonts w:cs="Arial"/>
          <w:b/>
          <w:bCs/>
          <w:szCs w:val="20"/>
          <w:lang w:eastAsia="sl-SI"/>
        </w:rPr>
      </w:pPr>
    </w:p>
    <w:p w14:paraId="3623BD5A" w14:textId="77777777" w:rsidR="00C330EA" w:rsidRPr="00D41247" w:rsidRDefault="00C330EA" w:rsidP="00C330EA">
      <w:pPr>
        <w:jc w:val="both"/>
        <w:rPr>
          <w:rFonts w:cs="Arial"/>
          <w:szCs w:val="20"/>
          <w:lang w:eastAsia="sl-SI"/>
        </w:rPr>
      </w:pPr>
    </w:p>
    <w:p w14:paraId="4B7E09E6" w14:textId="09022944" w:rsidR="004E002B" w:rsidRPr="0017492C" w:rsidRDefault="004E002B" w:rsidP="0017492C">
      <w:pPr>
        <w:spacing w:line="260" w:lineRule="exact"/>
        <w:jc w:val="both"/>
      </w:pPr>
      <w:bookmarkStart w:id="2" w:name="_Hlk53991304"/>
      <w:bookmarkEnd w:id="1"/>
      <w:r w:rsidRPr="0017492C">
        <w:t xml:space="preserve">Obveščamo vas, da je bila </w:t>
      </w:r>
      <w:r w:rsidR="00C330EA" w:rsidRPr="0017492C">
        <w:t>v Uradnem listu RS, št. 172/21</w:t>
      </w:r>
      <w:r w:rsidRPr="0017492C">
        <w:t xml:space="preserve"> objavljena razlaga </w:t>
      </w:r>
      <w:r w:rsidR="00265D17" w:rsidRPr="0017492C">
        <w:t xml:space="preserve">šestega odstavka </w:t>
      </w:r>
      <w:r w:rsidRPr="0017492C">
        <w:t>10. člena Aneksa h Kolektivni pogodbi za negospodarske dejavnosti v Republiki Sloveniji</w:t>
      </w:r>
      <w:r w:rsidR="00265D17" w:rsidRPr="0017492C">
        <w:t xml:space="preserve"> (Uradni list RS, št. 88/21)</w:t>
      </w:r>
      <w:r w:rsidRPr="0017492C">
        <w:t>, k</w:t>
      </w:r>
      <w:r w:rsidR="00265D17" w:rsidRPr="0017492C">
        <w:t>jer je d</w:t>
      </w:r>
      <w:r w:rsidRPr="0017492C">
        <w:t>oloč</w:t>
      </w:r>
      <w:r w:rsidR="00265D17" w:rsidRPr="0017492C">
        <w:t xml:space="preserve">ena </w:t>
      </w:r>
      <w:r w:rsidRPr="0017492C">
        <w:t>pravic</w:t>
      </w:r>
      <w:r w:rsidR="00265D17" w:rsidRPr="0017492C">
        <w:t>a</w:t>
      </w:r>
      <w:r w:rsidRPr="0017492C">
        <w:t xml:space="preserve"> do</w:t>
      </w:r>
      <w:r w:rsidR="00265D17" w:rsidRPr="0017492C">
        <w:t xml:space="preserve"> izplačila</w:t>
      </w:r>
      <w:r w:rsidRPr="0017492C">
        <w:t xml:space="preserve"> jubilejne nagrade javnim uslužbencem, katerim se </w:t>
      </w:r>
      <w:r w:rsidR="00265D17" w:rsidRPr="0017492C">
        <w:t>kot delovna doba, ki se upošteva za pridobitev pravice do jubilejne nagrade, šteje tudi delovna doba pri koncesionarjih, ki opravljajo dejavnost v mreži javne službe.</w:t>
      </w:r>
      <w:r w:rsidRPr="0017492C">
        <w:t xml:space="preserve"> </w:t>
      </w:r>
    </w:p>
    <w:p w14:paraId="038E54E1" w14:textId="065AEDCB" w:rsidR="00265D17" w:rsidRDefault="00265D17" w:rsidP="00C330EA">
      <w:pPr>
        <w:spacing w:line="240" w:lineRule="auto"/>
        <w:jc w:val="both"/>
        <w:rPr>
          <w:rFonts w:cs="Arial"/>
          <w:szCs w:val="20"/>
        </w:rPr>
      </w:pPr>
    </w:p>
    <w:p w14:paraId="6961451B" w14:textId="2F6B342C" w:rsidR="00265D17" w:rsidRDefault="00265D17" w:rsidP="00C330EA">
      <w:pPr>
        <w:spacing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lastRenderedPageBreak/>
        <w:t>Razlaga se glasi:</w:t>
      </w:r>
    </w:p>
    <w:p w14:paraId="3EBD4BA2" w14:textId="7F0B62E9" w:rsidR="00265D17" w:rsidRDefault="00265D17" w:rsidP="00C330EA">
      <w:pPr>
        <w:spacing w:line="240" w:lineRule="auto"/>
        <w:jc w:val="both"/>
        <w:rPr>
          <w:rFonts w:cs="Arial"/>
          <w:szCs w:val="20"/>
        </w:rPr>
      </w:pPr>
    </w:p>
    <w:p w14:paraId="768C8CB2" w14:textId="77777777" w:rsidR="00265D17" w:rsidRPr="00265D17" w:rsidRDefault="00265D17" w:rsidP="00C330EA">
      <w:pPr>
        <w:spacing w:line="240" w:lineRule="auto"/>
        <w:jc w:val="both"/>
        <w:rPr>
          <w:rFonts w:cs="Arial"/>
          <w:i/>
          <w:iCs/>
          <w:sz w:val="21"/>
          <w:szCs w:val="21"/>
        </w:rPr>
      </w:pPr>
      <w:r w:rsidRPr="00265D17">
        <w:rPr>
          <w:rFonts w:cs="Arial"/>
          <w:i/>
          <w:iCs/>
          <w:sz w:val="21"/>
          <w:szCs w:val="21"/>
        </w:rPr>
        <w:t>Delovna doba pri koncesionarjih, ki opravljajo dejavnost v mreži javne službe, ki se po šestem odstavku 10. člena tega aneksa upošteva za pridobitev pravice do jubilejne nagrade:</w:t>
      </w:r>
    </w:p>
    <w:p w14:paraId="25827918" w14:textId="77777777" w:rsidR="00265D17" w:rsidRPr="00265D17" w:rsidRDefault="00265D17" w:rsidP="00C330EA">
      <w:pPr>
        <w:spacing w:line="240" w:lineRule="auto"/>
        <w:jc w:val="both"/>
        <w:rPr>
          <w:rFonts w:cs="Arial"/>
          <w:i/>
          <w:iCs/>
          <w:sz w:val="21"/>
          <w:szCs w:val="21"/>
        </w:rPr>
      </w:pPr>
    </w:p>
    <w:p w14:paraId="597165F4" w14:textId="77777777" w:rsidR="00265D17" w:rsidRPr="00265D17" w:rsidRDefault="00265D17" w:rsidP="00C330EA">
      <w:pPr>
        <w:spacing w:line="240" w:lineRule="auto"/>
        <w:jc w:val="both"/>
        <w:rPr>
          <w:rFonts w:cs="Arial"/>
          <w:i/>
          <w:iCs/>
          <w:sz w:val="21"/>
          <w:szCs w:val="21"/>
        </w:rPr>
      </w:pPr>
      <w:r w:rsidRPr="00265D17">
        <w:rPr>
          <w:rFonts w:cs="Arial"/>
          <w:i/>
          <w:iCs/>
          <w:sz w:val="21"/>
          <w:szCs w:val="21"/>
        </w:rPr>
        <w:t>Šteje se, da izpolnjuje pogoj za pravico do jubilejne nagrade tudi javni uslužbenec, ki je na dan začetka veljavnosti aneksa h KPND (Uradni list RS, št. 88/21; v nadaljnjem besedilu: aneks) v delovnem razmerju in v skladu s šestim odstavkom 10. člena tega aneksa izpolnjuje ali presega zahtevano delovno dobo za posamezni jubilej. Jubilejna nagrada se javnemu uslužbencu izplača ob izplačilu plače v naslednjem mesecu po objavi te razlage.</w:t>
      </w:r>
    </w:p>
    <w:p w14:paraId="1DB017A2" w14:textId="77777777" w:rsidR="00265D17" w:rsidRPr="00265D17" w:rsidRDefault="00265D17" w:rsidP="00C330EA">
      <w:pPr>
        <w:spacing w:line="240" w:lineRule="auto"/>
        <w:jc w:val="both"/>
        <w:rPr>
          <w:rFonts w:cs="Arial"/>
          <w:i/>
          <w:iCs/>
          <w:sz w:val="21"/>
          <w:szCs w:val="21"/>
        </w:rPr>
      </w:pPr>
    </w:p>
    <w:p w14:paraId="3312A058" w14:textId="77777777" w:rsidR="00265D17" w:rsidRPr="00265D17" w:rsidRDefault="00265D17" w:rsidP="00C330EA">
      <w:pPr>
        <w:spacing w:line="240" w:lineRule="auto"/>
        <w:jc w:val="both"/>
        <w:rPr>
          <w:rFonts w:cs="Arial"/>
          <w:i/>
          <w:iCs/>
          <w:sz w:val="21"/>
          <w:szCs w:val="21"/>
        </w:rPr>
      </w:pPr>
      <w:r w:rsidRPr="00265D17">
        <w:rPr>
          <w:rFonts w:cs="Arial"/>
          <w:i/>
          <w:iCs/>
          <w:sz w:val="21"/>
          <w:szCs w:val="21"/>
        </w:rPr>
        <w:t>Javnemu uslužbencu iz prejšnjega odstavka pripada jubilejna nagrada le, če je za posamezni jubilej še ni prejel v javnem sektorju oziroma pri koncesionarju, ki opravlja dejavnost v mreži javne službe.</w:t>
      </w:r>
    </w:p>
    <w:p w14:paraId="0B0A1820" w14:textId="77777777" w:rsidR="00265D17" w:rsidRPr="00265D17" w:rsidRDefault="00265D17" w:rsidP="00C330EA">
      <w:pPr>
        <w:spacing w:line="240" w:lineRule="auto"/>
        <w:jc w:val="both"/>
        <w:rPr>
          <w:rFonts w:cs="Arial"/>
          <w:i/>
          <w:iCs/>
          <w:sz w:val="21"/>
          <w:szCs w:val="21"/>
        </w:rPr>
      </w:pPr>
    </w:p>
    <w:p w14:paraId="72DE7569" w14:textId="0F32BA66" w:rsidR="00265D17" w:rsidRPr="00265D17" w:rsidRDefault="00265D17" w:rsidP="00C330EA">
      <w:pPr>
        <w:spacing w:line="240" w:lineRule="auto"/>
        <w:jc w:val="both"/>
        <w:rPr>
          <w:rFonts w:cs="Arial"/>
          <w:i/>
          <w:iCs/>
          <w:szCs w:val="20"/>
        </w:rPr>
      </w:pPr>
      <w:r w:rsidRPr="00265D17">
        <w:rPr>
          <w:rFonts w:cs="Arial"/>
          <w:i/>
          <w:iCs/>
          <w:sz w:val="21"/>
          <w:szCs w:val="21"/>
        </w:rPr>
        <w:t>Kot delovna doba pri koncesionarjih, ki opravljajo dejavnost v mreži javne službe, se šteje tista delovna doba, ki jo delavec dopolni v času trajanja in izvajanja koncesijske pogodbe.</w:t>
      </w:r>
    </w:p>
    <w:p w14:paraId="0BC9C869" w14:textId="77777777" w:rsidR="004E002B" w:rsidRDefault="004E002B" w:rsidP="00C330EA">
      <w:pPr>
        <w:spacing w:line="240" w:lineRule="auto"/>
        <w:jc w:val="both"/>
        <w:rPr>
          <w:rFonts w:cs="Arial"/>
          <w:b/>
          <w:bCs/>
          <w:szCs w:val="20"/>
        </w:rPr>
      </w:pPr>
    </w:p>
    <w:p w14:paraId="1D683330" w14:textId="77777777" w:rsidR="004E002B" w:rsidRDefault="004E002B" w:rsidP="00C330EA">
      <w:pPr>
        <w:spacing w:line="240" w:lineRule="auto"/>
        <w:jc w:val="both"/>
        <w:rPr>
          <w:rFonts w:cs="Arial"/>
          <w:b/>
          <w:bCs/>
          <w:szCs w:val="20"/>
        </w:rPr>
      </w:pPr>
    </w:p>
    <w:bookmarkEnd w:id="2"/>
    <w:p w14:paraId="70845F93" w14:textId="77777777" w:rsidR="00C330EA" w:rsidRPr="00265D17" w:rsidRDefault="00C330EA" w:rsidP="00C330EA">
      <w:pPr>
        <w:jc w:val="both"/>
        <w:rPr>
          <w:rFonts w:cs="Arial"/>
          <w:b/>
          <w:bCs/>
          <w:szCs w:val="20"/>
        </w:rPr>
      </w:pPr>
      <w:r w:rsidRPr="00265D17">
        <w:rPr>
          <w:rFonts w:cs="Arial"/>
          <w:b/>
          <w:bCs/>
          <w:szCs w:val="20"/>
        </w:rPr>
        <w:t>Ministrstva prosimo, da s tem dopisom seznanite proračunske uporabnike iz vaše pristojnosti.</w:t>
      </w:r>
    </w:p>
    <w:p w14:paraId="21538271" w14:textId="77777777" w:rsidR="00C330EA" w:rsidRPr="00D41247" w:rsidRDefault="00C330EA" w:rsidP="00C330EA">
      <w:pPr>
        <w:jc w:val="both"/>
        <w:rPr>
          <w:rFonts w:cs="Arial"/>
          <w:szCs w:val="20"/>
        </w:rPr>
      </w:pPr>
    </w:p>
    <w:p w14:paraId="1BBFDC3B" w14:textId="77777777" w:rsidR="00C330EA" w:rsidRPr="00D41247" w:rsidRDefault="00C330EA" w:rsidP="00C330EA">
      <w:pPr>
        <w:jc w:val="both"/>
        <w:rPr>
          <w:rFonts w:cs="Arial"/>
          <w:szCs w:val="20"/>
        </w:rPr>
      </w:pPr>
    </w:p>
    <w:p w14:paraId="2A70793C" w14:textId="6B1A361F" w:rsidR="00C330EA" w:rsidRDefault="00C330EA" w:rsidP="00C330EA">
      <w:pPr>
        <w:jc w:val="both"/>
        <w:rPr>
          <w:rFonts w:cs="Arial"/>
          <w:szCs w:val="20"/>
        </w:rPr>
      </w:pPr>
      <w:r w:rsidRPr="00D41247">
        <w:rPr>
          <w:rFonts w:cs="Arial"/>
          <w:szCs w:val="20"/>
        </w:rPr>
        <w:t>Prijazen pozdrav,</w:t>
      </w:r>
    </w:p>
    <w:p w14:paraId="679B3167" w14:textId="77777777" w:rsidR="00265D17" w:rsidRPr="00D41247" w:rsidRDefault="00265D17" w:rsidP="00C330EA">
      <w:pPr>
        <w:jc w:val="both"/>
        <w:rPr>
          <w:rFonts w:cs="Arial"/>
          <w:szCs w:val="20"/>
        </w:rPr>
      </w:pPr>
    </w:p>
    <w:p w14:paraId="37E7B64F" w14:textId="77777777" w:rsidR="00C330EA" w:rsidRPr="00D41247" w:rsidRDefault="00C330EA" w:rsidP="00C330EA">
      <w:pPr>
        <w:spacing w:line="260" w:lineRule="exact"/>
        <w:jc w:val="both"/>
        <w:rPr>
          <w:rFonts w:cs="Arial"/>
          <w:szCs w:val="20"/>
        </w:rPr>
      </w:pPr>
    </w:p>
    <w:p w14:paraId="4F49C16D" w14:textId="28107067" w:rsidR="00C330EA" w:rsidRPr="00D41247" w:rsidRDefault="00C330EA" w:rsidP="00C330EA">
      <w:pPr>
        <w:pStyle w:val="Telobesedila2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D41247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</w:t>
      </w:r>
      <w:r w:rsidR="00265D17">
        <w:rPr>
          <w:rFonts w:ascii="Arial" w:hAnsi="Arial" w:cs="Arial"/>
          <w:b/>
          <w:sz w:val="20"/>
          <w:szCs w:val="20"/>
        </w:rPr>
        <w:tab/>
      </w:r>
      <w:r w:rsidR="00265D17">
        <w:rPr>
          <w:rFonts w:ascii="Arial" w:hAnsi="Arial" w:cs="Arial"/>
          <w:b/>
          <w:sz w:val="20"/>
          <w:szCs w:val="20"/>
        </w:rPr>
        <w:tab/>
      </w:r>
      <w:r w:rsidRPr="00D41247">
        <w:rPr>
          <w:rFonts w:ascii="Arial" w:hAnsi="Arial" w:cs="Arial"/>
          <w:b/>
          <w:sz w:val="20"/>
          <w:szCs w:val="20"/>
        </w:rPr>
        <w:t xml:space="preserve">  </w:t>
      </w:r>
      <w:r w:rsidRPr="00D41247">
        <w:rPr>
          <w:rFonts w:ascii="Arial" w:hAnsi="Arial" w:cs="Arial"/>
          <w:sz w:val="20"/>
          <w:szCs w:val="20"/>
        </w:rPr>
        <w:t>Boštjan Koritnik</w:t>
      </w:r>
    </w:p>
    <w:p w14:paraId="5B8E4C6F" w14:textId="0356A574" w:rsidR="00C330EA" w:rsidRPr="00D41247" w:rsidRDefault="00C330EA" w:rsidP="00C330EA">
      <w:pPr>
        <w:spacing w:line="260" w:lineRule="exact"/>
        <w:jc w:val="both"/>
        <w:rPr>
          <w:rFonts w:cs="Arial"/>
          <w:szCs w:val="20"/>
        </w:rPr>
      </w:pPr>
      <w:r w:rsidRPr="00D41247">
        <w:rPr>
          <w:rFonts w:cs="Arial"/>
          <w:szCs w:val="20"/>
        </w:rPr>
        <w:t xml:space="preserve">                                                                                      </w:t>
      </w:r>
      <w:r>
        <w:rPr>
          <w:rFonts w:cs="Arial"/>
          <w:szCs w:val="20"/>
        </w:rPr>
        <w:t xml:space="preserve">      </w:t>
      </w:r>
      <w:r w:rsidR="00265D17">
        <w:rPr>
          <w:rFonts w:cs="Arial"/>
          <w:szCs w:val="20"/>
        </w:rPr>
        <w:tab/>
        <w:t xml:space="preserve">     </w:t>
      </w:r>
      <w:r w:rsidR="00A53DFC">
        <w:rPr>
          <w:rFonts w:cs="Arial"/>
          <w:szCs w:val="20"/>
        </w:rPr>
        <w:t xml:space="preserve"> </w:t>
      </w:r>
      <w:r w:rsidR="00265D17">
        <w:rPr>
          <w:rFonts w:cs="Arial"/>
          <w:szCs w:val="20"/>
        </w:rPr>
        <w:t>MINISTER</w:t>
      </w:r>
    </w:p>
    <w:p w14:paraId="7D17365B" w14:textId="77777777" w:rsidR="00C330EA" w:rsidRPr="00D41247" w:rsidRDefault="00C330EA" w:rsidP="00C330EA">
      <w:pPr>
        <w:pStyle w:val="podpisi"/>
        <w:spacing w:line="260" w:lineRule="exact"/>
        <w:jc w:val="both"/>
        <w:rPr>
          <w:rFonts w:cs="Arial"/>
          <w:szCs w:val="20"/>
          <w:lang w:val="sl-SI"/>
        </w:rPr>
      </w:pPr>
    </w:p>
    <w:p w14:paraId="7E8D40CF" w14:textId="77777777" w:rsidR="00C330EA" w:rsidRDefault="00C330EA" w:rsidP="00C330EA">
      <w:pPr>
        <w:pStyle w:val="podpisi"/>
        <w:spacing w:line="260" w:lineRule="exact"/>
        <w:jc w:val="both"/>
        <w:rPr>
          <w:rFonts w:cs="Arial"/>
          <w:szCs w:val="20"/>
          <w:lang w:val="sl-SI"/>
        </w:rPr>
      </w:pPr>
    </w:p>
    <w:p w14:paraId="0BFC39DE" w14:textId="77777777" w:rsidR="00C330EA" w:rsidRPr="00D41247" w:rsidRDefault="00C330EA" w:rsidP="00C330EA">
      <w:pPr>
        <w:pStyle w:val="podpisi"/>
        <w:spacing w:line="260" w:lineRule="exact"/>
        <w:jc w:val="both"/>
        <w:rPr>
          <w:rFonts w:cs="Arial"/>
          <w:szCs w:val="20"/>
          <w:lang w:val="sl-SI"/>
        </w:rPr>
      </w:pPr>
      <w:r w:rsidRPr="00D41247">
        <w:rPr>
          <w:rFonts w:cs="Arial"/>
          <w:szCs w:val="20"/>
          <w:lang w:val="sl-SI"/>
        </w:rPr>
        <w:t xml:space="preserve">Poslano: </w:t>
      </w:r>
    </w:p>
    <w:p w14:paraId="6644A614" w14:textId="77777777" w:rsidR="00C330EA" w:rsidRPr="00D41247" w:rsidRDefault="00C330EA" w:rsidP="00C330EA">
      <w:pPr>
        <w:pStyle w:val="podpisi"/>
        <w:numPr>
          <w:ilvl w:val="0"/>
          <w:numId w:val="1"/>
        </w:numPr>
        <w:spacing w:line="260" w:lineRule="exact"/>
        <w:jc w:val="both"/>
        <w:rPr>
          <w:rFonts w:cs="Arial"/>
          <w:szCs w:val="20"/>
          <w:lang w:val="sl-SI"/>
        </w:rPr>
      </w:pPr>
      <w:r w:rsidRPr="00D41247">
        <w:rPr>
          <w:rFonts w:cs="Arial"/>
          <w:szCs w:val="20"/>
          <w:lang w:val="sl-SI"/>
        </w:rPr>
        <w:t>naslovnikom po elektronski pošti</w:t>
      </w:r>
    </w:p>
    <w:p w14:paraId="72A44273" w14:textId="77777777" w:rsidR="00C330EA" w:rsidRPr="00D41247" w:rsidRDefault="00C330EA" w:rsidP="00C330EA">
      <w:pPr>
        <w:jc w:val="both"/>
        <w:rPr>
          <w:rFonts w:cs="Arial"/>
          <w:szCs w:val="20"/>
        </w:rPr>
      </w:pPr>
    </w:p>
    <w:p w14:paraId="22963947" w14:textId="77777777" w:rsidR="00C330EA" w:rsidRPr="00D41247" w:rsidRDefault="00C330EA" w:rsidP="00C330EA">
      <w:pPr>
        <w:jc w:val="both"/>
        <w:rPr>
          <w:rFonts w:cs="Arial"/>
          <w:szCs w:val="20"/>
        </w:rPr>
      </w:pPr>
    </w:p>
    <w:p w14:paraId="78202A3D" w14:textId="77777777" w:rsidR="00C330EA" w:rsidRDefault="00C330EA" w:rsidP="00C330EA">
      <w:pPr>
        <w:jc w:val="both"/>
      </w:pPr>
    </w:p>
    <w:p w14:paraId="2A313073" w14:textId="77777777" w:rsidR="00040451" w:rsidRDefault="00040451"/>
    <w:sectPr w:rsidR="00040451" w:rsidSect="00DF1DC4">
      <w:headerReference w:type="default" r:id="rId7"/>
      <w:footerReference w:type="default" r:id="rId8"/>
      <w:headerReference w:type="first" r:id="rId9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3A360D" w14:textId="77777777" w:rsidR="00C330EA" w:rsidRDefault="00C330EA" w:rsidP="00C330EA">
      <w:pPr>
        <w:spacing w:line="240" w:lineRule="auto"/>
      </w:pPr>
      <w:r>
        <w:separator/>
      </w:r>
    </w:p>
  </w:endnote>
  <w:endnote w:type="continuationSeparator" w:id="0">
    <w:p w14:paraId="65B81B08" w14:textId="77777777" w:rsidR="00C330EA" w:rsidRDefault="00C330EA" w:rsidP="00C330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57345283"/>
      <w:docPartObj>
        <w:docPartGallery w:val="Page Numbers (Bottom of Page)"/>
        <w:docPartUnique/>
      </w:docPartObj>
    </w:sdtPr>
    <w:sdtEndPr/>
    <w:sdtContent>
      <w:p w14:paraId="388571CC" w14:textId="77777777" w:rsidR="00DF1DC4" w:rsidRDefault="00A53DFC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26B6D68" w14:textId="77777777" w:rsidR="00DF1DC4" w:rsidRDefault="0017492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E235D8" w14:textId="77777777" w:rsidR="00C330EA" w:rsidRDefault="00C330EA" w:rsidP="00C330EA">
      <w:pPr>
        <w:spacing w:line="240" w:lineRule="auto"/>
      </w:pPr>
      <w:r>
        <w:separator/>
      </w:r>
    </w:p>
  </w:footnote>
  <w:footnote w:type="continuationSeparator" w:id="0">
    <w:p w14:paraId="61D63A87" w14:textId="77777777" w:rsidR="00C330EA" w:rsidRDefault="00C330EA" w:rsidP="00C330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15103" w14:textId="77777777" w:rsidR="00DF1DC4" w:rsidRPr="00110CBD" w:rsidRDefault="0017492C" w:rsidP="00DF1DC4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mrea"/>
      <w:tblW w:w="0" w:type="auto"/>
      <w:tblInd w:w="-851" w:type="dxa"/>
      <w:tblBorders>
        <w:top w:val="none" w:sz="0" w:space="0" w:color="auto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8"/>
      <w:gridCol w:w="4644"/>
    </w:tblGrid>
    <w:tr w:rsidR="00DF1DC4" w:rsidRPr="00B8505D" w14:paraId="2426102F" w14:textId="77777777" w:rsidTr="00DF1DC4">
      <w:trPr>
        <w:trHeight w:val="709"/>
      </w:trPr>
      <w:tc>
        <w:tcPr>
          <w:tcW w:w="657" w:type="dxa"/>
        </w:tcPr>
        <w:p w14:paraId="2A733782" w14:textId="77777777" w:rsidR="00DF1DC4" w:rsidRDefault="00A53DFC" w:rsidP="00DF1DC4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Cs w:val="20"/>
            </w:rPr>
          </w:pPr>
          <w:r>
            <w:rPr>
              <w:noProof/>
            </w:rPr>
            <w:drawing>
              <wp:inline distT="0" distB="0" distL="0" distR="0" wp14:anchorId="5A2E28C6" wp14:editId="37DF25AC">
                <wp:extent cx="293595" cy="383540"/>
                <wp:effectExtent l="0" t="0" r="0" b="0"/>
                <wp:docPr id="4" name="Slika 4" descr="Grb Republike Slovenij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lika 4" descr="Grb Republike Slovenije">
                          <a:extLst>
                            <a:ext uri="{C183D7F6-B498-43B3-948B-1728B52AA6E4}">
                              <adec:decorative xmlns:adec="http://schemas.microsoft.com/office/drawing/2017/decorative" val="0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06" t="-5327" r="89546" b="42404"/>
                        <a:stretch/>
                      </pic:blipFill>
                      <pic:spPr bwMode="auto">
                        <a:xfrm>
                          <a:off x="0" y="0"/>
                          <a:ext cx="294762" cy="3850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2125311F" w14:textId="77777777" w:rsidR="00DF1DC4" w:rsidRDefault="0017492C" w:rsidP="00DF1DC4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Cs w:val="20"/>
            </w:rPr>
          </w:pPr>
        </w:p>
      </w:tc>
      <w:tc>
        <w:tcPr>
          <w:tcW w:w="4644" w:type="dxa"/>
        </w:tcPr>
        <w:p w14:paraId="2ADA4343" w14:textId="77777777" w:rsidR="00DF1DC4" w:rsidRPr="008820DC" w:rsidRDefault="00A53DFC" w:rsidP="00DF1DC4">
          <w:pPr>
            <w:autoSpaceDE w:val="0"/>
            <w:autoSpaceDN w:val="0"/>
            <w:adjustRightInd w:val="0"/>
            <w:spacing w:line="240" w:lineRule="auto"/>
            <w:ind w:left="102" w:hanging="45"/>
            <w:rPr>
              <w:rFonts w:ascii="Republika" w:hAnsi="Republika" w:cs="Republika"/>
              <w:color w:val="000000" w:themeColor="text1"/>
              <w:szCs w:val="20"/>
            </w:rPr>
          </w:pPr>
          <w:r w:rsidRPr="008820DC">
            <w:rPr>
              <w:rFonts w:ascii="Republika" w:hAnsi="Republika" w:cs="Republika"/>
              <w:color w:val="000000" w:themeColor="text1"/>
              <w:szCs w:val="20"/>
            </w:rPr>
            <w:t>REPUBLIKA SLOVENIJA</w:t>
          </w:r>
        </w:p>
        <w:p w14:paraId="12532261" w14:textId="77777777" w:rsidR="00DF1DC4" w:rsidRPr="000B427F" w:rsidRDefault="00A53DFC" w:rsidP="00DF1DC4">
          <w:pPr>
            <w:autoSpaceDE w:val="0"/>
            <w:autoSpaceDN w:val="0"/>
            <w:adjustRightInd w:val="0"/>
            <w:spacing w:line="240" w:lineRule="auto"/>
            <w:ind w:left="102" w:hanging="45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</w:rPr>
          </w:pPr>
          <w:r w:rsidRPr="00B8505D">
            <w:rPr>
              <w:rFonts w:ascii="Republika" w:hAnsi="Republika" w:cs="Republika"/>
              <w:b/>
              <w:bCs/>
              <w:color w:val="000000" w:themeColor="text1"/>
              <w:szCs w:val="20"/>
            </w:rPr>
            <w:t>MINISTRSTVO ZA JAVNO UPRAVO</w:t>
          </w:r>
          <w:r w:rsidRPr="00B8505D">
            <w:rPr>
              <w:rFonts w:ascii="Republika" w:hAnsi="Republika" w:cs="Republika"/>
              <w:b/>
              <w:bCs/>
              <w:color w:val="000000" w:themeColor="text1"/>
              <w:szCs w:val="20"/>
            </w:rPr>
            <w:br/>
          </w:r>
        </w:p>
        <w:p w14:paraId="1A5AB031" w14:textId="77777777" w:rsidR="00DF1DC4" w:rsidRPr="00B8505D" w:rsidRDefault="00A53DFC" w:rsidP="00DF1DC4">
          <w:pPr>
            <w:autoSpaceDE w:val="0"/>
            <w:autoSpaceDN w:val="0"/>
            <w:adjustRightInd w:val="0"/>
            <w:spacing w:line="240" w:lineRule="auto"/>
            <w:ind w:firstLine="93"/>
            <w:rPr>
              <w:rFonts w:ascii="Republika" w:hAnsi="Republika"/>
              <w:color w:val="529DBA"/>
              <w:sz w:val="16"/>
              <w:szCs w:val="16"/>
            </w:rPr>
          </w:pPr>
          <w:r>
            <w:rPr>
              <w:rFonts w:ascii="Republika" w:hAnsi="Republika" w:cs="Republika"/>
              <w:color w:val="000000" w:themeColor="text1"/>
              <w:szCs w:val="20"/>
            </w:rPr>
            <w:t xml:space="preserve">  </w:t>
          </w:r>
        </w:p>
      </w:tc>
    </w:tr>
  </w:tbl>
  <w:p w14:paraId="6347A062" w14:textId="77777777" w:rsidR="00DF1DC4" w:rsidRPr="008F3500" w:rsidRDefault="00A53DFC" w:rsidP="00DF1DC4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ind w:left="142" w:hanging="142"/>
      <w:rPr>
        <w:rFonts w:cs="Arial"/>
        <w:sz w:val="16"/>
      </w:rPr>
    </w:pPr>
    <w:r>
      <w:rPr>
        <w:rFonts w:cs="Arial"/>
        <w:sz w:val="16"/>
      </w:rPr>
      <w:t>Tržaška cesta 21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01 478 83 30</w:t>
    </w:r>
  </w:p>
  <w:p w14:paraId="4DE0AA1D" w14:textId="77777777" w:rsidR="00DF1DC4" w:rsidRPr="008F3500" w:rsidRDefault="00A53DFC" w:rsidP="00DF1DC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01 478 83 31</w:t>
    </w:r>
  </w:p>
  <w:p w14:paraId="3EEB048F" w14:textId="77777777" w:rsidR="00DF1DC4" w:rsidRPr="008F3500" w:rsidRDefault="00A53DFC" w:rsidP="00DF1DC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591ABC9C" w14:textId="77777777" w:rsidR="00DF1DC4" w:rsidRPr="008F3500" w:rsidRDefault="00A53DFC" w:rsidP="00DF1DC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71C2A4A1" w14:textId="77777777" w:rsidR="00DF1DC4" w:rsidRDefault="0017492C" w:rsidP="00DF1DC4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64F1A"/>
    <w:multiLevelType w:val="hybridMultilevel"/>
    <w:tmpl w:val="AB2A1E8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365A66"/>
    <w:multiLevelType w:val="hybridMultilevel"/>
    <w:tmpl w:val="2814FB1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64400"/>
    <w:multiLevelType w:val="hybridMultilevel"/>
    <w:tmpl w:val="A168AAC8"/>
    <w:lvl w:ilvl="0" w:tplc="04240011">
      <w:start w:val="1"/>
      <w:numFmt w:val="bullet"/>
      <w:lvlText w:val="-"/>
      <w:lvlJc w:val="left"/>
      <w:pPr>
        <w:tabs>
          <w:tab w:val="num" w:pos="377"/>
        </w:tabs>
        <w:ind w:left="37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E5BA5"/>
    <w:multiLevelType w:val="hybridMultilevel"/>
    <w:tmpl w:val="3FAE6D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87C45"/>
    <w:multiLevelType w:val="hybridMultilevel"/>
    <w:tmpl w:val="61E6315A"/>
    <w:lvl w:ilvl="0" w:tplc="CA0CBAA6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801B9"/>
    <w:multiLevelType w:val="hybridMultilevel"/>
    <w:tmpl w:val="63CCED38"/>
    <w:lvl w:ilvl="0" w:tplc="FC3E9828">
      <w:start w:val="5"/>
      <w:numFmt w:val="bullet"/>
      <w:lvlText w:val="–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8D047564">
      <w:start w:val="5"/>
      <w:numFmt w:val="bullet"/>
      <w:lvlText w:val="–"/>
      <w:lvlJc w:val="left"/>
      <w:pPr>
        <w:ind w:left="1788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CCC0202"/>
    <w:multiLevelType w:val="hybridMultilevel"/>
    <w:tmpl w:val="99062A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047564">
      <w:start w:val="5"/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D4426B56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F46E26"/>
    <w:multiLevelType w:val="hybridMultilevel"/>
    <w:tmpl w:val="EC0AF8E6"/>
    <w:lvl w:ilvl="0" w:tplc="CA0CBAA6">
      <w:start w:val="1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C917FB"/>
    <w:multiLevelType w:val="hybridMultilevel"/>
    <w:tmpl w:val="79D2D77E"/>
    <w:lvl w:ilvl="0" w:tplc="CA0CBAA6">
      <w:start w:val="1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D82716"/>
    <w:multiLevelType w:val="hybridMultilevel"/>
    <w:tmpl w:val="5544A3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E61A09"/>
    <w:multiLevelType w:val="hybridMultilevel"/>
    <w:tmpl w:val="1BBEA5C8"/>
    <w:lvl w:ilvl="0" w:tplc="CA0CBAA6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10"/>
  </w:num>
  <w:num w:numId="7">
    <w:abstractNumId w:val="8"/>
  </w:num>
  <w:num w:numId="8">
    <w:abstractNumId w:val="7"/>
  </w:num>
  <w:num w:numId="9">
    <w:abstractNumId w:val="4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0EA"/>
    <w:rsid w:val="00040451"/>
    <w:rsid w:val="0017492C"/>
    <w:rsid w:val="00265D17"/>
    <w:rsid w:val="00462EBE"/>
    <w:rsid w:val="004E002B"/>
    <w:rsid w:val="007A52B5"/>
    <w:rsid w:val="00A53DFC"/>
    <w:rsid w:val="00C3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E494A"/>
  <w15:chartTrackingRefBased/>
  <w15:docId w15:val="{39697D0D-984B-432C-A89B-BC3C9186D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330EA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C330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330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Glava">
    <w:name w:val="header"/>
    <w:basedOn w:val="Navaden"/>
    <w:link w:val="GlavaZnak"/>
    <w:rsid w:val="00C330EA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C330EA"/>
    <w:rPr>
      <w:rFonts w:ascii="Arial" w:eastAsia="Times New Roman" w:hAnsi="Arial" w:cs="Times New Roman"/>
      <w:sz w:val="20"/>
      <w:szCs w:val="24"/>
    </w:rPr>
  </w:style>
  <w:style w:type="paragraph" w:customStyle="1" w:styleId="datumtevilka">
    <w:name w:val="datum številka"/>
    <w:basedOn w:val="Navaden"/>
    <w:qFormat/>
    <w:rsid w:val="00C330EA"/>
    <w:pPr>
      <w:tabs>
        <w:tab w:val="left" w:pos="1701"/>
      </w:tabs>
    </w:pPr>
    <w:rPr>
      <w:szCs w:val="20"/>
      <w:lang w:eastAsia="sl-SI"/>
    </w:rPr>
  </w:style>
  <w:style w:type="paragraph" w:customStyle="1" w:styleId="podpisi">
    <w:name w:val="podpisi"/>
    <w:basedOn w:val="Navaden"/>
    <w:qFormat/>
    <w:rsid w:val="00C330EA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C330EA"/>
    <w:pPr>
      <w:suppressAutoHyphens/>
      <w:spacing w:after="120" w:line="480" w:lineRule="auto"/>
    </w:pPr>
    <w:rPr>
      <w:rFonts w:ascii="Times New Roman" w:hAnsi="Times New Roman"/>
      <w:sz w:val="24"/>
      <w:lang w:eastAsia="ar-SA"/>
    </w:rPr>
  </w:style>
  <w:style w:type="character" w:customStyle="1" w:styleId="Telobesedila2Znak">
    <w:name w:val="Telo besedila 2 Znak"/>
    <w:basedOn w:val="Privzetapisavaodstavka"/>
    <w:link w:val="Telobesedila2"/>
    <w:rsid w:val="00C330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ga">
    <w:name w:val="footer"/>
    <w:basedOn w:val="Navaden"/>
    <w:link w:val="NogaZnak"/>
    <w:uiPriority w:val="99"/>
    <w:unhideWhenUsed/>
    <w:rsid w:val="00C330EA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330EA"/>
    <w:rPr>
      <w:rFonts w:ascii="Arial" w:eastAsia="Times New Roman" w:hAnsi="Arial" w:cs="Times New Roman"/>
      <w:sz w:val="20"/>
      <w:szCs w:val="24"/>
    </w:rPr>
  </w:style>
  <w:style w:type="table" w:styleId="Tabelamrea">
    <w:name w:val="Table Grid"/>
    <w:basedOn w:val="Navadnatabela"/>
    <w:uiPriority w:val="59"/>
    <w:rsid w:val="00C33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aliases w:val="numbered list"/>
    <w:basedOn w:val="Navaden"/>
    <w:link w:val="OdstavekseznamaZnak"/>
    <w:uiPriority w:val="34"/>
    <w:qFormat/>
    <w:rsid w:val="00C330EA"/>
    <w:pPr>
      <w:ind w:left="720"/>
      <w:contextualSpacing/>
    </w:pPr>
  </w:style>
  <w:style w:type="character" w:customStyle="1" w:styleId="OdstavekseznamaZnak">
    <w:name w:val="Odstavek seznama Znak"/>
    <w:aliases w:val="numbered list Znak"/>
    <w:link w:val="Odstavekseznama"/>
    <w:uiPriority w:val="34"/>
    <w:locked/>
    <w:rsid w:val="00C330EA"/>
    <w:rPr>
      <w:rFonts w:ascii="Arial" w:eastAsia="Times New Roman" w:hAnsi="Arial" w:cs="Times New Roman"/>
      <w:sz w:val="20"/>
      <w:szCs w:val="24"/>
    </w:rPr>
  </w:style>
  <w:style w:type="paragraph" w:customStyle="1" w:styleId="Naslovpredpisa">
    <w:name w:val="Naslov_predpisa"/>
    <w:basedOn w:val="Navaden"/>
    <w:link w:val="NaslovpredpisaZnak"/>
    <w:qFormat/>
    <w:rsid w:val="00C330EA"/>
    <w:pPr>
      <w:suppressAutoHyphens/>
      <w:overflowPunct w:val="0"/>
      <w:autoSpaceDE w:val="0"/>
      <w:autoSpaceDN w:val="0"/>
      <w:adjustRightInd w:val="0"/>
      <w:spacing w:before="120" w:line="200" w:lineRule="exact"/>
      <w:ind w:left="357" w:hanging="357"/>
      <w:jc w:val="center"/>
      <w:textAlignment w:val="baseline"/>
    </w:pPr>
    <w:rPr>
      <w:b/>
      <w:sz w:val="22"/>
      <w:szCs w:val="22"/>
      <w:lang w:val="en-US"/>
    </w:rPr>
  </w:style>
  <w:style w:type="character" w:customStyle="1" w:styleId="NaslovpredpisaZnak">
    <w:name w:val="Naslov_predpisa Znak"/>
    <w:link w:val="Naslovpredpisa"/>
    <w:rsid w:val="00C330EA"/>
    <w:rPr>
      <w:rFonts w:ascii="Arial" w:eastAsia="Times New Roman" w:hAnsi="Arial" w:cs="Times New Roman"/>
      <w:b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Razlaga Aneksa h Kolektivni pogodbi za negospodarske dejavnosti v Republiki Sloveniji, jubilejna nagrada (2. 11. 2021)</dc:title>
  <dc:subject/>
  <dc:creator>Darja Centa</dc:creator>
  <cp:keywords/>
  <dc:description/>
  <cp:lastModifiedBy>Darja Centa</cp:lastModifiedBy>
  <cp:revision>4</cp:revision>
  <dcterms:created xsi:type="dcterms:W3CDTF">2021-11-02T07:25:00Z</dcterms:created>
  <dcterms:modified xsi:type="dcterms:W3CDTF">2021-11-02T09:48:00Z</dcterms:modified>
</cp:coreProperties>
</file>