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425D5" w14:textId="77777777" w:rsidR="007D75CF" w:rsidRPr="00BD061E" w:rsidRDefault="000747A3" w:rsidP="00DC6A71">
      <w:pPr>
        <w:pStyle w:val="datumtevilka"/>
      </w:pPr>
      <w:r w:rsidRPr="00BD061E">
        <w:rPr>
          <w:noProof/>
        </w:rPr>
        <mc:AlternateContent>
          <mc:Choice Requires="wps">
            <w:drawing>
              <wp:anchor distT="360045" distB="540385" distL="0" distR="0" simplePos="0" relativeHeight="251658240" behindDoc="0" locked="0" layoutInCell="1" allowOverlap="0" wp14:anchorId="4863A90D" wp14:editId="32593E73">
                <wp:simplePos x="0" y="0"/>
                <wp:positionH relativeFrom="page">
                  <wp:posOffset>1080135</wp:posOffset>
                </wp:positionH>
                <wp:positionV relativeFrom="page">
                  <wp:posOffset>2160270</wp:posOffset>
                </wp:positionV>
                <wp:extent cx="2520315" cy="1080135"/>
                <wp:effectExtent l="3810" t="0" r="0" b="0"/>
                <wp:wrapTopAndBottom/>
                <wp:docPr id="2" name="Text Box 3"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08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29DDC" w14:textId="77777777" w:rsidR="002A2B69" w:rsidRPr="003E1C74" w:rsidRDefault="002A2B69" w:rsidP="007D75CF">
                            <w:pPr>
                              <w:rPr>
                                <w:lang w:val="sl-SI"/>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863A90D" id="_x0000_t202" coordsize="21600,21600" o:spt="202" path="m,l,21600r21600,l21600,xe">
                <v:stroke joinstyle="miter"/>
                <v:path gradientshapeok="t" o:connecttype="rect"/>
              </v:shapetype>
              <v:shape id="Text Box 3" o:spid="_x0000_s1026" type="#_x0000_t202" alt="Prostor za vnos naslovnika&#10;" style="position:absolute;margin-left:85.05pt;margin-top:170.1pt;width:198.45pt;height:85.05pt;z-index:251658240;visibility:visible;mso-wrap-style:square;mso-width-percent:0;mso-height-percent:0;mso-wrap-distance-left:0;mso-wrap-distance-top:28.35pt;mso-wrap-distance-right:0;mso-wrap-distance-bottom:42.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" o:allowoverlap="f" filled="f" stroked="f">
                <v:textbox inset="0,0,0,0">
                  <w:txbxContent>
                    <w:p w14:paraId="74629DDC" w14:textId="77777777" w:rsidR="002A2B69" w:rsidRPr="003E1C74" w:rsidRDefault="002A2B69" w:rsidP="007D75CF">
                      <w:pPr>
                        <w:rPr>
                          <w:lang w:val="sl-SI"/>
                        </w:rPr>
                      </w:pPr>
                    </w:p>
                  </w:txbxContent>
                </v:textbox>
                <w10:wrap type="topAndBottom" anchorx="page" anchory="page"/>
              </v:shape>
            </w:pict>
          </mc:Fallback>
        </mc:AlternateContent>
      </w:r>
      <w:r w:rsidR="007D75CF" w:rsidRPr="00BD061E">
        <w:t xml:space="preserve">Številka: </w:t>
      </w:r>
      <w:r w:rsidR="007D75CF" w:rsidRPr="00BD061E">
        <w:tab/>
      </w:r>
      <w:bookmarkStart w:id="0" w:name="Klasifikacija"/>
      <w:r w:rsidR="007D75CF" w:rsidRPr="00BD061E">
        <w:t>007-382/2025-5</w:t>
      </w:r>
      <w:bookmarkEnd w:id="0"/>
    </w:p>
    <w:p w14:paraId="4A9C52B1" w14:textId="77777777" w:rsidR="007D75CF" w:rsidRPr="00BD061E" w:rsidRDefault="000747A3" w:rsidP="00DC6A71">
      <w:pPr>
        <w:pStyle w:val="datumtevilka"/>
      </w:pPr>
      <w:r w:rsidRPr="00BD061E">
        <w:t xml:space="preserve">Datum: </w:t>
      </w:r>
      <w:r w:rsidRPr="00BD061E">
        <w:tab/>
      </w:r>
      <w:bookmarkStart w:id="1" w:name="DatumDokumenta"/>
      <w:r w:rsidRPr="00BD061E">
        <w:t>26. 05. 2026</w:t>
      </w:r>
      <w:bookmarkEnd w:id="1"/>
      <w:r w:rsidRPr="00BD061E">
        <w:t xml:space="preserve"> </w:t>
      </w:r>
    </w:p>
    <w:p w14:paraId="6A1D22F2" w14:textId="77777777" w:rsidR="007D75CF" w:rsidRPr="00BD061E" w:rsidRDefault="007D75CF" w:rsidP="007D75CF">
      <w:pPr>
        <w:rPr>
          <w:lang w:val="sl-SI"/>
        </w:rPr>
      </w:pPr>
    </w:p>
    <w:p w14:paraId="7AD28529" w14:textId="77777777" w:rsidR="007D75CF" w:rsidRPr="00BD061E" w:rsidRDefault="000747A3" w:rsidP="00DC6A71">
      <w:pPr>
        <w:pStyle w:val="ZADEVA"/>
        <w:rPr>
          <w:lang w:val="sl-SI"/>
        </w:rPr>
      </w:pPr>
      <w:r w:rsidRPr="00BD061E">
        <w:rPr>
          <w:lang w:val="sl-SI"/>
        </w:rPr>
        <w:t xml:space="preserve">Zadeva: </w:t>
      </w:r>
      <w:r w:rsidRPr="00BD061E">
        <w:rPr>
          <w:lang w:val="sl-SI"/>
        </w:rPr>
        <w:tab/>
      </w:r>
      <w:bookmarkStart w:id="2" w:name="OpisDokumenta"/>
      <w:r w:rsidRPr="00BD061E">
        <w:t>Prisega sodnikov porotnikov in odsotnost z dela – zaprosilo za mnenje</w:t>
      </w:r>
      <w:bookmarkEnd w:id="2"/>
    </w:p>
    <w:p w14:paraId="794B81A2" w14:textId="77777777" w:rsidR="0039533E" w:rsidRPr="00BD061E" w:rsidRDefault="000747A3" w:rsidP="0039533E">
      <w:pPr>
        <w:rPr>
          <w:lang w:val="sl-SI"/>
        </w:rPr>
      </w:pPr>
      <w:r w:rsidRPr="00BD061E">
        <w:rPr>
          <w:lang w:val="sl-SI"/>
        </w:rPr>
        <w:t xml:space="preserve">Zveza:                   </w:t>
      </w:r>
      <w:r w:rsidR="00A03C01">
        <w:rPr>
          <w:lang w:val="sl-SI"/>
        </w:rPr>
        <w:t xml:space="preserve">Vaš dopis št. </w:t>
      </w:r>
      <w:r w:rsidR="00A03C01" w:rsidRPr="00A03C01">
        <w:rPr>
          <w:lang w:val="sl-SI"/>
        </w:rPr>
        <w:t>109-3/2025/156</w:t>
      </w:r>
    </w:p>
    <w:p w14:paraId="60B91AE9" w14:textId="77777777" w:rsidR="007D75CF" w:rsidRPr="00BD061E" w:rsidRDefault="007D75CF" w:rsidP="007D75CF">
      <w:pPr>
        <w:rPr>
          <w:lang w:val="sl-SI"/>
        </w:rPr>
      </w:pPr>
    </w:p>
    <w:p w14:paraId="384A4E9C" w14:textId="77777777" w:rsidR="00A03C01" w:rsidRDefault="00A03C01" w:rsidP="00BD061E">
      <w:pPr>
        <w:spacing w:line="240" w:lineRule="exact"/>
        <w:jc w:val="both"/>
        <w:rPr>
          <w:rFonts w:cs="Arial"/>
          <w:szCs w:val="20"/>
          <w:lang w:val="sl-SI"/>
        </w:rPr>
      </w:pPr>
    </w:p>
    <w:p w14:paraId="15B69B14" w14:textId="77777777" w:rsidR="00BD061E" w:rsidRDefault="000747A3" w:rsidP="00BD061E">
      <w:pPr>
        <w:spacing w:line="240" w:lineRule="exact"/>
        <w:jc w:val="both"/>
        <w:rPr>
          <w:rFonts w:cs="Arial"/>
          <w:i/>
          <w:iCs/>
          <w:szCs w:val="20"/>
          <w:lang w:val="sl-SI"/>
        </w:rPr>
      </w:pPr>
      <w:r w:rsidRPr="00BD061E">
        <w:rPr>
          <w:rFonts w:cs="Arial"/>
          <w:szCs w:val="20"/>
          <w:lang w:val="sl-SI"/>
        </w:rPr>
        <w:t>Na Ministrstvo za javno upravo ste naslovili vprašanje glede pravice do odsotnosti z dela s pravico do nadomestila plače iz tretje alineje 41. člena Zakona o delavcih v državnih organih (v nadaljnjem besedilu: ZDDO)</w:t>
      </w:r>
      <w:r>
        <w:rPr>
          <w:rStyle w:val="Sprotnaopomba-sklic"/>
          <w:rFonts w:cs="Arial"/>
          <w:szCs w:val="20"/>
          <w:lang w:val="sl-SI"/>
        </w:rPr>
        <w:footnoteReference w:id="1"/>
      </w:r>
      <w:r w:rsidRPr="00BD061E">
        <w:rPr>
          <w:rFonts w:cs="Arial"/>
          <w:szCs w:val="20"/>
          <w:lang w:val="sl-SI"/>
        </w:rPr>
        <w:t xml:space="preserve"> za primer, ko se javni uslužbenec udeleži prisege kot sodnik porotnik. </w:t>
      </w:r>
      <w:r w:rsidRPr="00BD061E">
        <w:rPr>
          <w:rFonts w:cs="Arial"/>
          <w:i/>
          <w:iCs/>
          <w:szCs w:val="20"/>
          <w:lang w:val="sl-SI"/>
        </w:rPr>
        <w:t>V dopisu navajate, da na podlagi razpisanih volitev sodnikov porotnikov delovnih in socialnega sodišča potekajo prisege izvoljenih sodnikov porotnikov delovnih in socialnega sodišča, med katerimi so tudi številni javni uslužbenci, ki kot državljani sodelujejo pri izvajanju sodne oblasti kot sodniki porotniki. Tako Zakon o sodiščih (v nadaljnjem besedilu: ZS)</w:t>
      </w:r>
      <w:r>
        <w:rPr>
          <w:rStyle w:val="Sprotnaopomba-sklic"/>
          <w:rFonts w:cs="Arial"/>
          <w:i/>
          <w:iCs/>
          <w:szCs w:val="20"/>
          <w:lang w:val="sl-SI"/>
        </w:rPr>
        <w:footnoteReference w:id="2"/>
      </w:r>
      <w:r w:rsidRPr="00BD061E">
        <w:rPr>
          <w:rFonts w:cs="Arial"/>
          <w:i/>
          <w:iCs/>
          <w:szCs w:val="20"/>
          <w:lang w:val="sl-SI"/>
        </w:rPr>
        <w:t xml:space="preserve"> kot Pravilnik o nagradi in povračilu stroškov sodnikom porotnikom</w:t>
      </w:r>
      <w:r>
        <w:rPr>
          <w:rStyle w:val="Sprotnaopomba-sklic"/>
          <w:rFonts w:cs="Arial"/>
          <w:i/>
          <w:iCs/>
          <w:szCs w:val="20"/>
          <w:lang w:val="sl-SI"/>
        </w:rPr>
        <w:footnoteReference w:id="3"/>
      </w:r>
      <w:r w:rsidRPr="00BD061E">
        <w:rPr>
          <w:rFonts w:cs="Arial"/>
          <w:i/>
          <w:iCs/>
          <w:szCs w:val="20"/>
          <w:lang w:val="sl-SI"/>
        </w:rPr>
        <w:t xml:space="preserve">  urejata nagrado in povračila stroškov sodnikom porotnikom, ki so nastali zaradi izvajanja funkcije sodnika porotnika pri sojenju, ko je sodnik aktivno udeležen pri izvajanju sodne oblasti, ne urejata pa nadomestila plače ali nadomestila izgubljenega zaslužka za delo za čas prisege sodnika porotnika. Prav tako iz veljavne zakonodaje pravna podlaga za upravičeno odsotnost javnih uslužbencev z dela za čas prisege sodnika porotnika tako pri okrožnih sodiščih kot pri delovnih in socialnem sodišču ne izhaja. Izrek prisege sicer ne predstavlja dejanja opravljanja funkcije sodnika porotnika, vendar pa se mora javni uslužbenec kot sodnik porotnik dogodka zanesljivo udeležiti in v skladu z 48. členom ZS pred nastopom dolžnosti prisego podati (zato bi bilo možno čas udeležbe na prisegi pojmovati kot enkraten dogodek, ki ga ni mogoče odložiti na kasnejši čas in ki po naravi stvari zahteva prisotnost javnega uslužbenca). Kljub temu, da ima predstojnik organa sicer diskrecijsko pravico pri odločanju v posameznih zadevah ter upoštevaje dejstvo, da gre pri pojmu »neodložljivega opravka« za pravni standard, ki ga je treba napolniti v vsakem primeru posebej, prosite, da zaradi enake obravnave vseh javnih uslužbencev za podajo mnenje, ali se udeležba na prisegi sodnikov porotnikov šteje za neodložljiv opravek v skladu s tretjo alinejo 41. člena ZDDO.</w:t>
      </w:r>
    </w:p>
    <w:p w14:paraId="19681108" w14:textId="77777777" w:rsidR="00BD061E" w:rsidRPr="00BD061E" w:rsidRDefault="00BD061E" w:rsidP="00BD061E">
      <w:pPr>
        <w:spacing w:line="240" w:lineRule="exact"/>
        <w:jc w:val="both"/>
        <w:rPr>
          <w:rFonts w:cs="Arial"/>
          <w:i/>
          <w:iCs/>
          <w:szCs w:val="20"/>
          <w:lang w:val="sl-SI"/>
        </w:rPr>
      </w:pPr>
    </w:p>
    <w:p w14:paraId="48620D50" w14:textId="77777777" w:rsidR="00BD061E" w:rsidRDefault="000747A3" w:rsidP="00BD061E">
      <w:pPr>
        <w:spacing w:line="240" w:lineRule="exact"/>
        <w:jc w:val="both"/>
        <w:rPr>
          <w:rFonts w:cs="Arial"/>
          <w:szCs w:val="20"/>
          <w:lang w:val="sl-SI"/>
        </w:rPr>
      </w:pPr>
      <w:r w:rsidRPr="00BD061E">
        <w:rPr>
          <w:rFonts w:cs="Arial"/>
          <w:szCs w:val="20"/>
          <w:lang w:val="sl-SI"/>
        </w:rPr>
        <w:t xml:space="preserve">Ministrstvo za javno upravo lahko v okviru svojih pristojnosti posreduje le pojasnila glede izvajanja predpisov, ni pa pristojno za razlago določb zakonov ali kolektivnih pogodb. Ob tem poudarjamo, da so navedena pojasnila lahko v pomoč strokovni službi in delodajalcu, ki odloča o pravicah </w:t>
      </w:r>
      <w:r w:rsidRPr="00BD061E">
        <w:rPr>
          <w:rFonts w:cs="Arial"/>
          <w:szCs w:val="20"/>
          <w:lang w:val="sl-SI"/>
        </w:rPr>
        <w:lastRenderedPageBreak/>
        <w:t>javnih uslužbencev na podlagi zakona, podzakonskega akta ali kolektivne pogodbe, še vedno pa je odločanje v konkretnem primeru v pristojnosti delodajalca.</w:t>
      </w:r>
    </w:p>
    <w:p w14:paraId="74A592BF" w14:textId="77777777" w:rsidR="00BD061E" w:rsidRPr="00BD061E" w:rsidRDefault="000747A3" w:rsidP="00BD061E">
      <w:pPr>
        <w:spacing w:line="240" w:lineRule="exact"/>
        <w:jc w:val="both"/>
        <w:rPr>
          <w:rFonts w:cs="Arial"/>
          <w:i/>
          <w:iCs/>
          <w:szCs w:val="20"/>
          <w:lang w:val="sl-SI"/>
        </w:rPr>
      </w:pPr>
      <w:r w:rsidRPr="00BD061E">
        <w:rPr>
          <w:rFonts w:cs="Arial"/>
          <w:szCs w:val="20"/>
          <w:lang w:val="sl-SI"/>
        </w:rPr>
        <w:t xml:space="preserve">  </w:t>
      </w:r>
    </w:p>
    <w:p w14:paraId="0EFB9DAE" w14:textId="77777777" w:rsidR="00BD061E" w:rsidRPr="00BD061E" w:rsidRDefault="000747A3" w:rsidP="00BD061E">
      <w:pPr>
        <w:spacing w:after="160" w:line="240" w:lineRule="exact"/>
        <w:jc w:val="both"/>
        <w:rPr>
          <w:rFonts w:cs="Arial"/>
          <w:szCs w:val="20"/>
          <w:lang w:val="sl-SI"/>
        </w:rPr>
      </w:pPr>
      <w:r w:rsidRPr="00BD061E">
        <w:rPr>
          <w:rFonts w:cs="Arial"/>
          <w:szCs w:val="20"/>
          <w:lang w:val="sl-SI"/>
        </w:rPr>
        <w:t>Določba 41. člena ZDDO ureja primere plačane odsotnosti z dela iz naslova osebnih okoliščin in drugih upravičenih razlogov na strani javnega uslužbenca. V skladu s tretjo alinejo navedenega člena je delavec upravičen do enega dne plačane odsotnosti za vsak posamezni neodložljivi opravek, pri čemer se ta pravica ne razume kot enkratna pravica do enega dne odsotnosti letno za vse neodložljive opravke skupaj, temveč kot pravica do enega dne odsotnosti za vsak posamezen tak opravek, ob upoštevanju skupne letne omejitve plačanih odsotnosti, določene z 41. členom ZDDO (7 dni).</w:t>
      </w:r>
    </w:p>
    <w:p w14:paraId="65DCCC17" w14:textId="77777777" w:rsidR="00BD061E" w:rsidRPr="00BD061E" w:rsidRDefault="000747A3" w:rsidP="00BD061E">
      <w:pPr>
        <w:spacing w:after="160" w:line="240" w:lineRule="exact"/>
        <w:jc w:val="both"/>
        <w:rPr>
          <w:rFonts w:cs="Arial"/>
          <w:szCs w:val="20"/>
          <w:lang w:val="sl-SI"/>
        </w:rPr>
      </w:pPr>
      <w:r w:rsidRPr="00BD061E">
        <w:rPr>
          <w:rFonts w:cs="Arial"/>
          <w:szCs w:val="20"/>
          <w:lang w:val="sl-SI"/>
        </w:rPr>
        <w:t>Kljub navedenemu menimo, da v konkretnem primeru udeležbe javnega uslužbenca na prisegi sodnika porotnika navedena določba ne predstavlja ustrezne pravne podlage za odobritev plačane odsotnosti. Odsotnost zaradi »drugega neodložljivega opravka« je po svoji vsebini namenjena primerom opravkov osebne narave, torej okoliščinam na strani javnega uslužbenca, ki jih ni mogoče urediti izven delovnega časa. Udeležba na prisegi sodnika porotnika po naravi stvari po našem mnenju ne sodi v to kategorijo, saj ne gre za osebni opravek javnega uslužbenca, temveč za formalno dejanje, vezano na nastop funkcije sodnika porotnika in iz tega statusa izhajajoče obveznosti, pri čemer pa je treba upoštevati tudi okoliščino, da je bil javni uslužbenec za sodnika porotnika predlagan s strani delodajalca oziroma delodajalske strani. Navedeno izključuje možnost, da bi se odsotnost z dela v zvezi s prisego štela za opravek, ki izvira iz osebne sfere uslužbenca. Evidentiranje takšne odsotnosti kot osebnega neodložljivega opravka bi bilo po našem mnenju vsebinsko neustrezno in bi vodilo do neupravičenega poseganja v letno omejitev plačanih odsotnosti po 41. členu ZDDO.</w:t>
      </w:r>
    </w:p>
    <w:p w14:paraId="628E6AD1" w14:textId="77777777" w:rsidR="00BD061E" w:rsidRDefault="000747A3" w:rsidP="00BD061E">
      <w:pPr>
        <w:spacing w:line="240" w:lineRule="exact"/>
        <w:jc w:val="both"/>
        <w:rPr>
          <w:rFonts w:cs="Arial"/>
          <w:szCs w:val="20"/>
          <w:lang w:val="sl-SI"/>
        </w:rPr>
      </w:pPr>
      <w:r w:rsidRPr="00BD061E">
        <w:rPr>
          <w:rFonts w:cs="Arial"/>
          <w:szCs w:val="20"/>
          <w:lang w:val="sl-SI"/>
        </w:rPr>
        <w:t>Glede na vse navedeno menimo, da bi uporaba tretje alineje 41. člena ZDDO v konkretnem primeru pomenila preširoko razlago pojma »drug neodložljiv opravek« ter njeno širitev na položaje, ki po svoji naravi ne sodijo v okvir plačanih odsotnosti iz naslova osebnih okoliščin. Ker razlog odsotnosti ne izvira iz osebne sfere javnega uslužbenca, temveč je neposredno povezan z imenovanjem in nastopom funkcije sodnika porotnika po predlogu delodajalca, udeležba na prisegi sodnika porotnika po našem menjuj ne more biti opredeljena kot »drug neodložljiv opravek« v smislu tretje alineje 41. člena ZDDO.</w:t>
      </w:r>
    </w:p>
    <w:p w14:paraId="0CA4B350" w14:textId="77777777" w:rsidR="00BD061E" w:rsidRPr="00BD061E" w:rsidRDefault="00BD061E" w:rsidP="00BD061E">
      <w:pPr>
        <w:spacing w:line="240" w:lineRule="exact"/>
        <w:jc w:val="both"/>
        <w:rPr>
          <w:rFonts w:cs="Arial"/>
          <w:szCs w:val="20"/>
          <w:lang w:val="sl-SI"/>
        </w:rPr>
      </w:pPr>
    </w:p>
    <w:p w14:paraId="257FC04F" w14:textId="77777777" w:rsidR="00BD061E" w:rsidRPr="00BD061E" w:rsidRDefault="000747A3" w:rsidP="00BD061E">
      <w:pPr>
        <w:spacing w:line="240" w:lineRule="exact"/>
        <w:jc w:val="both"/>
        <w:rPr>
          <w:rFonts w:cs="Arial"/>
          <w:szCs w:val="20"/>
          <w:lang w:val="sl-SI"/>
        </w:rPr>
      </w:pPr>
      <w:r w:rsidRPr="00BD061E">
        <w:rPr>
          <w:rFonts w:cs="Arial"/>
          <w:szCs w:val="20"/>
          <w:lang w:val="sl-SI"/>
        </w:rPr>
        <w:t xml:space="preserve">Upoštevaje zgoraj navedeno predlagamo, da se udeležba javnega uslužbenca na zaprisegi sodnika porotnika, ob upoštevanju dejstva, da je bil za opravljanje navedene funkcije predlagan s strani delodajalca oziroma delodajalske strani, ne evidentira kot plačana odsotnost zaradi drugega neodložljivega opravka po tretji alineji 41. člena ZDDO. Ker razlog odsotnosti ne izvira iz osebne sfere javnega uslužbenca, temveč je povezan z nastopom funkcije, za katero je bil predlagan s strani delodajalca oziroma delodajalske strani, predlagamo, da se udeležba na zaprisegi za namen evidence delovnega časa šteje kot službena odsotnost oziroma kot odsotnost v okviru službenih obveznosti javnega uslužbenca. Ker je javni uslužbenec v funkcijo porotnika predlagan s strani delodajalca, se po našem mnenju udeležba na zaprisegi lahko šteje kot del službenih obveznosti, odsotnost se evidentira kot službena odsotnost. Z vidika enake obravnave javnih uslužbencev in ob upoštevanju enakega razloga odsotnosti menimo, da bi se lahko tudi udeležba na prisegi javnega uslužbenca, ki ga je za sodnika porotnika predlagala sindikalna stran, obravnavala enako kot udeležba na prisegi javnega uslužbenca, predlaganega z delodajalske strani. </w:t>
      </w:r>
    </w:p>
    <w:p w14:paraId="31014BAD" w14:textId="77777777" w:rsidR="00BD061E" w:rsidRPr="00BD061E" w:rsidRDefault="00BD061E" w:rsidP="00BD061E">
      <w:pPr>
        <w:spacing w:line="240" w:lineRule="exact"/>
        <w:jc w:val="both"/>
        <w:rPr>
          <w:rFonts w:cs="Arial"/>
          <w:szCs w:val="20"/>
          <w:lang w:val="sl-SI"/>
        </w:rPr>
      </w:pPr>
    </w:p>
    <w:p w14:paraId="19C0EF70" w14:textId="77777777" w:rsidR="00F57FED" w:rsidRPr="00BD061E" w:rsidRDefault="00F57FED" w:rsidP="007D75CF">
      <w:pPr>
        <w:rPr>
          <w:lang w:val="sl-SI"/>
        </w:rPr>
      </w:pPr>
    </w:p>
    <w:p w14:paraId="19AE4906" w14:textId="77777777" w:rsidR="007E6DC5" w:rsidRPr="00BD061E" w:rsidRDefault="007E6DC5" w:rsidP="007D75CF">
      <w:pPr>
        <w:rPr>
          <w:lang w:val="sl-SI"/>
        </w:rPr>
      </w:pPr>
    </w:p>
    <w:p w14:paraId="4E341A89" w14:textId="77777777" w:rsidR="007D75CF" w:rsidRPr="00BD061E" w:rsidRDefault="000747A3" w:rsidP="007D75CF">
      <w:pPr>
        <w:rPr>
          <w:lang w:val="sl-SI"/>
        </w:rPr>
      </w:pPr>
      <w:r w:rsidRPr="00BD061E">
        <w:rPr>
          <w:lang w:val="sl-SI"/>
        </w:rPr>
        <w:t>S spoštovanjem,</w:t>
      </w:r>
    </w:p>
    <w:p w14:paraId="3FEACBD1" w14:textId="77777777" w:rsidR="007D75CF" w:rsidRPr="00BD061E" w:rsidRDefault="007D75CF" w:rsidP="007D75CF">
      <w:pPr>
        <w:rPr>
          <w:lang w:val="sl-SI"/>
        </w:rPr>
      </w:pPr>
    </w:p>
    <w:p w14:paraId="2D99E6CC" w14:textId="77777777" w:rsidR="007D75CF" w:rsidRPr="00BD061E" w:rsidRDefault="007D75CF" w:rsidP="007D75CF">
      <w:pPr>
        <w:rPr>
          <w:lang w:val="sl-SI"/>
        </w:rPr>
      </w:pPr>
    </w:p>
    <w:p w14:paraId="0437D9BC" w14:textId="77777777" w:rsidR="007D75CF" w:rsidRPr="00BD061E" w:rsidRDefault="007D75CF" w:rsidP="003E1C74">
      <w:pPr>
        <w:pStyle w:val="podpisi"/>
        <w:rPr>
          <w:lang w:val="sl-SI"/>
        </w:rPr>
      </w:pPr>
    </w:p>
    <w:tbl>
      <w:tblPr>
        <w:tblStyle w:val="Tabelamre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53"/>
      </w:tblGrid>
      <w:tr w:rsidR="000F3323" w14:paraId="03A53E3C" w14:textId="77777777" w:rsidTr="00770E4E">
        <w:tc>
          <w:tcPr>
            <w:tcW w:w="4536" w:type="dxa"/>
          </w:tcPr>
          <w:p w14:paraId="6DA8A88F" w14:textId="77777777" w:rsidR="004D51AF" w:rsidRPr="00BD061E" w:rsidRDefault="004D51AF" w:rsidP="00770E4E">
            <w:pPr>
              <w:pStyle w:val="podpisi"/>
              <w:ind w:left="-105"/>
              <w:rPr>
                <w:lang w:val="sl-SI"/>
              </w:rPr>
            </w:pPr>
          </w:p>
        </w:tc>
        <w:tc>
          <w:tcPr>
            <w:tcW w:w="4253" w:type="dxa"/>
          </w:tcPr>
          <w:p w14:paraId="7A5756AE" w14:textId="77777777" w:rsidR="004D51AF" w:rsidRPr="00BD061E" w:rsidRDefault="000747A3" w:rsidP="00770E4E">
            <w:pPr>
              <w:pStyle w:val="podpisi"/>
              <w:ind w:left="-105"/>
              <w:rPr>
                <w:lang w:val="sl-SI"/>
              </w:rPr>
            </w:pPr>
            <w:bookmarkStart w:id="3" w:name="PodpisnikImePriimek"/>
            <w:r w:rsidRPr="00BD061E">
              <w:t>Peter Pogačar</w:t>
            </w:r>
            <w:bookmarkEnd w:id="3"/>
          </w:p>
        </w:tc>
      </w:tr>
      <w:tr w:rsidR="000F3323" w14:paraId="4456D8CE" w14:textId="77777777" w:rsidTr="00770E4E">
        <w:tc>
          <w:tcPr>
            <w:tcW w:w="4536" w:type="dxa"/>
          </w:tcPr>
          <w:p w14:paraId="7551425C" w14:textId="77777777" w:rsidR="004D51AF" w:rsidRPr="00BD061E" w:rsidRDefault="004D51AF" w:rsidP="00770E4E">
            <w:pPr>
              <w:pStyle w:val="podpisi"/>
              <w:ind w:left="-105"/>
              <w:rPr>
                <w:lang w:val="sl-SI"/>
              </w:rPr>
            </w:pPr>
          </w:p>
        </w:tc>
        <w:tc>
          <w:tcPr>
            <w:tcW w:w="4253" w:type="dxa"/>
          </w:tcPr>
          <w:p w14:paraId="496BB6F6" w14:textId="77777777" w:rsidR="004D51AF" w:rsidRPr="00BD061E" w:rsidRDefault="000747A3" w:rsidP="00770E4E">
            <w:pPr>
              <w:pStyle w:val="podpisi"/>
              <w:ind w:left="-105"/>
              <w:rPr>
                <w:lang w:val="sl-SI"/>
              </w:rPr>
            </w:pPr>
            <w:bookmarkStart w:id="4" w:name="PodpisnikNazivDM"/>
            <w:r w:rsidRPr="00BD061E">
              <w:t xml:space="preserve">generalni direktor </w:t>
            </w:r>
            <w:bookmarkEnd w:id="4"/>
          </w:p>
        </w:tc>
      </w:tr>
    </w:tbl>
    <w:p w14:paraId="52C81DB8" w14:textId="77777777" w:rsidR="007D75CF" w:rsidRPr="00BD061E" w:rsidRDefault="007D75CF" w:rsidP="004D51AF">
      <w:pPr>
        <w:pStyle w:val="podpisi"/>
        <w:rPr>
          <w:lang w:val="sl-SI"/>
        </w:rPr>
      </w:pPr>
    </w:p>
    <w:p w14:paraId="6B4B720F" w14:textId="77777777" w:rsidR="004D51AF" w:rsidRPr="00BD061E" w:rsidRDefault="004D51AF" w:rsidP="004D51AF">
      <w:pPr>
        <w:pStyle w:val="podpisi"/>
        <w:rPr>
          <w:lang w:val="sl-SI"/>
        </w:rPr>
      </w:pPr>
    </w:p>
    <w:sectPr w:rsidR="004D51AF" w:rsidRPr="00BD061E" w:rsidSect="00267C61">
      <w:headerReference w:type="default" r:id="rId7"/>
      <w:headerReference w:type="first" r:id="rId8"/>
      <w:pgSz w:w="11900" w:h="16840" w:code="9"/>
      <w:pgMar w:top="1701"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918BD" w14:textId="77777777" w:rsidR="00BA36FA" w:rsidRDefault="00BA36FA">
      <w:pPr>
        <w:spacing w:line="240" w:lineRule="auto"/>
      </w:pPr>
      <w:r>
        <w:separator/>
      </w:r>
    </w:p>
  </w:endnote>
  <w:endnote w:type="continuationSeparator" w:id="0">
    <w:p w14:paraId="3BC1C4A7" w14:textId="77777777" w:rsidR="00BA36FA" w:rsidRDefault="00BA36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FCE1F" w14:textId="77777777" w:rsidR="00BA36FA" w:rsidRDefault="00BA36FA">
      <w:pPr>
        <w:spacing w:line="240" w:lineRule="auto"/>
      </w:pPr>
      <w:r>
        <w:separator/>
      </w:r>
    </w:p>
  </w:footnote>
  <w:footnote w:type="continuationSeparator" w:id="0">
    <w:p w14:paraId="39B54002" w14:textId="77777777" w:rsidR="00BA36FA" w:rsidRDefault="00BA36FA">
      <w:pPr>
        <w:spacing w:line="240" w:lineRule="auto"/>
      </w:pPr>
      <w:r>
        <w:continuationSeparator/>
      </w:r>
    </w:p>
  </w:footnote>
  <w:footnote w:id="1">
    <w:p w14:paraId="5DD5E357" w14:textId="77777777" w:rsidR="00BD061E" w:rsidRPr="00A03C01" w:rsidRDefault="000747A3" w:rsidP="00BD061E">
      <w:pPr>
        <w:pStyle w:val="Sprotnaopomba-besedilo"/>
        <w:rPr>
          <w:rFonts w:ascii="Arial" w:hAnsi="Arial" w:cs="Arial"/>
          <w:sz w:val="16"/>
          <w:szCs w:val="16"/>
        </w:rPr>
      </w:pPr>
      <w:r w:rsidRPr="00A03C01">
        <w:rPr>
          <w:rStyle w:val="Sprotnaopomba-sklic"/>
          <w:rFonts w:ascii="Arial" w:hAnsi="Arial" w:cs="Arial"/>
          <w:sz w:val="16"/>
          <w:szCs w:val="16"/>
        </w:rPr>
        <w:footnoteRef/>
      </w:r>
      <w:r w:rsidRPr="00A03C01">
        <w:rPr>
          <w:rFonts w:ascii="Arial" w:hAnsi="Arial" w:cs="Arial"/>
          <w:sz w:val="16"/>
          <w:szCs w:val="16"/>
        </w:rPr>
        <w:t xml:space="preserve"> Uradni list RS, št. 15/90, 2/91-I, 5/91, 18/91, 22/91, 4/93, 18/94 – ZRPJZ, 70/97, 87/97 – ZPSDP, 38/99, 56/02 – ZJU, 8/20 in 32/25 – ZJU-1</w:t>
      </w:r>
    </w:p>
  </w:footnote>
  <w:footnote w:id="2">
    <w:p w14:paraId="717F5EDD" w14:textId="77777777" w:rsidR="00BD061E" w:rsidRPr="00A03C01" w:rsidRDefault="000747A3" w:rsidP="00BD061E">
      <w:pPr>
        <w:pStyle w:val="Sprotnaopomba-besedilo"/>
        <w:rPr>
          <w:rFonts w:ascii="Arial" w:hAnsi="Arial" w:cs="Arial"/>
          <w:sz w:val="16"/>
          <w:szCs w:val="16"/>
        </w:rPr>
      </w:pPr>
      <w:r w:rsidRPr="00A03C01">
        <w:rPr>
          <w:rStyle w:val="Sprotnaopomba-sklic"/>
          <w:rFonts w:ascii="Arial" w:hAnsi="Arial" w:cs="Arial"/>
          <w:sz w:val="16"/>
          <w:szCs w:val="16"/>
        </w:rPr>
        <w:footnoteRef/>
      </w:r>
      <w:r w:rsidRPr="00A03C01">
        <w:rPr>
          <w:rFonts w:ascii="Arial" w:hAnsi="Arial" w:cs="Arial"/>
          <w:sz w:val="16"/>
          <w:szCs w:val="16"/>
        </w:rPr>
        <w:t xml:space="preserve"> Uradni list RS, št. 94/07 – uradno prečiščeno besedilo, 45/08, 96/09, 86/10 – ZJNepS, 33/11, 75/12 – ZSPDSLS-A, 63/13, 17/15, 23/17 – ZSSve, 22/18 – ZSICT, 16/19 – ZNP-1, 104/20, 203/20 – ZIUPOPDVE, 18/23 – ZDU-1O, 42/24 – odl. US in 100/25 – ZS-1.</w:t>
      </w:r>
    </w:p>
  </w:footnote>
  <w:footnote w:id="3">
    <w:p w14:paraId="3E673175" w14:textId="77777777" w:rsidR="00BD061E" w:rsidRDefault="000747A3" w:rsidP="00BD061E">
      <w:pPr>
        <w:pStyle w:val="Sprotnaopomba-besedilo"/>
      </w:pPr>
      <w:r w:rsidRPr="00A03C01">
        <w:rPr>
          <w:rStyle w:val="Sprotnaopomba-sklic"/>
          <w:rFonts w:ascii="Arial" w:hAnsi="Arial" w:cs="Arial"/>
          <w:sz w:val="16"/>
          <w:szCs w:val="16"/>
        </w:rPr>
        <w:footnoteRef/>
      </w:r>
      <w:r w:rsidRPr="00A03C01">
        <w:rPr>
          <w:rFonts w:ascii="Arial" w:hAnsi="Arial" w:cs="Arial"/>
          <w:sz w:val="16"/>
          <w:szCs w:val="16"/>
        </w:rPr>
        <w:t xml:space="preserve"> Uradni list RS, št. 196/21 in 100/25 – ZS-1.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AEF3"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0F3323" w14:paraId="0D997576" w14:textId="77777777" w:rsidTr="00FC310E">
      <w:trPr>
        <w:cantSplit/>
        <w:trHeight w:hRule="exact" w:val="847"/>
      </w:trPr>
      <w:tc>
        <w:tcPr>
          <w:tcW w:w="567" w:type="dxa"/>
        </w:tcPr>
        <w:p w14:paraId="602677A8" w14:textId="77777777" w:rsidR="00267C61" w:rsidRDefault="000747A3" w:rsidP="00267C61">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3EC94CBC" w14:textId="77777777" w:rsidR="00267C61" w:rsidRPr="006D42D9" w:rsidRDefault="00267C61" w:rsidP="00267C61">
          <w:pPr>
            <w:rPr>
              <w:rFonts w:ascii="Republika" w:hAnsi="Republika"/>
              <w:sz w:val="60"/>
              <w:szCs w:val="60"/>
            </w:rPr>
          </w:pPr>
        </w:p>
        <w:p w14:paraId="4B91A6EE" w14:textId="77777777" w:rsidR="00267C61" w:rsidRPr="006D42D9" w:rsidRDefault="00267C61" w:rsidP="00267C61">
          <w:pPr>
            <w:rPr>
              <w:rFonts w:ascii="Republika" w:hAnsi="Republika"/>
              <w:sz w:val="60"/>
              <w:szCs w:val="60"/>
            </w:rPr>
          </w:pPr>
        </w:p>
        <w:p w14:paraId="2DBDE21C" w14:textId="77777777" w:rsidR="00267C61" w:rsidRPr="006D42D9" w:rsidRDefault="00267C61" w:rsidP="00267C61">
          <w:pPr>
            <w:rPr>
              <w:rFonts w:ascii="Republika" w:hAnsi="Republika"/>
              <w:sz w:val="60"/>
              <w:szCs w:val="60"/>
            </w:rPr>
          </w:pPr>
        </w:p>
        <w:p w14:paraId="68982A5B" w14:textId="77777777" w:rsidR="00267C61" w:rsidRPr="006D42D9" w:rsidRDefault="00267C61" w:rsidP="00267C61">
          <w:pPr>
            <w:rPr>
              <w:rFonts w:ascii="Republika" w:hAnsi="Republika"/>
              <w:sz w:val="60"/>
              <w:szCs w:val="60"/>
            </w:rPr>
          </w:pPr>
        </w:p>
        <w:p w14:paraId="309DCB43" w14:textId="77777777" w:rsidR="00267C61" w:rsidRPr="006D42D9" w:rsidRDefault="00267C61" w:rsidP="00267C61">
          <w:pPr>
            <w:rPr>
              <w:rFonts w:ascii="Republika" w:hAnsi="Republika"/>
              <w:sz w:val="60"/>
              <w:szCs w:val="60"/>
            </w:rPr>
          </w:pPr>
        </w:p>
        <w:p w14:paraId="308B99E4" w14:textId="77777777" w:rsidR="00267C61" w:rsidRPr="006D42D9" w:rsidRDefault="00267C61" w:rsidP="00267C61">
          <w:pPr>
            <w:rPr>
              <w:rFonts w:ascii="Republika" w:hAnsi="Republika"/>
              <w:sz w:val="60"/>
              <w:szCs w:val="60"/>
            </w:rPr>
          </w:pPr>
        </w:p>
        <w:p w14:paraId="769B7D6B" w14:textId="77777777" w:rsidR="00267C61" w:rsidRPr="006D42D9" w:rsidRDefault="00267C61" w:rsidP="00267C61">
          <w:pPr>
            <w:rPr>
              <w:rFonts w:ascii="Republika" w:hAnsi="Republika"/>
              <w:sz w:val="60"/>
              <w:szCs w:val="60"/>
            </w:rPr>
          </w:pPr>
        </w:p>
        <w:p w14:paraId="4627578C" w14:textId="77777777" w:rsidR="00267C61" w:rsidRPr="006D42D9" w:rsidRDefault="00267C61" w:rsidP="00267C61">
          <w:pPr>
            <w:rPr>
              <w:rFonts w:ascii="Republika" w:hAnsi="Republika"/>
              <w:sz w:val="60"/>
              <w:szCs w:val="60"/>
            </w:rPr>
          </w:pPr>
        </w:p>
        <w:p w14:paraId="6E56826E" w14:textId="77777777" w:rsidR="00267C61" w:rsidRPr="006D42D9" w:rsidRDefault="00267C61" w:rsidP="00267C61">
          <w:pPr>
            <w:rPr>
              <w:rFonts w:ascii="Republika" w:hAnsi="Republika"/>
              <w:sz w:val="60"/>
              <w:szCs w:val="60"/>
            </w:rPr>
          </w:pPr>
        </w:p>
        <w:p w14:paraId="07D6975F" w14:textId="77777777" w:rsidR="00267C61" w:rsidRPr="006D42D9" w:rsidRDefault="00267C61" w:rsidP="00267C61">
          <w:pPr>
            <w:rPr>
              <w:rFonts w:ascii="Republika" w:hAnsi="Republika"/>
              <w:sz w:val="60"/>
              <w:szCs w:val="60"/>
            </w:rPr>
          </w:pPr>
        </w:p>
        <w:p w14:paraId="4E79D015" w14:textId="77777777" w:rsidR="00267C61" w:rsidRPr="006D42D9" w:rsidRDefault="00267C61" w:rsidP="00267C61">
          <w:pPr>
            <w:rPr>
              <w:rFonts w:ascii="Republika" w:hAnsi="Republika"/>
              <w:sz w:val="60"/>
              <w:szCs w:val="60"/>
            </w:rPr>
          </w:pPr>
        </w:p>
        <w:p w14:paraId="323094CA" w14:textId="77777777" w:rsidR="00267C61" w:rsidRPr="006D42D9" w:rsidRDefault="00267C61" w:rsidP="00267C61">
          <w:pPr>
            <w:rPr>
              <w:rFonts w:ascii="Republika" w:hAnsi="Republika"/>
              <w:sz w:val="60"/>
              <w:szCs w:val="60"/>
            </w:rPr>
          </w:pPr>
        </w:p>
        <w:p w14:paraId="0CC8D716" w14:textId="77777777" w:rsidR="00267C61" w:rsidRPr="006D42D9" w:rsidRDefault="00267C61" w:rsidP="00267C61">
          <w:pPr>
            <w:rPr>
              <w:rFonts w:ascii="Republika" w:hAnsi="Republika"/>
              <w:sz w:val="60"/>
              <w:szCs w:val="60"/>
            </w:rPr>
          </w:pPr>
        </w:p>
        <w:p w14:paraId="0FF02855" w14:textId="77777777" w:rsidR="00267C61" w:rsidRPr="006D42D9" w:rsidRDefault="00267C61" w:rsidP="00267C61">
          <w:pPr>
            <w:rPr>
              <w:rFonts w:ascii="Republika" w:hAnsi="Republika"/>
              <w:sz w:val="60"/>
              <w:szCs w:val="60"/>
            </w:rPr>
          </w:pPr>
        </w:p>
        <w:p w14:paraId="0B480758" w14:textId="77777777" w:rsidR="00267C61" w:rsidRPr="006D42D9" w:rsidRDefault="00267C61" w:rsidP="00267C61">
          <w:pPr>
            <w:rPr>
              <w:rFonts w:ascii="Republika" w:hAnsi="Republika"/>
              <w:sz w:val="60"/>
              <w:szCs w:val="60"/>
            </w:rPr>
          </w:pPr>
        </w:p>
        <w:p w14:paraId="654E72DD" w14:textId="77777777" w:rsidR="00267C61" w:rsidRPr="006D42D9" w:rsidRDefault="00267C61" w:rsidP="00267C61">
          <w:pPr>
            <w:rPr>
              <w:rFonts w:ascii="Republika" w:hAnsi="Republika"/>
              <w:sz w:val="60"/>
              <w:szCs w:val="60"/>
            </w:rPr>
          </w:pPr>
        </w:p>
      </w:tc>
    </w:tr>
  </w:tbl>
  <w:p w14:paraId="533BD5EE" w14:textId="77777777" w:rsidR="00267C61" w:rsidRPr="00D5653B" w:rsidRDefault="000747A3" w:rsidP="00267C61">
    <w:pPr>
      <w:autoSpaceDE w:val="0"/>
      <w:autoSpaceDN w:val="0"/>
      <w:adjustRightInd w:val="0"/>
      <w:spacing w:line="240" w:lineRule="auto"/>
      <w:rPr>
        <w:rFonts w:ascii="Republika" w:hAnsi="Republika"/>
        <w:szCs w:val="20"/>
      </w:rPr>
    </w:pPr>
    <w:r w:rsidRPr="00D5653B">
      <w:rPr>
        <w:noProof/>
        <w:szCs w:val="20"/>
        <w:lang w:eastAsia="sl-SI"/>
      </w:rPr>
      <mc:AlternateContent>
        <mc:Choice Requires="wps">
          <w:drawing>
            <wp:anchor distT="0" distB="0" distL="114300" distR="114300" simplePos="0" relativeHeight="251658240" behindDoc="1" locked="0" layoutInCell="0" allowOverlap="1" wp14:anchorId="30A5D316" wp14:editId="649FB454">
              <wp:simplePos x="0" y="0"/>
              <wp:positionH relativeFrom="column">
                <wp:posOffset>-431800</wp:posOffset>
              </wp:positionH>
              <wp:positionV relativeFrom="page">
                <wp:posOffset>3600450</wp:posOffset>
              </wp:positionV>
              <wp:extent cx="252095" cy="0"/>
              <wp:effectExtent l="10160" t="9525" r="13970" b="9525"/>
              <wp:wrapNone/>
              <wp:docPr id="5" name="Raven povezovalni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FE5A3" id="Raven povezovalnik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D5653B">
      <w:rPr>
        <w:rFonts w:ascii="Republika" w:hAnsi="Republika"/>
        <w:szCs w:val="20"/>
      </w:rPr>
      <w:t>REPUBLIKA SLOVENIJA</w:t>
    </w:r>
  </w:p>
  <w:p w14:paraId="398AEFCA" w14:textId="77777777" w:rsidR="00267C61" w:rsidRDefault="000747A3" w:rsidP="00267C61">
    <w:pPr>
      <w:pStyle w:val="Glava"/>
      <w:tabs>
        <w:tab w:val="left" w:pos="5112"/>
      </w:tabs>
      <w:spacing w:after="120" w:line="240" w:lineRule="exact"/>
      <w:rPr>
        <w:rFonts w:ascii="Republika" w:hAnsi="Republika"/>
        <w:b/>
        <w:caps/>
        <w:szCs w:val="20"/>
      </w:rPr>
    </w:pPr>
    <w:r w:rsidRPr="00D5653B">
      <w:rPr>
        <w:rFonts w:ascii="Republika" w:hAnsi="Republika"/>
        <w:b/>
        <w:caps/>
        <w:szCs w:val="20"/>
      </w:rPr>
      <w:t>Ministrstvo za JAVNO UPRAVO</w:t>
    </w:r>
  </w:p>
  <w:p w14:paraId="221DFA8B" w14:textId="77777777" w:rsidR="00267C61" w:rsidRDefault="000747A3" w:rsidP="00267C61">
    <w:pPr>
      <w:pStyle w:val="Glava"/>
      <w:tabs>
        <w:tab w:val="left" w:pos="5112"/>
      </w:tabs>
      <w:spacing w:before="240" w:line="240" w:lineRule="exact"/>
      <w:rPr>
        <w:rFonts w:ascii="Republika" w:hAnsi="Republika"/>
        <w:caps/>
        <w:szCs w:val="20"/>
      </w:rPr>
    </w:pPr>
    <w:r w:rsidRPr="00267C61">
      <w:rPr>
        <w:rFonts w:ascii="Republika" w:hAnsi="Republika"/>
        <w:caps/>
        <w:szCs w:val="20"/>
      </w:rPr>
      <w:t xml:space="preserve">DIREKTORAT ZA JAVNI SEKTOR </w:t>
    </w:r>
  </w:p>
  <w:p w14:paraId="73215805" w14:textId="77777777" w:rsidR="00267C61" w:rsidRPr="0019291D" w:rsidRDefault="000747A3" w:rsidP="00267C61">
    <w:pPr>
      <w:pStyle w:val="Glava"/>
      <w:tabs>
        <w:tab w:val="left" w:pos="5112"/>
      </w:tabs>
      <w:spacing w:before="240" w:line="240" w:lineRule="exact"/>
      <w:rPr>
        <w:rFonts w:ascii="Republika" w:hAnsi="Republika"/>
        <w:caps/>
        <w:szCs w:val="20"/>
      </w:rPr>
    </w:pPr>
    <w:proofErr w:type="spellStart"/>
    <w:r w:rsidRPr="00F121C4">
      <w:rPr>
        <w:rFonts w:cs="Arial"/>
        <w:sz w:val="16"/>
      </w:rPr>
      <w:t>Tržaška</w:t>
    </w:r>
    <w:proofErr w:type="spellEnd"/>
    <w:r w:rsidRPr="00F121C4">
      <w:rPr>
        <w:rFonts w:cs="Arial"/>
        <w:sz w:val="16"/>
      </w:rPr>
      <w:t xml:space="preserve"> cesta 21, 1000 Ljubljana</w:t>
    </w:r>
    <w:r w:rsidRPr="00F121C4">
      <w:rPr>
        <w:rFonts w:cs="Arial"/>
        <w:sz w:val="16"/>
      </w:rPr>
      <w:tab/>
    </w:r>
    <w:r>
      <w:rPr>
        <w:rFonts w:cs="Arial"/>
        <w:sz w:val="16"/>
      </w:rPr>
      <w:tab/>
    </w:r>
    <w:r w:rsidRPr="00F121C4">
      <w:rPr>
        <w:rFonts w:cs="Arial"/>
        <w:sz w:val="16"/>
      </w:rPr>
      <w:t>T:</w:t>
    </w:r>
    <w:r w:rsidRPr="0019291D">
      <w:t xml:space="preserve"> </w:t>
    </w:r>
    <w:r w:rsidRPr="00267C61">
      <w:rPr>
        <w:rFonts w:cs="Arial"/>
        <w:sz w:val="16"/>
      </w:rPr>
      <w:t>01 478 16 50</w:t>
    </w:r>
  </w:p>
  <w:p w14:paraId="613ABA7D" w14:textId="77777777" w:rsidR="00267C61" w:rsidRPr="00F121C4" w:rsidRDefault="000747A3" w:rsidP="00267C61">
    <w:pPr>
      <w:pStyle w:val="Glava"/>
      <w:tabs>
        <w:tab w:val="left" w:pos="5112"/>
      </w:tabs>
      <w:spacing w:line="240" w:lineRule="exact"/>
      <w:rPr>
        <w:rFonts w:cs="Arial"/>
        <w:sz w:val="16"/>
      </w:rPr>
    </w:pPr>
    <w:r w:rsidRPr="00F121C4">
      <w:rPr>
        <w:rFonts w:cs="Arial"/>
        <w:sz w:val="16"/>
      </w:rPr>
      <w:tab/>
    </w:r>
    <w:r>
      <w:rPr>
        <w:rFonts w:cs="Arial"/>
        <w:sz w:val="16"/>
      </w:rPr>
      <w:t xml:space="preserve">    </w:t>
    </w:r>
    <w:r>
      <w:rPr>
        <w:rFonts w:cs="Arial"/>
        <w:sz w:val="16"/>
      </w:rPr>
      <w:tab/>
    </w:r>
    <w:r w:rsidRPr="00F121C4">
      <w:rPr>
        <w:rFonts w:cs="Arial"/>
        <w:sz w:val="16"/>
      </w:rPr>
      <w:t>E: gp.mju@gov.si</w:t>
    </w:r>
  </w:p>
  <w:p w14:paraId="25114539" w14:textId="77777777" w:rsidR="00267C61" w:rsidRPr="00F121C4" w:rsidRDefault="000747A3" w:rsidP="00267C61">
    <w:pPr>
      <w:pStyle w:val="Glava"/>
      <w:tabs>
        <w:tab w:val="left" w:pos="5112"/>
      </w:tabs>
      <w:spacing w:line="240" w:lineRule="exact"/>
      <w:rPr>
        <w:rFonts w:cs="Arial"/>
        <w:sz w:val="16"/>
      </w:rPr>
    </w:pPr>
    <w:r w:rsidRPr="00F121C4">
      <w:rPr>
        <w:rFonts w:cs="Arial"/>
        <w:sz w:val="16"/>
      </w:rPr>
      <w:tab/>
    </w:r>
    <w:r>
      <w:rPr>
        <w:rFonts w:cs="Arial"/>
        <w:sz w:val="16"/>
      </w:rPr>
      <w:tab/>
    </w:r>
    <w:r w:rsidRPr="00F121C4">
      <w:rPr>
        <w:rFonts w:cs="Arial"/>
        <w:sz w:val="16"/>
      </w:rPr>
      <w:t>www.mju.gov.si</w:t>
    </w:r>
  </w:p>
  <w:p w14:paraId="22996032" w14:textId="77777777" w:rsidR="00267C61" w:rsidRPr="008F3500" w:rsidRDefault="00267C61" w:rsidP="00267C61">
    <w:pPr>
      <w:pStyle w:val="Glava"/>
      <w:tabs>
        <w:tab w:val="left" w:pos="5112"/>
      </w:tabs>
    </w:pPr>
  </w:p>
  <w:p w14:paraId="710C1263" w14:textId="77777777" w:rsidR="00267C61" w:rsidRPr="0019291D" w:rsidRDefault="00267C61" w:rsidP="00267C61">
    <w:pPr>
      <w:pStyle w:val="Glava"/>
    </w:pPr>
  </w:p>
  <w:p w14:paraId="772A50F4" w14:textId="77777777" w:rsidR="002A2B69" w:rsidRPr="00267C61" w:rsidRDefault="002A2B69" w:rsidP="00267C6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F7D43444">
      <w:start w:val="1"/>
      <w:numFmt w:val="decimal"/>
      <w:lvlText w:val="%1."/>
      <w:lvlJc w:val="left"/>
      <w:pPr>
        <w:tabs>
          <w:tab w:val="num" w:pos="1080"/>
        </w:tabs>
        <w:ind w:left="1080" w:hanging="360"/>
      </w:pPr>
      <w:rPr>
        <w:rFonts w:hint="default"/>
      </w:rPr>
    </w:lvl>
    <w:lvl w:ilvl="1" w:tplc="64DE124C" w:tentative="1">
      <w:start w:val="1"/>
      <w:numFmt w:val="lowerLetter"/>
      <w:lvlText w:val="%2."/>
      <w:lvlJc w:val="left"/>
      <w:pPr>
        <w:ind w:left="1800" w:hanging="360"/>
      </w:pPr>
    </w:lvl>
    <w:lvl w:ilvl="2" w:tplc="30FA6866" w:tentative="1">
      <w:start w:val="1"/>
      <w:numFmt w:val="lowerRoman"/>
      <w:lvlText w:val="%3."/>
      <w:lvlJc w:val="right"/>
      <w:pPr>
        <w:ind w:left="2520" w:hanging="180"/>
      </w:pPr>
    </w:lvl>
    <w:lvl w:ilvl="3" w:tplc="8E1A288A" w:tentative="1">
      <w:start w:val="1"/>
      <w:numFmt w:val="decimal"/>
      <w:lvlText w:val="%4."/>
      <w:lvlJc w:val="left"/>
      <w:pPr>
        <w:ind w:left="3240" w:hanging="360"/>
      </w:pPr>
    </w:lvl>
    <w:lvl w:ilvl="4" w:tplc="9FD4066C" w:tentative="1">
      <w:start w:val="1"/>
      <w:numFmt w:val="lowerLetter"/>
      <w:lvlText w:val="%5."/>
      <w:lvlJc w:val="left"/>
      <w:pPr>
        <w:ind w:left="3960" w:hanging="360"/>
      </w:pPr>
    </w:lvl>
    <w:lvl w:ilvl="5" w:tplc="CDE2E05E" w:tentative="1">
      <w:start w:val="1"/>
      <w:numFmt w:val="lowerRoman"/>
      <w:lvlText w:val="%6."/>
      <w:lvlJc w:val="right"/>
      <w:pPr>
        <w:ind w:left="4680" w:hanging="180"/>
      </w:pPr>
    </w:lvl>
    <w:lvl w:ilvl="6" w:tplc="032E3D7A" w:tentative="1">
      <w:start w:val="1"/>
      <w:numFmt w:val="decimal"/>
      <w:lvlText w:val="%7."/>
      <w:lvlJc w:val="left"/>
      <w:pPr>
        <w:ind w:left="5400" w:hanging="360"/>
      </w:pPr>
    </w:lvl>
    <w:lvl w:ilvl="7" w:tplc="D3921ADC" w:tentative="1">
      <w:start w:val="1"/>
      <w:numFmt w:val="lowerLetter"/>
      <w:lvlText w:val="%8."/>
      <w:lvlJc w:val="left"/>
      <w:pPr>
        <w:ind w:left="6120" w:hanging="360"/>
      </w:pPr>
    </w:lvl>
    <w:lvl w:ilvl="8" w:tplc="F4364B6A"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399C93B8">
      <w:start w:val="1"/>
      <w:numFmt w:val="decimal"/>
      <w:lvlText w:val="%1."/>
      <w:lvlJc w:val="left"/>
      <w:pPr>
        <w:tabs>
          <w:tab w:val="num" w:pos="360"/>
        </w:tabs>
        <w:ind w:left="360" w:hanging="360"/>
      </w:pPr>
      <w:rPr>
        <w:rFonts w:hint="default"/>
      </w:rPr>
    </w:lvl>
    <w:lvl w:ilvl="1" w:tplc="6E54EA66" w:tentative="1">
      <w:start w:val="1"/>
      <w:numFmt w:val="lowerLetter"/>
      <w:lvlText w:val="%2."/>
      <w:lvlJc w:val="left"/>
      <w:pPr>
        <w:ind w:left="1080" w:hanging="360"/>
      </w:pPr>
    </w:lvl>
    <w:lvl w:ilvl="2" w:tplc="E29ACFA4" w:tentative="1">
      <w:start w:val="1"/>
      <w:numFmt w:val="lowerRoman"/>
      <w:lvlText w:val="%3."/>
      <w:lvlJc w:val="right"/>
      <w:pPr>
        <w:ind w:left="1800" w:hanging="180"/>
      </w:pPr>
    </w:lvl>
    <w:lvl w:ilvl="3" w:tplc="5AE0A67A" w:tentative="1">
      <w:start w:val="1"/>
      <w:numFmt w:val="decimal"/>
      <w:lvlText w:val="%4."/>
      <w:lvlJc w:val="left"/>
      <w:pPr>
        <w:ind w:left="2520" w:hanging="360"/>
      </w:pPr>
    </w:lvl>
    <w:lvl w:ilvl="4" w:tplc="2E3C0142" w:tentative="1">
      <w:start w:val="1"/>
      <w:numFmt w:val="lowerLetter"/>
      <w:lvlText w:val="%5."/>
      <w:lvlJc w:val="left"/>
      <w:pPr>
        <w:ind w:left="3240" w:hanging="360"/>
      </w:pPr>
    </w:lvl>
    <w:lvl w:ilvl="5" w:tplc="93EC29DC" w:tentative="1">
      <w:start w:val="1"/>
      <w:numFmt w:val="lowerRoman"/>
      <w:lvlText w:val="%6."/>
      <w:lvlJc w:val="right"/>
      <w:pPr>
        <w:ind w:left="3960" w:hanging="180"/>
      </w:pPr>
    </w:lvl>
    <w:lvl w:ilvl="6" w:tplc="47365960" w:tentative="1">
      <w:start w:val="1"/>
      <w:numFmt w:val="decimal"/>
      <w:lvlText w:val="%7."/>
      <w:lvlJc w:val="left"/>
      <w:pPr>
        <w:ind w:left="4680" w:hanging="360"/>
      </w:pPr>
    </w:lvl>
    <w:lvl w:ilvl="7" w:tplc="1EAAB6DE" w:tentative="1">
      <w:start w:val="1"/>
      <w:numFmt w:val="lowerLetter"/>
      <w:lvlText w:val="%8."/>
      <w:lvlJc w:val="left"/>
      <w:pPr>
        <w:ind w:left="5400" w:hanging="360"/>
      </w:pPr>
    </w:lvl>
    <w:lvl w:ilvl="8" w:tplc="FFBA4F80"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E0304D6A">
      <w:start w:val="1"/>
      <w:numFmt w:val="decimal"/>
      <w:lvlText w:val="%1."/>
      <w:lvlJc w:val="left"/>
      <w:pPr>
        <w:tabs>
          <w:tab w:val="num" w:pos="720"/>
        </w:tabs>
        <w:ind w:left="720" w:hanging="360"/>
      </w:pPr>
      <w:rPr>
        <w:rFonts w:hint="default"/>
      </w:rPr>
    </w:lvl>
    <w:lvl w:ilvl="1" w:tplc="352E849E" w:tentative="1">
      <w:start w:val="1"/>
      <w:numFmt w:val="lowerLetter"/>
      <w:lvlText w:val="%2."/>
      <w:lvlJc w:val="left"/>
      <w:pPr>
        <w:tabs>
          <w:tab w:val="num" w:pos="1440"/>
        </w:tabs>
        <w:ind w:left="1440" w:hanging="360"/>
      </w:pPr>
    </w:lvl>
    <w:lvl w:ilvl="2" w:tplc="10224BBC" w:tentative="1">
      <w:start w:val="1"/>
      <w:numFmt w:val="lowerRoman"/>
      <w:lvlText w:val="%3."/>
      <w:lvlJc w:val="right"/>
      <w:pPr>
        <w:tabs>
          <w:tab w:val="num" w:pos="2160"/>
        </w:tabs>
        <w:ind w:left="2160" w:hanging="180"/>
      </w:pPr>
    </w:lvl>
    <w:lvl w:ilvl="3" w:tplc="F618B048" w:tentative="1">
      <w:start w:val="1"/>
      <w:numFmt w:val="decimal"/>
      <w:lvlText w:val="%4."/>
      <w:lvlJc w:val="left"/>
      <w:pPr>
        <w:tabs>
          <w:tab w:val="num" w:pos="2880"/>
        </w:tabs>
        <w:ind w:left="2880" w:hanging="360"/>
      </w:pPr>
    </w:lvl>
    <w:lvl w:ilvl="4" w:tplc="47BC7614" w:tentative="1">
      <w:start w:val="1"/>
      <w:numFmt w:val="lowerLetter"/>
      <w:lvlText w:val="%5."/>
      <w:lvlJc w:val="left"/>
      <w:pPr>
        <w:tabs>
          <w:tab w:val="num" w:pos="3600"/>
        </w:tabs>
        <w:ind w:left="3600" w:hanging="360"/>
      </w:pPr>
    </w:lvl>
    <w:lvl w:ilvl="5" w:tplc="3A5C5894" w:tentative="1">
      <w:start w:val="1"/>
      <w:numFmt w:val="lowerRoman"/>
      <w:lvlText w:val="%6."/>
      <w:lvlJc w:val="right"/>
      <w:pPr>
        <w:tabs>
          <w:tab w:val="num" w:pos="4320"/>
        </w:tabs>
        <w:ind w:left="4320" w:hanging="180"/>
      </w:pPr>
    </w:lvl>
    <w:lvl w:ilvl="6" w:tplc="9AE84404" w:tentative="1">
      <w:start w:val="1"/>
      <w:numFmt w:val="decimal"/>
      <w:lvlText w:val="%7."/>
      <w:lvlJc w:val="left"/>
      <w:pPr>
        <w:tabs>
          <w:tab w:val="num" w:pos="5040"/>
        </w:tabs>
        <w:ind w:left="5040" w:hanging="360"/>
      </w:pPr>
    </w:lvl>
    <w:lvl w:ilvl="7" w:tplc="B074C0E2" w:tentative="1">
      <w:start w:val="1"/>
      <w:numFmt w:val="lowerLetter"/>
      <w:lvlText w:val="%8."/>
      <w:lvlJc w:val="left"/>
      <w:pPr>
        <w:tabs>
          <w:tab w:val="num" w:pos="5760"/>
        </w:tabs>
        <w:ind w:left="5760" w:hanging="360"/>
      </w:pPr>
    </w:lvl>
    <w:lvl w:ilvl="8" w:tplc="1116BAC4"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3AA4C44"/>
    <w:multiLevelType w:val="hybridMultilevel"/>
    <w:tmpl w:val="092E92F6"/>
    <w:lvl w:ilvl="0" w:tplc="8C48336E">
      <w:start w:val="1"/>
      <w:numFmt w:val="decimal"/>
      <w:lvlText w:val="%1."/>
      <w:lvlJc w:val="left"/>
      <w:pPr>
        <w:tabs>
          <w:tab w:val="num" w:pos="720"/>
        </w:tabs>
        <w:ind w:left="720" w:hanging="360"/>
      </w:pPr>
    </w:lvl>
    <w:lvl w:ilvl="1" w:tplc="54B4D6CC" w:tentative="1">
      <w:start w:val="1"/>
      <w:numFmt w:val="lowerLetter"/>
      <w:lvlText w:val="%2."/>
      <w:lvlJc w:val="left"/>
      <w:pPr>
        <w:tabs>
          <w:tab w:val="num" w:pos="1440"/>
        </w:tabs>
        <w:ind w:left="1440" w:hanging="360"/>
      </w:pPr>
    </w:lvl>
    <w:lvl w:ilvl="2" w:tplc="F91067B4" w:tentative="1">
      <w:start w:val="1"/>
      <w:numFmt w:val="lowerRoman"/>
      <w:lvlText w:val="%3."/>
      <w:lvlJc w:val="right"/>
      <w:pPr>
        <w:tabs>
          <w:tab w:val="num" w:pos="2160"/>
        </w:tabs>
        <w:ind w:left="2160" w:hanging="180"/>
      </w:pPr>
    </w:lvl>
    <w:lvl w:ilvl="3" w:tplc="D822449C" w:tentative="1">
      <w:start w:val="1"/>
      <w:numFmt w:val="decimal"/>
      <w:lvlText w:val="%4."/>
      <w:lvlJc w:val="left"/>
      <w:pPr>
        <w:tabs>
          <w:tab w:val="num" w:pos="2880"/>
        </w:tabs>
        <w:ind w:left="2880" w:hanging="360"/>
      </w:pPr>
    </w:lvl>
    <w:lvl w:ilvl="4" w:tplc="7E502F60" w:tentative="1">
      <w:start w:val="1"/>
      <w:numFmt w:val="lowerLetter"/>
      <w:lvlText w:val="%5."/>
      <w:lvlJc w:val="left"/>
      <w:pPr>
        <w:tabs>
          <w:tab w:val="num" w:pos="3600"/>
        </w:tabs>
        <w:ind w:left="3600" w:hanging="360"/>
      </w:pPr>
    </w:lvl>
    <w:lvl w:ilvl="5" w:tplc="D28009DE" w:tentative="1">
      <w:start w:val="1"/>
      <w:numFmt w:val="lowerRoman"/>
      <w:lvlText w:val="%6."/>
      <w:lvlJc w:val="right"/>
      <w:pPr>
        <w:tabs>
          <w:tab w:val="num" w:pos="4320"/>
        </w:tabs>
        <w:ind w:left="4320" w:hanging="180"/>
      </w:pPr>
    </w:lvl>
    <w:lvl w:ilvl="6" w:tplc="06DA4D84" w:tentative="1">
      <w:start w:val="1"/>
      <w:numFmt w:val="decimal"/>
      <w:lvlText w:val="%7."/>
      <w:lvlJc w:val="left"/>
      <w:pPr>
        <w:tabs>
          <w:tab w:val="num" w:pos="5040"/>
        </w:tabs>
        <w:ind w:left="5040" w:hanging="360"/>
      </w:pPr>
    </w:lvl>
    <w:lvl w:ilvl="7" w:tplc="3E62A992" w:tentative="1">
      <w:start w:val="1"/>
      <w:numFmt w:val="lowerLetter"/>
      <w:lvlText w:val="%8."/>
      <w:lvlJc w:val="left"/>
      <w:pPr>
        <w:tabs>
          <w:tab w:val="num" w:pos="5760"/>
        </w:tabs>
        <w:ind w:left="5760" w:hanging="360"/>
      </w:pPr>
    </w:lvl>
    <w:lvl w:ilvl="8" w:tplc="F97A4102" w:tentative="1">
      <w:start w:val="1"/>
      <w:numFmt w:val="lowerRoman"/>
      <w:lvlText w:val="%9."/>
      <w:lvlJc w:val="right"/>
      <w:pPr>
        <w:tabs>
          <w:tab w:val="num" w:pos="6480"/>
        </w:tabs>
        <w:ind w:left="6480" w:hanging="180"/>
      </w:pPr>
    </w:lvl>
  </w:abstractNum>
  <w:num w:numId="1" w16cid:durableId="1053116778">
    <w:abstractNumId w:val="4"/>
  </w:num>
  <w:num w:numId="2" w16cid:durableId="2070301842">
    <w:abstractNumId w:val="2"/>
  </w:num>
  <w:num w:numId="3" w16cid:durableId="303244051">
    <w:abstractNumId w:val="3"/>
  </w:num>
  <w:num w:numId="4" w16cid:durableId="1449549652">
    <w:abstractNumId w:val="0"/>
  </w:num>
  <w:num w:numId="5" w16cid:durableId="1315915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1B2"/>
    <w:rsid w:val="00002E2C"/>
    <w:rsid w:val="00023A88"/>
    <w:rsid w:val="000747A3"/>
    <w:rsid w:val="000A7238"/>
    <w:rsid w:val="000B04F3"/>
    <w:rsid w:val="000F3323"/>
    <w:rsid w:val="00110CBD"/>
    <w:rsid w:val="00124E67"/>
    <w:rsid w:val="00135169"/>
    <w:rsid w:val="001357B2"/>
    <w:rsid w:val="001363E8"/>
    <w:rsid w:val="00157FE9"/>
    <w:rsid w:val="0017478F"/>
    <w:rsid w:val="00177E7D"/>
    <w:rsid w:val="0019291D"/>
    <w:rsid w:val="00192D77"/>
    <w:rsid w:val="00202A77"/>
    <w:rsid w:val="00254C90"/>
    <w:rsid w:val="00267C61"/>
    <w:rsid w:val="00271CE5"/>
    <w:rsid w:val="00282020"/>
    <w:rsid w:val="002835DD"/>
    <w:rsid w:val="002A2B69"/>
    <w:rsid w:val="002A6595"/>
    <w:rsid w:val="002F464D"/>
    <w:rsid w:val="002F5BA4"/>
    <w:rsid w:val="003636BF"/>
    <w:rsid w:val="00371442"/>
    <w:rsid w:val="003822C8"/>
    <w:rsid w:val="003845B4"/>
    <w:rsid w:val="00387B1A"/>
    <w:rsid w:val="0039356A"/>
    <w:rsid w:val="0039533E"/>
    <w:rsid w:val="00396E38"/>
    <w:rsid w:val="003C5EE5"/>
    <w:rsid w:val="003C65AC"/>
    <w:rsid w:val="003D18D1"/>
    <w:rsid w:val="003E1C74"/>
    <w:rsid w:val="00404D75"/>
    <w:rsid w:val="00417D18"/>
    <w:rsid w:val="00454CA1"/>
    <w:rsid w:val="004657EE"/>
    <w:rsid w:val="004B58BF"/>
    <w:rsid w:val="004D51AF"/>
    <w:rsid w:val="00526246"/>
    <w:rsid w:val="00535D20"/>
    <w:rsid w:val="00544449"/>
    <w:rsid w:val="00567106"/>
    <w:rsid w:val="00586F02"/>
    <w:rsid w:val="005A56E0"/>
    <w:rsid w:val="005C1995"/>
    <w:rsid w:val="005E1D3C"/>
    <w:rsid w:val="00623E84"/>
    <w:rsid w:val="006242EF"/>
    <w:rsid w:val="00625AE6"/>
    <w:rsid w:val="00632253"/>
    <w:rsid w:val="00633DA3"/>
    <w:rsid w:val="006412FA"/>
    <w:rsid w:val="00642714"/>
    <w:rsid w:val="006455CE"/>
    <w:rsid w:val="00647A86"/>
    <w:rsid w:val="00655841"/>
    <w:rsid w:val="00671893"/>
    <w:rsid w:val="006A18CD"/>
    <w:rsid w:val="006D42D9"/>
    <w:rsid w:val="006E25B1"/>
    <w:rsid w:val="00710310"/>
    <w:rsid w:val="007151C3"/>
    <w:rsid w:val="00733017"/>
    <w:rsid w:val="00747BD5"/>
    <w:rsid w:val="00770E4E"/>
    <w:rsid w:val="00783310"/>
    <w:rsid w:val="007A49AA"/>
    <w:rsid w:val="007A4A6D"/>
    <w:rsid w:val="007C2DE8"/>
    <w:rsid w:val="007D1BCF"/>
    <w:rsid w:val="007D75CF"/>
    <w:rsid w:val="007E0440"/>
    <w:rsid w:val="007E3DB5"/>
    <w:rsid w:val="007E6DC5"/>
    <w:rsid w:val="008067D2"/>
    <w:rsid w:val="0081010C"/>
    <w:rsid w:val="0085067D"/>
    <w:rsid w:val="0088043C"/>
    <w:rsid w:val="00884889"/>
    <w:rsid w:val="008906C9"/>
    <w:rsid w:val="00890A17"/>
    <w:rsid w:val="008C5738"/>
    <w:rsid w:val="008D04F0"/>
    <w:rsid w:val="008D4A61"/>
    <w:rsid w:val="008D588E"/>
    <w:rsid w:val="008D5F69"/>
    <w:rsid w:val="008F3500"/>
    <w:rsid w:val="00924E3C"/>
    <w:rsid w:val="009612BB"/>
    <w:rsid w:val="009649C9"/>
    <w:rsid w:val="00964BF5"/>
    <w:rsid w:val="009C740A"/>
    <w:rsid w:val="009D451B"/>
    <w:rsid w:val="009E0445"/>
    <w:rsid w:val="00A03C01"/>
    <w:rsid w:val="00A125C5"/>
    <w:rsid w:val="00A16B6E"/>
    <w:rsid w:val="00A2451C"/>
    <w:rsid w:val="00A26766"/>
    <w:rsid w:val="00A43EF7"/>
    <w:rsid w:val="00A528E3"/>
    <w:rsid w:val="00A65EE7"/>
    <w:rsid w:val="00A70133"/>
    <w:rsid w:val="00A770A6"/>
    <w:rsid w:val="00A813B1"/>
    <w:rsid w:val="00AB36C4"/>
    <w:rsid w:val="00AC32B2"/>
    <w:rsid w:val="00B17141"/>
    <w:rsid w:val="00B31575"/>
    <w:rsid w:val="00B8547D"/>
    <w:rsid w:val="00BA36FA"/>
    <w:rsid w:val="00BA55C3"/>
    <w:rsid w:val="00BB1718"/>
    <w:rsid w:val="00BD061E"/>
    <w:rsid w:val="00BD06AD"/>
    <w:rsid w:val="00BE0B5E"/>
    <w:rsid w:val="00C1655C"/>
    <w:rsid w:val="00C250D5"/>
    <w:rsid w:val="00C35666"/>
    <w:rsid w:val="00C42998"/>
    <w:rsid w:val="00C75F77"/>
    <w:rsid w:val="00C90944"/>
    <w:rsid w:val="00C92898"/>
    <w:rsid w:val="00CA4340"/>
    <w:rsid w:val="00CB716C"/>
    <w:rsid w:val="00CC46DA"/>
    <w:rsid w:val="00CE5238"/>
    <w:rsid w:val="00CE69B6"/>
    <w:rsid w:val="00CE7514"/>
    <w:rsid w:val="00D0155B"/>
    <w:rsid w:val="00D16092"/>
    <w:rsid w:val="00D248DE"/>
    <w:rsid w:val="00D5653B"/>
    <w:rsid w:val="00D8542D"/>
    <w:rsid w:val="00DB2A77"/>
    <w:rsid w:val="00DC6A71"/>
    <w:rsid w:val="00DE39D8"/>
    <w:rsid w:val="00DF71B2"/>
    <w:rsid w:val="00E0357D"/>
    <w:rsid w:val="00E467C4"/>
    <w:rsid w:val="00E70005"/>
    <w:rsid w:val="00ED1C3E"/>
    <w:rsid w:val="00F121C4"/>
    <w:rsid w:val="00F240BB"/>
    <w:rsid w:val="00F57FED"/>
    <w:rsid w:val="00FA01D4"/>
    <w:rsid w:val="00FC7E23"/>
    <w:rsid w:val="00FD44A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F9C02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uiPriority w:val="99"/>
    <w:rsid w:val="00267C61"/>
    <w:rPr>
      <w:rFonts w:ascii="Arial" w:hAnsi="Arial"/>
      <w:szCs w:val="24"/>
      <w:lang w:val="en-US" w:eastAsia="en-US"/>
    </w:rPr>
  </w:style>
  <w:style w:type="paragraph" w:styleId="Sprotnaopomba-besedilo">
    <w:name w:val="footnote text"/>
    <w:basedOn w:val="Navaden"/>
    <w:link w:val="Sprotnaopomba-besediloZnak"/>
    <w:uiPriority w:val="99"/>
    <w:unhideWhenUsed/>
    <w:rsid w:val="00BD061E"/>
    <w:pPr>
      <w:spacing w:line="240" w:lineRule="auto"/>
    </w:pPr>
    <w:rPr>
      <w:rFonts w:asciiTheme="minorHAnsi" w:eastAsiaTheme="minorHAnsi" w:hAnsiTheme="minorHAnsi" w:cstheme="minorBidi"/>
      <w:kern w:val="2"/>
      <w:szCs w:val="20"/>
      <w:lang w:val="sl-SI"/>
      <w14:ligatures w14:val="standardContextual"/>
    </w:rPr>
  </w:style>
  <w:style w:type="character" w:customStyle="1" w:styleId="Sprotnaopomba-besediloZnak">
    <w:name w:val="Sprotna opomba - besedilo Znak"/>
    <w:basedOn w:val="Privzetapisavaodstavka"/>
    <w:link w:val="Sprotnaopomba-besedilo"/>
    <w:uiPriority w:val="99"/>
    <w:rsid w:val="00BD061E"/>
    <w:rPr>
      <w:rFonts w:asciiTheme="minorHAnsi" w:eastAsiaTheme="minorHAnsi" w:hAnsiTheme="minorHAnsi" w:cstheme="minorBidi"/>
      <w:kern w:val="2"/>
      <w:lang w:eastAsia="en-US"/>
      <w14:ligatures w14:val="standardContextual"/>
    </w:rPr>
  </w:style>
  <w:style w:type="character" w:styleId="Sprotnaopomba-sklic">
    <w:name w:val="footnote reference"/>
    <w:basedOn w:val="Privzetapisavaodstavka"/>
    <w:uiPriority w:val="99"/>
    <w:unhideWhenUsed/>
    <w:rsid w:val="00BD06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944</Words>
  <Characters>5382</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Prisega sodnikov porotnikov in odsotnost z dela (26. 5. 2026)</dc:title>
  <dc:creator/>
  <cp:lastModifiedBy/>
  <cp:revision>1</cp:revision>
  <dcterms:created xsi:type="dcterms:W3CDTF">2026-05-27T07:07:00Z</dcterms:created>
  <dcterms:modified xsi:type="dcterms:W3CDTF">2026-05-27T07:08:00Z</dcterms:modified>
</cp:coreProperties>
</file>