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F212" w14:textId="2D17CD6A" w:rsidR="00B75637" w:rsidRPr="00B75637" w:rsidRDefault="00B75637" w:rsidP="00B75637">
      <w:pPr>
        <w:suppressAutoHyphens/>
        <w:autoSpaceDN w:val="0"/>
        <w:spacing w:after="160"/>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 xml:space="preserve">Na podlagi 18. člena Poslovnika Uradniškega sveta, št. </w:t>
      </w:r>
      <w:r w:rsidRPr="0079178C">
        <w:rPr>
          <w:rFonts w:ascii="Arial" w:eastAsia="Calibri" w:hAnsi="Arial" w:cs="Arial"/>
          <w:sz w:val="21"/>
          <w:szCs w:val="21"/>
          <w:lang w:eastAsia="en-US"/>
        </w:rPr>
        <w:t>0130-</w:t>
      </w:r>
      <w:r w:rsidR="0079178C">
        <w:rPr>
          <w:rFonts w:ascii="Arial" w:eastAsia="Calibri" w:hAnsi="Arial" w:cs="Arial"/>
          <w:sz w:val="21"/>
          <w:szCs w:val="21"/>
          <w:lang w:eastAsia="en-US"/>
        </w:rPr>
        <w:t>5/2021/4</w:t>
      </w:r>
      <w:r>
        <w:rPr>
          <w:rFonts w:ascii="Arial" w:eastAsia="Calibri" w:hAnsi="Arial" w:cs="Arial"/>
          <w:sz w:val="21"/>
          <w:szCs w:val="21"/>
          <w:lang w:eastAsia="en-US"/>
        </w:rPr>
        <w:t xml:space="preserve"> </w:t>
      </w:r>
      <w:r w:rsidRPr="00B75637">
        <w:rPr>
          <w:rFonts w:ascii="Arial" w:eastAsia="Calibri" w:hAnsi="Arial" w:cs="Arial"/>
          <w:sz w:val="21"/>
          <w:szCs w:val="21"/>
          <w:lang w:eastAsia="en-US"/>
        </w:rPr>
        <w:t xml:space="preserve">z dne 21. 6. 2021 – uradno prečiščeno besedilo Uradniški svet izdaja </w:t>
      </w:r>
    </w:p>
    <w:p w14:paraId="11D2F3B1" w14:textId="77777777" w:rsidR="00547B87" w:rsidRPr="00B75637" w:rsidRDefault="00547B87" w:rsidP="00FE06D9">
      <w:pPr>
        <w:suppressAutoHyphens/>
        <w:autoSpaceDN w:val="0"/>
        <w:spacing w:after="160" w:line="276" w:lineRule="auto"/>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 xml:space="preserve"> </w:t>
      </w:r>
    </w:p>
    <w:p w14:paraId="64DB8EA3" w14:textId="31F9913B" w:rsidR="00547B87" w:rsidRPr="00B75637" w:rsidRDefault="00547B87" w:rsidP="00FE06D9">
      <w:pPr>
        <w:suppressAutoHyphens/>
        <w:autoSpaceDN w:val="0"/>
        <w:spacing w:after="160" w:line="276" w:lineRule="auto"/>
        <w:jc w:val="center"/>
        <w:textAlignment w:val="baseline"/>
        <w:rPr>
          <w:rFonts w:ascii="Arial" w:eastAsia="Calibri" w:hAnsi="Arial" w:cs="Arial"/>
          <w:b/>
          <w:bCs/>
          <w:sz w:val="21"/>
          <w:szCs w:val="21"/>
          <w:lang w:eastAsia="en-US"/>
        </w:rPr>
      </w:pPr>
      <w:r w:rsidRPr="00B75637">
        <w:rPr>
          <w:rFonts w:ascii="Arial" w:eastAsia="Calibri" w:hAnsi="Arial" w:cs="Arial"/>
          <w:b/>
          <w:bCs/>
          <w:sz w:val="21"/>
          <w:szCs w:val="21"/>
          <w:lang w:eastAsia="en-US"/>
        </w:rPr>
        <w:t>Poslovnik o sprememb</w:t>
      </w:r>
      <w:r w:rsidR="00D026D1">
        <w:rPr>
          <w:rFonts w:ascii="Arial" w:eastAsia="Calibri" w:hAnsi="Arial" w:cs="Arial"/>
          <w:b/>
          <w:bCs/>
          <w:sz w:val="21"/>
          <w:szCs w:val="21"/>
          <w:lang w:eastAsia="en-US"/>
        </w:rPr>
        <w:t>i</w:t>
      </w:r>
      <w:r w:rsidRPr="00B75637">
        <w:rPr>
          <w:rFonts w:ascii="Arial" w:eastAsia="Calibri" w:hAnsi="Arial" w:cs="Arial"/>
          <w:b/>
          <w:bCs/>
          <w:sz w:val="21"/>
          <w:szCs w:val="21"/>
          <w:lang w:eastAsia="en-US"/>
        </w:rPr>
        <w:t xml:space="preserve"> Poslovnika </w:t>
      </w:r>
      <w:r w:rsidR="00B75637" w:rsidRPr="00B75637">
        <w:rPr>
          <w:rFonts w:ascii="Arial" w:eastAsia="Calibri" w:hAnsi="Arial" w:cs="Arial"/>
          <w:b/>
          <w:bCs/>
          <w:sz w:val="21"/>
          <w:szCs w:val="21"/>
          <w:lang w:eastAsia="en-US"/>
        </w:rPr>
        <w:t xml:space="preserve">o delu posebnih natečajnih komisij </w:t>
      </w:r>
      <w:r w:rsidRPr="00B75637">
        <w:rPr>
          <w:rFonts w:ascii="Arial" w:eastAsia="Calibri" w:hAnsi="Arial" w:cs="Arial"/>
          <w:b/>
          <w:bCs/>
          <w:sz w:val="21"/>
          <w:szCs w:val="21"/>
          <w:lang w:eastAsia="en-US"/>
        </w:rPr>
        <w:t xml:space="preserve"> </w:t>
      </w:r>
    </w:p>
    <w:p w14:paraId="55FBEC0A" w14:textId="77777777" w:rsidR="00547B87" w:rsidRPr="00B75637" w:rsidRDefault="00547B87" w:rsidP="00FE06D9">
      <w:pPr>
        <w:suppressAutoHyphens/>
        <w:autoSpaceDN w:val="0"/>
        <w:spacing w:after="160" w:line="276" w:lineRule="auto"/>
        <w:jc w:val="center"/>
        <w:textAlignment w:val="baseline"/>
        <w:rPr>
          <w:rFonts w:ascii="Arial" w:eastAsia="Calibri" w:hAnsi="Arial" w:cs="Arial"/>
          <w:sz w:val="21"/>
          <w:szCs w:val="21"/>
          <w:lang w:eastAsia="en-US"/>
        </w:rPr>
      </w:pPr>
    </w:p>
    <w:p w14:paraId="3C9B19E5" w14:textId="77777777" w:rsidR="00547B87" w:rsidRPr="00B75637" w:rsidRDefault="00547B87" w:rsidP="00FE06D9">
      <w:pPr>
        <w:numPr>
          <w:ilvl w:val="0"/>
          <w:numId w:val="4"/>
        </w:numPr>
        <w:suppressAutoHyphens/>
        <w:autoSpaceDN w:val="0"/>
        <w:spacing w:after="160" w:line="276" w:lineRule="auto"/>
        <w:jc w:val="center"/>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člen</w:t>
      </w:r>
    </w:p>
    <w:p w14:paraId="253D2D00" w14:textId="075012A8" w:rsidR="00547B87" w:rsidRPr="00B75637" w:rsidRDefault="00547B87" w:rsidP="00726AF2">
      <w:pPr>
        <w:spacing w:line="276" w:lineRule="auto"/>
        <w:jc w:val="both"/>
        <w:rPr>
          <w:rFonts w:ascii="Arial" w:eastAsia="Calibri" w:hAnsi="Arial" w:cs="Arial"/>
          <w:sz w:val="21"/>
          <w:szCs w:val="21"/>
          <w:lang w:eastAsia="en-US"/>
        </w:rPr>
      </w:pPr>
      <w:r w:rsidRPr="00B75637">
        <w:rPr>
          <w:rFonts w:ascii="Arial" w:eastAsia="Calibri" w:hAnsi="Arial" w:cs="Arial"/>
          <w:sz w:val="21"/>
          <w:szCs w:val="21"/>
          <w:lang w:eastAsia="en-US"/>
        </w:rPr>
        <w:t xml:space="preserve">V Poslovniku </w:t>
      </w:r>
      <w:r w:rsidR="00B75637" w:rsidRPr="00B75637">
        <w:rPr>
          <w:rFonts w:ascii="Arial" w:eastAsia="Calibri" w:hAnsi="Arial" w:cs="Arial"/>
          <w:sz w:val="21"/>
          <w:szCs w:val="21"/>
          <w:lang w:eastAsia="en-US"/>
        </w:rPr>
        <w:t>o delu posebnih natečajnih komisij</w:t>
      </w:r>
      <w:r w:rsidRPr="00B75637">
        <w:rPr>
          <w:rFonts w:ascii="Arial" w:eastAsia="Calibri" w:hAnsi="Arial" w:cs="Arial"/>
          <w:sz w:val="21"/>
          <w:szCs w:val="21"/>
          <w:lang w:eastAsia="en-US"/>
        </w:rPr>
        <w:t xml:space="preserve"> (št. 013</w:t>
      </w:r>
      <w:r w:rsidR="00AB21CD" w:rsidRPr="00B75637">
        <w:rPr>
          <w:rFonts w:ascii="Arial" w:eastAsia="Calibri" w:hAnsi="Arial" w:cs="Arial"/>
          <w:sz w:val="21"/>
          <w:szCs w:val="21"/>
          <w:lang w:eastAsia="en-US"/>
        </w:rPr>
        <w:t>0</w:t>
      </w:r>
      <w:r w:rsidRPr="00B75637">
        <w:rPr>
          <w:rFonts w:ascii="Arial" w:eastAsia="Calibri" w:hAnsi="Arial" w:cs="Arial"/>
          <w:sz w:val="21"/>
          <w:szCs w:val="21"/>
          <w:lang w:eastAsia="en-US"/>
        </w:rPr>
        <w:t>-</w:t>
      </w:r>
      <w:r w:rsidR="00AB21CD" w:rsidRPr="00B75637">
        <w:rPr>
          <w:rFonts w:ascii="Arial" w:eastAsia="Calibri" w:hAnsi="Arial" w:cs="Arial"/>
          <w:sz w:val="21"/>
          <w:szCs w:val="21"/>
          <w:lang w:eastAsia="en-US"/>
        </w:rPr>
        <w:t>18</w:t>
      </w:r>
      <w:r w:rsidRPr="00B75637">
        <w:rPr>
          <w:rFonts w:ascii="Arial" w:eastAsia="Calibri" w:hAnsi="Arial" w:cs="Arial"/>
          <w:sz w:val="21"/>
          <w:szCs w:val="21"/>
          <w:lang w:eastAsia="en-US"/>
        </w:rPr>
        <w:t>/</w:t>
      </w:r>
      <w:r w:rsidR="00AB21CD" w:rsidRPr="00B75637">
        <w:rPr>
          <w:rFonts w:ascii="Arial" w:eastAsia="Calibri" w:hAnsi="Arial" w:cs="Arial"/>
          <w:sz w:val="21"/>
          <w:szCs w:val="21"/>
          <w:lang w:eastAsia="en-US"/>
        </w:rPr>
        <w:t>2020</w:t>
      </w:r>
      <w:r w:rsidRPr="00B75637">
        <w:rPr>
          <w:rFonts w:ascii="Arial" w:eastAsia="Calibri" w:hAnsi="Arial" w:cs="Arial"/>
          <w:sz w:val="21"/>
          <w:szCs w:val="21"/>
          <w:lang w:eastAsia="en-US"/>
        </w:rPr>
        <w:t>/</w:t>
      </w:r>
      <w:r w:rsidR="00B75637" w:rsidRPr="00B75637">
        <w:rPr>
          <w:rFonts w:ascii="Arial" w:eastAsia="Calibri" w:hAnsi="Arial" w:cs="Arial"/>
          <w:sz w:val="21"/>
          <w:szCs w:val="21"/>
          <w:lang w:eastAsia="en-US"/>
        </w:rPr>
        <w:t>4</w:t>
      </w:r>
      <w:r w:rsidR="00EE3398" w:rsidRPr="00B75637">
        <w:rPr>
          <w:rFonts w:ascii="Arial" w:eastAsia="Calibri" w:hAnsi="Arial" w:cs="Arial"/>
          <w:sz w:val="21"/>
          <w:szCs w:val="21"/>
          <w:lang w:eastAsia="en-US"/>
        </w:rPr>
        <w:t xml:space="preserve"> – uradno prečiščeno besedilo</w:t>
      </w:r>
      <w:r w:rsidRPr="00B75637">
        <w:rPr>
          <w:rFonts w:ascii="Arial" w:eastAsia="Calibri" w:hAnsi="Arial" w:cs="Arial"/>
          <w:sz w:val="21"/>
          <w:szCs w:val="21"/>
          <w:lang w:eastAsia="en-US"/>
        </w:rPr>
        <w:t xml:space="preserve"> z dne </w:t>
      </w:r>
      <w:r w:rsidR="00AB21CD" w:rsidRPr="00B75637">
        <w:rPr>
          <w:rFonts w:ascii="Arial" w:eastAsia="Calibri" w:hAnsi="Arial" w:cs="Arial"/>
          <w:sz w:val="21"/>
          <w:szCs w:val="21"/>
          <w:lang w:eastAsia="en-US"/>
        </w:rPr>
        <w:t>9</w:t>
      </w:r>
      <w:r w:rsidRPr="00B75637">
        <w:rPr>
          <w:rFonts w:ascii="Arial" w:eastAsia="Calibri" w:hAnsi="Arial" w:cs="Arial"/>
          <w:sz w:val="21"/>
          <w:szCs w:val="21"/>
          <w:lang w:eastAsia="en-US"/>
        </w:rPr>
        <w:t xml:space="preserve">. </w:t>
      </w:r>
      <w:r w:rsidR="00AB21CD" w:rsidRPr="00B75637">
        <w:rPr>
          <w:rFonts w:ascii="Arial" w:eastAsia="Calibri" w:hAnsi="Arial" w:cs="Arial"/>
          <w:sz w:val="21"/>
          <w:szCs w:val="21"/>
          <w:lang w:eastAsia="en-US"/>
        </w:rPr>
        <w:t>11</w:t>
      </w:r>
      <w:r w:rsidRPr="00B75637">
        <w:rPr>
          <w:rFonts w:ascii="Arial" w:eastAsia="Calibri" w:hAnsi="Arial" w:cs="Arial"/>
          <w:sz w:val="21"/>
          <w:szCs w:val="21"/>
          <w:lang w:eastAsia="en-US"/>
        </w:rPr>
        <w:t xml:space="preserve">. </w:t>
      </w:r>
      <w:r w:rsidR="00AB21CD" w:rsidRPr="00B75637">
        <w:rPr>
          <w:rFonts w:ascii="Arial" w:eastAsia="Calibri" w:hAnsi="Arial" w:cs="Arial"/>
          <w:sz w:val="21"/>
          <w:szCs w:val="21"/>
          <w:lang w:eastAsia="en-US"/>
        </w:rPr>
        <w:t>2020</w:t>
      </w:r>
      <w:r w:rsidR="0052459B" w:rsidRPr="00B75637">
        <w:rPr>
          <w:rFonts w:ascii="Arial" w:eastAsia="Calibri" w:hAnsi="Arial" w:cs="Arial"/>
          <w:sz w:val="21"/>
          <w:szCs w:val="21"/>
          <w:lang w:eastAsia="en-US"/>
        </w:rPr>
        <w:t xml:space="preserve"> in</w:t>
      </w:r>
      <w:r w:rsidR="00FE06D9" w:rsidRPr="00B75637">
        <w:rPr>
          <w:rFonts w:ascii="Arial" w:eastAsia="Calibri" w:hAnsi="Arial" w:cs="Arial"/>
          <w:sz w:val="21"/>
          <w:szCs w:val="21"/>
          <w:lang w:eastAsia="en-US"/>
        </w:rPr>
        <w:t xml:space="preserve"> št. 0130-</w:t>
      </w:r>
      <w:r w:rsidR="00726AF2" w:rsidRPr="00B75637">
        <w:rPr>
          <w:rFonts w:ascii="Arial" w:eastAsia="Calibri" w:hAnsi="Arial" w:cs="Arial"/>
          <w:sz w:val="21"/>
          <w:szCs w:val="21"/>
          <w:lang w:eastAsia="en-US"/>
        </w:rPr>
        <w:t>5</w:t>
      </w:r>
      <w:r w:rsidR="00FE06D9" w:rsidRPr="00B75637">
        <w:rPr>
          <w:rFonts w:ascii="Arial" w:eastAsia="Calibri" w:hAnsi="Arial" w:cs="Arial"/>
          <w:sz w:val="21"/>
          <w:szCs w:val="21"/>
          <w:lang w:eastAsia="en-US"/>
        </w:rPr>
        <w:t>/202</w:t>
      </w:r>
      <w:r w:rsidR="00B75637" w:rsidRPr="00B75637">
        <w:rPr>
          <w:rFonts w:ascii="Arial" w:eastAsia="Calibri" w:hAnsi="Arial" w:cs="Arial"/>
          <w:sz w:val="21"/>
          <w:szCs w:val="21"/>
          <w:lang w:eastAsia="en-US"/>
        </w:rPr>
        <w:t>0</w:t>
      </w:r>
      <w:r w:rsidR="00726AF2" w:rsidRPr="00B75637">
        <w:rPr>
          <w:rFonts w:ascii="Arial" w:eastAsia="Calibri" w:hAnsi="Arial" w:cs="Arial"/>
          <w:sz w:val="21"/>
          <w:szCs w:val="21"/>
          <w:lang w:eastAsia="en-US"/>
        </w:rPr>
        <w:t>/</w:t>
      </w:r>
      <w:r w:rsidR="00B75637" w:rsidRPr="00B75637">
        <w:rPr>
          <w:rFonts w:ascii="Arial" w:eastAsia="Calibri" w:hAnsi="Arial" w:cs="Arial"/>
          <w:sz w:val="21"/>
          <w:szCs w:val="21"/>
          <w:lang w:eastAsia="en-US"/>
        </w:rPr>
        <w:t>2</w:t>
      </w:r>
      <w:r w:rsidR="00726AF2" w:rsidRPr="00B75637">
        <w:rPr>
          <w:rFonts w:ascii="Arial" w:eastAsia="Calibri" w:hAnsi="Arial" w:cs="Arial"/>
          <w:sz w:val="21"/>
          <w:szCs w:val="21"/>
          <w:lang w:eastAsia="en-US"/>
        </w:rPr>
        <w:t xml:space="preserve"> z dne </w:t>
      </w:r>
      <w:r w:rsidR="00B75637" w:rsidRPr="00B75637">
        <w:rPr>
          <w:rFonts w:ascii="Arial" w:eastAsia="Calibri" w:hAnsi="Arial" w:cs="Arial"/>
          <w:sz w:val="21"/>
          <w:szCs w:val="21"/>
          <w:lang w:eastAsia="en-US"/>
        </w:rPr>
        <w:t>12</w:t>
      </w:r>
      <w:r w:rsidR="00726AF2" w:rsidRPr="00B75637">
        <w:rPr>
          <w:rFonts w:ascii="Arial" w:eastAsia="Calibri" w:hAnsi="Arial" w:cs="Arial"/>
          <w:sz w:val="21"/>
          <w:szCs w:val="21"/>
          <w:lang w:eastAsia="en-US"/>
        </w:rPr>
        <w:t xml:space="preserve">. </w:t>
      </w:r>
      <w:r w:rsidR="00B75637" w:rsidRPr="00B75637">
        <w:rPr>
          <w:rFonts w:ascii="Arial" w:eastAsia="Calibri" w:hAnsi="Arial" w:cs="Arial"/>
          <w:sz w:val="21"/>
          <w:szCs w:val="21"/>
          <w:lang w:eastAsia="en-US"/>
        </w:rPr>
        <w:t>4</w:t>
      </w:r>
      <w:r w:rsidR="00726AF2" w:rsidRPr="00B75637">
        <w:rPr>
          <w:rFonts w:ascii="Arial" w:eastAsia="Calibri" w:hAnsi="Arial" w:cs="Arial"/>
          <w:sz w:val="21"/>
          <w:szCs w:val="21"/>
          <w:lang w:eastAsia="en-US"/>
        </w:rPr>
        <w:t>. 2021</w:t>
      </w:r>
      <w:r w:rsidRPr="00B75637">
        <w:rPr>
          <w:rFonts w:ascii="Arial" w:eastAsia="Calibri" w:hAnsi="Arial" w:cs="Arial"/>
          <w:sz w:val="21"/>
          <w:szCs w:val="21"/>
          <w:lang w:eastAsia="en-US"/>
        </w:rPr>
        <w:t xml:space="preserve">) se </w:t>
      </w:r>
      <w:r w:rsidR="00EE3398" w:rsidRPr="00B75637">
        <w:rPr>
          <w:rFonts w:ascii="Arial" w:eastAsia="Calibri" w:hAnsi="Arial" w:cs="Arial"/>
          <w:sz w:val="21"/>
          <w:szCs w:val="21"/>
          <w:lang w:eastAsia="en-US"/>
        </w:rPr>
        <w:t xml:space="preserve"> besedilo</w:t>
      </w:r>
      <w:r w:rsidR="00FE06D9" w:rsidRPr="00B75637">
        <w:rPr>
          <w:rFonts w:ascii="Arial" w:eastAsia="Calibri" w:hAnsi="Arial" w:cs="Arial"/>
          <w:sz w:val="21"/>
          <w:szCs w:val="21"/>
          <w:lang w:eastAsia="en-US"/>
        </w:rPr>
        <w:t xml:space="preserve"> četrtega odstavka </w:t>
      </w:r>
      <w:r w:rsidR="00B75637" w:rsidRPr="00B75637">
        <w:rPr>
          <w:rFonts w:ascii="Arial" w:eastAsia="Calibri" w:hAnsi="Arial" w:cs="Arial"/>
          <w:sz w:val="21"/>
          <w:szCs w:val="21"/>
          <w:lang w:eastAsia="en-US"/>
        </w:rPr>
        <w:t>15</w:t>
      </w:r>
      <w:r w:rsidR="00EE3398" w:rsidRPr="00B75637">
        <w:rPr>
          <w:rFonts w:ascii="Arial" w:eastAsia="Calibri" w:hAnsi="Arial" w:cs="Arial"/>
          <w:sz w:val="21"/>
          <w:szCs w:val="21"/>
          <w:lang w:eastAsia="en-US"/>
        </w:rPr>
        <w:t xml:space="preserve">. člena spremeni tako, </w:t>
      </w:r>
      <w:r w:rsidRPr="00B75637">
        <w:rPr>
          <w:rFonts w:ascii="Arial" w:eastAsia="Calibri" w:hAnsi="Arial" w:cs="Arial"/>
          <w:sz w:val="21"/>
          <w:szCs w:val="21"/>
          <w:lang w:eastAsia="en-US"/>
        </w:rPr>
        <w:t xml:space="preserve">da se glasi:  </w:t>
      </w:r>
    </w:p>
    <w:p w14:paraId="5FA41666" w14:textId="77777777" w:rsidR="00B75637" w:rsidRPr="00B75637" w:rsidRDefault="00B75637" w:rsidP="00FE06D9">
      <w:pPr>
        <w:spacing w:line="276" w:lineRule="auto"/>
        <w:jc w:val="both"/>
        <w:rPr>
          <w:rFonts w:ascii="Arial" w:hAnsi="Arial" w:cs="Arial"/>
          <w:sz w:val="21"/>
          <w:szCs w:val="21"/>
        </w:rPr>
      </w:pPr>
    </w:p>
    <w:p w14:paraId="1025F673" w14:textId="593AC8CE" w:rsidR="00FE06D9" w:rsidRPr="00B75637" w:rsidRDefault="00FE06D9" w:rsidP="00FE06D9">
      <w:pPr>
        <w:spacing w:line="276" w:lineRule="auto"/>
        <w:jc w:val="both"/>
        <w:rPr>
          <w:rFonts w:ascii="Arial" w:hAnsi="Arial" w:cs="Arial"/>
          <w:sz w:val="21"/>
          <w:szCs w:val="21"/>
        </w:rPr>
      </w:pPr>
      <w:r w:rsidRPr="00B75637">
        <w:rPr>
          <w:rFonts w:ascii="Arial" w:hAnsi="Arial" w:cs="Arial"/>
          <w:sz w:val="21"/>
          <w:szCs w:val="21"/>
        </w:rPr>
        <w:t xml:space="preserve">»(4) Povračilo potnih stroškov se predsedniku in članom </w:t>
      </w:r>
      <w:r w:rsidR="00DC2F3F">
        <w:rPr>
          <w:rFonts w:ascii="Arial" w:hAnsi="Arial" w:cs="Arial"/>
          <w:sz w:val="21"/>
          <w:szCs w:val="21"/>
        </w:rPr>
        <w:t xml:space="preserve">posebne natečajne komisije </w:t>
      </w:r>
      <w:r w:rsidRPr="00B75637">
        <w:rPr>
          <w:rFonts w:ascii="Arial" w:hAnsi="Arial" w:cs="Arial"/>
          <w:sz w:val="21"/>
          <w:szCs w:val="21"/>
        </w:rPr>
        <w:t xml:space="preserve">prizna v obliki kilometrine </w:t>
      </w:r>
      <w:r w:rsidRPr="00B75637">
        <w:rPr>
          <w:rFonts w:ascii="Arial" w:hAnsi="Arial" w:cs="Arial"/>
          <w:color w:val="000000"/>
          <w:sz w:val="21"/>
          <w:szCs w:val="21"/>
        </w:rPr>
        <w:t>po najkrajši varni poti</w:t>
      </w:r>
      <w:r w:rsidRPr="00B75637">
        <w:rPr>
          <w:rFonts w:ascii="Arial" w:hAnsi="Arial" w:cs="Arial"/>
          <w:sz w:val="21"/>
          <w:szCs w:val="21"/>
        </w:rPr>
        <w:t xml:space="preserve"> v višini 10% cene neosvinčenega motornega bencina – 95 oktanov v neto znesku za vsak polni kilometer razdalje. </w:t>
      </w:r>
      <w:r w:rsidRPr="00B75637">
        <w:rPr>
          <w:rFonts w:ascii="Arial" w:hAnsi="Arial" w:cs="Arial"/>
          <w:color w:val="000000"/>
          <w:sz w:val="21"/>
          <w:szCs w:val="21"/>
        </w:rPr>
        <w:t>Za obračun kilometrine za povračilo potnih stroškov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w:t>
      </w:r>
    </w:p>
    <w:p w14:paraId="3547100D" w14:textId="77777777" w:rsidR="007007D5" w:rsidRPr="00B75637" w:rsidRDefault="007007D5" w:rsidP="00FE06D9">
      <w:pPr>
        <w:pStyle w:val="Odstavekseznama"/>
        <w:spacing w:line="276" w:lineRule="auto"/>
        <w:jc w:val="both"/>
        <w:rPr>
          <w:rFonts w:ascii="Arial" w:hAnsi="Arial" w:cs="Arial"/>
          <w:sz w:val="21"/>
          <w:szCs w:val="21"/>
        </w:rPr>
      </w:pPr>
    </w:p>
    <w:p w14:paraId="023F97B2" w14:textId="77777777" w:rsidR="00EE3398" w:rsidRPr="00B75637" w:rsidRDefault="00EE3398" w:rsidP="00FE06D9">
      <w:pPr>
        <w:spacing w:line="276" w:lineRule="auto"/>
        <w:jc w:val="both"/>
        <w:rPr>
          <w:rFonts w:ascii="Arial" w:hAnsi="Arial" w:cs="Arial"/>
          <w:sz w:val="21"/>
          <w:szCs w:val="21"/>
        </w:rPr>
      </w:pPr>
    </w:p>
    <w:p w14:paraId="5CAB3A64" w14:textId="77777777" w:rsidR="007007D5" w:rsidRPr="00B75637" w:rsidRDefault="007007D5" w:rsidP="00FE06D9">
      <w:pPr>
        <w:pStyle w:val="Odstavekseznama"/>
        <w:numPr>
          <w:ilvl w:val="0"/>
          <w:numId w:val="4"/>
        </w:numPr>
        <w:suppressAutoHyphens/>
        <w:autoSpaceDN w:val="0"/>
        <w:spacing w:after="160" w:line="276" w:lineRule="auto"/>
        <w:jc w:val="center"/>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člen</w:t>
      </w:r>
    </w:p>
    <w:p w14:paraId="2FEBE70C" w14:textId="77777777" w:rsidR="007007D5" w:rsidRPr="00B75637" w:rsidRDefault="007007D5" w:rsidP="00FE06D9">
      <w:pPr>
        <w:suppressAutoHyphens/>
        <w:autoSpaceDN w:val="0"/>
        <w:spacing w:after="160" w:line="276" w:lineRule="auto"/>
        <w:ind w:left="720"/>
        <w:textAlignment w:val="baseline"/>
        <w:rPr>
          <w:rFonts w:ascii="Arial" w:eastAsia="Calibri" w:hAnsi="Arial" w:cs="Arial"/>
          <w:sz w:val="21"/>
          <w:szCs w:val="21"/>
          <w:lang w:eastAsia="en-US"/>
        </w:rPr>
      </w:pPr>
    </w:p>
    <w:p w14:paraId="080B843D" w14:textId="29E4328A" w:rsidR="007007D5" w:rsidRDefault="007007D5" w:rsidP="00FE06D9">
      <w:pPr>
        <w:suppressAutoHyphens/>
        <w:autoSpaceDN w:val="0"/>
        <w:spacing w:after="160" w:line="276" w:lineRule="auto"/>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 xml:space="preserve">Ta sprememba poslovnika začne veljati 1. </w:t>
      </w:r>
      <w:r w:rsidR="00FE06D9" w:rsidRPr="00B75637">
        <w:rPr>
          <w:rFonts w:ascii="Arial" w:eastAsia="Calibri" w:hAnsi="Arial" w:cs="Arial"/>
          <w:sz w:val="21"/>
          <w:szCs w:val="21"/>
          <w:lang w:eastAsia="en-US"/>
        </w:rPr>
        <w:t>7</w:t>
      </w:r>
      <w:r w:rsidRPr="00B75637">
        <w:rPr>
          <w:rFonts w:ascii="Arial" w:eastAsia="Calibri" w:hAnsi="Arial" w:cs="Arial"/>
          <w:sz w:val="21"/>
          <w:szCs w:val="21"/>
          <w:lang w:eastAsia="en-US"/>
        </w:rPr>
        <w:t>. 202</w:t>
      </w:r>
      <w:r w:rsidR="00DB2C4A" w:rsidRPr="00B75637">
        <w:rPr>
          <w:rFonts w:ascii="Arial" w:eastAsia="Calibri" w:hAnsi="Arial" w:cs="Arial"/>
          <w:sz w:val="21"/>
          <w:szCs w:val="21"/>
          <w:lang w:eastAsia="en-US"/>
        </w:rPr>
        <w:t>1</w:t>
      </w:r>
      <w:r w:rsidRPr="00B75637">
        <w:rPr>
          <w:rFonts w:ascii="Arial" w:eastAsia="Calibri" w:hAnsi="Arial" w:cs="Arial"/>
          <w:sz w:val="21"/>
          <w:szCs w:val="21"/>
          <w:lang w:eastAsia="en-US"/>
        </w:rPr>
        <w:t xml:space="preserve">. </w:t>
      </w:r>
    </w:p>
    <w:p w14:paraId="32739D11" w14:textId="185D7337" w:rsidR="005E5E82" w:rsidRPr="00B75637" w:rsidRDefault="005E5E82" w:rsidP="00FE06D9">
      <w:pPr>
        <w:suppressAutoHyphens/>
        <w:autoSpaceDN w:val="0"/>
        <w:spacing w:after="160" w:line="276" w:lineRule="auto"/>
        <w:textAlignment w:val="baseline"/>
        <w:rPr>
          <w:rFonts w:ascii="Arial" w:eastAsia="Calibri" w:hAnsi="Arial" w:cs="Arial"/>
          <w:sz w:val="21"/>
          <w:szCs w:val="21"/>
          <w:lang w:eastAsia="en-US"/>
        </w:rPr>
      </w:pPr>
      <w:r w:rsidRPr="000872CA">
        <w:rPr>
          <w:rFonts w:ascii="Arial" w:hAnsi="Arial" w:cs="Arial"/>
          <w:sz w:val="20"/>
          <w:szCs w:val="20"/>
        </w:rPr>
        <w:t>Poslovnik se objavi na spletnih straneh ministrstva, pristojnega za upravo.</w:t>
      </w:r>
    </w:p>
    <w:p w14:paraId="21E4EDE5" w14:textId="77777777" w:rsidR="004A1507" w:rsidRPr="00B75637" w:rsidRDefault="004A1507" w:rsidP="00FE06D9">
      <w:pPr>
        <w:suppressAutoHyphens/>
        <w:autoSpaceDN w:val="0"/>
        <w:spacing w:after="160" w:line="276" w:lineRule="auto"/>
        <w:ind w:left="4968" w:firstLine="696"/>
        <w:textAlignment w:val="baseline"/>
        <w:rPr>
          <w:rFonts w:ascii="Arial" w:eastAsia="Calibri" w:hAnsi="Arial" w:cs="Arial"/>
          <w:sz w:val="21"/>
          <w:szCs w:val="21"/>
          <w:lang w:eastAsia="en-US"/>
        </w:rPr>
      </w:pPr>
    </w:p>
    <w:p w14:paraId="6E6C9546" w14:textId="55EDE131" w:rsidR="004A1507" w:rsidRPr="00B75637" w:rsidRDefault="004A1507" w:rsidP="00FE06D9">
      <w:pPr>
        <w:suppressAutoHyphens/>
        <w:autoSpaceDN w:val="0"/>
        <w:spacing w:after="160" w:line="276" w:lineRule="auto"/>
        <w:ind w:left="4968" w:firstLine="696"/>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Rastko Rafael Kozlevčar</w:t>
      </w:r>
    </w:p>
    <w:p w14:paraId="56A79364" w14:textId="6EBF9BA0" w:rsidR="004A1507" w:rsidRPr="00B75637" w:rsidRDefault="004A1507" w:rsidP="00FE06D9">
      <w:pPr>
        <w:suppressAutoHyphens/>
        <w:autoSpaceDN w:val="0"/>
        <w:spacing w:after="160" w:line="276" w:lineRule="auto"/>
        <w:ind w:left="720"/>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t xml:space="preserve">        predsednik Uradniškega sveta </w:t>
      </w:r>
    </w:p>
    <w:p w14:paraId="072C8858" w14:textId="5F38AD51" w:rsidR="004A1507" w:rsidRPr="00B75637" w:rsidRDefault="004A1507" w:rsidP="00FE06D9">
      <w:pPr>
        <w:suppressAutoHyphens/>
        <w:autoSpaceDN w:val="0"/>
        <w:spacing w:after="160" w:line="276" w:lineRule="auto"/>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 xml:space="preserve">Številka:  </w:t>
      </w:r>
      <w:r w:rsidR="00FE06D9" w:rsidRPr="00B75637">
        <w:rPr>
          <w:rFonts w:ascii="Arial" w:eastAsia="Calibri" w:hAnsi="Arial" w:cs="Arial"/>
          <w:sz w:val="21"/>
          <w:szCs w:val="21"/>
          <w:lang w:eastAsia="en-US"/>
        </w:rPr>
        <w:t>0130-</w:t>
      </w:r>
      <w:r w:rsidR="0079178C">
        <w:rPr>
          <w:rFonts w:ascii="Arial" w:eastAsia="Calibri" w:hAnsi="Arial" w:cs="Arial"/>
          <w:sz w:val="21"/>
          <w:szCs w:val="21"/>
          <w:lang w:eastAsia="en-US"/>
        </w:rPr>
        <w:t>5/2021/5</w:t>
      </w:r>
    </w:p>
    <w:p w14:paraId="7F93A5D4" w14:textId="72699159" w:rsidR="00D73BFB" w:rsidRPr="00B75637" w:rsidRDefault="004A1507" w:rsidP="00FE06D9">
      <w:pPr>
        <w:suppressAutoHyphens/>
        <w:autoSpaceDN w:val="0"/>
        <w:spacing w:after="160" w:line="276" w:lineRule="auto"/>
        <w:textAlignment w:val="baseline"/>
        <w:rPr>
          <w:rFonts w:ascii="Arial" w:eastAsia="Calibri" w:hAnsi="Arial" w:cs="Arial"/>
          <w:sz w:val="21"/>
          <w:szCs w:val="21"/>
          <w:lang w:eastAsia="en-US"/>
        </w:rPr>
      </w:pPr>
      <w:r w:rsidRPr="00B75637">
        <w:rPr>
          <w:rFonts w:ascii="Arial" w:eastAsia="Calibri" w:hAnsi="Arial" w:cs="Arial"/>
          <w:sz w:val="21"/>
          <w:szCs w:val="21"/>
          <w:lang w:eastAsia="en-US"/>
        </w:rPr>
        <w:t xml:space="preserve">Datum: </w:t>
      </w:r>
      <w:r w:rsidR="00FE06D9" w:rsidRPr="00B75637">
        <w:rPr>
          <w:rFonts w:ascii="Arial" w:eastAsia="Calibri" w:hAnsi="Arial" w:cs="Arial"/>
          <w:sz w:val="21"/>
          <w:szCs w:val="21"/>
          <w:lang w:eastAsia="en-US"/>
        </w:rPr>
        <w:t>21</w:t>
      </w:r>
      <w:r w:rsidRPr="00B75637">
        <w:rPr>
          <w:rFonts w:ascii="Arial" w:eastAsia="Calibri" w:hAnsi="Arial" w:cs="Arial"/>
          <w:sz w:val="21"/>
          <w:szCs w:val="21"/>
          <w:lang w:eastAsia="en-US"/>
        </w:rPr>
        <w:t xml:space="preserve">. </w:t>
      </w:r>
      <w:r w:rsidR="00FE06D9" w:rsidRPr="00B75637">
        <w:rPr>
          <w:rFonts w:ascii="Arial" w:eastAsia="Calibri" w:hAnsi="Arial" w:cs="Arial"/>
          <w:sz w:val="21"/>
          <w:szCs w:val="21"/>
          <w:lang w:eastAsia="en-US"/>
        </w:rPr>
        <w:t>6</w:t>
      </w:r>
      <w:r w:rsidRPr="00B75637">
        <w:rPr>
          <w:rFonts w:ascii="Arial" w:eastAsia="Calibri" w:hAnsi="Arial" w:cs="Arial"/>
          <w:sz w:val="21"/>
          <w:szCs w:val="21"/>
          <w:lang w:eastAsia="en-US"/>
        </w:rPr>
        <w:t>. 2021</w:t>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r>
      <w:r w:rsidRPr="00B75637">
        <w:rPr>
          <w:rFonts w:ascii="Arial" w:eastAsia="Calibri" w:hAnsi="Arial" w:cs="Arial"/>
          <w:sz w:val="21"/>
          <w:szCs w:val="21"/>
          <w:lang w:eastAsia="en-US"/>
        </w:rPr>
        <w:tab/>
        <w:t xml:space="preserve"> </w:t>
      </w:r>
    </w:p>
    <w:sectPr w:rsidR="00D73BFB" w:rsidRPr="00B7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30577"/>
    <w:multiLevelType w:val="hybridMultilevel"/>
    <w:tmpl w:val="29D09AA2"/>
    <w:lvl w:ilvl="0" w:tplc="680857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B4AF7"/>
    <w:multiLevelType w:val="hybridMultilevel"/>
    <w:tmpl w:val="FBEEA4E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D362B0"/>
    <w:multiLevelType w:val="hybridMultilevel"/>
    <w:tmpl w:val="7B6689C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6B4C86"/>
    <w:multiLevelType w:val="multilevel"/>
    <w:tmpl w:val="ECE4A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3D3390"/>
    <w:multiLevelType w:val="hybridMultilevel"/>
    <w:tmpl w:val="1C72B51A"/>
    <w:lvl w:ilvl="0" w:tplc="1E32C9A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5" w15:restartNumberingAfterBreak="0">
    <w:nsid w:val="7CAF0CF2"/>
    <w:multiLevelType w:val="multilevel"/>
    <w:tmpl w:val="8B2C7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87"/>
    <w:rsid w:val="00232038"/>
    <w:rsid w:val="0040440B"/>
    <w:rsid w:val="00440128"/>
    <w:rsid w:val="004A1507"/>
    <w:rsid w:val="0052459B"/>
    <w:rsid w:val="00547B87"/>
    <w:rsid w:val="005E5E82"/>
    <w:rsid w:val="006F2803"/>
    <w:rsid w:val="007007D5"/>
    <w:rsid w:val="00726AF2"/>
    <w:rsid w:val="0079178C"/>
    <w:rsid w:val="009A7F1A"/>
    <w:rsid w:val="009F562E"/>
    <w:rsid w:val="00A50972"/>
    <w:rsid w:val="00AB21CD"/>
    <w:rsid w:val="00AD09FC"/>
    <w:rsid w:val="00B75637"/>
    <w:rsid w:val="00D026D1"/>
    <w:rsid w:val="00D031BB"/>
    <w:rsid w:val="00D73BFB"/>
    <w:rsid w:val="00DB2C4A"/>
    <w:rsid w:val="00DC2F3F"/>
    <w:rsid w:val="00EE3398"/>
    <w:rsid w:val="00EF6416"/>
    <w:rsid w:val="00F16FAF"/>
    <w:rsid w:val="00FE0313"/>
    <w:rsid w:val="00FE0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7914"/>
  <w15:chartTrackingRefBased/>
  <w15:docId w15:val="{E328271E-81AC-4BA3-87CB-E4F1C9F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7B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7B87"/>
    <w:pPr>
      <w:ind w:left="720"/>
      <w:contextualSpacing/>
    </w:pPr>
  </w:style>
  <w:style w:type="character" w:styleId="Hiperpovezava">
    <w:name w:val="Hyperlink"/>
    <w:basedOn w:val="Privzetapisavaodstavka"/>
    <w:uiPriority w:val="99"/>
    <w:semiHidden/>
    <w:unhideWhenUsed/>
    <w:rsid w:val="00547B87"/>
    <w:rPr>
      <w:color w:val="0000FF"/>
      <w:u w:val="single"/>
    </w:rPr>
  </w:style>
  <w:style w:type="paragraph" w:styleId="Besedilooblaka">
    <w:name w:val="Balloon Text"/>
    <w:basedOn w:val="Navaden"/>
    <w:link w:val="BesedilooblakaZnak"/>
    <w:uiPriority w:val="99"/>
    <w:semiHidden/>
    <w:unhideWhenUsed/>
    <w:rsid w:val="00F16F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6FAF"/>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EE3398"/>
    <w:rPr>
      <w:sz w:val="16"/>
      <w:szCs w:val="16"/>
    </w:rPr>
  </w:style>
  <w:style w:type="paragraph" w:styleId="Pripombabesedilo">
    <w:name w:val="annotation text"/>
    <w:basedOn w:val="Navaden"/>
    <w:link w:val="PripombabesediloZnak"/>
    <w:uiPriority w:val="99"/>
    <w:semiHidden/>
    <w:unhideWhenUsed/>
    <w:rsid w:val="00EE3398"/>
    <w:rPr>
      <w:sz w:val="20"/>
      <w:szCs w:val="20"/>
    </w:rPr>
  </w:style>
  <w:style w:type="character" w:customStyle="1" w:styleId="PripombabesediloZnak">
    <w:name w:val="Pripomba – besedilo Znak"/>
    <w:basedOn w:val="Privzetapisavaodstavka"/>
    <w:link w:val="Pripombabesedilo"/>
    <w:uiPriority w:val="99"/>
    <w:semiHidden/>
    <w:rsid w:val="00EE339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E3398"/>
    <w:rPr>
      <w:b/>
      <w:bCs/>
    </w:rPr>
  </w:style>
  <w:style w:type="character" w:customStyle="1" w:styleId="ZadevapripombeZnak">
    <w:name w:val="Zadeva pripombe Znak"/>
    <w:basedOn w:val="PripombabesediloZnak"/>
    <w:link w:val="Zadevapripombe"/>
    <w:uiPriority w:val="99"/>
    <w:semiHidden/>
    <w:rsid w:val="00EE3398"/>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447519">
      <w:bodyDiv w:val="1"/>
      <w:marLeft w:val="0"/>
      <w:marRight w:val="0"/>
      <w:marTop w:val="0"/>
      <w:marBottom w:val="0"/>
      <w:divBdr>
        <w:top w:val="none" w:sz="0" w:space="0" w:color="auto"/>
        <w:left w:val="none" w:sz="0" w:space="0" w:color="auto"/>
        <w:bottom w:val="none" w:sz="0" w:space="0" w:color="auto"/>
        <w:right w:val="none" w:sz="0" w:space="0" w:color="auto"/>
      </w:divBdr>
      <w:divsChild>
        <w:div w:id="927082417">
          <w:marLeft w:val="0"/>
          <w:marRight w:val="0"/>
          <w:marTop w:val="0"/>
          <w:marBottom w:val="120"/>
          <w:divBdr>
            <w:top w:val="none" w:sz="0" w:space="0" w:color="auto"/>
            <w:left w:val="none" w:sz="0" w:space="0" w:color="auto"/>
            <w:bottom w:val="none" w:sz="0" w:space="0" w:color="auto"/>
            <w:right w:val="none" w:sz="0" w:space="0" w:color="auto"/>
          </w:divBdr>
        </w:div>
        <w:div w:id="1112436183">
          <w:marLeft w:val="0"/>
          <w:marRight w:val="0"/>
          <w:marTop w:val="0"/>
          <w:marBottom w:val="120"/>
          <w:divBdr>
            <w:top w:val="none" w:sz="0" w:space="0" w:color="auto"/>
            <w:left w:val="none" w:sz="0" w:space="0" w:color="auto"/>
            <w:bottom w:val="none" w:sz="0" w:space="0" w:color="auto"/>
            <w:right w:val="none" w:sz="0" w:space="0" w:color="auto"/>
          </w:divBdr>
        </w:div>
      </w:divsChild>
    </w:div>
    <w:div w:id="18966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Poslovnik o spremembi Poslovnika o delu posebnih natečajnih komisij</vt:lpstr>
    </vt:vector>
  </TitlesOfParts>
  <Company>MJU</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spremembi Poslovnika o delu posebnih natečajnih komisij</dc:title>
  <dc:subject/>
  <dc:creator>Danijela Mišić Pogorevc</dc:creator>
  <cp:keywords/>
  <dc:description/>
  <cp:lastModifiedBy>Alja Košir</cp:lastModifiedBy>
  <cp:revision>3</cp:revision>
  <dcterms:created xsi:type="dcterms:W3CDTF">2021-06-11T11:03:00Z</dcterms:created>
  <dcterms:modified xsi:type="dcterms:W3CDTF">2021-06-23T07:30:00Z</dcterms:modified>
</cp:coreProperties>
</file>