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1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40291" w14:textId="77777777" w:rsidR="009520CE" w:rsidRPr="00B80AED" w:rsidRDefault="009520CE" w:rsidP="00663EC0">
      <w:pPr>
        <w:spacing w:line="276" w:lineRule="auto"/>
        <w:ind w:left="284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14:paraId="02E33B6A" w14:textId="3F90E06A" w:rsidR="009520CE" w:rsidRPr="00B80AED" w:rsidRDefault="009520CE" w:rsidP="00663EC0">
      <w:pPr>
        <w:spacing w:line="276" w:lineRule="auto"/>
        <w:ind w:left="284"/>
        <w:jc w:val="both"/>
        <w:rPr>
          <w:rFonts w:ascii="Arial" w:eastAsia="Times New Roman" w:hAnsi="Arial" w:cs="Arial"/>
        </w:rPr>
      </w:pPr>
      <w:r w:rsidRPr="00B80AED">
        <w:rPr>
          <w:rFonts w:ascii="Arial" w:eastAsia="Times New Roman" w:hAnsi="Arial" w:cs="Arial"/>
        </w:rPr>
        <w:t xml:space="preserve">Številka: </w:t>
      </w:r>
      <w:r w:rsidR="008375BD">
        <w:rPr>
          <w:rFonts w:ascii="Arial" w:eastAsia="Times New Roman" w:hAnsi="Arial" w:cs="Arial"/>
        </w:rPr>
        <w:t>0130-1/2020/11</w:t>
      </w:r>
    </w:p>
    <w:p w14:paraId="3B9D2C66" w14:textId="4F3C306C" w:rsidR="009520CE" w:rsidRPr="0059021B" w:rsidRDefault="009520CE" w:rsidP="0059021B">
      <w:pPr>
        <w:spacing w:line="276" w:lineRule="auto"/>
        <w:ind w:left="284"/>
        <w:jc w:val="both"/>
        <w:rPr>
          <w:rFonts w:ascii="Arial" w:eastAsia="Times New Roman" w:hAnsi="Arial" w:cs="Arial"/>
        </w:rPr>
      </w:pPr>
      <w:r w:rsidRPr="00B80AED">
        <w:rPr>
          <w:rFonts w:ascii="Arial" w:eastAsia="Times New Roman" w:hAnsi="Arial" w:cs="Arial"/>
        </w:rPr>
        <w:t xml:space="preserve">Datum: </w:t>
      </w:r>
      <w:r w:rsidR="008375BD">
        <w:rPr>
          <w:rFonts w:ascii="Arial" w:eastAsia="Times New Roman" w:hAnsi="Arial" w:cs="Arial"/>
        </w:rPr>
        <w:t>12. 6. 2020</w:t>
      </w:r>
    </w:p>
    <w:p w14:paraId="17BD177B" w14:textId="1C523672" w:rsidR="009520CE" w:rsidRDefault="009520CE" w:rsidP="0059021B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</w:rPr>
      </w:pPr>
    </w:p>
    <w:p w14:paraId="382270E8" w14:textId="77777777" w:rsidR="0059021B" w:rsidRDefault="0059021B" w:rsidP="0059021B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</w:rPr>
      </w:pPr>
    </w:p>
    <w:p w14:paraId="7BE9FBE5" w14:textId="570473A5" w:rsidR="00795CAF" w:rsidRDefault="009520CE" w:rsidP="00663EC0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</w:rPr>
      </w:pPr>
      <w:r w:rsidRPr="00B80AED">
        <w:rPr>
          <w:rFonts w:ascii="Arial" w:eastAsia="Times New Roman" w:hAnsi="Arial" w:cs="Arial"/>
          <w:b/>
        </w:rPr>
        <w:t>ZADEVA:</w:t>
      </w:r>
      <w:r w:rsidR="00B80AED">
        <w:rPr>
          <w:rFonts w:ascii="Arial" w:eastAsia="Times New Roman" w:hAnsi="Arial" w:cs="Arial"/>
          <w:b/>
        </w:rPr>
        <w:t xml:space="preserve"> </w:t>
      </w:r>
      <w:r w:rsidRPr="00B80AED">
        <w:rPr>
          <w:rFonts w:ascii="Arial" w:eastAsia="Times New Roman" w:hAnsi="Arial" w:cs="Arial"/>
          <w:b/>
        </w:rPr>
        <w:t>POROČILO O DEL</w:t>
      </w:r>
      <w:r w:rsidR="00DD209E" w:rsidRPr="00B80AED">
        <w:rPr>
          <w:rFonts w:ascii="Arial" w:eastAsia="Times New Roman" w:hAnsi="Arial" w:cs="Arial"/>
          <w:b/>
        </w:rPr>
        <w:t>U URADNIŠKEGA SVETA ZA LETO 2019</w:t>
      </w:r>
    </w:p>
    <w:p w14:paraId="4E1582EC" w14:textId="77777777" w:rsidR="00795CAF" w:rsidRPr="00B80AED" w:rsidRDefault="00795CAF" w:rsidP="00663EC0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</w:rPr>
      </w:pPr>
    </w:p>
    <w:p w14:paraId="1E6BC957" w14:textId="749555FD" w:rsidR="00CB3108" w:rsidRDefault="00795CAF" w:rsidP="00663EC0">
      <w:pPr>
        <w:suppressAutoHyphens/>
        <w:spacing w:after="0" w:line="276" w:lineRule="auto"/>
        <w:ind w:left="284"/>
        <w:jc w:val="both"/>
      </w:pPr>
      <w:r>
        <w:rPr>
          <w:rFonts w:ascii="Arial" w:eastAsia="Times New Roman" w:hAnsi="Arial" w:cs="Arial"/>
          <w:b/>
        </w:rPr>
        <w:t xml:space="preserve">I. </w:t>
      </w:r>
      <w:r w:rsidR="00BC4483" w:rsidRPr="00B80AED">
        <w:rPr>
          <w:rFonts w:ascii="Arial" w:eastAsia="Times New Roman" w:hAnsi="Arial" w:cs="Arial"/>
          <w:b/>
        </w:rPr>
        <w:t>Tematski del</w:t>
      </w:r>
    </w:p>
    <w:p w14:paraId="0429DF9C" w14:textId="5A2DFE09" w:rsidR="00CE3216" w:rsidRDefault="00CE3216" w:rsidP="00663EC0">
      <w:pPr>
        <w:tabs>
          <w:tab w:val="left" w:pos="0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Times New Roman"/>
        </w:rPr>
      </w:pPr>
    </w:p>
    <w:p w14:paraId="03D3509B" w14:textId="4303ACB0" w:rsidR="00CE3216" w:rsidRDefault="00CE3216" w:rsidP="00186EB4">
      <w:pPr>
        <w:tabs>
          <w:tab w:val="left" w:pos="0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V skladu z določbami Zakona o javnih uslužbencih (</w:t>
      </w:r>
      <w:r w:rsidRPr="002C58EC">
        <w:rPr>
          <w:rFonts w:ascii="Arial" w:eastAsia="Times New Roman" w:hAnsi="Arial" w:cs="Times New Roman"/>
        </w:rPr>
        <w:t>Uradni list RS, št. 63/07 – uradno prečiščeno besedilo, 65/08, 69/08 – ZTFI-A, 69/08 – ZZavar-E in 40/12 – ZUJF; v nadaljevanju: ZJU</w:t>
      </w:r>
      <w:r>
        <w:rPr>
          <w:rFonts w:ascii="Arial" w:eastAsia="Times New Roman" w:hAnsi="Arial" w:cs="Times New Roman"/>
        </w:rPr>
        <w:t>) je glavna naloga Uradniškega sveta skrb za izvajanje izbire uradnikov na položaju v skladu s Standardi strokovne usposobljenosti z merili za izbiro in metodami preverjanja usposobljenosti uradnikov na položajih v državni upravi (v nadaljnjem besedilu: Standardi strokovne usposobljenosti) in Poslovnikom o delu posebnih natečajnih komisij.</w:t>
      </w:r>
    </w:p>
    <w:p w14:paraId="7F04B6F9" w14:textId="77777777" w:rsidR="00186EB4" w:rsidRDefault="00186EB4" w:rsidP="00186EB4">
      <w:pPr>
        <w:tabs>
          <w:tab w:val="left" w:pos="0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Times New Roman"/>
        </w:rPr>
      </w:pPr>
    </w:p>
    <w:p w14:paraId="04A9B409" w14:textId="0F0A81C2" w:rsidR="00C86641" w:rsidRPr="00B80AED" w:rsidRDefault="00CE3216" w:rsidP="00663EC0">
      <w:pPr>
        <w:tabs>
          <w:tab w:val="left" w:pos="0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Člani Uradniškega sveta so tudi v letu 2019 sproti dopolnjevali seznam strokovnjakov ter </w:t>
      </w:r>
      <w:r w:rsidR="009520CE" w:rsidRPr="00B80AED">
        <w:rPr>
          <w:rFonts w:ascii="Arial" w:eastAsia="Times New Roman" w:hAnsi="Arial" w:cs="Times New Roman"/>
        </w:rPr>
        <w:t xml:space="preserve">seznam uradnikov </w:t>
      </w:r>
      <w:r w:rsidR="0024127C" w:rsidRPr="00B80AED">
        <w:rPr>
          <w:rFonts w:ascii="Arial" w:eastAsia="Times New Roman" w:hAnsi="Arial" w:cs="Times New Roman"/>
        </w:rPr>
        <w:t>in</w:t>
      </w:r>
      <w:r w:rsidR="009520CE" w:rsidRPr="00B80AED">
        <w:rPr>
          <w:rFonts w:ascii="Arial" w:eastAsia="Times New Roman" w:hAnsi="Arial" w:cs="Times New Roman"/>
        </w:rPr>
        <w:t xml:space="preserve"> predstavnikov sindikata </w:t>
      </w:r>
      <w:r w:rsidR="0024127C" w:rsidRPr="00B80AED">
        <w:rPr>
          <w:rFonts w:ascii="Arial" w:eastAsia="Times New Roman" w:hAnsi="Arial" w:cs="Times New Roman"/>
        </w:rPr>
        <w:t xml:space="preserve">za </w:t>
      </w:r>
      <w:r w:rsidR="009520CE" w:rsidRPr="00B80AED">
        <w:rPr>
          <w:rFonts w:ascii="Arial" w:eastAsia="Times New Roman" w:hAnsi="Arial" w:cs="Times New Roman"/>
        </w:rPr>
        <w:t>člane posebnih natečajnih komisij</w:t>
      </w:r>
      <w:r w:rsidR="003A17D2" w:rsidRPr="00B80AED">
        <w:rPr>
          <w:rFonts w:ascii="Arial" w:eastAsia="Times New Roman" w:hAnsi="Arial" w:cs="Times New Roman"/>
        </w:rPr>
        <w:t>. Stalna točka dnevnega reda je bila tudi izmenjava izkušenj</w:t>
      </w:r>
      <w:r w:rsidR="0024127C" w:rsidRPr="00B80AED">
        <w:rPr>
          <w:rFonts w:ascii="Arial" w:eastAsia="Times New Roman" w:hAnsi="Arial" w:cs="Times New Roman"/>
        </w:rPr>
        <w:t xml:space="preserve"> </w:t>
      </w:r>
      <w:r w:rsidR="00C86641" w:rsidRPr="00B80AED">
        <w:rPr>
          <w:rFonts w:ascii="Arial" w:eastAsia="Times New Roman" w:hAnsi="Arial" w:cs="Times New Roman"/>
        </w:rPr>
        <w:t xml:space="preserve">članov Uradniškega sveta </w:t>
      </w:r>
      <w:r w:rsidR="0024127C" w:rsidRPr="00B80AED">
        <w:rPr>
          <w:rFonts w:ascii="Arial" w:eastAsia="Times New Roman" w:hAnsi="Arial" w:cs="Times New Roman"/>
        </w:rPr>
        <w:t>z vod</w:t>
      </w:r>
      <w:r w:rsidR="00B80AED" w:rsidRPr="00B80AED">
        <w:rPr>
          <w:rFonts w:ascii="Arial" w:eastAsia="Times New Roman" w:hAnsi="Arial" w:cs="Times New Roman"/>
        </w:rPr>
        <w:t>e</w:t>
      </w:r>
      <w:r w:rsidR="0024127C" w:rsidRPr="00B80AED">
        <w:rPr>
          <w:rFonts w:ascii="Arial" w:eastAsia="Times New Roman" w:hAnsi="Arial" w:cs="Times New Roman"/>
        </w:rPr>
        <w:t>n</w:t>
      </w:r>
      <w:r w:rsidR="00B80AED" w:rsidRPr="00B80AED">
        <w:rPr>
          <w:rFonts w:ascii="Arial" w:eastAsia="Times New Roman" w:hAnsi="Arial" w:cs="Times New Roman"/>
        </w:rPr>
        <w:t>j</w:t>
      </w:r>
      <w:r w:rsidR="001A0603" w:rsidRPr="00B80AED">
        <w:rPr>
          <w:rFonts w:ascii="Arial" w:eastAsia="Times New Roman" w:hAnsi="Arial" w:cs="Times New Roman"/>
        </w:rPr>
        <w:t>em posebnih natečajnih komis</w:t>
      </w:r>
      <w:r w:rsidR="00B80AED" w:rsidRPr="00B80AED">
        <w:rPr>
          <w:rFonts w:ascii="Arial" w:eastAsia="Times New Roman" w:hAnsi="Arial" w:cs="Times New Roman"/>
        </w:rPr>
        <w:t>ij</w:t>
      </w:r>
      <w:r w:rsidR="0027396F" w:rsidRPr="00B80AED">
        <w:rPr>
          <w:rFonts w:ascii="Arial" w:eastAsia="Times New Roman" w:hAnsi="Arial" w:cs="Times New Roman"/>
        </w:rPr>
        <w:t xml:space="preserve">, </w:t>
      </w:r>
      <w:r w:rsidR="005004F7">
        <w:rPr>
          <w:rFonts w:ascii="Arial" w:eastAsia="Times New Roman" w:hAnsi="Arial" w:cs="Times New Roman"/>
        </w:rPr>
        <w:t>npr.</w:t>
      </w:r>
      <w:r w:rsidR="00F96EE9" w:rsidRPr="00B80AED">
        <w:rPr>
          <w:rFonts w:ascii="Arial" w:eastAsia="Times New Roman" w:hAnsi="Arial" w:cs="Times New Roman"/>
        </w:rPr>
        <w:t xml:space="preserve"> v zvezi s </w:t>
      </w:r>
      <w:r w:rsidR="00CA4325" w:rsidRPr="00B80AED">
        <w:rPr>
          <w:rFonts w:ascii="Arial" w:eastAsia="Times New Roman" w:hAnsi="Arial" w:cs="Times New Roman"/>
        </w:rPr>
        <w:t>presoj</w:t>
      </w:r>
      <w:r w:rsidR="00F96EE9" w:rsidRPr="00B80AED">
        <w:rPr>
          <w:rFonts w:ascii="Arial" w:eastAsia="Times New Roman" w:hAnsi="Arial" w:cs="Times New Roman"/>
        </w:rPr>
        <w:t xml:space="preserve">o </w:t>
      </w:r>
      <w:r w:rsidR="00CA4325" w:rsidRPr="00B80AED">
        <w:rPr>
          <w:rFonts w:ascii="Arial" w:eastAsia="Times New Roman" w:hAnsi="Arial" w:cs="Times New Roman"/>
        </w:rPr>
        <w:t>vodstvenih izkušenj kandidatov</w:t>
      </w:r>
      <w:r w:rsidR="00F96EE9" w:rsidRPr="00B80AED">
        <w:rPr>
          <w:rFonts w:ascii="Arial" w:eastAsia="Times New Roman" w:hAnsi="Arial" w:cs="Times New Roman"/>
        </w:rPr>
        <w:t xml:space="preserve">, </w:t>
      </w:r>
      <w:r w:rsidR="005004F7">
        <w:rPr>
          <w:rFonts w:ascii="Arial" w:eastAsia="Times New Roman" w:hAnsi="Arial" w:cs="Times New Roman"/>
        </w:rPr>
        <w:t>kjer</w:t>
      </w:r>
      <w:r w:rsidR="00F96EE9" w:rsidRPr="00B80AED">
        <w:rPr>
          <w:rFonts w:ascii="Arial" w:eastAsia="Times New Roman" w:hAnsi="Arial" w:cs="Times New Roman"/>
        </w:rPr>
        <w:t xml:space="preserve"> so</w:t>
      </w:r>
      <w:r w:rsidR="00CA4325" w:rsidRPr="00B80AED">
        <w:rPr>
          <w:rFonts w:ascii="Arial" w:eastAsia="Times New Roman" w:hAnsi="Arial" w:cs="Times New Roman"/>
        </w:rPr>
        <w:t xml:space="preserve"> čl</w:t>
      </w:r>
      <w:r w:rsidR="00F96EE9" w:rsidRPr="00B80AED">
        <w:rPr>
          <w:rFonts w:ascii="Arial" w:eastAsia="Times New Roman" w:hAnsi="Arial" w:cs="Times New Roman"/>
        </w:rPr>
        <w:t xml:space="preserve">ani Uradniškega sveta </w:t>
      </w:r>
      <w:r w:rsidR="00CA4325" w:rsidRPr="00B80AED">
        <w:rPr>
          <w:rFonts w:ascii="Arial" w:eastAsia="Times New Roman" w:hAnsi="Arial" w:cs="Times New Roman"/>
        </w:rPr>
        <w:t xml:space="preserve">zaznali, da </w:t>
      </w:r>
      <w:r w:rsidR="00F96EE9" w:rsidRPr="00B80AED">
        <w:rPr>
          <w:rFonts w:ascii="Arial" w:eastAsia="Times New Roman" w:hAnsi="Arial" w:cs="Times New Roman"/>
        </w:rPr>
        <w:t xml:space="preserve">se na prosta položajna delovna mesta prijavlja vse več kandidatov brez ustreznih vodstvenih izkušenj oz. kandidatov, katerih vizije so presplošne in površne. Člani Uradniškega sveta so zaznali tudi vse več primerov, ko </w:t>
      </w:r>
      <w:r w:rsidR="009770F4" w:rsidRPr="00B80AED">
        <w:rPr>
          <w:rFonts w:ascii="Arial" w:eastAsia="Times New Roman" w:hAnsi="Arial" w:cs="Times New Roman"/>
        </w:rPr>
        <w:t xml:space="preserve">je </w:t>
      </w:r>
      <w:r w:rsidR="00F96EE9" w:rsidRPr="00B80AED">
        <w:rPr>
          <w:rFonts w:ascii="Arial" w:eastAsia="Times New Roman" w:hAnsi="Arial" w:cs="Times New Roman"/>
        </w:rPr>
        <w:t>posebna natečajna komisija funkcionarju predlaga</w:t>
      </w:r>
      <w:r w:rsidR="00B80AED">
        <w:rPr>
          <w:rFonts w:ascii="Arial" w:eastAsia="Times New Roman" w:hAnsi="Arial" w:cs="Times New Roman"/>
        </w:rPr>
        <w:t>la</w:t>
      </w:r>
      <w:r w:rsidR="00F96EE9" w:rsidRPr="00B80AED">
        <w:rPr>
          <w:rFonts w:ascii="Arial" w:eastAsia="Times New Roman" w:hAnsi="Arial" w:cs="Times New Roman"/>
        </w:rPr>
        <w:t xml:space="preserve"> primerne kandidate, </w:t>
      </w:r>
      <w:r w:rsidR="005004F7">
        <w:rPr>
          <w:rFonts w:ascii="Arial" w:eastAsia="Times New Roman" w:hAnsi="Arial" w:cs="Times New Roman"/>
        </w:rPr>
        <w:t xml:space="preserve">a le-ta ni izbral nobenega izmed predlaganih kandidatov in ponovil postopek posebnega javnega natečaja. </w:t>
      </w:r>
    </w:p>
    <w:p w14:paraId="7D6C69B3" w14:textId="77777777" w:rsidR="00C86641" w:rsidRPr="00B80AED" w:rsidRDefault="00C86641" w:rsidP="00663EC0">
      <w:pPr>
        <w:suppressAutoHyphens/>
        <w:spacing w:after="0" w:line="276" w:lineRule="auto"/>
        <w:ind w:left="284"/>
        <w:jc w:val="both"/>
        <w:rPr>
          <w:rFonts w:ascii="Arial" w:eastAsia="Times New Roman" w:hAnsi="Arial" w:cs="Times New Roman"/>
        </w:rPr>
      </w:pPr>
    </w:p>
    <w:p w14:paraId="32AEC6EB" w14:textId="77777777" w:rsidR="00237A3C" w:rsidRDefault="00904B9D" w:rsidP="00663EC0">
      <w:pPr>
        <w:suppressAutoHyphens/>
        <w:spacing w:after="0" w:line="276" w:lineRule="auto"/>
        <w:ind w:left="284"/>
        <w:jc w:val="both"/>
        <w:rPr>
          <w:rFonts w:ascii="Arial" w:eastAsia="Times New Roman" w:hAnsi="Arial" w:cs="Times New Roman"/>
        </w:rPr>
      </w:pPr>
      <w:r w:rsidRPr="00B80AED">
        <w:rPr>
          <w:rFonts w:ascii="Arial" w:eastAsia="Times New Roman" w:hAnsi="Arial" w:cs="Times New Roman"/>
        </w:rPr>
        <w:t>V letu 2019 so člani Uradniškega sveta nadaljevali s procesom prenove Standardov strokovne usposobljenosti s poudarkom na določitvi vsebine testiranja vodstvenega potenciala kandidatov in umestitvi testiranja vodstvenega potenciala v sam postopek. Odločitev o uvedbi psihološkega testiranja vodstvenih sposobnosti je bila sprejeta z namenom, da se v izbirnem postopku da priložnost tudi kandidatom, ki imajo vodstveni potencial, nimajo pa vodstvenih izkušenj v skladu s sedaj veljavnimi Standardi strokovne usposobljenosti. Delovna skupina za prenovo Standardov strokovne usposobljenosti, v katero so bili imenovani dr. Janez Stare, mag. Saša Fajmut, Radivoj Uroševič, Rastko Rafael Kozlevčar in dr. Albin Igličar je pripravila izhodišč</w:t>
      </w:r>
      <w:r w:rsidR="005004F7">
        <w:rPr>
          <w:rFonts w:ascii="Arial" w:eastAsia="Times New Roman" w:hAnsi="Arial" w:cs="Times New Roman"/>
        </w:rPr>
        <w:t>a</w:t>
      </w:r>
      <w:r w:rsidRPr="00B80AED">
        <w:rPr>
          <w:rFonts w:ascii="Arial" w:eastAsia="Times New Roman" w:hAnsi="Arial" w:cs="Times New Roman"/>
        </w:rPr>
        <w:t xml:space="preserve"> za določitev kriterijev za psihološko testiranje</w:t>
      </w:r>
      <w:r w:rsidR="009770F4" w:rsidRPr="00B80AED">
        <w:rPr>
          <w:rFonts w:ascii="Arial" w:eastAsia="Times New Roman" w:hAnsi="Arial" w:cs="Times New Roman"/>
        </w:rPr>
        <w:t>, postopek umestitve testiranja v postopek posebnega javnega natečaja pa v letu 2019 še ni bil zaključen</w:t>
      </w:r>
      <w:r w:rsidR="0084624C">
        <w:rPr>
          <w:rFonts w:ascii="Arial" w:eastAsia="Times New Roman" w:hAnsi="Arial" w:cs="Times New Roman"/>
        </w:rPr>
        <w:t>.</w:t>
      </w:r>
    </w:p>
    <w:p w14:paraId="28272282" w14:textId="77777777" w:rsidR="00237A3C" w:rsidRDefault="00237A3C" w:rsidP="00663EC0">
      <w:pPr>
        <w:suppressAutoHyphens/>
        <w:spacing w:after="0" w:line="276" w:lineRule="auto"/>
        <w:ind w:left="284"/>
        <w:jc w:val="both"/>
        <w:rPr>
          <w:rFonts w:ascii="Arial" w:eastAsia="Times New Roman" w:hAnsi="Arial" w:cs="Times New Roman"/>
        </w:rPr>
      </w:pPr>
    </w:p>
    <w:p w14:paraId="431FED37" w14:textId="22CFB498" w:rsidR="009770F4" w:rsidRPr="00B80AED" w:rsidRDefault="00237A3C" w:rsidP="00663EC0">
      <w:pPr>
        <w:suppressAutoHyphens/>
        <w:spacing w:after="0" w:line="276" w:lineRule="auto"/>
        <w:ind w:left="284"/>
        <w:jc w:val="both"/>
        <w:rPr>
          <w:rFonts w:ascii="Arial" w:eastAsia="Times New Roman" w:hAnsi="Arial" w:cs="Times New Roman"/>
        </w:rPr>
      </w:pPr>
      <w:r w:rsidRPr="00D70B1A">
        <w:rPr>
          <w:rFonts w:ascii="Arial" w:eastAsia="Times New Roman" w:hAnsi="Arial" w:cs="Times New Roman"/>
        </w:rPr>
        <w:t xml:space="preserve">V letu 2019 se je zaključil projekt Vzpostavitve kompetenčnega modela v državni upravi, v okviru katerega </w:t>
      </w:r>
      <w:r w:rsidRPr="00D70B1A">
        <w:rPr>
          <w:rFonts w:ascii="Arial" w:eastAsia="Times New Roman" w:hAnsi="Arial" w:cs="Arial"/>
        </w:rPr>
        <w:t>so bile med drugim prepoznane tudi vodstvene kompetence</w:t>
      </w:r>
      <w:r w:rsidR="00B81EF1" w:rsidRPr="00D70B1A">
        <w:rPr>
          <w:rFonts w:ascii="Arial" w:eastAsia="Times New Roman" w:hAnsi="Arial" w:cs="Arial"/>
        </w:rPr>
        <w:t xml:space="preserve"> za položajna delovna mesta</w:t>
      </w:r>
      <w:r w:rsidRPr="00D70B1A">
        <w:rPr>
          <w:rFonts w:ascii="Arial" w:eastAsia="Times New Roman" w:hAnsi="Arial" w:cs="Arial"/>
        </w:rPr>
        <w:t>.</w:t>
      </w:r>
      <w:r w:rsidRPr="00D70B1A">
        <w:rPr>
          <w:rFonts w:ascii="Arial" w:hAnsi="Arial" w:cs="Arial"/>
        </w:rPr>
        <w:t xml:space="preserve"> Ker </w:t>
      </w:r>
      <w:r w:rsidR="00B81EF1" w:rsidRPr="00D70B1A">
        <w:rPr>
          <w:rFonts w:ascii="Arial" w:hAnsi="Arial" w:cs="Arial"/>
        </w:rPr>
        <w:t xml:space="preserve">so za uspešno opravljanje položaja poleg formalne </w:t>
      </w:r>
      <w:r w:rsidRPr="00D70B1A">
        <w:rPr>
          <w:rFonts w:ascii="Arial" w:hAnsi="Arial" w:cs="Arial"/>
        </w:rPr>
        <w:t>izobrazbe in strokovne usposobljenosti pomembne tudi veščine, spretnosti, motivi, vrednote</w:t>
      </w:r>
      <w:r w:rsidR="00B81EF1" w:rsidRPr="00D70B1A">
        <w:rPr>
          <w:rFonts w:ascii="Arial" w:hAnsi="Arial" w:cs="Arial"/>
        </w:rPr>
        <w:t>, ipd.</w:t>
      </w:r>
      <w:r w:rsidR="00DA3D0B" w:rsidRPr="00D70B1A">
        <w:rPr>
          <w:rFonts w:ascii="Arial" w:hAnsi="Arial" w:cs="Arial"/>
        </w:rPr>
        <w:t>,</w:t>
      </w:r>
      <w:r w:rsidR="00B81EF1" w:rsidRPr="00D70B1A">
        <w:rPr>
          <w:rFonts w:ascii="Arial" w:hAnsi="Arial" w:cs="Arial"/>
        </w:rPr>
        <w:t xml:space="preserve"> je </w:t>
      </w:r>
      <w:r w:rsidR="00B81EF1" w:rsidRPr="00D70B1A">
        <w:rPr>
          <w:rFonts w:ascii="Arial" w:hAnsi="Arial" w:cs="Arial"/>
        </w:rPr>
        <w:lastRenderedPageBreak/>
        <w:t xml:space="preserve">Uradniški svet pristopil k umestitvi presoje vodstvenih kompetenc v selekcijski postopek z dopolnitvijo Standardov strokovne usposobljenosti. </w:t>
      </w:r>
    </w:p>
    <w:p w14:paraId="3ADC341E" w14:textId="77777777" w:rsidR="009770F4" w:rsidRPr="00B80AED" w:rsidRDefault="009770F4" w:rsidP="00663EC0">
      <w:pPr>
        <w:suppressAutoHyphens/>
        <w:spacing w:after="0" w:line="276" w:lineRule="auto"/>
        <w:ind w:left="284"/>
        <w:jc w:val="both"/>
        <w:rPr>
          <w:rFonts w:ascii="Arial" w:eastAsia="Times New Roman" w:hAnsi="Arial" w:cs="Times New Roman"/>
        </w:rPr>
      </w:pPr>
    </w:p>
    <w:p w14:paraId="2CC83446" w14:textId="0F667BA7" w:rsidR="00276E57" w:rsidRPr="00B80AED" w:rsidRDefault="002356CF" w:rsidP="00663EC0">
      <w:pPr>
        <w:suppressAutoHyphens/>
        <w:spacing w:after="0" w:line="276" w:lineRule="auto"/>
        <w:ind w:left="284"/>
        <w:jc w:val="both"/>
        <w:rPr>
          <w:rFonts w:ascii="Arial" w:eastAsia="Times New Roman" w:hAnsi="Arial" w:cs="Times New Roman"/>
        </w:rPr>
      </w:pPr>
      <w:r w:rsidRPr="00B80AED">
        <w:rPr>
          <w:rFonts w:ascii="Arial" w:eastAsia="Times New Roman" w:hAnsi="Arial" w:cs="Arial"/>
        </w:rPr>
        <w:t xml:space="preserve">V skladu z določbo drugega odstavka 9. člena Zakona o integriteti in preprečevanju korupcije (Uradni list RS, </w:t>
      </w:r>
      <w:r w:rsidRPr="00B80AED">
        <w:rPr>
          <w:rFonts w:ascii="Arial" w:eastAsia="Times New Roman" w:hAnsi="Arial" w:cs="Times New Roman"/>
        </w:rPr>
        <w:t xml:space="preserve">št. </w:t>
      </w:r>
      <w:hyperlink r:id="rId8" w:tgtFrame="_blank" w:tooltip="Zakon o integriteti in preprečevanju korupcije (uradno prečiščeno besedilo)" w:history="1">
        <w:r w:rsidRPr="00B80AED">
          <w:rPr>
            <w:rFonts w:ascii="Arial" w:eastAsia="Times New Roman" w:hAnsi="Arial" w:cs="Times New Roman"/>
          </w:rPr>
          <w:t>69/11</w:t>
        </w:r>
      </w:hyperlink>
      <w:r w:rsidRPr="00B80AED">
        <w:rPr>
          <w:rFonts w:ascii="Arial" w:eastAsia="Times New Roman" w:hAnsi="Arial" w:cs="Times New Roman"/>
        </w:rPr>
        <w:t xml:space="preserve"> – uradno prečiščeno besedilo</w:t>
      </w:r>
      <w:r w:rsidRPr="00B80AED">
        <w:rPr>
          <w:rFonts w:ascii="Arial" w:eastAsia="Times New Roman" w:hAnsi="Arial" w:cs="Times New Roman"/>
          <w:sz w:val="20"/>
          <w:szCs w:val="24"/>
        </w:rPr>
        <w:t xml:space="preserve">) </w:t>
      </w:r>
      <w:r w:rsidRPr="00B80AED">
        <w:rPr>
          <w:rFonts w:ascii="Arial" w:eastAsia="Times New Roman" w:hAnsi="Arial" w:cs="Arial"/>
        </w:rPr>
        <w:t>je članica Uradniškega sveta, mag. Helena Kamnar sodelovala v postopku izbire primernih kandidatov za namestnika predsednika Komisije za preprečevanje korupcije</w:t>
      </w:r>
      <w:r w:rsidR="005004F7">
        <w:rPr>
          <w:rFonts w:ascii="Arial" w:eastAsia="Times New Roman" w:hAnsi="Arial" w:cs="Arial"/>
        </w:rPr>
        <w:t xml:space="preserve">, </w:t>
      </w:r>
      <w:r w:rsidR="00C572F6" w:rsidRPr="00B80AED">
        <w:rPr>
          <w:rFonts w:ascii="Arial" w:eastAsia="Times New Roman" w:hAnsi="Arial" w:cs="Arial"/>
        </w:rPr>
        <w:t>predsednik Uradniškega sveta, dr. Janez Stare</w:t>
      </w:r>
      <w:r w:rsidR="00276E57" w:rsidRPr="00B80AED">
        <w:rPr>
          <w:rFonts w:ascii="Arial" w:eastAsia="Times New Roman" w:hAnsi="Arial" w:cs="Times New Roman"/>
        </w:rPr>
        <w:t xml:space="preserve"> </w:t>
      </w:r>
      <w:r w:rsidR="005004F7">
        <w:rPr>
          <w:rFonts w:ascii="Arial" w:eastAsia="Times New Roman" w:hAnsi="Arial" w:cs="Times New Roman"/>
        </w:rPr>
        <w:t xml:space="preserve">pa </w:t>
      </w:r>
      <w:r w:rsidR="00276E57" w:rsidRPr="00B80AED">
        <w:rPr>
          <w:rFonts w:ascii="Arial" w:eastAsia="Times New Roman" w:hAnsi="Arial" w:cs="Times New Roman"/>
        </w:rPr>
        <w:t xml:space="preserve">kot </w:t>
      </w:r>
      <w:r w:rsidR="00276E57" w:rsidRPr="00B80AED">
        <w:rPr>
          <w:rFonts w:ascii="Arial" w:eastAsia="Times New Roman" w:hAnsi="Arial" w:cs="Arial"/>
        </w:rPr>
        <w:t xml:space="preserve">član izbirne komisije </w:t>
      </w:r>
      <w:r w:rsidR="00276E57" w:rsidRPr="00B80AED">
        <w:rPr>
          <w:rFonts w:ascii="Arial" w:eastAsia="Times New Roman" w:hAnsi="Arial" w:cs="Times New Roman"/>
        </w:rPr>
        <w:t xml:space="preserve">za izvedbo postopka izbire predsednika Komisije za preprečevanje korupcije. </w:t>
      </w:r>
    </w:p>
    <w:p w14:paraId="178A1EF3" w14:textId="77777777" w:rsidR="00276E57" w:rsidRPr="00B80AED" w:rsidRDefault="00276E57" w:rsidP="00663EC0">
      <w:pPr>
        <w:suppressAutoHyphens/>
        <w:spacing w:after="0" w:line="276" w:lineRule="auto"/>
        <w:ind w:left="284"/>
        <w:jc w:val="both"/>
        <w:rPr>
          <w:rFonts w:ascii="Arial" w:eastAsia="Times New Roman" w:hAnsi="Arial" w:cs="Times New Roman"/>
        </w:rPr>
      </w:pPr>
    </w:p>
    <w:p w14:paraId="015EDF4E" w14:textId="08007152" w:rsidR="006174E1" w:rsidRPr="00D70B1A" w:rsidRDefault="006174E1" w:rsidP="00663EC0">
      <w:pPr>
        <w:suppressAutoHyphens/>
        <w:spacing w:after="0" w:line="276" w:lineRule="auto"/>
        <w:ind w:left="284"/>
        <w:jc w:val="both"/>
        <w:rPr>
          <w:rFonts w:ascii="Arial" w:eastAsia="Times New Roman" w:hAnsi="Arial" w:cs="Times New Roman"/>
          <w:color w:val="000000" w:themeColor="text1"/>
        </w:rPr>
      </w:pPr>
      <w:r w:rsidRPr="00B80AED">
        <w:rPr>
          <w:rFonts w:ascii="Arial" w:eastAsia="Times New Roman" w:hAnsi="Arial" w:cs="Times New Roman"/>
        </w:rPr>
        <w:t xml:space="preserve">Uradniški svet je razpravljal tudi o spremembi višine sejnine za predsednika in člane posebnih </w:t>
      </w:r>
      <w:r w:rsidRPr="00D70B1A">
        <w:rPr>
          <w:rFonts w:ascii="Arial" w:eastAsia="Times New Roman" w:hAnsi="Arial" w:cs="Times New Roman"/>
          <w:color w:val="000000" w:themeColor="text1"/>
        </w:rPr>
        <w:t>natečajnih komisij, saj so zaradi nizkih sejnin zunanji strokovnjaki že zavračali sodelovanje v posebnih natečajnih komisij</w:t>
      </w:r>
      <w:r w:rsidR="00AA6E2B">
        <w:rPr>
          <w:rFonts w:ascii="Arial" w:eastAsia="Times New Roman" w:hAnsi="Arial" w:cs="Arial"/>
          <w:color w:val="000000" w:themeColor="text1"/>
        </w:rPr>
        <w:t>,</w:t>
      </w:r>
      <w:r w:rsidR="00663758" w:rsidRPr="00D70B1A">
        <w:rPr>
          <w:rFonts w:ascii="Arial" w:eastAsia="Times New Roman" w:hAnsi="Arial" w:cs="Arial"/>
          <w:color w:val="000000" w:themeColor="text1"/>
        </w:rPr>
        <w:t xml:space="preserve"> </w:t>
      </w:r>
      <w:r w:rsidR="00AA6E2B">
        <w:rPr>
          <w:rFonts w:ascii="Arial" w:hAnsi="Arial" w:cs="Arial"/>
          <w:color w:val="000000" w:themeColor="text1"/>
          <w:szCs w:val="20"/>
        </w:rPr>
        <w:t>z</w:t>
      </w:r>
      <w:r w:rsidR="00663758" w:rsidRPr="00D70B1A">
        <w:rPr>
          <w:rFonts w:ascii="Arial" w:hAnsi="Arial" w:cs="Arial"/>
          <w:color w:val="000000" w:themeColor="text1"/>
          <w:szCs w:val="20"/>
        </w:rPr>
        <w:t xml:space="preserve"> določbami </w:t>
      </w:r>
      <w:r w:rsidR="00663758" w:rsidRPr="00D70B1A">
        <w:rPr>
          <w:rFonts w:ascii="Arial" w:hAnsi="Arial" w:cs="Arial"/>
          <w:bCs/>
          <w:color w:val="000000" w:themeColor="text1"/>
          <w:szCs w:val="20"/>
          <w:shd w:val="clear" w:color="auto" w:fill="FFFFFF"/>
        </w:rPr>
        <w:t>Uredbe o postopku za zasedbo delovnega mesta v organih državne uprave in v pravosodnih organih</w:t>
      </w:r>
      <w:r w:rsidR="00824B39">
        <w:rPr>
          <w:rFonts w:ascii="Arial" w:hAnsi="Arial" w:cs="Arial"/>
          <w:bCs/>
          <w:color w:val="000000" w:themeColor="text1"/>
          <w:szCs w:val="20"/>
          <w:shd w:val="clear" w:color="auto" w:fill="FFFFFF"/>
        </w:rPr>
        <w:t xml:space="preserve"> pa</w:t>
      </w:r>
      <w:r w:rsidR="00663758" w:rsidRPr="00D70B1A" w:rsidDel="00663758">
        <w:rPr>
          <w:rFonts w:ascii="Arial" w:eastAsia="Times New Roman" w:hAnsi="Arial" w:cs="Times New Roman"/>
          <w:color w:val="000000" w:themeColor="text1"/>
        </w:rPr>
        <w:t xml:space="preserve"> </w:t>
      </w:r>
      <w:r w:rsidR="00663758" w:rsidRPr="00D70B1A">
        <w:rPr>
          <w:rFonts w:ascii="Arial" w:eastAsia="Times New Roman" w:hAnsi="Arial" w:cs="Times New Roman"/>
          <w:color w:val="000000" w:themeColor="text1"/>
        </w:rPr>
        <w:t xml:space="preserve">je bilo </w:t>
      </w:r>
      <w:r w:rsidR="00824B39">
        <w:rPr>
          <w:rFonts w:ascii="Arial" w:eastAsia="Times New Roman" w:hAnsi="Arial" w:cs="Times New Roman"/>
          <w:color w:val="000000" w:themeColor="text1"/>
        </w:rPr>
        <w:t>treba</w:t>
      </w:r>
      <w:r w:rsidR="00663758" w:rsidRPr="00D70B1A">
        <w:rPr>
          <w:rFonts w:ascii="Arial" w:eastAsia="Times New Roman" w:hAnsi="Arial" w:cs="Times New Roman"/>
          <w:color w:val="000000" w:themeColor="text1"/>
        </w:rPr>
        <w:t xml:space="preserve"> </w:t>
      </w:r>
      <w:r w:rsidR="00663758" w:rsidRPr="00D70B1A">
        <w:rPr>
          <w:rFonts w:ascii="Arial" w:eastAsia="Times New Roman" w:hAnsi="Arial" w:cs="Arial"/>
          <w:color w:val="000000" w:themeColor="text1"/>
        </w:rPr>
        <w:t>u</w:t>
      </w:r>
      <w:r w:rsidR="005004F7" w:rsidRPr="00D70B1A">
        <w:rPr>
          <w:rFonts w:ascii="Arial" w:eastAsia="Times New Roman" w:hAnsi="Arial" w:cs="Arial"/>
          <w:color w:val="000000" w:themeColor="text1"/>
        </w:rPr>
        <w:t>skladi</w:t>
      </w:r>
      <w:r w:rsidR="00663758" w:rsidRPr="00D70B1A">
        <w:rPr>
          <w:rFonts w:ascii="Arial" w:eastAsia="Times New Roman" w:hAnsi="Arial" w:cs="Arial"/>
          <w:color w:val="000000" w:themeColor="text1"/>
        </w:rPr>
        <w:t>ti</w:t>
      </w:r>
      <w:r w:rsidR="005004F7" w:rsidRPr="00D70B1A">
        <w:rPr>
          <w:rFonts w:ascii="Arial" w:eastAsia="Times New Roman" w:hAnsi="Arial" w:cs="Arial"/>
          <w:color w:val="000000" w:themeColor="text1"/>
        </w:rPr>
        <w:t xml:space="preserve"> štetj</w:t>
      </w:r>
      <w:r w:rsidR="00663758" w:rsidRPr="00D70B1A">
        <w:rPr>
          <w:rFonts w:ascii="Arial" w:eastAsia="Times New Roman" w:hAnsi="Arial" w:cs="Arial"/>
          <w:color w:val="000000" w:themeColor="text1"/>
        </w:rPr>
        <w:t>e</w:t>
      </w:r>
      <w:r w:rsidR="005004F7" w:rsidRPr="00D70B1A">
        <w:rPr>
          <w:rFonts w:ascii="Arial" w:eastAsia="Times New Roman" w:hAnsi="Arial" w:cs="Arial"/>
          <w:color w:val="000000" w:themeColor="text1"/>
        </w:rPr>
        <w:t xml:space="preserve"> rok</w:t>
      </w:r>
      <w:r w:rsidR="00663758" w:rsidRPr="00D70B1A">
        <w:rPr>
          <w:rFonts w:ascii="Arial" w:eastAsia="Times New Roman" w:hAnsi="Arial" w:cs="Arial"/>
          <w:color w:val="000000" w:themeColor="text1"/>
        </w:rPr>
        <w:t>a</w:t>
      </w:r>
      <w:r w:rsidR="005004F7" w:rsidRPr="00D70B1A">
        <w:rPr>
          <w:rFonts w:ascii="Arial" w:eastAsia="Times New Roman" w:hAnsi="Arial" w:cs="Arial"/>
          <w:color w:val="000000" w:themeColor="text1"/>
        </w:rPr>
        <w:t xml:space="preserve"> za prijavo </w:t>
      </w:r>
      <w:r w:rsidR="005004F7" w:rsidRPr="00D70B1A">
        <w:rPr>
          <w:rFonts w:ascii="Arial" w:hAnsi="Arial" w:cs="Arial"/>
          <w:color w:val="000000" w:themeColor="text1"/>
          <w:szCs w:val="20"/>
        </w:rPr>
        <w:t>v posebnih javnih natečajih</w:t>
      </w:r>
      <w:r w:rsidR="005004F7" w:rsidRPr="00D70B1A">
        <w:rPr>
          <w:rFonts w:ascii="Arial" w:hAnsi="Arial" w:cs="Arial"/>
          <w:bCs/>
          <w:color w:val="000000" w:themeColor="text1"/>
          <w:szCs w:val="20"/>
          <w:shd w:val="clear" w:color="auto" w:fill="FFFFFF"/>
        </w:rPr>
        <w:t>.</w:t>
      </w:r>
      <w:r w:rsidR="00663758" w:rsidRPr="00D70B1A">
        <w:rPr>
          <w:rFonts w:ascii="Arial" w:hAnsi="Arial" w:cs="Arial"/>
          <w:bCs/>
          <w:color w:val="000000" w:themeColor="text1"/>
          <w:szCs w:val="20"/>
          <w:shd w:val="clear" w:color="auto" w:fill="FFFFFF"/>
        </w:rPr>
        <w:t xml:space="preserve"> </w:t>
      </w:r>
      <w:r w:rsidR="009770F4" w:rsidRPr="00D70B1A">
        <w:rPr>
          <w:rFonts w:ascii="Arial" w:eastAsia="Times New Roman" w:hAnsi="Arial" w:cs="Times New Roman"/>
          <w:color w:val="000000" w:themeColor="text1"/>
        </w:rPr>
        <w:t>P</w:t>
      </w:r>
      <w:r w:rsidRPr="00D70B1A">
        <w:rPr>
          <w:rFonts w:ascii="Arial" w:eastAsia="Times New Roman" w:hAnsi="Arial" w:cs="Times New Roman"/>
          <w:color w:val="000000" w:themeColor="text1"/>
        </w:rPr>
        <w:t xml:space="preserve">osledično je </w:t>
      </w:r>
      <w:r w:rsidR="00B81EF1" w:rsidRPr="00D70B1A">
        <w:rPr>
          <w:rFonts w:ascii="Arial" w:eastAsia="Times New Roman" w:hAnsi="Arial" w:cs="Times New Roman"/>
          <w:color w:val="000000" w:themeColor="text1"/>
        </w:rPr>
        <w:t xml:space="preserve">Uradniški svet sprejel spremembo </w:t>
      </w:r>
      <w:r w:rsidRPr="00D70B1A">
        <w:rPr>
          <w:rFonts w:ascii="Arial" w:eastAsia="Times New Roman" w:hAnsi="Arial" w:cs="Times New Roman"/>
          <w:color w:val="000000" w:themeColor="text1"/>
        </w:rPr>
        <w:t>Poslovnika o delu posebnih natečajnih komisij</w:t>
      </w:r>
      <w:r w:rsidR="00824B39">
        <w:rPr>
          <w:rFonts w:ascii="Arial" w:eastAsia="Times New Roman" w:hAnsi="Arial" w:cs="Times New Roman"/>
          <w:color w:val="000000" w:themeColor="text1"/>
        </w:rPr>
        <w:t xml:space="preserve"> v delu, ki se nanaša na sejnine in štetje rokov.</w:t>
      </w:r>
    </w:p>
    <w:p w14:paraId="2FA9738D" w14:textId="77777777" w:rsidR="006174E1" w:rsidRPr="00D70B1A" w:rsidRDefault="006174E1" w:rsidP="00663EC0">
      <w:pPr>
        <w:suppressAutoHyphens/>
        <w:spacing w:after="0" w:line="276" w:lineRule="auto"/>
        <w:ind w:left="284"/>
        <w:jc w:val="both"/>
        <w:rPr>
          <w:rFonts w:ascii="Arial" w:eastAsia="Times New Roman" w:hAnsi="Arial" w:cs="Times New Roman"/>
          <w:color w:val="000000" w:themeColor="text1"/>
        </w:rPr>
      </w:pPr>
    </w:p>
    <w:p w14:paraId="12C2B541" w14:textId="77777777" w:rsidR="009520CE" w:rsidRPr="00B80AED" w:rsidRDefault="009520CE" w:rsidP="00663EC0">
      <w:pPr>
        <w:spacing w:after="0" w:line="276" w:lineRule="auto"/>
        <w:ind w:left="284"/>
        <w:jc w:val="both"/>
        <w:rPr>
          <w:rFonts w:ascii="Arial" w:eastAsia="Times New Roman" w:hAnsi="Arial" w:cs="Arial"/>
        </w:rPr>
      </w:pPr>
    </w:p>
    <w:p w14:paraId="4CA53C48" w14:textId="7F9913F6" w:rsidR="009770F4" w:rsidRPr="00B80AED" w:rsidRDefault="00CE3216" w:rsidP="00663EC0">
      <w:pPr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II. </w:t>
      </w:r>
      <w:r w:rsidR="009520CE" w:rsidRPr="00D70B1A">
        <w:rPr>
          <w:rFonts w:ascii="Arial" w:eastAsia="Calibri" w:hAnsi="Arial" w:cs="Arial"/>
          <w:b/>
        </w:rPr>
        <w:t>Vloga strokovne službe Ministrstva za javno upravo pri delu Uradniškega sveta in posebnih natečajnih komisij</w:t>
      </w:r>
    </w:p>
    <w:p w14:paraId="7A06716A" w14:textId="7BBCEB60" w:rsidR="009520CE" w:rsidRDefault="00F36EB4" w:rsidP="00663EC0">
      <w:pPr>
        <w:spacing w:after="0" w:line="276" w:lineRule="auto"/>
        <w:ind w:left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Strokovna služba Ministrstva za javno upravo </w:t>
      </w:r>
      <w:r w:rsidRPr="00B80AED">
        <w:rPr>
          <w:rFonts w:ascii="Arial" w:eastAsia="Times New Roman" w:hAnsi="Arial" w:cs="Arial"/>
        </w:rPr>
        <w:t>(v nadaljnjem besedilu: strokovna služba)</w:t>
      </w:r>
      <w:r>
        <w:rPr>
          <w:rFonts w:ascii="Arial" w:eastAsia="Times New Roman" w:hAnsi="Arial" w:cs="Arial"/>
        </w:rPr>
        <w:t xml:space="preserve"> v </w:t>
      </w:r>
      <w:r w:rsidR="009520CE" w:rsidRPr="00B80AED">
        <w:rPr>
          <w:rFonts w:ascii="Arial" w:eastAsia="Times New Roman" w:hAnsi="Arial" w:cs="Arial"/>
        </w:rPr>
        <w:t xml:space="preserve">skladu z določilom petega odstavka 178. člena ZJU </w:t>
      </w:r>
      <w:r>
        <w:rPr>
          <w:rFonts w:ascii="Arial" w:eastAsia="Times New Roman" w:hAnsi="Arial" w:cs="Arial"/>
        </w:rPr>
        <w:t>opravlja</w:t>
      </w:r>
      <w:r w:rsidRPr="00B80AED">
        <w:rPr>
          <w:rFonts w:ascii="Arial" w:eastAsia="Times New Roman" w:hAnsi="Arial" w:cs="Arial"/>
        </w:rPr>
        <w:t xml:space="preserve"> </w:t>
      </w:r>
      <w:r w:rsidR="009520CE" w:rsidRPr="00B80AED">
        <w:rPr>
          <w:rFonts w:ascii="Arial" w:eastAsia="Times New Roman" w:hAnsi="Arial" w:cs="Arial"/>
        </w:rPr>
        <w:t>strokovno-tehnična in administrativna opravila za Uradniški svet</w:t>
      </w:r>
      <w:r>
        <w:rPr>
          <w:rFonts w:ascii="Arial" w:eastAsia="Times New Roman" w:hAnsi="Arial" w:cs="Arial"/>
        </w:rPr>
        <w:t>.</w:t>
      </w:r>
      <w:r w:rsidR="0010334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Tako </w:t>
      </w:r>
      <w:r w:rsidR="00904B9D" w:rsidRPr="00B80AED">
        <w:rPr>
          <w:rFonts w:ascii="Arial" w:eastAsia="Times New Roman" w:hAnsi="Arial" w:cs="Arial"/>
        </w:rPr>
        <w:t>skrbi</w:t>
      </w:r>
      <w:r w:rsidR="009520CE" w:rsidRPr="00B80AED">
        <w:rPr>
          <w:rFonts w:ascii="Arial" w:eastAsia="Times New Roman" w:hAnsi="Arial" w:cs="Arial"/>
        </w:rPr>
        <w:t xml:space="preserve"> za pripravo predlogov dnevnega reda, gradiv za obravnavo, vabil, zapisnikov, zahtevkov za izplačilo sejnin</w:t>
      </w:r>
      <w:r>
        <w:rPr>
          <w:rFonts w:ascii="Arial" w:eastAsia="Times New Roman" w:hAnsi="Arial" w:cs="Arial"/>
        </w:rPr>
        <w:t xml:space="preserve">, </w:t>
      </w:r>
      <w:r w:rsidR="009520CE" w:rsidRPr="00B80AED">
        <w:rPr>
          <w:rFonts w:ascii="Arial" w:eastAsia="Times New Roman" w:hAnsi="Arial" w:cs="Arial"/>
        </w:rPr>
        <w:t>realizacijo sklepov</w:t>
      </w:r>
      <w:r>
        <w:rPr>
          <w:rFonts w:ascii="Arial" w:eastAsia="Times New Roman" w:hAnsi="Arial" w:cs="Arial"/>
        </w:rPr>
        <w:t xml:space="preserve"> in vodi statistiko</w:t>
      </w:r>
      <w:r w:rsidR="009520CE" w:rsidRPr="00B80AED">
        <w:rPr>
          <w:rFonts w:ascii="Arial" w:eastAsia="Times New Roman" w:hAnsi="Arial" w:cs="Arial"/>
        </w:rPr>
        <w:t>. Ob navedenem strokovna služba skrb</w:t>
      </w:r>
      <w:r w:rsidR="00904B9D" w:rsidRPr="00B80AED">
        <w:rPr>
          <w:rFonts w:ascii="Arial" w:eastAsia="Times New Roman" w:hAnsi="Arial" w:cs="Arial"/>
        </w:rPr>
        <w:t>i</w:t>
      </w:r>
      <w:r w:rsidR="009520CE" w:rsidRPr="00B80AED">
        <w:rPr>
          <w:rFonts w:ascii="Arial" w:eastAsia="Times New Roman" w:hAnsi="Arial" w:cs="Arial"/>
        </w:rPr>
        <w:t xml:space="preserve"> tudi za strokovno-tehnično in administrativno podporo posebnim natečajnim komisijam, in sicer z zbiranjem prijav kandidatov, datumskim usklajevanjem sej posebnih natečajnih komisij in vabljenjem kandidatov, s pripravo osnutkov sklepov o strokovni (ne)primernosti prijavljenih kandidatov ter s posredovanjem seznamov primernih kandidatov z vsemi potrebnimi prilogami. </w:t>
      </w:r>
    </w:p>
    <w:p w14:paraId="6439F8D9" w14:textId="77777777" w:rsidR="00B80AED" w:rsidRDefault="00B80AED" w:rsidP="00663EC0">
      <w:pPr>
        <w:spacing w:after="0" w:line="276" w:lineRule="auto"/>
        <w:ind w:left="284"/>
        <w:jc w:val="both"/>
        <w:rPr>
          <w:rFonts w:ascii="Arial" w:eastAsia="Times New Roman" w:hAnsi="Arial" w:cs="Arial"/>
        </w:rPr>
      </w:pPr>
    </w:p>
    <w:p w14:paraId="08CAF51D" w14:textId="4A0F5A9E" w:rsidR="00795CAF" w:rsidRDefault="00B80AED" w:rsidP="00663EC0">
      <w:pPr>
        <w:spacing w:after="0" w:line="276" w:lineRule="auto"/>
        <w:ind w:left="284"/>
        <w:jc w:val="both"/>
        <w:rPr>
          <w:rFonts w:ascii="Arial" w:eastAsia="Times New Roman" w:hAnsi="Arial" w:cs="Arial"/>
        </w:rPr>
      </w:pPr>
      <w:r w:rsidRPr="00D70B1A">
        <w:rPr>
          <w:rFonts w:ascii="Arial" w:eastAsia="Times New Roman" w:hAnsi="Arial" w:cs="Arial"/>
          <w:color w:val="000000" w:themeColor="text1"/>
        </w:rPr>
        <w:t>Strokovna služba je pripravila</w:t>
      </w:r>
      <w:r w:rsidR="00B81EF1" w:rsidRPr="00D70B1A">
        <w:rPr>
          <w:rFonts w:ascii="Arial" w:eastAsia="Times New Roman" w:hAnsi="Arial" w:cs="Arial"/>
          <w:color w:val="000000" w:themeColor="text1"/>
        </w:rPr>
        <w:t xml:space="preserve"> tudi</w:t>
      </w:r>
      <w:r w:rsidRPr="00D70B1A">
        <w:rPr>
          <w:rFonts w:ascii="Arial" w:eastAsia="Times New Roman" w:hAnsi="Arial" w:cs="Arial"/>
          <w:color w:val="000000" w:themeColor="text1"/>
        </w:rPr>
        <w:t xml:space="preserve"> </w:t>
      </w:r>
      <w:r w:rsidR="00B81EF1" w:rsidRPr="00D70B1A">
        <w:rPr>
          <w:rFonts w:ascii="Arial" w:eastAsia="Times New Roman" w:hAnsi="Arial" w:cs="Arial"/>
          <w:color w:val="000000" w:themeColor="text1"/>
        </w:rPr>
        <w:t xml:space="preserve">vsa potrebna gradiva za obravnavo ter sprejem </w:t>
      </w:r>
      <w:r w:rsidRPr="00D70B1A">
        <w:rPr>
          <w:rFonts w:ascii="Arial" w:eastAsia="Times New Roman" w:hAnsi="Arial" w:cs="Arial"/>
          <w:color w:val="000000" w:themeColor="text1"/>
        </w:rPr>
        <w:t>sprememb Poslovnika o delu posebnih natečajnih komisij</w:t>
      </w:r>
      <w:r w:rsidR="005004F7" w:rsidRPr="00D70B1A">
        <w:rPr>
          <w:rFonts w:ascii="Arial" w:eastAsia="Times New Roman" w:hAnsi="Arial" w:cs="Arial"/>
          <w:color w:val="000000" w:themeColor="text1"/>
        </w:rPr>
        <w:t>.</w:t>
      </w:r>
      <w:r w:rsidRPr="00D70B1A">
        <w:rPr>
          <w:rFonts w:ascii="Arial" w:hAnsi="Arial" w:cs="Arial"/>
          <w:bCs/>
          <w:color w:val="000000" w:themeColor="text1"/>
          <w:szCs w:val="20"/>
          <w:shd w:val="clear" w:color="auto" w:fill="FFFFFF"/>
        </w:rPr>
        <w:t xml:space="preserve"> </w:t>
      </w:r>
      <w:r w:rsidR="00663758" w:rsidRPr="00D70B1A">
        <w:rPr>
          <w:rFonts w:ascii="Arial" w:eastAsia="Times New Roman" w:hAnsi="Arial" w:cs="Arial"/>
          <w:color w:val="000000" w:themeColor="text1"/>
        </w:rPr>
        <w:t xml:space="preserve">V štirih upravnih </w:t>
      </w:r>
      <w:r w:rsidR="00663758">
        <w:rPr>
          <w:rFonts w:ascii="Arial" w:eastAsia="Times New Roman" w:hAnsi="Arial" w:cs="Arial"/>
        </w:rPr>
        <w:t>sporih je pripravila odgovore na tožbe</w:t>
      </w:r>
      <w:r w:rsidR="00F36EB4">
        <w:rPr>
          <w:rFonts w:ascii="Arial" w:eastAsia="Times New Roman" w:hAnsi="Arial" w:cs="Arial"/>
        </w:rPr>
        <w:t xml:space="preserve"> ter </w:t>
      </w:r>
      <w:r w:rsidR="00F36EB4" w:rsidRPr="00D70B1A">
        <w:rPr>
          <w:rFonts w:ascii="Arial" w:eastAsia="Times New Roman" w:hAnsi="Arial" w:cs="Arial"/>
        </w:rPr>
        <w:t>pripravljalne vloge</w:t>
      </w:r>
      <w:r w:rsidR="00663758" w:rsidRPr="00D70B1A">
        <w:rPr>
          <w:rFonts w:ascii="Arial" w:eastAsia="Times New Roman" w:hAnsi="Arial" w:cs="Arial"/>
        </w:rPr>
        <w:t xml:space="preserve">. </w:t>
      </w:r>
      <w:r w:rsidR="00A831A8" w:rsidRPr="00D70B1A">
        <w:rPr>
          <w:rFonts w:ascii="Arial" w:eastAsia="Times New Roman" w:hAnsi="Arial" w:cs="Arial"/>
        </w:rPr>
        <w:t xml:space="preserve">V zvezi s postopki </w:t>
      </w:r>
      <w:r w:rsidR="00795CAF" w:rsidRPr="00D70B1A">
        <w:rPr>
          <w:rFonts w:ascii="Arial" w:eastAsia="Times New Roman" w:hAnsi="Arial" w:cs="Arial"/>
        </w:rPr>
        <w:t>izbire generalnega direktorja Agencije Republike Slovenije za okolje in generalnega direktorja A</w:t>
      </w:r>
      <w:r w:rsidR="00C40E98" w:rsidRPr="00D70B1A">
        <w:rPr>
          <w:rFonts w:ascii="Arial" w:eastAsia="Times New Roman" w:hAnsi="Arial" w:cs="Arial"/>
        </w:rPr>
        <w:t xml:space="preserve">gencije </w:t>
      </w:r>
      <w:r w:rsidR="00C40E98" w:rsidRPr="00D70B1A">
        <w:rPr>
          <w:rFonts w:ascii="Arial" w:hAnsi="Arial" w:cs="Arial"/>
        </w:rPr>
        <w:t xml:space="preserve">za komunikacijska omrežja in storitve Republike Slovenije </w:t>
      </w:r>
      <w:r w:rsidR="00A831A8" w:rsidRPr="00D70B1A">
        <w:rPr>
          <w:rFonts w:ascii="Arial" w:eastAsia="Times New Roman" w:hAnsi="Arial" w:cs="Arial"/>
        </w:rPr>
        <w:t xml:space="preserve">pa je pripravila tudi pojasnila </w:t>
      </w:r>
      <w:r w:rsidR="00795CAF" w:rsidRPr="00D70B1A">
        <w:rPr>
          <w:rFonts w:ascii="Arial" w:eastAsia="Times New Roman" w:hAnsi="Arial" w:cs="Arial"/>
        </w:rPr>
        <w:t>za potrebe postop</w:t>
      </w:r>
      <w:r w:rsidR="00C40E98" w:rsidRPr="00D70B1A">
        <w:rPr>
          <w:rFonts w:ascii="Arial" w:eastAsia="Times New Roman" w:hAnsi="Arial" w:cs="Arial"/>
        </w:rPr>
        <w:t>kov</w:t>
      </w:r>
      <w:r w:rsidR="00795CAF" w:rsidRPr="00D70B1A">
        <w:rPr>
          <w:rFonts w:ascii="Arial" w:eastAsia="Times New Roman" w:hAnsi="Arial" w:cs="Arial"/>
        </w:rPr>
        <w:t xml:space="preserve"> Komisije za preprečevanje korupcije.</w:t>
      </w:r>
    </w:p>
    <w:p w14:paraId="39526140" w14:textId="77777777" w:rsidR="00A831A8" w:rsidRPr="00B80AED" w:rsidRDefault="00A831A8" w:rsidP="00663EC0">
      <w:pPr>
        <w:spacing w:after="0" w:line="276" w:lineRule="auto"/>
        <w:ind w:left="284"/>
        <w:jc w:val="both"/>
        <w:rPr>
          <w:rFonts w:ascii="Arial" w:eastAsia="Times New Roman" w:hAnsi="Arial" w:cs="Arial"/>
        </w:rPr>
      </w:pPr>
    </w:p>
    <w:p w14:paraId="24A38056" w14:textId="3A917744" w:rsidR="0059021B" w:rsidRDefault="009520CE" w:rsidP="00663EC0">
      <w:pPr>
        <w:spacing w:after="0" w:line="276" w:lineRule="auto"/>
        <w:ind w:left="284"/>
        <w:jc w:val="both"/>
        <w:rPr>
          <w:rFonts w:ascii="Arial" w:eastAsia="Calibri" w:hAnsi="Arial" w:cs="Arial"/>
          <w:b/>
        </w:rPr>
      </w:pPr>
      <w:r w:rsidRPr="00B80AED">
        <w:rPr>
          <w:rFonts w:ascii="Arial" w:eastAsia="Times New Roman" w:hAnsi="Arial" w:cs="Arial"/>
        </w:rPr>
        <w:t>Za potrebe obveščanja javnosti o delu Uradniškega sveta in njegovih posebnih natečajnih komisij je strokovna služba v sodelovanju s Službo za odnose z javnostmi v Ministrstvu za javno upravo pripravljala odgovore na novinarska vprašanja o poteku posebnih natečajnih postopkov, urejala pa je tudi spletno stran Uradniškega sveta</w:t>
      </w:r>
      <w:r w:rsidR="00B80AED">
        <w:rPr>
          <w:rFonts w:ascii="Arial" w:eastAsia="Times New Roman" w:hAnsi="Arial" w:cs="Arial"/>
        </w:rPr>
        <w:t>, ki je bila v okviru projekta</w:t>
      </w:r>
      <w:r w:rsidR="00F36EB4" w:rsidRPr="00F36EB4">
        <w:t xml:space="preserve"> </w:t>
      </w:r>
      <w:r w:rsidR="00F36EB4" w:rsidRPr="00D70B1A">
        <w:rPr>
          <w:rFonts w:ascii="Arial" w:hAnsi="Arial" w:cs="Arial"/>
        </w:rPr>
        <w:t>Prenove in optimizacije spletnih mest</w:t>
      </w:r>
      <w:r w:rsidR="00B80AED">
        <w:rPr>
          <w:rFonts w:ascii="Arial" w:eastAsia="Times New Roman" w:hAnsi="Arial" w:cs="Arial"/>
        </w:rPr>
        <w:t xml:space="preserve"> tudi prenovljena.</w:t>
      </w:r>
      <w:r w:rsidR="0059021B">
        <w:rPr>
          <w:rFonts w:ascii="Arial" w:eastAsia="Calibri" w:hAnsi="Arial" w:cs="Arial"/>
          <w:b/>
        </w:rPr>
        <w:t xml:space="preserve"> </w:t>
      </w:r>
    </w:p>
    <w:p w14:paraId="5797F8B6" w14:textId="77777777" w:rsidR="0025147E" w:rsidRDefault="0025147E" w:rsidP="0025147E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14:paraId="20574625" w14:textId="13023AD7" w:rsidR="009520CE" w:rsidRPr="00663EC0" w:rsidRDefault="00AC1544" w:rsidP="0025147E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Calibri" w:hAnsi="Arial" w:cs="Arial"/>
          <w:b/>
        </w:rPr>
        <w:t xml:space="preserve">III. </w:t>
      </w:r>
      <w:r w:rsidR="009520CE" w:rsidRPr="00916160">
        <w:rPr>
          <w:rFonts w:ascii="Arial" w:eastAsia="Calibri" w:hAnsi="Arial" w:cs="Arial"/>
          <w:b/>
        </w:rPr>
        <w:t>Statistični podatki</w:t>
      </w:r>
    </w:p>
    <w:p w14:paraId="4F2AC857" w14:textId="77777777" w:rsidR="009520CE" w:rsidRPr="00B80AED" w:rsidRDefault="009520CE" w:rsidP="00663EC0">
      <w:pPr>
        <w:pStyle w:val="Odstavekseznama"/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Calibri" w:hAnsi="Arial" w:cs="Arial"/>
          <w:b/>
        </w:rPr>
      </w:pPr>
    </w:p>
    <w:p w14:paraId="4300345E" w14:textId="3E8740CD" w:rsidR="0015761D" w:rsidRPr="00B80AED" w:rsidRDefault="008E3B0F" w:rsidP="00663EC0">
      <w:pPr>
        <w:suppressAutoHyphens/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B80AED">
        <w:rPr>
          <w:rFonts w:ascii="Arial" w:eastAsia="Times New Roman" w:hAnsi="Arial" w:cs="Times New Roman"/>
        </w:rPr>
        <w:lastRenderedPageBreak/>
        <w:t xml:space="preserve">V letu 2019 se je Uradniški svet sestal na 10 rednih sejah in </w:t>
      </w:r>
      <w:r w:rsidR="004F6AF7" w:rsidRPr="00B80AED">
        <w:rPr>
          <w:rFonts w:ascii="Arial" w:eastAsia="Times New Roman" w:hAnsi="Arial" w:cs="Times New Roman"/>
        </w:rPr>
        <w:t>1</w:t>
      </w:r>
      <w:r w:rsidRPr="00B80AED">
        <w:rPr>
          <w:rFonts w:ascii="Arial" w:eastAsia="Times New Roman" w:hAnsi="Arial" w:cs="Times New Roman"/>
        </w:rPr>
        <w:t xml:space="preserve"> dopisni seji</w:t>
      </w:r>
      <w:r w:rsidR="00822C36" w:rsidRPr="00B80AED">
        <w:rPr>
          <w:rFonts w:ascii="Arial" w:eastAsia="Times New Roman" w:hAnsi="Arial" w:cs="Times New Roman"/>
        </w:rPr>
        <w:t>. Podanih je bilo</w:t>
      </w:r>
      <w:r w:rsidR="004F6AF7" w:rsidRPr="00B80AED">
        <w:rPr>
          <w:rFonts w:ascii="Arial" w:eastAsia="Times New Roman" w:hAnsi="Arial" w:cs="Times New Roman"/>
        </w:rPr>
        <w:t xml:space="preserve"> 6</w:t>
      </w:r>
      <w:r w:rsidR="00E51B20">
        <w:rPr>
          <w:rFonts w:ascii="Arial" w:eastAsia="Times New Roman" w:hAnsi="Arial" w:cs="Times New Roman"/>
        </w:rPr>
        <w:t>5</w:t>
      </w:r>
      <w:r w:rsidR="004F6AF7" w:rsidRPr="00B80AED">
        <w:rPr>
          <w:rFonts w:ascii="Arial" w:eastAsia="Times New Roman" w:hAnsi="Arial" w:cs="Times New Roman"/>
        </w:rPr>
        <w:t xml:space="preserve"> </w:t>
      </w:r>
      <w:r w:rsidR="00822C36" w:rsidRPr="00B80AED">
        <w:rPr>
          <w:rFonts w:ascii="Arial" w:eastAsia="Times New Roman" w:hAnsi="Arial" w:cs="Times New Roman"/>
        </w:rPr>
        <w:t>predlogov za začetek</w:t>
      </w:r>
      <w:r w:rsidR="00822C36" w:rsidRPr="00B80AED">
        <w:rPr>
          <w:rFonts w:ascii="Arial" w:eastAsia="Calibri" w:hAnsi="Arial" w:cs="Arial"/>
        </w:rPr>
        <w:t xml:space="preserve"> postopka posebnih javnih natečajev</w:t>
      </w:r>
      <w:r w:rsidR="004F6AF7" w:rsidRPr="00B80AED">
        <w:rPr>
          <w:rFonts w:ascii="Arial" w:eastAsia="Calibri" w:hAnsi="Arial" w:cs="Arial"/>
        </w:rPr>
        <w:t xml:space="preserve"> in imenovanih </w:t>
      </w:r>
      <w:r w:rsidR="0015761D">
        <w:rPr>
          <w:rFonts w:ascii="Arial" w:eastAsia="Calibri" w:hAnsi="Arial" w:cs="Arial"/>
        </w:rPr>
        <w:t>59</w:t>
      </w:r>
      <w:r w:rsidR="00822C36" w:rsidRPr="00B80AED">
        <w:rPr>
          <w:rFonts w:ascii="Arial" w:eastAsia="Calibri" w:hAnsi="Arial" w:cs="Arial"/>
        </w:rPr>
        <w:t xml:space="preserve"> </w:t>
      </w:r>
      <w:r w:rsidRPr="00B80AED">
        <w:rPr>
          <w:rFonts w:ascii="Arial" w:eastAsia="Times New Roman" w:hAnsi="Arial" w:cs="Times New Roman"/>
        </w:rPr>
        <w:t>posebnih natečajnih komisij</w:t>
      </w:r>
      <w:r w:rsidR="004F6AF7" w:rsidRPr="00B80AED">
        <w:rPr>
          <w:rFonts w:ascii="Arial" w:eastAsia="Times New Roman" w:hAnsi="Arial" w:cs="Times New Roman"/>
        </w:rPr>
        <w:t xml:space="preserve">, od tega je bilo </w:t>
      </w:r>
      <w:r w:rsidR="00663758">
        <w:rPr>
          <w:rFonts w:ascii="Arial" w:eastAsia="Times New Roman" w:hAnsi="Arial" w:cs="Times New Roman"/>
        </w:rPr>
        <w:t>11</w:t>
      </w:r>
      <w:r w:rsidR="004F6AF7" w:rsidRPr="00B80AED">
        <w:rPr>
          <w:rFonts w:ascii="Arial" w:eastAsia="Times New Roman" w:hAnsi="Arial" w:cs="Times New Roman"/>
        </w:rPr>
        <w:t xml:space="preserve"> ponovitev postopkov posebnih javnih natečajev. </w:t>
      </w:r>
      <w:r w:rsidR="009520CE" w:rsidRPr="00B80AED">
        <w:rPr>
          <w:rFonts w:ascii="Arial" w:eastAsia="Calibri" w:hAnsi="Arial" w:cs="Arial"/>
        </w:rPr>
        <w:t xml:space="preserve">Izvedenih je bilo </w:t>
      </w:r>
      <w:r w:rsidR="00CF1D69" w:rsidRPr="00B80AED">
        <w:rPr>
          <w:rFonts w:ascii="Arial" w:eastAsia="Calibri" w:hAnsi="Arial" w:cs="Arial"/>
        </w:rPr>
        <w:t>74 sej</w:t>
      </w:r>
      <w:r w:rsidR="009520CE" w:rsidRPr="00B80AED">
        <w:rPr>
          <w:rFonts w:ascii="Arial" w:eastAsia="Calibri" w:hAnsi="Arial" w:cs="Arial"/>
        </w:rPr>
        <w:t xml:space="preserve"> posebnih natečajnih komisij</w:t>
      </w:r>
      <w:r w:rsidR="0015761D">
        <w:rPr>
          <w:rFonts w:ascii="Arial" w:eastAsia="Calibri" w:hAnsi="Arial" w:cs="Arial"/>
        </w:rPr>
        <w:t>.</w:t>
      </w:r>
      <w:r w:rsidR="009520CE" w:rsidRPr="00B80AED">
        <w:rPr>
          <w:rFonts w:ascii="Arial" w:eastAsia="Calibri" w:hAnsi="Arial" w:cs="Arial"/>
        </w:rPr>
        <w:t xml:space="preserve"> </w:t>
      </w:r>
    </w:p>
    <w:p w14:paraId="79E5DE66" w14:textId="77777777" w:rsidR="00825B83" w:rsidRPr="00B80AED" w:rsidRDefault="00825B83" w:rsidP="00663EC0">
      <w:pPr>
        <w:suppressAutoHyphens/>
        <w:spacing w:after="0" w:line="276" w:lineRule="auto"/>
        <w:ind w:left="284"/>
        <w:jc w:val="both"/>
        <w:rPr>
          <w:rFonts w:ascii="Arial" w:eastAsia="Calibri" w:hAnsi="Arial" w:cs="Arial"/>
        </w:rPr>
      </w:pPr>
    </w:p>
    <w:p w14:paraId="2541739A" w14:textId="1B5710C4" w:rsidR="009520CE" w:rsidRPr="00B80AED" w:rsidRDefault="009520CE" w:rsidP="00186EB4">
      <w:pPr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Calibri" w:hAnsi="Arial" w:cs="Arial"/>
        </w:rPr>
      </w:pPr>
      <w:r w:rsidRPr="00B80AED">
        <w:rPr>
          <w:rFonts w:ascii="Arial" w:eastAsia="Calibri" w:hAnsi="Arial" w:cs="Arial"/>
        </w:rPr>
        <w:t xml:space="preserve">Iz statističnega prikaza, ki je priloga tega poročila o delu, izhaja, da se je na posebne javne </w:t>
      </w:r>
      <w:r w:rsidR="009440A7" w:rsidRPr="00B80AED">
        <w:rPr>
          <w:rFonts w:ascii="Arial" w:eastAsia="Calibri" w:hAnsi="Arial" w:cs="Arial"/>
        </w:rPr>
        <w:t>natečaje, objavljene v letu 2019</w:t>
      </w:r>
      <w:r w:rsidRPr="00B80AED">
        <w:rPr>
          <w:rFonts w:ascii="Arial" w:eastAsia="Calibri" w:hAnsi="Arial" w:cs="Arial"/>
        </w:rPr>
        <w:t>, prijavilo 1</w:t>
      </w:r>
      <w:r w:rsidR="00825B83" w:rsidRPr="00B80AED">
        <w:rPr>
          <w:rFonts w:ascii="Arial" w:eastAsia="Calibri" w:hAnsi="Arial" w:cs="Arial"/>
        </w:rPr>
        <w:t>83</w:t>
      </w:r>
      <w:r w:rsidRPr="00B80AED">
        <w:rPr>
          <w:rFonts w:ascii="Arial" w:eastAsia="Calibri" w:hAnsi="Arial" w:cs="Arial"/>
        </w:rPr>
        <w:t xml:space="preserve"> kandidatov, od tega </w:t>
      </w:r>
      <w:r w:rsidR="0015761D">
        <w:rPr>
          <w:rFonts w:ascii="Arial" w:eastAsia="Calibri" w:hAnsi="Arial" w:cs="Arial"/>
        </w:rPr>
        <w:t>37%</w:t>
      </w:r>
      <w:r w:rsidRPr="00B80AED">
        <w:rPr>
          <w:rFonts w:ascii="Arial" w:eastAsia="Calibri" w:hAnsi="Arial" w:cs="Arial"/>
        </w:rPr>
        <w:t xml:space="preserve"> žensk in </w:t>
      </w:r>
      <w:r w:rsidR="0015761D">
        <w:rPr>
          <w:rFonts w:ascii="Arial" w:eastAsia="Calibri" w:hAnsi="Arial" w:cs="Arial"/>
        </w:rPr>
        <w:t>63%</w:t>
      </w:r>
      <w:r w:rsidRPr="00B80AED">
        <w:rPr>
          <w:rFonts w:ascii="Arial" w:eastAsia="Calibri" w:hAnsi="Arial" w:cs="Arial"/>
        </w:rPr>
        <w:t xml:space="preserve"> moških. V izbirni postopek </w:t>
      </w:r>
      <w:r w:rsidR="003715AE" w:rsidRPr="00B80AED">
        <w:rPr>
          <w:rFonts w:ascii="Arial" w:eastAsia="Calibri" w:hAnsi="Arial" w:cs="Arial"/>
        </w:rPr>
        <w:t>je bilo uvrščenih 153</w:t>
      </w:r>
      <w:r w:rsidRPr="00B80AED">
        <w:rPr>
          <w:rFonts w:ascii="Arial" w:eastAsia="Calibri" w:hAnsi="Arial" w:cs="Arial"/>
        </w:rPr>
        <w:t xml:space="preserve"> kandidat</w:t>
      </w:r>
      <w:r w:rsidR="003715AE" w:rsidRPr="00B80AED">
        <w:rPr>
          <w:rFonts w:ascii="Arial" w:eastAsia="Calibri" w:hAnsi="Arial" w:cs="Arial"/>
        </w:rPr>
        <w:t>ov</w:t>
      </w:r>
      <w:r w:rsidR="00663758">
        <w:rPr>
          <w:rFonts w:ascii="Arial" w:eastAsia="Calibri" w:hAnsi="Arial" w:cs="Arial"/>
        </w:rPr>
        <w:t>,</w:t>
      </w:r>
      <w:r w:rsidRPr="00B80AED">
        <w:rPr>
          <w:rFonts w:ascii="Arial" w:eastAsia="Calibri" w:hAnsi="Arial" w:cs="Arial"/>
          <w:vertAlign w:val="superscript"/>
        </w:rPr>
        <w:footnoteReference w:id="1"/>
      </w:r>
      <w:r w:rsidR="003715AE" w:rsidRPr="00B80AED">
        <w:rPr>
          <w:rFonts w:ascii="Arial" w:eastAsia="Calibri" w:hAnsi="Arial" w:cs="Arial"/>
        </w:rPr>
        <w:t xml:space="preserve"> in sicer </w:t>
      </w:r>
      <w:r w:rsidR="0015761D">
        <w:rPr>
          <w:rFonts w:ascii="Arial" w:eastAsia="Calibri" w:hAnsi="Arial" w:cs="Arial"/>
        </w:rPr>
        <w:t>39% žensk in 61% moških.</w:t>
      </w:r>
      <w:r w:rsidRPr="00B80AED">
        <w:rPr>
          <w:rFonts w:ascii="Arial" w:eastAsia="Calibri" w:hAnsi="Arial" w:cs="Arial"/>
        </w:rPr>
        <w:t xml:space="preserve"> Od kandidatov, ki so bili uvrščen</w:t>
      </w:r>
      <w:r w:rsidR="003715AE" w:rsidRPr="00B80AED">
        <w:rPr>
          <w:rFonts w:ascii="Arial" w:eastAsia="Calibri" w:hAnsi="Arial" w:cs="Arial"/>
        </w:rPr>
        <w:t xml:space="preserve">i v izbirni postopek, </w:t>
      </w:r>
      <w:r w:rsidR="0015761D">
        <w:rPr>
          <w:rFonts w:ascii="Arial" w:eastAsia="Calibri" w:hAnsi="Arial" w:cs="Arial"/>
        </w:rPr>
        <w:t xml:space="preserve">jih </w:t>
      </w:r>
      <w:r w:rsidR="003715AE" w:rsidRPr="00B80AED">
        <w:rPr>
          <w:rFonts w:ascii="Arial" w:eastAsia="Calibri" w:hAnsi="Arial" w:cs="Arial"/>
        </w:rPr>
        <w:t xml:space="preserve">je bilo </w:t>
      </w:r>
      <w:r w:rsidR="00214D1D" w:rsidRPr="00B80AED">
        <w:rPr>
          <w:rFonts w:ascii="Arial" w:eastAsia="Calibri" w:hAnsi="Arial" w:cs="Arial"/>
        </w:rPr>
        <w:t xml:space="preserve">66 % </w:t>
      </w:r>
      <w:r w:rsidRPr="00B80AED">
        <w:rPr>
          <w:rFonts w:ascii="Arial" w:eastAsia="Calibri" w:hAnsi="Arial" w:cs="Arial"/>
        </w:rPr>
        <w:t>ocenjenih kot primernih za položajna delovna mesta, za katero so kandidirali</w:t>
      </w:r>
      <w:r w:rsidR="0015761D">
        <w:rPr>
          <w:rFonts w:ascii="Arial" w:eastAsia="Calibri" w:hAnsi="Arial" w:cs="Arial"/>
        </w:rPr>
        <w:t xml:space="preserve">. </w:t>
      </w:r>
      <w:r w:rsidRPr="00B80AED">
        <w:rPr>
          <w:rFonts w:ascii="Arial" w:eastAsia="Calibri" w:hAnsi="Arial" w:cs="Arial"/>
        </w:rPr>
        <w:t>Med kandidati, ki so bili ocen</w:t>
      </w:r>
      <w:r w:rsidR="000054B1" w:rsidRPr="00B80AED">
        <w:rPr>
          <w:rFonts w:ascii="Arial" w:eastAsia="Calibri" w:hAnsi="Arial" w:cs="Arial"/>
        </w:rPr>
        <w:t>jeni kot primerni,</w:t>
      </w:r>
      <w:r w:rsidR="00663758">
        <w:rPr>
          <w:rFonts w:ascii="Arial" w:eastAsia="Calibri" w:hAnsi="Arial" w:cs="Arial"/>
        </w:rPr>
        <w:t xml:space="preserve"> </w:t>
      </w:r>
      <w:r w:rsidR="000054B1" w:rsidRPr="00B80AED">
        <w:rPr>
          <w:rFonts w:ascii="Arial" w:eastAsia="Calibri" w:hAnsi="Arial" w:cs="Arial"/>
        </w:rPr>
        <w:t xml:space="preserve">je bilo </w:t>
      </w:r>
      <w:r w:rsidR="0015761D">
        <w:rPr>
          <w:rFonts w:ascii="Arial" w:eastAsia="Calibri" w:hAnsi="Arial" w:cs="Arial"/>
        </w:rPr>
        <w:t>42% žensk in 58% moških.</w:t>
      </w:r>
    </w:p>
    <w:p w14:paraId="280A1EB9" w14:textId="77777777" w:rsidR="009520CE" w:rsidRPr="00B80AED" w:rsidRDefault="009520CE" w:rsidP="00663EC0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</w:rPr>
      </w:pPr>
    </w:p>
    <w:p w14:paraId="719ACF85" w14:textId="0B57E739" w:rsidR="00186EB4" w:rsidRDefault="00362C56" w:rsidP="00663EC0">
      <w:pPr>
        <w:tabs>
          <w:tab w:val="left" w:pos="3402"/>
        </w:tabs>
        <w:spacing w:after="0" w:line="276" w:lineRule="auto"/>
        <w:ind w:left="284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Rastko Rafael KOZLEVČAR</w:t>
      </w:r>
    </w:p>
    <w:p w14:paraId="5549BC8C" w14:textId="08D31BFB" w:rsidR="0059021B" w:rsidRDefault="00663EC0" w:rsidP="0059021B">
      <w:pPr>
        <w:tabs>
          <w:tab w:val="left" w:pos="3402"/>
        </w:tabs>
        <w:spacing w:after="0" w:line="276" w:lineRule="auto"/>
        <w:ind w:left="284"/>
        <w:jc w:val="center"/>
        <w:rPr>
          <w:rFonts w:ascii="Arial" w:eastAsia="Times New Roman" w:hAnsi="Arial" w:cs="Arial"/>
          <w:b/>
        </w:rPr>
      </w:pPr>
      <w:r w:rsidRPr="00B80AED">
        <w:rPr>
          <w:rFonts w:ascii="Arial" w:eastAsia="Times New Roman" w:hAnsi="Arial" w:cs="Arial"/>
        </w:rPr>
        <w:t>PREDSEDNIK URADNIŠKEGA</w:t>
      </w:r>
      <w:r w:rsidR="00186EB4">
        <w:rPr>
          <w:rFonts w:ascii="Arial" w:eastAsia="Times New Roman" w:hAnsi="Arial" w:cs="Arial"/>
        </w:rPr>
        <w:t xml:space="preserve"> SVETA</w:t>
      </w:r>
    </w:p>
    <w:p w14:paraId="17CB83A5" w14:textId="77777777" w:rsidR="0025479D" w:rsidRDefault="0025479D" w:rsidP="00663EC0">
      <w:pPr>
        <w:spacing w:after="0" w:line="276" w:lineRule="auto"/>
        <w:ind w:left="284"/>
        <w:jc w:val="both"/>
        <w:rPr>
          <w:rFonts w:ascii="Arial" w:eastAsia="Times New Roman" w:hAnsi="Arial" w:cs="Arial"/>
          <w:b/>
        </w:rPr>
      </w:pPr>
    </w:p>
    <w:p w14:paraId="6FECD6B5" w14:textId="224DA54F" w:rsidR="009520CE" w:rsidRPr="00B80AED" w:rsidRDefault="009520CE" w:rsidP="00663EC0">
      <w:pPr>
        <w:spacing w:after="0" w:line="276" w:lineRule="auto"/>
        <w:ind w:left="284"/>
        <w:jc w:val="both"/>
        <w:rPr>
          <w:rFonts w:ascii="Arial" w:eastAsia="Times New Roman" w:hAnsi="Arial" w:cs="Arial"/>
          <w:b/>
        </w:rPr>
      </w:pPr>
      <w:r w:rsidRPr="00B80AED">
        <w:rPr>
          <w:rFonts w:ascii="Arial" w:eastAsia="Times New Roman" w:hAnsi="Arial" w:cs="Arial"/>
          <w:b/>
        </w:rPr>
        <w:t>PRILOGA:</w:t>
      </w:r>
    </w:p>
    <w:p w14:paraId="50EDE8CC" w14:textId="77777777" w:rsidR="00663EC0" w:rsidRDefault="009520CE" w:rsidP="00663EC0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</w:rPr>
      </w:pPr>
      <w:r w:rsidRPr="00B80AED">
        <w:rPr>
          <w:rFonts w:ascii="Arial" w:eastAsia="Times New Roman" w:hAnsi="Arial" w:cs="Arial"/>
        </w:rPr>
        <w:t xml:space="preserve">- Statistični prikaz prijavljenih kandidatov na posebne javne natečaje v letu </w:t>
      </w:r>
      <w:r w:rsidR="008F3B2A" w:rsidRPr="00B80AED">
        <w:rPr>
          <w:rFonts w:ascii="Arial" w:eastAsia="Times New Roman" w:hAnsi="Arial" w:cs="Arial"/>
        </w:rPr>
        <w:t>2019</w:t>
      </w:r>
    </w:p>
    <w:p w14:paraId="07E91181" w14:textId="77777777" w:rsidR="0025479D" w:rsidRDefault="0025479D" w:rsidP="0025479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</w:rPr>
      </w:pPr>
    </w:p>
    <w:p w14:paraId="2C6428B2" w14:textId="77777777" w:rsidR="0025479D" w:rsidRDefault="0025479D" w:rsidP="0025479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</w:rPr>
      </w:pPr>
    </w:p>
    <w:p w14:paraId="44F9F656" w14:textId="13512E26" w:rsidR="009520CE" w:rsidRPr="00824B39" w:rsidRDefault="009520CE" w:rsidP="0025479D">
      <w:pPr>
        <w:suppressAutoHyphens/>
        <w:spacing w:after="0" w:line="276" w:lineRule="auto"/>
        <w:jc w:val="both"/>
        <w:rPr>
          <w:rFonts w:ascii="Arial" w:eastAsia="Times New Roman" w:hAnsi="Arial" w:cs="Arial"/>
        </w:rPr>
      </w:pPr>
      <w:r w:rsidRPr="00B80AED">
        <w:rPr>
          <w:rFonts w:ascii="Arial" w:eastAsia="Times New Roman" w:hAnsi="Arial" w:cs="Arial"/>
          <w:b/>
        </w:rPr>
        <w:t>PRILOGA – STATISTIČNI PRIKAZ</w:t>
      </w:r>
      <w:r w:rsidR="008F3B2A" w:rsidRPr="00B80AED">
        <w:rPr>
          <w:rFonts w:ascii="Arial" w:eastAsia="Times New Roman" w:hAnsi="Arial" w:cs="Arial"/>
          <w:b/>
        </w:rPr>
        <w:t xml:space="preserve"> PRIJAVLJENIH KANDIDATOV NA JAVN</w:t>
      </w:r>
      <w:r w:rsidRPr="00B80AED">
        <w:rPr>
          <w:rFonts w:ascii="Arial" w:eastAsia="Times New Roman" w:hAnsi="Arial" w:cs="Arial"/>
          <w:b/>
        </w:rPr>
        <w:t>E NATEČAJE V PRISTOJNOS</w:t>
      </w:r>
      <w:r w:rsidR="008F3B2A" w:rsidRPr="00B80AED">
        <w:rPr>
          <w:rFonts w:ascii="Arial" w:eastAsia="Times New Roman" w:hAnsi="Arial" w:cs="Arial"/>
          <w:b/>
        </w:rPr>
        <w:t>TI URADNIŠKEGA SVETA V LETU 2019</w:t>
      </w:r>
    </w:p>
    <w:p w14:paraId="69823A02" w14:textId="77777777" w:rsidR="00824B39" w:rsidRDefault="00824B39" w:rsidP="00663EC0">
      <w:pPr>
        <w:ind w:left="284"/>
        <w:jc w:val="both"/>
        <w:rPr>
          <w:rFonts w:ascii="Arial" w:hAnsi="Arial" w:cs="Arial"/>
        </w:rPr>
      </w:pPr>
    </w:p>
    <w:p w14:paraId="446C1072" w14:textId="71692375" w:rsidR="009520CE" w:rsidRPr="009A4F53" w:rsidRDefault="009520CE" w:rsidP="00663EC0">
      <w:pPr>
        <w:ind w:left="284"/>
        <w:jc w:val="both"/>
        <w:rPr>
          <w:rFonts w:ascii="Arial" w:hAnsi="Arial" w:cs="Arial"/>
        </w:rPr>
      </w:pPr>
      <w:r w:rsidRPr="009A4F53">
        <w:rPr>
          <w:rFonts w:ascii="Arial" w:hAnsi="Arial" w:cs="Arial"/>
        </w:rPr>
        <w:t xml:space="preserve">Na posebne javne </w:t>
      </w:r>
      <w:r w:rsidR="008F3B2A" w:rsidRPr="009A4F53">
        <w:rPr>
          <w:rFonts w:ascii="Arial" w:hAnsi="Arial" w:cs="Arial"/>
        </w:rPr>
        <w:t>natečaje, objavljene v letu 2019</w:t>
      </w:r>
      <w:r w:rsidRPr="009A4F53">
        <w:rPr>
          <w:rFonts w:ascii="Arial" w:hAnsi="Arial" w:cs="Arial"/>
        </w:rPr>
        <w:t xml:space="preserve"> se je skupno prijavilo </w:t>
      </w:r>
      <w:r w:rsidR="008F3B2A" w:rsidRPr="009A4F53">
        <w:rPr>
          <w:rFonts w:ascii="Arial" w:hAnsi="Arial" w:cs="Arial"/>
        </w:rPr>
        <w:t>183 kandidatov, od tega 68</w:t>
      </w:r>
      <w:r w:rsidRPr="009A4F53">
        <w:rPr>
          <w:rFonts w:ascii="Arial" w:hAnsi="Arial" w:cs="Arial"/>
        </w:rPr>
        <w:t xml:space="preserve"> žensk in </w:t>
      </w:r>
      <w:r w:rsidR="008F3B2A" w:rsidRPr="009A4F53">
        <w:rPr>
          <w:rFonts w:ascii="Arial" w:hAnsi="Arial" w:cs="Arial"/>
        </w:rPr>
        <w:t>115</w:t>
      </w:r>
      <w:r w:rsidRPr="009A4F53">
        <w:rPr>
          <w:rFonts w:ascii="Arial" w:hAnsi="Arial" w:cs="Arial"/>
        </w:rPr>
        <w:t xml:space="preserve"> moških. </w:t>
      </w:r>
    </w:p>
    <w:p w14:paraId="0388635C" w14:textId="285D4783" w:rsidR="00DC2D44" w:rsidRPr="00824B39" w:rsidRDefault="0015761D" w:rsidP="00663EC0">
      <w:pPr>
        <w:ind w:left="284"/>
        <w:rPr>
          <w:rFonts w:ascii="Garamond" w:hAnsi="Garamond"/>
        </w:rPr>
      </w:pPr>
      <w:r>
        <w:rPr>
          <w:noProof/>
        </w:rPr>
        <w:drawing>
          <wp:inline distT="0" distB="0" distL="0" distR="0" wp14:anchorId="6C4BD028" wp14:editId="67B763EC">
            <wp:extent cx="5676900" cy="3352800"/>
            <wp:effectExtent l="0" t="0" r="9525" b="0"/>
            <wp:docPr id="1" name="Grafikon 1" descr="Prijavljenih 63% moških in 37% žensk.&#10;">
              <a:extLst xmlns:a="http://schemas.openxmlformats.org/drawingml/2006/main">
                <a:ext uri="{FF2B5EF4-FFF2-40B4-BE49-F238E27FC236}">
                  <a16:creationId xmlns:a16="http://schemas.microsoft.com/office/drawing/2014/main" id="{0D8164A9-43E3-4BD0-B1C9-EE026B8D26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380ACE9" w14:textId="43F85E54" w:rsidR="009520CE" w:rsidRPr="00EB6525" w:rsidRDefault="009520CE" w:rsidP="00663EC0">
      <w:pPr>
        <w:ind w:left="284"/>
        <w:rPr>
          <w:rFonts w:ascii="Garamond" w:hAnsi="Garamond"/>
        </w:rPr>
      </w:pPr>
      <w:r w:rsidRPr="008B4CB3">
        <w:rPr>
          <w:rFonts w:ascii="Arial" w:hAnsi="Arial" w:cs="Arial"/>
        </w:rPr>
        <w:lastRenderedPageBreak/>
        <w:t>Od 1</w:t>
      </w:r>
      <w:r w:rsidR="0015761D" w:rsidRPr="008B4CB3">
        <w:rPr>
          <w:rFonts w:ascii="Arial" w:hAnsi="Arial" w:cs="Arial"/>
        </w:rPr>
        <w:t>83</w:t>
      </w:r>
      <w:r w:rsidRPr="008B4CB3">
        <w:rPr>
          <w:rFonts w:ascii="Arial" w:hAnsi="Arial" w:cs="Arial"/>
        </w:rPr>
        <w:t xml:space="preserve"> prijavljenih kandidatov </w:t>
      </w:r>
      <w:r w:rsidR="00BC5057" w:rsidRPr="008B4CB3">
        <w:rPr>
          <w:rFonts w:ascii="Arial" w:hAnsi="Arial" w:cs="Arial"/>
        </w:rPr>
        <w:t>je</w:t>
      </w:r>
      <w:r w:rsidRPr="008B4CB3">
        <w:rPr>
          <w:rFonts w:ascii="Arial" w:hAnsi="Arial" w:cs="Arial"/>
        </w:rPr>
        <w:t xml:space="preserve"> bil</w:t>
      </w:r>
      <w:r w:rsidR="00BC5057" w:rsidRPr="008B4CB3">
        <w:rPr>
          <w:rFonts w:ascii="Arial" w:hAnsi="Arial" w:cs="Arial"/>
        </w:rPr>
        <w:t>o</w:t>
      </w:r>
      <w:r w:rsidR="002B61FC" w:rsidRPr="008B4CB3">
        <w:rPr>
          <w:rFonts w:ascii="Arial" w:hAnsi="Arial" w:cs="Arial"/>
        </w:rPr>
        <w:t xml:space="preserve"> </w:t>
      </w:r>
      <w:r w:rsidR="00BC5057" w:rsidRPr="008B4CB3">
        <w:rPr>
          <w:rFonts w:ascii="Arial" w:hAnsi="Arial" w:cs="Arial"/>
        </w:rPr>
        <w:t>153</w:t>
      </w:r>
      <w:r w:rsidR="0015761D" w:rsidRPr="008B4CB3">
        <w:rPr>
          <w:rFonts w:ascii="Arial" w:hAnsi="Arial" w:cs="Arial"/>
        </w:rPr>
        <w:t xml:space="preserve"> </w:t>
      </w:r>
      <w:r w:rsidRPr="008B4CB3">
        <w:rPr>
          <w:rFonts w:ascii="Arial" w:hAnsi="Arial" w:cs="Arial"/>
        </w:rPr>
        <w:t>kandidat</w:t>
      </w:r>
      <w:r w:rsidR="00BC5057" w:rsidRPr="008B4CB3">
        <w:rPr>
          <w:rFonts w:ascii="Arial" w:hAnsi="Arial" w:cs="Arial"/>
        </w:rPr>
        <w:t>ov</w:t>
      </w:r>
      <w:r w:rsidRPr="008B4CB3">
        <w:rPr>
          <w:rFonts w:ascii="Arial" w:hAnsi="Arial" w:cs="Arial"/>
        </w:rPr>
        <w:t xml:space="preserve"> uvrščeni</w:t>
      </w:r>
      <w:r w:rsidR="00BC5057" w:rsidRPr="008B4CB3">
        <w:rPr>
          <w:rFonts w:ascii="Arial" w:hAnsi="Arial" w:cs="Arial"/>
        </w:rPr>
        <w:t>h</w:t>
      </w:r>
      <w:r w:rsidRPr="008B4CB3">
        <w:rPr>
          <w:rFonts w:ascii="Arial" w:hAnsi="Arial" w:cs="Arial"/>
        </w:rPr>
        <w:t xml:space="preserve"> v izbirni postopek, pri čemer je </w:t>
      </w:r>
      <w:r w:rsidR="00824B39">
        <w:rPr>
          <w:rFonts w:ascii="Arial" w:hAnsi="Arial" w:cs="Arial"/>
        </w:rPr>
        <w:t>b</w:t>
      </w:r>
      <w:r w:rsidRPr="008B4CB3">
        <w:rPr>
          <w:rFonts w:ascii="Arial" w:hAnsi="Arial" w:cs="Arial"/>
        </w:rPr>
        <w:t xml:space="preserve">il </w:t>
      </w:r>
      <w:r w:rsidR="00BC5057" w:rsidRPr="008B4CB3">
        <w:rPr>
          <w:rFonts w:ascii="Arial" w:hAnsi="Arial" w:cs="Arial"/>
        </w:rPr>
        <w:t>101</w:t>
      </w:r>
      <w:r w:rsidRPr="008B4CB3">
        <w:rPr>
          <w:rFonts w:ascii="Arial" w:hAnsi="Arial" w:cs="Arial"/>
        </w:rPr>
        <w:t xml:space="preserve"> kandidat primer</w:t>
      </w:r>
      <w:r w:rsidR="00BC5057" w:rsidRPr="008B4CB3">
        <w:rPr>
          <w:rFonts w:ascii="Arial" w:hAnsi="Arial" w:cs="Arial"/>
        </w:rPr>
        <w:t>en</w:t>
      </w:r>
      <w:r w:rsidRPr="008B4CB3">
        <w:rPr>
          <w:rFonts w:ascii="Arial" w:hAnsi="Arial" w:cs="Arial"/>
        </w:rPr>
        <w:t xml:space="preserve">, </w:t>
      </w:r>
      <w:r w:rsidR="00BC5057" w:rsidRPr="008B4CB3">
        <w:rPr>
          <w:rFonts w:ascii="Arial" w:hAnsi="Arial" w:cs="Arial"/>
        </w:rPr>
        <w:t>52</w:t>
      </w:r>
      <w:r w:rsidR="0015761D" w:rsidRPr="008B4CB3">
        <w:rPr>
          <w:rFonts w:ascii="Arial" w:hAnsi="Arial" w:cs="Arial"/>
        </w:rPr>
        <w:t xml:space="preserve"> </w:t>
      </w:r>
      <w:r w:rsidRPr="008B4CB3">
        <w:rPr>
          <w:rFonts w:ascii="Arial" w:hAnsi="Arial" w:cs="Arial"/>
        </w:rPr>
        <w:t xml:space="preserve">pa ne. </w:t>
      </w:r>
    </w:p>
    <w:p w14:paraId="2A76547E" w14:textId="77777777" w:rsidR="009520CE" w:rsidRPr="00B80AED" w:rsidRDefault="00BC5057" w:rsidP="00663EC0">
      <w:pPr>
        <w:ind w:left="284"/>
        <w:jc w:val="both"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406BEBB0" wp14:editId="2632CB6D">
            <wp:extent cx="5410200" cy="3543300"/>
            <wp:effectExtent l="0" t="0" r="0" b="0"/>
            <wp:docPr id="17" name="Grafikon 17" descr="Primernih kandidatov 66% in neprimernih kandidatov 34%. ">
              <a:extLst xmlns:a="http://schemas.openxmlformats.org/drawingml/2006/main">
                <a:ext uri="{FF2B5EF4-FFF2-40B4-BE49-F238E27FC236}">
                  <a16:creationId xmlns:a16="http://schemas.microsoft.com/office/drawing/2014/main" id="{3DBEAE7D-DF48-45CE-9DB0-1525007FCA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642EAC9" w14:textId="0C367D50" w:rsidR="009520CE" w:rsidRPr="008B4CB3" w:rsidRDefault="009520CE" w:rsidP="00663EC0">
      <w:pPr>
        <w:tabs>
          <w:tab w:val="left" w:pos="2235"/>
        </w:tabs>
        <w:ind w:left="284"/>
        <w:jc w:val="both"/>
        <w:rPr>
          <w:rFonts w:ascii="Arial" w:hAnsi="Arial" w:cs="Arial"/>
        </w:rPr>
      </w:pPr>
      <w:r w:rsidRPr="008B4CB3">
        <w:rPr>
          <w:rFonts w:ascii="Arial" w:hAnsi="Arial" w:cs="Arial"/>
        </w:rPr>
        <w:t xml:space="preserve">Izmed </w:t>
      </w:r>
      <w:r w:rsidR="00EB6525" w:rsidRPr="008B4CB3">
        <w:rPr>
          <w:rFonts w:ascii="Arial" w:hAnsi="Arial" w:cs="Arial"/>
        </w:rPr>
        <w:t>59</w:t>
      </w:r>
      <w:r w:rsidRPr="008B4CB3">
        <w:rPr>
          <w:rFonts w:ascii="Arial" w:hAnsi="Arial" w:cs="Arial"/>
        </w:rPr>
        <w:t xml:space="preserve"> žensk, ki so bile uvrščene v izbirni postopek, je bilo </w:t>
      </w:r>
      <w:r w:rsidR="00EB6525" w:rsidRPr="008B4CB3">
        <w:rPr>
          <w:rFonts w:ascii="Arial" w:hAnsi="Arial" w:cs="Arial"/>
        </w:rPr>
        <w:t>primernih 42 oziroma 71%.</w:t>
      </w:r>
      <w:r w:rsidRPr="008B4CB3">
        <w:rPr>
          <w:rFonts w:ascii="Arial" w:hAnsi="Arial" w:cs="Arial"/>
        </w:rPr>
        <w:t xml:space="preserve"> </w:t>
      </w:r>
      <w:r w:rsidR="00EB6525" w:rsidRPr="008B4CB3">
        <w:rPr>
          <w:rFonts w:ascii="Arial" w:hAnsi="Arial" w:cs="Arial"/>
        </w:rPr>
        <w:t>I</w:t>
      </w:r>
      <w:r w:rsidRPr="008B4CB3">
        <w:rPr>
          <w:rFonts w:ascii="Arial" w:hAnsi="Arial" w:cs="Arial"/>
        </w:rPr>
        <w:t>zme</w:t>
      </w:r>
      <w:r w:rsidR="000C74A9" w:rsidRPr="008B4CB3">
        <w:rPr>
          <w:rFonts w:ascii="Arial" w:hAnsi="Arial" w:cs="Arial"/>
        </w:rPr>
        <w:t>d</w:t>
      </w:r>
      <w:r w:rsidRPr="008B4CB3">
        <w:rPr>
          <w:rFonts w:ascii="Arial" w:hAnsi="Arial" w:cs="Arial"/>
        </w:rPr>
        <w:t xml:space="preserve"> </w:t>
      </w:r>
      <w:r w:rsidR="00EB6525" w:rsidRPr="008B4CB3">
        <w:rPr>
          <w:rFonts w:ascii="Arial" w:hAnsi="Arial" w:cs="Arial"/>
        </w:rPr>
        <w:t xml:space="preserve">94 </w:t>
      </w:r>
      <w:r w:rsidRPr="008B4CB3">
        <w:rPr>
          <w:rFonts w:ascii="Arial" w:hAnsi="Arial" w:cs="Arial"/>
        </w:rPr>
        <w:t>moških</w:t>
      </w:r>
      <w:r w:rsidR="00EB6525" w:rsidRPr="008B4CB3">
        <w:rPr>
          <w:rFonts w:ascii="Arial" w:hAnsi="Arial" w:cs="Arial"/>
        </w:rPr>
        <w:t>, uvrščenih v izbirni postopek je bilo primernih 59 oziroma</w:t>
      </w:r>
      <w:r w:rsidRPr="008B4CB3">
        <w:rPr>
          <w:rFonts w:ascii="Arial" w:hAnsi="Arial" w:cs="Arial"/>
        </w:rPr>
        <w:t xml:space="preserve"> </w:t>
      </w:r>
      <w:r w:rsidR="00EB6525" w:rsidRPr="008B4CB3">
        <w:rPr>
          <w:rFonts w:ascii="Arial" w:hAnsi="Arial" w:cs="Arial"/>
        </w:rPr>
        <w:t>63%.</w:t>
      </w:r>
    </w:p>
    <w:p w14:paraId="5035D7F1" w14:textId="77777777" w:rsidR="009520CE" w:rsidRDefault="000C74A9" w:rsidP="00663EC0">
      <w:pPr>
        <w:ind w:left="284"/>
        <w:jc w:val="both"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5FBC2BBE" wp14:editId="1117A770">
            <wp:extent cx="5467350" cy="3705225"/>
            <wp:effectExtent l="0" t="0" r="0" b="9525"/>
            <wp:docPr id="19" name="Grafikon 19" descr="Neprimernih kandidatov moških 35  in  žensk 17, primernih kandidatov moških 59 in žensk 42.&#10;">
              <a:extLst xmlns:a="http://schemas.openxmlformats.org/drawingml/2006/main">
                <a:ext uri="{FF2B5EF4-FFF2-40B4-BE49-F238E27FC236}">
                  <a16:creationId xmlns:a16="http://schemas.microsoft.com/office/drawing/2014/main" id="{6119E1D2-9D28-4D06-83B8-4D17E2215C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CAA17DC" w14:textId="77777777" w:rsidR="00032839" w:rsidRPr="00B80AED" w:rsidRDefault="00032839" w:rsidP="00663EC0">
      <w:pPr>
        <w:ind w:left="284"/>
        <w:jc w:val="both"/>
        <w:rPr>
          <w:rFonts w:ascii="Arial" w:hAnsi="Arial" w:cs="Arial"/>
          <w:i/>
        </w:rPr>
      </w:pPr>
    </w:p>
    <w:p w14:paraId="64622E8F" w14:textId="61BE9EF4" w:rsidR="009520CE" w:rsidRPr="008B4CB3" w:rsidRDefault="009520CE" w:rsidP="00663EC0">
      <w:pPr>
        <w:ind w:left="284"/>
        <w:jc w:val="both"/>
        <w:rPr>
          <w:rFonts w:ascii="Arial" w:hAnsi="Arial" w:cs="Arial"/>
        </w:rPr>
      </w:pPr>
      <w:r w:rsidRPr="008B4CB3">
        <w:rPr>
          <w:rFonts w:ascii="Arial" w:hAnsi="Arial" w:cs="Arial"/>
        </w:rPr>
        <w:lastRenderedPageBreak/>
        <w:t xml:space="preserve">Med prijavljenimi kandidati prevladujejo kandidati stari med </w:t>
      </w:r>
      <w:r w:rsidR="00032839">
        <w:rPr>
          <w:rFonts w:ascii="Arial" w:hAnsi="Arial" w:cs="Arial"/>
        </w:rPr>
        <w:t>35 do 44</w:t>
      </w:r>
      <w:r w:rsidRPr="008B4CB3">
        <w:rPr>
          <w:rFonts w:ascii="Arial" w:hAnsi="Arial" w:cs="Arial"/>
        </w:rPr>
        <w:t xml:space="preserve"> let (</w:t>
      </w:r>
      <w:r w:rsidR="00032839">
        <w:rPr>
          <w:rFonts w:ascii="Arial" w:hAnsi="Arial" w:cs="Arial"/>
        </w:rPr>
        <w:t>32</w:t>
      </w:r>
      <w:r w:rsidRPr="008B4CB3">
        <w:rPr>
          <w:rFonts w:ascii="Arial" w:hAnsi="Arial" w:cs="Arial"/>
        </w:rPr>
        <w:t xml:space="preserve">% vseh kandidatov), sledijo pa kandidati stari </w:t>
      </w:r>
      <w:r w:rsidR="00032839">
        <w:rPr>
          <w:rFonts w:ascii="Arial" w:hAnsi="Arial" w:cs="Arial"/>
        </w:rPr>
        <w:t xml:space="preserve">nad 55 let </w:t>
      </w:r>
      <w:r w:rsidRPr="008B4CB3">
        <w:rPr>
          <w:rFonts w:ascii="Arial" w:hAnsi="Arial" w:cs="Arial"/>
        </w:rPr>
        <w:t xml:space="preserve">(25% vseh kandidatov). </w:t>
      </w:r>
    </w:p>
    <w:p w14:paraId="25A10369" w14:textId="77777777" w:rsidR="009520CE" w:rsidRDefault="000C74A9" w:rsidP="00663EC0">
      <w:pPr>
        <w:ind w:left="284"/>
        <w:jc w:val="both"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476376C0" wp14:editId="574F8B75">
            <wp:extent cx="5476874" cy="3705225"/>
            <wp:effectExtent l="0" t="0" r="10160" b="9525"/>
            <wp:docPr id="25" name="Grafikon 25" descr="Do 35 let 5 kandidatov, od 35 do 44 let 58 kandidatov, od 45 do 49 let 29 kandidatov, od 50 do 54 let 45 kandidatov in nad 55 let 46 kandidatov.&#10;">
              <a:extLst xmlns:a="http://schemas.openxmlformats.org/drawingml/2006/main">
                <a:ext uri="{FF2B5EF4-FFF2-40B4-BE49-F238E27FC236}">
                  <a16:creationId xmlns:a16="http://schemas.microsoft.com/office/drawing/2014/main" id="{1BE92D18-FA9F-49A7-B6EB-9634B273EF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43604D3" w14:textId="5208CB53" w:rsidR="008B4CB3" w:rsidRDefault="007479EB" w:rsidP="00663EC0">
      <w:pPr>
        <w:ind w:left="284"/>
        <w:jc w:val="both"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2B1AA6A7" wp14:editId="398E04A3">
            <wp:extent cx="5495924" cy="3933825"/>
            <wp:effectExtent l="0" t="0" r="10160" b="9525"/>
            <wp:docPr id="26" name="Grafikon 26" descr="Do 35 let 3%, od 35 do 44 let 32%, od 45 do 49 let 16%, od 50 do 54 let 24% in nad 55 let 25%.&#10;&#10;">
              <a:extLst xmlns:a="http://schemas.openxmlformats.org/drawingml/2006/main">
                <a:ext uri="{FF2B5EF4-FFF2-40B4-BE49-F238E27FC236}">
                  <a16:creationId xmlns:a16="http://schemas.microsoft.com/office/drawing/2014/main" id="{6668DB8A-B776-4412-9EDE-84CA7EBB7A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E3EDF4A" w14:textId="1C8B262A" w:rsidR="009520CE" w:rsidRDefault="009520CE" w:rsidP="00663EC0">
      <w:pPr>
        <w:ind w:left="284"/>
        <w:jc w:val="both"/>
        <w:rPr>
          <w:rFonts w:ascii="Arial" w:hAnsi="Arial" w:cs="Arial"/>
        </w:rPr>
      </w:pPr>
      <w:r w:rsidRPr="00A46CF8">
        <w:rPr>
          <w:rFonts w:ascii="Arial" w:hAnsi="Arial" w:cs="Arial"/>
        </w:rPr>
        <w:lastRenderedPageBreak/>
        <w:t xml:space="preserve">Med </w:t>
      </w:r>
      <w:r w:rsidRPr="00A46CF8">
        <w:rPr>
          <w:rFonts w:ascii="Arial" w:hAnsi="Arial" w:cs="Arial"/>
          <w:b/>
        </w:rPr>
        <w:t>primernimi kandidati</w:t>
      </w:r>
      <w:r w:rsidRPr="00A46CF8">
        <w:rPr>
          <w:rFonts w:ascii="Arial" w:hAnsi="Arial" w:cs="Arial"/>
        </w:rPr>
        <w:t xml:space="preserve"> prevladujejo kandidati stari med 35 in 44 let (</w:t>
      </w:r>
      <w:r w:rsidR="00032839" w:rsidRPr="00A46CF8">
        <w:rPr>
          <w:rFonts w:ascii="Arial" w:hAnsi="Arial" w:cs="Arial"/>
        </w:rPr>
        <w:t>36</w:t>
      </w:r>
      <w:r w:rsidRPr="00A46CF8">
        <w:rPr>
          <w:rFonts w:ascii="Arial" w:hAnsi="Arial" w:cs="Arial"/>
        </w:rPr>
        <w:t xml:space="preserve">% vseh primernih kandidatov), sledijo pa kandidati stari med </w:t>
      </w:r>
      <w:r w:rsidR="00032839" w:rsidRPr="00A46CF8">
        <w:rPr>
          <w:rFonts w:ascii="Arial" w:hAnsi="Arial" w:cs="Arial"/>
        </w:rPr>
        <w:t>50 do 54 let</w:t>
      </w:r>
      <w:r w:rsidRPr="00A46CF8">
        <w:rPr>
          <w:rFonts w:ascii="Arial" w:hAnsi="Arial" w:cs="Arial"/>
        </w:rPr>
        <w:t xml:space="preserve"> (2</w:t>
      </w:r>
      <w:r w:rsidR="00032839" w:rsidRPr="00A46CF8">
        <w:rPr>
          <w:rFonts w:ascii="Arial" w:hAnsi="Arial" w:cs="Arial"/>
        </w:rPr>
        <w:t>5</w:t>
      </w:r>
      <w:r w:rsidRPr="00A46CF8">
        <w:rPr>
          <w:rFonts w:ascii="Arial" w:hAnsi="Arial" w:cs="Arial"/>
        </w:rPr>
        <w:t>% vseh primernih kandidatov).</w:t>
      </w:r>
    </w:p>
    <w:p w14:paraId="2143EC21" w14:textId="77777777" w:rsidR="00144AB8" w:rsidRPr="00A46CF8" w:rsidRDefault="00144AB8" w:rsidP="00663EC0">
      <w:pPr>
        <w:ind w:left="284"/>
        <w:jc w:val="both"/>
        <w:rPr>
          <w:rFonts w:ascii="Arial" w:hAnsi="Arial" w:cs="Arial"/>
        </w:rPr>
      </w:pPr>
    </w:p>
    <w:p w14:paraId="6D08DB25" w14:textId="77777777" w:rsidR="009520CE" w:rsidRPr="00B80AED" w:rsidRDefault="007479EB" w:rsidP="00663EC0">
      <w:pPr>
        <w:ind w:left="284"/>
        <w:jc w:val="both"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712AB61C" wp14:editId="3103E9C4">
            <wp:extent cx="5457825" cy="3724275"/>
            <wp:effectExtent l="0" t="0" r="9525" b="9525"/>
            <wp:docPr id="27" name="Grafikon 27" descr="Do 35 let 1 kandidat, od 35 do 44 let 37 kandidatov, od 45 do 49 let 15 kandidatov, od 50 do 54 let 25 kandidatov in nad 55 let 23 kandidatov.">
              <a:extLst xmlns:a="http://schemas.openxmlformats.org/drawingml/2006/main">
                <a:ext uri="{FF2B5EF4-FFF2-40B4-BE49-F238E27FC236}">
                  <a16:creationId xmlns:a16="http://schemas.microsoft.com/office/drawing/2014/main" id="{11270B71-2938-4E74-9743-33555BCE0D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7CBFC4D" w14:textId="77777777" w:rsidR="009520CE" w:rsidRPr="00B80AED" w:rsidRDefault="009520CE" w:rsidP="00663EC0">
      <w:pPr>
        <w:ind w:left="284"/>
        <w:jc w:val="both"/>
        <w:rPr>
          <w:rFonts w:ascii="Arial" w:hAnsi="Arial" w:cs="Arial"/>
          <w:i/>
        </w:rPr>
      </w:pPr>
    </w:p>
    <w:p w14:paraId="379AD224" w14:textId="77777777" w:rsidR="009520CE" w:rsidRPr="00B80AED" w:rsidRDefault="007479EB" w:rsidP="00663EC0">
      <w:pPr>
        <w:ind w:left="284"/>
        <w:jc w:val="both"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27F5A3EC" wp14:editId="5F6F1D8B">
            <wp:extent cx="5486400" cy="3733800"/>
            <wp:effectExtent l="0" t="0" r="0" b="0"/>
            <wp:docPr id="28" name="Grafikon 28" descr="Primerni kandidati do 35 let 1%, od 35 do 44 let 36%, od 45 do 49 let 15%, od 50 do 54 let 25% in nad 55 let 23%.">
              <a:extLst xmlns:a="http://schemas.openxmlformats.org/drawingml/2006/main">
                <a:ext uri="{FF2B5EF4-FFF2-40B4-BE49-F238E27FC236}">
                  <a16:creationId xmlns:a16="http://schemas.microsoft.com/office/drawing/2014/main" id="{AADC4952-F5E8-47CD-86BC-D1FD6A7A10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D9D04A7" w14:textId="77777777" w:rsidR="008B4CB3" w:rsidRDefault="008B4CB3" w:rsidP="00663EC0">
      <w:pPr>
        <w:tabs>
          <w:tab w:val="left" w:pos="2235"/>
        </w:tabs>
        <w:ind w:left="284"/>
        <w:jc w:val="both"/>
        <w:rPr>
          <w:rFonts w:ascii="Arial" w:hAnsi="Arial" w:cs="Arial"/>
        </w:rPr>
      </w:pPr>
    </w:p>
    <w:p w14:paraId="497C8372" w14:textId="413EEE9D" w:rsidR="009520CE" w:rsidRDefault="009520CE" w:rsidP="00663EC0">
      <w:pPr>
        <w:tabs>
          <w:tab w:val="left" w:pos="2235"/>
        </w:tabs>
        <w:ind w:left="284"/>
        <w:jc w:val="both"/>
        <w:rPr>
          <w:rFonts w:ascii="Arial" w:hAnsi="Arial" w:cs="Arial"/>
        </w:rPr>
      </w:pPr>
      <w:r w:rsidRPr="007B3D6A">
        <w:rPr>
          <w:rFonts w:ascii="Arial" w:hAnsi="Arial" w:cs="Arial"/>
        </w:rPr>
        <w:t xml:space="preserve">Med </w:t>
      </w:r>
      <w:r w:rsidRPr="007B3D6A">
        <w:rPr>
          <w:rFonts w:ascii="Arial" w:hAnsi="Arial" w:cs="Arial"/>
          <w:b/>
        </w:rPr>
        <w:t>neprimernim</w:t>
      </w:r>
      <w:r w:rsidR="007B3D6A">
        <w:rPr>
          <w:rFonts w:ascii="Arial" w:hAnsi="Arial" w:cs="Arial"/>
          <w:b/>
        </w:rPr>
        <w:t>i</w:t>
      </w:r>
      <w:r w:rsidRPr="007B3D6A">
        <w:rPr>
          <w:rFonts w:ascii="Arial" w:hAnsi="Arial" w:cs="Arial"/>
          <w:b/>
        </w:rPr>
        <w:t xml:space="preserve"> kandidati</w:t>
      </w:r>
      <w:r w:rsidRPr="007B3D6A">
        <w:rPr>
          <w:rFonts w:ascii="Arial" w:hAnsi="Arial" w:cs="Arial"/>
        </w:rPr>
        <w:t xml:space="preserve"> prevladujejo kandidati stari med </w:t>
      </w:r>
      <w:r w:rsidR="00032839" w:rsidRPr="007B3D6A">
        <w:rPr>
          <w:rFonts w:ascii="Arial" w:hAnsi="Arial" w:cs="Arial"/>
        </w:rPr>
        <w:t>35 in 44</w:t>
      </w:r>
      <w:r w:rsidRPr="007B3D6A">
        <w:rPr>
          <w:rFonts w:ascii="Arial" w:hAnsi="Arial" w:cs="Arial"/>
        </w:rPr>
        <w:t xml:space="preserve"> let (</w:t>
      </w:r>
      <w:r w:rsidR="00032839" w:rsidRPr="007B3D6A">
        <w:rPr>
          <w:rFonts w:ascii="Arial" w:hAnsi="Arial" w:cs="Arial"/>
        </w:rPr>
        <w:t>29</w:t>
      </w:r>
      <w:r w:rsidRPr="007B3D6A">
        <w:rPr>
          <w:rFonts w:ascii="Arial" w:hAnsi="Arial" w:cs="Arial"/>
        </w:rPr>
        <w:t>% vseh neprimernih kandidatov), sledijo pa kandidati stari nad 55 let (2</w:t>
      </w:r>
      <w:r w:rsidR="00032839" w:rsidRPr="007B3D6A">
        <w:rPr>
          <w:rFonts w:ascii="Arial" w:hAnsi="Arial" w:cs="Arial"/>
        </w:rPr>
        <w:t>7</w:t>
      </w:r>
      <w:r w:rsidRPr="007B3D6A">
        <w:rPr>
          <w:rFonts w:ascii="Arial" w:hAnsi="Arial" w:cs="Arial"/>
        </w:rPr>
        <w:t xml:space="preserve">% vseh neprimernih  kandidatov).  </w:t>
      </w:r>
    </w:p>
    <w:p w14:paraId="48CB9A7C" w14:textId="77777777" w:rsidR="009520CE" w:rsidRPr="00B80AED" w:rsidRDefault="007479EB" w:rsidP="00663EC0">
      <w:pPr>
        <w:ind w:left="284"/>
        <w:jc w:val="both"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7539664B" wp14:editId="542FB9B7">
            <wp:extent cx="5476874" cy="3810000"/>
            <wp:effectExtent l="0" t="0" r="10160" b="0"/>
            <wp:docPr id="29" name="Grafikon 29" descr="Do 35 let 0 kandidatov, od 35 do 44 let 15 kandidatov, od 45 do 49 let 11 kandidatov, od 50 do 54 let 12 kandidatov in nad 55 let 14 kandidatov.">
              <a:extLst xmlns:a="http://schemas.openxmlformats.org/drawingml/2006/main">
                <a:ext uri="{FF2B5EF4-FFF2-40B4-BE49-F238E27FC236}">
                  <a16:creationId xmlns:a16="http://schemas.microsoft.com/office/drawing/2014/main" id="{0BF424B9-3D71-45BD-B7F5-087039F143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5F25A5E" w14:textId="77777777" w:rsidR="009520CE" w:rsidRPr="00B80AED" w:rsidRDefault="007479EB" w:rsidP="00663EC0">
      <w:pPr>
        <w:ind w:left="284"/>
        <w:jc w:val="both"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0F87760B" wp14:editId="01B06C4A">
            <wp:extent cx="5476874" cy="3714750"/>
            <wp:effectExtent l="0" t="0" r="10160" b="0"/>
            <wp:docPr id="30" name="Grafikon 30" descr="Neprimerni kandidati do 35 let 0%, od 35 do 44 let 29%, od 45 do 49 let 21%, od 50 do 54 let 23% in nad 55 let 27%.">
              <a:extLst xmlns:a="http://schemas.openxmlformats.org/drawingml/2006/main">
                <a:ext uri="{FF2B5EF4-FFF2-40B4-BE49-F238E27FC236}">
                  <a16:creationId xmlns:a16="http://schemas.microsoft.com/office/drawing/2014/main" id="{B888BC46-C8B1-40B0-88D3-B353ED4F2F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56D4BBC" w14:textId="48C28EB8" w:rsidR="009520CE" w:rsidRDefault="009520CE" w:rsidP="00663EC0">
      <w:pPr>
        <w:ind w:left="284"/>
        <w:jc w:val="both"/>
        <w:rPr>
          <w:rFonts w:ascii="Arial" w:hAnsi="Arial" w:cs="Arial"/>
        </w:rPr>
      </w:pPr>
      <w:r w:rsidRPr="001D51B6">
        <w:rPr>
          <w:rFonts w:ascii="Arial" w:hAnsi="Arial" w:cs="Arial"/>
        </w:rPr>
        <w:lastRenderedPageBreak/>
        <w:t xml:space="preserve">Med vsemi </w:t>
      </w:r>
      <w:r w:rsidRPr="001D51B6">
        <w:rPr>
          <w:rFonts w:ascii="Arial" w:hAnsi="Arial" w:cs="Arial"/>
          <w:b/>
        </w:rPr>
        <w:t>prijavljenimi kandidati</w:t>
      </w:r>
      <w:r w:rsidRPr="001D51B6">
        <w:rPr>
          <w:rFonts w:ascii="Arial" w:hAnsi="Arial" w:cs="Arial"/>
        </w:rPr>
        <w:t xml:space="preserve"> je bilo </w:t>
      </w:r>
      <w:r w:rsidR="00032839" w:rsidRPr="001D51B6">
        <w:rPr>
          <w:rFonts w:ascii="Arial" w:hAnsi="Arial" w:cs="Arial"/>
        </w:rPr>
        <w:t>46</w:t>
      </w:r>
      <w:r w:rsidR="007B3D6A">
        <w:rPr>
          <w:rFonts w:ascii="Arial" w:hAnsi="Arial" w:cs="Arial"/>
        </w:rPr>
        <w:t>%</w:t>
      </w:r>
      <w:r w:rsidR="00032839" w:rsidRPr="001D51B6">
        <w:rPr>
          <w:rFonts w:ascii="Arial" w:hAnsi="Arial" w:cs="Arial"/>
        </w:rPr>
        <w:t xml:space="preserve"> kandidatov zaposlenih v organu, ki je razpisal javni natečaj, 15</w:t>
      </w:r>
      <w:r w:rsidRPr="001D51B6">
        <w:rPr>
          <w:rFonts w:ascii="Arial" w:hAnsi="Arial" w:cs="Arial"/>
        </w:rPr>
        <w:t xml:space="preserve">% takih kandidatov, ki so bili v času prijave zaposleni </w:t>
      </w:r>
      <w:r w:rsidR="00032839" w:rsidRPr="001D51B6">
        <w:rPr>
          <w:rFonts w:ascii="Arial" w:hAnsi="Arial" w:cs="Arial"/>
        </w:rPr>
        <w:t xml:space="preserve">drugje </w:t>
      </w:r>
      <w:r w:rsidRPr="001D51B6">
        <w:rPr>
          <w:rFonts w:ascii="Arial" w:hAnsi="Arial" w:cs="Arial"/>
        </w:rPr>
        <w:t>v državni upravi</w:t>
      </w:r>
      <w:r w:rsidR="00032839" w:rsidRPr="001D51B6">
        <w:rPr>
          <w:rFonts w:ascii="Arial" w:hAnsi="Arial" w:cs="Arial"/>
        </w:rPr>
        <w:t xml:space="preserve"> in 39</w:t>
      </w:r>
      <w:r w:rsidRPr="001D51B6">
        <w:rPr>
          <w:rFonts w:ascii="Arial" w:hAnsi="Arial" w:cs="Arial"/>
        </w:rPr>
        <w:t xml:space="preserve">% kandidatov zaposlenih izven državne uprave.  </w:t>
      </w:r>
    </w:p>
    <w:p w14:paraId="5CFF5206" w14:textId="77777777" w:rsidR="009520CE" w:rsidRPr="00B80AED" w:rsidRDefault="007479EB" w:rsidP="00663EC0">
      <w:pPr>
        <w:tabs>
          <w:tab w:val="left" w:pos="2235"/>
        </w:tabs>
        <w:ind w:left="284"/>
        <w:jc w:val="both"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4F2181D3" wp14:editId="7AA5FE69">
            <wp:extent cx="5448300" cy="3743325"/>
            <wp:effectExtent l="0" t="0" r="0" b="9525"/>
            <wp:docPr id="32" name="Grafikon 32" descr="Zaposleni v organu, ki razpisuje javni natečaj je 46%, zaposlenih drugje v državni upravi 15% in in zaposlenih drugje izven državne uprave je 39%. ">
              <a:extLst xmlns:a="http://schemas.openxmlformats.org/drawingml/2006/main">
                <a:ext uri="{FF2B5EF4-FFF2-40B4-BE49-F238E27FC236}">
                  <a16:creationId xmlns:a16="http://schemas.microsoft.com/office/drawing/2014/main" id="{61CF5027-3F63-4CD1-93B2-C0FE582B3A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2A24B8F" w14:textId="77777777" w:rsidR="00663EC0" w:rsidRDefault="00663EC0" w:rsidP="00663EC0">
      <w:pPr>
        <w:tabs>
          <w:tab w:val="left" w:pos="2235"/>
        </w:tabs>
        <w:ind w:left="284"/>
        <w:jc w:val="both"/>
        <w:rPr>
          <w:rFonts w:ascii="Arial" w:hAnsi="Arial" w:cs="Arial"/>
        </w:rPr>
      </w:pPr>
    </w:p>
    <w:p w14:paraId="49FA8B24" w14:textId="366D1A9A" w:rsidR="009520CE" w:rsidRDefault="009520CE" w:rsidP="00663EC0">
      <w:pPr>
        <w:tabs>
          <w:tab w:val="left" w:pos="2235"/>
        </w:tabs>
        <w:ind w:left="284"/>
        <w:jc w:val="both"/>
        <w:rPr>
          <w:rFonts w:ascii="Arial" w:hAnsi="Arial" w:cs="Arial"/>
        </w:rPr>
      </w:pPr>
      <w:r w:rsidRPr="001D51B6">
        <w:rPr>
          <w:rFonts w:ascii="Arial" w:hAnsi="Arial" w:cs="Arial"/>
        </w:rPr>
        <w:t xml:space="preserve">Med vsemi </w:t>
      </w:r>
      <w:r w:rsidRPr="001D51B6">
        <w:rPr>
          <w:rFonts w:ascii="Arial" w:hAnsi="Arial" w:cs="Arial"/>
          <w:b/>
        </w:rPr>
        <w:t>primernimi kandidati</w:t>
      </w:r>
      <w:r w:rsidRPr="001D51B6">
        <w:rPr>
          <w:rFonts w:ascii="Arial" w:hAnsi="Arial" w:cs="Arial"/>
        </w:rPr>
        <w:t xml:space="preserve"> pa je bilo </w:t>
      </w:r>
      <w:r w:rsidR="00032839" w:rsidRPr="001D51B6">
        <w:rPr>
          <w:rFonts w:ascii="Arial" w:hAnsi="Arial" w:cs="Arial"/>
        </w:rPr>
        <w:t>64</w:t>
      </w:r>
      <w:r w:rsidRPr="001D51B6">
        <w:rPr>
          <w:rFonts w:ascii="Arial" w:hAnsi="Arial" w:cs="Arial"/>
        </w:rPr>
        <w:t xml:space="preserve">% takih kandidatov, ki so bili v času prijave zaposleni v </w:t>
      </w:r>
      <w:r w:rsidR="00032839" w:rsidRPr="001D51B6">
        <w:rPr>
          <w:rFonts w:ascii="Arial" w:hAnsi="Arial" w:cs="Arial"/>
        </w:rPr>
        <w:t xml:space="preserve">organu, ki razpisuje postopek, 18% je bilo zaposlenih drugje v državni </w:t>
      </w:r>
      <w:r w:rsidRPr="001D51B6">
        <w:rPr>
          <w:rFonts w:ascii="Arial" w:hAnsi="Arial" w:cs="Arial"/>
        </w:rPr>
        <w:t>upravi, medtem ko je bilo 1</w:t>
      </w:r>
      <w:r w:rsidR="00032839" w:rsidRPr="001D51B6">
        <w:rPr>
          <w:rFonts w:ascii="Arial" w:hAnsi="Arial" w:cs="Arial"/>
        </w:rPr>
        <w:t>8</w:t>
      </w:r>
      <w:r w:rsidRPr="001D51B6">
        <w:rPr>
          <w:rFonts w:ascii="Arial" w:hAnsi="Arial" w:cs="Arial"/>
        </w:rPr>
        <w:t xml:space="preserve">% primernih kandidatov v času kandidature zaposlenih izven državne uprave. </w:t>
      </w:r>
    </w:p>
    <w:p w14:paraId="2BB8D18D" w14:textId="77777777" w:rsidR="0046438B" w:rsidRPr="007479EB" w:rsidRDefault="007479EB" w:rsidP="00663EC0">
      <w:pPr>
        <w:tabs>
          <w:tab w:val="left" w:pos="2235"/>
        </w:tabs>
        <w:ind w:left="284"/>
        <w:jc w:val="both"/>
        <w:rPr>
          <w:rFonts w:ascii="Arial" w:hAnsi="Arial" w:cs="Arial"/>
          <w:i/>
        </w:rPr>
      </w:pPr>
      <w:r>
        <w:rPr>
          <w:noProof/>
        </w:rPr>
        <w:lastRenderedPageBreak/>
        <w:drawing>
          <wp:inline distT="0" distB="0" distL="0" distR="0" wp14:anchorId="32AADD0A" wp14:editId="47E8F642">
            <wp:extent cx="5457825" cy="3562350"/>
            <wp:effectExtent l="0" t="0" r="9525" b="0"/>
            <wp:docPr id="33" name="Grafikon 33" descr="Zaposlenih v organu, ki razpisuje javni natečaj je 64%, zaposlenih drugje v državni upravi je 18% in zaposlenih drugje izven državne uprave je 18%.">
              <a:extLst xmlns:a="http://schemas.openxmlformats.org/drawingml/2006/main">
                <a:ext uri="{FF2B5EF4-FFF2-40B4-BE49-F238E27FC236}">
                  <a16:creationId xmlns:a16="http://schemas.microsoft.com/office/drawing/2014/main" id="{E0B04BF3-B1B8-4F3E-BF3D-C9DA112409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46438B" w:rsidRPr="007479EB" w:rsidSect="00D00CD8">
      <w:head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6FDBF" w14:textId="77777777" w:rsidR="00473DE7" w:rsidRDefault="00473DE7" w:rsidP="009520CE">
      <w:pPr>
        <w:spacing w:after="0" w:line="240" w:lineRule="auto"/>
      </w:pPr>
      <w:r>
        <w:separator/>
      </w:r>
    </w:p>
  </w:endnote>
  <w:endnote w:type="continuationSeparator" w:id="0">
    <w:p w14:paraId="549B899A" w14:textId="77777777" w:rsidR="00473DE7" w:rsidRDefault="00473DE7" w:rsidP="0095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CF28" w14:textId="77777777" w:rsidR="00473DE7" w:rsidRDefault="00473DE7" w:rsidP="009520CE">
      <w:pPr>
        <w:spacing w:after="0" w:line="240" w:lineRule="auto"/>
      </w:pPr>
      <w:r>
        <w:separator/>
      </w:r>
    </w:p>
  </w:footnote>
  <w:footnote w:type="continuationSeparator" w:id="0">
    <w:p w14:paraId="728BCEE1" w14:textId="77777777" w:rsidR="00473DE7" w:rsidRDefault="00473DE7" w:rsidP="009520CE">
      <w:pPr>
        <w:spacing w:after="0" w:line="240" w:lineRule="auto"/>
      </w:pPr>
      <w:r>
        <w:continuationSeparator/>
      </w:r>
    </w:p>
  </w:footnote>
  <w:footnote w:id="1">
    <w:p w14:paraId="11EC9E19" w14:textId="77777777" w:rsidR="009520CE" w:rsidRPr="0045718C" w:rsidRDefault="009520CE" w:rsidP="009520CE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235A3A">
        <w:rPr>
          <w:lang w:val="it-IT"/>
        </w:rPr>
        <w:t xml:space="preserve"> </w:t>
      </w:r>
      <w:r>
        <w:rPr>
          <w:lang w:val="sl-SI"/>
        </w:rPr>
        <w:t>Torej kandidati, ki so</w:t>
      </w:r>
      <w:r w:rsidR="00663758">
        <w:rPr>
          <w:lang w:val="sl-SI"/>
        </w:rPr>
        <w:t xml:space="preserve"> se prijavili v roku in so</w:t>
      </w:r>
      <w:r>
        <w:rPr>
          <w:lang w:val="sl-SI"/>
        </w:rPr>
        <w:t xml:space="preserve"> izpolnjevali natečajne pogoje za položajno delovno mesto.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DD4BE" w14:textId="77777777" w:rsidR="00D00CD8" w:rsidRDefault="00F21853">
    <w:pPr>
      <w:pStyle w:val="Glava"/>
    </w:pPr>
  </w:p>
  <w:p w14:paraId="674758A9" w14:textId="77777777" w:rsidR="00D00CD8" w:rsidRDefault="00F21853">
    <w:pPr>
      <w:pStyle w:val="Glava"/>
    </w:pPr>
  </w:p>
  <w:p w14:paraId="37212ADB" w14:textId="77777777" w:rsidR="00D00CD8" w:rsidRDefault="00F2185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77"/>
    </w:tblGrid>
    <w:tr w:rsidR="007D4222" w:rsidRPr="008F3500" w14:paraId="65616330" w14:textId="77777777" w:rsidTr="00155D8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61C43C9" w14:textId="77777777" w:rsidR="007D4222" w:rsidRPr="006D42D9" w:rsidRDefault="007D4222" w:rsidP="007D422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sz w:val="60"/>
              <w:szCs w:val="60"/>
            </w:rPr>
          </w:pPr>
          <w:bookmarkStart w:id="1" w:name="_Hlk53080671"/>
          <w:r>
            <w:rPr>
              <w:noProof/>
            </w:rPr>
            <w:drawing>
              <wp:inline distT="0" distB="0" distL="0" distR="0" wp14:anchorId="7B6C3C94" wp14:editId="025CE49E">
                <wp:extent cx="292735" cy="372110"/>
                <wp:effectExtent l="0" t="0" r="0" b="8890"/>
                <wp:docPr id="4" name="Slika 4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4271B3A" w14:textId="70A61B25" w:rsidR="007D4222" w:rsidRPr="007D4222" w:rsidRDefault="007D4222" w:rsidP="007D4222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7D4222">
      <w:rPr>
        <w:rFonts w:ascii="Republika" w:hAnsi="Republika"/>
        <w:sz w:val="20"/>
        <w:szCs w:val="20"/>
      </w:rPr>
      <w:t>REPUBLIKA SLOVENIJA</w:t>
    </w:r>
  </w:p>
  <w:p w14:paraId="4B4C6466" w14:textId="597C1A3F" w:rsidR="007D4222" w:rsidRPr="00022579" w:rsidRDefault="007D4222" w:rsidP="007D4222">
    <w:pPr>
      <w:pStyle w:val="Glava"/>
      <w:tabs>
        <w:tab w:val="left" w:pos="5112"/>
      </w:tabs>
      <w:spacing w:line="240" w:lineRule="exact"/>
      <w:rPr>
        <w:rFonts w:ascii="Republika Bold" w:hAnsi="Republika Bold"/>
        <w:caps/>
        <w:sz w:val="20"/>
        <w:szCs w:val="20"/>
      </w:rPr>
    </w:pPr>
    <w:r>
      <w:rPr>
        <w:rFonts w:ascii="Republika Bold" w:hAnsi="Republika Bold"/>
        <w:caps/>
        <w:sz w:val="20"/>
        <w:szCs w:val="20"/>
      </w:rPr>
      <w:t>URADNIŠKI SVET</w:t>
    </w:r>
  </w:p>
  <w:p w14:paraId="6D15AB86" w14:textId="77777777" w:rsidR="007D4222" w:rsidRDefault="007D4222" w:rsidP="007D4222">
    <w:pPr>
      <w:pStyle w:val="Glava"/>
      <w:tabs>
        <w:tab w:val="left" w:pos="5112"/>
      </w:tabs>
      <w:rPr>
        <w:rFonts w:ascii="Arial" w:hAnsi="Arial" w:cs="Arial"/>
        <w:sz w:val="16"/>
      </w:rPr>
    </w:pPr>
  </w:p>
  <w:p w14:paraId="4CB47F36" w14:textId="10642615" w:rsidR="007D4222" w:rsidRPr="00836EB1" w:rsidRDefault="007D4222" w:rsidP="007D4222">
    <w:pPr>
      <w:pStyle w:val="Glava"/>
      <w:tabs>
        <w:tab w:val="left" w:pos="5112"/>
      </w:tabs>
      <w:rPr>
        <w:rFonts w:ascii="Arial" w:hAnsi="Arial" w:cs="Arial"/>
        <w:b/>
        <w:caps/>
        <w:sz w:val="20"/>
        <w:szCs w:val="20"/>
      </w:rPr>
    </w:pPr>
    <w:r w:rsidRPr="00410B91">
      <w:rPr>
        <w:rFonts w:ascii="Arial" w:hAnsi="Arial" w:cs="Arial"/>
        <w:sz w:val="16"/>
      </w:rPr>
      <w:t>Tržaška cesta 21, 1000 Ljubljana</w:t>
    </w:r>
    <w:bookmarkEnd w:id="1"/>
    <w:r>
      <w:rPr>
        <w:rFonts w:cs="Arial"/>
        <w:sz w:val="16"/>
      </w:rPr>
      <w:tab/>
    </w:r>
    <w:r>
      <w:rPr>
        <w:rFonts w:cs="Arial"/>
        <w:sz w:val="16"/>
      </w:rPr>
      <w:tab/>
    </w:r>
    <w:r w:rsidRPr="00836EB1">
      <w:rPr>
        <w:rFonts w:ascii="Arial" w:hAnsi="Arial" w:cs="Arial"/>
        <w:sz w:val="16"/>
      </w:rPr>
      <w:t xml:space="preserve">T: 01 478 </w:t>
    </w:r>
    <w:r>
      <w:rPr>
        <w:rFonts w:ascii="Arial" w:hAnsi="Arial" w:cs="Arial"/>
        <w:sz w:val="16"/>
      </w:rPr>
      <w:t>83 45</w:t>
    </w:r>
  </w:p>
  <w:p w14:paraId="43811282" w14:textId="77777777" w:rsidR="007D4222" w:rsidRPr="00836EB1" w:rsidRDefault="007D4222" w:rsidP="007D4222">
    <w:pPr>
      <w:pStyle w:val="Glava"/>
      <w:tabs>
        <w:tab w:val="left" w:pos="5112"/>
      </w:tabs>
      <w:ind w:left="142"/>
      <w:rPr>
        <w:rFonts w:ascii="Arial" w:hAnsi="Arial" w:cs="Arial"/>
        <w:sz w:val="16"/>
      </w:rPr>
    </w:pPr>
    <w:r w:rsidRPr="00836EB1">
      <w:rPr>
        <w:rFonts w:ascii="Arial" w:hAnsi="Arial" w:cs="Arial"/>
        <w:sz w:val="16"/>
      </w:rPr>
      <w:tab/>
    </w:r>
    <w:r w:rsidRPr="00836EB1">
      <w:rPr>
        <w:rFonts w:ascii="Arial" w:hAnsi="Arial" w:cs="Arial"/>
        <w:sz w:val="16"/>
      </w:rPr>
      <w:tab/>
      <w:t xml:space="preserve">E: </w:t>
    </w:r>
    <w:hyperlink r:id="rId2" w:history="1">
      <w:r w:rsidRPr="00836EB1">
        <w:rPr>
          <w:rStyle w:val="Hiperpovezava"/>
          <w:rFonts w:ascii="Arial" w:hAnsi="Arial" w:cs="Arial"/>
          <w:sz w:val="16"/>
        </w:rPr>
        <w:t>gp.mju@gov.si</w:t>
      </w:r>
    </w:hyperlink>
  </w:p>
  <w:p w14:paraId="49AFE18A" w14:textId="77777777" w:rsidR="007D4222" w:rsidRPr="00836EB1" w:rsidRDefault="007D4222" w:rsidP="007D4222">
    <w:pPr>
      <w:pStyle w:val="Glava"/>
      <w:tabs>
        <w:tab w:val="left" w:pos="5112"/>
      </w:tabs>
      <w:ind w:left="142"/>
      <w:rPr>
        <w:rFonts w:ascii="Arial" w:hAnsi="Arial" w:cs="Arial"/>
      </w:rPr>
    </w:pPr>
    <w:r w:rsidRPr="00836EB1">
      <w:rPr>
        <w:rFonts w:ascii="Arial" w:hAnsi="Arial" w:cs="Arial"/>
        <w:sz w:val="16"/>
      </w:rPr>
      <w:tab/>
    </w:r>
    <w:r w:rsidRPr="00836EB1">
      <w:rPr>
        <w:rFonts w:ascii="Arial" w:hAnsi="Arial" w:cs="Arial"/>
        <w:sz w:val="16"/>
      </w:rPr>
      <w:tab/>
      <w:t>www.mju.gov.si</w:t>
    </w:r>
  </w:p>
  <w:p w14:paraId="649AE6AE" w14:textId="77777777" w:rsidR="001C7473" w:rsidRDefault="00F218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50CB0"/>
    <w:multiLevelType w:val="hybridMultilevel"/>
    <w:tmpl w:val="E62EFC74"/>
    <w:lvl w:ilvl="0" w:tplc="6C6E24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BC493F"/>
    <w:multiLevelType w:val="hybridMultilevel"/>
    <w:tmpl w:val="9508C9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CE"/>
    <w:rsid w:val="000007E4"/>
    <w:rsid w:val="000054B1"/>
    <w:rsid w:val="000242F8"/>
    <w:rsid w:val="00025C38"/>
    <w:rsid w:val="0003149E"/>
    <w:rsid w:val="00032839"/>
    <w:rsid w:val="00041C3F"/>
    <w:rsid w:val="00057D26"/>
    <w:rsid w:val="000640AC"/>
    <w:rsid w:val="00081E81"/>
    <w:rsid w:val="000A2B77"/>
    <w:rsid w:val="000C125E"/>
    <w:rsid w:val="000C46B0"/>
    <w:rsid w:val="000C74A9"/>
    <w:rsid w:val="00101AF1"/>
    <w:rsid w:val="00103341"/>
    <w:rsid w:val="0010690C"/>
    <w:rsid w:val="00120B41"/>
    <w:rsid w:val="00126763"/>
    <w:rsid w:val="00144AB8"/>
    <w:rsid w:val="001508E6"/>
    <w:rsid w:val="0015761D"/>
    <w:rsid w:val="00170895"/>
    <w:rsid w:val="001748A9"/>
    <w:rsid w:val="001814D9"/>
    <w:rsid w:val="00186EB4"/>
    <w:rsid w:val="00194C92"/>
    <w:rsid w:val="001A0603"/>
    <w:rsid w:val="001D2846"/>
    <w:rsid w:val="001D51B6"/>
    <w:rsid w:val="001F43FB"/>
    <w:rsid w:val="00201ADC"/>
    <w:rsid w:val="00212530"/>
    <w:rsid w:val="00214D1D"/>
    <w:rsid w:val="002356CF"/>
    <w:rsid w:val="00237A3C"/>
    <w:rsid w:val="0024127C"/>
    <w:rsid w:val="0025147E"/>
    <w:rsid w:val="0025479D"/>
    <w:rsid w:val="0025792E"/>
    <w:rsid w:val="00262358"/>
    <w:rsid w:val="0027396F"/>
    <w:rsid w:val="00276E57"/>
    <w:rsid w:val="00292CDF"/>
    <w:rsid w:val="002A46A6"/>
    <w:rsid w:val="002B61FC"/>
    <w:rsid w:val="002C58EC"/>
    <w:rsid w:val="002D2690"/>
    <w:rsid w:val="002E64F8"/>
    <w:rsid w:val="0030499B"/>
    <w:rsid w:val="003070FE"/>
    <w:rsid w:val="003211E3"/>
    <w:rsid w:val="00362C56"/>
    <w:rsid w:val="003715AE"/>
    <w:rsid w:val="003748FA"/>
    <w:rsid w:val="003758FB"/>
    <w:rsid w:val="00382209"/>
    <w:rsid w:val="003925BA"/>
    <w:rsid w:val="00397F8E"/>
    <w:rsid w:val="003A17D2"/>
    <w:rsid w:val="003A1849"/>
    <w:rsid w:val="003C06BF"/>
    <w:rsid w:val="003C543A"/>
    <w:rsid w:val="004611FF"/>
    <w:rsid w:val="0046438B"/>
    <w:rsid w:val="00466D34"/>
    <w:rsid w:val="00473DE7"/>
    <w:rsid w:val="00474D71"/>
    <w:rsid w:val="00483ECE"/>
    <w:rsid w:val="00486261"/>
    <w:rsid w:val="004A0DAE"/>
    <w:rsid w:val="004A78A9"/>
    <w:rsid w:val="004B3CBE"/>
    <w:rsid w:val="004C2772"/>
    <w:rsid w:val="004D7ECD"/>
    <w:rsid w:val="004E0FE3"/>
    <w:rsid w:val="004E3B7E"/>
    <w:rsid w:val="004F023A"/>
    <w:rsid w:val="004F6AF7"/>
    <w:rsid w:val="004F7310"/>
    <w:rsid w:val="005004F7"/>
    <w:rsid w:val="00543ED9"/>
    <w:rsid w:val="00547F42"/>
    <w:rsid w:val="00587917"/>
    <w:rsid w:val="0059021B"/>
    <w:rsid w:val="005C1E84"/>
    <w:rsid w:val="005C61E1"/>
    <w:rsid w:val="005D1983"/>
    <w:rsid w:val="005E1D57"/>
    <w:rsid w:val="005E3498"/>
    <w:rsid w:val="006174E1"/>
    <w:rsid w:val="00633332"/>
    <w:rsid w:val="00663758"/>
    <w:rsid w:val="00663EC0"/>
    <w:rsid w:val="006711AA"/>
    <w:rsid w:val="00687B36"/>
    <w:rsid w:val="00693B65"/>
    <w:rsid w:val="006B419D"/>
    <w:rsid w:val="006C2FB9"/>
    <w:rsid w:val="006D60F5"/>
    <w:rsid w:val="006E1CAE"/>
    <w:rsid w:val="006F4105"/>
    <w:rsid w:val="006F7105"/>
    <w:rsid w:val="00704F6B"/>
    <w:rsid w:val="0072548F"/>
    <w:rsid w:val="007403FC"/>
    <w:rsid w:val="007479EB"/>
    <w:rsid w:val="00764910"/>
    <w:rsid w:val="00765C0A"/>
    <w:rsid w:val="00766639"/>
    <w:rsid w:val="00766951"/>
    <w:rsid w:val="007737BF"/>
    <w:rsid w:val="0077450D"/>
    <w:rsid w:val="00775833"/>
    <w:rsid w:val="00782869"/>
    <w:rsid w:val="00792924"/>
    <w:rsid w:val="00795CAF"/>
    <w:rsid w:val="007B3D6A"/>
    <w:rsid w:val="007D4222"/>
    <w:rsid w:val="007D6D45"/>
    <w:rsid w:val="007E38F8"/>
    <w:rsid w:val="007F061F"/>
    <w:rsid w:val="00822C36"/>
    <w:rsid w:val="00824B39"/>
    <w:rsid w:val="00825B83"/>
    <w:rsid w:val="008375BD"/>
    <w:rsid w:val="0084624C"/>
    <w:rsid w:val="008511EF"/>
    <w:rsid w:val="00866E03"/>
    <w:rsid w:val="00880773"/>
    <w:rsid w:val="008B0312"/>
    <w:rsid w:val="008B4CB3"/>
    <w:rsid w:val="008D07E8"/>
    <w:rsid w:val="008D1E2B"/>
    <w:rsid w:val="008E3B0F"/>
    <w:rsid w:val="008F3B2A"/>
    <w:rsid w:val="0090105F"/>
    <w:rsid w:val="00904B9D"/>
    <w:rsid w:val="00910B42"/>
    <w:rsid w:val="00916160"/>
    <w:rsid w:val="00926FF0"/>
    <w:rsid w:val="00933D38"/>
    <w:rsid w:val="0094317F"/>
    <w:rsid w:val="009440A7"/>
    <w:rsid w:val="009520CE"/>
    <w:rsid w:val="009770F4"/>
    <w:rsid w:val="009853F4"/>
    <w:rsid w:val="009A4973"/>
    <w:rsid w:val="009A4F53"/>
    <w:rsid w:val="009B3A30"/>
    <w:rsid w:val="009B74A9"/>
    <w:rsid w:val="009F498C"/>
    <w:rsid w:val="00A0064B"/>
    <w:rsid w:val="00A045D9"/>
    <w:rsid w:val="00A1502A"/>
    <w:rsid w:val="00A34612"/>
    <w:rsid w:val="00A35E98"/>
    <w:rsid w:val="00A46CF8"/>
    <w:rsid w:val="00A67EC4"/>
    <w:rsid w:val="00A83130"/>
    <w:rsid w:val="00A831A8"/>
    <w:rsid w:val="00AA6E2B"/>
    <w:rsid w:val="00AB750B"/>
    <w:rsid w:val="00AC1544"/>
    <w:rsid w:val="00B27F54"/>
    <w:rsid w:val="00B4007B"/>
    <w:rsid w:val="00B45DE2"/>
    <w:rsid w:val="00B57410"/>
    <w:rsid w:val="00B57AB8"/>
    <w:rsid w:val="00B73AAB"/>
    <w:rsid w:val="00B74044"/>
    <w:rsid w:val="00B80AED"/>
    <w:rsid w:val="00B81EF1"/>
    <w:rsid w:val="00BB241A"/>
    <w:rsid w:val="00BB5EE9"/>
    <w:rsid w:val="00BC4483"/>
    <w:rsid w:val="00BC5057"/>
    <w:rsid w:val="00BD7443"/>
    <w:rsid w:val="00BE0355"/>
    <w:rsid w:val="00BE43C3"/>
    <w:rsid w:val="00BF6387"/>
    <w:rsid w:val="00BF7FA7"/>
    <w:rsid w:val="00C06074"/>
    <w:rsid w:val="00C14313"/>
    <w:rsid w:val="00C14A74"/>
    <w:rsid w:val="00C36E24"/>
    <w:rsid w:val="00C3715C"/>
    <w:rsid w:val="00C40E98"/>
    <w:rsid w:val="00C572F6"/>
    <w:rsid w:val="00C6646E"/>
    <w:rsid w:val="00C67102"/>
    <w:rsid w:val="00C86641"/>
    <w:rsid w:val="00CA4325"/>
    <w:rsid w:val="00CB3108"/>
    <w:rsid w:val="00CD27E7"/>
    <w:rsid w:val="00CE3216"/>
    <w:rsid w:val="00CE3C51"/>
    <w:rsid w:val="00CE465C"/>
    <w:rsid w:val="00CF06C6"/>
    <w:rsid w:val="00CF1D69"/>
    <w:rsid w:val="00D00ABB"/>
    <w:rsid w:val="00D34D8D"/>
    <w:rsid w:val="00D54817"/>
    <w:rsid w:val="00D70B1A"/>
    <w:rsid w:val="00DA3D0B"/>
    <w:rsid w:val="00DA6258"/>
    <w:rsid w:val="00DB059E"/>
    <w:rsid w:val="00DB109C"/>
    <w:rsid w:val="00DC23F3"/>
    <w:rsid w:val="00DC2D44"/>
    <w:rsid w:val="00DC4081"/>
    <w:rsid w:val="00DC5E45"/>
    <w:rsid w:val="00DC6396"/>
    <w:rsid w:val="00DD209E"/>
    <w:rsid w:val="00DE1B1E"/>
    <w:rsid w:val="00DF4205"/>
    <w:rsid w:val="00E059A5"/>
    <w:rsid w:val="00E26E85"/>
    <w:rsid w:val="00E51B20"/>
    <w:rsid w:val="00E558B2"/>
    <w:rsid w:val="00E57A6D"/>
    <w:rsid w:val="00EA40EA"/>
    <w:rsid w:val="00EB6525"/>
    <w:rsid w:val="00F21853"/>
    <w:rsid w:val="00F242BC"/>
    <w:rsid w:val="00F26AFD"/>
    <w:rsid w:val="00F36EB4"/>
    <w:rsid w:val="00F56A6D"/>
    <w:rsid w:val="00F80233"/>
    <w:rsid w:val="00F84C95"/>
    <w:rsid w:val="00F96EE9"/>
    <w:rsid w:val="00FA20EB"/>
    <w:rsid w:val="00FB3135"/>
    <w:rsid w:val="00FB480B"/>
    <w:rsid w:val="00FD3198"/>
    <w:rsid w:val="00FD5FD3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0E5F6C"/>
  <w15:docId w15:val="{E7C21C9D-9673-45CD-9817-AD1CFD86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520CE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520CE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952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9520CE"/>
  </w:style>
  <w:style w:type="paragraph" w:styleId="Sprotnaopomba-besedilo">
    <w:name w:val="footnote text"/>
    <w:basedOn w:val="Navaden"/>
    <w:link w:val="Sprotnaopomba-besediloZnak"/>
    <w:rsid w:val="009520CE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520CE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rsid w:val="009520C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20CE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5004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004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004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004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004F7"/>
    <w:rPr>
      <w:b/>
      <w:bCs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4D7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7ECD"/>
  </w:style>
  <w:style w:type="table" w:styleId="Tabelasvetlamrea">
    <w:name w:val="Grid Table Light"/>
    <w:basedOn w:val="Navadnatabela"/>
    <w:uiPriority w:val="40"/>
    <w:rsid w:val="00E57A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4">
    <w:name w:val="Plain Table 4"/>
    <w:basedOn w:val="Navadnatabela"/>
    <w:uiPriority w:val="44"/>
    <w:rsid w:val="007D4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povezava">
    <w:name w:val="Hyperlink"/>
    <w:basedOn w:val="Privzetapisavaodstavka"/>
    <w:uiPriority w:val="99"/>
    <w:unhideWhenUsed/>
    <w:rsid w:val="007D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3056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p.mju@gov.si" TargetMode="External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sigov.si\DAT\MJU\UradniskiSvet\URADNI&#352;KI%20SVET\OSTALO\Tabele%20in%20statistike\2019%20statistik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sigov.si\DAT\MJU\UradniskiSvet\URADNI&#352;KI%20SVET\OSTALO\Tabele%20in%20statistike\2019%20statistika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sigov.si\DAT\MJU\UradniskiSvet\URADNI&#352;KI%20SVET\OSTALO\Tabele%20in%20statistike\2019%20statistika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sigov.si\DAT\MJU\UradniskiSvet\URADNI&#352;KI%20SVET\OSTALO\Tabele%20in%20statistike\2019%20statistik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sigov.si\DAT\MJU\UradniskiSvet\URADNI&#352;KI%20SVET\OSTALO\Tabele%20in%20statistike\2019%20statistik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sigov.si\DAT\MJU\UradniskiSvet\URADNI&#352;KI%20SVET\OSTALO\Tabele%20in%20statistike\2019%20statistik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sigov.si\DAT\MJU\UradniskiSvet\URADNI&#352;KI%20SVET\OSTALO\Tabele%20in%20statistike\2019%20statistik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ad.sigov.si\DAT\MJU\UradniskiSvet\URADNI&#352;KI%20SVET\OSTALO\Tabele%20in%20statistike\2019%20statistika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sigov.si\DAT\MJU\UradniskiSvet\URADNI&#352;KI%20SVET\OSTALO\Tabele%20in%20statistike\2019%20statistik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sigov.si\DAT\MJU\UradniskiSvet\URADNI&#352;KI%20SVET\OSTALO\Tabele%20in%20statistike\2019%20statistik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.sigov.si\DAT\MJU\UradniskiSvet\URADNI&#352;KI%20SVET\OSTALO\Tabele%20in%20statistike\2019%20statistika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Razmerje po spolu med vsemi prijavljenimi kandidati</a:t>
            </a:r>
          </a:p>
        </c:rich>
      </c:tx>
      <c:layout>
        <c:manualLayout>
          <c:xMode val="edge"/>
          <c:yMode val="edge"/>
          <c:x val="0.14390538310557066"/>
          <c:y val="3.40909090909090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C4C-494A-84F7-2AFFAF536D6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C4C-494A-84F7-2AFFAF536D60}"/>
              </c:ext>
            </c:extLst>
          </c:dPt>
          <c:dLbls>
            <c:dLbl>
              <c:idx val="0"/>
              <c:layout>
                <c:manualLayout>
                  <c:x val="3.5794183445190073E-2"/>
                  <c:y val="3.78787878787878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4C-494A-84F7-2AFFAF536D60}"/>
                </c:ext>
              </c:extLst>
            </c:dLbl>
            <c:dLbl>
              <c:idx val="1"/>
              <c:layout>
                <c:manualLayout>
                  <c:x val="6.7114093959731551E-3"/>
                  <c:y val="9.4696969696969752E-3"/>
                </c:manualLayout>
              </c:layout>
              <c:numFmt formatCode="General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0251193433035635"/>
                      <c:h val="0.1144464328322596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9C4C-494A-84F7-2AFFAF536D60}"/>
                </c:ext>
              </c:extLst>
            </c:dLbl>
            <c:numFmt formatCode="General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Grafi!$A$1:$A$2</c:f>
              <c:strCache>
                <c:ptCount val="2"/>
                <c:pt idx="0">
                  <c:v>Moški </c:v>
                </c:pt>
                <c:pt idx="1">
                  <c:v>Ženske</c:v>
                </c:pt>
              </c:strCache>
            </c:strRef>
          </c:cat>
          <c:val>
            <c:numRef>
              <c:f>Grafi!$B$1:$B$2</c:f>
              <c:numCache>
                <c:formatCode>General</c:formatCode>
                <c:ptCount val="2"/>
                <c:pt idx="0">
                  <c:v>115</c:v>
                </c:pt>
                <c:pt idx="1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C4C-494A-84F7-2AFFAF536D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>
                <a:solidFill>
                  <a:sysClr val="windowText" lastClr="000000"/>
                </a:solidFill>
              </a:rPr>
              <a:t>Razmerje med vsemi prijavljenimi kandidati glede na zaposlitev pred kandidaturo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B19-4A74-B889-189CFB658A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B19-4A74-B889-189CFB658A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B19-4A74-B889-189CFB658AF6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Grafi!$A$88:$A$90</c:f>
              <c:strCache>
                <c:ptCount val="3"/>
                <c:pt idx="0">
                  <c:v>Zaposleni v organu, ki razpisuje javni natečaj</c:v>
                </c:pt>
                <c:pt idx="1">
                  <c:v>Zaposleni drugje - v državni upravi</c:v>
                </c:pt>
                <c:pt idx="2">
                  <c:v>Zaposleni drugje - izven državne uprave</c:v>
                </c:pt>
              </c:strCache>
            </c:strRef>
          </c:cat>
          <c:val>
            <c:numRef>
              <c:f>Grafi!$B$88:$B$90</c:f>
              <c:numCache>
                <c:formatCode>General</c:formatCode>
                <c:ptCount val="3"/>
                <c:pt idx="0">
                  <c:v>84</c:v>
                </c:pt>
                <c:pt idx="1">
                  <c:v>28</c:v>
                </c:pt>
                <c:pt idx="2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B19-4A74-B889-189CFB658A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400">
                <a:solidFill>
                  <a:sysClr val="windowText" lastClr="000000"/>
                </a:solidFill>
              </a:rPr>
              <a:t>Razmerje med primernimi kandidati glede na zaposlitev pred kandidaturo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B6-4270-B223-002FE7D190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B6-4270-B223-002FE7D190F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5B6-4270-B223-002FE7D190F5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Grafi!$A$260:$A$262</c:f>
              <c:strCache>
                <c:ptCount val="3"/>
                <c:pt idx="0">
                  <c:v>Zaposleni v organu, ki razpisuje javni natečaj</c:v>
                </c:pt>
                <c:pt idx="1">
                  <c:v>Zaposleni drugje - v državni upravi</c:v>
                </c:pt>
                <c:pt idx="2">
                  <c:v>Zaposleni drugje - izven državne uprave</c:v>
                </c:pt>
              </c:strCache>
            </c:strRef>
          </c:cat>
          <c:val>
            <c:numRef>
              <c:f>Grafi!$B$260:$B$262</c:f>
              <c:numCache>
                <c:formatCode>General</c:formatCode>
                <c:ptCount val="3"/>
                <c:pt idx="0">
                  <c:v>65</c:v>
                </c:pt>
                <c:pt idx="1">
                  <c:v>18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5B6-4270-B223-002FE7D190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Razmerje med primernimi in neprimernimi kandidati</a:t>
            </a:r>
          </a:p>
        </c:rich>
      </c:tx>
      <c:layout>
        <c:manualLayout>
          <c:xMode val="edge"/>
          <c:yMode val="edge"/>
          <c:x val="0.14821129066183802"/>
          <c:y val="2.2764221813143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92C-4B9B-9288-F0D45535AF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92C-4B9B-9288-F0D45535AF50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Grafi!$A$118:$A$119</c:f>
              <c:strCache>
                <c:ptCount val="2"/>
                <c:pt idx="0">
                  <c:v>Primerni kandidati</c:v>
                </c:pt>
                <c:pt idx="1">
                  <c:v>Neprimerni kandidati</c:v>
                </c:pt>
              </c:strCache>
            </c:strRef>
          </c:cat>
          <c:val>
            <c:numRef>
              <c:f>Grafi!$B$118:$B$119</c:f>
              <c:numCache>
                <c:formatCode>General</c:formatCode>
                <c:ptCount val="2"/>
                <c:pt idx="0">
                  <c:v>101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92C-4B9B-9288-F0D45535AF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sl-SI" sz="1400">
                <a:solidFill>
                  <a:sysClr val="windowText" lastClr="000000"/>
                </a:solidFill>
                <a:latin typeface="+mn-lt"/>
              </a:rPr>
              <a:t>Razmerje med kandidati po spolu in oceni posebne natečajne komisije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l-SI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Grafi!$B$148</c:f>
              <c:strCache>
                <c:ptCount val="1"/>
                <c:pt idx="0">
                  <c:v>Primerni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Grafi!$A$149:$A$150</c:f>
              <c:strCache>
                <c:ptCount val="2"/>
                <c:pt idx="0">
                  <c:v>Moški</c:v>
                </c:pt>
                <c:pt idx="1">
                  <c:v>Ženske</c:v>
                </c:pt>
              </c:strCache>
            </c:strRef>
          </c:cat>
          <c:val>
            <c:numRef>
              <c:f>Grafi!$B$149:$B$150</c:f>
              <c:numCache>
                <c:formatCode>General</c:formatCode>
                <c:ptCount val="2"/>
                <c:pt idx="0">
                  <c:v>59</c:v>
                </c:pt>
                <c:pt idx="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65-4409-B44D-1D81CD6A5281}"/>
            </c:ext>
          </c:extLst>
        </c:ser>
        <c:ser>
          <c:idx val="1"/>
          <c:order val="1"/>
          <c:tx>
            <c:strRef>
              <c:f>Grafi!$C$148</c:f>
              <c:strCache>
                <c:ptCount val="1"/>
                <c:pt idx="0">
                  <c:v>Neprimerni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Grafi!$A$149:$A$150</c:f>
              <c:strCache>
                <c:ptCount val="2"/>
                <c:pt idx="0">
                  <c:v>Moški</c:v>
                </c:pt>
                <c:pt idx="1">
                  <c:v>Ženske</c:v>
                </c:pt>
              </c:strCache>
            </c:strRef>
          </c:cat>
          <c:val>
            <c:numRef>
              <c:f>Grafi!$C$149:$C$150</c:f>
              <c:numCache>
                <c:formatCode>General</c:formatCode>
                <c:ptCount val="2"/>
                <c:pt idx="0">
                  <c:v>35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65-4409-B44D-1D81CD6A52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31931736"/>
        <c:axId val="531929768"/>
      </c:barChart>
      <c:catAx>
        <c:axId val="531931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31929768"/>
        <c:crosses val="autoZero"/>
        <c:auto val="1"/>
        <c:lblAlgn val="ctr"/>
        <c:lblOffset val="100"/>
        <c:noMultiLvlLbl val="0"/>
      </c:catAx>
      <c:valAx>
        <c:axId val="531929768"/>
        <c:scaling>
          <c:orientation val="minMax"/>
        </c:scaling>
        <c:delete val="1"/>
        <c:axPos val="l"/>
        <c:minorGridlines>
          <c:spPr>
            <a:ln w="9525" cap="flat" cmpd="sng" algn="ctr">
              <a:noFill/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crossAx val="5319317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>
                <a:solidFill>
                  <a:sysClr val="windowText" lastClr="000000"/>
                </a:solidFill>
              </a:rPr>
              <a:t>Število</a:t>
            </a:r>
            <a:r>
              <a:rPr lang="sl-SI" baseline="0">
                <a:solidFill>
                  <a:sysClr val="windowText" lastClr="000000"/>
                </a:solidFill>
              </a:rPr>
              <a:t> kandidatov glede na starost med vsemi prijavljenimi kandidati</a:t>
            </a:r>
            <a:endParaRPr lang="sl-SI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7.5918671855514666E-2"/>
          <c:y val="2.75991336558508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869569027879772E-2"/>
          <c:y val="0.185706940874036"/>
          <c:w val="0.9489854979318495"/>
          <c:h val="0.73477885958342615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1255796979615527E-17"/>
                  <c:y val="-2.056555269922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7BC-4FD1-9E7F-563D824C2054}"/>
                </c:ext>
              </c:extLst>
            </c:dLbl>
            <c:dLbl>
              <c:idx val="1"/>
              <c:layout>
                <c:manualLayout>
                  <c:x val="2.3188410030977524E-3"/>
                  <c:y val="-3.08483290488431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BC-4FD1-9E7F-563D824C2054}"/>
                </c:ext>
              </c:extLst>
            </c:dLbl>
            <c:dLbl>
              <c:idx val="2"/>
              <c:layout>
                <c:manualLayout>
                  <c:x val="0"/>
                  <c:y val="-2.3993144815766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BC-4FD1-9E7F-563D824C2054}"/>
                </c:ext>
              </c:extLst>
            </c:dLbl>
            <c:dLbl>
              <c:idx val="3"/>
              <c:layout>
                <c:manualLayout>
                  <c:x val="-2.3188410030977524E-3"/>
                  <c:y val="-2.3993144815766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BC-4FD1-9E7F-563D824C2054}"/>
                </c:ext>
              </c:extLst>
            </c:dLbl>
            <c:dLbl>
              <c:idx val="4"/>
              <c:layout>
                <c:manualLayout>
                  <c:x val="0"/>
                  <c:y val="-2.7420736932305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BC-4FD1-9E7F-563D824C20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Grafi!$A$29:$A$33</c:f>
              <c:strCache>
                <c:ptCount val="5"/>
                <c:pt idx="0">
                  <c:v>Do 35 let</c:v>
                </c:pt>
                <c:pt idx="1">
                  <c:v>Od 35 do 44 let</c:v>
                </c:pt>
                <c:pt idx="2">
                  <c:v>Od 45 do 49 let</c:v>
                </c:pt>
                <c:pt idx="3">
                  <c:v>Od 50 do 54 let</c:v>
                </c:pt>
                <c:pt idx="4">
                  <c:v>Nad 55 let</c:v>
                </c:pt>
              </c:strCache>
            </c:strRef>
          </c:cat>
          <c:val>
            <c:numRef>
              <c:f>Grafi!$B$29:$B$33</c:f>
              <c:numCache>
                <c:formatCode>General</c:formatCode>
                <c:ptCount val="5"/>
                <c:pt idx="0">
                  <c:v>5</c:v>
                </c:pt>
                <c:pt idx="1">
                  <c:v>58</c:v>
                </c:pt>
                <c:pt idx="2">
                  <c:v>29</c:v>
                </c:pt>
                <c:pt idx="3">
                  <c:v>45</c:v>
                </c:pt>
                <c:pt idx="4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7BC-4FD1-9E7F-563D824C20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5671920"/>
        <c:axId val="345669624"/>
        <c:axId val="0"/>
      </c:bar3DChart>
      <c:catAx>
        <c:axId val="34567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45669624"/>
        <c:crosses val="autoZero"/>
        <c:auto val="1"/>
        <c:lblAlgn val="ctr"/>
        <c:lblOffset val="100"/>
        <c:noMultiLvlLbl val="0"/>
      </c:catAx>
      <c:valAx>
        <c:axId val="3456696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45671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>
                <a:solidFill>
                  <a:sysClr val="windowText" lastClr="000000"/>
                </a:solidFill>
              </a:rPr>
              <a:t>Razmerje po starosti med vsemi prijavljenimi kandidati</a:t>
            </a:r>
            <a:r>
              <a:rPr lang="sl-SI" baseline="0">
                <a:solidFill>
                  <a:sysClr val="windowText" lastClr="000000"/>
                </a:solidFill>
              </a:rPr>
              <a:t> v odstotku</a:t>
            </a:r>
            <a:endParaRPr lang="sl-SI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2390509766874505"/>
          <c:y val="1.93704600484261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3B7-4DF3-9CA9-DA99504F2C7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3B7-4DF3-9CA9-DA99504F2C7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3B7-4DF3-9CA9-DA99504F2C7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3B7-4DF3-9CA9-DA99504F2C7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3B7-4DF3-9CA9-DA99504F2C79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Grafi!$A$29:$A$33</c:f>
              <c:strCache>
                <c:ptCount val="5"/>
                <c:pt idx="0">
                  <c:v>Do 35 let</c:v>
                </c:pt>
                <c:pt idx="1">
                  <c:v>Od 35 do 44 let</c:v>
                </c:pt>
                <c:pt idx="2">
                  <c:v>Od 45 do 49 let</c:v>
                </c:pt>
                <c:pt idx="3">
                  <c:v>Od 50 do 54 let</c:v>
                </c:pt>
                <c:pt idx="4">
                  <c:v>Nad 55 let</c:v>
                </c:pt>
              </c:strCache>
            </c:strRef>
          </c:cat>
          <c:val>
            <c:numRef>
              <c:f>Grafi!$B$29:$B$33</c:f>
              <c:numCache>
                <c:formatCode>General</c:formatCode>
                <c:ptCount val="5"/>
                <c:pt idx="0">
                  <c:v>5</c:v>
                </c:pt>
                <c:pt idx="1">
                  <c:v>58</c:v>
                </c:pt>
                <c:pt idx="2">
                  <c:v>29</c:v>
                </c:pt>
                <c:pt idx="3">
                  <c:v>45</c:v>
                </c:pt>
                <c:pt idx="4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3B7-4DF3-9CA9-DA99504F2C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400" b="0" i="0" baseline="0">
                <a:solidFill>
                  <a:sysClr val="windowText" lastClr="000000"/>
                </a:solidFill>
                <a:effectLst/>
              </a:rPr>
              <a:t>Število kandidatov glede na starost med primernimi kandidati</a:t>
            </a:r>
            <a:endParaRPr lang="sl-SI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EE14-4040-94E0-AA54BD36D71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EE14-4040-94E0-AA54BD36D719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EE14-4040-94E0-AA54BD36D719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EE14-4040-94E0-AA54BD36D719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EE14-4040-94E0-AA54BD36D7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Grafi!$A$202:$A$206</c:f>
              <c:strCache>
                <c:ptCount val="5"/>
                <c:pt idx="0">
                  <c:v>Do 35 let</c:v>
                </c:pt>
                <c:pt idx="1">
                  <c:v>Od 35 do 44 let</c:v>
                </c:pt>
                <c:pt idx="2">
                  <c:v>Od 45 do 49 let</c:v>
                </c:pt>
                <c:pt idx="3">
                  <c:v>Od 50 do 54 let</c:v>
                </c:pt>
                <c:pt idx="4">
                  <c:v>Nad 55 let</c:v>
                </c:pt>
              </c:strCache>
            </c:strRef>
          </c:cat>
          <c:val>
            <c:numRef>
              <c:f>Grafi!$B$202:$B$206</c:f>
              <c:numCache>
                <c:formatCode>General</c:formatCode>
                <c:ptCount val="5"/>
                <c:pt idx="0">
                  <c:v>1</c:v>
                </c:pt>
                <c:pt idx="1">
                  <c:v>37</c:v>
                </c:pt>
                <c:pt idx="2">
                  <c:v>15</c:v>
                </c:pt>
                <c:pt idx="3">
                  <c:v>25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E14-4040-94E0-AA54BD36D7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6833184"/>
        <c:axId val="386834168"/>
        <c:axId val="0"/>
      </c:bar3DChart>
      <c:catAx>
        <c:axId val="38683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86834168"/>
        <c:crosses val="autoZero"/>
        <c:auto val="1"/>
        <c:lblAlgn val="ctr"/>
        <c:lblOffset val="100"/>
        <c:noMultiLvlLbl val="0"/>
      </c:catAx>
      <c:valAx>
        <c:axId val="3868341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86833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400">
                <a:solidFill>
                  <a:sysClr val="windowText" lastClr="000000"/>
                </a:solidFill>
              </a:rPr>
              <a:t>Razmerje med primernimi kandidati po starosti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43E-4782-8AF5-3472BB1367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43E-4782-8AF5-3472BB1367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43E-4782-8AF5-3472BB1367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43E-4782-8AF5-3472BB1367B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43E-4782-8AF5-3472BB1367BC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Grafi!$A$202:$A$206</c:f>
              <c:strCache>
                <c:ptCount val="5"/>
                <c:pt idx="0">
                  <c:v>Do 35 let</c:v>
                </c:pt>
                <c:pt idx="1">
                  <c:v>Od 35 do 44 let</c:v>
                </c:pt>
                <c:pt idx="2">
                  <c:v>Od 45 do 49 let</c:v>
                </c:pt>
                <c:pt idx="3">
                  <c:v>Od 50 do 54 let</c:v>
                </c:pt>
                <c:pt idx="4">
                  <c:v>Nad 55 let</c:v>
                </c:pt>
              </c:strCache>
            </c:strRef>
          </c:cat>
          <c:val>
            <c:numRef>
              <c:f>Grafi!$B$202:$B$206</c:f>
              <c:numCache>
                <c:formatCode>General</c:formatCode>
                <c:ptCount val="5"/>
                <c:pt idx="0">
                  <c:v>1</c:v>
                </c:pt>
                <c:pt idx="1">
                  <c:v>37</c:v>
                </c:pt>
                <c:pt idx="2">
                  <c:v>15</c:v>
                </c:pt>
                <c:pt idx="3">
                  <c:v>25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43E-4782-8AF5-3472BB1367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>
                <a:solidFill>
                  <a:sysClr val="windowText" lastClr="000000"/>
                </a:solidFill>
              </a:rPr>
              <a:t>Število kandidatov glede na starost med neprimernimi kandidati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Grafi!$A$291:$A$295</c:f>
              <c:strCache>
                <c:ptCount val="5"/>
                <c:pt idx="0">
                  <c:v>Do 35 let</c:v>
                </c:pt>
                <c:pt idx="1">
                  <c:v>Od 35 do 44 let</c:v>
                </c:pt>
                <c:pt idx="2">
                  <c:v>Od 45 do 49 let</c:v>
                </c:pt>
                <c:pt idx="3">
                  <c:v>Od 50 do 54 let</c:v>
                </c:pt>
                <c:pt idx="4">
                  <c:v>Nad 55 let</c:v>
                </c:pt>
              </c:strCache>
            </c:strRef>
          </c:cat>
          <c:val>
            <c:numRef>
              <c:f>Grafi!$B$291:$B$295</c:f>
              <c:numCache>
                <c:formatCode>General</c:formatCode>
                <c:ptCount val="5"/>
                <c:pt idx="0">
                  <c:v>0</c:v>
                </c:pt>
                <c:pt idx="1">
                  <c:v>15</c:v>
                </c:pt>
                <c:pt idx="2">
                  <c:v>11</c:v>
                </c:pt>
                <c:pt idx="3">
                  <c:v>12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80-49C8-A3D8-EE242FFF2B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2845464"/>
        <c:axId val="492846120"/>
        <c:axId val="0"/>
      </c:bar3DChart>
      <c:catAx>
        <c:axId val="492845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92846120"/>
        <c:crosses val="autoZero"/>
        <c:auto val="1"/>
        <c:lblAlgn val="ctr"/>
        <c:lblOffset val="100"/>
        <c:noMultiLvlLbl val="0"/>
      </c:catAx>
      <c:valAx>
        <c:axId val="4928461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92845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>
                <a:solidFill>
                  <a:sysClr val="windowText" lastClr="000000"/>
                </a:solidFill>
              </a:rPr>
              <a:t>Razmerje med neprimernimi kandidati po starosti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explosion val="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4B2-423E-82A5-577D30D07E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4B2-423E-82A5-577D30D07E1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4B2-423E-82A5-577D30D07E1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4B2-423E-82A5-577D30D07E1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4B2-423E-82A5-577D30D07E11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Grafi!$A$291:$A$295</c:f>
              <c:strCache>
                <c:ptCount val="5"/>
                <c:pt idx="0">
                  <c:v>Do 35 let</c:v>
                </c:pt>
                <c:pt idx="1">
                  <c:v>Od 35 do 44 let</c:v>
                </c:pt>
                <c:pt idx="2">
                  <c:v>Od 45 do 49 let</c:v>
                </c:pt>
                <c:pt idx="3">
                  <c:v>Od 50 do 54 let</c:v>
                </c:pt>
                <c:pt idx="4">
                  <c:v>Nad 55 let</c:v>
                </c:pt>
              </c:strCache>
            </c:strRef>
          </c:cat>
          <c:val>
            <c:numRef>
              <c:f>Grafi!$B$291:$B$295</c:f>
              <c:numCache>
                <c:formatCode>General</c:formatCode>
                <c:ptCount val="5"/>
                <c:pt idx="0">
                  <c:v>0</c:v>
                </c:pt>
                <c:pt idx="1">
                  <c:v>15</c:v>
                </c:pt>
                <c:pt idx="2">
                  <c:v>11</c:v>
                </c:pt>
                <c:pt idx="3">
                  <c:v>12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4B2-423E-82A5-577D30D07E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3C8204-C79F-4329-A3CB-E18A2B3A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Poročilo o delu Uradniškega sveta za leto 2019</vt:lpstr>
    </vt:vector>
  </TitlesOfParts>
  <Company>MJU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Poročilo o delu Uradniškega sveta za leto 2019</dc:title>
  <dc:creator>Renata Pečaver</dc:creator>
  <cp:lastModifiedBy>Alja Košir</cp:lastModifiedBy>
  <cp:revision>13</cp:revision>
  <cp:lastPrinted>2020-06-10T08:57:00Z</cp:lastPrinted>
  <dcterms:created xsi:type="dcterms:W3CDTF">2020-06-10T12:31:00Z</dcterms:created>
  <dcterms:modified xsi:type="dcterms:W3CDTF">2020-11-12T11:06:00Z</dcterms:modified>
</cp:coreProperties>
</file>